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0607519"/>
    <w:bookmarkStart w:id="1" w:name="_Toc30607648"/>
    <w:bookmarkStart w:id="2" w:name="_Toc30607973"/>
    <w:bookmarkStart w:id="3" w:name="_Toc30608787"/>
    <w:bookmarkStart w:id="4" w:name="_Toc30610000"/>
    <w:bookmarkStart w:id="5" w:name="_Toc30610244"/>
    <w:bookmarkStart w:id="6" w:name="_Toc30638398"/>
    <w:bookmarkStart w:id="7" w:name="_Toc30644207"/>
    <w:bookmarkStart w:id="8" w:name="_Toc30644610"/>
    <w:bookmarkStart w:id="9" w:name="_Toc30645160"/>
    <w:bookmarkStart w:id="10" w:name="_Toc30646364"/>
    <w:bookmarkStart w:id="11" w:name="_Toc30646659"/>
    <w:bookmarkStart w:id="12" w:name="_Toc30646769"/>
    <w:bookmarkStart w:id="13" w:name="_Toc30648126"/>
    <w:bookmarkStart w:id="14" w:name="_Toc30649024"/>
    <w:bookmarkStart w:id="15" w:name="_Toc30649100"/>
    <w:bookmarkStart w:id="16" w:name="_Toc30649361"/>
    <w:bookmarkStart w:id="17" w:name="_Toc30649681"/>
    <w:bookmarkStart w:id="18" w:name="_Toc30651615"/>
    <w:bookmarkStart w:id="19" w:name="_Toc30652599"/>
    <w:bookmarkStart w:id="20" w:name="_Toc30652697"/>
    <w:bookmarkStart w:id="21" w:name="_Toc30654042"/>
    <w:bookmarkStart w:id="22" w:name="_Toc30654393"/>
    <w:bookmarkStart w:id="23" w:name="_Toc30655012"/>
    <w:bookmarkStart w:id="24" w:name="_Toc30655269"/>
    <w:bookmarkStart w:id="25" w:name="_Toc30656945"/>
    <w:bookmarkStart w:id="26" w:name="_Toc30661694"/>
    <w:bookmarkStart w:id="27" w:name="_Toc30666382"/>
    <w:bookmarkStart w:id="28" w:name="_Toc30666612"/>
    <w:bookmarkStart w:id="29" w:name="_Toc30667787"/>
    <w:bookmarkStart w:id="30" w:name="_Toc30669165"/>
    <w:bookmarkStart w:id="31" w:name="_Toc30671381"/>
    <w:bookmarkStart w:id="32" w:name="_Toc30673908"/>
    <w:bookmarkStart w:id="33" w:name="_Toc30691130"/>
    <w:bookmarkStart w:id="34" w:name="_Toc30691501"/>
    <w:bookmarkStart w:id="35" w:name="_Toc30691881"/>
    <w:bookmarkStart w:id="36" w:name="_Toc30692640"/>
    <w:bookmarkStart w:id="37" w:name="_Toc30693019"/>
    <w:bookmarkStart w:id="38" w:name="_Toc30693397"/>
    <w:bookmarkStart w:id="39" w:name="_Toc30693776"/>
    <w:bookmarkStart w:id="40" w:name="_Toc30694157"/>
    <w:bookmarkStart w:id="41" w:name="_Toc30698746"/>
    <w:bookmarkStart w:id="42" w:name="_Toc30699124"/>
    <w:bookmarkStart w:id="43" w:name="_Toc30699509"/>
    <w:bookmarkStart w:id="44" w:name="_Toc30700664"/>
    <w:bookmarkStart w:id="45" w:name="_Toc30701051"/>
    <w:bookmarkStart w:id="46" w:name="_Toc30743660"/>
    <w:bookmarkStart w:id="47" w:name="_Toc30754483"/>
    <w:bookmarkStart w:id="48" w:name="_Toc30756923"/>
    <w:bookmarkStart w:id="49" w:name="_Toc30757472"/>
    <w:bookmarkStart w:id="50" w:name="_Toc30757872"/>
    <w:bookmarkStart w:id="51" w:name="_Toc30762633"/>
    <w:bookmarkStart w:id="52" w:name="_Toc30767287"/>
    <w:bookmarkStart w:id="53" w:name="_Toc34823313"/>
    <w:p w14:paraId="05F1079F" w14:textId="77777777" w:rsidR="00277B85" w:rsidRPr="00F960B4" w:rsidRDefault="00A21C16">
      <w:pPr>
        <w:pStyle w:val="Heading1"/>
        <w:numPr>
          <w:ilvl w:val="0"/>
          <w:numId w:val="0"/>
        </w:numPr>
        <w:spacing w:before="0"/>
        <w:jc w:val="center"/>
        <w:rPr>
          <w:rFonts w:ascii="Arial" w:hAnsi="Arial" w:cs="Arial"/>
          <w:b/>
          <w:bCs/>
          <w:sz w:val="30"/>
        </w:rPr>
      </w:pPr>
      <w:r w:rsidRPr="00F960B4">
        <w:rPr>
          <w:rFonts w:ascii="Arial" w:hAnsi="Arial" w:cs="Arial"/>
          <w:b/>
          <w:bCs/>
          <w:color w:val="FF0000"/>
          <w:sz w:val="40"/>
        </w:rPr>
        <w:fldChar w:fldCharType="begin"/>
      </w:r>
      <w:r w:rsidRPr="00F960B4">
        <w:rPr>
          <w:rFonts w:ascii="Arial" w:hAnsi="Arial" w:cs="Arial"/>
          <w:b/>
          <w:bCs/>
          <w:color w:val="FF0000"/>
          <w:sz w:val="40"/>
        </w:rPr>
        <w:instrText xml:space="preserve"> HYPERLINK  \l "_2.__COURT" </w:instrText>
      </w:r>
      <w:r w:rsidRPr="00F960B4">
        <w:rPr>
          <w:rFonts w:ascii="Arial" w:hAnsi="Arial" w:cs="Arial"/>
          <w:b/>
          <w:bCs/>
          <w:color w:val="FF0000"/>
          <w:sz w:val="40"/>
        </w:rPr>
      </w:r>
      <w:r w:rsidRPr="00F960B4">
        <w:rPr>
          <w:rFonts w:ascii="Arial" w:hAnsi="Arial" w:cs="Arial"/>
          <w:b/>
          <w:bCs/>
          <w:color w:val="FF0000"/>
          <w:sz w:val="40"/>
        </w:rPr>
        <w:fldChar w:fldCharType="separate"/>
      </w:r>
      <w:r w:rsidR="00277B85" w:rsidRPr="00F960B4">
        <w:rPr>
          <w:rStyle w:val="Hyperlink"/>
          <w:rFonts w:ascii="Arial" w:hAnsi="Arial" w:cs="Arial"/>
          <w:b/>
          <w:bCs/>
          <w:color w:val="FF0000"/>
          <w:sz w:val="40"/>
          <w:u w:val="none"/>
        </w:rPr>
        <w:t>2.  COURT OV</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sidR="00277B85" w:rsidRPr="00F960B4">
        <w:rPr>
          <w:rStyle w:val="Hyperlink"/>
          <w:rFonts w:ascii="Arial" w:hAnsi="Arial" w:cs="Arial"/>
          <w:b/>
          <w:bCs/>
          <w:color w:val="FF0000"/>
          <w:sz w:val="40"/>
          <w:u w:val="none"/>
        </w:rPr>
        <w:t>ERVIEW</w:t>
      </w:r>
      <w:bookmarkEnd w:id="53"/>
      <w:r w:rsidRPr="00F960B4">
        <w:rPr>
          <w:rFonts w:ascii="Arial" w:hAnsi="Arial" w:cs="Arial"/>
          <w:b/>
          <w:bCs/>
          <w:color w:val="FF0000"/>
          <w:sz w:val="40"/>
        </w:rPr>
        <w:fldChar w:fldCharType="end"/>
      </w:r>
    </w:p>
    <w:p w14:paraId="0ABE1863" w14:textId="4D344742" w:rsidR="00277B85" w:rsidRDefault="00277B85">
      <w:pPr>
        <w:jc w:val="both"/>
        <w:rPr>
          <w:rFonts w:ascii="Arial" w:hAnsi="Arial" w:cs="Arial"/>
          <w:sz w:val="16"/>
        </w:rPr>
      </w:pPr>
    </w:p>
    <w:p w14:paraId="39BA353A" w14:textId="77777777" w:rsidR="00277B85" w:rsidRPr="0047250D" w:rsidRDefault="00277B85">
      <w:pPr>
        <w:pBdr>
          <w:top w:val="single" w:sz="4" w:space="1" w:color="auto"/>
          <w:left w:val="single" w:sz="4" w:space="4" w:color="auto"/>
          <w:bottom w:val="single" w:sz="4" w:space="1" w:color="auto"/>
          <w:right w:val="single" w:sz="4" w:space="4" w:color="auto"/>
        </w:pBdr>
        <w:rPr>
          <w:rFonts w:ascii="Arial" w:hAnsi="Arial" w:cs="Arial"/>
          <w:b/>
          <w:bCs/>
          <w:sz w:val="10"/>
        </w:rPr>
      </w:pPr>
      <w:bookmarkStart w:id="54" w:name="_Toc30607520"/>
      <w:bookmarkStart w:id="55" w:name="_Toc30607649"/>
      <w:bookmarkStart w:id="56" w:name="_Toc30607974"/>
      <w:bookmarkStart w:id="57" w:name="_Toc30608788"/>
      <w:bookmarkStart w:id="58" w:name="_Toc30610001"/>
      <w:bookmarkStart w:id="59" w:name="_Toc30610245"/>
      <w:bookmarkStart w:id="60" w:name="_Toc30638399"/>
      <w:bookmarkStart w:id="61" w:name="_Toc30644208"/>
      <w:bookmarkStart w:id="62" w:name="_Toc30644611"/>
      <w:bookmarkStart w:id="63" w:name="_Toc30645161"/>
      <w:bookmarkStart w:id="64" w:name="_Toc30646365"/>
      <w:bookmarkStart w:id="65" w:name="_Toc30646660"/>
      <w:bookmarkStart w:id="66" w:name="_Toc30646770"/>
      <w:bookmarkStart w:id="67" w:name="_Toc30648127"/>
      <w:bookmarkStart w:id="68" w:name="_Toc30649025"/>
      <w:bookmarkStart w:id="69" w:name="_Toc30649101"/>
      <w:bookmarkStart w:id="70" w:name="_Toc30649362"/>
      <w:bookmarkStart w:id="71" w:name="_Toc30649682"/>
      <w:bookmarkStart w:id="72" w:name="_Toc30651616"/>
      <w:bookmarkStart w:id="73" w:name="_Toc30652600"/>
      <w:bookmarkStart w:id="74" w:name="_Toc30652698"/>
      <w:bookmarkStart w:id="75" w:name="_Toc30654043"/>
      <w:bookmarkStart w:id="76" w:name="_Toc30654394"/>
      <w:bookmarkStart w:id="77" w:name="_Toc30655013"/>
      <w:bookmarkStart w:id="78" w:name="_Toc30655270"/>
      <w:bookmarkStart w:id="79" w:name="_Toc30656946"/>
      <w:bookmarkStart w:id="80" w:name="_Toc30661695"/>
      <w:bookmarkStart w:id="81" w:name="_Toc30666383"/>
      <w:bookmarkStart w:id="82" w:name="_Toc30666613"/>
      <w:bookmarkStart w:id="83" w:name="_Toc30667788"/>
      <w:bookmarkStart w:id="84" w:name="_Toc30669166"/>
      <w:bookmarkStart w:id="85" w:name="_Toc30671382"/>
      <w:bookmarkStart w:id="86" w:name="_Toc30673909"/>
      <w:bookmarkStart w:id="87" w:name="_Toc30691131"/>
      <w:bookmarkStart w:id="88" w:name="_Toc30691502"/>
      <w:bookmarkStart w:id="89" w:name="_Toc30691882"/>
      <w:bookmarkStart w:id="90" w:name="_Toc30692641"/>
      <w:bookmarkStart w:id="91" w:name="_Toc30693020"/>
      <w:bookmarkStart w:id="92" w:name="_Toc30693398"/>
      <w:bookmarkStart w:id="93" w:name="_Toc30693777"/>
      <w:bookmarkStart w:id="94" w:name="_Toc30694158"/>
      <w:bookmarkStart w:id="95" w:name="_Toc30698747"/>
      <w:bookmarkStart w:id="96" w:name="_Toc30699125"/>
      <w:bookmarkStart w:id="97" w:name="_Toc30699510"/>
      <w:bookmarkStart w:id="98" w:name="_Toc30700665"/>
      <w:bookmarkStart w:id="99" w:name="_Toc30701052"/>
      <w:bookmarkStart w:id="100" w:name="_Toc30743661"/>
      <w:bookmarkStart w:id="101" w:name="_Toc30754484"/>
      <w:bookmarkStart w:id="102" w:name="_Toc30756924"/>
      <w:bookmarkStart w:id="103" w:name="_Toc30757473"/>
      <w:bookmarkStart w:id="104" w:name="_Toc30757873"/>
      <w:bookmarkStart w:id="105" w:name="_Toc30762634"/>
      <w:bookmarkStart w:id="106" w:name="_Toc30767288"/>
      <w:bookmarkStart w:id="107" w:name="_Toc34823314"/>
    </w:p>
    <w:p w14:paraId="3798D2CE" w14:textId="77777777" w:rsidR="00277B85" w:rsidRDefault="00277B85">
      <w:pPr>
        <w:pBdr>
          <w:top w:val="single" w:sz="4" w:space="1" w:color="auto"/>
          <w:left w:val="single" w:sz="4" w:space="4" w:color="auto"/>
          <w:bottom w:val="single" w:sz="4" w:space="1" w:color="auto"/>
          <w:right w:val="single" w:sz="4" w:space="4" w:color="auto"/>
        </w:pBdr>
        <w:jc w:val="center"/>
        <w:rPr>
          <w:rFonts w:ascii="Arial" w:hAnsi="Arial" w:cs="Arial"/>
          <w:b/>
          <w:bCs/>
          <w:u w:val="single"/>
        </w:rPr>
      </w:pPr>
      <w:r>
        <w:rPr>
          <w:rFonts w:ascii="Arial" w:hAnsi="Arial" w:cs="Arial"/>
          <w:b/>
          <w:bCs/>
          <w:sz w:val="28"/>
          <w:u w:val="single"/>
        </w:rPr>
        <w:t>CONTENTS</w:t>
      </w:r>
    </w:p>
    <w:p w14:paraId="7CDBEF6A" w14:textId="77777777" w:rsidR="00277B85" w:rsidRDefault="00277B85">
      <w:pPr>
        <w:pBdr>
          <w:top w:val="single" w:sz="4" w:space="1" w:color="auto"/>
          <w:left w:val="single" w:sz="4" w:space="4" w:color="auto"/>
          <w:bottom w:val="single" w:sz="4" w:space="1" w:color="auto"/>
          <w:right w:val="single" w:sz="4" w:space="4" w:color="auto"/>
        </w:pBdr>
        <w:rPr>
          <w:rFonts w:ascii="Arial" w:hAnsi="Arial" w:cs="Arial"/>
          <w:b/>
          <w:bCs/>
          <w:sz w:val="10"/>
        </w:rPr>
      </w:pPr>
    </w:p>
    <w:p w14:paraId="1C7CB9C2" w14:textId="0AD56FBC" w:rsidR="00277B85" w:rsidRPr="00A21C16" w:rsidRDefault="00277B85">
      <w:pPr>
        <w:pBdr>
          <w:top w:val="single" w:sz="4" w:space="1" w:color="auto"/>
          <w:left w:val="single" w:sz="4" w:space="4" w:color="auto"/>
          <w:bottom w:val="single" w:sz="4" w:space="1" w:color="auto"/>
          <w:right w:val="single" w:sz="4" w:space="4" w:color="auto"/>
        </w:pBdr>
        <w:rPr>
          <w:rFonts w:ascii="Arial" w:hAnsi="Arial" w:cs="Arial"/>
          <w:b/>
          <w:bCs/>
        </w:rPr>
      </w:pPr>
      <w:hyperlink w:anchor="_2.1_Establishment,_Vision" w:history="1">
        <w:r w:rsidRPr="00A21C16">
          <w:rPr>
            <w:rStyle w:val="Hyperlink"/>
            <w:rFonts w:ascii="Arial" w:hAnsi="Arial" w:cs="Arial"/>
            <w:b/>
            <w:bCs/>
            <w:u w:val="none"/>
          </w:rPr>
          <w:t>2.1</w:t>
        </w:r>
        <w:r w:rsidRPr="00A21C16">
          <w:rPr>
            <w:rStyle w:val="Hyperlink"/>
            <w:rFonts w:ascii="Arial" w:hAnsi="Arial" w:cs="Arial"/>
            <w:b/>
            <w:bCs/>
            <w:u w:val="none"/>
          </w:rPr>
          <w:tab/>
          <w:t xml:space="preserve">Establishment, </w:t>
        </w:r>
        <w:r w:rsidR="005B73F4">
          <w:rPr>
            <w:rStyle w:val="Hyperlink"/>
            <w:rFonts w:ascii="Arial" w:hAnsi="Arial" w:cs="Arial"/>
            <w:b/>
            <w:bCs/>
            <w:u w:val="none"/>
          </w:rPr>
          <w:t>Role, Strategic Priorities</w:t>
        </w:r>
        <w:r w:rsidRPr="00A21C16">
          <w:rPr>
            <w:rStyle w:val="Hyperlink"/>
            <w:rFonts w:ascii="Arial" w:hAnsi="Arial" w:cs="Arial"/>
            <w:b/>
            <w:bCs/>
            <w:u w:val="none"/>
          </w:rPr>
          <w:t xml:space="preserve"> &amp; Purpose</w:t>
        </w:r>
      </w:hyperlink>
    </w:p>
    <w:p w14:paraId="77EF11E1" w14:textId="77777777" w:rsidR="00277B85" w:rsidRPr="00A21C16" w:rsidRDefault="00277B85" w:rsidP="004F4C22">
      <w:pPr>
        <w:pBdr>
          <w:top w:val="single" w:sz="4" w:space="1" w:color="auto"/>
          <w:left w:val="single" w:sz="4" w:space="4" w:color="auto"/>
          <w:bottom w:val="single" w:sz="4" w:space="1" w:color="auto"/>
          <w:right w:val="single" w:sz="4" w:space="4" w:color="auto"/>
        </w:pBdr>
        <w:spacing w:before="100"/>
        <w:rPr>
          <w:rFonts w:ascii="Arial" w:hAnsi="Arial" w:cs="Arial"/>
          <w:b/>
          <w:bCs/>
        </w:rPr>
      </w:pPr>
      <w:hyperlink w:anchor="_2.2_Judicial_&amp;" w:history="1">
        <w:r w:rsidRPr="00A21C16">
          <w:rPr>
            <w:rStyle w:val="Hyperlink"/>
            <w:rFonts w:ascii="Arial" w:hAnsi="Arial" w:cs="Arial"/>
            <w:b/>
            <w:bCs/>
            <w:u w:val="none"/>
          </w:rPr>
          <w:t>2.2</w:t>
        </w:r>
        <w:r w:rsidRPr="00A21C16">
          <w:rPr>
            <w:rStyle w:val="Hyperlink"/>
            <w:rFonts w:ascii="Arial" w:hAnsi="Arial" w:cs="Arial"/>
            <w:b/>
            <w:bCs/>
            <w:u w:val="none"/>
          </w:rPr>
          <w:tab/>
          <w:t xml:space="preserve">Judicial &amp; </w:t>
        </w:r>
        <w:r w:rsidR="00C444AC">
          <w:rPr>
            <w:rStyle w:val="Hyperlink"/>
            <w:rFonts w:ascii="Arial" w:hAnsi="Arial" w:cs="Arial"/>
            <w:b/>
            <w:bCs/>
            <w:u w:val="none"/>
          </w:rPr>
          <w:t>A</w:t>
        </w:r>
        <w:r w:rsidRPr="00A21C16">
          <w:rPr>
            <w:rStyle w:val="Hyperlink"/>
            <w:rFonts w:ascii="Arial" w:hAnsi="Arial" w:cs="Arial"/>
            <w:b/>
            <w:bCs/>
            <w:u w:val="none"/>
          </w:rPr>
          <w:t>dministrative officers of the Court</w:t>
        </w:r>
      </w:hyperlink>
    </w:p>
    <w:p w14:paraId="298DCCBE" w14:textId="51A5466F" w:rsidR="00277B85" w:rsidRPr="00352DEB" w:rsidRDefault="00277B85" w:rsidP="004F4C22">
      <w:pPr>
        <w:pBdr>
          <w:top w:val="single" w:sz="4" w:space="1" w:color="auto"/>
          <w:left w:val="single" w:sz="4" w:space="4" w:color="auto"/>
          <w:bottom w:val="single" w:sz="4" w:space="1" w:color="auto"/>
          <w:right w:val="single" w:sz="4" w:space="4" w:color="auto"/>
        </w:pBdr>
        <w:spacing w:before="100"/>
        <w:rPr>
          <w:rFonts w:ascii="Arial" w:hAnsi="Arial" w:cs="Arial"/>
          <w:b/>
          <w:bCs/>
        </w:rPr>
      </w:pPr>
      <w:hyperlink w:anchor="_2.3_Organisational_structure" w:history="1">
        <w:r w:rsidRPr="00352DEB">
          <w:rPr>
            <w:rStyle w:val="Hyperlink"/>
            <w:rFonts w:ascii="Arial" w:hAnsi="Arial" w:cs="Arial"/>
            <w:b/>
            <w:bCs/>
            <w:u w:val="none"/>
          </w:rPr>
          <w:t>2.3</w:t>
        </w:r>
        <w:r w:rsidRPr="00352DEB">
          <w:rPr>
            <w:rStyle w:val="Hyperlink"/>
            <w:rFonts w:ascii="Arial" w:hAnsi="Arial" w:cs="Arial"/>
            <w:b/>
            <w:bCs/>
            <w:u w:val="none"/>
          </w:rPr>
          <w:tab/>
          <w:t xml:space="preserve">Organisational </w:t>
        </w:r>
        <w:r w:rsidR="0093162A" w:rsidRPr="00352DEB">
          <w:rPr>
            <w:rStyle w:val="Hyperlink"/>
            <w:rFonts w:ascii="Arial" w:hAnsi="Arial" w:cs="Arial"/>
            <w:b/>
            <w:bCs/>
            <w:u w:val="none"/>
          </w:rPr>
          <w:t>S</w:t>
        </w:r>
        <w:r w:rsidRPr="00352DEB">
          <w:rPr>
            <w:rStyle w:val="Hyperlink"/>
            <w:rFonts w:ascii="Arial" w:hAnsi="Arial" w:cs="Arial"/>
            <w:b/>
            <w:bCs/>
            <w:u w:val="none"/>
          </w:rPr>
          <w:t xml:space="preserve">tructure of the Children's Court </w:t>
        </w:r>
        <w:r w:rsidR="00352DEB" w:rsidRPr="00352DEB">
          <w:rPr>
            <w:rStyle w:val="Hyperlink"/>
            <w:rFonts w:ascii="Arial" w:hAnsi="Arial" w:cs="Arial"/>
            <w:b/>
            <w:bCs/>
            <w:u w:val="none"/>
          </w:rPr>
          <w:t>at Melbourne</w:t>
        </w:r>
      </w:hyperlink>
    </w:p>
    <w:p w14:paraId="3FF44CFF" w14:textId="77777777" w:rsidR="00277B85" w:rsidRPr="00A21C16" w:rsidRDefault="00277B85" w:rsidP="004F4C22">
      <w:pPr>
        <w:pBdr>
          <w:top w:val="single" w:sz="4" w:space="1" w:color="auto"/>
          <w:left w:val="single" w:sz="4" w:space="4" w:color="auto"/>
          <w:bottom w:val="single" w:sz="4" w:space="1" w:color="auto"/>
          <w:right w:val="single" w:sz="4" w:space="4" w:color="auto"/>
        </w:pBdr>
        <w:spacing w:before="100"/>
        <w:rPr>
          <w:rFonts w:ascii="Arial" w:hAnsi="Arial" w:cs="Arial"/>
          <w:b/>
          <w:bCs/>
        </w:rPr>
      </w:pPr>
      <w:hyperlink w:anchor="_2.4_Divisions_of" w:history="1">
        <w:r w:rsidRPr="00A21C16">
          <w:rPr>
            <w:rStyle w:val="Hyperlink"/>
            <w:rFonts w:ascii="Arial" w:hAnsi="Arial" w:cs="Arial"/>
            <w:b/>
            <w:bCs/>
            <w:u w:val="none"/>
          </w:rPr>
          <w:t>2.4</w:t>
        </w:r>
        <w:r w:rsidRPr="00A21C16">
          <w:rPr>
            <w:rStyle w:val="Hyperlink"/>
            <w:rFonts w:ascii="Arial" w:hAnsi="Arial" w:cs="Arial"/>
            <w:b/>
            <w:bCs/>
            <w:u w:val="none"/>
          </w:rPr>
          <w:tab/>
          <w:t>Divisions of the Court</w:t>
        </w:r>
      </w:hyperlink>
    </w:p>
    <w:p w14:paraId="4BFE85EE" w14:textId="4E990750" w:rsidR="006E4705" w:rsidRPr="00A21C16" w:rsidRDefault="006E4705" w:rsidP="006E4705">
      <w:pPr>
        <w:pBdr>
          <w:top w:val="single" w:sz="4" w:space="1" w:color="auto"/>
          <w:left w:val="single" w:sz="4" w:space="4" w:color="auto"/>
          <w:bottom w:val="single" w:sz="4" w:space="1" w:color="auto"/>
          <w:right w:val="single" w:sz="4" w:space="4" w:color="auto"/>
        </w:pBdr>
        <w:spacing w:before="100"/>
        <w:rPr>
          <w:rFonts w:ascii="Arial" w:hAnsi="Arial" w:cs="Arial"/>
          <w:b/>
          <w:bCs/>
        </w:rPr>
      </w:pPr>
      <w:hyperlink w:anchor="_2.4A_Children’s_Court" w:history="1">
        <w:r w:rsidRPr="00A21C16">
          <w:rPr>
            <w:rStyle w:val="Hyperlink"/>
            <w:rFonts w:ascii="Arial" w:hAnsi="Arial" w:cs="Arial"/>
            <w:b/>
            <w:bCs/>
            <w:u w:val="none"/>
          </w:rPr>
          <w:t>2.4</w:t>
        </w:r>
        <w:r>
          <w:rPr>
            <w:rStyle w:val="Hyperlink"/>
            <w:rFonts w:ascii="Arial" w:hAnsi="Arial" w:cs="Arial"/>
            <w:b/>
            <w:bCs/>
            <w:u w:val="none"/>
          </w:rPr>
          <w:t>A</w:t>
        </w:r>
        <w:r w:rsidRPr="00A21C16">
          <w:rPr>
            <w:rStyle w:val="Hyperlink"/>
            <w:rFonts w:ascii="Arial" w:hAnsi="Arial" w:cs="Arial"/>
            <w:b/>
            <w:bCs/>
            <w:u w:val="none"/>
          </w:rPr>
          <w:tab/>
        </w:r>
        <w:r>
          <w:rPr>
            <w:rStyle w:val="Hyperlink"/>
            <w:rFonts w:ascii="Arial" w:hAnsi="Arial" w:cs="Arial"/>
            <w:b/>
            <w:bCs/>
            <w:u w:val="none"/>
          </w:rPr>
          <w:t>Children’s Court of Victoria processing &amp; finalisation statistics</w:t>
        </w:r>
      </w:hyperlink>
    </w:p>
    <w:p w14:paraId="1A3AA06A" w14:textId="78627A04" w:rsidR="00277B85" w:rsidRPr="00A21C16" w:rsidRDefault="00277B85" w:rsidP="004F4C22">
      <w:pPr>
        <w:pBdr>
          <w:top w:val="single" w:sz="4" w:space="1" w:color="auto"/>
          <w:left w:val="single" w:sz="4" w:space="4" w:color="auto"/>
          <w:bottom w:val="single" w:sz="4" w:space="1" w:color="auto"/>
          <w:right w:val="single" w:sz="4" w:space="4" w:color="auto"/>
        </w:pBdr>
        <w:spacing w:before="100"/>
        <w:rPr>
          <w:rFonts w:ascii="Arial" w:hAnsi="Arial" w:cs="Arial"/>
          <w:b/>
          <w:bCs/>
        </w:rPr>
      </w:pPr>
      <w:hyperlink w:anchor="_2.5_Venues_of" w:history="1">
        <w:r w:rsidRPr="00A21C16">
          <w:rPr>
            <w:rStyle w:val="Hyperlink"/>
            <w:rFonts w:ascii="Arial" w:hAnsi="Arial" w:cs="Arial"/>
            <w:b/>
            <w:bCs/>
            <w:u w:val="none"/>
          </w:rPr>
          <w:t>2.5</w:t>
        </w:r>
        <w:r w:rsidRPr="00A21C16">
          <w:rPr>
            <w:rStyle w:val="Hyperlink"/>
            <w:rFonts w:ascii="Arial" w:hAnsi="Arial" w:cs="Arial"/>
            <w:b/>
            <w:bCs/>
            <w:u w:val="none"/>
          </w:rPr>
          <w:tab/>
          <w:t>Venues of the Court</w:t>
        </w:r>
      </w:hyperlink>
    </w:p>
    <w:p w14:paraId="35958EA5" w14:textId="44C6F72C" w:rsidR="00962CA3" w:rsidRPr="00962CA3" w:rsidRDefault="00962CA3" w:rsidP="00962CA3">
      <w:pPr>
        <w:pBdr>
          <w:top w:val="single" w:sz="4" w:space="1" w:color="auto"/>
          <w:left w:val="single" w:sz="4" w:space="4" w:color="auto"/>
          <w:bottom w:val="single" w:sz="4" w:space="1" w:color="auto"/>
          <w:right w:val="single" w:sz="4" w:space="4" w:color="auto"/>
        </w:pBdr>
        <w:spacing w:before="60"/>
        <w:rPr>
          <w:rFonts w:ascii="Arial" w:hAnsi="Arial" w:cs="Arial"/>
          <w:b/>
          <w:bCs/>
          <w:sz w:val="20"/>
        </w:rPr>
      </w:pPr>
      <w:hyperlink w:anchor="_2.5.1_Sections_505" w:history="1">
        <w:r w:rsidRPr="00962CA3">
          <w:rPr>
            <w:rStyle w:val="Hyperlink"/>
            <w:rFonts w:ascii="Arial" w:hAnsi="Arial" w:cs="Arial"/>
            <w:b/>
            <w:bCs/>
            <w:sz w:val="20"/>
            <w:u w:val="none"/>
          </w:rPr>
          <w:tab/>
          <w:t>2.5.1</w:t>
        </w:r>
        <w:r w:rsidRPr="00962CA3">
          <w:rPr>
            <w:rStyle w:val="Hyperlink"/>
            <w:rFonts w:ascii="Arial" w:hAnsi="Arial" w:cs="Arial"/>
            <w:b/>
            <w:bCs/>
            <w:sz w:val="20"/>
            <w:u w:val="none"/>
          </w:rPr>
          <w:tab/>
          <w:t>Sections 505 &amp; 505A of the CYFA</w:t>
        </w:r>
      </w:hyperlink>
    </w:p>
    <w:p w14:paraId="458E21C3" w14:textId="6CC34422" w:rsidR="00962CA3" w:rsidRPr="00077D71" w:rsidRDefault="00962CA3" w:rsidP="00962CA3">
      <w:pPr>
        <w:pBdr>
          <w:top w:val="single" w:sz="4" w:space="1" w:color="auto"/>
          <w:left w:val="single" w:sz="4" w:space="4" w:color="auto"/>
          <w:bottom w:val="single" w:sz="4" w:space="1" w:color="auto"/>
          <w:right w:val="single" w:sz="4" w:space="4" w:color="auto"/>
        </w:pBdr>
        <w:rPr>
          <w:rStyle w:val="Hyperlink"/>
          <w:rFonts w:ascii="Arial" w:hAnsi="Arial" w:cs="Arial"/>
          <w:b/>
          <w:bCs/>
          <w:sz w:val="20"/>
          <w:u w:val="none"/>
        </w:rPr>
      </w:pPr>
      <w:r w:rsidRPr="00077D71">
        <w:rPr>
          <w:rFonts w:ascii="Arial" w:hAnsi="Arial" w:cs="Arial"/>
          <w:b/>
          <w:bCs/>
          <w:sz w:val="20"/>
        </w:rPr>
        <w:fldChar w:fldCharType="begin"/>
      </w:r>
      <w:r w:rsidRPr="00077D71">
        <w:rPr>
          <w:rFonts w:ascii="Arial" w:hAnsi="Arial" w:cs="Arial"/>
          <w:b/>
          <w:bCs/>
          <w:sz w:val="20"/>
        </w:rPr>
        <w:instrText xml:space="preserve"> HYPERLINK  \l "_2.5.2_Current_Victorian" </w:instrText>
      </w:r>
      <w:r w:rsidRPr="00077D71">
        <w:rPr>
          <w:rFonts w:ascii="Arial" w:hAnsi="Arial" w:cs="Arial"/>
          <w:b/>
          <w:bCs/>
          <w:sz w:val="20"/>
        </w:rPr>
      </w:r>
      <w:r w:rsidRPr="00077D71">
        <w:rPr>
          <w:rFonts w:ascii="Arial" w:hAnsi="Arial" w:cs="Arial"/>
          <w:b/>
          <w:bCs/>
          <w:sz w:val="20"/>
        </w:rPr>
        <w:fldChar w:fldCharType="separate"/>
      </w:r>
      <w:r w:rsidRPr="00077D71">
        <w:rPr>
          <w:rStyle w:val="Hyperlink"/>
          <w:rFonts w:ascii="Arial" w:hAnsi="Arial" w:cs="Arial"/>
          <w:b/>
          <w:bCs/>
          <w:sz w:val="20"/>
          <w:u w:val="none"/>
        </w:rPr>
        <w:tab/>
        <w:t>2.5.2</w:t>
      </w:r>
      <w:r w:rsidRPr="00077D71">
        <w:rPr>
          <w:rStyle w:val="Hyperlink"/>
          <w:rFonts w:ascii="Arial" w:hAnsi="Arial" w:cs="Arial"/>
          <w:b/>
          <w:bCs/>
          <w:sz w:val="20"/>
          <w:u w:val="none"/>
        </w:rPr>
        <w:tab/>
        <w:t>Victorian Children’s Court venues</w:t>
      </w:r>
    </w:p>
    <w:p w14:paraId="78B21D2A" w14:textId="04F0618D" w:rsidR="00962CA3" w:rsidRPr="006541FB" w:rsidRDefault="00962CA3" w:rsidP="00962CA3">
      <w:pPr>
        <w:pBdr>
          <w:top w:val="single" w:sz="4" w:space="1" w:color="auto"/>
          <w:left w:val="single" w:sz="4" w:space="4" w:color="auto"/>
          <w:bottom w:val="single" w:sz="4" w:space="1" w:color="auto"/>
          <w:right w:val="single" w:sz="4" w:space="4" w:color="auto"/>
        </w:pBdr>
        <w:rPr>
          <w:rStyle w:val="Hyperlink"/>
          <w:rFonts w:ascii="Arial" w:hAnsi="Arial" w:cs="Arial"/>
          <w:b/>
          <w:bCs/>
          <w:sz w:val="20"/>
          <w:u w:val="none"/>
        </w:rPr>
      </w:pPr>
      <w:r w:rsidRPr="00077D71">
        <w:rPr>
          <w:rFonts w:ascii="Arial" w:hAnsi="Arial" w:cs="Arial"/>
          <w:b/>
          <w:bCs/>
          <w:sz w:val="20"/>
        </w:rPr>
        <w:fldChar w:fldCharType="end"/>
      </w:r>
      <w:r w:rsidR="00077D71" w:rsidRPr="006541FB">
        <w:rPr>
          <w:rFonts w:ascii="Arial" w:hAnsi="Arial" w:cs="Arial"/>
          <w:b/>
          <w:bCs/>
          <w:sz w:val="20"/>
        </w:rPr>
        <w:fldChar w:fldCharType="begin"/>
      </w:r>
      <w:r w:rsidR="00077D71" w:rsidRPr="006541FB">
        <w:rPr>
          <w:rFonts w:ascii="Arial" w:hAnsi="Arial" w:cs="Arial"/>
          <w:b/>
          <w:bCs/>
          <w:sz w:val="20"/>
        </w:rPr>
        <w:instrText xml:space="preserve"> HYPERLINK  \l "_2.5.3_Children’s_Court" </w:instrText>
      </w:r>
      <w:r w:rsidR="00077D71" w:rsidRPr="006541FB">
        <w:rPr>
          <w:rFonts w:ascii="Arial" w:hAnsi="Arial" w:cs="Arial"/>
          <w:b/>
          <w:bCs/>
          <w:sz w:val="20"/>
        </w:rPr>
      </w:r>
      <w:r w:rsidR="00077D71" w:rsidRPr="006541FB">
        <w:rPr>
          <w:rFonts w:ascii="Arial" w:hAnsi="Arial" w:cs="Arial"/>
          <w:b/>
          <w:bCs/>
          <w:sz w:val="20"/>
        </w:rPr>
        <w:fldChar w:fldCharType="separate"/>
      </w:r>
      <w:r w:rsidRPr="006541FB">
        <w:rPr>
          <w:rStyle w:val="Hyperlink"/>
          <w:rFonts w:ascii="Arial" w:hAnsi="Arial" w:cs="Arial"/>
          <w:b/>
          <w:bCs/>
          <w:sz w:val="20"/>
          <w:u w:val="none"/>
        </w:rPr>
        <w:tab/>
        <w:t>2.5.3</w:t>
      </w:r>
      <w:r w:rsidRPr="006541FB">
        <w:rPr>
          <w:rStyle w:val="Hyperlink"/>
          <w:rFonts w:ascii="Arial" w:hAnsi="Arial" w:cs="Arial"/>
          <w:b/>
          <w:bCs/>
          <w:sz w:val="20"/>
          <w:u w:val="none"/>
        </w:rPr>
        <w:tab/>
      </w:r>
      <w:r w:rsidR="00077D71" w:rsidRPr="006541FB">
        <w:rPr>
          <w:rStyle w:val="Hyperlink"/>
          <w:rFonts w:ascii="Arial" w:hAnsi="Arial" w:cs="Arial"/>
          <w:b/>
          <w:bCs/>
          <w:sz w:val="20"/>
          <w:u w:val="none"/>
        </w:rPr>
        <w:t xml:space="preserve">Children’s Court </w:t>
      </w:r>
      <w:r w:rsidR="001922E5" w:rsidRPr="006541FB">
        <w:rPr>
          <w:rStyle w:val="Hyperlink"/>
          <w:rFonts w:ascii="Arial" w:hAnsi="Arial" w:cs="Arial"/>
          <w:b/>
          <w:bCs/>
          <w:sz w:val="20"/>
          <w:u w:val="none"/>
        </w:rPr>
        <w:t xml:space="preserve">Weekend </w:t>
      </w:r>
      <w:r w:rsidR="00077D71" w:rsidRPr="006541FB">
        <w:rPr>
          <w:rStyle w:val="Hyperlink"/>
          <w:rFonts w:ascii="Arial" w:hAnsi="Arial" w:cs="Arial"/>
          <w:b/>
          <w:bCs/>
          <w:sz w:val="20"/>
          <w:u w:val="none"/>
        </w:rPr>
        <w:t>Online Remand Court [WORC]</w:t>
      </w:r>
    </w:p>
    <w:p w14:paraId="74C38277" w14:textId="1183E612" w:rsidR="00827F9A" w:rsidRPr="006541FB" w:rsidRDefault="00077D71" w:rsidP="00827F9A">
      <w:pPr>
        <w:pBdr>
          <w:top w:val="single" w:sz="4" w:space="1" w:color="auto"/>
          <w:left w:val="single" w:sz="4" w:space="4" w:color="auto"/>
          <w:bottom w:val="single" w:sz="4" w:space="1" w:color="auto"/>
          <w:right w:val="single" w:sz="4" w:space="4" w:color="auto"/>
        </w:pBdr>
        <w:rPr>
          <w:rFonts w:ascii="Arial" w:hAnsi="Arial" w:cs="Arial"/>
          <w:b/>
          <w:bCs/>
          <w:sz w:val="20"/>
        </w:rPr>
      </w:pPr>
      <w:r w:rsidRPr="006541FB">
        <w:rPr>
          <w:rFonts w:ascii="Arial" w:hAnsi="Arial" w:cs="Arial"/>
          <w:b/>
          <w:bCs/>
          <w:sz w:val="20"/>
        </w:rPr>
        <w:fldChar w:fldCharType="end"/>
      </w:r>
      <w:hyperlink w:anchor="_2.5.4_The_Court" w:history="1">
        <w:r w:rsidR="00827F9A" w:rsidRPr="006541FB">
          <w:rPr>
            <w:rStyle w:val="Hyperlink"/>
            <w:rFonts w:ascii="Arial" w:hAnsi="Arial" w:cs="Arial"/>
            <w:b/>
            <w:bCs/>
            <w:sz w:val="20"/>
            <w:u w:val="none"/>
          </w:rPr>
          <w:tab/>
          <w:t>2.5.4</w:t>
        </w:r>
        <w:r w:rsidR="00827F9A" w:rsidRPr="006541FB">
          <w:rPr>
            <w:rStyle w:val="Hyperlink"/>
            <w:rFonts w:ascii="Arial" w:hAnsi="Arial" w:cs="Arial"/>
            <w:b/>
            <w:bCs/>
            <w:sz w:val="20"/>
            <w:u w:val="none"/>
          </w:rPr>
          <w:tab/>
          <w:t>The Court Security Act 1980</w:t>
        </w:r>
      </w:hyperlink>
    </w:p>
    <w:p w14:paraId="5628CAD0" w14:textId="0B710F83" w:rsidR="00277B85" w:rsidRPr="00A21C16" w:rsidRDefault="00277B85" w:rsidP="004F4C22">
      <w:pPr>
        <w:pBdr>
          <w:top w:val="single" w:sz="4" w:space="1" w:color="auto"/>
          <w:left w:val="single" w:sz="4" w:space="4" w:color="auto"/>
          <w:bottom w:val="single" w:sz="4" w:space="1" w:color="auto"/>
          <w:right w:val="single" w:sz="4" w:space="4" w:color="auto"/>
        </w:pBdr>
        <w:spacing w:before="100"/>
        <w:rPr>
          <w:rFonts w:ascii="Arial" w:hAnsi="Arial" w:cs="Arial"/>
          <w:b/>
          <w:bCs/>
        </w:rPr>
      </w:pPr>
      <w:hyperlink w:anchor="_2.6_A_specialist" w:history="1">
        <w:r w:rsidRPr="00A21C16">
          <w:rPr>
            <w:rStyle w:val="Hyperlink"/>
            <w:rFonts w:ascii="Arial" w:hAnsi="Arial" w:cs="Arial"/>
            <w:b/>
            <w:bCs/>
            <w:u w:val="none"/>
          </w:rPr>
          <w:t>2.6</w:t>
        </w:r>
        <w:r w:rsidRPr="00A21C16">
          <w:rPr>
            <w:rStyle w:val="Hyperlink"/>
            <w:rFonts w:ascii="Arial" w:hAnsi="Arial" w:cs="Arial"/>
            <w:b/>
            <w:bCs/>
            <w:u w:val="none"/>
          </w:rPr>
          <w:tab/>
          <w:t>A specialist court</w:t>
        </w:r>
      </w:hyperlink>
    </w:p>
    <w:p w14:paraId="75F97243" w14:textId="41EFCC59" w:rsidR="00277B85" w:rsidRPr="00A21C16" w:rsidRDefault="00277B85" w:rsidP="004F4C22">
      <w:pPr>
        <w:pBdr>
          <w:top w:val="single" w:sz="4" w:space="1" w:color="auto"/>
          <w:left w:val="single" w:sz="4" w:space="4" w:color="auto"/>
          <w:bottom w:val="single" w:sz="4" w:space="1" w:color="auto"/>
          <w:right w:val="single" w:sz="4" w:space="4" w:color="auto"/>
        </w:pBdr>
        <w:spacing w:before="100"/>
        <w:rPr>
          <w:rFonts w:ascii="Arial" w:hAnsi="Arial" w:cs="Arial"/>
          <w:b/>
          <w:bCs/>
        </w:rPr>
      </w:pPr>
      <w:hyperlink w:anchor="_2.7_The_Court_1" w:history="1">
        <w:r w:rsidRPr="00A21C16">
          <w:rPr>
            <w:rStyle w:val="Hyperlink"/>
            <w:rFonts w:ascii="Arial" w:hAnsi="Arial" w:cs="Arial"/>
            <w:b/>
            <w:bCs/>
            <w:u w:val="none"/>
          </w:rPr>
          <w:t>2.7</w:t>
        </w:r>
        <w:r w:rsidRPr="00A21C16">
          <w:rPr>
            <w:rStyle w:val="Hyperlink"/>
            <w:rFonts w:ascii="Arial" w:hAnsi="Arial" w:cs="Arial"/>
            <w:b/>
            <w:bCs/>
            <w:u w:val="none"/>
          </w:rPr>
          <w:tab/>
          <w:t>The Court is generally open to the public</w:t>
        </w:r>
      </w:hyperlink>
    </w:p>
    <w:p w14:paraId="7DA17956" w14:textId="7B9BCBEE" w:rsidR="005619BF" w:rsidRPr="00A21C16" w:rsidRDefault="005619BF" w:rsidP="005619BF">
      <w:pPr>
        <w:pBdr>
          <w:top w:val="single" w:sz="4" w:space="1" w:color="auto"/>
          <w:left w:val="single" w:sz="4" w:space="4" w:color="auto"/>
          <w:bottom w:val="single" w:sz="4" w:space="1" w:color="auto"/>
          <w:right w:val="single" w:sz="4" w:space="4" w:color="auto"/>
        </w:pBdr>
        <w:spacing w:before="60"/>
        <w:rPr>
          <w:rFonts w:ascii="Arial" w:hAnsi="Arial" w:cs="Arial"/>
          <w:b/>
          <w:bCs/>
          <w:sz w:val="20"/>
        </w:rPr>
      </w:pPr>
      <w:hyperlink w:anchor="_2.7.1_Section_523_1" w:history="1">
        <w:r w:rsidRPr="00A21C16">
          <w:rPr>
            <w:rStyle w:val="Hyperlink"/>
            <w:rFonts w:ascii="Arial" w:hAnsi="Arial" w:cs="Arial"/>
            <w:b/>
            <w:bCs/>
            <w:sz w:val="20"/>
            <w:u w:val="none"/>
          </w:rPr>
          <w:tab/>
          <w:t>2.7.1</w:t>
        </w:r>
        <w:r w:rsidRPr="00A21C16">
          <w:rPr>
            <w:rStyle w:val="Hyperlink"/>
            <w:rFonts w:ascii="Arial" w:hAnsi="Arial" w:cs="Arial"/>
            <w:b/>
            <w:bCs/>
            <w:sz w:val="20"/>
            <w:u w:val="none"/>
          </w:rPr>
          <w:tab/>
          <w:t>Section 523 of the CYF</w:t>
        </w:r>
        <w:r w:rsidR="00455703">
          <w:rPr>
            <w:rStyle w:val="Hyperlink"/>
            <w:rFonts w:ascii="Arial" w:hAnsi="Arial" w:cs="Arial"/>
            <w:b/>
            <w:bCs/>
            <w:sz w:val="20"/>
            <w:u w:val="none"/>
          </w:rPr>
          <w:t xml:space="preserve">A and sections 8A &amp; 8B of the </w:t>
        </w:r>
        <w:r w:rsidR="00455703" w:rsidRPr="004C64DA">
          <w:rPr>
            <w:rStyle w:val="Hyperlink"/>
            <w:rFonts w:ascii="Arial" w:hAnsi="Arial" w:cs="Arial"/>
            <w:b/>
            <w:bCs/>
            <w:sz w:val="20"/>
            <w:u w:val="none"/>
          </w:rPr>
          <w:t>Open Courts Act 2013</w:t>
        </w:r>
      </w:hyperlink>
    </w:p>
    <w:p w14:paraId="36B8C1F8" w14:textId="63FC8D5F" w:rsidR="005619BF" w:rsidRPr="00541057" w:rsidRDefault="005619BF" w:rsidP="005619BF">
      <w:pPr>
        <w:pBdr>
          <w:top w:val="single" w:sz="4" w:space="1" w:color="auto"/>
          <w:left w:val="single" w:sz="4" w:space="4" w:color="auto"/>
          <w:bottom w:val="single" w:sz="4" w:space="1" w:color="auto"/>
          <w:right w:val="single" w:sz="4" w:space="4" w:color="auto"/>
        </w:pBdr>
        <w:rPr>
          <w:rFonts w:ascii="Arial" w:hAnsi="Arial" w:cs="Arial"/>
          <w:b/>
          <w:bCs/>
          <w:sz w:val="20"/>
        </w:rPr>
      </w:pPr>
      <w:hyperlink w:anchor="_2.7.2_Sections_28" w:history="1">
        <w:r w:rsidRPr="00541057">
          <w:rPr>
            <w:rStyle w:val="Hyperlink"/>
            <w:rFonts w:ascii="Arial" w:hAnsi="Arial" w:cs="Arial"/>
            <w:b/>
            <w:bCs/>
            <w:sz w:val="20"/>
            <w:u w:val="none"/>
          </w:rPr>
          <w:tab/>
          <w:t>2.7.2</w:t>
        </w:r>
        <w:r w:rsidRPr="00541057">
          <w:rPr>
            <w:rStyle w:val="Hyperlink"/>
            <w:rFonts w:ascii="Arial" w:hAnsi="Arial" w:cs="Arial"/>
            <w:b/>
            <w:bCs/>
            <w:sz w:val="20"/>
            <w:u w:val="none"/>
          </w:rPr>
          <w:tab/>
        </w:r>
        <w:r w:rsidR="00755FF0" w:rsidRPr="00541057">
          <w:rPr>
            <w:rStyle w:val="Hyperlink"/>
            <w:rFonts w:ascii="Arial" w:hAnsi="Arial" w:cs="Arial"/>
            <w:b/>
            <w:bCs/>
            <w:sz w:val="20"/>
            <w:u w:val="none"/>
          </w:rPr>
          <w:t>Sections 28</w:t>
        </w:r>
        <w:r w:rsidR="00586426">
          <w:rPr>
            <w:rStyle w:val="Hyperlink"/>
            <w:rFonts w:ascii="Arial" w:hAnsi="Arial" w:cs="Arial"/>
            <w:b/>
            <w:bCs/>
            <w:sz w:val="20"/>
            <w:u w:val="none"/>
          </w:rPr>
          <w:t>-</w:t>
        </w:r>
        <w:r w:rsidR="00755FF0" w:rsidRPr="00541057">
          <w:rPr>
            <w:rStyle w:val="Hyperlink"/>
            <w:rFonts w:ascii="Arial" w:hAnsi="Arial" w:cs="Arial"/>
            <w:b/>
            <w:bCs/>
            <w:sz w:val="20"/>
            <w:u w:val="none"/>
          </w:rPr>
          <w:t xml:space="preserve">30 </w:t>
        </w:r>
        <w:r w:rsidRPr="004C64DA">
          <w:rPr>
            <w:rStyle w:val="Hyperlink"/>
            <w:rFonts w:ascii="Arial" w:hAnsi="Arial" w:cs="Arial"/>
            <w:b/>
            <w:bCs/>
            <w:sz w:val="20"/>
            <w:u w:val="none"/>
          </w:rPr>
          <w:t>Open Courts Act 201</w:t>
        </w:r>
        <w:r w:rsidR="00586426" w:rsidRPr="004C64DA">
          <w:rPr>
            <w:rStyle w:val="Hyperlink"/>
            <w:rFonts w:ascii="Arial" w:hAnsi="Arial" w:cs="Arial"/>
            <w:b/>
            <w:bCs/>
            <w:sz w:val="20"/>
            <w:u w:val="none"/>
          </w:rPr>
          <w:t>3</w:t>
        </w:r>
        <w:r w:rsidR="00586426">
          <w:rPr>
            <w:rStyle w:val="Hyperlink"/>
            <w:rFonts w:ascii="Arial" w:hAnsi="Arial" w:cs="Arial"/>
            <w:b/>
            <w:bCs/>
            <w:sz w:val="20"/>
            <w:u w:val="none"/>
          </w:rPr>
          <w:t xml:space="preserve"> and s.93.2 </w:t>
        </w:r>
        <w:r w:rsidR="00586426" w:rsidRPr="004C64DA">
          <w:rPr>
            <w:rStyle w:val="Hyperlink"/>
            <w:rFonts w:ascii="Arial" w:hAnsi="Arial" w:cs="Arial"/>
            <w:b/>
            <w:bCs/>
            <w:sz w:val="20"/>
            <w:u w:val="none"/>
          </w:rPr>
          <w:t>Criminal Code Act 1995</w:t>
        </w:r>
        <w:r w:rsidR="00586426">
          <w:rPr>
            <w:rStyle w:val="Hyperlink"/>
            <w:rFonts w:ascii="Arial" w:hAnsi="Arial" w:cs="Arial"/>
            <w:b/>
            <w:bCs/>
            <w:i/>
            <w:iCs/>
            <w:sz w:val="20"/>
            <w:u w:val="none"/>
          </w:rPr>
          <w:t xml:space="preserve"> </w:t>
        </w:r>
        <w:r w:rsidR="00586426" w:rsidRPr="00586426">
          <w:rPr>
            <w:rStyle w:val="Hyperlink"/>
            <w:rFonts w:ascii="Arial" w:hAnsi="Arial" w:cs="Arial"/>
            <w:b/>
            <w:bCs/>
            <w:sz w:val="20"/>
            <w:u w:val="none"/>
          </w:rPr>
          <w:t>(</w:t>
        </w:r>
        <w:proofErr w:type="spellStart"/>
        <w:r w:rsidR="00586426" w:rsidRPr="00586426">
          <w:rPr>
            <w:rStyle w:val="Hyperlink"/>
            <w:rFonts w:ascii="Arial" w:hAnsi="Arial" w:cs="Arial"/>
            <w:b/>
            <w:bCs/>
            <w:sz w:val="20"/>
            <w:u w:val="none"/>
          </w:rPr>
          <w:t>Cth</w:t>
        </w:r>
        <w:proofErr w:type="spellEnd"/>
        <w:r w:rsidR="00586426" w:rsidRPr="00586426">
          <w:rPr>
            <w:rStyle w:val="Hyperlink"/>
            <w:rFonts w:ascii="Arial" w:hAnsi="Arial" w:cs="Arial"/>
            <w:b/>
            <w:bCs/>
            <w:sz w:val="20"/>
            <w:u w:val="none"/>
          </w:rPr>
          <w:t>)</w:t>
        </w:r>
      </w:hyperlink>
    </w:p>
    <w:p w14:paraId="68F605F5" w14:textId="6F960248" w:rsidR="00FE6808" w:rsidRPr="00A21C16" w:rsidRDefault="00FE6808" w:rsidP="005619BF">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2.7.3_Pseudonym_orders" w:history="1">
        <w:r w:rsidRPr="00A21C16">
          <w:rPr>
            <w:rStyle w:val="Hyperlink"/>
            <w:rFonts w:ascii="Arial" w:hAnsi="Arial" w:cs="Arial"/>
            <w:b/>
            <w:bCs/>
            <w:sz w:val="20"/>
            <w:u w:val="none"/>
          </w:rPr>
          <w:tab/>
          <w:t>2.7.3</w:t>
        </w:r>
        <w:r w:rsidRPr="00A21C16">
          <w:rPr>
            <w:rStyle w:val="Hyperlink"/>
            <w:rFonts w:ascii="Arial" w:hAnsi="Arial" w:cs="Arial"/>
            <w:b/>
            <w:bCs/>
            <w:sz w:val="20"/>
            <w:u w:val="none"/>
          </w:rPr>
          <w:tab/>
          <w:t>Pseudonym orders</w:t>
        </w:r>
      </w:hyperlink>
    </w:p>
    <w:p w14:paraId="414F710E" w14:textId="77777777" w:rsidR="00CA061D" w:rsidRPr="00D000AA" w:rsidRDefault="00F97751" w:rsidP="005619BF">
      <w:pPr>
        <w:pBdr>
          <w:top w:val="single" w:sz="4" w:space="1" w:color="auto"/>
          <w:left w:val="single" w:sz="4" w:space="4" w:color="auto"/>
          <w:bottom w:val="single" w:sz="4" w:space="1" w:color="auto"/>
          <w:right w:val="single" w:sz="4" w:space="4" w:color="auto"/>
        </w:pBdr>
        <w:rPr>
          <w:rStyle w:val="Hyperlink"/>
          <w:rFonts w:ascii="Arial" w:hAnsi="Arial" w:cs="Arial"/>
          <w:b/>
          <w:bCs/>
          <w:sz w:val="20"/>
          <w:u w:val="none"/>
        </w:rPr>
      </w:pPr>
      <w:r w:rsidRPr="00D000AA">
        <w:rPr>
          <w:rFonts w:ascii="Arial" w:hAnsi="Arial" w:cs="Arial"/>
          <w:b/>
          <w:bCs/>
          <w:color w:val="000000"/>
          <w:sz w:val="20"/>
        </w:rPr>
        <w:fldChar w:fldCharType="begin"/>
      </w:r>
      <w:r w:rsidRPr="00D000AA">
        <w:rPr>
          <w:rFonts w:ascii="Arial" w:hAnsi="Arial" w:cs="Arial"/>
          <w:b/>
          <w:bCs/>
          <w:color w:val="000000"/>
          <w:sz w:val="20"/>
        </w:rPr>
        <w:instrText xml:space="preserve"> HYPERLINK  \l "_2.7.4_Media_applications" </w:instrText>
      </w:r>
      <w:r w:rsidRPr="00D000AA">
        <w:rPr>
          <w:rFonts w:ascii="Arial" w:hAnsi="Arial" w:cs="Arial"/>
          <w:b/>
          <w:bCs/>
          <w:color w:val="000000"/>
          <w:sz w:val="20"/>
        </w:rPr>
      </w:r>
      <w:r w:rsidRPr="00D000AA">
        <w:rPr>
          <w:rFonts w:ascii="Arial" w:hAnsi="Arial" w:cs="Arial"/>
          <w:b/>
          <w:bCs/>
          <w:color w:val="000000"/>
          <w:sz w:val="20"/>
        </w:rPr>
        <w:fldChar w:fldCharType="separate"/>
      </w:r>
      <w:r w:rsidR="00CA061D" w:rsidRPr="00D000AA">
        <w:rPr>
          <w:rStyle w:val="Hyperlink"/>
          <w:rFonts w:ascii="Arial" w:hAnsi="Arial" w:cs="Arial"/>
          <w:b/>
          <w:bCs/>
          <w:sz w:val="20"/>
          <w:u w:val="none"/>
        </w:rPr>
        <w:tab/>
        <w:t>2.7.4</w:t>
      </w:r>
      <w:r w:rsidR="00CA061D" w:rsidRPr="00D000AA">
        <w:rPr>
          <w:rStyle w:val="Hyperlink"/>
          <w:rFonts w:ascii="Arial" w:hAnsi="Arial" w:cs="Arial"/>
          <w:b/>
          <w:bCs/>
          <w:sz w:val="20"/>
          <w:u w:val="none"/>
        </w:rPr>
        <w:tab/>
        <w:t>M</w:t>
      </w:r>
      <w:r w:rsidR="00236EE0" w:rsidRPr="00D000AA">
        <w:rPr>
          <w:rStyle w:val="Hyperlink"/>
          <w:rFonts w:ascii="Arial" w:hAnsi="Arial" w:cs="Arial"/>
          <w:b/>
          <w:bCs/>
          <w:sz w:val="20"/>
          <w:u w:val="none"/>
        </w:rPr>
        <w:t xml:space="preserve">edia applications for </w:t>
      </w:r>
      <w:r w:rsidR="00CA061D" w:rsidRPr="00D000AA">
        <w:rPr>
          <w:rStyle w:val="Hyperlink"/>
          <w:rFonts w:ascii="Arial" w:hAnsi="Arial" w:cs="Arial"/>
          <w:b/>
          <w:bCs/>
          <w:sz w:val="20"/>
          <w:u w:val="none"/>
        </w:rPr>
        <w:t>copies of court documents</w:t>
      </w:r>
      <w:r w:rsidRPr="00D000AA">
        <w:rPr>
          <w:rStyle w:val="Hyperlink"/>
          <w:rFonts w:ascii="Arial" w:hAnsi="Arial" w:cs="Arial"/>
          <w:b/>
          <w:bCs/>
          <w:sz w:val="20"/>
          <w:u w:val="none"/>
        </w:rPr>
        <w:t xml:space="preserve"> in Criminal Division cases</w:t>
      </w:r>
    </w:p>
    <w:p w14:paraId="1FB0F2E4" w14:textId="77777777" w:rsidR="00236EE0" w:rsidRPr="00D000AA" w:rsidRDefault="00F97751" w:rsidP="00236EE0">
      <w:pPr>
        <w:pBdr>
          <w:top w:val="single" w:sz="4" w:space="1" w:color="auto"/>
          <w:left w:val="single" w:sz="4" w:space="4" w:color="auto"/>
          <w:bottom w:val="single" w:sz="4" w:space="1" w:color="auto"/>
          <w:right w:val="single" w:sz="4" w:space="4" w:color="auto"/>
        </w:pBdr>
        <w:rPr>
          <w:rStyle w:val="Hyperlink"/>
          <w:rFonts w:ascii="Arial" w:hAnsi="Arial" w:cs="Arial"/>
          <w:b/>
          <w:bCs/>
          <w:sz w:val="20"/>
          <w:u w:val="none"/>
        </w:rPr>
      </w:pPr>
      <w:r w:rsidRPr="00D000AA">
        <w:rPr>
          <w:rFonts w:ascii="Arial" w:hAnsi="Arial" w:cs="Arial"/>
          <w:b/>
          <w:bCs/>
          <w:color w:val="000000"/>
          <w:sz w:val="20"/>
        </w:rPr>
        <w:fldChar w:fldCharType="end"/>
      </w:r>
      <w:r w:rsidR="00D000AA" w:rsidRPr="00D000AA">
        <w:rPr>
          <w:rFonts w:ascii="Arial" w:hAnsi="Arial" w:cs="Arial"/>
          <w:b/>
          <w:bCs/>
          <w:color w:val="000000"/>
          <w:sz w:val="20"/>
        </w:rPr>
        <w:fldChar w:fldCharType="begin"/>
      </w:r>
      <w:r w:rsidR="00D000AA" w:rsidRPr="00D000AA">
        <w:rPr>
          <w:rFonts w:ascii="Arial" w:hAnsi="Arial" w:cs="Arial"/>
          <w:b/>
          <w:bCs/>
          <w:color w:val="000000"/>
          <w:sz w:val="20"/>
        </w:rPr>
        <w:instrText xml:space="preserve"> HYPERLINK  \l "_2.7.5_Media_applications_1" </w:instrText>
      </w:r>
      <w:r w:rsidR="00D000AA" w:rsidRPr="00D000AA">
        <w:rPr>
          <w:rFonts w:ascii="Arial" w:hAnsi="Arial" w:cs="Arial"/>
          <w:b/>
          <w:bCs/>
          <w:color w:val="000000"/>
          <w:sz w:val="20"/>
        </w:rPr>
      </w:r>
      <w:r w:rsidR="00D000AA" w:rsidRPr="00D000AA">
        <w:rPr>
          <w:rFonts w:ascii="Arial" w:hAnsi="Arial" w:cs="Arial"/>
          <w:b/>
          <w:bCs/>
          <w:color w:val="000000"/>
          <w:sz w:val="20"/>
        </w:rPr>
        <w:fldChar w:fldCharType="separate"/>
      </w:r>
      <w:r w:rsidR="00236EE0" w:rsidRPr="00D000AA">
        <w:rPr>
          <w:rStyle w:val="Hyperlink"/>
          <w:rFonts w:ascii="Arial" w:hAnsi="Arial" w:cs="Arial"/>
          <w:b/>
          <w:bCs/>
          <w:sz w:val="20"/>
          <w:u w:val="none"/>
        </w:rPr>
        <w:tab/>
        <w:t>2.7.5</w:t>
      </w:r>
      <w:r w:rsidR="00236EE0" w:rsidRPr="00D000AA">
        <w:rPr>
          <w:rStyle w:val="Hyperlink"/>
          <w:rFonts w:ascii="Arial" w:hAnsi="Arial" w:cs="Arial"/>
          <w:b/>
          <w:bCs/>
          <w:sz w:val="20"/>
          <w:u w:val="none"/>
        </w:rPr>
        <w:tab/>
        <w:t>Media applications for copies of audio or audiovisual recordings</w:t>
      </w:r>
      <w:r w:rsidR="00D000AA" w:rsidRPr="00D000AA">
        <w:rPr>
          <w:rStyle w:val="Hyperlink"/>
          <w:rFonts w:ascii="Arial" w:hAnsi="Arial" w:cs="Arial"/>
          <w:b/>
          <w:bCs/>
          <w:sz w:val="20"/>
          <w:u w:val="none"/>
        </w:rPr>
        <w:t xml:space="preserve"> of police int’s</w:t>
      </w:r>
    </w:p>
    <w:p w14:paraId="04C26AB1" w14:textId="0A11D1FE" w:rsidR="007C31E4" w:rsidRPr="00D000AA" w:rsidRDefault="00D000AA" w:rsidP="007C31E4">
      <w:pPr>
        <w:pBdr>
          <w:top w:val="single" w:sz="4" w:space="1" w:color="auto"/>
          <w:left w:val="single" w:sz="4" w:space="4" w:color="auto"/>
          <w:bottom w:val="single" w:sz="4" w:space="1" w:color="auto"/>
          <w:right w:val="single" w:sz="4" w:space="4" w:color="auto"/>
        </w:pBdr>
        <w:rPr>
          <w:rStyle w:val="Hyperlink"/>
          <w:rFonts w:ascii="Arial" w:hAnsi="Arial" w:cs="Arial"/>
          <w:b/>
          <w:bCs/>
          <w:sz w:val="20"/>
          <w:u w:val="none"/>
        </w:rPr>
      </w:pPr>
      <w:r w:rsidRPr="00D000AA">
        <w:rPr>
          <w:rFonts w:ascii="Arial" w:hAnsi="Arial" w:cs="Arial"/>
          <w:b/>
          <w:bCs/>
          <w:color w:val="000000"/>
          <w:sz w:val="20"/>
        </w:rPr>
        <w:fldChar w:fldCharType="end"/>
      </w:r>
      <w:r w:rsidR="007C31E4" w:rsidRPr="00D000AA">
        <w:rPr>
          <w:rFonts w:ascii="Arial" w:hAnsi="Arial" w:cs="Arial"/>
          <w:b/>
          <w:bCs/>
          <w:color w:val="000000"/>
          <w:sz w:val="20"/>
        </w:rPr>
        <w:fldChar w:fldCharType="begin"/>
      </w:r>
      <w:r w:rsidR="00F24967">
        <w:rPr>
          <w:rFonts w:ascii="Arial" w:hAnsi="Arial" w:cs="Arial"/>
          <w:b/>
          <w:bCs/>
          <w:color w:val="000000"/>
          <w:sz w:val="20"/>
        </w:rPr>
        <w:instrText>HYPERLINK  \l "_2.7.6_Court_recording"</w:instrText>
      </w:r>
      <w:r w:rsidR="007C31E4" w:rsidRPr="00D000AA">
        <w:rPr>
          <w:rFonts w:ascii="Arial" w:hAnsi="Arial" w:cs="Arial"/>
          <w:b/>
          <w:bCs/>
          <w:color w:val="000000"/>
          <w:sz w:val="20"/>
        </w:rPr>
      </w:r>
      <w:r w:rsidR="007C31E4" w:rsidRPr="00D000AA">
        <w:rPr>
          <w:rFonts w:ascii="Arial" w:hAnsi="Arial" w:cs="Arial"/>
          <w:b/>
          <w:bCs/>
          <w:color w:val="000000"/>
          <w:sz w:val="20"/>
        </w:rPr>
        <w:fldChar w:fldCharType="separate"/>
      </w:r>
      <w:r w:rsidR="007C31E4" w:rsidRPr="00D000AA">
        <w:rPr>
          <w:rStyle w:val="Hyperlink"/>
          <w:rFonts w:ascii="Arial" w:hAnsi="Arial" w:cs="Arial"/>
          <w:b/>
          <w:bCs/>
          <w:sz w:val="20"/>
          <w:u w:val="none"/>
        </w:rPr>
        <w:tab/>
        <w:t>2.7.</w:t>
      </w:r>
      <w:r w:rsidR="007C31E4">
        <w:rPr>
          <w:rStyle w:val="Hyperlink"/>
          <w:rFonts w:ascii="Arial" w:hAnsi="Arial" w:cs="Arial"/>
          <w:b/>
          <w:bCs/>
          <w:sz w:val="20"/>
          <w:u w:val="none"/>
        </w:rPr>
        <w:t>6</w:t>
      </w:r>
      <w:r w:rsidR="007C31E4" w:rsidRPr="00D000AA">
        <w:rPr>
          <w:rStyle w:val="Hyperlink"/>
          <w:rFonts w:ascii="Arial" w:hAnsi="Arial" w:cs="Arial"/>
          <w:b/>
          <w:bCs/>
          <w:sz w:val="20"/>
          <w:u w:val="none"/>
        </w:rPr>
        <w:tab/>
      </w:r>
      <w:r w:rsidR="00F24967">
        <w:rPr>
          <w:rStyle w:val="Hyperlink"/>
          <w:rFonts w:ascii="Arial" w:hAnsi="Arial" w:cs="Arial"/>
          <w:b/>
          <w:bCs/>
          <w:sz w:val="20"/>
          <w:u w:val="none"/>
        </w:rPr>
        <w:t>Court r</w:t>
      </w:r>
      <w:r w:rsidR="007C31E4">
        <w:rPr>
          <w:rStyle w:val="Hyperlink"/>
          <w:rFonts w:ascii="Arial" w:hAnsi="Arial" w:cs="Arial"/>
          <w:b/>
          <w:bCs/>
          <w:sz w:val="20"/>
          <w:u w:val="none"/>
        </w:rPr>
        <w:t>ecording of proceedings in the Children’s Court</w:t>
      </w:r>
    </w:p>
    <w:p w14:paraId="15DA5E74" w14:textId="233BEAD1" w:rsidR="00402E54" w:rsidRPr="00D000AA" w:rsidRDefault="007C31E4" w:rsidP="00402E54">
      <w:pPr>
        <w:pBdr>
          <w:top w:val="single" w:sz="4" w:space="1" w:color="auto"/>
          <w:left w:val="single" w:sz="4" w:space="4" w:color="auto"/>
          <w:bottom w:val="single" w:sz="4" w:space="1" w:color="auto"/>
          <w:right w:val="single" w:sz="4" w:space="4" w:color="auto"/>
        </w:pBdr>
        <w:rPr>
          <w:rStyle w:val="Hyperlink"/>
          <w:rFonts w:ascii="Arial" w:hAnsi="Arial" w:cs="Arial"/>
          <w:b/>
          <w:bCs/>
          <w:sz w:val="20"/>
          <w:u w:val="none"/>
        </w:rPr>
      </w:pPr>
      <w:r w:rsidRPr="00D000AA">
        <w:rPr>
          <w:rFonts w:ascii="Arial" w:hAnsi="Arial" w:cs="Arial"/>
          <w:b/>
          <w:bCs/>
          <w:color w:val="000000"/>
          <w:sz w:val="20"/>
        </w:rPr>
        <w:fldChar w:fldCharType="end"/>
      </w:r>
      <w:r w:rsidR="00402E54" w:rsidRPr="00D000AA">
        <w:rPr>
          <w:rFonts w:ascii="Arial" w:hAnsi="Arial" w:cs="Arial"/>
          <w:b/>
          <w:bCs/>
          <w:color w:val="000000"/>
          <w:sz w:val="20"/>
        </w:rPr>
        <w:fldChar w:fldCharType="begin"/>
      </w:r>
      <w:r w:rsidR="00F24967">
        <w:rPr>
          <w:rFonts w:ascii="Arial" w:hAnsi="Arial" w:cs="Arial"/>
          <w:b/>
          <w:bCs/>
          <w:color w:val="000000"/>
          <w:sz w:val="20"/>
        </w:rPr>
        <w:instrText>HYPERLINK  \l "_2.7.7_Offences_under"</w:instrText>
      </w:r>
      <w:r w:rsidR="00402E54" w:rsidRPr="00D000AA">
        <w:rPr>
          <w:rFonts w:ascii="Arial" w:hAnsi="Arial" w:cs="Arial"/>
          <w:b/>
          <w:bCs/>
          <w:color w:val="000000"/>
          <w:sz w:val="20"/>
        </w:rPr>
      </w:r>
      <w:r w:rsidR="00402E54" w:rsidRPr="00D000AA">
        <w:rPr>
          <w:rFonts w:ascii="Arial" w:hAnsi="Arial" w:cs="Arial"/>
          <w:b/>
          <w:bCs/>
          <w:color w:val="000000"/>
          <w:sz w:val="20"/>
        </w:rPr>
        <w:fldChar w:fldCharType="separate"/>
      </w:r>
      <w:r w:rsidR="00402E54" w:rsidRPr="00D000AA">
        <w:rPr>
          <w:rStyle w:val="Hyperlink"/>
          <w:rFonts w:ascii="Arial" w:hAnsi="Arial" w:cs="Arial"/>
          <w:b/>
          <w:bCs/>
          <w:sz w:val="20"/>
          <w:u w:val="none"/>
        </w:rPr>
        <w:tab/>
        <w:t>2.7.</w:t>
      </w:r>
      <w:r w:rsidR="00402E54">
        <w:rPr>
          <w:rStyle w:val="Hyperlink"/>
          <w:rFonts w:ascii="Arial" w:hAnsi="Arial" w:cs="Arial"/>
          <w:b/>
          <w:bCs/>
          <w:sz w:val="20"/>
          <w:u w:val="none"/>
        </w:rPr>
        <w:t>7</w:t>
      </w:r>
      <w:r w:rsidR="00402E54" w:rsidRPr="00D000AA">
        <w:rPr>
          <w:rStyle w:val="Hyperlink"/>
          <w:rFonts w:ascii="Arial" w:hAnsi="Arial" w:cs="Arial"/>
          <w:b/>
          <w:bCs/>
          <w:sz w:val="20"/>
          <w:u w:val="none"/>
        </w:rPr>
        <w:tab/>
      </w:r>
      <w:r w:rsidR="00402E54">
        <w:rPr>
          <w:rStyle w:val="Hyperlink"/>
          <w:rFonts w:ascii="Arial" w:hAnsi="Arial" w:cs="Arial"/>
          <w:b/>
          <w:bCs/>
          <w:sz w:val="20"/>
          <w:u w:val="none"/>
        </w:rPr>
        <w:t xml:space="preserve">Offences under the </w:t>
      </w:r>
      <w:r w:rsidR="00A948A6">
        <w:rPr>
          <w:rStyle w:val="Hyperlink"/>
          <w:rFonts w:ascii="Arial" w:hAnsi="Arial" w:cs="Arial"/>
          <w:b/>
          <w:bCs/>
          <w:sz w:val="20"/>
          <w:u w:val="none"/>
        </w:rPr>
        <w:t>Court Security Act 1980</w:t>
      </w:r>
    </w:p>
    <w:p w14:paraId="6262CF45" w14:textId="75663C10" w:rsidR="00277B85" w:rsidRPr="00A21C16" w:rsidRDefault="00402E54" w:rsidP="00402E54">
      <w:pPr>
        <w:pBdr>
          <w:top w:val="single" w:sz="4" w:space="1" w:color="auto"/>
          <w:left w:val="single" w:sz="4" w:space="4" w:color="auto"/>
          <w:bottom w:val="single" w:sz="4" w:space="1" w:color="auto"/>
          <w:right w:val="single" w:sz="4" w:space="4" w:color="auto"/>
        </w:pBdr>
        <w:spacing w:before="100"/>
        <w:rPr>
          <w:rFonts w:ascii="Arial" w:hAnsi="Arial" w:cs="Arial"/>
          <w:b/>
          <w:bCs/>
        </w:rPr>
      </w:pPr>
      <w:r w:rsidRPr="00D000AA">
        <w:rPr>
          <w:rFonts w:ascii="Arial" w:hAnsi="Arial" w:cs="Arial"/>
          <w:b/>
          <w:bCs/>
          <w:color w:val="000000"/>
          <w:sz w:val="20"/>
        </w:rPr>
        <w:fldChar w:fldCharType="end"/>
      </w:r>
      <w:hyperlink w:anchor="_2.8_Restriction_on" w:history="1">
        <w:r w:rsidR="00277B85" w:rsidRPr="00A21C16">
          <w:rPr>
            <w:rStyle w:val="Hyperlink"/>
            <w:rFonts w:ascii="Arial" w:hAnsi="Arial" w:cs="Arial"/>
            <w:b/>
            <w:bCs/>
            <w:u w:val="none"/>
          </w:rPr>
          <w:t>2.8</w:t>
        </w:r>
        <w:r w:rsidR="00277B85" w:rsidRPr="00A21C16">
          <w:rPr>
            <w:rStyle w:val="Hyperlink"/>
            <w:rFonts w:ascii="Arial" w:hAnsi="Arial" w:cs="Arial"/>
            <w:b/>
            <w:bCs/>
            <w:u w:val="none"/>
          </w:rPr>
          <w:tab/>
          <w:t>Restriction on publication of proceedings</w:t>
        </w:r>
      </w:hyperlink>
    </w:p>
    <w:p w14:paraId="03B67DFC" w14:textId="77777777" w:rsidR="00AF349B" w:rsidRPr="00A21C16" w:rsidRDefault="00AF349B" w:rsidP="00AF349B">
      <w:pPr>
        <w:pBdr>
          <w:top w:val="single" w:sz="4" w:space="1" w:color="auto"/>
          <w:left w:val="single" w:sz="4" w:space="4" w:color="auto"/>
          <w:bottom w:val="single" w:sz="4" w:space="1" w:color="auto"/>
          <w:right w:val="single" w:sz="4" w:space="4" w:color="auto"/>
        </w:pBdr>
        <w:spacing w:before="60"/>
        <w:rPr>
          <w:rFonts w:ascii="Arial" w:hAnsi="Arial" w:cs="Arial"/>
          <w:b/>
          <w:bCs/>
          <w:sz w:val="20"/>
        </w:rPr>
      </w:pPr>
      <w:hyperlink w:anchor="_2.8.1_Statutory_prohibition" w:history="1">
        <w:r w:rsidRPr="00A21C16">
          <w:rPr>
            <w:rStyle w:val="Hyperlink"/>
            <w:rFonts w:ascii="Arial" w:hAnsi="Arial" w:cs="Arial"/>
            <w:b/>
            <w:bCs/>
            <w:sz w:val="20"/>
            <w:u w:val="none"/>
          </w:rPr>
          <w:tab/>
          <w:t>2.8.1</w:t>
        </w:r>
        <w:r w:rsidRPr="00A21C16">
          <w:rPr>
            <w:rStyle w:val="Hyperlink"/>
            <w:rFonts w:ascii="Arial" w:hAnsi="Arial" w:cs="Arial"/>
            <w:b/>
            <w:bCs/>
            <w:sz w:val="20"/>
            <w:u w:val="none"/>
          </w:rPr>
          <w:tab/>
        </w:r>
        <w:r w:rsidR="00F42304" w:rsidRPr="00A21C16">
          <w:rPr>
            <w:rStyle w:val="Hyperlink"/>
            <w:rFonts w:ascii="Arial" w:hAnsi="Arial" w:cs="Arial"/>
            <w:b/>
            <w:bCs/>
            <w:sz w:val="20"/>
            <w:u w:val="none"/>
          </w:rPr>
          <w:t>Statutory prohibition</w:t>
        </w:r>
        <w:r w:rsidRPr="00A21C16">
          <w:rPr>
            <w:rStyle w:val="Hyperlink"/>
            <w:rFonts w:ascii="Arial" w:hAnsi="Arial" w:cs="Arial"/>
            <w:b/>
            <w:bCs/>
            <w:sz w:val="20"/>
            <w:u w:val="none"/>
          </w:rPr>
          <w:t xml:space="preserve"> on publication of identifying particulars</w:t>
        </w:r>
        <w:r w:rsidR="002D4F6F" w:rsidRPr="00A21C16">
          <w:rPr>
            <w:rStyle w:val="Hyperlink"/>
            <w:rFonts w:ascii="Arial" w:hAnsi="Arial" w:cs="Arial"/>
            <w:b/>
            <w:bCs/>
            <w:sz w:val="20"/>
            <w:u w:val="none"/>
          </w:rPr>
          <w:t>–s.534 of the CYFA</w:t>
        </w:r>
      </w:hyperlink>
    </w:p>
    <w:p w14:paraId="0B0BDFF4" w14:textId="7570B7A2" w:rsidR="00AF349B" w:rsidRPr="00A433FD" w:rsidRDefault="00A433FD" w:rsidP="00AF349B">
      <w:pPr>
        <w:pBdr>
          <w:top w:val="single" w:sz="4" w:space="1" w:color="auto"/>
          <w:left w:val="single" w:sz="4" w:space="4" w:color="auto"/>
          <w:bottom w:val="single" w:sz="4" w:space="1" w:color="auto"/>
          <w:right w:val="single" w:sz="4" w:space="4" w:color="auto"/>
        </w:pBdr>
        <w:rPr>
          <w:rStyle w:val="Hyperlink"/>
          <w:rFonts w:ascii="Arial" w:hAnsi="Arial" w:cs="Arial"/>
          <w:b/>
          <w:bCs/>
          <w:sz w:val="20"/>
          <w:u w:val="none"/>
        </w:rPr>
      </w:pPr>
      <w:r>
        <w:rPr>
          <w:rFonts w:ascii="Arial" w:hAnsi="Arial" w:cs="Arial"/>
          <w:b/>
          <w:bCs/>
          <w:sz w:val="20"/>
        </w:rPr>
        <w:fldChar w:fldCharType="begin"/>
      </w:r>
      <w:r>
        <w:rPr>
          <w:rFonts w:ascii="Arial" w:hAnsi="Arial" w:cs="Arial"/>
          <w:b/>
          <w:bCs/>
          <w:sz w:val="20"/>
        </w:rPr>
        <w:instrText>HYPERLINK  \l "_2.8.2_Suppression_orders"</w:instrText>
      </w:r>
      <w:r>
        <w:rPr>
          <w:rFonts w:ascii="Arial" w:hAnsi="Arial" w:cs="Arial"/>
          <w:b/>
          <w:bCs/>
          <w:sz w:val="20"/>
        </w:rPr>
      </w:r>
      <w:r>
        <w:rPr>
          <w:rFonts w:ascii="Arial" w:hAnsi="Arial" w:cs="Arial"/>
          <w:b/>
          <w:bCs/>
          <w:sz w:val="20"/>
        </w:rPr>
        <w:fldChar w:fldCharType="separate"/>
      </w:r>
      <w:r w:rsidR="00AF349B" w:rsidRPr="00A433FD">
        <w:rPr>
          <w:rStyle w:val="Hyperlink"/>
          <w:rFonts w:ascii="Arial" w:hAnsi="Arial" w:cs="Arial"/>
          <w:b/>
          <w:bCs/>
          <w:sz w:val="20"/>
          <w:u w:val="none"/>
        </w:rPr>
        <w:tab/>
        <w:t>2.8.2</w:t>
      </w:r>
      <w:r w:rsidR="00AF349B" w:rsidRPr="00A433FD">
        <w:rPr>
          <w:rStyle w:val="Hyperlink"/>
          <w:rFonts w:ascii="Arial" w:hAnsi="Arial" w:cs="Arial"/>
          <w:b/>
          <w:bCs/>
          <w:sz w:val="20"/>
          <w:u w:val="none"/>
        </w:rPr>
        <w:tab/>
      </w:r>
      <w:r w:rsidR="00F42304" w:rsidRPr="00A433FD">
        <w:rPr>
          <w:rStyle w:val="Hyperlink"/>
          <w:rFonts w:ascii="Arial" w:hAnsi="Arial" w:cs="Arial"/>
          <w:b/>
          <w:bCs/>
          <w:sz w:val="20"/>
          <w:u w:val="none"/>
        </w:rPr>
        <w:t>Suppression</w:t>
      </w:r>
      <w:r w:rsidR="006B7966" w:rsidRPr="00A433FD">
        <w:rPr>
          <w:rStyle w:val="Hyperlink"/>
          <w:rFonts w:ascii="Arial" w:hAnsi="Arial" w:cs="Arial"/>
          <w:b/>
          <w:bCs/>
          <w:sz w:val="20"/>
          <w:u w:val="none"/>
        </w:rPr>
        <w:t xml:space="preserve"> orders</w:t>
      </w:r>
    </w:p>
    <w:p w14:paraId="6D6338E8" w14:textId="20B8DC6D" w:rsidR="00692D54" w:rsidRPr="00C76FAC" w:rsidRDefault="00A433FD" w:rsidP="00E41D05">
      <w:pPr>
        <w:pBdr>
          <w:top w:val="single" w:sz="4" w:space="1" w:color="auto"/>
          <w:left w:val="single" w:sz="4" w:space="4" w:color="auto"/>
          <w:bottom w:val="single" w:sz="4" w:space="1" w:color="auto"/>
          <w:right w:val="single" w:sz="4" w:space="4" w:color="auto"/>
        </w:pBdr>
        <w:rPr>
          <w:rFonts w:ascii="Arial" w:hAnsi="Arial" w:cs="Arial"/>
          <w:b/>
          <w:bCs/>
          <w:sz w:val="20"/>
          <w:szCs w:val="20"/>
        </w:rPr>
      </w:pPr>
      <w:r>
        <w:rPr>
          <w:rFonts w:ascii="Arial" w:hAnsi="Arial" w:cs="Arial"/>
          <w:b/>
          <w:bCs/>
          <w:sz w:val="20"/>
        </w:rPr>
        <w:fldChar w:fldCharType="end"/>
      </w:r>
      <w:r w:rsidR="00692D54" w:rsidRPr="00C76FAC">
        <w:rPr>
          <w:rFonts w:ascii="Arial" w:hAnsi="Arial" w:cs="Arial"/>
          <w:b/>
          <w:bCs/>
          <w:sz w:val="20"/>
          <w:szCs w:val="20"/>
        </w:rPr>
        <w:tab/>
      </w:r>
      <w:hyperlink w:anchor="_2.8.3_‘Take-down’_orders" w:history="1">
        <w:r w:rsidR="00692D54" w:rsidRPr="00C76FAC">
          <w:rPr>
            <w:rStyle w:val="Hyperlink"/>
            <w:rFonts w:ascii="Arial" w:hAnsi="Arial" w:cs="Arial"/>
            <w:b/>
            <w:bCs/>
            <w:sz w:val="20"/>
            <w:szCs w:val="20"/>
            <w:u w:val="none"/>
          </w:rPr>
          <w:t>2.8.3</w:t>
        </w:r>
        <w:r w:rsidR="00692D54" w:rsidRPr="00C76FAC">
          <w:rPr>
            <w:rStyle w:val="Hyperlink"/>
            <w:rFonts w:ascii="Arial" w:hAnsi="Arial" w:cs="Arial"/>
            <w:b/>
            <w:bCs/>
            <w:sz w:val="20"/>
            <w:szCs w:val="20"/>
            <w:u w:val="none"/>
          </w:rPr>
          <w:tab/>
          <w:t>‘Take down’ orders</w:t>
        </w:r>
      </w:hyperlink>
    </w:p>
    <w:p w14:paraId="47AD62B3" w14:textId="2695C70B" w:rsidR="00BF3DE5" w:rsidRPr="003F02FB" w:rsidRDefault="00BF3DE5" w:rsidP="00E41D05">
      <w:pPr>
        <w:pBdr>
          <w:top w:val="single" w:sz="4" w:space="1" w:color="auto"/>
          <w:left w:val="single" w:sz="4" w:space="4" w:color="auto"/>
          <w:bottom w:val="single" w:sz="4" w:space="1" w:color="auto"/>
          <w:right w:val="single" w:sz="4" w:space="4" w:color="auto"/>
        </w:pBdr>
        <w:rPr>
          <w:rFonts w:ascii="Arial" w:hAnsi="Arial" w:cs="Arial"/>
          <w:b/>
          <w:bCs/>
          <w:sz w:val="20"/>
          <w:szCs w:val="20"/>
        </w:rPr>
      </w:pPr>
      <w:r w:rsidRPr="003F02FB">
        <w:rPr>
          <w:rFonts w:ascii="Arial" w:hAnsi="Arial" w:cs="Arial"/>
          <w:b/>
          <w:bCs/>
          <w:sz w:val="20"/>
          <w:szCs w:val="20"/>
        </w:rPr>
        <w:tab/>
      </w:r>
      <w:hyperlink w:anchor="_2.8.4_Relationship_between" w:history="1">
        <w:r w:rsidR="003F02FB" w:rsidRPr="003F02FB">
          <w:rPr>
            <w:rStyle w:val="Hyperlink"/>
            <w:rFonts w:ascii="Arial" w:hAnsi="Arial" w:cs="Arial"/>
            <w:b/>
            <w:bCs/>
            <w:sz w:val="20"/>
            <w:szCs w:val="20"/>
            <w:u w:val="none"/>
          </w:rPr>
          <w:t>2.8.</w:t>
        </w:r>
        <w:r w:rsidR="00692D54">
          <w:rPr>
            <w:rStyle w:val="Hyperlink"/>
            <w:rFonts w:ascii="Arial" w:hAnsi="Arial" w:cs="Arial"/>
            <w:b/>
            <w:bCs/>
            <w:sz w:val="20"/>
            <w:szCs w:val="20"/>
            <w:u w:val="none"/>
          </w:rPr>
          <w:t>4</w:t>
        </w:r>
        <w:r w:rsidR="003F02FB" w:rsidRPr="003F02FB">
          <w:rPr>
            <w:rStyle w:val="Hyperlink"/>
            <w:rFonts w:ascii="Arial" w:hAnsi="Arial" w:cs="Arial"/>
            <w:b/>
            <w:bCs/>
            <w:sz w:val="20"/>
            <w:szCs w:val="20"/>
            <w:u w:val="none"/>
          </w:rPr>
          <w:tab/>
        </w:r>
        <w:r w:rsidR="003F02FB">
          <w:rPr>
            <w:rStyle w:val="Hyperlink"/>
            <w:rFonts w:ascii="Arial" w:hAnsi="Arial" w:cs="Arial"/>
            <w:b/>
            <w:bCs/>
            <w:sz w:val="20"/>
            <w:u w:val="none"/>
          </w:rPr>
          <w:t>R</w:t>
        </w:r>
        <w:r w:rsidR="003F02FB" w:rsidRPr="003F02FB">
          <w:rPr>
            <w:rStyle w:val="Hyperlink"/>
            <w:rFonts w:ascii="Arial" w:hAnsi="Arial" w:cs="Arial"/>
            <w:b/>
            <w:bCs/>
            <w:sz w:val="20"/>
            <w:u w:val="none"/>
          </w:rPr>
          <w:t>elationship between s.534 CYFA and the Open Courts Act 2013</w:t>
        </w:r>
      </w:hyperlink>
    </w:p>
    <w:p w14:paraId="619B37FB" w14:textId="69C075D1" w:rsidR="00E41D05" w:rsidRPr="00A21C16" w:rsidRDefault="00E41D05" w:rsidP="00E41D05">
      <w:pPr>
        <w:pBdr>
          <w:top w:val="single" w:sz="4" w:space="1" w:color="auto"/>
          <w:left w:val="single" w:sz="4" w:space="4" w:color="auto"/>
          <w:bottom w:val="single" w:sz="4" w:space="1" w:color="auto"/>
          <w:right w:val="single" w:sz="4" w:space="4" w:color="auto"/>
        </w:pBdr>
        <w:rPr>
          <w:rFonts w:ascii="Arial" w:hAnsi="Arial" w:cs="Arial"/>
          <w:b/>
          <w:bCs/>
          <w:sz w:val="20"/>
        </w:rPr>
      </w:pPr>
      <w:hyperlink w:anchor="_2.8.3_Section_10(5)" w:history="1">
        <w:r w:rsidRPr="00A21C16">
          <w:rPr>
            <w:rStyle w:val="Hyperlink"/>
            <w:rFonts w:ascii="Arial" w:hAnsi="Arial" w:cs="Arial"/>
            <w:b/>
            <w:bCs/>
            <w:sz w:val="20"/>
            <w:u w:val="none"/>
          </w:rPr>
          <w:tab/>
          <w:t>2.8.</w:t>
        </w:r>
        <w:r w:rsidR="00692D54">
          <w:rPr>
            <w:rStyle w:val="Hyperlink"/>
            <w:rFonts w:ascii="Arial" w:hAnsi="Arial" w:cs="Arial"/>
            <w:b/>
            <w:bCs/>
            <w:sz w:val="20"/>
            <w:u w:val="none"/>
          </w:rPr>
          <w:t>5</w:t>
        </w:r>
        <w:r w:rsidRPr="00A21C16">
          <w:rPr>
            <w:rStyle w:val="Hyperlink"/>
            <w:rFonts w:ascii="Arial" w:hAnsi="Arial" w:cs="Arial"/>
            <w:b/>
            <w:bCs/>
            <w:sz w:val="20"/>
            <w:u w:val="none"/>
          </w:rPr>
          <w:tab/>
          <w:t>Section 10(5</w:t>
        </w:r>
        <w:r w:rsidR="00173CFF" w:rsidRPr="00A21C16">
          <w:rPr>
            <w:rStyle w:val="Hyperlink"/>
            <w:rFonts w:ascii="Arial" w:hAnsi="Arial" w:cs="Arial"/>
            <w:b/>
            <w:bCs/>
            <w:sz w:val="20"/>
            <w:u w:val="none"/>
          </w:rPr>
          <w:t xml:space="preserve">) of the </w:t>
        </w:r>
        <w:r w:rsidR="00173CFF" w:rsidRPr="00541057">
          <w:rPr>
            <w:rStyle w:val="Hyperlink"/>
            <w:rFonts w:ascii="Arial" w:hAnsi="Arial" w:cs="Arial"/>
            <w:b/>
            <w:bCs/>
            <w:sz w:val="20"/>
            <w:u w:val="none"/>
          </w:rPr>
          <w:t>Witness Protection Act</w:t>
        </w:r>
      </w:hyperlink>
    </w:p>
    <w:p w14:paraId="1ABF75B2" w14:textId="77777777" w:rsidR="00277B85" w:rsidRPr="00A21C16" w:rsidRDefault="00277B85" w:rsidP="004F4C22">
      <w:pPr>
        <w:pBdr>
          <w:top w:val="single" w:sz="4" w:space="1" w:color="auto"/>
          <w:left w:val="single" w:sz="4" w:space="4" w:color="auto"/>
          <w:bottom w:val="single" w:sz="4" w:space="1" w:color="auto"/>
          <w:right w:val="single" w:sz="4" w:space="4" w:color="auto"/>
        </w:pBdr>
        <w:spacing w:before="100"/>
        <w:rPr>
          <w:rFonts w:ascii="Arial" w:hAnsi="Arial" w:cs="Arial"/>
          <w:b/>
          <w:bCs/>
        </w:rPr>
      </w:pPr>
      <w:hyperlink w:anchor="_2.9_Bail_justices" w:history="1">
        <w:r w:rsidRPr="00A21C16">
          <w:rPr>
            <w:rStyle w:val="Hyperlink"/>
            <w:rFonts w:ascii="Arial" w:hAnsi="Arial" w:cs="Arial"/>
            <w:b/>
            <w:bCs/>
            <w:u w:val="none"/>
          </w:rPr>
          <w:t>2.9</w:t>
        </w:r>
        <w:r w:rsidRPr="00A21C16">
          <w:rPr>
            <w:rStyle w:val="Hyperlink"/>
            <w:rFonts w:ascii="Arial" w:hAnsi="Arial" w:cs="Arial"/>
            <w:b/>
            <w:bCs/>
            <w:u w:val="none"/>
          </w:rPr>
          <w:tab/>
          <w:t>Bail justices</w:t>
        </w:r>
      </w:hyperlink>
    </w:p>
    <w:p w14:paraId="3E12FB84" w14:textId="77777777" w:rsidR="00277B85" w:rsidRPr="00A21C16" w:rsidRDefault="00277B85" w:rsidP="004F4C22">
      <w:pPr>
        <w:pBdr>
          <w:top w:val="single" w:sz="4" w:space="1" w:color="auto"/>
          <w:left w:val="single" w:sz="4" w:space="4" w:color="auto"/>
          <w:bottom w:val="single" w:sz="4" w:space="1" w:color="auto"/>
          <w:right w:val="single" w:sz="4" w:space="4" w:color="auto"/>
        </w:pBdr>
        <w:spacing w:before="100"/>
        <w:rPr>
          <w:rFonts w:ascii="Arial" w:hAnsi="Arial" w:cs="Arial"/>
          <w:b/>
          <w:bCs/>
        </w:rPr>
      </w:pPr>
      <w:hyperlink w:anchor="_2.10_Court_services" w:history="1">
        <w:r w:rsidRPr="00A21C16">
          <w:rPr>
            <w:rStyle w:val="Hyperlink"/>
            <w:rFonts w:ascii="Arial" w:hAnsi="Arial" w:cs="Arial"/>
            <w:b/>
            <w:bCs/>
            <w:u w:val="none"/>
          </w:rPr>
          <w:t>2.10</w:t>
        </w:r>
        <w:r w:rsidRPr="00A21C16">
          <w:rPr>
            <w:rStyle w:val="Hyperlink"/>
            <w:rFonts w:ascii="Arial" w:hAnsi="Arial" w:cs="Arial"/>
            <w:b/>
            <w:bCs/>
            <w:u w:val="none"/>
          </w:rPr>
          <w:tab/>
          <w:t>Court services</w:t>
        </w:r>
      </w:hyperlink>
    </w:p>
    <w:p w14:paraId="7947C639" w14:textId="63B8C123" w:rsidR="00277B85" w:rsidRPr="00A21C16" w:rsidRDefault="00277B85" w:rsidP="00AF349B">
      <w:pPr>
        <w:pBdr>
          <w:top w:val="single" w:sz="4" w:space="1" w:color="auto"/>
          <w:left w:val="single" w:sz="4" w:space="4" w:color="auto"/>
          <w:bottom w:val="single" w:sz="4" w:space="1" w:color="auto"/>
          <w:right w:val="single" w:sz="4" w:space="4" w:color="auto"/>
        </w:pBdr>
        <w:spacing w:before="60"/>
        <w:rPr>
          <w:rFonts w:ascii="Arial" w:hAnsi="Arial" w:cs="Arial"/>
          <w:b/>
          <w:bCs/>
          <w:sz w:val="20"/>
        </w:rPr>
      </w:pPr>
      <w:hyperlink w:anchor="_2.10.1_Youth_Justice" w:history="1">
        <w:r w:rsidRPr="00A21C16">
          <w:rPr>
            <w:rStyle w:val="Hyperlink"/>
            <w:rFonts w:ascii="Arial" w:hAnsi="Arial" w:cs="Arial"/>
            <w:b/>
            <w:bCs/>
            <w:sz w:val="20"/>
            <w:u w:val="none"/>
          </w:rPr>
          <w:tab/>
          <w:t>2.10.1</w:t>
        </w:r>
        <w:r w:rsidRPr="00A21C16">
          <w:rPr>
            <w:rStyle w:val="Hyperlink"/>
            <w:rFonts w:ascii="Arial" w:hAnsi="Arial" w:cs="Arial"/>
            <w:b/>
            <w:bCs/>
            <w:sz w:val="20"/>
            <w:u w:val="none"/>
          </w:rPr>
          <w:tab/>
        </w:r>
        <w:r w:rsidR="00D00AFB">
          <w:rPr>
            <w:rStyle w:val="Hyperlink"/>
            <w:rFonts w:ascii="Arial" w:hAnsi="Arial" w:cs="Arial"/>
            <w:b/>
            <w:bCs/>
            <w:sz w:val="20"/>
            <w:u w:val="none"/>
          </w:rPr>
          <w:t>Youth</w:t>
        </w:r>
        <w:r w:rsidRPr="00A21C16">
          <w:rPr>
            <w:rStyle w:val="Hyperlink"/>
            <w:rFonts w:ascii="Arial" w:hAnsi="Arial" w:cs="Arial"/>
            <w:b/>
            <w:bCs/>
            <w:sz w:val="20"/>
            <w:u w:val="none"/>
          </w:rPr>
          <w:t xml:space="preserve"> Justice</w:t>
        </w:r>
      </w:hyperlink>
    </w:p>
    <w:p w14:paraId="518C7FA7" w14:textId="77777777" w:rsidR="00277B85" w:rsidRPr="00A21C16" w:rsidRDefault="00A34933">
      <w:pPr>
        <w:pBdr>
          <w:top w:val="single" w:sz="4" w:space="1" w:color="auto"/>
          <w:left w:val="single" w:sz="4" w:space="4" w:color="auto"/>
          <w:bottom w:val="single" w:sz="4" w:space="1" w:color="auto"/>
          <w:right w:val="single" w:sz="4" w:space="4" w:color="auto"/>
        </w:pBdr>
        <w:rPr>
          <w:rFonts w:ascii="Arial" w:hAnsi="Arial" w:cs="Arial"/>
          <w:b/>
          <w:bCs/>
          <w:sz w:val="20"/>
        </w:rPr>
      </w:pPr>
      <w:hyperlink w:anchor="_2.10.2_Child_Witness" w:history="1">
        <w:r w:rsidRPr="00A21C16">
          <w:rPr>
            <w:rStyle w:val="Hyperlink"/>
            <w:rFonts w:ascii="Arial" w:hAnsi="Arial" w:cs="Arial"/>
            <w:b/>
            <w:bCs/>
            <w:sz w:val="20"/>
            <w:u w:val="none"/>
          </w:rPr>
          <w:tab/>
          <w:t>2.10.</w:t>
        </w:r>
        <w:r>
          <w:rPr>
            <w:rStyle w:val="Hyperlink"/>
            <w:rFonts w:ascii="Arial" w:hAnsi="Arial" w:cs="Arial"/>
            <w:b/>
            <w:bCs/>
            <w:sz w:val="20"/>
            <w:u w:val="none"/>
          </w:rPr>
          <w:t>2</w:t>
        </w:r>
        <w:r w:rsidRPr="00A21C16">
          <w:rPr>
            <w:rStyle w:val="Hyperlink"/>
            <w:rFonts w:ascii="Arial" w:hAnsi="Arial" w:cs="Arial"/>
            <w:b/>
            <w:bCs/>
            <w:sz w:val="20"/>
            <w:u w:val="none"/>
          </w:rPr>
          <w:tab/>
          <w:t>Child Witness Service</w:t>
        </w:r>
      </w:hyperlink>
    </w:p>
    <w:p w14:paraId="160A08C1" w14:textId="1F243A34" w:rsidR="00277B85" w:rsidRPr="00A34933" w:rsidRDefault="00A34933">
      <w:pPr>
        <w:pBdr>
          <w:top w:val="single" w:sz="4" w:space="1" w:color="auto"/>
          <w:left w:val="single" w:sz="4" w:space="4" w:color="auto"/>
          <w:bottom w:val="single" w:sz="4" w:space="1" w:color="auto"/>
          <w:right w:val="single" w:sz="4" w:space="4" w:color="auto"/>
        </w:pBdr>
        <w:rPr>
          <w:rStyle w:val="Hyperlink"/>
          <w:rFonts w:ascii="Arial" w:hAnsi="Arial" w:cs="Arial"/>
          <w:b/>
          <w:bCs/>
          <w:sz w:val="20"/>
          <w:u w:val="none"/>
        </w:rPr>
      </w:pPr>
      <w:r w:rsidRPr="00A34933">
        <w:rPr>
          <w:rFonts w:ascii="Arial" w:hAnsi="Arial" w:cs="Arial"/>
          <w:b/>
          <w:bCs/>
          <w:sz w:val="20"/>
        </w:rPr>
        <w:fldChar w:fldCharType="begin"/>
      </w:r>
      <w:r w:rsidRPr="00A34933">
        <w:rPr>
          <w:rFonts w:ascii="Arial" w:hAnsi="Arial" w:cs="Arial"/>
          <w:b/>
          <w:bCs/>
          <w:sz w:val="20"/>
        </w:rPr>
        <w:instrText xml:space="preserve"> HYPERLINK  \l "_2.10.3_Court_Network_1" </w:instrText>
      </w:r>
      <w:r w:rsidRPr="00A34933">
        <w:rPr>
          <w:rFonts w:ascii="Arial" w:hAnsi="Arial" w:cs="Arial"/>
          <w:b/>
          <w:bCs/>
          <w:sz w:val="20"/>
        </w:rPr>
      </w:r>
      <w:r w:rsidRPr="00A34933">
        <w:rPr>
          <w:rFonts w:ascii="Arial" w:hAnsi="Arial" w:cs="Arial"/>
          <w:b/>
          <w:bCs/>
          <w:sz w:val="20"/>
        </w:rPr>
        <w:fldChar w:fldCharType="separate"/>
      </w:r>
      <w:r w:rsidR="00277B85" w:rsidRPr="00A34933">
        <w:rPr>
          <w:rStyle w:val="Hyperlink"/>
          <w:rFonts w:ascii="Arial" w:hAnsi="Arial" w:cs="Arial"/>
          <w:b/>
          <w:bCs/>
          <w:sz w:val="20"/>
          <w:u w:val="none"/>
        </w:rPr>
        <w:tab/>
        <w:t>2.10.3</w:t>
      </w:r>
      <w:r w:rsidR="00277B85" w:rsidRPr="00A34933">
        <w:rPr>
          <w:rStyle w:val="Hyperlink"/>
          <w:rFonts w:ascii="Arial" w:hAnsi="Arial" w:cs="Arial"/>
          <w:b/>
          <w:bCs/>
          <w:sz w:val="20"/>
          <w:u w:val="none"/>
        </w:rPr>
        <w:tab/>
        <w:t xml:space="preserve">Court </w:t>
      </w:r>
      <w:r w:rsidR="00050677">
        <w:rPr>
          <w:rStyle w:val="Hyperlink"/>
          <w:rFonts w:ascii="Arial" w:hAnsi="Arial" w:cs="Arial"/>
          <w:b/>
          <w:bCs/>
          <w:sz w:val="20"/>
          <w:u w:val="none"/>
        </w:rPr>
        <w:t>Support Coordinators</w:t>
      </w:r>
    </w:p>
    <w:p w14:paraId="19FE9AD9" w14:textId="77777777" w:rsidR="00277B85" w:rsidRPr="00A21C16" w:rsidRDefault="00A34933">
      <w:pPr>
        <w:pBdr>
          <w:top w:val="single" w:sz="4" w:space="1" w:color="auto"/>
          <w:left w:val="single" w:sz="4" w:space="4" w:color="auto"/>
          <w:bottom w:val="single" w:sz="4" w:space="1" w:color="auto"/>
          <w:right w:val="single" w:sz="4" w:space="4" w:color="auto"/>
        </w:pBdr>
        <w:rPr>
          <w:rFonts w:ascii="Arial" w:hAnsi="Arial" w:cs="Arial"/>
          <w:b/>
          <w:bCs/>
          <w:sz w:val="20"/>
        </w:rPr>
      </w:pPr>
      <w:r w:rsidRPr="00A34933">
        <w:rPr>
          <w:rFonts w:ascii="Arial" w:hAnsi="Arial" w:cs="Arial"/>
          <w:b/>
          <w:bCs/>
          <w:sz w:val="20"/>
        </w:rPr>
        <w:fldChar w:fldCharType="end"/>
      </w:r>
      <w:hyperlink w:anchor="_2.10.4_Victoria_Legal" w:history="1">
        <w:r w:rsidR="00277B85" w:rsidRPr="00A21C16">
          <w:rPr>
            <w:rStyle w:val="Hyperlink"/>
            <w:rFonts w:ascii="Arial" w:hAnsi="Arial" w:cs="Arial"/>
            <w:b/>
            <w:bCs/>
            <w:sz w:val="20"/>
            <w:u w:val="none"/>
          </w:rPr>
          <w:tab/>
          <w:t>2.10.4</w:t>
        </w:r>
        <w:r w:rsidR="00277B85" w:rsidRPr="00A21C16">
          <w:rPr>
            <w:rStyle w:val="Hyperlink"/>
            <w:rFonts w:ascii="Arial" w:hAnsi="Arial" w:cs="Arial"/>
            <w:b/>
            <w:bCs/>
            <w:sz w:val="20"/>
            <w:u w:val="none"/>
          </w:rPr>
          <w:tab/>
          <w:t>Victoria Legal Aid</w:t>
        </w:r>
      </w:hyperlink>
    </w:p>
    <w:p w14:paraId="57873C4A" w14:textId="6B7B92B0" w:rsidR="00277B85" w:rsidRDefault="00277B85">
      <w:pPr>
        <w:pBdr>
          <w:top w:val="single" w:sz="4" w:space="1" w:color="auto"/>
          <w:left w:val="single" w:sz="4" w:space="4" w:color="auto"/>
          <w:bottom w:val="single" w:sz="4" w:space="1" w:color="auto"/>
          <w:right w:val="single" w:sz="4" w:space="4" w:color="auto"/>
        </w:pBdr>
        <w:rPr>
          <w:rStyle w:val="Hyperlink"/>
          <w:rFonts w:ascii="Arial" w:hAnsi="Arial" w:cs="Arial"/>
          <w:b/>
          <w:bCs/>
          <w:sz w:val="20"/>
          <w:u w:val="none"/>
        </w:rPr>
      </w:pPr>
      <w:hyperlink w:anchor="_2.10.5_Interpreters" w:history="1">
        <w:r w:rsidRPr="00A21C16">
          <w:rPr>
            <w:rStyle w:val="Hyperlink"/>
            <w:rFonts w:ascii="Arial" w:hAnsi="Arial" w:cs="Arial"/>
            <w:b/>
            <w:bCs/>
            <w:sz w:val="20"/>
            <w:u w:val="none"/>
          </w:rPr>
          <w:tab/>
          <w:t>2.10.5</w:t>
        </w:r>
        <w:r w:rsidRPr="00A21C16">
          <w:rPr>
            <w:rStyle w:val="Hyperlink"/>
            <w:rFonts w:ascii="Arial" w:hAnsi="Arial" w:cs="Arial"/>
            <w:b/>
            <w:bCs/>
            <w:sz w:val="20"/>
            <w:u w:val="none"/>
          </w:rPr>
          <w:tab/>
          <w:t>Interpreters</w:t>
        </w:r>
      </w:hyperlink>
    </w:p>
    <w:p w14:paraId="5317C583" w14:textId="56FD6E0C" w:rsidR="00CE36B3" w:rsidRPr="008D75A3" w:rsidRDefault="00CE36B3">
      <w:pPr>
        <w:pBdr>
          <w:top w:val="single" w:sz="4" w:space="1" w:color="auto"/>
          <w:left w:val="single" w:sz="4" w:space="4" w:color="auto"/>
          <w:bottom w:val="single" w:sz="4" w:space="1" w:color="auto"/>
          <w:right w:val="single" w:sz="4" w:space="4" w:color="auto"/>
        </w:pBdr>
        <w:rPr>
          <w:rFonts w:ascii="Arial" w:hAnsi="Arial" w:cs="Arial"/>
          <w:b/>
          <w:bCs/>
          <w:sz w:val="20"/>
        </w:rPr>
      </w:pPr>
      <w:r w:rsidRPr="008D75A3">
        <w:rPr>
          <w:rStyle w:val="Hyperlink"/>
          <w:rFonts w:ascii="Arial" w:hAnsi="Arial" w:cs="Arial"/>
          <w:b/>
          <w:bCs/>
          <w:sz w:val="20"/>
          <w:u w:val="none"/>
        </w:rPr>
        <w:tab/>
      </w:r>
      <w:hyperlink w:anchor="_2.10.7_Mental_Health" w:history="1">
        <w:r w:rsidRPr="008D75A3">
          <w:rPr>
            <w:rStyle w:val="Hyperlink"/>
            <w:rFonts w:ascii="Arial" w:hAnsi="Arial" w:cs="Arial"/>
            <w:b/>
            <w:bCs/>
            <w:sz w:val="20"/>
            <w:u w:val="none"/>
          </w:rPr>
          <w:t>2.10.</w:t>
        </w:r>
        <w:r w:rsidR="006F0082">
          <w:rPr>
            <w:rStyle w:val="Hyperlink"/>
            <w:rFonts w:ascii="Arial" w:hAnsi="Arial" w:cs="Arial"/>
            <w:b/>
            <w:bCs/>
            <w:sz w:val="20"/>
            <w:u w:val="none"/>
          </w:rPr>
          <w:t>6</w:t>
        </w:r>
        <w:r w:rsidRPr="008D75A3">
          <w:rPr>
            <w:rStyle w:val="Hyperlink"/>
            <w:rFonts w:ascii="Arial" w:hAnsi="Arial" w:cs="Arial"/>
            <w:b/>
            <w:bCs/>
            <w:sz w:val="20"/>
            <w:u w:val="none"/>
          </w:rPr>
          <w:tab/>
          <w:t>Mental Health Advice and Response Service</w:t>
        </w:r>
      </w:hyperlink>
      <w:r w:rsidR="006F0082">
        <w:rPr>
          <w:rStyle w:val="Hyperlink"/>
          <w:rFonts w:ascii="Arial" w:hAnsi="Arial" w:cs="Arial"/>
          <w:b/>
          <w:bCs/>
          <w:sz w:val="20"/>
          <w:u w:val="none"/>
        </w:rPr>
        <w:t xml:space="preserve"> [MHARS]</w:t>
      </w:r>
    </w:p>
    <w:p w14:paraId="2A9F13B2" w14:textId="77777777" w:rsidR="006F0082" w:rsidRDefault="006F0082" w:rsidP="006F0082">
      <w:pPr>
        <w:pBdr>
          <w:top w:val="single" w:sz="4" w:space="1" w:color="auto"/>
          <w:left w:val="single" w:sz="4" w:space="4" w:color="auto"/>
          <w:bottom w:val="single" w:sz="4" w:space="1" w:color="auto"/>
          <w:right w:val="single" w:sz="4" w:space="4" w:color="auto"/>
        </w:pBdr>
        <w:rPr>
          <w:rStyle w:val="Hyperlink"/>
          <w:rFonts w:ascii="Arial" w:hAnsi="Arial" w:cs="Arial"/>
          <w:b/>
          <w:bCs/>
          <w:sz w:val="20"/>
          <w:u w:val="none"/>
        </w:rPr>
      </w:pPr>
      <w:r w:rsidRPr="00384A15">
        <w:rPr>
          <w:rStyle w:val="Hyperlink"/>
          <w:rFonts w:ascii="Arial" w:hAnsi="Arial" w:cs="Arial"/>
          <w:b/>
          <w:bCs/>
          <w:sz w:val="20"/>
          <w:u w:val="none"/>
        </w:rPr>
        <w:tab/>
      </w:r>
      <w:hyperlink w:anchor="_2.10.6_Education_Justice" w:history="1">
        <w:r w:rsidRPr="00384A15">
          <w:rPr>
            <w:rStyle w:val="Hyperlink"/>
            <w:rFonts w:ascii="Arial" w:hAnsi="Arial" w:cs="Arial"/>
            <w:b/>
            <w:bCs/>
            <w:sz w:val="20"/>
            <w:u w:val="none"/>
          </w:rPr>
          <w:t>2.10.</w:t>
        </w:r>
        <w:r>
          <w:rPr>
            <w:rStyle w:val="Hyperlink"/>
            <w:rFonts w:ascii="Arial" w:hAnsi="Arial" w:cs="Arial"/>
            <w:b/>
            <w:bCs/>
            <w:sz w:val="20"/>
            <w:u w:val="none"/>
          </w:rPr>
          <w:t>7</w:t>
        </w:r>
        <w:r w:rsidRPr="00384A15">
          <w:rPr>
            <w:rStyle w:val="Hyperlink"/>
            <w:rFonts w:ascii="Arial" w:hAnsi="Arial" w:cs="Arial"/>
            <w:b/>
            <w:bCs/>
            <w:sz w:val="20"/>
            <w:u w:val="none"/>
          </w:rPr>
          <w:tab/>
          <w:t>Education Justice Initiative</w:t>
        </w:r>
      </w:hyperlink>
    </w:p>
    <w:p w14:paraId="25F31C0D" w14:textId="454D7AF2" w:rsidR="00107E94" w:rsidRPr="008D75A3" w:rsidRDefault="00107E94" w:rsidP="00107E94">
      <w:pPr>
        <w:pBdr>
          <w:top w:val="single" w:sz="4" w:space="1" w:color="auto"/>
          <w:left w:val="single" w:sz="4" w:space="4" w:color="auto"/>
          <w:bottom w:val="single" w:sz="4" w:space="1" w:color="auto"/>
          <w:right w:val="single" w:sz="4" w:space="4" w:color="auto"/>
        </w:pBdr>
        <w:rPr>
          <w:rFonts w:ascii="Arial" w:hAnsi="Arial" w:cs="Arial"/>
          <w:b/>
          <w:bCs/>
          <w:sz w:val="20"/>
        </w:rPr>
      </w:pPr>
      <w:r w:rsidRPr="008D75A3">
        <w:rPr>
          <w:rStyle w:val="Hyperlink"/>
          <w:rFonts w:ascii="Arial" w:hAnsi="Arial" w:cs="Arial"/>
          <w:b/>
          <w:bCs/>
          <w:sz w:val="20"/>
          <w:u w:val="none"/>
        </w:rPr>
        <w:tab/>
      </w:r>
      <w:hyperlink w:anchor="_2.10.3_Court_Network_1" w:history="1">
        <w:r w:rsidRPr="008D75A3">
          <w:rPr>
            <w:rStyle w:val="Hyperlink"/>
            <w:rFonts w:ascii="Arial" w:hAnsi="Arial" w:cs="Arial"/>
            <w:b/>
            <w:bCs/>
            <w:sz w:val="20"/>
            <w:u w:val="none"/>
          </w:rPr>
          <w:t>2.10.</w:t>
        </w:r>
        <w:r>
          <w:rPr>
            <w:rStyle w:val="Hyperlink"/>
            <w:rFonts w:ascii="Arial" w:hAnsi="Arial" w:cs="Arial"/>
            <w:b/>
            <w:bCs/>
            <w:sz w:val="20"/>
            <w:u w:val="none"/>
          </w:rPr>
          <w:t>8</w:t>
        </w:r>
        <w:r w:rsidRPr="008D75A3">
          <w:rPr>
            <w:rStyle w:val="Hyperlink"/>
            <w:rFonts w:ascii="Arial" w:hAnsi="Arial" w:cs="Arial"/>
            <w:b/>
            <w:bCs/>
            <w:sz w:val="20"/>
            <w:u w:val="none"/>
          </w:rPr>
          <w:tab/>
        </w:r>
        <w:r>
          <w:rPr>
            <w:rStyle w:val="Hyperlink"/>
            <w:rFonts w:ascii="Arial" w:hAnsi="Arial" w:cs="Arial"/>
            <w:b/>
            <w:bCs/>
            <w:sz w:val="20"/>
            <w:u w:val="none"/>
          </w:rPr>
          <w:t>Court Support Coordinators</w:t>
        </w:r>
      </w:hyperlink>
    </w:p>
    <w:p w14:paraId="57255DA9" w14:textId="230D9510" w:rsidR="00277B85" w:rsidRPr="00A34933" w:rsidRDefault="00277B85">
      <w:pPr>
        <w:pBdr>
          <w:top w:val="single" w:sz="4" w:space="1" w:color="auto"/>
          <w:left w:val="single" w:sz="4" w:space="4" w:color="auto"/>
          <w:bottom w:val="single" w:sz="4" w:space="1" w:color="auto"/>
          <w:right w:val="single" w:sz="4" w:space="4" w:color="auto"/>
        </w:pBdr>
        <w:rPr>
          <w:rFonts w:ascii="Arial" w:hAnsi="Arial" w:cs="Arial"/>
          <w:b/>
          <w:bCs/>
          <w:sz w:val="10"/>
        </w:rPr>
      </w:pPr>
    </w:p>
    <w:p w14:paraId="4F86F7E2" w14:textId="77777777" w:rsidR="00277B85" w:rsidRDefault="00277B85">
      <w:pPr>
        <w:jc w:val="both"/>
        <w:rPr>
          <w:rFonts w:ascii="Arial" w:hAnsi="Arial" w:cs="Arial"/>
          <w:sz w:val="20"/>
        </w:rPr>
      </w:pPr>
    </w:p>
    <w:p w14:paraId="5EC09927" w14:textId="77777777" w:rsidR="00541057" w:rsidRPr="00792C10" w:rsidRDefault="00541057" w:rsidP="00541057">
      <w:pPr>
        <w:pStyle w:val="Heading2"/>
        <w:widowControl/>
        <w:shd w:val="clear" w:color="auto" w:fill="000000" w:themeFill="text1"/>
        <w:tabs>
          <w:tab w:val="left" w:pos="567"/>
        </w:tabs>
        <w:spacing w:line="240" w:lineRule="auto"/>
        <w:jc w:val="center"/>
        <w:rPr>
          <w:rFonts w:ascii="Arial" w:hAnsi="Arial" w:cs="Arial"/>
          <w:b/>
          <w:bCs/>
          <w:color w:val="FFFFFF" w:themeColor="background1"/>
          <w:sz w:val="22"/>
          <w:szCs w:val="18"/>
        </w:rPr>
      </w:pPr>
      <w:bookmarkStart w:id="108" w:name="_2.1_Establishment,_Vision"/>
      <w:bookmarkEnd w:id="108"/>
      <w:r w:rsidRPr="00792C10">
        <w:rPr>
          <w:rFonts w:ascii="Arial" w:hAnsi="Arial" w:cs="Arial"/>
          <w:b/>
          <w:bCs/>
          <w:color w:val="FFFFFF" w:themeColor="background1"/>
          <w:sz w:val="22"/>
          <w:szCs w:val="18"/>
        </w:rPr>
        <w:t>UNLESS INDICATED OTHERWISE, ALL LEGISLATION REFERRED TO IS VICTORIAN.</w:t>
      </w:r>
    </w:p>
    <w:p w14:paraId="1DC05373" w14:textId="77777777" w:rsidR="00541057" w:rsidRPr="000C6804" w:rsidRDefault="00541057" w:rsidP="00541057">
      <w:pPr>
        <w:rPr>
          <w:rFonts w:ascii="Arial" w:hAnsi="Arial" w:cs="Arial"/>
          <w:sz w:val="20"/>
        </w:rPr>
      </w:pPr>
    </w:p>
    <w:p w14:paraId="07E06AA1" w14:textId="3AEF4119" w:rsidR="00277B85" w:rsidRDefault="00277B85">
      <w:pPr>
        <w:pStyle w:val="Heading2"/>
        <w:tabs>
          <w:tab w:val="left" w:pos="567"/>
        </w:tabs>
        <w:spacing w:line="240" w:lineRule="auto"/>
        <w:rPr>
          <w:rFonts w:ascii="Arial" w:hAnsi="Arial" w:cs="Arial"/>
          <w:b/>
          <w:bCs/>
        </w:rPr>
      </w:pPr>
      <w:r>
        <w:rPr>
          <w:rFonts w:ascii="Arial" w:hAnsi="Arial" w:cs="Arial"/>
          <w:b/>
          <w:bCs/>
        </w:rPr>
        <w:t>2.1</w:t>
      </w:r>
      <w:r>
        <w:rPr>
          <w:rFonts w:ascii="Arial" w:hAnsi="Arial" w:cs="Arial"/>
          <w:b/>
          <w:bCs/>
        </w:rPr>
        <w:tab/>
        <w:t>Establishment</w:t>
      </w:r>
      <w:bookmarkEnd w:id="54"/>
      <w:bookmarkEnd w:id="55"/>
      <w:bookmarkEnd w:id="56"/>
      <w:bookmarkEnd w:id="57"/>
      <w:bookmarkEnd w:id="58"/>
      <w:r>
        <w:rPr>
          <w:rFonts w:ascii="Arial" w:hAnsi="Arial" w:cs="Arial"/>
          <w:b/>
          <w:bCs/>
        </w:rPr>
        <w:t xml:space="preserve">, </w:t>
      </w:r>
      <w:r w:rsidR="005B73F4">
        <w:rPr>
          <w:rFonts w:ascii="Arial" w:hAnsi="Arial" w:cs="Arial"/>
          <w:b/>
          <w:bCs/>
        </w:rPr>
        <w:t>Role, Strategic Priorities</w:t>
      </w:r>
      <w:r>
        <w:rPr>
          <w:rFonts w:ascii="Arial" w:hAnsi="Arial" w:cs="Arial"/>
          <w:b/>
          <w:bCs/>
        </w:rPr>
        <w:t xml:space="preserve"> &amp; Purpose</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47674794" w14:textId="77777777" w:rsidR="00277B85" w:rsidRDefault="00277B85">
      <w:pPr>
        <w:jc w:val="both"/>
        <w:rPr>
          <w:rFonts w:ascii="Arial" w:hAnsi="Arial" w:cs="Arial"/>
          <w:sz w:val="20"/>
        </w:rPr>
      </w:pPr>
    </w:p>
    <w:p w14:paraId="6031CF3B" w14:textId="62D55823" w:rsidR="00277B85" w:rsidRDefault="00277B85">
      <w:pPr>
        <w:jc w:val="both"/>
        <w:rPr>
          <w:rFonts w:ascii="Arial" w:hAnsi="Arial" w:cs="Arial"/>
          <w:sz w:val="20"/>
        </w:rPr>
      </w:pPr>
      <w:r>
        <w:rPr>
          <w:rFonts w:ascii="Arial" w:hAnsi="Arial" w:cs="Arial"/>
          <w:sz w:val="20"/>
        </w:rPr>
        <w:t>The Children's C</w:t>
      </w:r>
      <w:r w:rsidR="004F4C22">
        <w:rPr>
          <w:rFonts w:ascii="Arial" w:hAnsi="Arial" w:cs="Arial"/>
          <w:sz w:val="20"/>
        </w:rPr>
        <w:t>ourt of Victoria ['the Court'] wa</w:t>
      </w:r>
      <w:r>
        <w:rPr>
          <w:rFonts w:ascii="Arial" w:hAnsi="Arial" w:cs="Arial"/>
          <w:sz w:val="20"/>
        </w:rPr>
        <w:t>s</w:t>
      </w:r>
      <w:r w:rsidR="00FC57C8">
        <w:rPr>
          <w:rFonts w:ascii="Arial" w:hAnsi="Arial" w:cs="Arial"/>
          <w:sz w:val="20"/>
        </w:rPr>
        <w:t xml:space="preserve"> most recently</w:t>
      </w:r>
      <w:r>
        <w:rPr>
          <w:rFonts w:ascii="Arial" w:hAnsi="Arial" w:cs="Arial"/>
          <w:sz w:val="20"/>
        </w:rPr>
        <w:t xml:space="preserve"> </w:t>
      </w:r>
      <w:r w:rsidRPr="005272DF">
        <w:rPr>
          <w:rFonts w:ascii="Arial" w:hAnsi="Arial" w:cs="Arial"/>
          <w:b/>
          <w:bCs/>
          <w:sz w:val="20"/>
        </w:rPr>
        <w:t>established</w:t>
      </w:r>
      <w:r>
        <w:rPr>
          <w:rFonts w:ascii="Arial" w:hAnsi="Arial" w:cs="Arial"/>
          <w:sz w:val="20"/>
        </w:rPr>
        <w:t xml:space="preserve"> by s.8(1) of the </w:t>
      </w:r>
      <w:r w:rsidRPr="00F66CA4">
        <w:rPr>
          <w:rFonts w:ascii="Arial" w:hAnsi="Arial" w:cs="Arial"/>
          <w:i/>
          <w:color w:val="000000"/>
          <w:sz w:val="20"/>
        </w:rPr>
        <w:t xml:space="preserve">Children and Young Persons Act 1989 </w:t>
      </w:r>
      <w:r w:rsidR="004F4C22">
        <w:rPr>
          <w:rFonts w:ascii="Arial" w:hAnsi="Arial" w:cs="Arial"/>
          <w:color w:val="000000"/>
          <w:sz w:val="20"/>
        </w:rPr>
        <w:t>(</w:t>
      </w:r>
      <w:r>
        <w:rPr>
          <w:rFonts w:ascii="Arial" w:hAnsi="Arial" w:cs="Arial"/>
          <w:color w:val="000000"/>
          <w:sz w:val="20"/>
        </w:rPr>
        <w:t>No.56/1989</w:t>
      </w:r>
      <w:r w:rsidR="004F4C22">
        <w:rPr>
          <w:rFonts w:ascii="Arial" w:hAnsi="Arial" w:cs="Arial"/>
          <w:color w:val="000000"/>
          <w:sz w:val="20"/>
        </w:rPr>
        <w:t>)</w:t>
      </w:r>
      <w:r>
        <w:rPr>
          <w:rFonts w:ascii="Arial" w:hAnsi="Arial" w:cs="Arial"/>
          <w:color w:val="000000"/>
          <w:sz w:val="20"/>
        </w:rPr>
        <w:t xml:space="preserve"> </w:t>
      </w:r>
      <w:r w:rsidR="004F4C22">
        <w:rPr>
          <w:rFonts w:ascii="Arial" w:hAnsi="Arial" w:cs="Arial"/>
          <w:color w:val="000000"/>
          <w:sz w:val="20"/>
        </w:rPr>
        <w:t>[</w:t>
      </w:r>
      <w:r>
        <w:rPr>
          <w:rFonts w:ascii="Arial" w:hAnsi="Arial" w:cs="Arial"/>
          <w:color w:val="000000"/>
          <w:sz w:val="20"/>
        </w:rPr>
        <w:t>'CYPA'</w:t>
      </w:r>
      <w:r w:rsidR="004F4C22">
        <w:rPr>
          <w:rFonts w:ascii="Arial" w:hAnsi="Arial" w:cs="Arial"/>
          <w:color w:val="000000"/>
          <w:sz w:val="20"/>
        </w:rPr>
        <w:t xml:space="preserve">] and is continued in operation by s.504(1) of the </w:t>
      </w:r>
      <w:r w:rsidR="004F4C22" w:rsidRPr="00F66CA4">
        <w:rPr>
          <w:rFonts w:ascii="Arial" w:hAnsi="Arial" w:cs="Arial"/>
          <w:i/>
          <w:iCs/>
          <w:color w:val="000000"/>
          <w:sz w:val="20"/>
        </w:rPr>
        <w:t>Children, Youth and Families Act 2005</w:t>
      </w:r>
      <w:r w:rsidR="004F4C22">
        <w:rPr>
          <w:rFonts w:ascii="Arial" w:hAnsi="Arial" w:cs="Arial"/>
          <w:color w:val="000000"/>
          <w:sz w:val="20"/>
        </w:rPr>
        <w:t xml:space="preserve"> (No.96/2005) [‘CYFA’].</w:t>
      </w:r>
    </w:p>
    <w:p w14:paraId="71E7FBCC" w14:textId="77777777" w:rsidR="00277B85" w:rsidRDefault="00277B85">
      <w:pPr>
        <w:rPr>
          <w:rFonts w:ascii="Arial" w:hAnsi="Arial" w:cs="Arial"/>
          <w:sz w:val="20"/>
        </w:rPr>
      </w:pPr>
    </w:p>
    <w:p w14:paraId="6BB3BA7E" w14:textId="0C272867" w:rsidR="00277B85" w:rsidRDefault="002F79AC">
      <w:pPr>
        <w:jc w:val="both"/>
        <w:rPr>
          <w:rFonts w:ascii="Arial" w:hAnsi="Arial" w:cs="Arial"/>
          <w:sz w:val="20"/>
        </w:rPr>
      </w:pPr>
      <w:r>
        <w:rPr>
          <w:rFonts w:ascii="Arial" w:hAnsi="Arial" w:cs="Arial"/>
          <w:sz w:val="20"/>
        </w:rPr>
        <w:t>The Court’s</w:t>
      </w:r>
      <w:r w:rsidR="00277B85">
        <w:rPr>
          <w:rFonts w:ascii="Arial" w:hAnsi="Arial" w:cs="Arial"/>
          <w:sz w:val="20"/>
        </w:rPr>
        <w:t xml:space="preserve"> </w:t>
      </w:r>
      <w:r w:rsidR="005B73F4" w:rsidRPr="005272DF">
        <w:rPr>
          <w:rFonts w:ascii="Arial" w:hAnsi="Arial" w:cs="Arial"/>
          <w:b/>
          <w:bCs/>
          <w:sz w:val="20"/>
        </w:rPr>
        <w:t>v</w:t>
      </w:r>
      <w:r w:rsidR="00277B85" w:rsidRPr="005272DF">
        <w:rPr>
          <w:rFonts w:ascii="Arial" w:hAnsi="Arial" w:cs="Arial"/>
          <w:b/>
          <w:bCs/>
          <w:sz w:val="20"/>
        </w:rPr>
        <w:t>ision</w:t>
      </w:r>
      <w:r w:rsidR="00277B85">
        <w:rPr>
          <w:rFonts w:ascii="Arial" w:hAnsi="Arial" w:cs="Arial"/>
          <w:sz w:val="20"/>
        </w:rPr>
        <w:t xml:space="preserve"> is: "</w:t>
      </w:r>
      <w:r w:rsidR="005B73F4">
        <w:rPr>
          <w:rFonts w:ascii="Arial" w:hAnsi="Arial" w:cs="Arial"/>
          <w:sz w:val="20"/>
        </w:rPr>
        <w:t>Consistent access for all Victorians to a dedicated, specialist Children’s Court where cases involving children and young people are heard in safe and culturally appropriate environments</w:t>
      </w:r>
      <w:r w:rsidR="00277B85">
        <w:rPr>
          <w:rFonts w:ascii="Arial" w:hAnsi="Arial" w:cs="Arial"/>
          <w:sz w:val="20"/>
        </w:rPr>
        <w:t>."</w:t>
      </w:r>
    </w:p>
    <w:p w14:paraId="69065780" w14:textId="3AB4A8D5" w:rsidR="00277B85" w:rsidRDefault="00277B85">
      <w:pPr>
        <w:jc w:val="both"/>
        <w:rPr>
          <w:rFonts w:ascii="Arial" w:hAnsi="Arial" w:cs="Arial"/>
          <w:sz w:val="20"/>
        </w:rPr>
      </w:pPr>
    </w:p>
    <w:p w14:paraId="3FBDBA7C" w14:textId="768D7924" w:rsidR="005B73F4" w:rsidRDefault="005B73F4">
      <w:pPr>
        <w:jc w:val="both"/>
        <w:rPr>
          <w:rFonts w:ascii="Arial" w:hAnsi="Arial" w:cs="Arial"/>
          <w:sz w:val="20"/>
        </w:rPr>
      </w:pPr>
      <w:r>
        <w:rPr>
          <w:rFonts w:ascii="Arial" w:hAnsi="Arial" w:cs="Arial"/>
          <w:sz w:val="20"/>
        </w:rPr>
        <w:lastRenderedPageBreak/>
        <w:t xml:space="preserve">Its </w:t>
      </w:r>
      <w:r w:rsidRPr="005272DF">
        <w:rPr>
          <w:rFonts w:ascii="Arial" w:hAnsi="Arial" w:cs="Arial"/>
          <w:b/>
          <w:bCs/>
          <w:sz w:val="20"/>
        </w:rPr>
        <w:t>role</w:t>
      </w:r>
      <w:r>
        <w:rPr>
          <w:rFonts w:ascii="Arial" w:hAnsi="Arial" w:cs="Arial"/>
          <w:sz w:val="20"/>
        </w:rPr>
        <w:t xml:space="preserve"> is described as follows: “The Children’s Court expertly and fairly applies the law in cases involving children and young people.  We work closely with youth justice, legal services, child protection and other community-based services to provide a multi-disciplinary court response to address </w:t>
      </w:r>
      <w:r w:rsidR="005272DF">
        <w:rPr>
          <w:rFonts w:ascii="Arial" w:hAnsi="Arial" w:cs="Arial"/>
          <w:sz w:val="20"/>
        </w:rPr>
        <w:t>the best interests of children in need of protection.  We promote the accountability and rehabilitation of young offenders and, in doing so, improve community safety.”</w:t>
      </w:r>
    </w:p>
    <w:p w14:paraId="06619D2E" w14:textId="2C6D55F0" w:rsidR="005B73F4" w:rsidRDefault="005B73F4">
      <w:pPr>
        <w:jc w:val="both"/>
        <w:rPr>
          <w:rFonts w:ascii="Arial" w:hAnsi="Arial" w:cs="Arial"/>
          <w:sz w:val="20"/>
        </w:rPr>
      </w:pPr>
    </w:p>
    <w:p w14:paraId="79869567" w14:textId="2E8194C9" w:rsidR="005272DF" w:rsidRDefault="005272DF">
      <w:pPr>
        <w:jc w:val="both"/>
        <w:rPr>
          <w:rFonts w:ascii="Arial" w:hAnsi="Arial" w:cs="Arial"/>
          <w:sz w:val="20"/>
        </w:rPr>
      </w:pPr>
      <w:r>
        <w:rPr>
          <w:rFonts w:ascii="Arial" w:hAnsi="Arial" w:cs="Arial"/>
          <w:sz w:val="20"/>
        </w:rPr>
        <w:t xml:space="preserve">In a document entitled “Statement of Priorities 2022-2025”, the Court’s </w:t>
      </w:r>
      <w:r w:rsidRPr="005272DF">
        <w:rPr>
          <w:rFonts w:ascii="Arial" w:hAnsi="Arial" w:cs="Arial"/>
          <w:b/>
          <w:bCs/>
          <w:sz w:val="20"/>
        </w:rPr>
        <w:t>strategic priorities</w:t>
      </w:r>
      <w:r>
        <w:rPr>
          <w:rFonts w:ascii="Arial" w:hAnsi="Arial" w:cs="Arial"/>
          <w:sz w:val="20"/>
        </w:rPr>
        <w:t xml:space="preserve"> are summarised as follows:</w:t>
      </w:r>
    </w:p>
    <w:p w14:paraId="68B7090F" w14:textId="5817F1C7" w:rsidR="005272DF" w:rsidRPr="005272DF" w:rsidRDefault="005272DF" w:rsidP="00C23CF0">
      <w:pPr>
        <w:pStyle w:val="ListParagraph"/>
        <w:numPr>
          <w:ilvl w:val="0"/>
          <w:numId w:val="27"/>
        </w:numPr>
        <w:spacing w:before="100"/>
        <w:ind w:left="714" w:hanging="357"/>
        <w:jc w:val="both"/>
        <w:rPr>
          <w:rFonts w:ascii="Arial" w:hAnsi="Arial" w:cs="Arial"/>
          <w:b/>
          <w:bCs/>
          <w:sz w:val="20"/>
        </w:rPr>
      </w:pPr>
      <w:r w:rsidRPr="005272DF">
        <w:rPr>
          <w:rFonts w:ascii="Arial" w:hAnsi="Arial" w:cs="Arial"/>
          <w:b/>
          <w:bCs/>
          <w:sz w:val="20"/>
        </w:rPr>
        <w:t>Implement Self Determination Plan</w:t>
      </w:r>
    </w:p>
    <w:p w14:paraId="66C62D96" w14:textId="6E4B97EA" w:rsidR="005272DF" w:rsidRDefault="005272DF" w:rsidP="00C23CF0">
      <w:pPr>
        <w:pStyle w:val="ListParagraph"/>
        <w:numPr>
          <w:ilvl w:val="0"/>
          <w:numId w:val="28"/>
        </w:numPr>
        <w:spacing w:before="60"/>
        <w:ind w:left="1077" w:hanging="357"/>
        <w:jc w:val="both"/>
        <w:rPr>
          <w:rFonts w:ascii="Arial" w:hAnsi="Arial" w:cs="Arial"/>
          <w:sz w:val="20"/>
        </w:rPr>
      </w:pPr>
      <w:r>
        <w:rPr>
          <w:rFonts w:ascii="Arial" w:hAnsi="Arial" w:cs="Arial"/>
          <w:sz w:val="20"/>
        </w:rPr>
        <w:t xml:space="preserve">Ensure the delivery of all initiatives in the Children’s Court Self Determination Plan that sits within the CSV Self Determination Plan – </w:t>
      </w:r>
      <w:proofErr w:type="spellStart"/>
      <w:r>
        <w:rPr>
          <w:rFonts w:ascii="Arial" w:hAnsi="Arial" w:cs="Arial"/>
          <w:sz w:val="20"/>
        </w:rPr>
        <w:t>Yaanadhan</w:t>
      </w:r>
      <w:proofErr w:type="spellEnd"/>
      <w:r>
        <w:rPr>
          <w:rFonts w:ascii="Arial" w:hAnsi="Arial" w:cs="Arial"/>
          <w:sz w:val="20"/>
        </w:rPr>
        <w:t xml:space="preserve"> </w:t>
      </w:r>
      <w:proofErr w:type="spellStart"/>
      <w:r>
        <w:rPr>
          <w:rFonts w:ascii="Arial" w:hAnsi="Arial" w:cs="Arial"/>
          <w:sz w:val="20"/>
        </w:rPr>
        <w:t>Manamith</w:t>
      </w:r>
      <w:proofErr w:type="spellEnd"/>
      <w:r>
        <w:rPr>
          <w:rFonts w:ascii="Arial" w:hAnsi="Arial" w:cs="Arial"/>
          <w:sz w:val="20"/>
        </w:rPr>
        <w:t xml:space="preserve"> Yirramboi: Striving for a Better Tomorrow.</w:t>
      </w:r>
    </w:p>
    <w:p w14:paraId="650FD92D" w14:textId="66C5FC77" w:rsidR="005272DF" w:rsidRPr="005272DF" w:rsidRDefault="005272DF" w:rsidP="00C23CF0">
      <w:pPr>
        <w:pStyle w:val="ListParagraph"/>
        <w:numPr>
          <w:ilvl w:val="0"/>
          <w:numId w:val="28"/>
        </w:numPr>
        <w:spacing w:before="60"/>
        <w:ind w:left="1077" w:hanging="357"/>
        <w:jc w:val="both"/>
        <w:rPr>
          <w:rFonts w:ascii="Arial" w:hAnsi="Arial" w:cs="Arial"/>
          <w:sz w:val="20"/>
        </w:rPr>
      </w:pPr>
      <w:r>
        <w:rPr>
          <w:rFonts w:ascii="Arial" w:hAnsi="Arial" w:cs="Arial"/>
          <w:sz w:val="20"/>
        </w:rPr>
        <w:t>This Plan sits across all the Court’s Strategic Priorities, ensuring that Koori self-determination underpins all aspects of the Court’s planning and operations.</w:t>
      </w:r>
    </w:p>
    <w:p w14:paraId="265B743F" w14:textId="1E563974" w:rsidR="005272DF" w:rsidRPr="005272DF" w:rsidRDefault="005272DF" w:rsidP="00C23CF0">
      <w:pPr>
        <w:pStyle w:val="ListParagraph"/>
        <w:numPr>
          <w:ilvl w:val="0"/>
          <w:numId w:val="27"/>
        </w:numPr>
        <w:spacing w:before="100"/>
        <w:ind w:left="714" w:hanging="357"/>
        <w:jc w:val="both"/>
        <w:rPr>
          <w:rFonts w:ascii="Arial" w:hAnsi="Arial" w:cs="Arial"/>
          <w:b/>
          <w:bCs/>
          <w:sz w:val="20"/>
        </w:rPr>
      </w:pPr>
      <w:r>
        <w:rPr>
          <w:rFonts w:ascii="Arial" w:hAnsi="Arial" w:cs="Arial"/>
          <w:b/>
          <w:bCs/>
          <w:sz w:val="20"/>
        </w:rPr>
        <w:t>Improve the Court User Experience</w:t>
      </w:r>
    </w:p>
    <w:p w14:paraId="7047DAEB" w14:textId="2F1582F5" w:rsidR="005272DF" w:rsidRDefault="005272DF" w:rsidP="00C23CF0">
      <w:pPr>
        <w:pStyle w:val="ListParagraph"/>
        <w:numPr>
          <w:ilvl w:val="0"/>
          <w:numId w:val="28"/>
        </w:numPr>
        <w:spacing w:before="60"/>
        <w:ind w:left="1077" w:hanging="357"/>
        <w:jc w:val="both"/>
        <w:rPr>
          <w:rFonts w:ascii="Arial" w:hAnsi="Arial" w:cs="Arial"/>
          <w:sz w:val="20"/>
        </w:rPr>
      </w:pPr>
      <w:r>
        <w:rPr>
          <w:rFonts w:ascii="Arial" w:hAnsi="Arial" w:cs="Arial"/>
          <w:sz w:val="20"/>
        </w:rPr>
        <w:t>Review and adapt service models based on sound evidence to meet the changing needs of Victorian families and young people.</w:t>
      </w:r>
    </w:p>
    <w:p w14:paraId="0FA64EC1" w14:textId="3C15E847" w:rsidR="005272DF" w:rsidRDefault="005272DF" w:rsidP="00C23CF0">
      <w:pPr>
        <w:pStyle w:val="ListParagraph"/>
        <w:numPr>
          <w:ilvl w:val="0"/>
          <w:numId w:val="28"/>
        </w:numPr>
        <w:spacing w:before="60"/>
        <w:ind w:left="1077" w:hanging="357"/>
        <w:jc w:val="both"/>
        <w:rPr>
          <w:rFonts w:ascii="Arial" w:hAnsi="Arial" w:cs="Arial"/>
          <w:sz w:val="20"/>
        </w:rPr>
      </w:pPr>
      <w:r>
        <w:rPr>
          <w:rFonts w:ascii="Arial" w:hAnsi="Arial" w:cs="Arial"/>
          <w:sz w:val="20"/>
        </w:rPr>
        <w:t>Undertake an evaluation of online hearings to guide future operating models.</w:t>
      </w:r>
    </w:p>
    <w:p w14:paraId="7A27EC72" w14:textId="4DF1652C" w:rsidR="005272DF" w:rsidRDefault="005272DF" w:rsidP="00C23CF0">
      <w:pPr>
        <w:pStyle w:val="ListParagraph"/>
        <w:numPr>
          <w:ilvl w:val="0"/>
          <w:numId w:val="28"/>
        </w:numPr>
        <w:spacing w:before="60"/>
        <w:ind w:left="1077" w:hanging="357"/>
        <w:jc w:val="both"/>
        <w:rPr>
          <w:rFonts w:ascii="Arial" w:hAnsi="Arial" w:cs="Arial"/>
          <w:sz w:val="20"/>
        </w:rPr>
      </w:pPr>
      <w:r>
        <w:rPr>
          <w:rFonts w:ascii="Arial" w:hAnsi="Arial" w:cs="Arial"/>
          <w:sz w:val="20"/>
        </w:rPr>
        <w:t>Explore and identify Family Violence best practices and improve Family Violence responses.</w:t>
      </w:r>
    </w:p>
    <w:p w14:paraId="68A6C34E" w14:textId="11E1751B" w:rsidR="005272DF" w:rsidRDefault="000824A4" w:rsidP="00C23CF0">
      <w:pPr>
        <w:pStyle w:val="ListParagraph"/>
        <w:numPr>
          <w:ilvl w:val="0"/>
          <w:numId w:val="28"/>
        </w:numPr>
        <w:spacing w:before="60"/>
        <w:ind w:left="1077" w:hanging="357"/>
        <w:jc w:val="both"/>
        <w:rPr>
          <w:rFonts w:ascii="Arial" w:hAnsi="Arial" w:cs="Arial"/>
          <w:sz w:val="20"/>
        </w:rPr>
      </w:pPr>
      <w:r>
        <w:rPr>
          <w:rFonts w:ascii="Arial" w:hAnsi="Arial" w:cs="Arial"/>
          <w:sz w:val="20"/>
        </w:rPr>
        <w:t>Refresh the Children’s Koori Court Model to ensure it continues to be tailored to meet the needs of Aboriginal young people and look for opportunities for expansion to more locations across the state.</w:t>
      </w:r>
    </w:p>
    <w:p w14:paraId="609F64C5" w14:textId="2ECCB699" w:rsidR="005272DF" w:rsidRDefault="000824A4" w:rsidP="00C23CF0">
      <w:pPr>
        <w:pStyle w:val="ListParagraph"/>
        <w:numPr>
          <w:ilvl w:val="0"/>
          <w:numId w:val="28"/>
        </w:numPr>
        <w:spacing w:before="60"/>
        <w:ind w:left="1077" w:hanging="357"/>
        <w:jc w:val="both"/>
        <w:rPr>
          <w:rFonts w:ascii="Arial" w:hAnsi="Arial" w:cs="Arial"/>
          <w:sz w:val="20"/>
        </w:rPr>
      </w:pPr>
      <w:r>
        <w:rPr>
          <w:rFonts w:ascii="Arial" w:hAnsi="Arial" w:cs="Arial"/>
          <w:sz w:val="20"/>
        </w:rPr>
        <w:t>Support the implementation of the Disability Advice and Response Team (DART), a new support service which will assist in screening for disability and referral to services to address the young person’s disability needs.</w:t>
      </w:r>
    </w:p>
    <w:p w14:paraId="7E85DA67" w14:textId="40A36252" w:rsidR="000824A4" w:rsidRDefault="000824A4" w:rsidP="00C23CF0">
      <w:pPr>
        <w:pStyle w:val="ListParagraph"/>
        <w:numPr>
          <w:ilvl w:val="0"/>
          <w:numId w:val="28"/>
        </w:numPr>
        <w:spacing w:before="60"/>
        <w:ind w:left="1077" w:hanging="357"/>
        <w:jc w:val="both"/>
        <w:rPr>
          <w:rFonts w:ascii="Arial" w:hAnsi="Arial" w:cs="Arial"/>
          <w:sz w:val="20"/>
        </w:rPr>
      </w:pPr>
      <w:r>
        <w:rPr>
          <w:rFonts w:ascii="Arial" w:hAnsi="Arial" w:cs="Arial"/>
          <w:sz w:val="20"/>
        </w:rPr>
        <w:t xml:space="preserve">Establish the Children’s Court Online Bail and Remand Court. [This </w:t>
      </w:r>
      <w:r w:rsidR="00786621">
        <w:rPr>
          <w:rFonts w:ascii="Arial" w:hAnsi="Arial" w:cs="Arial"/>
          <w:sz w:val="20"/>
        </w:rPr>
        <w:t xml:space="preserve">initiative commenced on 03/09/2022 and is described in </w:t>
      </w:r>
      <w:r w:rsidR="00786621" w:rsidRPr="00784343">
        <w:rPr>
          <w:rFonts w:ascii="Arial" w:hAnsi="Arial" w:cs="Arial"/>
          <w:b/>
          <w:bCs/>
          <w:sz w:val="20"/>
          <w:shd w:val="clear" w:color="auto" w:fill="C5E0B3"/>
        </w:rPr>
        <w:t>section 2.5.3</w:t>
      </w:r>
      <w:r w:rsidR="00786621">
        <w:rPr>
          <w:rFonts w:ascii="Arial" w:hAnsi="Arial" w:cs="Arial"/>
          <w:sz w:val="20"/>
        </w:rPr>
        <w:t xml:space="preserve"> below.]</w:t>
      </w:r>
    </w:p>
    <w:p w14:paraId="4E3E8155" w14:textId="7158FD02" w:rsidR="000824A4" w:rsidRPr="005272DF" w:rsidRDefault="000824A4" w:rsidP="00C23CF0">
      <w:pPr>
        <w:pStyle w:val="ListParagraph"/>
        <w:numPr>
          <w:ilvl w:val="0"/>
          <w:numId w:val="27"/>
        </w:numPr>
        <w:spacing w:before="100"/>
        <w:ind w:left="714" w:hanging="357"/>
        <w:jc w:val="both"/>
        <w:rPr>
          <w:rFonts w:ascii="Arial" w:hAnsi="Arial" w:cs="Arial"/>
          <w:b/>
          <w:bCs/>
          <w:sz w:val="20"/>
        </w:rPr>
      </w:pPr>
      <w:r>
        <w:rPr>
          <w:rFonts w:ascii="Arial" w:hAnsi="Arial" w:cs="Arial"/>
          <w:b/>
          <w:bCs/>
          <w:sz w:val="20"/>
        </w:rPr>
        <w:t xml:space="preserve">Increase </w:t>
      </w:r>
      <w:r w:rsidR="00786621">
        <w:rPr>
          <w:rFonts w:ascii="Arial" w:hAnsi="Arial" w:cs="Arial"/>
          <w:b/>
          <w:bCs/>
          <w:sz w:val="20"/>
        </w:rPr>
        <w:t>the number of specialist Children’s Courts</w:t>
      </w:r>
    </w:p>
    <w:p w14:paraId="5945E7A0" w14:textId="2B7E6DEC" w:rsidR="00786621" w:rsidRDefault="00786621" w:rsidP="00C23CF0">
      <w:pPr>
        <w:pStyle w:val="ListParagraph"/>
        <w:numPr>
          <w:ilvl w:val="0"/>
          <w:numId w:val="28"/>
        </w:numPr>
        <w:spacing w:before="60"/>
        <w:ind w:left="1077" w:hanging="357"/>
        <w:jc w:val="both"/>
        <w:rPr>
          <w:rFonts w:ascii="Arial" w:hAnsi="Arial" w:cs="Arial"/>
          <w:sz w:val="20"/>
        </w:rPr>
      </w:pPr>
      <w:r>
        <w:rPr>
          <w:rFonts w:ascii="Arial" w:hAnsi="Arial" w:cs="Arial"/>
          <w:sz w:val="20"/>
        </w:rPr>
        <w:t>Use existing and new assets to deliver high-quality Children’s Court services.</w:t>
      </w:r>
    </w:p>
    <w:p w14:paraId="69D3CE8C" w14:textId="2418A43E" w:rsidR="00786621" w:rsidRDefault="00786621" w:rsidP="00C23CF0">
      <w:pPr>
        <w:pStyle w:val="ListParagraph"/>
        <w:numPr>
          <w:ilvl w:val="0"/>
          <w:numId w:val="28"/>
        </w:numPr>
        <w:spacing w:before="60"/>
        <w:ind w:left="1077" w:hanging="357"/>
        <w:jc w:val="both"/>
        <w:rPr>
          <w:rFonts w:ascii="Arial" w:hAnsi="Arial" w:cs="Arial"/>
          <w:sz w:val="20"/>
        </w:rPr>
      </w:pPr>
      <w:r>
        <w:rPr>
          <w:rFonts w:ascii="Arial" w:hAnsi="Arial" w:cs="Arial"/>
          <w:sz w:val="20"/>
        </w:rPr>
        <w:t>Develop, design and deliver dedicated Children’s Courts at Bendigo and Wyndham.</w:t>
      </w:r>
    </w:p>
    <w:p w14:paraId="7DA7C080" w14:textId="06629833" w:rsidR="00786621" w:rsidRDefault="00786621" w:rsidP="00C23CF0">
      <w:pPr>
        <w:pStyle w:val="ListParagraph"/>
        <w:numPr>
          <w:ilvl w:val="0"/>
          <w:numId w:val="28"/>
        </w:numPr>
        <w:spacing w:before="60"/>
        <w:ind w:left="1077" w:hanging="357"/>
        <w:jc w:val="both"/>
        <w:rPr>
          <w:rFonts w:ascii="Arial" w:hAnsi="Arial" w:cs="Arial"/>
          <w:sz w:val="20"/>
        </w:rPr>
      </w:pPr>
      <w:r>
        <w:rPr>
          <w:rFonts w:ascii="Arial" w:hAnsi="Arial" w:cs="Arial"/>
          <w:sz w:val="20"/>
        </w:rPr>
        <w:t>Deliver a dedicated specialist Children’s Court at Dandenong to strengthen access to justice services in Melbourne’s South-east.</w:t>
      </w:r>
    </w:p>
    <w:p w14:paraId="2790E111" w14:textId="2579CCBD" w:rsidR="00786621" w:rsidRDefault="00786621" w:rsidP="00C23CF0">
      <w:pPr>
        <w:pStyle w:val="ListParagraph"/>
        <w:numPr>
          <w:ilvl w:val="0"/>
          <w:numId w:val="28"/>
        </w:numPr>
        <w:spacing w:before="60"/>
        <w:ind w:left="1077" w:hanging="357"/>
        <w:jc w:val="both"/>
        <w:rPr>
          <w:rFonts w:ascii="Arial" w:hAnsi="Arial" w:cs="Arial"/>
          <w:sz w:val="20"/>
        </w:rPr>
      </w:pPr>
      <w:r>
        <w:rPr>
          <w:rFonts w:ascii="Arial" w:hAnsi="Arial" w:cs="Arial"/>
          <w:sz w:val="20"/>
        </w:rPr>
        <w:t>Redevelop the Moorabbin Children’s Court to improve access to Children’s Court services.</w:t>
      </w:r>
    </w:p>
    <w:p w14:paraId="7C1718AC" w14:textId="0774E656" w:rsidR="00786621" w:rsidRDefault="00786621" w:rsidP="00C23CF0">
      <w:pPr>
        <w:pStyle w:val="ListParagraph"/>
        <w:numPr>
          <w:ilvl w:val="0"/>
          <w:numId w:val="28"/>
        </w:numPr>
        <w:spacing w:before="60"/>
        <w:ind w:left="1077" w:hanging="357"/>
        <w:jc w:val="both"/>
        <w:rPr>
          <w:rFonts w:ascii="Arial" w:hAnsi="Arial" w:cs="Arial"/>
          <w:sz w:val="20"/>
        </w:rPr>
      </w:pPr>
      <w:r>
        <w:rPr>
          <w:rFonts w:ascii="Arial" w:hAnsi="Arial" w:cs="Arial"/>
          <w:sz w:val="20"/>
        </w:rPr>
        <w:t>Identify priority locations and plan for new dedicated specialist Children’s Courts.</w:t>
      </w:r>
    </w:p>
    <w:p w14:paraId="03260ED2" w14:textId="50B39B9A" w:rsidR="00786621" w:rsidRPr="005272DF" w:rsidRDefault="00786621" w:rsidP="00C23CF0">
      <w:pPr>
        <w:pStyle w:val="ListParagraph"/>
        <w:numPr>
          <w:ilvl w:val="0"/>
          <w:numId w:val="27"/>
        </w:numPr>
        <w:spacing w:before="120"/>
        <w:jc w:val="both"/>
        <w:rPr>
          <w:rFonts w:ascii="Arial" w:hAnsi="Arial" w:cs="Arial"/>
          <w:b/>
          <w:bCs/>
          <w:sz w:val="20"/>
        </w:rPr>
      </w:pPr>
      <w:r>
        <w:rPr>
          <w:rFonts w:ascii="Arial" w:hAnsi="Arial" w:cs="Arial"/>
          <w:b/>
          <w:bCs/>
          <w:sz w:val="20"/>
        </w:rPr>
        <w:t>Engage with the Community</w:t>
      </w:r>
    </w:p>
    <w:p w14:paraId="0B6A3268" w14:textId="64871B13" w:rsidR="00786621" w:rsidRDefault="00786621" w:rsidP="00C23CF0">
      <w:pPr>
        <w:pStyle w:val="ListParagraph"/>
        <w:numPr>
          <w:ilvl w:val="0"/>
          <w:numId w:val="28"/>
        </w:numPr>
        <w:spacing w:before="60"/>
        <w:ind w:left="1077" w:hanging="357"/>
        <w:jc w:val="both"/>
        <w:rPr>
          <w:rFonts w:ascii="Arial" w:hAnsi="Arial" w:cs="Arial"/>
          <w:sz w:val="20"/>
        </w:rPr>
      </w:pPr>
      <w:r>
        <w:rPr>
          <w:rFonts w:ascii="Arial" w:hAnsi="Arial" w:cs="Arial"/>
          <w:sz w:val="20"/>
        </w:rPr>
        <w:t>Explore ways to increase and improve the way the court engages with court users.</w:t>
      </w:r>
    </w:p>
    <w:p w14:paraId="041C8099" w14:textId="33606C1B" w:rsidR="00786621" w:rsidRDefault="00786621" w:rsidP="00C23CF0">
      <w:pPr>
        <w:pStyle w:val="ListParagraph"/>
        <w:numPr>
          <w:ilvl w:val="0"/>
          <w:numId w:val="28"/>
        </w:numPr>
        <w:spacing w:before="60"/>
        <w:ind w:left="1077" w:hanging="357"/>
        <w:jc w:val="both"/>
        <w:rPr>
          <w:rFonts w:ascii="Arial" w:hAnsi="Arial" w:cs="Arial"/>
          <w:sz w:val="20"/>
        </w:rPr>
      </w:pPr>
      <w:r>
        <w:rPr>
          <w:rFonts w:ascii="Arial" w:hAnsi="Arial" w:cs="Arial"/>
          <w:sz w:val="20"/>
        </w:rPr>
        <w:t>Undertake regular court user surveys and targeted evaluations to understand and respond to court user needs.</w:t>
      </w:r>
    </w:p>
    <w:p w14:paraId="547E25A1" w14:textId="1150733F" w:rsidR="00786621" w:rsidRDefault="00786621" w:rsidP="00C23CF0">
      <w:pPr>
        <w:pStyle w:val="ListParagraph"/>
        <w:numPr>
          <w:ilvl w:val="0"/>
          <w:numId w:val="28"/>
        </w:numPr>
        <w:spacing w:before="60"/>
        <w:ind w:left="1077" w:hanging="357"/>
        <w:jc w:val="both"/>
        <w:rPr>
          <w:rFonts w:ascii="Arial" w:hAnsi="Arial" w:cs="Arial"/>
          <w:sz w:val="20"/>
        </w:rPr>
      </w:pPr>
      <w:r>
        <w:rPr>
          <w:rFonts w:ascii="Arial" w:hAnsi="Arial" w:cs="Arial"/>
          <w:sz w:val="20"/>
        </w:rPr>
        <w:t>Make information easily available and tailored to the communication needs of court users.</w:t>
      </w:r>
    </w:p>
    <w:p w14:paraId="0676663C" w14:textId="0A3D0096" w:rsidR="00786621" w:rsidRDefault="00786621" w:rsidP="00C23CF0">
      <w:pPr>
        <w:pStyle w:val="ListParagraph"/>
        <w:numPr>
          <w:ilvl w:val="0"/>
          <w:numId w:val="28"/>
        </w:numPr>
        <w:spacing w:before="60"/>
        <w:ind w:left="1077" w:hanging="357"/>
        <w:jc w:val="both"/>
        <w:rPr>
          <w:rFonts w:ascii="Arial" w:hAnsi="Arial" w:cs="Arial"/>
          <w:sz w:val="20"/>
        </w:rPr>
      </w:pPr>
      <w:r>
        <w:rPr>
          <w:rFonts w:ascii="Arial" w:hAnsi="Arial" w:cs="Arial"/>
          <w:sz w:val="20"/>
        </w:rPr>
        <w:t>Promote better understanding of the unique role of the Children’s Court to improve public confidence in the justice system.</w:t>
      </w:r>
    </w:p>
    <w:p w14:paraId="4DD77060" w14:textId="139BFB18" w:rsidR="00786621" w:rsidRPr="005272DF" w:rsidRDefault="00786621" w:rsidP="00C23CF0">
      <w:pPr>
        <w:pStyle w:val="ListParagraph"/>
        <w:numPr>
          <w:ilvl w:val="0"/>
          <w:numId w:val="27"/>
        </w:numPr>
        <w:spacing w:before="100"/>
        <w:ind w:left="714" w:hanging="357"/>
        <w:jc w:val="both"/>
        <w:rPr>
          <w:rFonts w:ascii="Arial" w:hAnsi="Arial" w:cs="Arial"/>
          <w:b/>
          <w:bCs/>
          <w:sz w:val="20"/>
        </w:rPr>
      </w:pPr>
      <w:r>
        <w:rPr>
          <w:rFonts w:ascii="Arial" w:hAnsi="Arial" w:cs="Arial"/>
          <w:b/>
          <w:bCs/>
          <w:sz w:val="20"/>
        </w:rPr>
        <w:t>Develop and support our people</w:t>
      </w:r>
    </w:p>
    <w:p w14:paraId="3952BAF5" w14:textId="0FD47205" w:rsidR="00786621" w:rsidRDefault="00786621" w:rsidP="00C23CF0">
      <w:pPr>
        <w:pStyle w:val="ListParagraph"/>
        <w:numPr>
          <w:ilvl w:val="0"/>
          <w:numId w:val="28"/>
        </w:numPr>
        <w:spacing w:before="60"/>
        <w:ind w:left="1077" w:hanging="357"/>
        <w:jc w:val="both"/>
        <w:rPr>
          <w:rFonts w:ascii="Arial" w:hAnsi="Arial" w:cs="Arial"/>
          <w:sz w:val="20"/>
        </w:rPr>
      </w:pPr>
      <w:r>
        <w:rPr>
          <w:rFonts w:ascii="Arial" w:hAnsi="Arial" w:cs="Arial"/>
          <w:sz w:val="20"/>
        </w:rPr>
        <w:t xml:space="preserve">Design and implement a </w:t>
      </w:r>
      <w:r w:rsidR="00F72C19">
        <w:rPr>
          <w:rFonts w:ascii="Arial" w:hAnsi="Arial" w:cs="Arial"/>
          <w:sz w:val="20"/>
        </w:rPr>
        <w:t>workforce plan that ensures we have the roles and structures to achieve our vision and fulfil our unique role.</w:t>
      </w:r>
    </w:p>
    <w:p w14:paraId="35DB25FE" w14:textId="26545C0E" w:rsidR="00786621" w:rsidRDefault="00F72C19" w:rsidP="00C23CF0">
      <w:pPr>
        <w:pStyle w:val="ListParagraph"/>
        <w:numPr>
          <w:ilvl w:val="0"/>
          <w:numId w:val="28"/>
        </w:numPr>
        <w:spacing w:before="60"/>
        <w:ind w:left="1077" w:hanging="357"/>
        <w:jc w:val="both"/>
        <w:rPr>
          <w:rFonts w:ascii="Arial" w:hAnsi="Arial" w:cs="Arial"/>
          <w:sz w:val="20"/>
        </w:rPr>
      </w:pPr>
      <w:r>
        <w:rPr>
          <w:rFonts w:ascii="Arial" w:hAnsi="Arial" w:cs="Arial"/>
          <w:sz w:val="20"/>
        </w:rPr>
        <w:t>Develop safety and wellbeing strategies that define the foundations for maintaining a healthy workplace.</w:t>
      </w:r>
    </w:p>
    <w:p w14:paraId="334D44B6" w14:textId="0C7CBD9D" w:rsidR="00786621" w:rsidRDefault="00F72C19" w:rsidP="00C23CF0">
      <w:pPr>
        <w:pStyle w:val="ListParagraph"/>
        <w:numPr>
          <w:ilvl w:val="0"/>
          <w:numId w:val="28"/>
        </w:numPr>
        <w:spacing w:before="60"/>
        <w:ind w:left="1077" w:hanging="357"/>
        <w:jc w:val="both"/>
        <w:rPr>
          <w:rFonts w:ascii="Arial" w:hAnsi="Arial" w:cs="Arial"/>
          <w:sz w:val="20"/>
        </w:rPr>
      </w:pPr>
      <w:r>
        <w:rPr>
          <w:rFonts w:ascii="Arial" w:hAnsi="Arial" w:cs="Arial"/>
          <w:sz w:val="20"/>
        </w:rPr>
        <w:t>Ensure access to high quality and contemporary education and training for staff to maintain and further enhance specialist capabilities.</w:t>
      </w:r>
    </w:p>
    <w:p w14:paraId="5CFF04C4" w14:textId="76022089" w:rsidR="00786621" w:rsidRPr="005272DF" w:rsidRDefault="00786621" w:rsidP="00C23CF0">
      <w:pPr>
        <w:pStyle w:val="ListParagraph"/>
        <w:numPr>
          <w:ilvl w:val="0"/>
          <w:numId w:val="27"/>
        </w:numPr>
        <w:spacing w:before="100"/>
        <w:ind w:left="714" w:hanging="357"/>
        <w:jc w:val="both"/>
        <w:rPr>
          <w:rFonts w:ascii="Arial" w:hAnsi="Arial" w:cs="Arial"/>
          <w:b/>
          <w:bCs/>
          <w:sz w:val="20"/>
        </w:rPr>
      </w:pPr>
      <w:r>
        <w:rPr>
          <w:rFonts w:ascii="Arial" w:hAnsi="Arial" w:cs="Arial"/>
          <w:b/>
          <w:bCs/>
          <w:sz w:val="20"/>
        </w:rPr>
        <w:t>Enhance participation and efficiency through technology</w:t>
      </w:r>
    </w:p>
    <w:p w14:paraId="60A3FE8A" w14:textId="09F0DAFE" w:rsidR="00786621" w:rsidRDefault="00786621" w:rsidP="00C23CF0">
      <w:pPr>
        <w:pStyle w:val="ListParagraph"/>
        <w:numPr>
          <w:ilvl w:val="0"/>
          <w:numId w:val="28"/>
        </w:numPr>
        <w:spacing w:before="60"/>
        <w:ind w:left="1077" w:hanging="357"/>
        <w:jc w:val="both"/>
        <w:rPr>
          <w:rFonts w:ascii="Arial" w:hAnsi="Arial" w:cs="Arial"/>
          <w:sz w:val="20"/>
        </w:rPr>
      </w:pPr>
      <w:r>
        <w:rPr>
          <w:rFonts w:ascii="Arial" w:hAnsi="Arial" w:cs="Arial"/>
          <w:sz w:val="20"/>
        </w:rPr>
        <w:t xml:space="preserve">Design and implement a modern end-to-end Case Management System. [This is in the process of construction: see </w:t>
      </w:r>
      <w:r w:rsidRPr="00784343">
        <w:rPr>
          <w:rFonts w:ascii="Arial" w:hAnsi="Arial" w:cs="Arial"/>
          <w:b/>
          <w:bCs/>
          <w:sz w:val="20"/>
          <w:shd w:val="clear" w:color="auto" w:fill="C5E0B3"/>
        </w:rPr>
        <w:t xml:space="preserve">section </w:t>
      </w:r>
      <w:r w:rsidR="003A27B7" w:rsidRPr="00784343">
        <w:rPr>
          <w:rFonts w:ascii="Arial" w:hAnsi="Arial" w:cs="Arial"/>
          <w:b/>
          <w:bCs/>
          <w:sz w:val="20"/>
          <w:shd w:val="clear" w:color="auto" w:fill="C5E0B3"/>
        </w:rPr>
        <w:t>1.6.3</w:t>
      </w:r>
      <w:r w:rsidR="003A27B7">
        <w:rPr>
          <w:rFonts w:ascii="Arial" w:hAnsi="Arial" w:cs="Arial"/>
          <w:sz w:val="20"/>
        </w:rPr>
        <w:t xml:space="preserve"> of the Research Materials.]</w:t>
      </w:r>
    </w:p>
    <w:p w14:paraId="0E68D11F" w14:textId="1776021C" w:rsidR="00786621" w:rsidRDefault="003A27B7" w:rsidP="00C23CF0">
      <w:pPr>
        <w:pStyle w:val="ListParagraph"/>
        <w:numPr>
          <w:ilvl w:val="0"/>
          <w:numId w:val="28"/>
        </w:numPr>
        <w:spacing w:before="60"/>
        <w:ind w:left="1077" w:hanging="357"/>
        <w:jc w:val="both"/>
        <w:rPr>
          <w:rFonts w:ascii="Arial" w:hAnsi="Arial" w:cs="Arial"/>
          <w:sz w:val="20"/>
        </w:rPr>
      </w:pPr>
      <w:r>
        <w:rPr>
          <w:rFonts w:ascii="Arial" w:hAnsi="Arial" w:cs="Arial"/>
          <w:sz w:val="20"/>
        </w:rPr>
        <w:t>Improve wayfinding and information provided to court users.</w:t>
      </w:r>
    </w:p>
    <w:p w14:paraId="662B55B2" w14:textId="5BF3D44C" w:rsidR="00786621" w:rsidRDefault="003A27B7" w:rsidP="00C23CF0">
      <w:pPr>
        <w:pStyle w:val="ListParagraph"/>
        <w:numPr>
          <w:ilvl w:val="0"/>
          <w:numId w:val="28"/>
        </w:numPr>
        <w:spacing w:before="60"/>
        <w:ind w:left="1077" w:hanging="357"/>
        <w:jc w:val="both"/>
        <w:rPr>
          <w:rFonts w:ascii="Arial" w:hAnsi="Arial" w:cs="Arial"/>
          <w:sz w:val="20"/>
        </w:rPr>
      </w:pPr>
      <w:r>
        <w:rPr>
          <w:rFonts w:ascii="Arial" w:hAnsi="Arial" w:cs="Arial"/>
          <w:sz w:val="20"/>
        </w:rPr>
        <w:lastRenderedPageBreak/>
        <w:t>Update Children’s Court courtrooms with the attest technology to enable greater accessibility and flexibility in the way matters are heard.</w:t>
      </w:r>
    </w:p>
    <w:p w14:paraId="3357C0B6" w14:textId="55302E73" w:rsidR="00277B85" w:rsidRDefault="005272DF" w:rsidP="00D15FA3">
      <w:pPr>
        <w:spacing w:before="120"/>
        <w:jc w:val="both"/>
        <w:rPr>
          <w:rFonts w:ascii="Arial" w:hAnsi="Arial" w:cs="Arial"/>
          <w:sz w:val="20"/>
        </w:rPr>
      </w:pPr>
      <w:r>
        <w:rPr>
          <w:rFonts w:ascii="Arial" w:hAnsi="Arial" w:cs="Arial"/>
          <w:sz w:val="20"/>
        </w:rPr>
        <w:t>The Court’s</w:t>
      </w:r>
      <w:r w:rsidR="00277B85">
        <w:rPr>
          <w:rFonts w:ascii="Arial" w:hAnsi="Arial" w:cs="Arial"/>
          <w:sz w:val="20"/>
        </w:rPr>
        <w:t xml:space="preserve"> </w:t>
      </w:r>
      <w:r w:rsidR="00277B85" w:rsidRPr="005272DF">
        <w:rPr>
          <w:rFonts w:ascii="Arial" w:hAnsi="Arial" w:cs="Arial"/>
          <w:b/>
          <w:bCs/>
          <w:sz w:val="20"/>
        </w:rPr>
        <w:t>purpose</w:t>
      </w:r>
      <w:r w:rsidR="00277B85">
        <w:rPr>
          <w:rFonts w:ascii="Arial" w:hAnsi="Arial" w:cs="Arial"/>
          <w:sz w:val="20"/>
        </w:rPr>
        <w:t xml:space="preserve"> is: "To provide an efficient, modern and responsive specialist court to hear and determine cases involving children and young persons in a timely, just and equitable manner which is easily understood by court users and the public generally."</w:t>
      </w:r>
    </w:p>
    <w:p w14:paraId="4888DF95" w14:textId="77777777" w:rsidR="00277B85" w:rsidRDefault="00277B85">
      <w:pPr>
        <w:rPr>
          <w:rFonts w:ascii="Arial" w:hAnsi="Arial" w:cs="Arial"/>
          <w:sz w:val="20"/>
        </w:rPr>
      </w:pPr>
    </w:p>
    <w:p w14:paraId="45F62C53" w14:textId="293D4EF7" w:rsidR="00C841C2" w:rsidRDefault="004E36B5" w:rsidP="004E36B5">
      <w:pPr>
        <w:jc w:val="both"/>
        <w:rPr>
          <w:rFonts w:ascii="Arial" w:hAnsi="Arial" w:cs="Arial"/>
          <w:sz w:val="20"/>
        </w:rPr>
      </w:pPr>
      <w:r>
        <w:rPr>
          <w:rFonts w:ascii="Arial" w:hAnsi="Arial" w:cs="Arial"/>
          <w:sz w:val="20"/>
        </w:rPr>
        <w:t xml:space="preserve">It </w:t>
      </w:r>
      <w:r w:rsidR="00393AB6">
        <w:rPr>
          <w:rFonts w:ascii="Arial" w:hAnsi="Arial" w:cs="Arial"/>
          <w:sz w:val="20"/>
        </w:rPr>
        <w:t xml:space="preserve">is important to emphasize what the Court’s purpose is not.  As an </w:t>
      </w:r>
      <w:r>
        <w:rPr>
          <w:rFonts w:ascii="Arial" w:hAnsi="Arial" w:cs="Arial"/>
          <w:sz w:val="20"/>
        </w:rPr>
        <w:t xml:space="preserve">institution of judicial decision-making, </w:t>
      </w:r>
      <w:r w:rsidR="00393AB6">
        <w:rPr>
          <w:rFonts w:ascii="Arial" w:hAnsi="Arial" w:cs="Arial"/>
          <w:sz w:val="20"/>
        </w:rPr>
        <w:t xml:space="preserve">the Court </w:t>
      </w:r>
      <w:r w:rsidR="00C841C2">
        <w:rPr>
          <w:rFonts w:ascii="Arial" w:hAnsi="Arial" w:cs="Arial"/>
          <w:sz w:val="20"/>
        </w:rPr>
        <w:t>has no power to</w:t>
      </w:r>
      <w:r>
        <w:rPr>
          <w:rFonts w:ascii="Arial" w:hAnsi="Arial" w:cs="Arial"/>
          <w:sz w:val="20"/>
        </w:rPr>
        <w:t xml:space="preserve"> become involved with a child until either</w:t>
      </w:r>
      <w:r w:rsidR="00741721">
        <w:rPr>
          <w:rFonts w:ascii="Arial" w:hAnsi="Arial" w:cs="Arial"/>
          <w:sz w:val="20"/>
        </w:rPr>
        <w:t>–</w:t>
      </w:r>
    </w:p>
    <w:p w14:paraId="100F33C9" w14:textId="77777777" w:rsidR="00C841C2" w:rsidRDefault="00C841C2" w:rsidP="0073729A">
      <w:pPr>
        <w:numPr>
          <w:ilvl w:val="0"/>
          <w:numId w:val="9"/>
        </w:numPr>
        <w:tabs>
          <w:tab w:val="clear" w:pos="420"/>
          <w:tab w:val="num" w:pos="357"/>
        </w:tabs>
        <w:ind w:left="357" w:hanging="357"/>
        <w:jc w:val="both"/>
        <w:rPr>
          <w:rFonts w:ascii="Arial" w:hAnsi="Arial" w:cs="Arial"/>
          <w:sz w:val="20"/>
          <w:szCs w:val="20"/>
        </w:rPr>
      </w:pPr>
      <w:r>
        <w:rPr>
          <w:rFonts w:ascii="Arial" w:hAnsi="Arial" w:cs="Arial"/>
          <w:sz w:val="20"/>
        </w:rPr>
        <w:t xml:space="preserve">an officer of </w:t>
      </w:r>
      <w:r w:rsidR="004E36B5">
        <w:rPr>
          <w:rFonts w:ascii="Arial" w:hAnsi="Arial" w:cs="Arial"/>
          <w:sz w:val="20"/>
        </w:rPr>
        <w:t xml:space="preserve">the </w:t>
      </w:r>
      <w:r w:rsidR="004E36B5">
        <w:rPr>
          <w:rFonts w:ascii="Arial" w:hAnsi="Arial" w:cs="Arial"/>
          <w:sz w:val="20"/>
          <w:szCs w:val="20"/>
        </w:rPr>
        <w:t xml:space="preserve">Child Protection Service of the Victorian Government's Department of </w:t>
      </w:r>
      <w:r w:rsidR="000A5CEF">
        <w:rPr>
          <w:rFonts w:ascii="Arial" w:hAnsi="Arial" w:cs="Arial"/>
          <w:sz w:val="20"/>
          <w:szCs w:val="20"/>
        </w:rPr>
        <w:t>Families, Fairness and Housing</w:t>
      </w:r>
      <w:r>
        <w:rPr>
          <w:rFonts w:ascii="Arial" w:hAnsi="Arial" w:cs="Arial"/>
          <w:sz w:val="20"/>
          <w:szCs w:val="20"/>
        </w:rPr>
        <w:t>;</w:t>
      </w:r>
    </w:p>
    <w:p w14:paraId="3242725F" w14:textId="77777777" w:rsidR="00C841C2" w:rsidRDefault="00C841C2" w:rsidP="0073729A">
      <w:pPr>
        <w:numPr>
          <w:ilvl w:val="0"/>
          <w:numId w:val="9"/>
        </w:numPr>
        <w:tabs>
          <w:tab w:val="clear" w:pos="420"/>
          <w:tab w:val="num" w:pos="357"/>
        </w:tabs>
        <w:ind w:left="357" w:hanging="357"/>
        <w:jc w:val="both"/>
        <w:rPr>
          <w:rFonts w:ascii="Arial" w:hAnsi="Arial" w:cs="Arial"/>
          <w:sz w:val="20"/>
          <w:szCs w:val="20"/>
        </w:rPr>
      </w:pPr>
      <w:r>
        <w:rPr>
          <w:rFonts w:ascii="Arial" w:hAnsi="Arial" w:cs="Arial"/>
          <w:sz w:val="20"/>
          <w:szCs w:val="20"/>
        </w:rPr>
        <w:t xml:space="preserve">an officer of </w:t>
      </w:r>
      <w:r w:rsidR="004E36B5">
        <w:rPr>
          <w:rFonts w:ascii="Arial" w:hAnsi="Arial" w:cs="Arial"/>
          <w:sz w:val="20"/>
          <w:szCs w:val="20"/>
        </w:rPr>
        <w:t>Victoria Police</w:t>
      </w:r>
      <w:r>
        <w:rPr>
          <w:rFonts w:ascii="Arial" w:hAnsi="Arial" w:cs="Arial"/>
          <w:sz w:val="20"/>
          <w:szCs w:val="20"/>
        </w:rPr>
        <w:t>;</w:t>
      </w:r>
      <w:r w:rsidR="004E36B5">
        <w:rPr>
          <w:rFonts w:ascii="Arial" w:hAnsi="Arial" w:cs="Arial"/>
          <w:sz w:val="20"/>
          <w:szCs w:val="20"/>
        </w:rPr>
        <w:t xml:space="preserve"> </w:t>
      </w:r>
      <w:r>
        <w:rPr>
          <w:rFonts w:ascii="Arial" w:hAnsi="Arial" w:cs="Arial"/>
          <w:sz w:val="20"/>
          <w:szCs w:val="20"/>
        </w:rPr>
        <w:t>or</w:t>
      </w:r>
    </w:p>
    <w:p w14:paraId="3A2A83E0" w14:textId="2AA3675D" w:rsidR="00C841C2" w:rsidRDefault="00C841C2" w:rsidP="0073729A">
      <w:pPr>
        <w:numPr>
          <w:ilvl w:val="0"/>
          <w:numId w:val="9"/>
        </w:numPr>
        <w:tabs>
          <w:tab w:val="clear" w:pos="420"/>
          <w:tab w:val="num" w:pos="357"/>
        </w:tabs>
        <w:ind w:left="357" w:hanging="357"/>
        <w:jc w:val="both"/>
        <w:rPr>
          <w:rFonts w:ascii="Arial" w:hAnsi="Arial" w:cs="Arial"/>
          <w:sz w:val="20"/>
          <w:szCs w:val="20"/>
        </w:rPr>
      </w:pPr>
      <w:r>
        <w:rPr>
          <w:rFonts w:ascii="Arial" w:hAnsi="Arial" w:cs="Arial"/>
          <w:sz w:val="20"/>
          <w:szCs w:val="20"/>
        </w:rPr>
        <w:t xml:space="preserve">some other </w:t>
      </w:r>
      <w:r w:rsidR="005115F8">
        <w:rPr>
          <w:rFonts w:ascii="Arial" w:hAnsi="Arial" w:cs="Arial"/>
          <w:sz w:val="20"/>
          <w:szCs w:val="20"/>
        </w:rPr>
        <w:t xml:space="preserve">authorised </w:t>
      </w:r>
      <w:r>
        <w:rPr>
          <w:rFonts w:ascii="Arial" w:hAnsi="Arial" w:cs="Arial"/>
          <w:sz w:val="20"/>
          <w:szCs w:val="20"/>
        </w:rPr>
        <w:t>person</w:t>
      </w:r>
      <w:r w:rsidR="00741721">
        <w:rPr>
          <w:rFonts w:ascii="Arial" w:hAnsi="Arial" w:cs="Arial"/>
          <w:sz w:val="20"/>
        </w:rPr>
        <w:t>–</w:t>
      </w:r>
    </w:p>
    <w:p w14:paraId="0C11E84B" w14:textId="77777777" w:rsidR="004E36B5" w:rsidRDefault="004E36B5" w:rsidP="004F4C22">
      <w:pPr>
        <w:jc w:val="both"/>
        <w:rPr>
          <w:rFonts w:ascii="Arial" w:hAnsi="Arial" w:cs="Arial"/>
          <w:sz w:val="20"/>
          <w:szCs w:val="20"/>
        </w:rPr>
      </w:pPr>
      <w:r>
        <w:rPr>
          <w:rFonts w:ascii="Arial" w:hAnsi="Arial" w:cs="Arial"/>
          <w:sz w:val="20"/>
          <w:szCs w:val="20"/>
        </w:rPr>
        <w:t xml:space="preserve">decides to invoke its jurisdiction by commencing a case in the Court.  The Court has no authority to play a general watch-dog role like an ombudsman or a commissioner for children.  Nor does it provide any overall or continuous supervision of </w:t>
      </w:r>
      <w:r w:rsidR="00C841C2">
        <w:rPr>
          <w:rFonts w:ascii="Arial" w:hAnsi="Arial" w:cs="Arial"/>
          <w:sz w:val="20"/>
          <w:szCs w:val="20"/>
        </w:rPr>
        <w:t xml:space="preserve">the Child Protection Service or </w:t>
      </w:r>
      <w:r>
        <w:rPr>
          <w:rFonts w:ascii="Arial" w:hAnsi="Arial" w:cs="Arial"/>
          <w:sz w:val="20"/>
          <w:szCs w:val="20"/>
        </w:rPr>
        <w:t xml:space="preserve">any other agency involved with a child once the particular case before it has been completed.  Nor, </w:t>
      </w:r>
      <w:r w:rsidR="00C841C2">
        <w:rPr>
          <w:rFonts w:ascii="Arial" w:hAnsi="Arial" w:cs="Arial"/>
          <w:sz w:val="20"/>
          <w:szCs w:val="20"/>
        </w:rPr>
        <w:t xml:space="preserve">unlike the Coroner’s Court, </w:t>
      </w:r>
      <w:r>
        <w:rPr>
          <w:rFonts w:ascii="Arial" w:hAnsi="Arial" w:cs="Arial"/>
          <w:sz w:val="20"/>
          <w:szCs w:val="20"/>
        </w:rPr>
        <w:t xml:space="preserve">does it have an investigative arm </w:t>
      </w:r>
      <w:r w:rsidR="00C841C2">
        <w:rPr>
          <w:rFonts w:ascii="Arial" w:hAnsi="Arial" w:cs="Arial"/>
          <w:sz w:val="20"/>
          <w:szCs w:val="20"/>
        </w:rPr>
        <w:t xml:space="preserve">except </w:t>
      </w:r>
      <w:r w:rsidR="00393AB6">
        <w:rPr>
          <w:rFonts w:ascii="Arial" w:hAnsi="Arial" w:cs="Arial"/>
          <w:sz w:val="20"/>
          <w:szCs w:val="20"/>
        </w:rPr>
        <w:t>insofar as</w:t>
      </w:r>
      <w:r w:rsidR="00C841C2">
        <w:rPr>
          <w:rFonts w:ascii="Arial" w:hAnsi="Arial" w:cs="Arial"/>
          <w:sz w:val="20"/>
          <w:szCs w:val="20"/>
        </w:rPr>
        <w:t xml:space="preserve"> the assistance provided by the Children’s Court Clinic </w:t>
      </w:r>
      <w:r w:rsidR="00393AB6">
        <w:rPr>
          <w:rFonts w:ascii="Arial" w:hAnsi="Arial" w:cs="Arial"/>
          <w:sz w:val="20"/>
          <w:szCs w:val="20"/>
        </w:rPr>
        <w:t xml:space="preserve">in the context of a particular case </w:t>
      </w:r>
      <w:r w:rsidR="00301C9D">
        <w:rPr>
          <w:rFonts w:ascii="Arial" w:hAnsi="Arial" w:cs="Arial"/>
          <w:sz w:val="20"/>
          <w:szCs w:val="20"/>
        </w:rPr>
        <w:t xml:space="preserve">or its power to issue subpoenas </w:t>
      </w:r>
      <w:r w:rsidR="00C841C2">
        <w:rPr>
          <w:rFonts w:ascii="Arial" w:hAnsi="Arial" w:cs="Arial"/>
          <w:sz w:val="20"/>
          <w:szCs w:val="20"/>
        </w:rPr>
        <w:t xml:space="preserve">could be so classified.  The Court </w:t>
      </w:r>
      <w:r>
        <w:rPr>
          <w:rFonts w:ascii="Arial" w:hAnsi="Arial" w:cs="Arial"/>
          <w:sz w:val="20"/>
          <w:szCs w:val="20"/>
        </w:rPr>
        <w:t xml:space="preserve">is, by definition, a reactive </w:t>
      </w:r>
      <w:r w:rsidR="00D24533">
        <w:rPr>
          <w:rFonts w:ascii="Arial" w:hAnsi="Arial" w:cs="Arial"/>
          <w:sz w:val="20"/>
          <w:szCs w:val="20"/>
        </w:rPr>
        <w:t>part of the system, although in its written decisions it sometimes makes general comments about perceived failures within the system.</w:t>
      </w:r>
    </w:p>
    <w:p w14:paraId="26093667" w14:textId="77777777" w:rsidR="004E36B5" w:rsidRDefault="004E36B5">
      <w:pPr>
        <w:rPr>
          <w:rFonts w:ascii="Arial" w:hAnsi="Arial" w:cs="Arial"/>
          <w:sz w:val="20"/>
        </w:rPr>
      </w:pPr>
    </w:p>
    <w:p w14:paraId="4A78C6E3" w14:textId="76C9269D" w:rsidR="00301C9D" w:rsidRDefault="00301C9D" w:rsidP="002121C6">
      <w:pPr>
        <w:jc w:val="both"/>
        <w:rPr>
          <w:rFonts w:ascii="Arial" w:hAnsi="Arial" w:cs="Arial"/>
          <w:sz w:val="20"/>
        </w:rPr>
      </w:pPr>
      <w:r>
        <w:rPr>
          <w:rFonts w:ascii="Arial" w:hAnsi="Arial" w:cs="Arial"/>
          <w:sz w:val="20"/>
        </w:rPr>
        <w:t xml:space="preserve">It is also important to understand that the Court is </w:t>
      </w:r>
      <w:r w:rsidR="002121C6">
        <w:rPr>
          <w:rFonts w:ascii="Arial" w:hAnsi="Arial" w:cs="Arial"/>
          <w:sz w:val="20"/>
        </w:rPr>
        <w:t xml:space="preserve">completely independent of the Department of </w:t>
      </w:r>
      <w:r w:rsidR="000A5CEF">
        <w:rPr>
          <w:rFonts w:ascii="Arial" w:hAnsi="Arial" w:cs="Arial"/>
          <w:sz w:val="20"/>
          <w:szCs w:val="20"/>
        </w:rPr>
        <w:t>Families, Fairness and Housing</w:t>
      </w:r>
      <w:r w:rsidR="002121C6">
        <w:rPr>
          <w:rFonts w:ascii="Arial" w:hAnsi="Arial" w:cs="Arial"/>
          <w:sz w:val="20"/>
        </w:rPr>
        <w:t xml:space="preserve"> </w:t>
      </w:r>
      <w:r w:rsidR="00A356F2">
        <w:rPr>
          <w:rFonts w:ascii="Arial" w:hAnsi="Arial" w:cs="Arial"/>
          <w:sz w:val="20"/>
        </w:rPr>
        <w:t xml:space="preserve">and Victoria Police </w:t>
      </w:r>
      <w:r w:rsidR="002121C6">
        <w:rPr>
          <w:rFonts w:ascii="Arial" w:hAnsi="Arial" w:cs="Arial"/>
          <w:sz w:val="20"/>
        </w:rPr>
        <w:t>just as it is of a</w:t>
      </w:r>
      <w:r w:rsidR="001A07B1">
        <w:rPr>
          <w:rFonts w:ascii="Arial" w:hAnsi="Arial" w:cs="Arial"/>
          <w:sz w:val="20"/>
        </w:rPr>
        <w:t>ll</w:t>
      </w:r>
      <w:r w:rsidR="002121C6">
        <w:rPr>
          <w:rFonts w:ascii="Arial" w:hAnsi="Arial" w:cs="Arial"/>
          <w:sz w:val="20"/>
        </w:rPr>
        <w:t xml:space="preserve"> of the other parties – parents, children, extended family members or others </w:t>
      </w:r>
      <w:r w:rsidR="00C72E5B">
        <w:rPr>
          <w:rFonts w:ascii="Arial" w:hAnsi="Arial" w:cs="Arial"/>
          <w:sz w:val="20"/>
        </w:rPr>
        <w:t>–</w:t>
      </w:r>
      <w:r w:rsidR="002121C6">
        <w:rPr>
          <w:rFonts w:ascii="Arial" w:hAnsi="Arial" w:cs="Arial"/>
          <w:sz w:val="20"/>
        </w:rPr>
        <w:t xml:space="preserve"> who</w:t>
      </w:r>
      <w:r w:rsidR="00C72E5B">
        <w:rPr>
          <w:rFonts w:ascii="Arial" w:hAnsi="Arial" w:cs="Arial"/>
          <w:sz w:val="20"/>
        </w:rPr>
        <w:t xml:space="preserve"> </w:t>
      </w:r>
      <w:r w:rsidR="002121C6">
        <w:rPr>
          <w:rFonts w:ascii="Arial" w:hAnsi="Arial" w:cs="Arial"/>
          <w:sz w:val="20"/>
        </w:rPr>
        <w:t xml:space="preserve">appear in cases before it.  In his report entitled “Protective Services for Children in Victoria” Justice Fogarty made this </w:t>
      </w:r>
      <w:r w:rsidR="00F378E0">
        <w:rPr>
          <w:rFonts w:ascii="Arial" w:hAnsi="Arial" w:cs="Arial"/>
          <w:sz w:val="20"/>
        </w:rPr>
        <w:t xml:space="preserve">crystal </w:t>
      </w:r>
      <w:r w:rsidR="002121C6">
        <w:rPr>
          <w:rFonts w:ascii="Arial" w:hAnsi="Arial" w:cs="Arial"/>
          <w:sz w:val="20"/>
        </w:rPr>
        <w:t xml:space="preserve">clear as long ago as 1993 yet the Court still regularly hears comments </w:t>
      </w:r>
      <w:r w:rsidR="00C34F32">
        <w:rPr>
          <w:rFonts w:ascii="Arial" w:hAnsi="Arial" w:cs="Arial"/>
          <w:sz w:val="20"/>
        </w:rPr>
        <w:t>along the lines</w:t>
      </w:r>
      <w:r w:rsidR="002121C6">
        <w:rPr>
          <w:rFonts w:ascii="Arial" w:hAnsi="Arial" w:cs="Arial"/>
          <w:sz w:val="20"/>
        </w:rPr>
        <w:t xml:space="preserve"> that the Court and the Department are engaged in a partnership to protect the children of Victoria.  The </w:t>
      </w:r>
      <w:r w:rsidR="00BE7B86">
        <w:rPr>
          <w:rFonts w:ascii="Arial" w:hAnsi="Arial" w:cs="Arial"/>
          <w:sz w:val="20"/>
        </w:rPr>
        <w:t xml:space="preserve">Children’s Court is not in a partnership with anybody.  </w:t>
      </w:r>
      <w:r w:rsidR="00F378E0">
        <w:rPr>
          <w:rFonts w:ascii="Arial" w:hAnsi="Arial" w:cs="Arial"/>
          <w:sz w:val="20"/>
        </w:rPr>
        <w:t xml:space="preserve">It is not a “stakeholder” in anything nor are </w:t>
      </w:r>
      <w:r w:rsidR="00E259B1">
        <w:rPr>
          <w:rFonts w:ascii="Arial" w:hAnsi="Arial" w:cs="Arial"/>
          <w:sz w:val="20"/>
        </w:rPr>
        <w:t xml:space="preserve">the </w:t>
      </w:r>
      <w:r w:rsidR="00F378E0">
        <w:rPr>
          <w:rFonts w:ascii="Arial" w:hAnsi="Arial" w:cs="Arial"/>
          <w:sz w:val="20"/>
        </w:rPr>
        <w:t xml:space="preserve">police </w:t>
      </w:r>
      <w:r w:rsidR="00E259B1">
        <w:rPr>
          <w:rFonts w:ascii="Arial" w:hAnsi="Arial" w:cs="Arial"/>
          <w:sz w:val="20"/>
        </w:rPr>
        <w:t>n</w:t>
      </w:r>
      <w:r w:rsidR="00F378E0">
        <w:rPr>
          <w:rFonts w:ascii="Arial" w:hAnsi="Arial" w:cs="Arial"/>
          <w:sz w:val="20"/>
        </w:rPr>
        <w:t xml:space="preserve">or the Department of </w:t>
      </w:r>
      <w:r w:rsidR="000A5CEF">
        <w:rPr>
          <w:rFonts w:ascii="Arial" w:hAnsi="Arial" w:cs="Arial"/>
          <w:sz w:val="20"/>
          <w:szCs w:val="20"/>
        </w:rPr>
        <w:t>Families, Fairness and Housing</w:t>
      </w:r>
      <w:r w:rsidR="00F378E0">
        <w:rPr>
          <w:rFonts w:ascii="Arial" w:hAnsi="Arial" w:cs="Arial"/>
          <w:sz w:val="20"/>
        </w:rPr>
        <w:t xml:space="preserve"> “stakeholders” in it.  </w:t>
      </w:r>
      <w:r w:rsidR="00A356F2">
        <w:rPr>
          <w:rFonts w:ascii="Arial" w:hAnsi="Arial" w:cs="Arial"/>
          <w:sz w:val="20"/>
        </w:rPr>
        <w:t xml:space="preserve">They have no greater “ownership” </w:t>
      </w:r>
      <w:r w:rsidR="005115F8">
        <w:rPr>
          <w:rFonts w:ascii="Arial" w:hAnsi="Arial" w:cs="Arial"/>
          <w:sz w:val="20"/>
        </w:rPr>
        <w:t>of</w:t>
      </w:r>
      <w:r w:rsidR="00A356F2">
        <w:rPr>
          <w:rFonts w:ascii="Arial" w:hAnsi="Arial" w:cs="Arial"/>
          <w:sz w:val="20"/>
        </w:rPr>
        <w:t xml:space="preserve"> the Court than any other litigant.  The Court’</w:t>
      </w:r>
      <w:r w:rsidR="00BE7B86">
        <w:rPr>
          <w:rFonts w:ascii="Arial" w:hAnsi="Arial" w:cs="Arial"/>
          <w:sz w:val="20"/>
        </w:rPr>
        <w:t>s</w:t>
      </w:r>
      <w:r w:rsidR="005115F8">
        <w:rPr>
          <w:rFonts w:ascii="Arial" w:hAnsi="Arial" w:cs="Arial"/>
          <w:sz w:val="20"/>
        </w:rPr>
        <w:t xml:space="preserve"> </w:t>
      </w:r>
      <w:r w:rsidR="00C34F32">
        <w:rPr>
          <w:rFonts w:ascii="Arial" w:hAnsi="Arial" w:cs="Arial"/>
          <w:sz w:val="20"/>
        </w:rPr>
        <w:t xml:space="preserve">independent </w:t>
      </w:r>
      <w:r w:rsidR="002121C6">
        <w:rPr>
          <w:rFonts w:ascii="Arial" w:hAnsi="Arial" w:cs="Arial"/>
          <w:sz w:val="20"/>
        </w:rPr>
        <w:t xml:space="preserve">nature and </w:t>
      </w:r>
      <w:r w:rsidR="00C34F32">
        <w:rPr>
          <w:rFonts w:ascii="Arial" w:hAnsi="Arial" w:cs="Arial"/>
          <w:sz w:val="20"/>
        </w:rPr>
        <w:t xml:space="preserve">its </w:t>
      </w:r>
      <w:r w:rsidR="002121C6">
        <w:rPr>
          <w:rFonts w:ascii="Arial" w:hAnsi="Arial" w:cs="Arial"/>
          <w:sz w:val="20"/>
        </w:rPr>
        <w:t xml:space="preserve">purpose </w:t>
      </w:r>
      <w:r w:rsidR="00BE7B86">
        <w:rPr>
          <w:rFonts w:ascii="Arial" w:hAnsi="Arial" w:cs="Arial"/>
          <w:sz w:val="20"/>
        </w:rPr>
        <w:t>w</w:t>
      </w:r>
      <w:r w:rsidR="00C34F32">
        <w:rPr>
          <w:rFonts w:ascii="Arial" w:hAnsi="Arial" w:cs="Arial"/>
          <w:sz w:val="20"/>
        </w:rPr>
        <w:t>ere</w:t>
      </w:r>
      <w:r w:rsidR="002121C6">
        <w:rPr>
          <w:rFonts w:ascii="Arial" w:hAnsi="Arial" w:cs="Arial"/>
          <w:sz w:val="20"/>
        </w:rPr>
        <w:t xml:space="preserve"> described by Justice Fogarty at pp.142-143 of his report as follows:</w:t>
      </w:r>
    </w:p>
    <w:p w14:paraId="1672D885" w14:textId="77777777" w:rsidR="002121C6" w:rsidRDefault="002121C6" w:rsidP="005818AF">
      <w:pPr>
        <w:spacing w:before="120"/>
        <w:ind w:left="567" w:right="567"/>
        <w:jc w:val="both"/>
        <w:rPr>
          <w:rFonts w:ascii="Arial" w:hAnsi="Arial" w:cs="Arial"/>
          <w:sz w:val="20"/>
        </w:rPr>
      </w:pPr>
      <w:r>
        <w:rPr>
          <w:rFonts w:ascii="Arial" w:hAnsi="Arial" w:cs="Arial"/>
          <w:sz w:val="20"/>
        </w:rPr>
        <w:t>“</w:t>
      </w:r>
      <w:r w:rsidR="00BE7B86">
        <w:rPr>
          <w:rFonts w:ascii="Arial" w:hAnsi="Arial" w:cs="Arial"/>
          <w:sz w:val="20"/>
        </w:rPr>
        <w:t>Whilst different models could have been provided for the court or tribunal carrying out the responsibilities now imposed on the Children’s Court, the fact is that throughout its history in Victoria these duties have been carried out through a court, but coupled with provisions that it is to proceed without undue formality and that it is not to be inhibited by the normal Court rules of procedure and evidence.  That is also the approach generally accepted in each of the other States.</w:t>
      </w:r>
    </w:p>
    <w:p w14:paraId="4EE928ED" w14:textId="77777777" w:rsidR="00BE7B86" w:rsidRDefault="00BE7B86" w:rsidP="005818AF">
      <w:pPr>
        <w:spacing w:before="120"/>
        <w:ind w:left="567" w:right="567"/>
        <w:jc w:val="both"/>
        <w:rPr>
          <w:rFonts w:ascii="Arial" w:hAnsi="Arial" w:cs="Arial"/>
          <w:sz w:val="20"/>
        </w:rPr>
      </w:pPr>
      <w:r>
        <w:rPr>
          <w:rFonts w:ascii="Arial" w:hAnsi="Arial" w:cs="Arial"/>
          <w:sz w:val="20"/>
        </w:rPr>
        <w:t xml:space="preserve">Much of the criticism [of the Court], especially from the Department, proceeds in my view from a failure to understand this.  </w:t>
      </w:r>
      <w:r w:rsidR="005818AF">
        <w:rPr>
          <w:rFonts w:ascii="Arial" w:hAnsi="Arial" w:cs="Arial"/>
          <w:sz w:val="20"/>
        </w:rPr>
        <w:t>A significant reason for the existence of the Children’s Court is that it stands independent of the Department, the children and the parents and represents the community in the determination of these extremely difficult and delicate issues which are likely to have a profound, perhaps permanent, effect on the lives of the young children involved.  Consequently, it is necessary for the Court to be independent and to be seen to be independent, especially from the Department which is a party in every proceeding before it.  It must have the confidence of the parents who come before it and the confidence of the community that it will act in an independent way in accordance with the legislation.</w:t>
      </w:r>
    </w:p>
    <w:p w14:paraId="61D3F84B" w14:textId="77777777" w:rsidR="005818AF" w:rsidRDefault="005818AF" w:rsidP="005818AF">
      <w:pPr>
        <w:spacing w:before="120"/>
        <w:ind w:left="567" w:right="567"/>
        <w:jc w:val="both"/>
        <w:rPr>
          <w:rFonts w:ascii="Arial" w:hAnsi="Arial" w:cs="Arial"/>
          <w:sz w:val="20"/>
        </w:rPr>
      </w:pPr>
      <w:r>
        <w:rPr>
          <w:rFonts w:ascii="Arial" w:hAnsi="Arial" w:cs="Arial"/>
          <w:sz w:val="20"/>
        </w:rPr>
        <w:t>At times I was left with the impression in discussion with some officers of the Department, that they would really like to regard the Court as a natural extension of the Department and that they are uncomfortable with its independence.  Whilst that view was not articulated in a direct way, it is important that even at a subconscious level that attitude be recognized and rejected.  I felt at times, both at a high level within the Department and from speaking with some workers, that there was a view that because a notification of abuse had been investigated by the Department and because it had reached a conclusion as to what order should be made, there was something obstructive about a process by which those opinions and views were independently assessed and at times rejected.</w:t>
      </w:r>
    </w:p>
    <w:p w14:paraId="1BE93A2D" w14:textId="77777777" w:rsidR="005818AF" w:rsidRDefault="005818AF" w:rsidP="005818AF">
      <w:pPr>
        <w:spacing w:before="120"/>
        <w:ind w:left="567" w:right="567"/>
        <w:jc w:val="both"/>
        <w:rPr>
          <w:rFonts w:ascii="Arial" w:hAnsi="Arial" w:cs="Arial"/>
          <w:sz w:val="20"/>
        </w:rPr>
      </w:pPr>
      <w:r>
        <w:rPr>
          <w:rFonts w:ascii="Arial" w:hAnsi="Arial" w:cs="Arial"/>
          <w:sz w:val="20"/>
        </w:rPr>
        <w:t>In reality, the orders sought by the Department are accepted by the Children’s Court in a surprisingly high percentage of cases.  The figures demonstrate that this happened in excess of 80% of cases and even amongst the remaining 20% a number are withdrawn or not proceeded with by the Department as distinct from being rejected by the Court.</w:t>
      </w:r>
    </w:p>
    <w:p w14:paraId="5D699D86" w14:textId="77777777" w:rsidR="005818AF" w:rsidRDefault="005818AF" w:rsidP="005818AF">
      <w:pPr>
        <w:spacing w:before="120"/>
        <w:ind w:left="567" w:right="567"/>
        <w:jc w:val="both"/>
        <w:rPr>
          <w:rFonts w:ascii="Arial" w:hAnsi="Arial" w:cs="Arial"/>
          <w:sz w:val="20"/>
        </w:rPr>
      </w:pPr>
      <w:r>
        <w:rPr>
          <w:rFonts w:ascii="Arial" w:hAnsi="Arial" w:cs="Arial"/>
          <w:sz w:val="20"/>
        </w:rPr>
        <w:lastRenderedPageBreak/>
        <w:t>In my view the Children’s Court must maintain its position of independence and integrity and if anything that position should be reinforced rather than diminished.”</w:t>
      </w:r>
    </w:p>
    <w:p w14:paraId="37CCFAF7" w14:textId="342442A6" w:rsidR="00301C9D" w:rsidRDefault="00301C9D">
      <w:pPr>
        <w:rPr>
          <w:rFonts w:ascii="Arial" w:hAnsi="Arial" w:cs="Arial"/>
          <w:sz w:val="20"/>
        </w:rPr>
      </w:pPr>
    </w:p>
    <w:p w14:paraId="6E1DA861" w14:textId="3AECBA5A" w:rsidR="003A27B7" w:rsidRDefault="003A27B7">
      <w:pPr>
        <w:rPr>
          <w:rFonts w:ascii="Arial" w:hAnsi="Arial" w:cs="Arial"/>
          <w:bCs/>
          <w:sz w:val="20"/>
        </w:rPr>
      </w:pPr>
      <w:r>
        <w:rPr>
          <w:rFonts w:ascii="Arial" w:hAnsi="Arial" w:cs="Arial"/>
          <w:sz w:val="20"/>
        </w:rPr>
        <w:t xml:space="preserve">See also </w:t>
      </w:r>
      <w:r w:rsidRPr="00657490">
        <w:rPr>
          <w:rFonts w:ascii="Arial" w:hAnsi="Arial" w:cs="Arial"/>
          <w:bCs/>
          <w:i/>
          <w:iCs/>
          <w:sz w:val="20"/>
        </w:rPr>
        <w:t>Re</w:t>
      </w:r>
      <w:r>
        <w:rPr>
          <w:rFonts w:ascii="Arial" w:hAnsi="Arial" w:cs="Arial"/>
          <w:bCs/>
          <w:i/>
          <w:iCs/>
          <w:sz w:val="20"/>
        </w:rPr>
        <w:t xml:space="preserve"> </w:t>
      </w:r>
      <w:r w:rsidRPr="00657490">
        <w:rPr>
          <w:rFonts w:ascii="Arial" w:hAnsi="Arial" w:cs="Arial"/>
          <w:bCs/>
          <w:i/>
          <w:iCs/>
          <w:sz w:val="20"/>
        </w:rPr>
        <w:t>C Children</w:t>
      </w:r>
      <w:r>
        <w:rPr>
          <w:rFonts w:ascii="Arial" w:hAnsi="Arial" w:cs="Arial"/>
          <w:bCs/>
          <w:sz w:val="20"/>
        </w:rPr>
        <w:t xml:space="preserve"> [Children’s Court of Victoria-Power M, unreported, 18/07/2013] at pp.98-100.</w:t>
      </w:r>
    </w:p>
    <w:p w14:paraId="26B5D761" w14:textId="77777777" w:rsidR="003A27B7" w:rsidRDefault="003A27B7">
      <w:pPr>
        <w:rPr>
          <w:rFonts w:ascii="Arial" w:hAnsi="Arial" w:cs="Arial"/>
          <w:sz w:val="20"/>
        </w:rPr>
      </w:pPr>
    </w:p>
    <w:p w14:paraId="4DC4B50A" w14:textId="77777777" w:rsidR="00277B85" w:rsidRDefault="00277B85" w:rsidP="00D24533">
      <w:pPr>
        <w:pStyle w:val="Heading2"/>
        <w:keepNext/>
        <w:keepLines/>
        <w:tabs>
          <w:tab w:val="left" w:pos="567"/>
        </w:tabs>
        <w:spacing w:line="240" w:lineRule="auto"/>
        <w:rPr>
          <w:rFonts w:ascii="Arial" w:hAnsi="Arial" w:cs="Arial"/>
          <w:b/>
          <w:bCs/>
        </w:rPr>
      </w:pPr>
      <w:bookmarkStart w:id="109" w:name="_2.2_Judicial_&amp;"/>
      <w:bookmarkStart w:id="110" w:name="_Toc30607522"/>
      <w:bookmarkStart w:id="111" w:name="_Toc30607651"/>
      <w:bookmarkStart w:id="112" w:name="_Toc30607976"/>
      <w:bookmarkStart w:id="113" w:name="_Toc30608790"/>
      <w:bookmarkStart w:id="114" w:name="_Toc30610003"/>
      <w:bookmarkStart w:id="115" w:name="_Toc30610246"/>
      <w:bookmarkStart w:id="116" w:name="_Toc30638400"/>
      <w:bookmarkStart w:id="117" w:name="_Toc30644209"/>
      <w:bookmarkStart w:id="118" w:name="_Toc30644612"/>
      <w:bookmarkStart w:id="119" w:name="_Toc30645162"/>
      <w:bookmarkStart w:id="120" w:name="_Toc30646366"/>
      <w:bookmarkStart w:id="121" w:name="_Toc30646661"/>
      <w:bookmarkStart w:id="122" w:name="_Toc30646771"/>
      <w:bookmarkStart w:id="123" w:name="_Toc30648128"/>
      <w:bookmarkStart w:id="124" w:name="_Toc30649026"/>
      <w:bookmarkStart w:id="125" w:name="_Toc30649102"/>
      <w:bookmarkStart w:id="126" w:name="_Toc30649363"/>
      <w:bookmarkStart w:id="127" w:name="_Toc30649683"/>
      <w:bookmarkStart w:id="128" w:name="_Toc30651617"/>
      <w:bookmarkStart w:id="129" w:name="_Toc30652601"/>
      <w:bookmarkStart w:id="130" w:name="_Toc30652699"/>
      <w:bookmarkStart w:id="131" w:name="_Toc30654044"/>
      <w:bookmarkStart w:id="132" w:name="_Toc30654395"/>
      <w:bookmarkStart w:id="133" w:name="_Toc30655014"/>
      <w:bookmarkStart w:id="134" w:name="_Toc30655271"/>
      <w:bookmarkStart w:id="135" w:name="_Toc30656947"/>
      <w:bookmarkStart w:id="136" w:name="_Toc30661696"/>
      <w:bookmarkStart w:id="137" w:name="_Toc30666384"/>
      <w:bookmarkStart w:id="138" w:name="_Toc30666614"/>
      <w:bookmarkStart w:id="139" w:name="_Toc30667789"/>
      <w:bookmarkStart w:id="140" w:name="_Toc30669167"/>
      <w:bookmarkStart w:id="141" w:name="_Toc30671383"/>
      <w:bookmarkStart w:id="142" w:name="_Toc30673910"/>
      <w:bookmarkStart w:id="143" w:name="_Toc30691132"/>
      <w:bookmarkStart w:id="144" w:name="_Toc30691503"/>
      <w:bookmarkStart w:id="145" w:name="_Toc30691883"/>
      <w:bookmarkStart w:id="146" w:name="_Toc30692642"/>
      <w:bookmarkStart w:id="147" w:name="_Toc30693021"/>
      <w:bookmarkStart w:id="148" w:name="_Toc30693399"/>
      <w:bookmarkStart w:id="149" w:name="_Toc30693778"/>
      <w:bookmarkStart w:id="150" w:name="_Toc30694159"/>
      <w:bookmarkStart w:id="151" w:name="_Toc30698748"/>
      <w:bookmarkStart w:id="152" w:name="_Toc30699126"/>
      <w:bookmarkStart w:id="153" w:name="_Toc30699511"/>
      <w:bookmarkStart w:id="154" w:name="_Toc30700666"/>
      <w:bookmarkStart w:id="155" w:name="_Toc30701053"/>
      <w:bookmarkStart w:id="156" w:name="_Toc30743662"/>
      <w:bookmarkStart w:id="157" w:name="_Toc30754485"/>
      <w:bookmarkStart w:id="158" w:name="_Toc30756925"/>
      <w:bookmarkStart w:id="159" w:name="_Toc30757474"/>
      <w:bookmarkStart w:id="160" w:name="_Toc30757874"/>
      <w:bookmarkStart w:id="161" w:name="_Toc30762635"/>
      <w:bookmarkStart w:id="162" w:name="_Toc30767289"/>
      <w:bookmarkStart w:id="163" w:name="_Toc34823315"/>
      <w:bookmarkEnd w:id="109"/>
      <w:r>
        <w:rPr>
          <w:rFonts w:ascii="Arial" w:hAnsi="Arial" w:cs="Arial"/>
          <w:b/>
          <w:bCs/>
        </w:rPr>
        <w:t>2.2</w:t>
      </w:r>
      <w:r>
        <w:rPr>
          <w:rFonts w:ascii="Arial" w:hAnsi="Arial" w:cs="Arial"/>
          <w:b/>
          <w:bCs/>
        </w:rPr>
        <w:tab/>
        <w:t xml:space="preserve">Judicial &amp; </w:t>
      </w:r>
      <w:r w:rsidR="00C444AC">
        <w:rPr>
          <w:rFonts w:ascii="Arial" w:hAnsi="Arial" w:cs="Arial"/>
          <w:b/>
          <w:bCs/>
        </w:rPr>
        <w:t>A</w:t>
      </w:r>
      <w:r>
        <w:rPr>
          <w:rFonts w:ascii="Arial" w:hAnsi="Arial" w:cs="Arial"/>
          <w:b/>
          <w:bCs/>
        </w:rPr>
        <w:t>dministrative officers of the Court</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14:paraId="0E621C46" w14:textId="77777777" w:rsidR="00277B85" w:rsidRDefault="00277B85" w:rsidP="00D24533">
      <w:pPr>
        <w:keepNext/>
        <w:keepLines/>
        <w:jc w:val="both"/>
        <w:rPr>
          <w:rFonts w:ascii="Arial" w:hAnsi="Arial" w:cs="Arial"/>
          <w:sz w:val="20"/>
        </w:rPr>
      </w:pPr>
    </w:p>
    <w:p w14:paraId="64E36286" w14:textId="61CAE9CA" w:rsidR="00277B85" w:rsidRDefault="00277B85" w:rsidP="00D24533">
      <w:pPr>
        <w:keepNext/>
        <w:keepLines/>
        <w:jc w:val="both"/>
        <w:rPr>
          <w:rFonts w:ascii="Arial" w:hAnsi="Arial" w:cs="Arial"/>
          <w:sz w:val="20"/>
        </w:rPr>
      </w:pPr>
      <w:r>
        <w:rPr>
          <w:rFonts w:ascii="Arial" w:hAnsi="Arial" w:cs="Arial"/>
          <w:sz w:val="20"/>
        </w:rPr>
        <w:t>Under s.</w:t>
      </w:r>
      <w:r w:rsidR="004F4C22">
        <w:rPr>
          <w:rFonts w:ascii="Arial" w:hAnsi="Arial" w:cs="Arial"/>
          <w:sz w:val="20"/>
        </w:rPr>
        <w:t>504</w:t>
      </w:r>
      <w:r>
        <w:rPr>
          <w:rFonts w:ascii="Arial" w:hAnsi="Arial" w:cs="Arial"/>
          <w:sz w:val="20"/>
        </w:rPr>
        <w:t>(2) of the CY</w:t>
      </w:r>
      <w:r w:rsidR="004F4C22">
        <w:rPr>
          <w:rFonts w:ascii="Arial" w:hAnsi="Arial" w:cs="Arial"/>
          <w:sz w:val="20"/>
        </w:rPr>
        <w:t>F</w:t>
      </w:r>
      <w:r>
        <w:rPr>
          <w:rFonts w:ascii="Arial" w:hAnsi="Arial" w:cs="Arial"/>
          <w:sz w:val="20"/>
        </w:rPr>
        <w:t>A, the Court consists of</w:t>
      </w:r>
      <w:r w:rsidR="00741721">
        <w:rPr>
          <w:rFonts w:ascii="Arial" w:hAnsi="Arial" w:cs="Arial"/>
          <w:sz w:val="20"/>
        </w:rPr>
        <w:t>–</w:t>
      </w:r>
    </w:p>
    <w:p w14:paraId="02479842" w14:textId="77777777" w:rsidR="00277B85" w:rsidRDefault="00277B85" w:rsidP="0073729A">
      <w:pPr>
        <w:numPr>
          <w:ilvl w:val="0"/>
          <w:numId w:val="4"/>
        </w:numPr>
        <w:tabs>
          <w:tab w:val="num" w:pos="723"/>
        </w:tabs>
        <w:jc w:val="both"/>
        <w:rPr>
          <w:rFonts w:ascii="Arial" w:hAnsi="Arial" w:cs="Arial"/>
          <w:sz w:val="20"/>
        </w:rPr>
      </w:pPr>
      <w:r>
        <w:rPr>
          <w:rFonts w:ascii="Arial" w:hAnsi="Arial" w:cs="Arial"/>
          <w:sz w:val="20"/>
        </w:rPr>
        <w:t>a President;</w:t>
      </w:r>
    </w:p>
    <w:p w14:paraId="0FA8CCD5" w14:textId="77777777" w:rsidR="00E83AF3" w:rsidRDefault="00277B85" w:rsidP="0073729A">
      <w:pPr>
        <w:numPr>
          <w:ilvl w:val="0"/>
          <w:numId w:val="4"/>
        </w:numPr>
        <w:tabs>
          <w:tab w:val="num" w:pos="723"/>
        </w:tabs>
        <w:jc w:val="both"/>
        <w:rPr>
          <w:rFonts w:ascii="Arial" w:hAnsi="Arial" w:cs="Arial"/>
          <w:sz w:val="20"/>
        </w:rPr>
      </w:pPr>
      <w:r>
        <w:rPr>
          <w:rFonts w:ascii="Arial" w:hAnsi="Arial" w:cs="Arial"/>
          <w:sz w:val="20"/>
        </w:rPr>
        <w:t>the magistrates;</w:t>
      </w:r>
    </w:p>
    <w:p w14:paraId="59C6CB57" w14:textId="77777777" w:rsidR="00277B85" w:rsidRDefault="00E83AF3" w:rsidP="0073729A">
      <w:pPr>
        <w:numPr>
          <w:ilvl w:val="0"/>
          <w:numId w:val="4"/>
        </w:numPr>
        <w:tabs>
          <w:tab w:val="num" w:pos="723"/>
        </w:tabs>
        <w:jc w:val="both"/>
        <w:rPr>
          <w:rFonts w:ascii="Arial" w:hAnsi="Arial" w:cs="Arial"/>
          <w:sz w:val="20"/>
        </w:rPr>
      </w:pPr>
      <w:r>
        <w:rPr>
          <w:rFonts w:ascii="Arial" w:hAnsi="Arial" w:cs="Arial"/>
          <w:sz w:val="20"/>
        </w:rPr>
        <w:t>the judicial registrars;</w:t>
      </w:r>
      <w:r w:rsidR="00277B85">
        <w:rPr>
          <w:rFonts w:ascii="Arial" w:hAnsi="Arial" w:cs="Arial"/>
          <w:sz w:val="20"/>
        </w:rPr>
        <w:t xml:space="preserve"> and</w:t>
      </w:r>
    </w:p>
    <w:p w14:paraId="3A73AFC8" w14:textId="510549F8" w:rsidR="00277B85" w:rsidRDefault="00277B85" w:rsidP="0073729A">
      <w:pPr>
        <w:numPr>
          <w:ilvl w:val="0"/>
          <w:numId w:val="4"/>
        </w:numPr>
        <w:tabs>
          <w:tab w:val="num" w:pos="723"/>
        </w:tabs>
        <w:jc w:val="both"/>
        <w:rPr>
          <w:rFonts w:ascii="Arial" w:hAnsi="Arial" w:cs="Arial"/>
          <w:sz w:val="20"/>
        </w:rPr>
      </w:pPr>
      <w:r>
        <w:rPr>
          <w:rFonts w:ascii="Arial" w:hAnsi="Arial" w:cs="Arial"/>
          <w:sz w:val="20"/>
        </w:rPr>
        <w:t>the registrars</w:t>
      </w:r>
      <w:r w:rsidR="00741721">
        <w:rPr>
          <w:rFonts w:ascii="Arial" w:hAnsi="Arial" w:cs="Arial"/>
          <w:sz w:val="20"/>
        </w:rPr>
        <w:t>–</w:t>
      </w:r>
    </w:p>
    <w:p w14:paraId="032B6A12" w14:textId="77777777" w:rsidR="00277B85" w:rsidRDefault="00277B85">
      <w:pPr>
        <w:jc w:val="both"/>
        <w:rPr>
          <w:rFonts w:ascii="Arial" w:hAnsi="Arial" w:cs="Arial"/>
          <w:sz w:val="20"/>
        </w:rPr>
      </w:pPr>
      <w:r>
        <w:rPr>
          <w:rFonts w:ascii="Arial" w:hAnsi="Arial" w:cs="Arial"/>
          <w:sz w:val="20"/>
        </w:rPr>
        <w:t>of the Court.</w:t>
      </w:r>
    </w:p>
    <w:p w14:paraId="3390E2EC" w14:textId="77777777" w:rsidR="00277B85" w:rsidRDefault="00277B85">
      <w:pPr>
        <w:jc w:val="both"/>
        <w:rPr>
          <w:rFonts w:ascii="Arial" w:hAnsi="Arial" w:cs="Arial"/>
          <w:sz w:val="20"/>
        </w:rPr>
      </w:pPr>
    </w:p>
    <w:p w14:paraId="585E3BEC" w14:textId="6AEB7E53" w:rsidR="00C34F32" w:rsidRDefault="00277B85">
      <w:pPr>
        <w:jc w:val="both"/>
        <w:rPr>
          <w:rFonts w:ascii="Arial" w:hAnsi="Arial" w:cs="Arial"/>
          <w:sz w:val="20"/>
        </w:rPr>
      </w:pPr>
      <w:r>
        <w:rPr>
          <w:rFonts w:ascii="Arial" w:hAnsi="Arial" w:cs="Arial"/>
          <w:sz w:val="20"/>
        </w:rPr>
        <w:t>The President is a judge of the County Court who is appointed by the Governor in Council on the recommendation of the Attorney-General made after consultation with the Chief Judge: s.</w:t>
      </w:r>
      <w:r w:rsidR="004F4C22">
        <w:rPr>
          <w:rFonts w:ascii="Arial" w:hAnsi="Arial" w:cs="Arial"/>
          <w:sz w:val="20"/>
        </w:rPr>
        <w:t>508</w:t>
      </w:r>
      <w:r>
        <w:rPr>
          <w:rFonts w:ascii="Arial" w:hAnsi="Arial" w:cs="Arial"/>
          <w:sz w:val="20"/>
        </w:rPr>
        <w:t>(2).  The President holds office for a term not exceeding 5 years and is eligible for re</w:t>
      </w:r>
      <w:r w:rsidR="00EF5214">
        <w:rPr>
          <w:rFonts w:ascii="Arial" w:hAnsi="Arial" w:cs="Arial"/>
          <w:sz w:val="20"/>
        </w:rPr>
        <w:t>-</w:t>
      </w:r>
      <w:r>
        <w:rPr>
          <w:rFonts w:ascii="Arial" w:hAnsi="Arial" w:cs="Arial"/>
          <w:sz w:val="20"/>
        </w:rPr>
        <w:t>appointment: s.</w:t>
      </w:r>
      <w:r w:rsidR="004F4C22">
        <w:rPr>
          <w:rFonts w:ascii="Arial" w:hAnsi="Arial" w:cs="Arial"/>
          <w:sz w:val="20"/>
        </w:rPr>
        <w:t>508</w:t>
      </w:r>
      <w:r>
        <w:rPr>
          <w:rFonts w:ascii="Arial" w:hAnsi="Arial" w:cs="Arial"/>
          <w:sz w:val="20"/>
        </w:rPr>
        <w:t>(3)(a).  The President may exercise any power conferred on a magistrate by or under the CY</w:t>
      </w:r>
      <w:r w:rsidR="00F829F1">
        <w:rPr>
          <w:rFonts w:ascii="Arial" w:hAnsi="Arial" w:cs="Arial"/>
          <w:sz w:val="20"/>
        </w:rPr>
        <w:t>F</w:t>
      </w:r>
      <w:r>
        <w:rPr>
          <w:rFonts w:ascii="Arial" w:hAnsi="Arial" w:cs="Arial"/>
          <w:sz w:val="20"/>
        </w:rPr>
        <w:t xml:space="preserve">A or any other Act: </w:t>
      </w:r>
      <w:r w:rsidR="008A0CA3">
        <w:rPr>
          <w:rFonts w:ascii="Arial" w:hAnsi="Arial" w:cs="Arial"/>
          <w:sz w:val="20"/>
        </w:rPr>
        <w:t>s.</w:t>
      </w:r>
      <w:r w:rsidR="004F4C22">
        <w:rPr>
          <w:rFonts w:ascii="Arial" w:hAnsi="Arial" w:cs="Arial"/>
          <w:sz w:val="20"/>
        </w:rPr>
        <w:t>508</w:t>
      </w:r>
      <w:r w:rsidR="008A0CA3">
        <w:rPr>
          <w:rFonts w:ascii="Arial" w:hAnsi="Arial" w:cs="Arial"/>
          <w:sz w:val="20"/>
        </w:rPr>
        <w:t>(8).</w:t>
      </w:r>
    </w:p>
    <w:p w14:paraId="322DA274" w14:textId="77777777" w:rsidR="00C34F32" w:rsidRDefault="00C34F32">
      <w:pPr>
        <w:jc w:val="both"/>
        <w:rPr>
          <w:rFonts w:ascii="Arial" w:hAnsi="Arial" w:cs="Arial"/>
          <w:sz w:val="20"/>
        </w:rPr>
      </w:pPr>
    </w:p>
    <w:p w14:paraId="1BBE0E31" w14:textId="7D1EA3FF" w:rsidR="00277B85" w:rsidRPr="00BE6441" w:rsidRDefault="008A0CA3" w:rsidP="005115F8">
      <w:pPr>
        <w:jc w:val="both"/>
        <w:rPr>
          <w:rFonts w:ascii="Arial" w:hAnsi="Arial" w:cs="Arial"/>
          <w:color w:val="000000"/>
          <w:sz w:val="20"/>
        </w:rPr>
      </w:pPr>
      <w:r w:rsidRPr="000E6664">
        <w:rPr>
          <w:rFonts w:ascii="Arial" w:hAnsi="Arial" w:cs="Arial"/>
          <w:color w:val="000000"/>
          <w:sz w:val="20"/>
        </w:rPr>
        <w:t xml:space="preserve">The first </w:t>
      </w:r>
      <w:r w:rsidR="00277B85" w:rsidRPr="000E6664">
        <w:rPr>
          <w:rFonts w:ascii="Arial" w:hAnsi="Arial" w:cs="Arial"/>
          <w:color w:val="000000"/>
          <w:sz w:val="20"/>
        </w:rPr>
        <w:t xml:space="preserve">President of the Court </w:t>
      </w:r>
      <w:r w:rsidRPr="000E6664">
        <w:rPr>
          <w:rFonts w:ascii="Arial" w:hAnsi="Arial" w:cs="Arial"/>
          <w:color w:val="000000"/>
          <w:sz w:val="20"/>
        </w:rPr>
        <w:t>wa</w:t>
      </w:r>
      <w:r w:rsidR="00277B85" w:rsidRPr="000E6664">
        <w:rPr>
          <w:rFonts w:ascii="Arial" w:hAnsi="Arial" w:cs="Arial"/>
          <w:color w:val="000000"/>
          <w:sz w:val="20"/>
        </w:rPr>
        <w:t xml:space="preserve">s Judge Jennifer Coate.  She was appointed in June 2000.  She had previously been Senior Magistrate of the Court since December 1995. Her predecessor, Mr Greg Levine, </w:t>
      </w:r>
      <w:r w:rsidR="00EF5214">
        <w:rPr>
          <w:rFonts w:ascii="Arial" w:hAnsi="Arial" w:cs="Arial"/>
          <w:color w:val="000000"/>
          <w:sz w:val="20"/>
        </w:rPr>
        <w:t>was later</w:t>
      </w:r>
      <w:r w:rsidR="00277B85" w:rsidRPr="000E6664">
        <w:rPr>
          <w:rFonts w:ascii="Arial" w:hAnsi="Arial" w:cs="Arial"/>
          <w:color w:val="000000"/>
          <w:sz w:val="20"/>
        </w:rPr>
        <w:t xml:space="preserve"> a </w:t>
      </w:r>
      <w:r w:rsidR="00C15721">
        <w:rPr>
          <w:rFonts w:ascii="Arial" w:hAnsi="Arial" w:cs="Arial"/>
          <w:color w:val="000000"/>
          <w:sz w:val="20"/>
        </w:rPr>
        <w:t xml:space="preserve">Reserve </w:t>
      </w:r>
      <w:r w:rsidR="00277B85" w:rsidRPr="000E6664">
        <w:rPr>
          <w:rFonts w:ascii="Arial" w:hAnsi="Arial" w:cs="Arial"/>
          <w:color w:val="000000"/>
          <w:sz w:val="20"/>
        </w:rPr>
        <w:t xml:space="preserve">Magistrate </w:t>
      </w:r>
      <w:r w:rsidR="00EF5214">
        <w:rPr>
          <w:rFonts w:ascii="Arial" w:hAnsi="Arial" w:cs="Arial"/>
          <w:color w:val="000000"/>
          <w:sz w:val="20"/>
        </w:rPr>
        <w:t>of</w:t>
      </w:r>
      <w:r w:rsidR="00277B85" w:rsidRPr="000E6664">
        <w:rPr>
          <w:rFonts w:ascii="Arial" w:hAnsi="Arial" w:cs="Arial"/>
          <w:color w:val="000000"/>
          <w:sz w:val="20"/>
        </w:rPr>
        <w:t xml:space="preserve"> the Court.</w:t>
      </w:r>
      <w:r w:rsidRPr="000E6664">
        <w:rPr>
          <w:rFonts w:ascii="Arial" w:hAnsi="Arial" w:cs="Arial"/>
          <w:color w:val="000000"/>
          <w:sz w:val="20"/>
        </w:rPr>
        <w:t xml:space="preserve">  The </w:t>
      </w:r>
      <w:r w:rsidR="003011B5" w:rsidRPr="000E6664">
        <w:rPr>
          <w:rFonts w:ascii="Arial" w:hAnsi="Arial" w:cs="Arial"/>
          <w:color w:val="000000"/>
          <w:sz w:val="20"/>
        </w:rPr>
        <w:t>second</w:t>
      </w:r>
      <w:r w:rsidR="00C15721">
        <w:rPr>
          <w:rFonts w:ascii="Arial" w:hAnsi="Arial" w:cs="Arial"/>
          <w:color w:val="000000"/>
          <w:sz w:val="20"/>
        </w:rPr>
        <w:t xml:space="preserve"> President</w:t>
      </w:r>
      <w:r w:rsidRPr="000E6664">
        <w:rPr>
          <w:rFonts w:ascii="Arial" w:hAnsi="Arial" w:cs="Arial"/>
          <w:color w:val="000000"/>
          <w:sz w:val="20"/>
        </w:rPr>
        <w:t xml:space="preserve">, appointed in late April 2006, </w:t>
      </w:r>
      <w:r w:rsidR="003011B5" w:rsidRPr="000E6664">
        <w:rPr>
          <w:rFonts w:ascii="Arial" w:hAnsi="Arial" w:cs="Arial"/>
          <w:color w:val="000000"/>
          <w:sz w:val="20"/>
        </w:rPr>
        <w:t>wa</w:t>
      </w:r>
      <w:r w:rsidRPr="000E6664">
        <w:rPr>
          <w:rFonts w:ascii="Arial" w:hAnsi="Arial" w:cs="Arial"/>
          <w:color w:val="000000"/>
          <w:sz w:val="20"/>
        </w:rPr>
        <w:t xml:space="preserve">s Judge Paul Grant who was previously a </w:t>
      </w:r>
      <w:r w:rsidR="00C34F32" w:rsidRPr="000E6664">
        <w:rPr>
          <w:rFonts w:ascii="Arial" w:hAnsi="Arial" w:cs="Arial"/>
          <w:color w:val="000000"/>
          <w:sz w:val="20"/>
        </w:rPr>
        <w:t>Deputy Chief</w:t>
      </w:r>
      <w:r w:rsidRPr="000E6664">
        <w:rPr>
          <w:rFonts w:ascii="Arial" w:hAnsi="Arial" w:cs="Arial"/>
          <w:color w:val="000000"/>
          <w:sz w:val="20"/>
        </w:rPr>
        <w:t xml:space="preserve"> Magistrate in the Magistrates’ Court.</w:t>
      </w:r>
      <w:r w:rsidR="003011B5" w:rsidRPr="000E6664">
        <w:rPr>
          <w:rFonts w:ascii="Arial" w:hAnsi="Arial" w:cs="Arial"/>
          <w:color w:val="000000"/>
          <w:sz w:val="20"/>
        </w:rPr>
        <w:t xml:space="preserve">  </w:t>
      </w:r>
      <w:r w:rsidR="00C15721" w:rsidRPr="00BE6441">
        <w:rPr>
          <w:rFonts w:ascii="Arial" w:hAnsi="Arial" w:cs="Arial"/>
          <w:color w:val="000000"/>
          <w:sz w:val="20"/>
        </w:rPr>
        <w:t>The third President</w:t>
      </w:r>
      <w:r w:rsidR="003011B5" w:rsidRPr="00BE6441">
        <w:rPr>
          <w:rFonts w:ascii="Arial" w:hAnsi="Arial" w:cs="Arial"/>
          <w:color w:val="000000"/>
          <w:sz w:val="20"/>
        </w:rPr>
        <w:t xml:space="preserve">, appointed on 01 May 2013, </w:t>
      </w:r>
      <w:r w:rsidR="00C15721" w:rsidRPr="00BE6441">
        <w:rPr>
          <w:rFonts w:ascii="Arial" w:hAnsi="Arial" w:cs="Arial"/>
          <w:color w:val="000000"/>
          <w:sz w:val="20"/>
        </w:rPr>
        <w:t>wa</w:t>
      </w:r>
      <w:r w:rsidR="003011B5" w:rsidRPr="00BE6441">
        <w:rPr>
          <w:rFonts w:ascii="Arial" w:hAnsi="Arial" w:cs="Arial"/>
          <w:color w:val="000000"/>
          <w:sz w:val="20"/>
        </w:rPr>
        <w:t>s Judge Peter Couzens who was previously a Regional Coordinating Magistrate.</w:t>
      </w:r>
      <w:r w:rsidR="00C15721" w:rsidRPr="00BE6441">
        <w:rPr>
          <w:rFonts w:ascii="Arial" w:hAnsi="Arial" w:cs="Arial"/>
          <w:color w:val="000000"/>
          <w:sz w:val="20"/>
        </w:rPr>
        <w:t xml:space="preserve">  The </w:t>
      </w:r>
      <w:r w:rsidR="00F108E1" w:rsidRPr="00BE6441">
        <w:rPr>
          <w:rFonts w:ascii="Arial" w:hAnsi="Arial" w:cs="Arial"/>
          <w:color w:val="000000"/>
          <w:sz w:val="20"/>
        </w:rPr>
        <w:t>fourth</w:t>
      </w:r>
      <w:r w:rsidR="00C15721" w:rsidRPr="00BE6441">
        <w:rPr>
          <w:rFonts w:ascii="Arial" w:hAnsi="Arial" w:cs="Arial"/>
          <w:color w:val="000000"/>
          <w:sz w:val="20"/>
        </w:rPr>
        <w:t xml:space="preserve"> President, appointed on </w:t>
      </w:r>
      <w:r w:rsidR="00015A24" w:rsidRPr="00BE6441">
        <w:rPr>
          <w:rFonts w:ascii="Arial" w:hAnsi="Arial" w:cs="Arial"/>
          <w:color w:val="000000"/>
          <w:sz w:val="20"/>
        </w:rPr>
        <w:t>12</w:t>
      </w:r>
      <w:r w:rsidR="00C15721" w:rsidRPr="00BE6441">
        <w:rPr>
          <w:rFonts w:ascii="Arial" w:hAnsi="Arial" w:cs="Arial"/>
          <w:color w:val="000000"/>
          <w:sz w:val="20"/>
        </w:rPr>
        <w:t xml:space="preserve"> May 2015, </w:t>
      </w:r>
      <w:r w:rsidR="00F108E1" w:rsidRPr="00BE6441">
        <w:rPr>
          <w:rFonts w:ascii="Arial" w:hAnsi="Arial" w:cs="Arial"/>
          <w:color w:val="000000"/>
          <w:sz w:val="20"/>
        </w:rPr>
        <w:t>wa</w:t>
      </w:r>
      <w:r w:rsidR="00C15721" w:rsidRPr="00BE6441">
        <w:rPr>
          <w:rFonts w:ascii="Arial" w:hAnsi="Arial" w:cs="Arial"/>
          <w:color w:val="000000"/>
          <w:sz w:val="20"/>
        </w:rPr>
        <w:t xml:space="preserve">s </w:t>
      </w:r>
      <w:r w:rsidR="00EF5214">
        <w:rPr>
          <w:rFonts w:ascii="Arial" w:hAnsi="Arial" w:cs="Arial"/>
          <w:color w:val="000000"/>
          <w:sz w:val="20"/>
        </w:rPr>
        <w:t xml:space="preserve">Chief </w:t>
      </w:r>
      <w:r w:rsidR="00C15721" w:rsidRPr="00BE6441">
        <w:rPr>
          <w:rFonts w:ascii="Arial" w:hAnsi="Arial" w:cs="Arial"/>
          <w:color w:val="000000"/>
          <w:sz w:val="20"/>
        </w:rPr>
        <w:t>Judge Amanda Chambers who was previously a Magistrate.</w:t>
      </w:r>
      <w:r w:rsidR="00F108E1" w:rsidRPr="00BE6441">
        <w:rPr>
          <w:rFonts w:ascii="Arial" w:hAnsi="Arial" w:cs="Arial"/>
          <w:color w:val="000000"/>
          <w:sz w:val="20"/>
        </w:rPr>
        <w:t xml:space="preserve">  The current President is Judge Jack Vandersteen who </w:t>
      </w:r>
      <w:r w:rsidR="00EF5214">
        <w:rPr>
          <w:rFonts w:ascii="Arial" w:hAnsi="Arial" w:cs="Arial"/>
          <w:color w:val="000000"/>
          <w:sz w:val="20"/>
        </w:rPr>
        <w:t>was appointed on</w:t>
      </w:r>
      <w:r w:rsidR="00EF5214" w:rsidRPr="00BE6441">
        <w:rPr>
          <w:rFonts w:ascii="Arial" w:hAnsi="Arial" w:cs="Arial"/>
          <w:color w:val="000000"/>
          <w:sz w:val="20"/>
        </w:rPr>
        <w:t xml:space="preserve"> 01 January 2021,</w:t>
      </w:r>
      <w:r w:rsidR="00EF5214">
        <w:rPr>
          <w:rFonts w:ascii="Arial" w:hAnsi="Arial" w:cs="Arial"/>
          <w:color w:val="000000"/>
          <w:sz w:val="20"/>
        </w:rPr>
        <w:t xml:space="preserve"> </w:t>
      </w:r>
      <w:r w:rsidR="00F108E1" w:rsidRPr="00BE6441">
        <w:rPr>
          <w:rFonts w:ascii="Arial" w:hAnsi="Arial" w:cs="Arial"/>
          <w:color w:val="000000"/>
          <w:sz w:val="20"/>
        </w:rPr>
        <w:t xml:space="preserve">was </w:t>
      </w:r>
      <w:r w:rsidR="00EF5214">
        <w:rPr>
          <w:rFonts w:ascii="Arial" w:hAnsi="Arial" w:cs="Arial"/>
          <w:color w:val="000000"/>
          <w:sz w:val="20"/>
        </w:rPr>
        <w:t xml:space="preserve">re-appointed on 01 January 2026 and was </w:t>
      </w:r>
      <w:r w:rsidR="00F108E1" w:rsidRPr="00BE6441">
        <w:rPr>
          <w:rFonts w:ascii="Arial" w:hAnsi="Arial" w:cs="Arial"/>
          <w:color w:val="000000"/>
          <w:sz w:val="20"/>
        </w:rPr>
        <w:t>previously a Regional Coordinating Magistrate.</w:t>
      </w:r>
    </w:p>
    <w:p w14:paraId="65331D4E" w14:textId="77777777" w:rsidR="00277B85" w:rsidRPr="000E6664" w:rsidRDefault="00277B85">
      <w:pPr>
        <w:jc w:val="both"/>
        <w:rPr>
          <w:rFonts w:ascii="Arial" w:hAnsi="Arial" w:cs="Arial"/>
          <w:color w:val="000000"/>
          <w:sz w:val="20"/>
        </w:rPr>
      </w:pPr>
    </w:p>
    <w:p w14:paraId="74F81951" w14:textId="05666BB9" w:rsidR="00277B85" w:rsidRPr="000E6664" w:rsidRDefault="00277B85">
      <w:pPr>
        <w:jc w:val="both"/>
        <w:rPr>
          <w:rFonts w:ascii="Arial" w:hAnsi="Arial" w:cs="Arial"/>
          <w:color w:val="000000"/>
          <w:sz w:val="20"/>
        </w:rPr>
      </w:pPr>
      <w:r w:rsidRPr="000E6664">
        <w:rPr>
          <w:rFonts w:ascii="Arial" w:hAnsi="Arial" w:cs="Arial"/>
          <w:color w:val="000000"/>
          <w:sz w:val="20"/>
        </w:rPr>
        <w:t>The President, after consulting the Chief Magistrate, may assign any person who is appointed a magistrate or a</w:t>
      </w:r>
      <w:r w:rsidR="000D597F" w:rsidRPr="000E6664">
        <w:rPr>
          <w:rFonts w:ascii="Arial" w:hAnsi="Arial" w:cs="Arial"/>
          <w:color w:val="000000"/>
          <w:sz w:val="20"/>
        </w:rPr>
        <w:t xml:space="preserve"> reserve</w:t>
      </w:r>
      <w:r w:rsidRPr="000E6664">
        <w:rPr>
          <w:rFonts w:ascii="Arial" w:hAnsi="Arial" w:cs="Arial"/>
          <w:color w:val="000000"/>
          <w:sz w:val="20"/>
        </w:rPr>
        <w:t xml:space="preserve"> magistrate to be a magistrate for the Court, whether exclusively or in addition to any other duties: s.</w:t>
      </w:r>
      <w:r w:rsidR="001D4301" w:rsidRPr="000E6664">
        <w:rPr>
          <w:rFonts w:ascii="Arial" w:hAnsi="Arial" w:cs="Arial"/>
          <w:color w:val="000000"/>
          <w:sz w:val="20"/>
        </w:rPr>
        <w:t>507</w:t>
      </w:r>
      <w:r w:rsidRPr="000E6664">
        <w:rPr>
          <w:rFonts w:ascii="Arial" w:hAnsi="Arial" w:cs="Arial"/>
          <w:color w:val="000000"/>
          <w:sz w:val="20"/>
        </w:rPr>
        <w:t>(1).  In making such assignment, the President must have regard to the experience of the person assigned in matters relating to child welfare: s.</w:t>
      </w:r>
      <w:r w:rsidR="001D4301" w:rsidRPr="000E6664">
        <w:rPr>
          <w:rFonts w:ascii="Arial" w:hAnsi="Arial" w:cs="Arial"/>
          <w:color w:val="000000"/>
          <w:sz w:val="20"/>
        </w:rPr>
        <w:t>507</w:t>
      </w:r>
      <w:r w:rsidRPr="000E6664">
        <w:rPr>
          <w:rFonts w:ascii="Arial" w:hAnsi="Arial" w:cs="Arial"/>
          <w:color w:val="000000"/>
          <w:sz w:val="20"/>
        </w:rPr>
        <w:t>(2).  The President, after consulting the Chief Magistrate, may at any time revoke such assignment: s.</w:t>
      </w:r>
      <w:r w:rsidR="001D4301" w:rsidRPr="000E6664">
        <w:rPr>
          <w:rFonts w:ascii="Arial" w:hAnsi="Arial" w:cs="Arial"/>
          <w:color w:val="000000"/>
          <w:sz w:val="20"/>
        </w:rPr>
        <w:t>507</w:t>
      </w:r>
      <w:r w:rsidRPr="000E6664">
        <w:rPr>
          <w:rFonts w:ascii="Arial" w:hAnsi="Arial" w:cs="Arial"/>
          <w:color w:val="000000"/>
          <w:sz w:val="20"/>
        </w:rPr>
        <w:t>(3).</w:t>
      </w:r>
      <w:r w:rsidR="00832A7F">
        <w:rPr>
          <w:rFonts w:ascii="Arial" w:hAnsi="Arial" w:cs="Arial"/>
          <w:color w:val="000000"/>
          <w:sz w:val="20"/>
        </w:rPr>
        <w:t xml:space="preserve">  See also </w:t>
      </w:r>
      <w:hyperlink w:anchor="_2.6_A_specialist" w:history="1">
        <w:r w:rsidR="00832A7F" w:rsidRPr="00784343">
          <w:rPr>
            <w:rStyle w:val="Hyperlink"/>
            <w:rFonts w:ascii="Arial" w:hAnsi="Arial" w:cs="Arial"/>
            <w:b/>
            <w:bCs/>
            <w:sz w:val="20"/>
            <w:shd w:val="clear" w:color="auto" w:fill="C5E0B3"/>
          </w:rPr>
          <w:t>Part 2.6</w:t>
        </w:r>
      </w:hyperlink>
      <w:r w:rsidR="00832A7F">
        <w:rPr>
          <w:rFonts w:ascii="Arial" w:hAnsi="Arial" w:cs="Arial"/>
          <w:color w:val="000000"/>
          <w:sz w:val="20"/>
        </w:rPr>
        <w:t xml:space="preserve"> below.</w:t>
      </w:r>
    </w:p>
    <w:p w14:paraId="6CF02C6A" w14:textId="77777777" w:rsidR="00277B85" w:rsidRPr="000E6664" w:rsidRDefault="00277B85">
      <w:pPr>
        <w:jc w:val="both"/>
        <w:rPr>
          <w:rFonts w:ascii="Arial" w:hAnsi="Arial" w:cs="Arial"/>
          <w:color w:val="000000"/>
          <w:sz w:val="20"/>
        </w:rPr>
      </w:pPr>
    </w:p>
    <w:p w14:paraId="54E4BF3D" w14:textId="77777777" w:rsidR="00277B85" w:rsidRPr="000E6664" w:rsidRDefault="00277B85">
      <w:pPr>
        <w:jc w:val="both"/>
        <w:rPr>
          <w:rFonts w:ascii="Arial" w:hAnsi="Arial" w:cs="Arial"/>
          <w:color w:val="000000"/>
          <w:sz w:val="20"/>
        </w:rPr>
      </w:pPr>
      <w:r w:rsidRPr="000E6664">
        <w:rPr>
          <w:rFonts w:ascii="Arial" w:hAnsi="Arial" w:cs="Arial"/>
          <w:color w:val="000000"/>
          <w:sz w:val="20"/>
        </w:rPr>
        <w:t>Under ss.</w:t>
      </w:r>
      <w:r w:rsidR="001D4301" w:rsidRPr="000E6664">
        <w:rPr>
          <w:rFonts w:ascii="Arial" w:hAnsi="Arial" w:cs="Arial"/>
          <w:color w:val="000000"/>
          <w:sz w:val="20"/>
        </w:rPr>
        <w:t>509</w:t>
      </w:r>
      <w:r w:rsidRPr="000E6664">
        <w:rPr>
          <w:rFonts w:ascii="Arial" w:hAnsi="Arial" w:cs="Arial"/>
          <w:color w:val="000000"/>
          <w:sz w:val="20"/>
        </w:rPr>
        <w:t xml:space="preserve">(1) &amp; </w:t>
      </w:r>
      <w:r w:rsidR="001D4301" w:rsidRPr="000E6664">
        <w:rPr>
          <w:rFonts w:ascii="Arial" w:hAnsi="Arial" w:cs="Arial"/>
          <w:color w:val="000000"/>
          <w:sz w:val="20"/>
        </w:rPr>
        <w:t>509</w:t>
      </w:r>
      <w:r w:rsidRPr="000E6664">
        <w:rPr>
          <w:rFonts w:ascii="Arial" w:hAnsi="Arial" w:cs="Arial"/>
          <w:color w:val="000000"/>
          <w:sz w:val="20"/>
        </w:rPr>
        <w:t>(3), the Governor in Council may appoint a magistrate nominated by the President to be Acting President for a term not exceeding 3 months during any period when:</w:t>
      </w:r>
    </w:p>
    <w:p w14:paraId="6689742E" w14:textId="77777777" w:rsidR="00277B85" w:rsidRPr="000E6664" w:rsidRDefault="00277B85" w:rsidP="0073729A">
      <w:pPr>
        <w:numPr>
          <w:ilvl w:val="0"/>
          <w:numId w:val="5"/>
        </w:numPr>
        <w:tabs>
          <w:tab w:val="num" w:pos="723"/>
        </w:tabs>
        <w:jc w:val="both"/>
        <w:rPr>
          <w:rFonts w:ascii="Arial" w:hAnsi="Arial" w:cs="Arial"/>
          <w:color w:val="000000"/>
          <w:sz w:val="20"/>
        </w:rPr>
      </w:pPr>
      <w:r w:rsidRPr="000E6664">
        <w:rPr>
          <w:rFonts w:ascii="Arial" w:hAnsi="Arial" w:cs="Arial"/>
          <w:color w:val="000000"/>
          <w:sz w:val="20"/>
        </w:rPr>
        <w:t>there is a vacancy in the office of President; or</w:t>
      </w:r>
    </w:p>
    <w:p w14:paraId="423AED91" w14:textId="77777777" w:rsidR="00277B85" w:rsidRPr="000E6664" w:rsidRDefault="00277B85" w:rsidP="0073729A">
      <w:pPr>
        <w:numPr>
          <w:ilvl w:val="0"/>
          <w:numId w:val="5"/>
        </w:numPr>
        <w:tabs>
          <w:tab w:val="num" w:pos="723"/>
        </w:tabs>
        <w:jc w:val="both"/>
        <w:rPr>
          <w:rFonts w:ascii="Arial" w:hAnsi="Arial" w:cs="Arial"/>
          <w:color w:val="000000"/>
          <w:sz w:val="20"/>
        </w:rPr>
      </w:pPr>
      <w:r w:rsidRPr="000E6664">
        <w:rPr>
          <w:rFonts w:ascii="Arial" w:hAnsi="Arial" w:cs="Arial"/>
          <w:color w:val="000000"/>
          <w:sz w:val="20"/>
        </w:rPr>
        <w:t>the President is absent on leave or temporarily unable to perform the duties of the office.</w:t>
      </w:r>
    </w:p>
    <w:p w14:paraId="69B899E2" w14:textId="77777777" w:rsidR="00F829F1" w:rsidRDefault="00F829F1" w:rsidP="00F829F1">
      <w:pPr>
        <w:jc w:val="both"/>
        <w:rPr>
          <w:rFonts w:ascii="Arial" w:hAnsi="Arial" w:cs="Arial"/>
          <w:color w:val="000000"/>
          <w:sz w:val="20"/>
        </w:rPr>
      </w:pPr>
    </w:p>
    <w:p w14:paraId="06C265C6" w14:textId="77777777" w:rsidR="007E161F" w:rsidRDefault="007E161F" w:rsidP="007E161F">
      <w:pPr>
        <w:jc w:val="both"/>
        <w:rPr>
          <w:rFonts w:ascii="Arial" w:hAnsi="Arial" w:cs="Arial"/>
          <w:color w:val="000000"/>
          <w:sz w:val="20"/>
        </w:rPr>
      </w:pPr>
      <w:r>
        <w:rPr>
          <w:rFonts w:ascii="Arial" w:hAnsi="Arial" w:cs="Arial"/>
          <w:color w:val="000000"/>
          <w:sz w:val="20"/>
        </w:rPr>
        <w:t xml:space="preserve">Provisions relating to judicial registrars, including appointment, duties, powers, remuneration and terms &amp; conditions, are set out in Part 7.6A of the CYFA and in the </w:t>
      </w:r>
      <w:r w:rsidRPr="00F66CA4">
        <w:rPr>
          <w:rFonts w:ascii="Arial" w:hAnsi="Arial" w:cs="Arial"/>
          <w:i/>
          <w:iCs/>
          <w:color w:val="000000"/>
          <w:sz w:val="20"/>
        </w:rPr>
        <w:t>Children, Youth and Families (Children’s Court Judicial Registrars) Rules 2021</w:t>
      </w:r>
      <w:r>
        <w:rPr>
          <w:rFonts w:ascii="Arial" w:hAnsi="Arial" w:cs="Arial"/>
          <w:color w:val="000000"/>
          <w:sz w:val="20"/>
        </w:rPr>
        <w:t xml:space="preserve"> [S.R.No.22/2021], as amended from 23/07/2021 by S.R.No.90/2021.  The powers of judicial registrars in the Children’s Court include the power:</w:t>
      </w:r>
    </w:p>
    <w:p w14:paraId="6AC70431" w14:textId="77777777" w:rsidR="007E161F" w:rsidRPr="000E6664" w:rsidRDefault="007E161F" w:rsidP="007E161F">
      <w:pPr>
        <w:numPr>
          <w:ilvl w:val="0"/>
          <w:numId w:val="7"/>
        </w:numPr>
        <w:tabs>
          <w:tab w:val="num" w:pos="723"/>
        </w:tabs>
        <w:jc w:val="both"/>
        <w:rPr>
          <w:rFonts w:ascii="Arial" w:hAnsi="Arial" w:cs="Arial"/>
          <w:color w:val="000000"/>
          <w:sz w:val="20"/>
        </w:rPr>
      </w:pPr>
      <w:r>
        <w:rPr>
          <w:rFonts w:ascii="Arial" w:hAnsi="Arial" w:cs="Arial"/>
          <w:color w:val="000000"/>
          <w:sz w:val="20"/>
          <w:u w:val="single"/>
        </w:rPr>
        <w:t>r.</w:t>
      </w:r>
      <w:r w:rsidRPr="00975D38">
        <w:rPr>
          <w:rFonts w:ascii="Arial" w:hAnsi="Arial" w:cs="Arial"/>
          <w:color w:val="000000"/>
          <w:sz w:val="20"/>
          <w:u w:val="single"/>
        </w:rPr>
        <w:t>2.03</w:t>
      </w:r>
      <w:r>
        <w:rPr>
          <w:rFonts w:ascii="Arial" w:hAnsi="Arial" w:cs="Arial"/>
          <w:color w:val="000000"/>
          <w:sz w:val="20"/>
        </w:rPr>
        <w:t>: to deal with the 6 listed matters whether or not contested;</w:t>
      </w:r>
    </w:p>
    <w:p w14:paraId="6FF8AC88" w14:textId="77777777" w:rsidR="007E161F" w:rsidRPr="000E6664" w:rsidRDefault="007E161F" w:rsidP="007E161F">
      <w:pPr>
        <w:numPr>
          <w:ilvl w:val="0"/>
          <w:numId w:val="7"/>
        </w:numPr>
        <w:tabs>
          <w:tab w:val="num" w:pos="723"/>
        </w:tabs>
        <w:ind w:left="907" w:hanging="907"/>
        <w:jc w:val="both"/>
        <w:rPr>
          <w:rFonts w:ascii="Arial" w:hAnsi="Arial" w:cs="Arial"/>
          <w:color w:val="000000"/>
          <w:sz w:val="20"/>
        </w:rPr>
      </w:pPr>
      <w:r>
        <w:rPr>
          <w:rFonts w:ascii="Arial" w:hAnsi="Arial" w:cs="Arial"/>
          <w:color w:val="000000"/>
          <w:sz w:val="20"/>
          <w:u w:val="single"/>
        </w:rPr>
        <w:t>r.</w:t>
      </w:r>
      <w:r w:rsidRPr="00975D38">
        <w:rPr>
          <w:rFonts w:ascii="Arial" w:hAnsi="Arial" w:cs="Arial"/>
          <w:color w:val="000000"/>
          <w:sz w:val="20"/>
          <w:u w:val="single"/>
        </w:rPr>
        <w:t>2.04</w:t>
      </w:r>
      <w:r>
        <w:rPr>
          <w:rFonts w:ascii="Arial" w:hAnsi="Arial" w:cs="Arial"/>
          <w:color w:val="000000"/>
          <w:sz w:val="20"/>
        </w:rPr>
        <w:t>: to deal with the 11 listed Criminal Division matters whether or not contested;</w:t>
      </w:r>
    </w:p>
    <w:p w14:paraId="31FFCA6E" w14:textId="77777777" w:rsidR="007E161F" w:rsidRPr="000E6664" w:rsidRDefault="007E161F" w:rsidP="007E161F">
      <w:pPr>
        <w:numPr>
          <w:ilvl w:val="0"/>
          <w:numId w:val="7"/>
        </w:numPr>
        <w:tabs>
          <w:tab w:val="num" w:pos="723"/>
        </w:tabs>
        <w:jc w:val="both"/>
        <w:rPr>
          <w:rFonts w:ascii="Arial" w:hAnsi="Arial" w:cs="Arial"/>
          <w:color w:val="000000"/>
          <w:sz w:val="20"/>
        </w:rPr>
      </w:pPr>
      <w:r>
        <w:rPr>
          <w:rFonts w:ascii="Arial" w:hAnsi="Arial" w:cs="Arial"/>
          <w:color w:val="000000"/>
          <w:sz w:val="20"/>
          <w:u w:val="single"/>
        </w:rPr>
        <w:t>r.</w:t>
      </w:r>
      <w:r w:rsidRPr="00975D38">
        <w:rPr>
          <w:rFonts w:ascii="Arial" w:hAnsi="Arial" w:cs="Arial"/>
          <w:color w:val="000000"/>
          <w:sz w:val="20"/>
          <w:u w:val="single"/>
        </w:rPr>
        <w:t>2.05</w:t>
      </w:r>
      <w:r>
        <w:rPr>
          <w:rFonts w:ascii="Arial" w:hAnsi="Arial" w:cs="Arial"/>
          <w:color w:val="000000"/>
          <w:sz w:val="20"/>
        </w:rPr>
        <w:t>: to deal with the 4 listed Criminal Division matters – including diversion – if uncontested;</w:t>
      </w:r>
    </w:p>
    <w:p w14:paraId="3D059C87" w14:textId="77777777" w:rsidR="007E161F" w:rsidRDefault="007E161F" w:rsidP="007E161F">
      <w:pPr>
        <w:numPr>
          <w:ilvl w:val="0"/>
          <w:numId w:val="7"/>
        </w:numPr>
        <w:tabs>
          <w:tab w:val="num" w:pos="723"/>
        </w:tabs>
        <w:jc w:val="both"/>
        <w:rPr>
          <w:rFonts w:ascii="Arial" w:hAnsi="Arial" w:cs="Arial"/>
          <w:color w:val="000000"/>
          <w:sz w:val="20"/>
        </w:rPr>
      </w:pPr>
      <w:r>
        <w:rPr>
          <w:rFonts w:ascii="Arial" w:hAnsi="Arial" w:cs="Arial"/>
          <w:color w:val="000000"/>
          <w:sz w:val="20"/>
          <w:u w:val="single"/>
        </w:rPr>
        <w:t>r.</w:t>
      </w:r>
      <w:r w:rsidRPr="004A65A2">
        <w:rPr>
          <w:rFonts w:ascii="Arial" w:hAnsi="Arial" w:cs="Arial"/>
          <w:color w:val="000000"/>
          <w:sz w:val="20"/>
          <w:u w:val="single"/>
        </w:rPr>
        <w:t>2.06</w:t>
      </w:r>
      <w:r>
        <w:rPr>
          <w:rFonts w:ascii="Arial" w:hAnsi="Arial" w:cs="Arial"/>
          <w:color w:val="000000"/>
          <w:sz w:val="20"/>
        </w:rPr>
        <w:t xml:space="preserve">: to deal with the 5 listed Family Division matters – including matters under the </w:t>
      </w:r>
      <w:r w:rsidRPr="004A65A2">
        <w:rPr>
          <w:rFonts w:ascii="Arial" w:hAnsi="Arial" w:cs="Arial"/>
          <w:i/>
          <w:iCs/>
          <w:color w:val="000000"/>
          <w:sz w:val="20"/>
        </w:rPr>
        <w:t>Family Violence Protection Act 2008</w:t>
      </w:r>
      <w:r>
        <w:rPr>
          <w:rFonts w:ascii="Arial" w:hAnsi="Arial" w:cs="Arial"/>
          <w:color w:val="000000"/>
          <w:sz w:val="20"/>
        </w:rPr>
        <w:t xml:space="preserve"> and the </w:t>
      </w:r>
      <w:r w:rsidRPr="004A65A2">
        <w:rPr>
          <w:rFonts w:ascii="Arial" w:hAnsi="Arial" w:cs="Arial"/>
          <w:i/>
          <w:iCs/>
          <w:color w:val="000000"/>
          <w:sz w:val="20"/>
        </w:rPr>
        <w:t>Personal Safety Intervention Orders Act 2010</w:t>
      </w:r>
      <w:r>
        <w:rPr>
          <w:rFonts w:ascii="Arial" w:hAnsi="Arial" w:cs="Arial"/>
          <w:color w:val="000000"/>
          <w:sz w:val="20"/>
        </w:rPr>
        <w:t xml:space="preserve"> – whether or not contested;</w:t>
      </w:r>
    </w:p>
    <w:p w14:paraId="1B52B439" w14:textId="77777777" w:rsidR="007E161F" w:rsidRPr="000E6664" w:rsidRDefault="007E161F" w:rsidP="007E161F">
      <w:pPr>
        <w:numPr>
          <w:ilvl w:val="0"/>
          <w:numId w:val="7"/>
        </w:numPr>
        <w:tabs>
          <w:tab w:val="num" w:pos="723"/>
        </w:tabs>
        <w:jc w:val="both"/>
        <w:rPr>
          <w:rFonts w:ascii="Arial" w:hAnsi="Arial" w:cs="Arial"/>
          <w:color w:val="000000"/>
          <w:sz w:val="20"/>
        </w:rPr>
      </w:pPr>
      <w:r w:rsidRPr="00012988">
        <w:rPr>
          <w:rFonts w:ascii="Arial" w:hAnsi="Arial" w:cs="Arial"/>
          <w:color w:val="000000"/>
          <w:sz w:val="20"/>
          <w:u w:val="single"/>
        </w:rPr>
        <w:t>r.2.07</w:t>
      </w:r>
      <w:r>
        <w:rPr>
          <w:rFonts w:ascii="Arial" w:hAnsi="Arial" w:cs="Arial"/>
          <w:color w:val="000000"/>
          <w:sz w:val="20"/>
        </w:rPr>
        <w:t>: in addition to r.2.06(1) to deal with any other uncontested Family Division applications;</w:t>
      </w:r>
    </w:p>
    <w:p w14:paraId="6856F0CC" w14:textId="16164F65" w:rsidR="007E161F" w:rsidRPr="000E6664" w:rsidRDefault="007E161F" w:rsidP="007E161F">
      <w:pPr>
        <w:tabs>
          <w:tab w:val="num" w:pos="723"/>
        </w:tabs>
        <w:jc w:val="both"/>
        <w:rPr>
          <w:rFonts w:ascii="Arial" w:hAnsi="Arial" w:cs="Arial"/>
          <w:color w:val="000000"/>
          <w:sz w:val="20"/>
        </w:rPr>
      </w:pPr>
      <w:r>
        <w:rPr>
          <w:rFonts w:ascii="Arial" w:hAnsi="Arial" w:cs="Arial"/>
          <w:color w:val="000000"/>
          <w:sz w:val="20"/>
        </w:rPr>
        <w:t>In addition, r.2.0</w:t>
      </w:r>
      <w:r w:rsidR="00EF5214">
        <w:rPr>
          <w:rFonts w:ascii="Arial" w:hAnsi="Arial" w:cs="Arial"/>
          <w:color w:val="000000"/>
          <w:sz w:val="20"/>
        </w:rPr>
        <w:t>7A</w:t>
      </w:r>
      <w:r>
        <w:rPr>
          <w:rFonts w:ascii="Arial" w:hAnsi="Arial" w:cs="Arial"/>
          <w:color w:val="000000"/>
          <w:sz w:val="20"/>
        </w:rPr>
        <w:t xml:space="preserve"> provides that the Court constituted by a judicial registrar may preside at the following hearing types in the Family Division: a judicial resolution conference, a readiness hearing, a directions hearing, a mention or special mention and a return from a conciliation conference.</w:t>
      </w:r>
    </w:p>
    <w:p w14:paraId="6A609DBF" w14:textId="77777777" w:rsidR="007E161F" w:rsidRPr="000E6664" w:rsidRDefault="007E161F" w:rsidP="007E161F">
      <w:pPr>
        <w:jc w:val="both"/>
        <w:rPr>
          <w:rFonts w:ascii="Arial" w:hAnsi="Arial" w:cs="Arial"/>
          <w:color w:val="000000"/>
          <w:sz w:val="20"/>
        </w:rPr>
      </w:pPr>
    </w:p>
    <w:p w14:paraId="0209AA0F" w14:textId="42702403" w:rsidR="00277B85" w:rsidRPr="000E6664" w:rsidRDefault="004938D3">
      <w:pPr>
        <w:jc w:val="both"/>
        <w:rPr>
          <w:rFonts w:ascii="Arial" w:hAnsi="Arial" w:cs="Arial"/>
          <w:color w:val="000000"/>
          <w:sz w:val="20"/>
        </w:rPr>
      </w:pPr>
      <w:r>
        <w:rPr>
          <w:rFonts w:ascii="Arial" w:hAnsi="Arial" w:cs="Arial"/>
          <w:color w:val="000000"/>
          <w:sz w:val="20"/>
        </w:rPr>
        <w:t>T</w:t>
      </w:r>
      <w:r w:rsidR="00277B85" w:rsidRPr="000E6664">
        <w:rPr>
          <w:rFonts w:ascii="Arial" w:hAnsi="Arial" w:cs="Arial"/>
          <w:color w:val="000000"/>
          <w:sz w:val="20"/>
        </w:rPr>
        <w:t>he President may assign duties to a magistrate for the Court [s.</w:t>
      </w:r>
      <w:r w:rsidR="001D4301" w:rsidRPr="000E6664">
        <w:rPr>
          <w:rFonts w:ascii="Arial" w:hAnsi="Arial" w:cs="Arial"/>
          <w:color w:val="000000"/>
          <w:sz w:val="20"/>
        </w:rPr>
        <w:t>5</w:t>
      </w:r>
      <w:r w:rsidR="00277B85" w:rsidRPr="000E6664">
        <w:rPr>
          <w:rFonts w:ascii="Arial" w:hAnsi="Arial" w:cs="Arial"/>
          <w:color w:val="000000"/>
          <w:sz w:val="20"/>
        </w:rPr>
        <w:t>1</w:t>
      </w:r>
      <w:r w:rsidR="001D4301" w:rsidRPr="000E6664">
        <w:rPr>
          <w:rFonts w:ascii="Arial" w:hAnsi="Arial" w:cs="Arial"/>
          <w:color w:val="000000"/>
          <w:sz w:val="20"/>
        </w:rPr>
        <w:t>0</w:t>
      </w:r>
      <w:r w:rsidR="00277B85" w:rsidRPr="000E6664">
        <w:rPr>
          <w:rFonts w:ascii="Arial" w:hAnsi="Arial" w:cs="Arial"/>
          <w:color w:val="000000"/>
          <w:sz w:val="20"/>
        </w:rPr>
        <w:t xml:space="preserve">(1)] </w:t>
      </w:r>
      <w:r w:rsidR="00F829F1">
        <w:rPr>
          <w:rFonts w:ascii="Arial" w:hAnsi="Arial" w:cs="Arial"/>
          <w:color w:val="000000"/>
          <w:sz w:val="20"/>
        </w:rPr>
        <w:t>and to a judicial registrar [s.542A(1)].  S</w:t>
      </w:r>
      <w:r w:rsidR="00277B85" w:rsidRPr="000E6664">
        <w:rPr>
          <w:rFonts w:ascii="Arial" w:hAnsi="Arial" w:cs="Arial"/>
          <w:color w:val="000000"/>
          <w:sz w:val="20"/>
        </w:rPr>
        <w:t>uch magistrate</w:t>
      </w:r>
      <w:r w:rsidR="00F829F1">
        <w:rPr>
          <w:rFonts w:ascii="Arial" w:hAnsi="Arial" w:cs="Arial"/>
          <w:color w:val="000000"/>
          <w:sz w:val="20"/>
        </w:rPr>
        <w:t>/judicial registrar</w:t>
      </w:r>
      <w:r w:rsidR="00277B85" w:rsidRPr="000E6664">
        <w:rPr>
          <w:rFonts w:ascii="Arial" w:hAnsi="Arial" w:cs="Arial"/>
          <w:color w:val="000000"/>
          <w:sz w:val="20"/>
        </w:rPr>
        <w:t xml:space="preserve"> must carry out the duties so assigned [s.</w:t>
      </w:r>
      <w:r w:rsidR="001D4301" w:rsidRPr="000E6664">
        <w:rPr>
          <w:rFonts w:ascii="Arial" w:hAnsi="Arial" w:cs="Arial"/>
          <w:color w:val="000000"/>
          <w:sz w:val="20"/>
        </w:rPr>
        <w:t>5</w:t>
      </w:r>
      <w:r w:rsidR="00277B85" w:rsidRPr="000E6664">
        <w:rPr>
          <w:rFonts w:ascii="Arial" w:hAnsi="Arial" w:cs="Arial"/>
          <w:color w:val="000000"/>
          <w:sz w:val="20"/>
        </w:rPr>
        <w:t>1</w:t>
      </w:r>
      <w:r w:rsidR="001D4301" w:rsidRPr="000E6664">
        <w:rPr>
          <w:rFonts w:ascii="Arial" w:hAnsi="Arial" w:cs="Arial"/>
          <w:color w:val="000000"/>
          <w:sz w:val="20"/>
        </w:rPr>
        <w:t>0</w:t>
      </w:r>
      <w:r w:rsidR="00277B85" w:rsidRPr="000E6664">
        <w:rPr>
          <w:rFonts w:ascii="Arial" w:hAnsi="Arial" w:cs="Arial"/>
          <w:color w:val="000000"/>
          <w:sz w:val="20"/>
        </w:rPr>
        <w:t>(2)</w:t>
      </w:r>
      <w:r w:rsidR="00F829F1">
        <w:rPr>
          <w:rFonts w:ascii="Arial" w:hAnsi="Arial" w:cs="Arial"/>
          <w:color w:val="000000"/>
          <w:sz w:val="20"/>
        </w:rPr>
        <w:t>/ s.542A(2)</w:t>
      </w:r>
      <w:r w:rsidR="00277B85" w:rsidRPr="000E6664">
        <w:rPr>
          <w:rFonts w:ascii="Arial" w:hAnsi="Arial" w:cs="Arial"/>
          <w:color w:val="000000"/>
          <w:sz w:val="20"/>
        </w:rPr>
        <w:t xml:space="preserve">].  </w:t>
      </w:r>
      <w:r w:rsidR="008063F9">
        <w:rPr>
          <w:rFonts w:ascii="Arial" w:hAnsi="Arial" w:cs="Arial"/>
          <w:color w:val="000000"/>
          <w:sz w:val="20"/>
        </w:rPr>
        <w:t xml:space="preserve">Nothing in s.13 of the Magistrates’ Court Act 1989 gives the Chief Magistrate any power to assign duties to a magistrate for the Children’s Court in respect of his or her office as a magistrate for the Court [s.510(3)].  </w:t>
      </w:r>
      <w:r w:rsidR="00277B85" w:rsidRPr="000E6664">
        <w:rPr>
          <w:rFonts w:ascii="Arial" w:hAnsi="Arial" w:cs="Arial"/>
          <w:color w:val="000000"/>
          <w:sz w:val="20"/>
        </w:rPr>
        <w:t xml:space="preserve">It is important to note that although the President has power to assign duties to a </w:t>
      </w:r>
      <w:r w:rsidR="00277B85" w:rsidRPr="000E6664">
        <w:rPr>
          <w:rFonts w:ascii="Arial" w:hAnsi="Arial" w:cs="Arial"/>
          <w:color w:val="000000"/>
          <w:sz w:val="20"/>
        </w:rPr>
        <w:lastRenderedPageBreak/>
        <w:t>magistrate</w:t>
      </w:r>
      <w:r w:rsidR="00F829F1">
        <w:rPr>
          <w:rFonts w:ascii="Arial" w:hAnsi="Arial" w:cs="Arial"/>
          <w:color w:val="000000"/>
          <w:sz w:val="20"/>
        </w:rPr>
        <w:t xml:space="preserve"> and to a judicial registrar</w:t>
      </w:r>
      <w:r w:rsidR="00277B85" w:rsidRPr="000E6664">
        <w:rPr>
          <w:rFonts w:ascii="Arial" w:hAnsi="Arial" w:cs="Arial"/>
          <w:color w:val="000000"/>
          <w:sz w:val="20"/>
        </w:rPr>
        <w:t xml:space="preserve">, the principles of judicial independence do not permit the President to direct a magistrate </w:t>
      </w:r>
      <w:r w:rsidR="00F829F1">
        <w:rPr>
          <w:rFonts w:ascii="Arial" w:hAnsi="Arial" w:cs="Arial"/>
          <w:color w:val="000000"/>
          <w:sz w:val="20"/>
        </w:rPr>
        <w:t xml:space="preserve">or a judicial registrar </w:t>
      </w:r>
      <w:r w:rsidR="00277B85" w:rsidRPr="000E6664">
        <w:rPr>
          <w:rFonts w:ascii="Arial" w:hAnsi="Arial" w:cs="Arial"/>
          <w:color w:val="000000"/>
          <w:sz w:val="20"/>
        </w:rPr>
        <w:t>as to how to carry out his or her judicial function.</w:t>
      </w:r>
    </w:p>
    <w:p w14:paraId="47CDA8C9" w14:textId="77777777" w:rsidR="00E83AF3" w:rsidRPr="000E6664" w:rsidRDefault="00E83AF3">
      <w:pPr>
        <w:jc w:val="both"/>
        <w:rPr>
          <w:rFonts w:ascii="Arial" w:hAnsi="Arial" w:cs="Arial"/>
          <w:color w:val="000000"/>
          <w:sz w:val="20"/>
        </w:rPr>
      </w:pPr>
    </w:p>
    <w:p w14:paraId="37D10EB9" w14:textId="77777777" w:rsidR="00277B85" w:rsidRPr="000E6664" w:rsidRDefault="00277B85" w:rsidP="00EF5214">
      <w:pPr>
        <w:jc w:val="both"/>
        <w:rPr>
          <w:rFonts w:ascii="Arial" w:hAnsi="Arial" w:cs="Arial"/>
          <w:color w:val="000000"/>
          <w:sz w:val="20"/>
        </w:rPr>
      </w:pPr>
      <w:r w:rsidRPr="000E6664">
        <w:rPr>
          <w:rFonts w:ascii="Arial" w:hAnsi="Arial" w:cs="Arial"/>
          <w:color w:val="000000"/>
          <w:sz w:val="20"/>
        </w:rPr>
        <w:t>The following officers of the Court are authorised by s.</w:t>
      </w:r>
      <w:r w:rsidR="00146E61" w:rsidRPr="000E6664">
        <w:rPr>
          <w:rFonts w:ascii="Arial" w:hAnsi="Arial" w:cs="Arial"/>
          <w:color w:val="000000"/>
          <w:sz w:val="20"/>
        </w:rPr>
        <w:t>535</w:t>
      </w:r>
      <w:r w:rsidRPr="000E6664">
        <w:rPr>
          <w:rFonts w:ascii="Arial" w:hAnsi="Arial" w:cs="Arial"/>
          <w:color w:val="000000"/>
          <w:sz w:val="20"/>
        </w:rPr>
        <w:t>(1) of the CY</w:t>
      </w:r>
      <w:r w:rsidR="00146E61" w:rsidRPr="000E6664">
        <w:rPr>
          <w:rFonts w:ascii="Arial" w:hAnsi="Arial" w:cs="Arial"/>
          <w:color w:val="000000"/>
          <w:sz w:val="20"/>
        </w:rPr>
        <w:t>F</w:t>
      </w:r>
      <w:r w:rsidRPr="000E6664">
        <w:rPr>
          <w:rFonts w:ascii="Arial" w:hAnsi="Arial" w:cs="Arial"/>
          <w:color w:val="000000"/>
          <w:sz w:val="20"/>
        </w:rPr>
        <w:t>A:</w:t>
      </w:r>
    </w:p>
    <w:p w14:paraId="6A2EA8AB" w14:textId="77777777" w:rsidR="00277B85" w:rsidRPr="000E6664" w:rsidRDefault="00277B85" w:rsidP="0073729A">
      <w:pPr>
        <w:numPr>
          <w:ilvl w:val="0"/>
          <w:numId w:val="6"/>
        </w:numPr>
        <w:tabs>
          <w:tab w:val="num" w:pos="723"/>
        </w:tabs>
        <w:jc w:val="both"/>
        <w:rPr>
          <w:rFonts w:ascii="Arial" w:hAnsi="Arial" w:cs="Arial"/>
          <w:color w:val="000000"/>
          <w:sz w:val="20"/>
        </w:rPr>
      </w:pPr>
      <w:r w:rsidRPr="000E6664">
        <w:rPr>
          <w:rFonts w:ascii="Arial" w:hAnsi="Arial" w:cs="Arial"/>
          <w:color w:val="000000"/>
          <w:sz w:val="20"/>
        </w:rPr>
        <w:t>a principal registrar;</w:t>
      </w:r>
    </w:p>
    <w:p w14:paraId="1B09A3AE" w14:textId="77777777" w:rsidR="00277B85" w:rsidRPr="000E6664" w:rsidRDefault="00277B85" w:rsidP="0073729A">
      <w:pPr>
        <w:numPr>
          <w:ilvl w:val="0"/>
          <w:numId w:val="6"/>
        </w:numPr>
        <w:tabs>
          <w:tab w:val="num" w:pos="723"/>
        </w:tabs>
        <w:jc w:val="both"/>
        <w:rPr>
          <w:rFonts w:ascii="Arial" w:hAnsi="Arial" w:cs="Arial"/>
          <w:color w:val="000000"/>
          <w:sz w:val="20"/>
        </w:rPr>
      </w:pPr>
      <w:r w:rsidRPr="000E6664">
        <w:rPr>
          <w:rFonts w:ascii="Arial" w:hAnsi="Arial" w:cs="Arial"/>
          <w:color w:val="000000"/>
          <w:sz w:val="20"/>
        </w:rPr>
        <w:t>registrars; and</w:t>
      </w:r>
    </w:p>
    <w:p w14:paraId="5BD911D7" w14:textId="77777777" w:rsidR="00277B85" w:rsidRPr="000E6664" w:rsidRDefault="00277B85" w:rsidP="0073729A">
      <w:pPr>
        <w:numPr>
          <w:ilvl w:val="0"/>
          <w:numId w:val="6"/>
        </w:numPr>
        <w:tabs>
          <w:tab w:val="num" w:pos="723"/>
        </w:tabs>
        <w:jc w:val="both"/>
        <w:rPr>
          <w:rFonts w:ascii="Arial" w:hAnsi="Arial" w:cs="Arial"/>
          <w:color w:val="000000"/>
          <w:sz w:val="20"/>
        </w:rPr>
      </w:pPr>
      <w:r w:rsidRPr="000E6664">
        <w:rPr>
          <w:rFonts w:ascii="Arial" w:hAnsi="Arial" w:cs="Arial"/>
          <w:color w:val="000000"/>
          <w:sz w:val="20"/>
        </w:rPr>
        <w:t>deputy registrars.</w:t>
      </w:r>
    </w:p>
    <w:p w14:paraId="318E57D2" w14:textId="77777777" w:rsidR="00277B85" w:rsidRPr="000E6664" w:rsidRDefault="00277B85">
      <w:pPr>
        <w:jc w:val="both"/>
        <w:rPr>
          <w:rFonts w:ascii="Arial" w:hAnsi="Arial" w:cs="Arial"/>
          <w:color w:val="000000"/>
          <w:sz w:val="20"/>
        </w:rPr>
      </w:pPr>
    </w:p>
    <w:p w14:paraId="3CCBF0A6" w14:textId="77777777" w:rsidR="00277B85" w:rsidRPr="000E6664" w:rsidRDefault="00277B85">
      <w:pPr>
        <w:jc w:val="both"/>
        <w:rPr>
          <w:rFonts w:ascii="Arial" w:hAnsi="Arial" w:cs="Arial"/>
          <w:color w:val="000000"/>
          <w:sz w:val="20"/>
        </w:rPr>
      </w:pPr>
      <w:r w:rsidRPr="000E6664">
        <w:rPr>
          <w:rFonts w:ascii="Arial" w:hAnsi="Arial" w:cs="Arial"/>
          <w:color w:val="000000"/>
          <w:sz w:val="20"/>
        </w:rPr>
        <w:t>The duties, powers and functions of these officers are set out in the CY</w:t>
      </w:r>
      <w:r w:rsidR="00146E61" w:rsidRPr="000E6664">
        <w:rPr>
          <w:rFonts w:ascii="Arial" w:hAnsi="Arial" w:cs="Arial"/>
          <w:color w:val="000000"/>
          <w:sz w:val="20"/>
        </w:rPr>
        <w:t>F</w:t>
      </w:r>
      <w:r w:rsidRPr="000E6664">
        <w:rPr>
          <w:rFonts w:ascii="Arial" w:hAnsi="Arial" w:cs="Arial"/>
          <w:color w:val="000000"/>
          <w:sz w:val="20"/>
        </w:rPr>
        <w:t>A and the regulations [s.</w:t>
      </w:r>
      <w:r w:rsidR="00146E61" w:rsidRPr="000E6664">
        <w:rPr>
          <w:rFonts w:ascii="Arial" w:hAnsi="Arial" w:cs="Arial"/>
          <w:color w:val="000000"/>
          <w:sz w:val="20"/>
        </w:rPr>
        <w:t>535</w:t>
      </w:r>
      <w:r w:rsidRPr="000E6664">
        <w:rPr>
          <w:rFonts w:ascii="Arial" w:hAnsi="Arial" w:cs="Arial"/>
          <w:color w:val="000000"/>
          <w:sz w:val="20"/>
        </w:rPr>
        <w:t>(3)].  Pursuant to s.</w:t>
      </w:r>
      <w:r w:rsidR="00146E61" w:rsidRPr="000E6664">
        <w:rPr>
          <w:rFonts w:ascii="Arial" w:hAnsi="Arial" w:cs="Arial"/>
          <w:color w:val="000000"/>
          <w:sz w:val="20"/>
        </w:rPr>
        <w:t>539</w:t>
      </w:r>
      <w:r w:rsidRPr="000E6664">
        <w:rPr>
          <w:rFonts w:ascii="Arial" w:hAnsi="Arial" w:cs="Arial"/>
          <w:color w:val="000000"/>
          <w:sz w:val="20"/>
        </w:rPr>
        <w:t>, these include:</w:t>
      </w:r>
    </w:p>
    <w:p w14:paraId="76DBF694" w14:textId="77777777" w:rsidR="00277B85" w:rsidRPr="000E6664" w:rsidRDefault="00277B85" w:rsidP="0073729A">
      <w:pPr>
        <w:numPr>
          <w:ilvl w:val="0"/>
          <w:numId w:val="7"/>
        </w:numPr>
        <w:tabs>
          <w:tab w:val="num" w:pos="723"/>
        </w:tabs>
        <w:jc w:val="both"/>
        <w:rPr>
          <w:rFonts w:ascii="Arial" w:hAnsi="Arial" w:cs="Arial"/>
          <w:color w:val="000000"/>
          <w:sz w:val="20"/>
        </w:rPr>
      </w:pPr>
      <w:r w:rsidRPr="000E6664">
        <w:rPr>
          <w:rFonts w:ascii="Arial" w:hAnsi="Arial" w:cs="Arial"/>
          <w:color w:val="000000"/>
          <w:sz w:val="20"/>
        </w:rPr>
        <w:t>power to issue any process out of the Court;</w:t>
      </w:r>
    </w:p>
    <w:p w14:paraId="6F8F89A4" w14:textId="77777777" w:rsidR="00277B85" w:rsidRPr="000E6664" w:rsidRDefault="00277B85" w:rsidP="0073729A">
      <w:pPr>
        <w:numPr>
          <w:ilvl w:val="0"/>
          <w:numId w:val="7"/>
        </w:numPr>
        <w:tabs>
          <w:tab w:val="num" w:pos="723"/>
        </w:tabs>
        <w:jc w:val="both"/>
        <w:rPr>
          <w:rFonts w:ascii="Arial" w:hAnsi="Arial" w:cs="Arial"/>
          <w:color w:val="000000"/>
          <w:sz w:val="20"/>
        </w:rPr>
      </w:pPr>
      <w:r w:rsidRPr="000E6664">
        <w:rPr>
          <w:rFonts w:ascii="Arial" w:hAnsi="Arial" w:cs="Arial"/>
          <w:color w:val="000000"/>
          <w:sz w:val="20"/>
        </w:rPr>
        <w:t>power to administer an oath</w:t>
      </w:r>
      <w:r w:rsidR="00780597">
        <w:rPr>
          <w:rFonts w:ascii="Arial" w:hAnsi="Arial" w:cs="Arial"/>
          <w:color w:val="000000"/>
          <w:sz w:val="20"/>
        </w:rPr>
        <w:t xml:space="preserve"> or affirmation</w:t>
      </w:r>
      <w:r w:rsidRPr="000E6664">
        <w:rPr>
          <w:rFonts w:ascii="Arial" w:hAnsi="Arial" w:cs="Arial"/>
          <w:color w:val="000000"/>
          <w:sz w:val="20"/>
        </w:rPr>
        <w:t>;</w:t>
      </w:r>
    </w:p>
    <w:p w14:paraId="70A05EC6" w14:textId="77777777" w:rsidR="00277B85" w:rsidRPr="000E6664" w:rsidRDefault="00277B85" w:rsidP="0073729A">
      <w:pPr>
        <w:numPr>
          <w:ilvl w:val="0"/>
          <w:numId w:val="7"/>
        </w:numPr>
        <w:tabs>
          <w:tab w:val="num" w:pos="723"/>
        </w:tabs>
        <w:jc w:val="both"/>
        <w:rPr>
          <w:rFonts w:ascii="Arial" w:hAnsi="Arial" w:cs="Arial"/>
          <w:color w:val="000000"/>
          <w:sz w:val="20"/>
        </w:rPr>
      </w:pPr>
      <w:r w:rsidRPr="000E6664">
        <w:rPr>
          <w:rFonts w:ascii="Arial" w:hAnsi="Arial" w:cs="Arial"/>
          <w:color w:val="000000"/>
          <w:sz w:val="20"/>
        </w:rPr>
        <w:t>with the consent of the parties to a proceeding in the Family Division, power to extend an interim accommodation of a kind referred to in ss.</w:t>
      </w:r>
      <w:r w:rsidR="00146E61" w:rsidRPr="000E6664">
        <w:rPr>
          <w:rFonts w:ascii="Arial" w:hAnsi="Arial" w:cs="Arial"/>
          <w:color w:val="000000"/>
          <w:sz w:val="20"/>
        </w:rPr>
        <w:t>26</w:t>
      </w:r>
      <w:r w:rsidRPr="000E6664">
        <w:rPr>
          <w:rFonts w:ascii="Arial" w:hAnsi="Arial" w:cs="Arial"/>
          <w:color w:val="000000"/>
          <w:sz w:val="20"/>
        </w:rPr>
        <w:t xml:space="preserve">3(1)(a) &amp; </w:t>
      </w:r>
      <w:r w:rsidR="00146E61" w:rsidRPr="000E6664">
        <w:rPr>
          <w:rFonts w:ascii="Arial" w:hAnsi="Arial" w:cs="Arial"/>
          <w:color w:val="000000"/>
          <w:sz w:val="20"/>
        </w:rPr>
        <w:t>26</w:t>
      </w:r>
      <w:r w:rsidRPr="000E6664">
        <w:rPr>
          <w:rFonts w:ascii="Arial" w:hAnsi="Arial" w:cs="Arial"/>
          <w:color w:val="000000"/>
          <w:sz w:val="20"/>
        </w:rPr>
        <w:t>3(1)(b) of the CY</w:t>
      </w:r>
      <w:r w:rsidR="00146E61" w:rsidRPr="000E6664">
        <w:rPr>
          <w:rFonts w:ascii="Arial" w:hAnsi="Arial" w:cs="Arial"/>
          <w:color w:val="000000"/>
          <w:sz w:val="20"/>
        </w:rPr>
        <w:t>F</w:t>
      </w:r>
      <w:r w:rsidRPr="000E6664">
        <w:rPr>
          <w:rFonts w:ascii="Arial" w:hAnsi="Arial" w:cs="Arial"/>
          <w:color w:val="000000"/>
          <w:sz w:val="20"/>
        </w:rPr>
        <w:t>A;</w:t>
      </w:r>
    </w:p>
    <w:p w14:paraId="5360B80E" w14:textId="77777777" w:rsidR="00277B85" w:rsidRPr="000E6664" w:rsidRDefault="00277B85" w:rsidP="0073729A">
      <w:pPr>
        <w:numPr>
          <w:ilvl w:val="0"/>
          <w:numId w:val="7"/>
        </w:numPr>
        <w:tabs>
          <w:tab w:val="num" w:pos="723"/>
        </w:tabs>
        <w:jc w:val="both"/>
        <w:rPr>
          <w:rFonts w:ascii="Arial" w:hAnsi="Arial" w:cs="Arial"/>
          <w:color w:val="000000"/>
          <w:sz w:val="20"/>
        </w:rPr>
      </w:pPr>
      <w:r w:rsidRPr="000E6664">
        <w:rPr>
          <w:rFonts w:ascii="Arial" w:hAnsi="Arial" w:cs="Arial"/>
          <w:color w:val="000000"/>
          <w:sz w:val="20"/>
        </w:rPr>
        <w:t xml:space="preserve">power to </w:t>
      </w:r>
      <w:r w:rsidR="008242B1">
        <w:rPr>
          <w:rFonts w:ascii="Arial" w:hAnsi="Arial" w:cs="Arial"/>
          <w:color w:val="000000"/>
          <w:sz w:val="20"/>
        </w:rPr>
        <w:t xml:space="preserve">abridge or </w:t>
      </w:r>
      <w:r w:rsidRPr="000E6664">
        <w:rPr>
          <w:rFonts w:ascii="Arial" w:hAnsi="Arial" w:cs="Arial"/>
          <w:color w:val="000000"/>
          <w:sz w:val="20"/>
        </w:rPr>
        <w:t xml:space="preserve">extend the bail of a person </w:t>
      </w:r>
      <w:r w:rsidR="008242B1">
        <w:rPr>
          <w:rFonts w:ascii="Arial" w:hAnsi="Arial" w:cs="Arial"/>
          <w:color w:val="000000"/>
          <w:sz w:val="20"/>
        </w:rPr>
        <w:t>granted bail in relation to a criminal proceeding;</w:t>
      </w:r>
    </w:p>
    <w:p w14:paraId="4081E11B" w14:textId="7A9848E8" w:rsidR="008242B1" w:rsidRDefault="00277B85" w:rsidP="0073729A">
      <w:pPr>
        <w:numPr>
          <w:ilvl w:val="0"/>
          <w:numId w:val="7"/>
        </w:numPr>
        <w:tabs>
          <w:tab w:val="num" w:pos="723"/>
        </w:tabs>
        <w:jc w:val="both"/>
        <w:rPr>
          <w:rFonts w:ascii="Arial" w:hAnsi="Arial" w:cs="Arial"/>
          <w:color w:val="000000"/>
          <w:sz w:val="20"/>
        </w:rPr>
      </w:pPr>
      <w:r w:rsidRPr="000E6664">
        <w:rPr>
          <w:rFonts w:ascii="Arial" w:hAnsi="Arial" w:cs="Arial"/>
          <w:color w:val="000000"/>
          <w:sz w:val="20"/>
        </w:rPr>
        <w:t xml:space="preserve">power to endorse a warrant to arrest in accordance with s.62 of the </w:t>
      </w:r>
      <w:r w:rsidRPr="005161F3">
        <w:rPr>
          <w:rFonts w:ascii="Arial" w:hAnsi="Arial" w:cs="Arial"/>
          <w:i/>
          <w:iCs/>
          <w:color w:val="000000"/>
          <w:sz w:val="20"/>
        </w:rPr>
        <w:t>Magistrates' Court Act 1989</w:t>
      </w:r>
      <w:r w:rsidR="00012988" w:rsidRPr="00012988">
        <w:rPr>
          <w:rFonts w:ascii="Arial" w:hAnsi="Arial" w:cs="Arial"/>
          <w:color w:val="000000"/>
          <w:sz w:val="20"/>
        </w:rPr>
        <w:t>;</w:t>
      </w:r>
    </w:p>
    <w:p w14:paraId="51A5917D" w14:textId="1F096E08" w:rsidR="00277B85" w:rsidRPr="000E6664" w:rsidRDefault="008242B1" w:rsidP="0073729A">
      <w:pPr>
        <w:numPr>
          <w:ilvl w:val="0"/>
          <w:numId w:val="7"/>
        </w:numPr>
        <w:tabs>
          <w:tab w:val="num" w:pos="723"/>
        </w:tabs>
        <w:jc w:val="both"/>
        <w:rPr>
          <w:rFonts w:ascii="Arial" w:hAnsi="Arial" w:cs="Arial"/>
          <w:color w:val="000000"/>
          <w:sz w:val="20"/>
        </w:rPr>
      </w:pPr>
      <w:r>
        <w:rPr>
          <w:rFonts w:ascii="Arial" w:hAnsi="Arial" w:cs="Arial"/>
          <w:color w:val="000000"/>
          <w:sz w:val="20"/>
        </w:rPr>
        <w:t>powers to do various things under intervention order legislation</w:t>
      </w:r>
      <w:r w:rsidR="008E72CA">
        <w:rPr>
          <w:rFonts w:ascii="Arial" w:hAnsi="Arial" w:cs="Arial"/>
          <w:color w:val="000000"/>
          <w:sz w:val="20"/>
        </w:rPr>
        <w:t>.</w:t>
      </w:r>
    </w:p>
    <w:p w14:paraId="2CD31640" w14:textId="01B5F85D" w:rsidR="00C34F32" w:rsidRDefault="00732B86">
      <w:pPr>
        <w:jc w:val="both"/>
        <w:rPr>
          <w:rFonts w:ascii="Arial" w:hAnsi="Arial" w:cs="Arial"/>
          <w:color w:val="000000"/>
          <w:sz w:val="20"/>
        </w:rPr>
      </w:pPr>
      <w:r>
        <w:rPr>
          <w:rFonts w:ascii="Arial" w:hAnsi="Arial" w:cs="Arial"/>
          <w:color w:val="000000"/>
          <w:sz w:val="20"/>
        </w:rPr>
        <w:t xml:space="preserve">In relation to the powers and functions of registrars of the Magistrates’ Court see </w:t>
      </w:r>
      <w:r w:rsidR="00277B85" w:rsidRPr="000E6664">
        <w:rPr>
          <w:rFonts w:ascii="Arial" w:hAnsi="Arial" w:cs="Arial"/>
          <w:color w:val="000000"/>
          <w:sz w:val="20"/>
        </w:rPr>
        <w:t xml:space="preserve">s.21 of the </w:t>
      </w:r>
      <w:r w:rsidR="00277B85" w:rsidRPr="005161F3">
        <w:rPr>
          <w:rFonts w:ascii="Arial" w:hAnsi="Arial" w:cs="Arial"/>
          <w:i/>
          <w:iCs/>
          <w:color w:val="000000"/>
          <w:sz w:val="20"/>
        </w:rPr>
        <w:t>Magistrates' Court Act 1989</w:t>
      </w:r>
      <w:r>
        <w:rPr>
          <w:rFonts w:ascii="Arial" w:hAnsi="Arial" w:cs="Arial"/>
          <w:color w:val="000000"/>
          <w:sz w:val="20"/>
        </w:rPr>
        <w:t xml:space="preserve">, </w:t>
      </w:r>
      <w:r w:rsidRPr="00732B86">
        <w:rPr>
          <w:rFonts w:ascii="Arial" w:hAnsi="Arial" w:cs="Arial"/>
          <w:i/>
          <w:iCs/>
          <w:color w:val="000000"/>
          <w:sz w:val="20"/>
        </w:rPr>
        <w:t>Thorpe v Magistrates’ Court of Victoria</w:t>
      </w:r>
      <w:r w:rsidRPr="00732B86">
        <w:rPr>
          <w:rFonts w:ascii="Arial" w:hAnsi="Arial" w:cs="Arial"/>
          <w:color w:val="000000"/>
          <w:sz w:val="20"/>
        </w:rPr>
        <w:t xml:space="preserve"> [2025] VSC 22</w:t>
      </w:r>
      <w:r>
        <w:rPr>
          <w:rFonts w:ascii="Arial" w:hAnsi="Arial" w:cs="Arial"/>
          <w:color w:val="000000"/>
          <w:sz w:val="20"/>
        </w:rPr>
        <w:t xml:space="preserve"> &amp;</w:t>
      </w:r>
      <w:r w:rsidRPr="00732B86">
        <w:rPr>
          <w:rFonts w:ascii="Arial" w:hAnsi="Arial" w:cs="Arial"/>
          <w:color w:val="000000"/>
          <w:sz w:val="20"/>
        </w:rPr>
        <w:t xml:space="preserve"> </w:t>
      </w:r>
      <w:r w:rsidRPr="00732B86">
        <w:rPr>
          <w:rFonts w:ascii="Arial" w:hAnsi="Arial" w:cs="Arial"/>
          <w:i/>
          <w:iCs/>
          <w:color w:val="000000"/>
          <w:sz w:val="20"/>
        </w:rPr>
        <w:t>Re Thorpe</w:t>
      </w:r>
      <w:r w:rsidRPr="00732B86">
        <w:rPr>
          <w:rFonts w:ascii="Arial" w:hAnsi="Arial" w:cs="Arial"/>
          <w:color w:val="000000"/>
          <w:sz w:val="20"/>
        </w:rPr>
        <w:t xml:space="preserve"> [202</w:t>
      </w:r>
      <w:r>
        <w:rPr>
          <w:rFonts w:ascii="Arial" w:hAnsi="Arial" w:cs="Arial"/>
          <w:color w:val="000000"/>
          <w:sz w:val="20"/>
        </w:rPr>
        <w:t>5</w:t>
      </w:r>
      <w:r w:rsidRPr="00732B86">
        <w:rPr>
          <w:rFonts w:ascii="Arial" w:hAnsi="Arial" w:cs="Arial"/>
          <w:color w:val="000000"/>
          <w:sz w:val="20"/>
        </w:rPr>
        <w:t>] VSCA 172</w:t>
      </w:r>
      <w:r>
        <w:rPr>
          <w:rFonts w:ascii="Arial" w:hAnsi="Arial" w:cs="Arial"/>
          <w:color w:val="000000"/>
          <w:sz w:val="20"/>
        </w:rPr>
        <w:t>.</w:t>
      </w:r>
    </w:p>
    <w:p w14:paraId="39A3661A" w14:textId="77777777" w:rsidR="00732B86" w:rsidRPr="000E6664" w:rsidRDefault="00732B86">
      <w:pPr>
        <w:jc w:val="both"/>
        <w:rPr>
          <w:rFonts w:ascii="Arial" w:hAnsi="Arial" w:cs="Arial"/>
          <w:color w:val="000000"/>
          <w:sz w:val="20"/>
        </w:rPr>
      </w:pPr>
    </w:p>
    <w:p w14:paraId="39095A69" w14:textId="77777777" w:rsidR="00277B85" w:rsidRPr="000E6664" w:rsidRDefault="00277B85">
      <w:pPr>
        <w:jc w:val="both"/>
        <w:rPr>
          <w:rFonts w:ascii="Arial" w:hAnsi="Arial" w:cs="Arial"/>
          <w:color w:val="000000"/>
          <w:sz w:val="20"/>
        </w:rPr>
      </w:pPr>
      <w:r w:rsidRPr="000E6664">
        <w:rPr>
          <w:rFonts w:ascii="Arial" w:hAnsi="Arial" w:cs="Arial"/>
          <w:color w:val="000000"/>
          <w:sz w:val="20"/>
        </w:rPr>
        <w:t>The current Principal Registrar of the Court is Ms Leanne de Morton who has held that position since the retirement of her predecessor, Mr Godfrey Cabral, in December 2002.  Mr Cabral had previously been Principal Registrar since September 1998.</w:t>
      </w:r>
    </w:p>
    <w:p w14:paraId="36DE3AB9" w14:textId="77777777" w:rsidR="00277B85" w:rsidRPr="000E6664" w:rsidRDefault="00277B85">
      <w:pPr>
        <w:jc w:val="both"/>
        <w:rPr>
          <w:rFonts w:ascii="Arial" w:hAnsi="Arial" w:cs="Arial"/>
          <w:color w:val="000000"/>
          <w:sz w:val="20"/>
        </w:rPr>
      </w:pPr>
    </w:p>
    <w:p w14:paraId="067F971D" w14:textId="77777777" w:rsidR="00277B85" w:rsidRPr="000E6664" w:rsidRDefault="00277B85">
      <w:pPr>
        <w:jc w:val="both"/>
        <w:rPr>
          <w:rFonts w:ascii="Arial" w:hAnsi="Arial" w:cs="Arial"/>
          <w:color w:val="000000"/>
          <w:sz w:val="20"/>
        </w:rPr>
      </w:pPr>
      <w:r w:rsidRPr="000E6664">
        <w:rPr>
          <w:rFonts w:ascii="Arial" w:hAnsi="Arial" w:cs="Arial"/>
          <w:color w:val="000000"/>
          <w:sz w:val="20"/>
        </w:rPr>
        <w:t xml:space="preserve">Section </w:t>
      </w:r>
      <w:r w:rsidR="00146E61" w:rsidRPr="000E6664">
        <w:rPr>
          <w:rFonts w:ascii="Arial" w:hAnsi="Arial" w:cs="Arial"/>
          <w:color w:val="000000"/>
          <w:sz w:val="20"/>
        </w:rPr>
        <w:t>545</w:t>
      </w:r>
      <w:r w:rsidRPr="000E6664">
        <w:rPr>
          <w:rFonts w:ascii="Arial" w:hAnsi="Arial" w:cs="Arial"/>
          <w:color w:val="000000"/>
          <w:sz w:val="20"/>
        </w:rPr>
        <w:t xml:space="preserve">(1) </w:t>
      </w:r>
      <w:r w:rsidR="00146E61" w:rsidRPr="000E6664">
        <w:rPr>
          <w:rFonts w:ascii="Arial" w:hAnsi="Arial" w:cs="Arial"/>
          <w:color w:val="000000"/>
          <w:sz w:val="20"/>
        </w:rPr>
        <w:t>of the CYFA continu</w:t>
      </w:r>
      <w:r w:rsidRPr="000E6664">
        <w:rPr>
          <w:rFonts w:ascii="Arial" w:hAnsi="Arial" w:cs="Arial"/>
          <w:color w:val="000000"/>
          <w:sz w:val="20"/>
        </w:rPr>
        <w:t>es the Children's Court Liaison Office</w:t>
      </w:r>
      <w:r w:rsidR="00146E61" w:rsidRPr="000E6664">
        <w:rPr>
          <w:rFonts w:ascii="Arial" w:hAnsi="Arial" w:cs="Arial"/>
          <w:color w:val="000000"/>
          <w:sz w:val="20"/>
        </w:rPr>
        <w:t>, established by s.36(1) of the CYPA.  The functions of the Children’s Court Liaison Office are</w:t>
      </w:r>
      <w:r w:rsidRPr="000E6664">
        <w:rPr>
          <w:rFonts w:ascii="Arial" w:hAnsi="Arial" w:cs="Arial"/>
          <w:color w:val="000000"/>
          <w:sz w:val="20"/>
        </w:rPr>
        <w:t xml:space="preserve"> set out in s.</w:t>
      </w:r>
      <w:r w:rsidR="00146E61" w:rsidRPr="000E6664">
        <w:rPr>
          <w:rFonts w:ascii="Arial" w:hAnsi="Arial" w:cs="Arial"/>
          <w:color w:val="000000"/>
          <w:sz w:val="20"/>
        </w:rPr>
        <w:t>545</w:t>
      </w:r>
      <w:r w:rsidRPr="000E6664">
        <w:rPr>
          <w:rFonts w:ascii="Arial" w:hAnsi="Arial" w:cs="Arial"/>
          <w:color w:val="000000"/>
          <w:sz w:val="20"/>
        </w:rPr>
        <w:t>(3)</w:t>
      </w:r>
      <w:r w:rsidR="003456D6" w:rsidRPr="000E6664">
        <w:rPr>
          <w:rFonts w:ascii="Arial" w:hAnsi="Arial" w:cs="Arial"/>
          <w:color w:val="000000"/>
          <w:sz w:val="20"/>
        </w:rPr>
        <w:t>:</w:t>
      </w:r>
    </w:p>
    <w:p w14:paraId="67D4E715" w14:textId="77777777" w:rsidR="003456D6" w:rsidRPr="000E6664" w:rsidRDefault="00C841C2" w:rsidP="00C841C2">
      <w:pPr>
        <w:tabs>
          <w:tab w:val="left" w:pos="357"/>
        </w:tabs>
        <w:jc w:val="both"/>
        <w:rPr>
          <w:rFonts w:ascii="Arial" w:hAnsi="Arial" w:cs="Arial"/>
          <w:color w:val="000000"/>
          <w:sz w:val="20"/>
        </w:rPr>
      </w:pPr>
      <w:r w:rsidRPr="000E6664">
        <w:rPr>
          <w:rFonts w:ascii="Arial" w:hAnsi="Arial" w:cs="Arial"/>
          <w:color w:val="000000"/>
          <w:sz w:val="20"/>
        </w:rPr>
        <w:t>(a)</w:t>
      </w:r>
      <w:r w:rsidRPr="000E6664">
        <w:rPr>
          <w:rFonts w:ascii="Arial" w:hAnsi="Arial" w:cs="Arial"/>
          <w:color w:val="000000"/>
          <w:sz w:val="20"/>
        </w:rPr>
        <w:tab/>
        <w:t>to provide information and advice about the Court to children, families and the community;</w:t>
      </w:r>
    </w:p>
    <w:p w14:paraId="6DB20FA1" w14:textId="77777777" w:rsidR="00C841C2" w:rsidRPr="000E6664" w:rsidRDefault="00C841C2" w:rsidP="00C841C2">
      <w:pPr>
        <w:tabs>
          <w:tab w:val="left" w:pos="357"/>
        </w:tabs>
        <w:jc w:val="both"/>
        <w:rPr>
          <w:rFonts w:ascii="Arial" w:hAnsi="Arial" w:cs="Arial"/>
          <w:color w:val="000000"/>
          <w:sz w:val="20"/>
        </w:rPr>
      </w:pPr>
      <w:r w:rsidRPr="000E6664">
        <w:rPr>
          <w:rFonts w:ascii="Arial" w:hAnsi="Arial" w:cs="Arial"/>
          <w:color w:val="000000"/>
          <w:sz w:val="20"/>
        </w:rPr>
        <w:t>(b)</w:t>
      </w:r>
      <w:r w:rsidRPr="000E6664">
        <w:rPr>
          <w:rFonts w:ascii="Arial" w:hAnsi="Arial" w:cs="Arial"/>
          <w:color w:val="000000"/>
          <w:sz w:val="20"/>
        </w:rPr>
        <w:tab/>
        <w:t>to co-ordinate the provision to the Court of any reports that are required;</w:t>
      </w:r>
    </w:p>
    <w:p w14:paraId="630E8F1E" w14:textId="77777777" w:rsidR="00C841C2" w:rsidRPr="000E6664" w:rsidRDefault="00C841C2" w:rsidP="00C841C2">
      <w:pPr>
        <w:tabs>
          <w:tab w:val="left" w:pos="357"/>
        </w:tabs>
        <w:jc w:val="both"/>
        <w:rPr>
          <w:rFonts w:ascii="Arial" w:hAnsi="Arial" w:cs="Arial"/>
          <w:color w:val="000000"/>
          <w:sz w:val="20"/>
        </w:rPr>
      </w:pPr>
      <w:r w:rsidRPr="000E6664">
        <w:rPr>
          <w:rFonts w:ascii="Arial" w:hAnsi="Arial" w:cs="Arial"/>
          <w:color w:val="000000"/>
          <w:sz w:val="20"/>
        </w:rPr>
        <w:t>(c)</w:t>
      </w:r>
      <w:r w:rsidRPr="000E6664">
        <w:rPr>
          <w:rFonts w:ascii="Arial" w:hAnsi="Arial" w:cs="Arial"/>
          <w:color w:val="000000"/>
          <w:sz w:val="20"/>
        </w:rPr>
        <w:tab/>
        <w:t>to collect and keep general information and statistics on the operation of the Court;</w:t>
      </w:r>
    </w:p>
    <w:p w14:paraId="40956703" w14:textId="77777777" w:rsidR="00C841C2" w:rsidRPr="000E6664" w:rsidRDefault="00C841C2" w:rsidP="00C841C2">
      <w:pPr>
        <w:tabs>
          <w:tab w:val="left" w:pos="357"/>
        </w:tabs>
        <w:jc w:val="both"/>
        <w:rPr>
          <w:rFonts w:ascii="Arial" w:hAnsi="Arial" w:cs="Arial"/>
          <w:color w:val="000000"/>
          <w:sz w:val="20"/>
        </w:rPr>
      </w:pPr>
      <w:r w:rsidRPr="000E6664">
        <w:rPr>
          <w:rFonts w:ascii="Arial" w:hAnsi="Arial" w:cs="Arial"/>
          <w:color w:val="000000"/>
          <w:sz w:val="20"/>
        </w:rPr>
        <w:t>(d)</w:t>
      </w:r>
      <w:r w:rsidRPr="000E6664">
        <w:rPr>
          <w:rFonts w:ascii="Arial" w:hAnsi="Arial" w:cs="Arial"/>
          <w:color w:val="000000"/>
          <w:sz w:val="20"/>
        </w:rPr>
        <w:tab/>
        <w:t>to provide general advice and assistance to the Court; and</w:t>
      </w:r>
    </w:p>
    <w:p w14:paraId="3E9DB442" w14:textId="77777777" w:rsidR="00C841C2" w:rsidRPr="000E6664" w:rsidRDefault="00C841C2" w:rsidP="00C841C2">
      <w:pPr>
        <w:tabs>
          <w:tab w:val="left" w:pos="357"/>
        </w:tabs>
        <w:jc w:val="both"/>
        <w:rPr>
          <w:rFonts w:ascii="Arial" w:hAnsi="Arial" w:cs="Arial"/>
          <w:color w:val="000000"/>
          <w:sz w:val="20"/>
        </w:rPr>
      </w:pPr>
      <w:r w:rsidRPr="000E6664">
        <w:rPr>
          <w:rFonts w:ascii="Arial" w:hAnsi="Arial" w:cs="Arial"/>
          <w:color w:val="000000"/>
          <w:sz w:val="20"/>
        </w:rPr>
        <w:t>(e)</w:t>
      </w:r>
      <w:r w:rsidRPr="000E6664">
        <w:rPr>
          <w:rFonts w:ascii="Arial" w:hAnsi="Arial" w:cs="Arial"/>
          <w:color w:val="000000"/>
          <w:sz w:val="20"/>
        </w:rPr>
        <w:tab/>
        <w:t>to undertake any research that is required to enable it to carry out its functions.</w:t>
      </w:r>
    </w:p>
    <w:p w14:paraId="1E21FE27" w14:textId="77777777" w:rsidR="00AE0485" w:rsidRDefault="00AE0485" w:rsidP="00AE0485">
      <w:pPr>
        <w:jc w:val="both"/>
        <w:rPr>
          <w:rFonts w:ascii="Arial" w:hAnsi="Arial" w:cs="Arial"/>
          <w:color w:val="000000"/>
          <w:sz w:val="20"/>
        </w:rPr>
      </w:pPr>
    </w:p>
    <w:p w14:paraId="358C6819" w14:textId="77777777" w:rsidR="00277B85" w:rsidRPr="00BE6441" w:rsidRDefault="00277B85" w:rsidP="00AE0485">
      <w:pPr>
        <w:pStyle w:val="Heading2"/>
        <w:tabs>
          <w:tab w:val="left" w:pos="567"/>
        </w:tabs>
        <w:spacing w:line="240" w:lineRule="auto"/>
        <w:rPr>
          <w:rFonts w:ascii="Arial" w:hAnsi="Arial" w:cs="Arial"/>
          <w:b/>
          <w:bCs/>
          <w:color w:val="000000"/>
        </w:rPr>
      </w:pPr>
      <w:bookmarkStart w:id="164" w:name="_2.3_Organisational_structure"/>
      <w:bookmarkStart w:id="165" w:name="_Toc30608791"/>
      <w:bookmarkStart w:id="166" w:name="_Toc30610004"/>
      <w:bookmarkStart w:id="167" w:name="_Toc30610247"/>
      <w:bookmarkStart w:id="168" w:name="_Toc30638401"/>
      <w:bookmarkStart w:id="169" w:name="_Toc30644210"/>
      <w:bookmarkStart w:id="170" w:name="_Toc30644613"/>
      <w:bookmarkStart w:id="171" w:name="_Toc30645163"/>
      <w:bookmarkStart w:id="172" w:name="_Toc30646367"/>
      <w:bookmarkStart w:id="173" w:name="_Toc30646662"/>
      <w:bookmarkStart w:id="174" w:name="_Toc30646772"/>
      <w:bookmarkStart w:id="175" w:name="_Toc30648129"/>
      <w:bookmarkStart w:id="176" w:name="_Toc30649027"/>
      <w:bookmarkStart w:id="177" w:name="_Toc30649103"/>
      <w:bookmarkStart w:id="178" w:name="_Toc30649364"/>
      <w:bookmarkStart w:id="179" w:name="_Toc30649684"/>
      <w:bookmarkStart w:id="180" w:name="_Toc30651618"/>
      <w:bookmarkStart w:id="181" w:name="_Toc30652602"/>
      <w:bookmarkStart w:id="182" w:name="_Toc30652700"/>
      <w:bookmarkStart w:id="183" w:name="_Toc30654045"/>
      <w:bookmarkStart w:id="184" w:name="_Toc30654396"/>
      <w:bookmarkStart w:id="185" w:name="_Toc30655015"/>
      <w:bookmarkStart w:id="186" w:name="_Toc30655272"/>
      <w:bookmarkStart w:id="187" w:name="_Toc30656948"/>
      <w:bookmarkStart w:id="188" w:name="_Toc30661697"/>
      <w:bookmarkStart w:id="189" w:name="_Toc30666385"/>
      <w:bookmarkStart w:id="190" w:name="_Toc30666615"/>
      <w:bookmarkStart w:id="191" w:name="_Toc30667790"/>
      <w:bookmarkStart w:id="192" w:name="_Toc30669168"/>
      <w:bookmarkStart w:id="193" w:name="_Toc30671384"/>
      <w:bookmarkStart w:id="194" w:name="_Toc30673911"/>
      <w:bookmarkStart w:id="195" w:name="_Toc30691133"/>
      <w:bookmarkStart w:id="196" w:name="_Toc30691504"/>
      <w:bookmarkStart w:id="197" w:name="_Toc30691884"/>
      <w:bookmarkStart w:id="198" w:name="_Toc30692643"/>
      <w:bookmarkStart w:id="199" w:name="_Toc30693022"/>
      <w:bookmarkStart w:id="200" w:name="_Toc30693400"/>
      <w:bookmarkStart w:id="201" w:name="_Toc30693779"/>
      <w:bookmarkStart w:id="202" w:name="_Toc30694160"/>
      <w:bookmarkStart w:id="203" w:name="_Toc30698749"/>
      <w:bookmarkStart w:id="204" w:name="_Toc30699127"/>
      <w:bookmarkStart w:id="205" w:name="_Toc30699512"/>
      <w:bookmarkStart w:id="206" w:name="_Toc30700667"/>
      <w:bookmarkStart w:id="207" w:name="_Toc30701054"/>
      <w:bookmarkStart w:id="208" w:name="_Toc30743663"/>
      <w:bookmarkStart w:id="209" w:name="_Toc30754486"/>
      <w:bookmarkStart w:id="210" w:name="_Toc30756926"/>
      <w:bookmarkStart w:id="211" w:name="_Toc30757475"/>
      <w:bookmarkStart w:id="212" w:name="_Toc30757875"/>
      <w:bookmarkStart w:id="213" w:name="_Toc30762636"/>
      <w:bookmarkStart w:id="214" w:name="_Toc30767290"/>
      <w:bookmarkStart w:id="215" w:name="_Toc34823316"/>
      <w:bookmarkEnd w:id="164"/>
      <w:r w:rsidRPr="00BE6441">
        <w:rPr>
          <w:rFonts w:ascii="Arial" w:hAnsi="Arial" w:cs="Arial"/>
          <w:b/>
          <w:bCs/>
          <w:color w:val="000000"/>
        </w:rPr>
        <w:t>2.3</w:t>
      </w:r>
      <w:r w:rsidRPr="00BE6441">
        <w:rPr>
          <w:rFonts w:ascii="Arial" w:hAnsi="Arial" w:cs="Arial"/>
          <w:b/>
          <w:bCs/>
          <w:color w:val="000000"/>
        </w:rPr>
        <w:tab/>
        <w:t xml:space="preserve">Organisational </w:t>
      </w:r>
      <w:r w:rsidR="0093162A">
        <w:rPr>
          <w:rFonts w:ascii="Arial" w:hAnsi="Arial" w:cs="Arial"/>
          <w:b/>
          <w:bCs/>
          <w:color w:val="000000"/>
        </w:rPr>
        <w:t>S</w:t>
      </w:r>
      <w:r w:rsidRPr="00BE6441">
        <w:rPr>
          <w:rFonts w:ascii="Arial" w:hAnsi="Arial" w:cs="Arial"/>
          <w:b/>
          <w:bCs/>
          <w:color w:val="000000"/>
        </w:rPr>
        <w:t>tructure of the Children's Court at Melbourne</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14:paraId="66826950" w14:textId="281FA22F" w:rsidR="00052294" w:rsidRDefault="00052294" w:rsidP="00052294">
      <w:pPr>
        <w:rPr>
          <w:rFonts w:ascii="Arial" w:hAnsi="Arial" w:cs="Arial"/>
          <w:sz w:val="20"/>
        </w:rPr>
      </w:pPr>
      <w:bookmarkStart w:id="216" w:name="_Toc30608792"/>
      <w:bookmarkStart w:id="217" w:name="_Toc30610005"/>
      <w:bookmarkStart w:id="218" w:name="_Toc30610248"/>
      <w:bookmarkStart w:id="219" w:name="_Toc30638402"/>
      <w:bookmarkStart w:id="220" w:name="_Toc30644211"/>
      <w:bookmarkStart w:id="221" w:name="_Toc30644614"/>
      <w:bookmarkStart w:id="222" w:name="_Toc30645164"/>
      <w:bookmarkStart w:id="223" w:name="_Toc30646368"/>
      <w:bookmarkStart w:id="224" w:name="_Toc30646663"/>
      <w:bookmarkStart w:id="225" w:name="_Toc30646773"/>
      <w:bookmarkStart w:id="226" w:name="_Toc30648130"/>
      <w:bookmarkStart w:id="227" w:name="_Toc30649028"/>
      <w:bookmarkStart w:id="228" w:name="_Toc30649104"/>
      <w:bookmarkStart w:id="229" w:name="_Toc30649365"/>
      <w:bookmarkStart w:id="230" w:name="_Toc30649685"/>
      <w:bookmarkStart w:id="231" w:name="_Toc30651619"/>
      <w:bookmarkStart w:id="232" w:name="_Toc30652603"/>
      <w:bookmarkStart w:id="233" w:name="_Toc30652701"/>
      <w:bookmarkStart w:id="234" w:name="_Toc30654046"/>
      <w:bookmarkStart w:id="235" w:name="_Toc30654397"/>
      <w:bookmarkStart w:id="236" w:name="_Toc30655016"/>
      <w:bookmarkStart w:id="237" w:name="_Toc30655273"/>
      <w:bookmarkStart w:id="238" w:name="_Toc30656949"/>
      <w:bookmarkStart w:id="239" w:name="_Toc30661698"/>
      <w:bookmarkStart w:id="240" w:name="_Toc30666386"/>
      <w:bookmarkStart w:id="241" w:name="_Toc30666616"/>
      <w:bookmarkStart w:id="242" w:name="_Toc30667791"/>
      <w:bookmarkStart w:id="243" w:name="_Toc30669169"/>
      <w:bookmarkStart w:id="244" w:name="_Toc30671385"/>
      <w:bookmarkStart w:id="245" w:name="_Toc30673912"/>
      <w:bookmarkStart w:id="246" w:name="_Toc30691134"/>
      <w:bookmarkStart w:id="247" w:name="_Toc30691505"/>
      <w:bookmarkStart w:id="248" w:name="_Toc30691885"/>
      <w:bookmarkStart w:id="249" w:name="_Toc30692644"/>
      <w:bookmarkStart w:id="250" w:name="_Toc30693023"/>
      <w:bookmarkStart w:id="251" w:name="_Toc30693401"/>
      <w:bookmarkStart w:id="252" w:name="_Toc30693780"/>
      <w:bookmarkStart w:id="253" w:name="_Toc30694161"/>
      <w:bookmarkStart w:id="254" w:name="_Toc30698750"/>
      <w:bookmarkStart w:id="255" w:name="_Toc30699128"/>
      <w:bookmarkStart w:id="256" w:name="_Toc30699513"/>
      <w:bookmarkStart w:id="257" w:name="_Toc30700668"/>
      <w:bookmarkStart w:id="258" w:name="_Toc30701055"/>
      <w:bookmarkStart w:id="259" w:name="_Toc30743664"/>
      <w:bookmarkStart w:id="260" w:name="_Toc30754487"/>
      <w:bookmarkStart w:id="261" w:name="_Toc30756927"/>
      <w:bookmarkStart w:id="262" w:name="_Toc30757476"/>
      <w:bookmarkStart w:id="263" w:name="_Toc30757876"/>
      <w:bookmarkStart w:id="264" w:name="_Toc30762637"/>
      <w:bookmarkStart w:id="265" w:name="_Toc30767291"/>
      <w:bookmarkStart w:id="266" w:name="_Toc34823317"/>
    </w:p>
    <w:tbl>
      <w:tblPr>
        <w:tblW w:w="7847" w:type="dxa"/>
        <w:tblInd w:w="56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159"/>
        <w:gridCol w:w="2688"/>
      </w:tblGrid>
      <w:tr w:rsidR="00F108E1" w:rsidRPr="00D03F68" w14:paraId="3EA335ED" w14:textId="77777777" w:rsidTr="00E10AB9">
        <w:tc>
          <w:tcPr>
            <w:tcW w:w="5000" w:type="pct"/>
            <w:gridSpan w:val="2"/>
            <w:tcBorders>
              <w:top w:val="single" w:sz="12" w:space="0" w:color="auto"/>
              <w:bottom w:val="single" w:sz="12" w:space="0" w:color="auto"/>
            </w:tcBorders>
            <w:shd w:val="pct10" w:color="auto" w:fill="auto"/>
          </w:tcPr>
          <w:p w14:paraId="340F00EC" w14:textId="57E8F19D" w:rsidR="00CD1A94" w:rsidRPr="00D03F68" w:rsidRDefault="00CD1A94" w:rsidP="00741D39">
            <w:pPr>
              <w:jc w:val="center"/>
              <w:rPr>
                <w:rFonts w:ascii="Arial" w:hAnsi="Arial" w:cs="Arial"/>
                <w:b/>
              </w:rPr>
            </w:pPr>
            <w:r w:rsidRPr="00D03F68">
              <w:rPr>
                <w:rFonts w:ascii="Arial" w:hAnsi="Arial" w:cs="Arial"/>
                <w:b/>
              </w:rPr>
              <w:t xml:space="preserve">OFFICE HOLDERS – </w:t>
            </w:r>
            <w:r w:rsidR="00FC57C8">
              <w:rPr>
                <w:rFonts w:ascii="Arial" w:hAnsi="Arial" w:cs="Arial"/>
                <w:b/>
              </w:rPr>
              <w:t>31</w:t>
            </w:r>
            <w:r w:rsidR="000B2AC4" w:rsidRPr="00D03F68">
              <w:rPr>
                <w:rFonts w:ascii="Arial" w:hAnsi="Arial" w:cs="Arial"/>
                <w:b/>
              </w:rPr>
              <w:t xml:space="preserve"> </w:t>
            </w:r>
            <w:r w:rsidR="00FC57C8">
              <w:rPr>
                <w:rFonts w:ascii="Arial" w:hAnsi="Arial" w:cs="Arial"/>
                <w:b/>
              </w:rPr>
              <w:t>MAY</w:t>
            </w:r>
            <w:r w:rsidRPr="00D03F68">
              <w:rPr>
                <w:rFonts w:ascii="Arial" w:hAnsi="Arial" w:cs="Arial"/>
                <w:b/>
              </w:rPr>
              <w:t xml:space="preserve"> 20</w:t>
            </w:r>
            <w:r w:rsidR="00F108E1">
              <w:rPr>
                <w:rFonts w:ascii="Arial" w:hAnsi="Arial" w:cs="Arial"/>
                <w:b/>
              </w:rPr>
              <w:t>2</w:t>
            </w:r>
            <w:r w:rsidR="00FC57C8">
              <w:rPr>
                <w:rFonts w:ascii="Arial" w:hAnsi="Arial" w:cs="Arial"/>
                <w:b/>
              </w:rPr>
              <w:t>4</w:t>
            </w:r>
          </w:p>
        </w:tc>
      </w:tr>
      <w:tr w:rsidR="00CD1A94" w:rsidRPr="00D03F68" w14:paraId="7C624502" w14:textId="77777777" w:rsidTr="00E10AB9">
        <w:tc>
          <w:tcPr>
            <w:tcW w:w="3287" w:type="pct"/>
            <w:tcBorders>
              <w:top w:val="single" w:sz="12" w:space="0" w:color="auto"/>
              <w:bottom w:val="single" w:sz="4" w:space="0" w:color="auto"/>
            </w:tcBorders>
          </w:tcPr>
          <w:p w14:paraId="165896EC" w14:textId="77777777" w:rsidR="00CD1A94" w:rsidRPr="00D03F68" w:rsidRDefault="00CD1A94" w:rsidP="00D03F68">
            <w:pPr>
              <w:jc w:val="center"/>
              <w:rPr>
                <w:rFonts w:ascii="Arial" w:hAnsi="Arial" w:cs="Arial"/>
                <w:color w:val="000000"/>
                <w:sz w:val="20"/>
              </w:rPr>
            </w:pPr>
            <w:r w:rsidRPr="00D03F68">
              <w:rPr>
                <w:rFonts w:ascii="Arial" w:hAnsi="Arial" w:cs="Arial"/>
                <w:color w:val="000000"/>
                <w:sz w:val="20"/>
              </w:rPr>
              <w:t>President</w:t>
            </w:r>
          </w:p>
        </w:tc>
        <w:tc>
          <w:tcPr>
            <w:tcW w:w="1713" w:type="pct"/>
            <w:tcBorders>
              <w:top w:val="single" w:sz="12" w:space="0" w:color="auto"/>
              <w:bottom w:val="single" w:sz="4" w:space="0" w:color="auto"/>
            </w:tcBorders>
          </w:tcPr>
          <w:p w14:paraId="5FA29CB2" w14:textId="77777777" w:rsidR="00CD1A94" w:rsidRPr="00F108E1" w:rsidRDefault="00CD1A94" w:rsidP="00443B8A">
            <w:pPr>
              <w:jc w:val="center"/>
              <w:rPr>
                <w:rFonts w:ascii="Arial" w:hAnsi="Arial" w:cs="Arial"/>
                <w:color w:val="000000"/>
                <w:sz w:val="20"/>
              </w:rPr>
            </w:pPr>
            <w:r w:rsidRPr="00F108E1">
              <w:rPr>
                <w:rFonts w:ascii="Arial" w:hAnsi="Arial" w:cs="Arial"/>
                <w:color w:val="000000"/>
                <w:sz w:val="20"/>
              </w:rPr>
              <w:t xml:space="preserve">Judge </w:t>
            </w:r>
            <w:r w:rsidR="00F108E1" w:rsidRPr="00F108E1">
              <w:rPr>
                <w:rFonts w:ascii="Arial" w:hAnsi="Arial" w:cs="Arial"/>
                <w:color w:val="000000"/>
                <w:sz w:val="20"/>
              </w:rPr>
              <w:t>J</w:t>
            </w:r>
            <w:r w:rsidR="00F108E1" w:rsidRPr="00F108E1">
              <w:rPr>
                <w:rFonts w:ascii="Arial" w:hAnsi="Arial" w:cs="Arial"/>
                <w:sz w:val="20"/>
              </w:rPr>
              <w:t>ack Vandersteen</w:t>
            </w:r>
          </w:p>
        </w:tc>
      </w:tr>
      <w:tr w:rsidR="00C83A58" w:rsidRPr="00D03F68" w14:paraId="56844213" w14:textId="77777777" w:rsidTr="00E10AB9">
        <w:tc>
          <w:tcPr>
            <w:tcW w:w="3287" w:type="pct"/>
            <w:tcBorders>
              <w:top w:val="single" w:sz="4" w:space="0" w:color="auto"/>
            </w:tcBorders>
          </w:tcPr>
          <w:p w14:paraId="60FE5097" w14:textId="77777777" w:rsidR="00C83A58" w:rsidRPr="00D03F68" w:rsidRDefault="00C83A58" w:rsidP="00D03F68">
            <w:pPr>
              <w:jc w:val="center"/>
              <w:rPr>
                <w:rFonts w:ascii="Arial" w:hAnsi="Arial" w:cs="Arial"/>
                <w:color w:val="000000"/>
                <w:sz w:val="20"/>
              </w:rPr>
            </w:pPr>
            <w:r w:rsidRPr="00D03F68">
              <w:rPr>
                <w:rFonts w:ascii="Arial" w:hAnsi="Arial" w:cs="Arial"/>
                <w:color w:val="000000"/>
                <w:sz w:val="20"/>
              </w:rPr>
              <w:t>Chief Executive Officer</w:t>
            </w:r>
          </w:p>
        </w:tc>
        <w:tc>
          <w:tcPr>
            <w:tcW w:w="1713" w:type="pct"/>
            <w:tcBorders>
              <w:top w:val="single" w:sz="4" w:space="0" w:color="auto"/>
            </w:tcBorders>
          </w:tcPr>
          <w:p w14:paraId="17669C3B" w14:textId="77777777" w:rsidR="00C83A58" w:rsidRPr="00D03F68" w:rsidRDefault="00070B9C" w:rsidP="00070B9C">
            <w:pPr>
              <w:jc w:val="center"/>
              <w:rPr>
                <w:rFonts w:ascii="Arial" w:hAnsi="Arial" w:cs="Arial"/>
                <w:color w:val="000000"/>
                <w:sz w:val="20"/>
              </w:rPr>
            </w:pPr>
            <w:r>
              <w:rPr>
                <w:rFonts w:ascii="Arial" w:hAnsi="Arial" w:cs="Arial"/>
                <w:color w:val="000000"/>
                <w:sz w:val="20"/>
              </w:rPr>
              <w:t>Mr Simon McDonald</w:t>
            </w:r>
          </w:p>
        </w:tc>
      </w:tr>
      <w:tr w:rsidR="00FC57C8" w:rsidRPr="00D03F68" w14:paraId="1D6A5B25" w14:textId="77777777" w:rsidTr="00215E6F">
        <w:tc>
          <w:tcPr>
            <w:tcW w:w="3287" w:type="pct"/>
          </w:tcPr>
          <w:p w14:paraId="6CEB62AB" w14:textId="3E041639" w:rsidR="00FC57C8" w:rsidRPr="00BB7723" w:rsidRDefault="00FC57C8" w:rsidP="00215E6F">
            <w:pPr>
              <w:jc w:val="center"/>
              <w:rPr>
                <w:rFonts w:ascii="Arial" w:hAnsi="Arial" w:cs="Arial"/>
                <w:color w:val="000000"/>
                <w:sz w:val="20"/>
              </w:rPr>
            </w:pPr>
            <w:r>
              <w:rPr>
                <w:rFonts w:ascii="Arial" w:hAnsi="Arial" w:cs="Arial"/>
                <w:color w:val="000000"/>
                <w:sz w:val="20"/>
              </w:rPr>
              <w:t>Deputy Chief Executive Officer</w:t>
            </w:r>
          </w:p>
        </w:tc>
        <w:tc>
          <w:tcPr>
            <w:tcW w:w="1713" w:type="pct"/>
          </w:tcPr>
          <w:p w14:paraId="1D353621" w14:textId="77777777" w:rsidR="00FC57C8" w:rsidRPr="00D03F68" w:rsidRDefault="00FC57C8" w:rsidP="00215E6F">
            <w:pPr>
              <w:jc w:val="center"/>
              <w:rPr>
                <w:rFonts w:ascii="Arial" w:hAnsi="Arial" w:cs="Arial"/>
                <w:color w:val="000000"/>
                <w:sz w:val="20"/>
              </w:rPr>
            </w:pPr>
            <w:r w:rsidRPr="00D03F68">
              <w:rPr>
                <w:rFonts w:ascii="Arial" w:hAnsi="Arial" w:cs="Arial"/>
                <w:color w:val="000000"/>
                <w:sz w:val="20"/>
              </w:rPr>
              <w:t xml:space="preserve">Ms </w:t>
            </w:r>
            <w:r>
              <w:rPr>
                <w:rFonts w:ascii="Arial" w:hAnsi="Arial" w:cs="Arial"/>
                <w:color w:val="000000"/>
                <w:sz w:val="20"/>
              </w:rPr>
              <w:t>Kylie Pieters</w:t>
            </w:r>
          </w:p>
        </w:tc>
      </w:tr>
      <w:tr w:rsidR="0052502D" w:rsidRPr="00D03F68" w14:paraId="6B1E045C" w14:textId="77777777" w:rsidTr="00E10AB9">
        <w:tc>
          <w:tcPr>
            <w:tcW w:w="3287" w:type="pct"/>
          </w:tcPr>
          <w:p w14:paraId="2AE7A70C" w14:textId="77777777" w:rsidR="0052502D" w:rsidRPr="00D03F68" w:rsidRDefault="00430E7B" w:rsidP="00D03F68">
            <w:pPr>
              <w:jc w:val="center"/>
              <w:rPr>
                <w:rFonts w:ascii="Arial" w:hAnsi="Arial" w:cs="Arial"/>
                <w:color w:val="000000"/>
                <w:sz w:val="20"/>
              </w:rPr>
            </w:pPr>
            <w:r>
              <w:rPr>
                <w:rFonts w:ascii="Arial" w:hAnsi="Arial" w:cs="Arial"/>
                <w:color w:val="000000"/>
                <w:sz w:val="20"/>
              </w:rPr>
              <w:t>Chief Operating Officer</w:t>
            </w:r>
          </w:p>
        </w:tc>
        <w:tc>
          <w:tcPr>
            <w:tcW w:w="1713" w:type="pct"/>
          </w:tcPr>
          <w:p w14:paraId="14005087" w14:textId="77777777" w:rsidR="0052502D" w:rsidRPr="00D03F68" w:rsidRDefault="00430E7B" w:rsidP="00430E7B">
            <w:pPr>
              <w:jc w:val="center"/>
              <w:rPr>
                <w:rFonts w:ascii="Arial" w:hAnsi="Arial" w:cs="Arial"/>
                <w:color w:val="000000"/>
                <w:sz w:val="20"/>
              </w:rPr>
            </w:pPr>
            <w:r>
              <w:rPr>
                <w:rFonts w:ascii="Arial" w:hAnsi="Arial" w:cs="Arial"/>
                <w:color w:val="000000"/>
                <w:sz w:val="20"/>
              </w:rPr>
              <w:t>Mr Rob Challis</w:t>
            </w:r>
          </w:p>
        </w:tc>
      </w:tr>
      <w:tr w:rsidR="00C83A58" w:rsidRPr="00D03F68" w14:paraId="617A8C16" w14:textId="77777777" w:rsidTr="00E10AB9">
        <w:tc>
          <w:tcPr>
            <w:tcW w:w="3287" w:type="pct"/>
          </w:tcPr>
          <w:p w14:paraId="799A3BE6" w14:textId="77777777" w:rsidR="00C83A58" w:rsidRPr="00D03F68" w:rsidRDefault="00C83A58" w:rsidP="00D03F68">
            <w:pPr>
              <w:jc w:val="center"/>
              <w:rPr>
                <w:rFonts w:ascii="Arial" w:hAnsi="Arial" w:cs="Arial"/>
                <w:color w:val="000000"/>
                <w:sz w:val="20"/>
              </w:rPr>
            </w:pPr>
            <w:r w:rsidRPr="00D03F68">
              <w:rPr>
                <w:rFonts w:ascii="Arial" w:hAnsi="Arial" w:cs="Arial"/>
                <w:color w:val="000000"/>
                <w:sz w:val="20"/>
              </w:rPr>
              <w:t>Principal Registrar</w:t>
            </w:r>
          </w:p>
        </w:tc>
        <w:tc>
          <w:tcPr>
            <w:tcW w:w="1713" w:type="pct"/>
          </w:tcPr>
          <w:p w14:paraId="2CF8D7C6" w14:textId="77777777" w:rsidR="00C83A58" w:rsidRPr="00D03F68" w:rsidRDefault="00C83A58" w:rsidP="00D03F68">
            <w:pPr>
              <w:jc w:val="center"/>
              <w:rPr>
                <w:rFonts w:ascii="Arial" w:hAnsi="Arial" w:cs="Arial"/>
                <w:color w:val="000000"/>
                <w:sz w:val="20"/>
              </w:rPr>
            </w:pPr>
            <w:r w:rsidRPr="00D03F68">
              <w:rPr>
                <w:rFonts w:ascii="Arial" w:hAnsi="Arial" w:cs="Arial"/>
                <w:color w:val="000000"/>
                <w:sz w:val="20"/>
              </w:rPr>
              <w:t>Ms Leanne de Morton</w:t>
            </w:r>
          </w:p>
        </w:tc>
      </w:tr>
      <w:tr w:rsidR="0031003A" w:rsidRPr="00D03F68" w14:paraId="74BD2FD0" w14:textId="77777777" w:rsidTr="00E10AB9">
        <w:tc>
          <w:tcPr>
            <w:tcW w:w="3287" w:type="pct"/>
          </w:tcPr>
          <w:p w14:paraId="51252911" w14:textId="77777777" w:rsidR="0031003A" w:rsidRPr="00D03F68" w:rsidRDefault="0031003A" w:rsidP="003E421C">
            <w:pPr>
              <w:jc w:val="center"/>
              <w:rPr>
                <w:rFonts w:ascii="Arial" w:hAnsi="Arial" w:cs="Arial"/>
                <w:color w:val="000000"/>
                <w:sz w:val="20"/>
              </w:rPr>
            </w:pPr>
            <w:r>
              <w:rPr>
                <w:rFonts w:ascii="Arial" w:hAnsi="Arial" w:cs="Arial"/>
                <w:color w:val="000000"/>
                <w:sz w:val="20"/>
              </w:rPr>
              <w:t>Strategic Advisor to the President</w:t>
            </w:r>
          </w:p>
        </w:tc>
        <w:tc>
          <w:tcPr>
            <w:tcW w:w="1713" w:type="pct"/>
          </w:tcPr>
          <w:p w14:paraId="19A547B8" w14:textId="77777777" w:rsidR="0031003A" w:rsidRPr="00D03F68" w:rsidRDefault="0031003A" w:rsidP="003E421C">
            <w:pPr>
              <w:jc w:val="center"/>
              <w:rPr>
                <w:rFonts w:ascii="Arial" w:hAnsi="Arial" w:cs="Arial"/>
                <w:color w:val="000000"/>
                <w:sz w:val="20"/>
              </w:rPr>
            </w:pPr>
            <w:r>
              <w:rPr>
                <w:rFonts w:ascii="Arial" w:hAnsi="Arial" w:cs="Arial"/>
                <w:color w:val="000000"/>
                <w:sz w:val="20"/>
              </w:rPr>
              <w:t>Ms Louise James</w:t>
            </w:r>
          </w:p>
        </w:tc>
      </w:tr>
      <w:tr w:rsidR="0031003A" w:rsidRPr="00D03F68" w14:paraId="30530499" w14:textId="77777777" w:rsidTr="00E10AB9">
        <w:tc>
          <w:tcPr>
            <w:tcW w:w="3287" w:type="pct"/>
          </w:tcPr>
          <w:p w14:paraId="18E033D4" w14:textId="0B475E30" w:rsidR="0031003A" w:rsidRPr="00D03F68" w:rsidRDefault="00FC57C8" w:rsidP="003E421C">
            <w:pPr>
              <w:jc w:val="center"/>
              <w:rPr>
                <w:rFonts w:ascii="Arial" w:hAnsi="Arial" w:cs="Arial"/>
                <w:color w:val="000000"/>
                <w:sz w:val="20"/>
              </w:rPr>
            </w:pPr>
            <w:r>
              <w:rPr>
                <w:rFonts w:ascii="Arial" w:hAnsi="Arial" w:cs="Arial"/>
                <w:color w:val="000000"/>
                <w:sz w:val="20"/>
              </w:rPr>
              <w:t>Director, Strategic Policy &amp; Planning</w:t>
            </w:r>
          </w:p>
        </w:tc>
        <w:tc>
          <w:tcPr>
            <w:tcW w:w="1713" w:type="pct"/>
          </w:tcPr>
          <w:p w14:paraId="6C3109D4" w14:textId="033130FE" w:rsidR="0031003A" w:rsidRPr="00D03F68" w:rsidRDefault="0031003A" w:rsidP="003E421C">
            <w:pPr>
              <w:jc w:val="center"/>
              <w:rPr>
                <w:rFonts w:ascii="Arial" w:hAnsi="Arial" w:cs="Arial"/>
                <w:color w:val="000000"/>
                <w:sz w:val="20"/>
              </w:rPr>
            </w:pPr>
            <w:r>
              <w:rPr>
                <w:rFonts w:ascii="Arial" w:hAnsi="Arial" w:cs="Arial"/>
                <w:color w:val="000000"/>
                <w:sz w:val="20"/>
              </w:rPr>
              <w:t>Mr Peter Lamb</w:t>
            </w:r>
          </w:p>
        </w:tc>
      </w:tr>
      <w:tr w:rsidR="00E250AE" w:rsidRPr="00D03F68" w14:paraId="3F8B30E0" w14:textId="77777777" w:rsidTr="00E10AB9">
        <w:tc>
          <w:tcPr>
            <w:tcW w:w="3287" w:type="pct"/>
          </w:tcPr>
          <w:p w14:paraId="5375705E" w14:textId="78DED1A8" w:rsidR="00E250AE" w:rsidRPr="00D03F68" w:rsidRDefault="00E250AE" w:rsidP="003E421C">
            <w:pPr>
              <w:jc w:val="center"/>
              <w:rPr>
                <w:rFonts w:ascii="Arial" w:hAnsi="Arial" w:cs="Arial"/>
                <w:color w:val="000000"/>
                <w:sz w:val="20"/>
              </w:rPr>
            </w:pPr>
            <w:r>
              <w:rPr>
                <w:rFonts w:ascii="Arial" w:hAnsi="Arial" w:cs="Arial"/>
                <w:color w:val="000000"/>
                <w:sz w:val="20"/>
              </w:rPr>
              <w:t>Senior Legal Officer</w:t>
            </w:r>
            <w:r w:rsidR="00FC57C8">
              <w:rPr>
                <w:rFonts w:ascii="Arial" w:hAnsi="Arial" w:cs="Arial"/>
                <w:color w:val="000000"/>
                <w:sz w:val="20"/>
              </w:rPr>
              <w:t>, Office of the President</w:t>
            </w:r>
          </w:p>
        </w:tc>
        <w:tc>
          <w:tcPr>
            <w:tcW w:w="1713" w:type="pct"/>
          </w:tcPr>
          <w:p w14:paraId="5B64A7EE" w14:textId="77777777" w:rsidR="00E250AE" w:rsidRPr="00D03F68" w:rsidRDefault="00E250AE" w:rsidP="003E421C">
            <w:pPr>
              <w:jc w:val="center"/>
              <w:rPr>
                <w:rFonts w:ascii="Arial" w:hAnsi="Arial" w:cs="Arial"/>
                <w:color w:val="000000"/>
                <w:sz w:val="20"/>
              </w:rPr>
            </w:pPr>
            <w:r>
              <w:rPr>
                <w:rFonts w:ascii="Arial" w:hAnsi="Arial" w:cs="Arial"/>
                <w:color w:val="000000"/>
                <w:sz w:val="20"/>
              </w:rPr>
              <w:t>Dr Lisa Lee</w:t>
            </w:r>
          </w:p>
        </w:tc>
      </w:tr>
      <w:tr w:rsidR="0023791E" w:rsidRPr="00D03F68" w14:paraId="3A608570" w14:textId="77777777" w:rsidTr="00E10AB9">
        <w:tc>
          <w:tcPr>
            <w:tcW w:w="3287" w:type="pct"/>
          </w:tcPr>
          <w:p w14:paraId="245F73B5" w14:textId="26F0A5B7" w:rsidR="0023791E" w:rsidRPr="00D03F68" w:rsidRDefault="0023791E" w:rsidP="003E421C">
            <w:pPr>
              <w:jc w:val="center"/>
              <w:rPr>
                <w:rFonts w:ascii="Arial" w:hAnsi="Arial" w:cs="Arial"/>
                <w:color w:val="000000"/>
                <w:sz w:val="20"/>
              </w:rPr>
            </w:pPr>
            <w:r>
              <w:rPr>
                <w:rFonts w:ascii="Arial" w:hAnsi="Arial" w:cs="Arial"/>
                <w:color w:val="000000"/>
                <w:sz w:val="20"/>
              </w:rPr>
              <w:t>Senior</w:t>
            </w:r>
            <w:r w:rsidRPr="00D03F68">
              <w:rPr>
                <w:rFonts w:ascii="Arial" w:hAnsi="Arial" w:cs="Arial"/>
                <w:color w:val="000000"/>
                <w:sz w:val="20"/>
              </w:rPr>
              <w:t xml:space="preserve"> Registrar</w:t>
            </w:r>
          </w:p>
        </w:tc>
        <w:tc>
          <w:tcPr>
            <w:tcW w:w="1713" w:type="pct"/>
          </w:tcPr>
          <w:p w14:paraId="7CE6B952" w14:textId="0C5077CA" w:rsidR="0023791E" w:rsidRPr="00D03F68" w:rsidRDefault="0023791E" w:rsidP="003E421C">
            <w:pPr>
              <w:jc w:val="center"/>
              <w:rPr>
                <w:rFonts w:ascii="Arial" w:hAnsi="Arial" w:cs="Arial"/>
                <w:color w:val="000000"/>
                <w:sz w:val="20"/>
              </w:rPr>
            </w:pPr>
            <w:r w:rsidRPr="00D03F68">
              <w:rPr>
                <w:rFonts w:ascii="Arial" w:hAnsi="Arial" w:cs="Arial"/>
                <w:color w:val="000000"/>
                <w:sz w:val="20"/>
              </w:rPr>
              <w:t xml:space="preserve">Ms </w:t>
            </w:r>
            <w:r>
              <w:rPr>
                <w:rFonts w:ascii="Arial" w:hAnsi="Arial" w:cs="Arial"/>
                <w:color w:val="000000"/>
                <w:sz w:val="20"/>
              </w:rPr>
              <w:t xml:space="preserve">Emma </w:t>
            </w:r>
            <w:r w:rsidR="0031003A">
              <w:rPr>
                <w:rFonts w:ascii="Arial" w:hAnsi="Arial" w:cs="Arial"/>
                <w:color w:val="000000"/>
                <w:sz w:val="20"/>
              </w:rPr>
              <w:t>Taylor</w:t>
            </w:r>
          </w:p>
        </w:tc>
      </w:tr>
      <w:tr w:rsidR="00C83A58" w:rsidRPr="00D03F68" w14:paraId="2366A0DB" w14:textId="77777777" w:rsidTr="00E10AB9">
        <w:tc>
          <w:tcPr>
            <w:tcW w:w="3287" w:type="pct"/>
          </w:tcPr>
          <w:p w14:paraId="59D8A0B0" w14:textId="1A30269B" w:rsidR="00C83A58" w:rsidRPr="00D03F68" w:rsidRDefault="00430E7B" w:rsidP="00D03F68">
            <w:pPr>
              <w:jc w:val="center"/>
              <w:rPr>
                <w:rFonts w:ascii="Arial" w:hAnsi="Arial" w:cs="Arial"/>
                <w:color w:val="000000"/>
                <w:sz w:val="20"/>
              </w:rPr>
            </w:pPr>
            <w:r>
              <w:rPr>
                <w:rFonts w:ascii="Arial" w:hAnsi="Arial" w:cs="Arial"/>
                <w:color w:val="000000"/>
                <w:sz w:val="20"/>
              </w:rPr>
              <w:t>State</w:t>
            </w:r>
            <w:r w:rsidR="00C83A58" w:rsidRPr="00D03F68">
              <w:rPr>
                <w:rFonts w:ascii="Arial" w:hAnsi="Arial" w:cs="Arial"/>
                <w:color w:val="000000"/>
                <w:sz w:val="20"/>
              </w:rPr>
              <w:t xml:space="preserve"> Co-ordinat</w:t>
            </w:r>
            <w:r w:rsidR="00103EAD">
              <w:rPr>
                <w:rFonts w:ascii="Arial" w:hAnsi="Arial" w:cs="Arial"/>
                <w:color w:val="000000"/>
                <w:sz w:val="20"/>
              </w:rPr>
              <w:t>ing Registrar</w:t>
            </w:r>
          </w:p>
        </w:tc>
        <w:tc>
          <w:tcPr>
            <w:tcW w:w="1713" w:type="pct"/>
          </w:tcPr>
          <w:p w14:paraId="66995534" w14:textId="77777777" w:rsidR="00C83A58" w:rsidRPr="00D03F68" w:rsidRDefault="00070B9C" w:rsidP="00D03F68">
            <w:pPr>
              <w:jc w:val="center"/>
              <w:rPr>
                <w:rFonts w:ascii="Arial" w:hAnsi="Arial" w:cs="Arial"/>
                <w:color w:val="000000"/>
                <w:sz w:val="20"/>
              </w:rPr>
            </w:pPr>
            <w:r>
              <w:rPr>
                <w:rFonts w:ascii="Arial" w:hAnsi="Arial" w:cs="Arial"/>
                <w:color w:val="000000"/>
                <w:sz w:val="20"/>
              </w:rPr>
              <w:t>Mr Glenn Barnes</w:t>
            </w:r>
          </w:p>
        </w:tc>
      </w:tr>
      <w:tr w:rsidR="00BB7723" w:rsidRPr="00D03F68" w14:paraId="776F5E6A" w14:textId="77777777" w:rsidTr="00E10AB9">
        <w:tc>
          <w:tcPr>
            <w:tcW w:w="3287" w:type="pct"/>
          </w:tcPr>
          <w:p w14:paraId="734CB4E6" w14:textId="77777777" w:rsidR="00BB7723" w:rsidRPr="00D03F68" w:rsidRDefault="00BB7723" w:rsidP="009068C8">
            <w:pPr>
              <w:jc w:val="center"/>
              <w:rPr>
                <w:rFonts w:ascii="Arial" w:hAnsi="Arial" w:cs="Arial"/>
                <w:color w:val="000000"/>
                <w:sz w:val="20"/>
              </w:rPr>
            </w:pPr>
            <w:r>
              <w:rPr>
                <w:rFonts w:ascii="Arial" w:hAnsi="Arial" w:cs="Arial"/>
                <w:color w:val="000000"/>
                <w:sz w:val="20"/>
              </w:rPr>
              <w:t>Special Advisor to the President</w:t>
            </w:r>
          </w:p>
        </w:tc>
        <w:tc>
          <w:tcPr>
            <w:tcW w:w="1713" w:type="pct"/>
          </w:tcPr>
          <w:p w14:paraId="60C4C2BB" w14:textId="77777777" w:rsidR="00BB7723" w:rsidRPr="00D03F68" w:rsidRDefault="00BB7723" w:rsidP="009068C8">
            <w:pPr>
              <w:jc w:val="center"/>
              <w:rPr>
                <w:rFonts w:ascii="Arial" w:hAnsi="Arial" w:cs="Arial"/>
                <w:color w:val="000000"/>
                <w:sz w:val="20"/>
              </w:rPr>
            </w:pPr>
            <w:r>
              <w:rPr>
                <w:rFonts w:ascii="Arial" w:hAnsi="Arial" w:cs="Arial"/>
                <w:color w:val="000000"/>
                <w:sz w:val="20"/>
              </w:rPr>
              <w:t>Mr Peter Power</w:t>
            </w:r>
          </w:p>
        </w:tc>
      </w:tr>
    </w:tbl>
    <w:p w14:paraId="499285E1" w14:textId="6C5C3442" w:rsidR="00052294" w:rsidRPr="00754459" w:rsidRDefault="00C47D81" w:rsidP="00052294">
      <w:pPr>
        <w:rPr>
          <w:rFonts w:ascii="Arial" w:hAnsi="Arial" w:cs="Arial"/>
          <w:sz w:val="20"/>
          <w:szCs w:val="20"/>
        </w:rPr>
      </w:pPr>
      <w:r w:rsidRPr="00754459">
        <w:rPr>
          <w:rFonts w:ascii="Arial" w:hAnsi="Arial" w:cs="Arial"/>
          <w:noProof/>
          <w:sz w:val="20"/>
          <w:szCs w:val="20"/>
        </w:rPr>
        <mc:AlternateContent>
          <mc:Choice Requires="wps">
            <w:drawing>
              <wp:anchor distT="0" distB="0" distL="114300" distR="114300" simplePos="0" relativeHeight="251656704" behindDoc="0" locked="0" layoutInCell="0" allowOverlap="1" wp14:anchorId="7B678F9B" wp14:editId="3315F4C7">
                <wp:simplePos x="0" y="0"/>
                <wp:positionH relativeFrom="column">
                  <wp:posOffset>4802505</wp:posOffset>
                </wp:positionH>
                <wp:positionV relativeFrom="paragraph">
                  <wp:posOffset>101600</wp:posOffset>
                </wp:positionV>
                <wp:extent cx="0" cy="11430"/>
                <wp:effectExtent l="6985" t="12065" r="12065" b="5080"/>
                <wp:wrapNone/>
                <wp:docPr id="9"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CA7EAB" id="Line 169"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15pt,8pt" to="378.1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0DaswEAAFADAAAOAAAAZHJzL2Uyb0RvYy54bWysU02P0zAQvSPxHyzfaZrCIoia7qHLclmg&#10;0i7cp/5ILGyP5XGb9N9ju6W7ghsiB8vz9fzmzWR9OzvLjiqSQd/zdrHkTHmB0vih59+f7t984IwS&#10;eAkWver5SRG/3bx+tZ5Cp1Y4opUqsgziqZtCz8eUQtc0JEblgBYYlM9BjdFBymYcGhlhyujONqvl&#10;8n0zYZQholBE2Xt3DvJNxddaifRNa1KJ2Z5nbqmesZ77cjabNXRDhDAacaEB/8DCgfH50SvUHSRg&#10;h2j+gnJGRCTUaSHQNai1Ear2kLtpl3908zhCULWXLA6Fq0z0/2DF1+PW72KhLmb/GB5Q/CTmcTuC&#10;H1Ql8HQKeXBtkaqZAnXXkmJQ2EW2n76gzDlwSFhVmHV0TFsTfpTCAp47ZXOV/XSVXc2JibNTZG/b&#10;vntbB9JAVwBKWYiUPit0rFx6bo0vekAHxwdKhdBzSnF7vDfW1plaz6aef7xZ3dQCQmtkCZY0isN+&#10;ayM7QtmK+tXucuRlWsSDlxVsVCA/Xe4JjD3f8+PWX0QpOpSlo26P8rSLv8XKY6ssLytW9uKlXauf&#10;f4TNLwAAAP//AwBQSwMEFAAGAAgAAAAhAGp3PxjcAAAACQEAAA8AAABkcnMvZG93bnJldi54bWxM&#10;j8FOwzAQRO9I/IO1lbhRp61IS4hTVQi4VEJqCZydeEki7HUUu2n4+y7iAMedeZqdybeTs2LEIXSe&#10;FCzmCQik2puOGgXl2/PtBkSImoy2nlDBNwbYFtdXuc6MP9MBx2NsBIdQyLSCNsY+kzLULTod5r5H&#10;Yu/TD05HPodGmkGfOdxZuUySVDrdEX9odY+PLdZfx5NTsPvYP61ex8p5a+6b8t24MnlZKnUzm3YP&#10;ICJO8Q+Gn/pcHQruVPkTmSCsgvVdumKUjZQ3MfArVCysNyCLXP5fUFwAAAD//wMAUEsBAi0AFAAG&#10;AAgAAAAhALaDOJL+AAAA4QEAABMAAAAAAAAAAAAAAAAAAAAAAFtDb250ZW50X1R5cGVzXS54bWxQ&#10;SwECLQAUAAYACAAAACEAOP0h/9YAAACUAQAACwAAAAAAAAAAAAAAAAAvAQAAX3JlbHMvLnJlbHNQ&#10;SwECLQAUAAYACAAAACEA1QtA2rMBAABQAwAADgAAAAAAAAAAAAAAAAAuAgAAZHJzL2Uyb0RvYy54&#10;bWxQSwECLQAUAAYACAAAACEAanc/GNwAAAAJAQAADwAAAAAAAAAAAAAAAAANBAAAZHJzL2Rvd25y&#10;ZXYueG1sUEsFBgAAAAAEAAQA8wAAABYFAAAAAA==&#10;" o:allowincell="f"/>
            </w:pict>
          </mc:Fallback>
        </mc:AlternateContent>
      </w:r>
    </w:p>
    <w:p w14:paraId="1526F16B" w14:textId="77777777" w:rsidR="00277B85" w:rsidRDefault="00277B85" w:rsidP="00302DA0">
      <w:pPr>
        <w:pStyle w:val="Heading2"/>
        <w:tabs>
          <w:tab w:val="left" w:pos="567"/>
        </w:tabs>
        <w:spacing w:line="240" w:lineRule="auto"/>
        <w:rPr>
          <w:rFonts w:ascii="Arial" w:hAnsi="Arial" w:cs="Arial"/>
          <w:b/>
          <w:bCs/>
        </w:rPr>
      </w:pPr>
      <w:bookmarkStart w:id="267" w:name="_2.4_Divisions_of"/>
      <w:bookmarkEnd w:id="267"/>
      <w:r>
        <w:rPr>
          <w:rFonts w:ascii="Arial" w:hAnsi="Arial" w:cs="Arial"/>
          <w:b/>
          <w:bCs/>
        </w:rPr>
        <w:t>2.4</w:t>
      </w:r>
      <w:r>
        <w:rPr>
          <w:rFonts w:ascii="Arial" w:hAnsi="Arial" w:cs="Arial"/>
          <w:b/>
          <w:bCs/>
        </w:rPr>
        <w:tab/>
        <w:t>Divisions of the Court</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14:paraId="12083FD6" w14:textId="77777777" w:rsidR="00277B85" w:rsidRPr="0034745A" w:rsidRDefault="00277B85">
      <w:pPr>
        <w:jc w:val="both"/>
        <w:rPr>
          <w:rFonts w:ascii="Arial" w:hAnsi="Arial" w:cs="Arial"/>
          <w:sz w:val="20"/>
        </w:rPr>
      </w:pPr>
    </w:p>
    <w:p w14:paraId="61859D6D" w14:textId="6454A4EF" w:rsidR="00277B85" w:rsidRPr="00B46EF1" w:rsidRDefault="00E803C6">
      <w:pPr>
        <w:jc w:val="both"/>
        <w:rPr>
          <w:rFonts w:ascii="Arial" w:hAnsi="Arial" w:cs="Arial"/>
          <w:bCs/>
          <w:color w:val="000000"/>
          <w:sz w:val="20"/>
        </w:rPr>
      </w:pPr>
      <w:r w:rsidRPr="00B46EF1">
        <w:rPr>
          <w:rFonts w:ascii="Arial" w:hAnsi="Arial" w:cs="Arial"/>
          <w:bCs/>
          <w:color w:val="000000"/>
          <w:sz w:val="20"/>
        </w:rPr>
        <w:t>Under s.504</w:t>
      </w:r>
      <w:r w:rsidR="00277B85" w:rsidRPr="00B46EF1">
        <w:rPr>
          <w:rFonts w:ascii="Arial" w:hAnsi="Arial" w:cs="Arial"/>
          <w:bCs/>
          <w:color w:val="000000"/>
          <w:sz w:val="20"/>
        </w:rPr>
        <w:t xml:space="preserve">(3) </w:t>
      </w:r>
      <w:r w:rsidR="00B00204" w:rsidRPr="00B46EF1">
        <w:rPr>
          <w:rFonts w:ascii="Arial" w:hAnsi="Arial" w:cs="Arial"/>
          <w:bCs/>
          <w:color w:val="000000"/>
          <w:sz w:val="20"/>
        </w:rPr>
        <w:t>of the CY</w:t>
      </w:r>
      <w:r w:rsidRPr="00B46EF1">
        <w:rPr>
          <w:rFonts w:ascii="Arial" w:hAnsi="Arial" w:cs="Arial"/>
          <w:bCs/>
          <w:color w:val="000000"/>
          <w:sz w:val="20"/>
        </w:rPr>
        <w:t>F</w:t>
      </w:r>
      <w:r w:rsidR="00B00204" w:rsidRPr="00B46EF1">
        <w:rPr>
          <w:rFonts w:ascii="Arial" w:hAnsi="Arial" w:cs="Arial"/>
          <w:bCs/>
          <w:color w:val="000000"/>
          <w:sz w:val="20"/>
        </w:rPr>
        <w:t xml:space="preserve">A </w:t>
      </w:r>
      <w:r w:rsidR="00277B85" w:rsidRPr="00B46EF1">
        <w:rPr>
          <w:rFonts w:ascii="Arial" w:hAnsi="Arial" w:cs="Arial"/>
          <w:bCs/>
          <w:color w:val="000000"/>
          <w:sz w:val="20"/>
        </w:rPr>
        <w:t xml:space="preserve">the </w:t>
      </w:r>
      <w:r w:rsidR="00264E08" w:rsidRPr="00B46EF1">
        <w:rPr>
          <w:rFonts w:ascii="Arial" w:hAnsi="Arial" w:cs="Arial"/>
          <w:bCs/>
          <w:color w:val="000000"/>
          <w:sz w:val="20"/>
        </w:rPr>
        <w:t xml:space="preserve">Children’s </w:t>
      </w:r>
      <w:r w:rsidR="00277B85" w:rsidRPr="00B46EF1">
        <w:rPr>
          <w:rFonts w:ascii="Arial" w:hAnsi="Arial" w:cs="Arial"/>
          <w:bCs/>
          <w:color w:val="000000"/>
          <w:sz w:val="20"/>
        </w:rPr>
        <w:t xml:space="preserve">Court </w:t>
      </w:r>
      <w:r w:rsidR="009F27F8" w:rsidRPr="00B46EF1">
        <w:rPr>
          <w:rFonts w:ascii="Arial" w:hAnsi="Arial" w:cs="Arial"/>
          <w:bCs/>
          <w:color w:val="000000"/>
          <w:sz w:val="20"/>
        </w:rPr>
        <w:t>in effect has three</w:t>
      </w:r>
      <w:r w:rsidR="00277B85" w:rsidRPr="00B46EF1">
        <w:rPr>
          <w:rFonts w:ascii="Arial" w:hAnsi="Arial" w:cs="Arial"/>
          <w:bCs/>
          <w:color w:val="000000"/>
          <w:sz w:val="20"/>
        </w:rPr>
        <w:t xml:space="preserve"> Divisions</w:t>
      </w:r>
      <w:r w:rsidR="00741721">
        <w:rPr>
          <w:rFonts w:ascii="Arial" w:hAnsi="Arial" w:cs="Arial"/>
          <w:bCs/>
          <w:color w:val="000000"/>
          <w:sz w:val="20"/>
        </w:rPr>
        <w:t>:</w:t>
      </w:r>
    </w:p>
    <w:p w14:paraId="5DF550A3" w14:textId="77777777" w:rsidR="00B00204" w:rsidRPr="00B46EF1" w:rsidRDefault="00277B85" w:rsidP="00B00204">
      <w:pPr>
        <w:tabs>
          <w:tab w:val="left" w:pos="363"/>
        </w:tabs>
        <w:jc w:val="both"/>
        <w:rPr>
          <w:rFonts w:ascii="Arial" w:hAnsi="Arial" w:cs="Arial"/>
          <w:bCs/>
          <w:color w:val="000000"/>
          <w:sz w:val="20"/>
        </w:rPr>
      </w:pPr>
      <w:r w:rsidRPr="00B46EF1">
        <w:rPr>
          <w:rFonts w:ascii="Arial" w:hAnsi="Arial" w:cs="Arial"/>
          <w:bCs/>
          <w:color w:val="000000"/>
          <w:sz w:val="20"/>
        </w:rPr>
        <w:t>(a)</w:t>
      </w:r>
      <w:r w:rsidR="00B00204" w:rsidRPr="00B46EF1">
        <w:rPr>
          <w:rFonts w:ascii="Arial" w:hAnsi="Arial" w:cs="Arial"/>
          <w:bCs/>
          <w:color w:val="000000"/>
          <w:sz w:val="20"/>
        </w:rPr>
        <w:tab/>
      </w:r>
      <w:r w:rsidRPr="00B46EF1">
        <w:rPr>
          <w:rFonts w:ascii="Arial" w:hAnsi="Arial" w:cs="Arial"/>
          <w:bCs/>
          <w:color w:val="000000"/>
          <w:sz w:val="20"/>
        </w:rPr>
        <w:t>the Family Division;</w:t>
      </w:r>
    </w:p>
    <w:p w14:paraId="27236897" w14:textId="77777777" w:rsidR="00277B85" w:rsidRPr="00B46EF1" w:rsidRDefault="00B00204" w:rsidP="00B00204">
      <w:pPr>
        <w:tabs>
          <w:tab w:val="left" w:pos="363"/>
        </w:tabs>
        <w:jc w:val="both"/>
        <w:rPr>
          <w:rFonts w:ascii="Arial" w:hAnsi="Arial" w:cs="Arial"/>
          <w:bCs/>
          <w:color w:val="000000"/>
          <w:sz w:val="20"/>
        </w:rPr>
      </w:pPr>
      <w:r w:rsidRPr="00B46EF1">
        <w:rPr>
          <w:rFonts w:ascii="Arial" w:hAnsi="Arial" w:cs="Arial"/>
          <w:bCs/>
          <w:color w:val="000000"/>
          <w:sz w:val="20"/>
        </w:rPr>
        <w:t>(b)</w:t>
      </w:r>
      <w:r w:rsidRPr="00B46EF1">
        <w:rPr>
          <w:rFonts w:ascii="Arial" w:hAnsi="Arial" w:cs="Arial"/>
          <w:bCs/>
          <w:color w:val="000000"/>
          <w:sz w:val="20"/>
        </w:rPr>
        <w:tab/>
        <w:t xml:space="preserve">the Criminal Division; </w:t>
      </w:r>
      <w:r w:rsidR="00277B85" w:rsidRPr="00B46EF1">
        <w:rPr>
          <w:rFonts w:ascii="Arial" w:hAnsi="Arial" w:cs="Arial"/>
          <w:bCs/>
          <w:color w:val="000000"/>
          <w:sz w:val="20"/>
        </w:rPr>
        <w:t>and</w:t>
      </w:r>
    </w:p>
    <w:p w14:paraId="14702780" w14:textId="77777777" w:rsidR="00277B85" w:rsidRPr="00B46EF1" w:rsidRDefault="00B00204" w:rsidP="00B00204">
      <w:pPr>
        <w:tabs>
          <w:tab w:val="left" w:pos="363"/>
        </w:tabs>
        <w:jc w:val="both"/>
        <w:rPr>
          <w:rFonts w:ascii="Arial" w:hAnsi="Arial" w:cs="Arial"/>
          <w:bCs/>
          <w:color w:val="000000"/>
          <w:sz w:val="20"/>
        </w:rPr>
      </w:pPr>
      <w:r w:rsidRPr="00B46EF1">
        <w:rPr>
          <w:rFonts w:ascii="Arial" w:hAnsi="Arial" w:cs="Arial"/>
          <w:bCs/>
          <w:color w:val="000000"/>
          <w:sz w:val="20"/>
        </w:rPr>
        <w:t>(c)</w:t>
      </w:r>
      <w:r w:rsidRPr="00B46EF1">
        <w:rPr>
          <w:rFonts w:ascii="Arial" w:hAnsi="Arial" w:cs="Arial"/>
          <w:bCs/>
          <w:color w:val="000000"/>
          <w:sz w:val="20"/>
        </w:rPr>
        <w:tab/>
      </w:r>
      <w:r w:rsidR="00277B85" w:rsidRPr="00B46EF1">
        <w:rPr>
          <w:rFonts w:ascii="Arial" w:hAnsi="Arial" w:cs="Arial"/>
          <w:bCs/>
          <w:color w:val="000000"/>
          <w:sz w:val="20"/>
        </w:rPr>
        <w:t xml:space="preserve">the </w:t>
      </w:r>
      <w:smartTag w:uri="urn:schemas-microsoft-com:office:smarttags" w:element="address">
        <w:smartTag w:uri="urn:schemas-microsoft-com:office:smarttags" w:element="Street">
          <w:r w:rsidRPr="00B46EF1">
            <w:rPr>
              <w:rFonts w:ascii="Arial" w:hAnsi="Arial" w:cs="Arial"/>
              <w:bCs/>
              <w:color w:val="000000"/>
              <w:sz w:val="20"/>
            </w:rPr>
            <w:t>Koori Court</w:t>
          </w:r>
        </w:smartTag>
      </w:smartTag>
      <w:r w:rsidRPr="00B46EF1">
        <w:rPr>
          <w:rFonts w:ascii="Arial" w:hAnsi="Arial" w:cs="Arial"/>
          <w:bCs/>
          <w:color w:val="000000"/>
          <w:sz w:val="20"/>
        </w:rPr>
        <w:t xml:space="preserve"> (</w:t>
      </w:r>
      <w:r w:rsidR="00277B85" w:rsidRPr="00B46EF1">
        <w:rPr>
          <w:rFonts w:ascii="Arial" w:hAnsi="Arial" w:cs="Arial"/>
          <w:bCs/>
          <w:color w:val="000000"/>
          <w:sz w:val="20"/>
        </w:rPr>
        <w:t>Criminal Division</w:t>
      </w:r>
      <w:r w:rsidRPr="00B46EF1">
        <w:rPr>
          <w:rFonts w:ascii="Arial" w:hAnsi="Arial" w:cs="Arial"/>
          <w:bCs/>
          <w:color w:val="000000"/>
          <w:sz w:val="20"/>
        </w:rPr>
        <w:t>)</w:t>
      </w:r>
      <w:r w:rsidR="00277B85" w:rsidRPr="00B46EF1">
        <w:rPr>
          <w:rFonts w:ascii="Arial" w:hAnsi="Arial" w:cs="Arial"/>
          <w:bCs/>
          <w:color w:val="000000"/>
          <w:sz w:val="20"/>
        </w:rPr>
        <w:t>.</w:t>
      </w:r>
    </w:p>
    <w:p w14:paraId="2DA80748" w14:textId="77777777" w:rsidR="00277B85" w:rsidRPr="00B46EF1" w:rsidRDefault="00277B85">
      <w:pPr>
        <w:jc w:val="both"/>
        <w:rPr>
          <w:rFonts w:ascii="Arial" w:hAnsi="Arial" w:cs="Arial"/>
          <w:bCs/>
          <w:color w:val="000000"/>
          <w:sz w:val="20"/>
        </w:rPr>
      </w:pPr>
    </w:p>
    <w:p w14:paraId="222C2E53" w14:textId="7C1FD506" w:rsidR="009F27F8" w:rsidRPr="00B46EF1" w:rsidRDefault="009F27F8" w:rsidP="00E250AE">
      <w:pPr>
        <w:jc w:val="both"/>
        <w:rPr>
          <w:rFonts w:ascii="Arial" w:hAnsi="Arial" w:cs="Arial"/>
          <w:bCs/>
          <w:color w:val="000000"/>
          <w:sz w:val="20"/>
        </w:rPr>
      </w:pPr>
      <w:r w:rsidRPr="00B46EF1">
        <w:rPr>
          <w:rFonts w:ascii="Arial" w:hAnsi="Arial" w:cs="Arial"/>
          <w:bCs/>
          <w:color w:val="000000"/>
          <w:sz w:val="20"/>
        </w:rPr>
        <w:t xml:space="preserve">For reasons which are unclear to the writer s.504(3)(d) defines a fourth Division, the Neighbourhood Justice Division. </w:t>
      </w:r>
      <w:r w:rsidR="0031485E">
        <w:rPr>
          <w:rFonts w:ascii="Arial" w:hAnsi="Arial" w:cs="Arial"/>
          <w:bCs/>
          <w:color w:val="000000"/>
          <w:sz w:val="20"/>
        </w:rPr>
        <w:t>Prior to 0</w:t>
      </w:r>
      <w:r w:rsidR="001D2AAB">
        <w:rPr>
          <w:rFonts w:ascii="Arial" w:hAnsi="Arial" w:cs="Arial"/>
          <w:bCs/>
          <w:color w:val="000000"/>
          <w:sz w:val="20"/>
        </w:rPr>
        <w:t>6</w:t>
      </w:r>
      <w:r w:rsidR="0031485E">
        <w:rPr>
          <w:rFonts w:ascii="Arial" w:hAnsi="Arial" w:cs="Arial"/>
          <w:bCs/>
          <w:color w:val="000000"/>
          <w:sz w:val="20"/>
        </w:rPr>
        <w:t>/01/2025</w:t>
      </w:r>
      <w:r w:rsidRPr="00B46EF1">
        <w:rPr>
          <w:rFonts w:ascii="Arial" w:hAnsi="Arial" w:cs="Arial"/>
          <w:bCs/>
          <w:color w:val="000000"/>
          <w:sz w:val="20"/>
        </w:rPr>
        <w:t xml:space="preserve"> the Neighbourhood Justice Centre [NJC] </w:t>
      </w:r>
      <w:r w:rsidR="0031485E">
        <w:rPr>
          <w:rFonts w:ascii="Arial" w:hAnsi="Arial" w:cs="Arial"/>
          <w:bCs/>
          <w:color w:val="000000"/>
          <w:sz w:val="20"/>
        </w:rPr>
        <w:t>wa</w:t>
      </w:r>
      <w:r w:rsidRPr="00B46EF1">
        <w:rPr>
          <w:rFonts w:ascii="Arial" w:hAnsi="Arial" w:cs="Arial"/>
          <w:bCs/>
          <w:color w:val="000000"/>
          <w:sz w:val="20"/>
        </w:rPr>
        <w:t>s simply a venue of:</w:t>
      </w:r>
    </w:p>
    <w:p w14:paraId="13F9DF7A" w14:textId="77777777" w:rsidR="009F27F8" w:rsidRPr="00B46EF1" w:rsidRDefault="009F27F8" w:rsidP="0073729A">
      <w:pPr>
        <w:numPr>
          <w:ilvl w:val="0"/>
          <w:numId w:val="11"/>
        </w:numPr>
        <w:tabs>
          <w:tab w:val="clear" w:pos="874"/>
          <w:tab w:val="left" w:pos="357"/>
        </w:tabs>
        <w:ind w:left="0" w:firstLine="0"/>
        <w:jc w:val="both"/>
        <w:rPr>
          <w:rFonts w:ascii="Arial" w:hAnsi="Arial" w:cs="Arial"/>
          <w:bCs/>
          <w:color w:val="000000"/>
          <w:sz w:val="20"/>
        </w:rPr>
      </w:pPr>
      <w:r w:rsidRPr="00B46EF1">
        <w:rPr>
          <w:rFonts w:ascii="Arial" w:hAnsi="Arial" w:cs="Arial"/>
          <w:bCs/>
          <w:color w:val="000000"/>
          <w:sz w:val="20"/>
        </w:rPr>
        <w:t>the</w:t>
      </w:r>
      <w:r w:rsidR="00264E08" w:rsidRPr="00B46EF1">
        <w:rPr>
          <w:rFonts w:ascii="Arial" w:hAnsi="Arial" w:cs="Arial"/>
          <w:bCs/>
          <w:color w:val="000000"/>
          <w:sz w:val="20"/>
        </w:rPr>
        <w:t xml:space="preserve"> Criminal Division of the Court; and</w:t>
      </w:r>
    </w:p>
    <w:p w14:paraId="73FEFD12" w14:textId="77777777" w:rsidR="00264E08" w:rsidRPr="00B46EF1" w:rsidRDefault="00264E08" w:rsidP="0073729A">
      <w:pPr>
        <w:numPr>
          <w:ilvl w:val="0"/>
          <w:numId w:val="11"/>
        </w:numPr>
        <w:tabs>
          <w:tab w:val="clear" w:pos="874"/>
          <w:tab w:val="left" w:pos="357"/>
        </w:tabs>
        <w:ind w:left="0" w:firstLine="0"/>
        <w:jc w:val="both"/>
        <w:rPr>
          <w:rFonts w:ascii="Arial" w:hAnsi="Arial" w:cs="Arial"/>
          <w:bCs/>
          <w:color w:val="000000"/>
          <w:sz w:val="20"/>
        </w:rPr>
      </w:pPr>
      <w:r w:rsidRPr="00B46EF1">
        <w:rPr>
          <w:rFonts w:ascii="Arial" w:hAnsi="Arial" w:cs="Arial"/>
          <w:bCs/>
          <w:color w:val="000000"/>
          <w:sz w:val="20"/>
        </w:rPr>
        <w:t>that part of the Family Division relating to intervention orders.</w:t>
      </w:r>
    </w:p>
    <w:p w14:paraId="183F8CC2" w14:textId="76C8444F" w:rsidR="009F27F8" w:rsidRDefault="0031485E">
      <w:pPr>
        <w:jc w:val="both"/>
        <w:rPr>
          <w:rFonts w:ascii="Arial" w:hAnsi="Arial" w:cs="Arial"/>
          <w:bCs/>
          <w:sz w:val="20"/>
        </w:rPr>
      </w:pPr>
      <w:r>
        <w:rPr>
          <w:rFonts w:ascii="Arial" w:hAnsi="Arial" w:cs="Arial"/>
          <w:bCs/>
          <w:sz w:val="20"/>
        </w:rPr>
        <w:t>From 0</w:t>
      </w:r>
      <w:r w:rsidR="001D2AAB">
        <w:rPr>
          <w:rFonts w:ascii="Arial" w:hAnsi="Arial" w:cs="Arial"/>
          <w:bCs/>
          <w:sz w:val="20"/>
        </w:rPr>
        <w:t>6</w:t>
      </w:r>
      <w:r>
        <w:rPr>
          <w:rFonts w:ascii="Arial" w:hAnsi="Arial" w:cs="Arial"/>
          <w:bCs/>
          <w:sz w:val="20"/>
        </w:rPr>
        <w:t>/01/2025 the Children’s Court no longer sits at the NJC.</w:t>
      </w:r>
    </w:p>
    <w:p w14:paraId="2E5D401E" w14:textId="77777777" w:rsidR="0031485E" w:rsidRDefault="0031485E">
      <w:pPr>
        <w:jc w:val="both"/>
        <w:rPr>
          <w:rFonts w:ascii="Arial" w:hAnsi="Arial" w:cs="Arial"/>
          <w:bCs/>
          <w:sz w:val="20"/>
        </w:rPr>
      </w:pPr>
    </w:p>
    <w:p w14:paraId="5907B3A2" w14:textId="77777777" w:rsidR="0034745A" w:rsidRDefault="0034745A" w:rsidP="0034745A">
      <w:pPr>
        <w:jc w:val="both"/>
        <w:rPr>
          <w:rFonts w:ascii="Arial" w:hAnsi="Arial" w:cs="Arial"/>
          <w:sz w:val="20"/>
        </w:rPr>
      </w:pPr>
      <w:r>
        <w:rPr>
          <w:rFonts w:ascii="Arial" w:hAnsi="Arial" w:cs="Arial"/>
          <w:sz w:val="20"/>
        </w:rPr>
        <w:lastRenderedPageBreak/>
        <w:t>Section 3(</w:t>
      </w:r>
      <w:r w:rsidR="0099169D">
        <w:rPr>
          <w:rFonts w:ascii="Arial" w:hAnsi="Arial" w:cs="Arial"/>
          <w:sz w:val="20"/>
        </w:rPr>
        <w:t>4</w:t>
      </w:r>
      <w:r>
        <w:rPr>
          <w:rFonts w:ascii="Arial" w:hAnsi="Arial" w:cs="Arial"/>
          <w:sz w:val="20"/>
        </w:rPr>
        <w:t>) of the CY</w:t>
      </w:r>
      <w:r w:rsidR="00E803C6">
        <w:rPr>
          <w:rFonts w:ascii="Arial" w:hAnsi="Arial" w:cs="Arial"/>
          <w:sz w:val="20"/>
        </w:rPr>
        <w:t>F</w:t>
      </w:r>
      <w:r>
        <w:rPr>
          <w:rFonts w:ascii="Arial" w:hAnsi="Arial" w:cs="Arial"/>
          <w:sz w:val="20"/>
        </w:rPr>
        <w:t>A provides that unless the context otherwise requires, a reference in the CY</w:t>
      </w:r>
      <w:r w:rsidR="0099169D">
        <w:rPr>
          <w:rFonts w:ascii="Arial" w:hAnsi="Arial" w:cs="Arial"/>
          <w:sz w:val="20"/>
        </w:rPr>
        <w:t>F</w:t>
      </w:r>
      <w:r>
        <w:rPr>
          <w:rFonts w:ascii="Arial" w:hAnsi="Arial" w:cs="Arial"/>
          <w:sz w:val="20"/>
        </w:rPr>
        <w:t xml:space="preserve">A to the Criminal Division includes a reference to the </w:t>
      </w:r>
      <w:smartTag w:uri="urn:schemas-microsoft-com:office:smarttags" w:element="address">
        <w:smartTag w:uri="urn:schemas-microsoft-com:office:smarttags" w:element="Street">
          <w:r>
            <w:rPr>
              <w:rFonts w:ascii="Arial" w:hAnsi="Arial" w:cs="Arial"/>
              <w:sz w:val="20"/>
            </w:rPr>
            <w:t>Koori Court</w:t>
          </w:r>
        </w:smartTag>
      </w:smartTag>
      <w:r>
        <w:rPr>
          <w:rFonts w:ascii="Arial" w:hAnsi="Arial" w:cs="Arial"/>
          <w:sz w:val="20"/>
        </w:rPr>
        <w:t xml:space="preserve"> (Criminal Division).</w:t>
      </w:r>
    </w:p>
    <w:p w14:paraId="178340CB" w14:textId="77777777" w:rsidR="0034745A" w:rsidRDefault="0034745A">
      <w:pPr>
        <w:jc w:val="both"/>
        <w:rPr>
          <w:rFonts w:ascii="Arial" w:hAnsi="Arial" w:cs="Arial"/>
          <w:bCs/>
          <w:sz w:val="20"/>
        </w:rPr>
      </w:pPr>
    </w:p>
    <w:p w14:paraId="215977A7" w14:textId="77777777" w:rsidR="00277B85" w:rsidRDefault="00277B85">
      <w:pPr>
        <w:jc w:val="both"/>
        <w:rPr>
          <w:rFonts w:ascii="Arial" w:hAnsi="Arial" w:cs="Arial"/>
          <w:bCs/>
          <w:sz w:val="20"/>
        </w:rPr>
      </w:pPr>
      <w:r>
        <w:rPr>
          <w:rFonts w:ascii="Arial" w:hAnsi="Arial" w:cs="Arial"/>
          <w:bCs/>
          <w:sz w:val="20"/>
        </w:rPr>
        <w:t xml:space="preserve">The Court must not sit as </w:t>
      </w:r>
      <w:r w:rsidR="00B00204">
        <w:rPr>
          <w:rFonts w:ascii="Arial" w:hAnsi="Arial" w:cs="Arial"/>
          <w:bCs/>
          <w:sz w:val="20"/>
        </w:rPr>
        <w:t>more than one</w:t>
      </w:r>
      <w:r>
        <w:rPr>
          <w:rFonts w:ascii="Arial" w:hAnsi="Arial" w:cs="Arial"/>
          <w:bCs/>
          <w:sz w:val="20"/>
        </w:rPr>
        <w:t xml:space="preserve"> Division at the same time in the same room: s.</w:t>
      </w:r>
      <w:r w:rsidR="00E803C6">
        <w:rPr>
          <w:rFonts w:ascii="Arial" w:hAnsi="Arial" w:cs="Arial"/>
          <w:bCs/>
          <w:sz w:val="20"/>
        </w:rPr>
        <w:t>504</w:t>
      </w:r>
      <w:r>
        <w:rPr>
          <w:rFonts w:ascii="Arial" w:hAnsi="Arial" w:cs="Arial"/>
          <w:bCs/>
          <w:sz w:val="20"/>
        </w:rPr>
        <w:t>(5).</w:t>
      </w:r>
    </w:p>
    <w:p w14:paraId="004FF539" w14:textId="77777777" w:rsidR="00277B85" w:rsidRDefault="00277B85">
      <w:pPr>
        <w:jc w:val="both"/>
        <w:rPr>
          <w:rFonts w:ascii="Arial" w:hAnsi="Arial" w:cs="Arial"/>
          <w:sz w:val="20"/>
        </w:rPr>
      </w:pPr>
    </w:p>
    <w:p w14:paraId="167F3DFD" w14:textId="3ACB85F7" w:rsidR="000326C3" w:rsidRDefault="00E803C6">
      <w:pPr>
        <w:jc w:val="both"/>
        <w:rPr>
          <w:rFonts w:ascii="Arial" w:hAnsi="Arial" w:cs="Arial"/>
          <w:sz w:val="20"/>
        </w:rPr>
      </w:pPr>
      <w:r>
        <w:rPr>
          <w:rFonts w:ascii="Arial" w:hAnsi="Arial" w:cs="Arial"/>
          <w:sz w:val="20"/>
        </w:rPr>
        <w:t>Under s.504</w:t>
      </w:r>
      <w:r w:rsidR="00277B85">
        <w:rPr>
          <w:rFonts w:ascii="Arial" w:hAnsi="Arial" w:cs="Arial"/>
          <w:sz w:val="20"/>
        </w:rPr>
        <w:t xml:space="preserve">(7), the Court, in </w:t>
      </w:r>
      <w:r w:rsidR="00B00204">
        <w:rPr>
          <w:rFonts w:ascii="Arial" w:hAnsi="Arial" w:cs="Arial"/>
          <w:sz w:val="20"/>
        </w:rPr>
        <w:t>any</w:t>
      </w:r>
      <w:r w:rsidR="00277B85">
        <w:rPr>
          <w:rFonts w:ascii="Arial" w:hAnsi="Arial" w:cs="Arial"/>
          <w:sz w:val="20"/>
        </w:rPr>
        <w:t xml:space="preserve"> Division, is constituted by the President or a magistrate except in the case of any proceeding for which provision is made by any Act for the Court to be constituted by a registrar. Examples of the latter include applications for extension of bail and applications for extension of certain sorts of interim accommodation orders.</w:t>
      </w:r>
      <w:r w:rsidR="000326C3">
        <w:rPr>
          <w:rFonts w:ascii="Arial" w:hAnsi="Arial" w:cs="Arial"/>
          <w:sz w:val="20"/>
        </w:rPr>
        <w:t xml:space="preserve"> However, under s.504(8) the Court may be constituted by a judicial registrar in any proceeding for which provision is made by rules of court for</w:t>
      </w:r>
      <w:r w:rsidR="00741721">
        <w:rPr>
          <w:rFonts w:ascii="Arial" w:hAnsi="Arial" w:cs="Arial"/>
          <w:sz w:val="20"/>
        </w:rPr>
        <w:t>–</w:t>
      </w:r>
    </w:p>
    <w:p w14:paraId="2A79C1D2" w14:textId="77777777" w:rsidR="00277B85" w:rsidRDefault="000326C3">
      <w:pPr>
        <w:jc w:val="both"/>
        <w:rPr>
          <w:rFonts w:ascii="Arial" w:hAnsi="Arial" w:cs="Arial"/>
          <w:sz w:val="20"/>
        </w:rPr>
      </w:pPr>
      <w:r>
        <w:rPr>
          <w:rFonts w:ascii="Arial" w:hAnsi="Arial" w:cs="Arial"/>
          <w:sz w:val="20"/>
        </w:rPr>
        <w:t>(a) the court to be so constituted; and</w:t>
      </w:r>
    </w:p>
    <w:p w14:paraId="1C0D4BE5" w14:textId="77777777" w:rsidR="000326C3" w:rsidRDefault="000326C3">
      <w:pPr>
        <w:jc w:val="both"/>
        <w:rPr>
          <w:rFonts w:ascii="Arial" w:hAnsi="Arial" w:cs="Arial"/>
          <w:sz w:val="20"/>
        </w:rPr>
      </w:pPr>
      <w:r>
        <w:rPr>
          <w:rFonts w:ascii="Arial" w:hAnsi="Arial" w:cs="Arial"/>
          <w:sz w:val="20"/>
        </w:rPr>
        <w:t>(b) the delegation to judicial registrars of powers of the court to hear and determine such proceeding.</w:t>
      </w:r>
    </w:p>
    <w:p w14:paraId="45255B7F" w14:textId="7144978E" w:rsidR="000326C3" w:rsidRDefault="000326C3" w:rsidP="000326C3">
      <w:pPr>
        <w:jc w:val="both"/>
        <w:rPr>
          <w:rFonts w:ascii="Arial" w:hAnsi="Arial" w:cs="Arial"/>
          <w:sz w:val="20"/>
        </w:rPr>
      </w:pPr>
      <w:bookmarkStart w:id="268" w:name="_Toc30608793"/>
      <w:bookmarkStart w:id="269" w:name="_Toc30610006"/>
      <w:bookmarkStart w:id="270" w:name="_Toc30610249"/>
      <w:bookmarkStart w:id="271" w:name="_Toc30638403"/>
      <w:bookmarkStart w:id="272" w:name="_Toc30644212"/>
      <w:bookmarkStart w:id="273" w:name="_Toc30644615"/>
      <w:bookmarkStart w:id="274" w:name="_Toc30645165"/>
      <w:bookmarkStart w:id="275" w:name="_Toc30646369"/>
      <w:bookmarkStart w:id="276" w:name="_Toc30646664"/>
      <w:bookmarkStart w:id="277" w:name="_Toc30646774"/>
      <w:bookmarkStart w:id="278" w:name="_Toc30648131"/>
      <w:bookmarkStart w:id="279" w:name="_Toc30649029"/>
      <w:bookmarkStart w:id="280" w:name="_Toc30649105"/>
      <w:bookmarkStart w:id="281" w:name="_Toc30649366"/>
      <w:bookmarkStart w:id="282" w:name="_Toc30649686"/>
      <w:bookmarkStart w:id="283" w:name="_Toc30651620"/>
      <w:bookmarkStart w:id="284" w:name="_Toc30652604"/>
      <w:bookmarkStart w:id="285" w:name="_Toc30652702"/>
      <w:bookmarkStart w:id="286" w:name="_Toc30654047"/>
      <w:bookmarkStart w:id="287" w:name="_Toc30654398"/>
      <w:bookmarkStart w:id="288" w:name="_Toc30655017"/>
      <w:bookmarkStart w:id="289" w:name="_Toc30655274"/>
      <w:bookmarkStart w:id="290" w:name="_Toc30656950"/>
      <w:bookmarkStart w:id="291" w:name="_Toc30661699"/>
      <w:bookmarkStart w:id="292" w:name="_Toc30666387"/>
      <w:bookmarkStart w:id="293" w:name="_Toc30666617"/>
      <w:bookmarkStart w:id="294" w:name="_Toc30667792"/>
      <w:bookmarkStart w:id="295" w:name="_Toc30669170"/>
      <w:bookmarkStart w:id="296" w:name="_Toc30671386"/>
      <w:bookmarkStart w:id="297" w:name="_Toc30673913"/>
      <w:bookmarkStart w:id="298" w:name="_Toc30691135"/>
      <w:bookmarkStart w:id="299" w:name="_Toc30691506"/>
      <w:bookmarkStart w:id="300" w:name="_Toc30691886"/>
      <w:bookmarkStart w:id="301" w:name="_Toc30692645"/>
      <w:bookmarkStart w:id="302" w:name="_Toc30693024"/>
      <w:bookmarkStart w:id="303" w:name="_Toc30693402"/>
      <w:bookmarkStart w:id="304" w:name="_Toc30693781"/>
      <w:bookmarkStart w:id="305" w:name="_Toc30694162"/>
      <w:bookmarkStart w:id="306" w:name="_Toc30698751"/>
      <w:bookmarkStart w:id="307" w:name="_Toc30699129"/>
      <w:bookmarkStart w:id="308" w:name="_Toc30699514"/>
      <w:bookmarkStart w:id="309" w:name="_Toc30700669"/>
      <w:bookmarkStart w:id="310" w:name="_Toc30701056"/>
      <w:bookmarkStart w:id="311" w:name="_Toc30743665"/>
      <w:bookmarkStart w:id="312" w:name="_Toc30754488"/>
      <w:bookmarkStart w:id="313" w:name="_Toc30756928"/>
      <w:bookmarkStart w:id="314" w:name="_Toc30757477"/>
      <w:bookmarkStart w:id="315" w:name="_Toc30757877"/>
      <w:bookmarkStart w:id="316" w:name="_Toc30762638"/>
      <w:bookmarkStart w:id="317" w:name="_Toc30767292"/>
      <w:bookmarkStart w:id="318" w:name="_Toc34823318"/>
    </w:p>
    <w:p w14:paraId="1825D271" w14:textId="04F6B182" w:rsidR="006264A9" w:rsidRDefault="006264A9" w:rsidP="000326C3">
      <w:pPr>
        <w:jc w:val="both"/>
        <w:rPr>
          <w:rFonts w:ascii="Arial" w:hAnsi="Arial" w:cs="Arial"/>
          <w:sz w:val="20"/>
        </w:rPr>
      </w:pPr>
      <w:r>
        <w:rPr>
          <w:rFonts w:ascii="Arial" w:hAnsi="Arial" w:cs="Arial"/>
          <w:sz w:val="20"/>
        </w:rPr>
        <w:t>Section 522(2) of the CYFA provides that if there are proceedings in more than one Division of the Court relating to the same child, the Court must, unless it otherwise orders, hear and determine the proceeding in the Family Division first. If the Court makes an order under s.522(2)</w:t>
      </w:r>
      <w:r w:rsidR="00D62343">
        <w:rPr>
          <w:rFonts w:ascii="Arial" w:hAnsi="Arial" w:cs="Arial"/>
          <w:sz w:val="20"/>
        </w:rPr>
        <w:t>, it is required by s.522(3) to state orally the reasons for the order.</w:t>
      </w:r>
    </w:p>
    <w:p w14:paraId="09617AA8" w14:textId="77777777" w:rsidR="00302DA0" w:rsidRPr="00754459" w:rsidRDefault="00302DA0" w:rsidP="00302DA0">
      <w:pPr>
        <w:rPr>
          <w:rFonts w:ascii="Arial" w:hAnsi="Arial" w:cs="Arial"/>
          <w:sz w:val="20"/>
          <w:szCs w:val="20"/>
        </w:rPr>
      </w:pPr>
      <w:r w:rsidRPr="00754459">
        <w:rPr>
          <w:rFonts w:ascii="Arial" w:hAnsi="Arial" w:cs="Arial"/>
          <w:noProof/>
          <w:sz w:val="20"/>
          <w:szCs w:val="20"/>
        </w:rPr>
        <mc:AlternateContent>
          <mc:Choice Requires="wps">
            <w:drawing>
              <wp:anchor distT="0" distB="0" distL="114300" distR="114300" simplePos="0" relativeHeight="251659264" behindDoc="0" locked="0" layoutInCell="0" allowOverlap="1" wp14:anchorId="16C451E8" wp14:editId="0486FDA3">
                <wp:simplePos x="0" y="0"/>
                <wp:positionH relativeFrom="column">
                  <wp:posOffset>4802505</wp:posOffset>
                </wp:positionH>
                <wp:positionV relativeFrom="paragraph">
                  <wp:posOffset>101600</wp:posOffset>
                </wp:positionV>
                <wp:extent cx="0" cy="11430"/>
                <wp:effectExtent l="6985" t="12065" r="12065" b="5080"/>
                <wp:wrapNone/>
                <wp:docPr id="262887046"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182019" id="Line 169"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15pt,8pt" to="378.1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0DaswEAAFADAAAOAAAAZHJzL2Uyb0RvYy54bWysU02P0zAQvSPxHyzfaZrCIoia7qHLclmg&#10;0i7cp/5ILGyP5XGb9N9ju6W7ghsiB8vz9fzmzWR9OzvLjiqSQd/zdrHkTHmB0vih59+f7t984IwS&#10;eAkWver5SRG/3bx+tZ5Cp1Y4opUqsgziqZtCz8eUQtc0JEblgBYYlM9BjdFBymYcGhlhyujONqvl&#10;8n0zYZQholBE2Xt3DvJNxddaifRNa1KJ2Z5nbqmesZ77cjabNXRDhDAacaEB/8DCgfH50SvUHSRg&#10;h2j+gnJGRCTUaSHQNai1Ear2kLtpl3908zhCULWXLA6Fq0z0/2DF1+PW72KhLmb/GB5Q/CTmcTuC&#10;H1Ql8HQKeXBtkaqZAnXXkmJQ2EW2n76gzDlwSFhVmHV0TFsTfpTCAp47ZXOV/XSVXc2JibNTZG/b&#10;vntbB9JAVwBKWYiUPit0rFx6bo0vekAHxwdKhdBzSnF7vDfW1plaz6aef7xZ3dQCQmtkCZY0isN+&#10;ayM7QtmK+tXucuRlWsSDlxVsVCA/Xe4JjD3f8+PWX0QpOpSlo26P8rSLv8XKY6ssLytW9uKlXauf&#10;f4TNLwAAAP//AwBQSwMEFAAGAAgAAAAhAGp3PxjcAAAACQEAAA8AAABkcnMvZG93bnJldi54bWxM&#10;j8FOwzAQRO9I/IO1lbhRp61IS4hTVQi4VEJqCZydeEki7HUUu2n4+y7iAMedeZqdybeTs2LEIXSe&#10;FCzmCQik2puOGgXl2/PtBkSImoy2nlDBNwbYFtdXuc6MP9MBx2NsBIdQyLSCNsY+kzLULTod5r5H&#10;Yu/TD05HPodGmkGfOdxZuUySVDrdEX9odY+PLdZfx5NTsPvYP61ex8p5a+6b8t24MnlZKnUzm3YP&#10;ICJO8Q+Gn/pcHQruVPkTmSCsgvVdumKUjZQ3MfArVCysNyCLXP5fUFwAAAD//wMAUEsBAi0AFAAG&#10;AAgAAAAhALaDOJL+AAAA4QEAABMAAAAAAAAAAAAAAAAAAAAAAFtDb250ZW50X1R5cGVzXS54bWxQ&#10;SwECLQAUAAYACAAAACEAOP0h/9YAAACUAQAACwAAAAAAAAAAAAAAAAAvAQAAX3JlbHMvLnJlbHNQ&#10;SwECLQAUAAYACAAAACEA1QtA2rMBAABQAwAADgAAAAAAAAAAAAAAAAAuAgAAZHJzL2Uyb0RvYy54&#10;bWxQSwECLQAUAAYACAAAACEAanc/GNwAAAAJAQAADwAAAAAAAAAAAAAAAAANBAAAZHJzL2Rvd25y&#10;ZXYueG1sUEsFBgAAAAAEAAQA8wAAABYFAAAAAA==&#10;" o:allowincell="f"/>
            </w:pict>
          </mc:Fallback>
        </mc:AlternateContent>
      </w:r>
    </w:p>
    <w:p w14:paraId="7BAB22C5" w14:textId="5E573134" w:rsidR="00302DA0" w:rsidRDefault="00302DA0" w:rsidP="00302DA0">
      <w:pPr>
        <w:pStyle w:val="Heading2"/>
        <w:spacing w:after="120" w:line="240" w:lineRule="auto"/>
        <w:rPr>
          <w:rFonts w:ascii="Arial" w:hAnsi="Arial" w:cs="Arial"/>
          <w:b/>
          <w:bCs/>
        </w:rPr>
      </w:pPr>
      <w:bookmarkStart w:id="319" w:name="_2.4A_Children’s_Court"/>
      <w:bookmarkEnd w:id="319"/>
      <w:r>
        <w:rPr>
          <w:rFonts w:ascii="Arial" w:hAnsi="Arial" w:cs="Arial"/>
          <w:b/>
          <w:bCs/>
        </w:rPr>
        <w:t>2.4A</w:t>
      </w:r>
      <w:r>
        <w:rPr>
          <w:rFonts w:ascii="Arial" w:hAnsi="Arial" w:cs="Arial"/>
          <w:b/>
          <w:bCs/>
        </w:rPr>
        <w:tab/>
        <w:t xml:space="preserve">Children’s Court of Victoria processing </w:t>
      </w:r>
      <w:r w:rsidR="006E4705">
        <w:rPr>
          <w:rFonts w:ascii="Arial" w:hAnsi="Arial" w:cs="Arial"/>
          <w:b/>
          <w:bCs/>
        </w:rPr>
        <w:t xml:space="preserve">&amp; finalisation </w:t>
      </w:r>
      <w:r>
        <w:rPr>
          <w:rFonts w:ascii="Arial" w:hAnsi="Arial" w:cs="Arial"/>
          <w:b/>
          <w:bCs/>
        </w:rPr>
        <w:t>statistics</w:t>
      </w:r>
    </w:p>
    <w:p w14:paraId="6155B15D" w14:textId="010ED83B" w:rsidR="00681DD6" w:rsidRDefault="00F926CF" w:rsidP="00F926CF">
      <w:pPr>
        <w:spacing w:after="120"/>
        <w:jc w:val="both"/>
        <w:rPr>
          <w:rFonts w:ascii="Arial" w:hAnsi="Arial" w:cs="Arial"/>
          <w:sz w:val="20"/>
        </w:rPr>
      </w:pPr>
      <w:r>
        <w:rPr>
          <w:rFonts w:ascii="Arial" w:hAnsi="Arial" w:cs="Arial"/>
          <w:sz w:val="20"/>
        </w:rPr>
        <w:t xml:space="preserve">The </w:t>
      </w:r>
      <w:r w:rsidR="007C73F6">
        <w:rPr>
          <w:rFonts w:ascii="Arial" w:hAnsi="Arial" w:cs="Arial"/>
          <w:sz w:val="20"/>
        </w:rPr>
        <w:t xml:space="preserve">Children’s Court of Victoria </w:t>
      </w:r>
      <w:r w:rsidR="00D957CC">
        <w:rPr>
          <w:rFonts w:ascii="Arial" w:hAnsi="Arial" w:cs="Arial"/>
          <w:sz w:val="20"/>
        </w:rPr>
        <w:t xml:space="preserve">processing </w:t>
      </w:r>
      <w:r w:rsidR="00681DD6">
        <w:rPr>
          <w:rFonts w:ascii="Arial" w:hAnsi="Arial" w:cs="Arial"/>
          <w:sz w:val="20"/>
        </w:rPr>
        <w:t xml:space="preserve">statistics </w:t>
      </w:r>
      <w:r w:rsidR="00D957CC">
        <w:rPr>
          <w:rFonts w:ascii="Arial" w:hAnsi="Arial" w:cs="Arial"/>
          <w:sz w:val="20"/>
        </w:rPr>
        <w:t xml:space="preserve">(detailing initiation, finalisation &amp; pending statistics) </w:t>
      </w:r>
      <w:r w:rsidR="00681DD6">
        <w:rPr>
          <w:rFonts w:ascii="Arial" w:hAnsi="Arial" w:cs="Arial"/>
          <w:sz w:val="20"/>
        </w:rPr>
        <w:t>for child protection cases and criminal cases are as follows:</w:t>
      </w:r>
    </w:p>
    <w:tbl>
      <w:tblPr>
        <w:tblStyle w:val="TableGrid"/>
        <w:tblW w:w="9071" w:type="dxa"/>
        <w:tblLook w:val="04A0" w:firstRow="1" w:lastRow="0" w:firstColumn="1" w:lastColumn="0" w:noHBand="0" w:noVBand="1"/>
      </w:tblPr>
      <w:tblGrid>
        <w:gridCol w:w="1531"/>
        <w:gridCol w:w="939"/>
        <w:gridCol w:w="939"/>
        <w:gridCol w:w="939"/>
        <w:gridCol w:w="939"/>
        <w:gridCol w:w="939"/>
        <w:gridCol w:w="939"/>
        <w:gridCol w:w="939"/>
        <w:gridCol w:w="939"/>
        <w:gridCol w:w="28"/>
      </w:tblGrid>
      <w:tr w:rsidR="007A1953" w:rsidRPr="009C44AF" w14:paraId="67B9FD21" w14:textId="77777777" w:rsidTr="00125A58">
        <w:tc>
          <w:tcPr>
            <w:tcW w:w="9071" w:type="dxa"/>
            <w:gridSpan w:val="10"/>
            <w:tcBorders>
              <w:top w:val="single" w:sz="12" w:space="0" w:color="auto"/>
              <w:left w:val="single" w:sz="12" w:space="0" w:color="auto"/>
              <w:bottom w:val="single" w:sz="12" w:space="0" w:color="auto"/>
              <w:right w:val="single" w:sz="12" w:space="0" w:color="auto"/>
            </w:tcBorders>
            <w:shd w:val="clear" w:color="auto" w:fill="000000" w:themeFill="text1"/>
          </w:tcPr>
          <w:p w14:paraId="0696F176" w14:textId="73652B7C" w:rsidR="007A1953" w:rsidRPr="009C44AF" w:rsidRDefault="007A1953" w:rsidP="00125A58">
            <w:pPr>
              <w:jc w:val="center"/>
              <w:rPr>
                <w:rFonts w:ascii="Arial" w:hAnsi="Arial" w:cs="Arial"/>
                <w:b/>
                <w:bCs/>
                <w:sz w:val="20"/>
              </w:rPr>
            </w:pPr>
            <w:r>
              <w:rPr>
                <w:rFonts w:ascii="Arial" w:hAnsi="Arial" w:cs="Arial"/>
                <w:b/>
                <w:bCs/>
                <w:sz w:val="20"/>
              </w:rPr>
              <w:t xml:space="preserve">STATE-WIDE </w:t>
            </w:r>
            <w:r w:rsidR="00687E03">
              <w:rPr>
                <w:rFonts w:ascii="Arial" w:hAnsi="Arial" w:cs="Arial"/>
                <w:b/>
                <w:bCs/>
                <w:sz w:val="20"/>
              </w:rPr>
              <w:t xml:space="preserve">PROCESSING </w:t>
            </w:r>
            <w:r w:rsidRPr="009C44AF">
              <w:rPr>
                <w:rFonts w:ascii="Arial" w:hAnsi="Arial" w:cs="Arial"/>
                <w:b/>
                <w:bCs/>
                <w:sz w:val="20"/>
              </w:rPr>
              <w:t xml:space="preserve">STATISTICS </w:t>
            </w:r>
            <w:r>
              <w:rPr>
                <w:rFonts w:ascii="Arial" w:hAnsi="Arial" w:cs="Arial"/>
                <w:b/>
                <w:bCs/>
                <w:sz w:val="20"/>
              </w:rPr>
              <w:t>– CHILD PROTECTION CASES</w:t>
            </w:r>
          </w:p>
        </w:tc>
      </w:tr>
      <w:tr w:rsidR="007A1953" w:rsidRPr="009C44AF" w14:paraId="1A8B4757" w14:textId="77777777" w:rsidTr="00687E03">
        <w:trPr>
          <w:gridAfter w:val="1"/>
          <w:wAfter w:w="28" w:type="dxa"/>
        </w:trPr>
        <w:tc>
          <w:tcPr>
            <w:tcW w:w="1531" w:type="dxa"/>
            <w:tcBorders>
              <w:top w:val="single" w:sz="12" w:space="0" w:color="auto"/>
              <w:left w:val="single" w:sz="12" w:space="0" w:color="auto"/>
              <w:bottom w:val="single" w:sz="12" w:space="0" w:color="auto"/>
              <w:right w:val="single" w:sz="12" w:space="0" w:color="auto"/>
            </w:tcBorders>
            <w:shd w:val="clear" w:color="auto" w:fill="DDDDDD"/>
          </w:tcPr>
          <w:p w14:paraId="6530BCD8" w14:textId="77777777" w:rsidR="007A1953" w:rsidRDefault="007A1953" w:rsidP="00125A58">
            <w:pPr>
              <w:jc w:val="center"/>
              <w:rPr>
                <w:rFonts w:ascii="Arial" w:hAnsi="Arial" w:cs="Arial"/>
                <w:b/>
                <w:bCs/>
                <w:sz w:val="20"/>
              </w:rPr>
            </w:pPr>
          </w:p>
        </w:tc>
        <w:tc>
          <w:tcPr>
            <w:tcW w:w="939" w:type="dxa"/>
            <w:tcBorders>
              <w:top w:val="single" w:sz="12" w:space="0" w:color="auto"/>
              <w:left w:val="single" w:sz="12" w:space="0" w:color="auto"/>
              <w:bottom w:val="single" w:sz="12" w:space="0" w:color="auto"/>
              <w:right w:val="single" w:sz="12" w:space="0" w:color="auto"/>
            </w:tcBorders>
            <w:shd w:val="clear" w:color="auto" w:fill="DDDDDD"/>
          </w:tcPr>
          <w:p w14:paraId="19C98CDA" w14:textId="735ED644" w:rsidR="007A1953" w:rsidRDefault="00687E03" w:rsidP="00125A58">
            <w:pPr>
              <w:jc w:val="center"/>
              <w:rPr>
                <w:rFonts w:ascii="Arial" w:hAnsi="Arial" w:cs="Arial"/>
                <w:b/>
                <w:bCs/>
                <w:sz w:val="20"/>
              </w:rPr>
            </w:pPr>
            <w:r>
              <w:rPr>
                <w:rFonts w:ascii="Arial" w:hAnsi="Arial" w:cs="Arial"/>
                <w:b/>
                <w:bCs/>
                <w:sz w:val="20"/>
              </w:rPr>
              <w:t>2022/23</w:t>
            </w:r>
          </w:p>
        </w:tc>
        <w:tc>
          <w:tcPr>
            <w:tcW w:w="939" w:type="dxa"/>
            <w:tcBorders>
              <w:top w:val="single" w:sz="12" w:space="0" w:color="auto"/>
              <w:left w:val="single" w:sz="12" w:space="0" w:color="auto"/>
              <w:bottom w:val="single" w:sz="12" w:space="0" w:color="auto"/>
              <w:right w:val="single" w:sz="12" w:space="0" w:color="auto"/>
            </w:tcBorders>
            <w:shd w:val="clear" w:color="auto" w:fill="DDDDDD"/>
          </w:tcPr>
          <w:p w14:paraId="642D4DA0" w14:textId="73B6FFC1" w:rsidR="007A1953" w:rsidRDefault="00687E03" w:rsidP="00125A58">
            <w:pPr>
              <w:jc w:val="center"/>
              <w:rPr>
                <w:rFonts w:ascii="Arial" w:hAnsi="Arial" w:cs="Arial"/>
                <w:b/>
                <w:bCs/>
                <w:sz w:val="20"/>
              </w:rPr>
            </w:pPr>
            <w:r>
              <w:rPr>
                <w:rFonts w:ascii="Arial" w:hAnsi="Arial" w:cs="Arial"/>
                <w:b/>
                <w:bCs/>
                <w:sz w:val="20"/>
              </w:rPr>
              <w:t>2023/24</w:t>
            </w:r>
          </w:p>
        </w:tc>
        <w:tc>
          <w:tcPr>
            <w:tcW w:w="939" w:type="dxa"/>
            <w:tcBorders>
              <w:top w:val="single" w:sz="12" w:space="0" w:color="auto"/>
              <w:left w:val="single" w:sz="12" w:space="0" w:color="auto"/>
              <w:bottom w:val="single" w:sz="12" w:space="0" w:color="auto"/>
              <w:right w:val="single" w:sz="12" w:space="0" w:color="auto"/>
            </w:tcBorders>
            <w:shd w:val="clear" w:color="auto" w:fill="DDDDDD"/>
          </w:tcPr>
          <w:p w14:paraId="3907E970" w14:textId="7CB0DAB4" w:rsidR="007A1953" w:rsidRDefault="00302DA0" w:rsidP="00125A58">
            <w:pPr>
              <w:jc w:val="center"/>
              <w:rPr>
                <w:rFonts w:ascii="Arial" w:hAnsi="Arial" w:cs="Arial"/>
                <w:b/>
                <w:bCs/>
                <w:sz w:val="20"/>
              </w:rPr>
            </w:pPr>
            <w:r>
              <w:rPr>
                <w:rFonts w:ascii="Arial" w:hAnsi="Arial" w:cs="Arial"/>
                <w:b/>
                <w:bCs/>
                <w:sz w:val="20"/>
              </w:rPr>
              <w:t>2024/25</w:t>
            </w:r>
          </w:p>
        </w:tc>
        <w:tc>
          <w:tcPr>
            <w:tcW w:w="939" w:type="dxa"/>
            <w:tcBorders>
              <w:top w:val="single" w:sz="12" w:space="0" w:color="auto"/>
              <w:left w:val="single" w:sz="12" w:space="0" w:color="auto"/>
              <w:bottom w:val="single" w:sz="12" w:space="0" w:color="auto"/>
              <w:right w:val="single" w:sz="12" w:space="0" w:color="auto"/>
            </w:tcBorders>
            <w:shd w:val="clear" w:color="auto" w:fill="DDDDDD"/>
          </w:tcPr>
          <w:p w14:paraId="7F934041" w14:textId="45CB6640" w:rsidR="007A1953" w:rsidRDefault="007A1953" w:rsidP="00125A58">
            <w:pPr>
              <w:jc w:val="center"/>
              <w:rPr>
                <w:rFonts w:ascii="Arial" w:hAnsi="Arial" w:cs="Arial"/>
                <w:b/>
                <w:bCs/>
                <w:sz w:val="20"/>
              </w:rPr>
            </w:pPr>
          </w:p>
        </w:tc>
        <w:tc>
          <w:tcPr>
            <w:tcW w:w="939" w:type="dxa"/>
            <w:tcBorders>
              <w:top w:val="single" w:sz="12" w:space="0" w:color="auto"/>
              <w:left w:val="single" w:sz="12" w:space="0" w:color="auto"/>
              <w:bottom w:val="single" w:sz="12" w:space="0" w:color="auto"/>
              <w:right w:val="single" w:sz="12" w:space="0" w:color="auto"/>
            </w:tcBorders>
            <w:shd w:val="clear" w:color="auto" w:fill="DDDDDD"/>
          </w:tcPr>
          <w:p w14:paraId="4F150442" w14:textId="6B94C80C" w:rsidR="007A1953" w:rsidRDefault="007A1953" w:rsidP="00125A58">
            <w:pPr>
              <w:jc w:val="center"/>
              <w:rPr>
                <w:rFonts w:ascii="Arial" w:hAnsi="Arial" w:cs="Arial"/>
                <w:b/>
                <w:bCs/>
                <w:sz w:val="20"/>
              </w:rPr>
            </w:pPr>
          </w:p>
        </w:tc>
        <w:tc>
          <w:tcPr>
            <w:tcW w:w="939" w:type="dxa"/>
            <w:tcBorders>
              <w:top w:val="single" w:sz="12" w:space="0" w:color="auto"/>
              <w:left w:val="single" w:sz="12" w:space="0" w:color="auto"/>
              <w:bottom w:val="single" w:sz="12" w:space="0" w:color="auto"/>
              <w:right w:val="single" w:sz="12" w:space="0" w:color="auto"/>
            </w:tcBorders>
            <w:shd w:val="clear" w:color="auto" w:fill="DDDDDD"/>
          </w:tcPr>
          <w:p w14:paraId="7451418C" w14:textId="06C26B23" w:rsidR="007A1953" w:rsidRDefault="007A1953" w:rsidP="00125A58">
            <w:pPr>
              <w:jc w:val="center"/>
              <w:rPr>
                <w:rFonts w:ascii="Arial" w:hAnsi="Arial" w:cs="Arial"/>
                <w:b/>
                <w:bCs/>
                <w:sz w:val="20"/>
              </w:rPr>
            </w:pPr>
          </w:p>
        </w:tc>
        <w:tc>
          <w:tcPr>
            <w:tcW w:w="939" w:type="dxa"/>
            <w:tcBorders>
              <w:top w:val="single" w:sz="12" w:space="0" w:color="auto"/>
              <w:left w:val="single" w:sz="12" w:space="0" w:color="auto"/>
              <w:bottom w:val="single" w:sz="12" w:space="0" w:color="auto"/>
              <w:right w:val="single" w:sz="12" w:space="0" w:color="auto"/>
            </w:tcBorders>
            <w:shd w:val="clear" w:color="auto" w:fill="DDDDDD"/>
          </w:tcPr>
          <w:p w14:paraId="6C4C9570" w14:textId="6AD19EB5" w:rsidR="007A1953" w:rsidRDefault="007A1953" w:rsidP="00125A58">
            <w:pPr>
              <w:jc w:val="center"/>
              <w:rPr>
                <w:rFonts w:ascii="Arial" w:hAnsi="Arial" w:cs="Arial"/>
                <w:b/>
                <w:bCs/>
                <w:sz w:val="20"/>
              </w:rPr>
            </w:pPr>
          </w:p>
        </w:tc>
        <w:tc>
          <w:tcPr>
            <w:tcW w:w="939" w:type="dxa"/>
            <w:tcBorders>
              <w:top w:val="single" w:sz="12" w:space="0" w:color="auto"/>
              <w:left w:val="single" w:sz="12" w:space="0" w:color="auto"/>
              <w:bottom w:val="single" w:sz="12" w:space="0" w:color="auto"/>
              <w:right w:val="single" w:sz="12" w:space="0" w:color="auto"/>
            </w:tcBorders>
            <w:shd w:val="clear" w:color="auto" w:fill="DDDDDD"/>
          </w:tcPr>
          <w:p w14:paraId="510DD403" w14:textId="567893F9" w:rsidR="007A1953" w:rsidRDefault="007A1953" w:rsidP="00125A58">
            <w:pPr>
              <w:jc w:val="center"/>
              <w:rPr>
                <w:rFonts w:ascii="Arial" w:hAnsi="Arial" w:cs="Arial"/>
                <w:b/>
                <w:bCs/>
                <w:sz w:val="20"/>
              </w:rPr>
            </w:pPr>
          </w:p>
        </w:tc>
      </w:tr>
      <w:tr w:rsidR="007A1953" w:rsidRPr="009C44AF" w14:paraId="596152BE" w14:textId="77777777" w:rsidTr="00125A58">
        <w:trPr>
          <w:gridAfter w:val="1"/>
          <w:wAfter w:w="28" w:type="dxa"/>
        </w:trPr>
        <w:tc>
          <w:tcPr>
            <w:tcW w:w="1531" w:type="dxa"/>
            <w:tcBorders>
              <w:top w:val="single" w:sz="12" w:space="0" w:color="auto"/>
              <w:left w:val="single" w:sz="12" w:space="0" w:color="auto"/>
              <w:bottom w:val="single" w:sz="12" w:space="0" w:color="auto"/>
              <w:right w:val="single" w:sz="12" w:space="0" w:color="auto"/>
            </w:tcBorders>
            <w:shd w:val="clear" w:color="auto" w:fill="DDDDDD"/>
          </w:tcPr>
          <w:p w14:paraId="6C3C9CAF" w14:textId="77777777" w:rsidR="007A1953" w:rsidRDefault="007A1953" w:rsidP="00125A58">
            <w:pPr>
              <w:jc w:val="center"/>
              <w:rPr>
                <w:rFonts w:ascii="Arial" w:hAnsi="Arial" w:cs="Arial"/>
                <w:b/>
                <w:bCs/>
                <w:sz w:val="20"/>
              </w:rPr>
            </w:pPr>
            <w:r>
              <w:rPr>
                <w:rFonts w:ascii="Arial" w:hAnsi="Arial" w:cs="Arial"/>
                <w:b/>
                <w:bCs/>
                <w:sz w:val="20"/>
              </w:rPr>
              <w:t>Initiations</w:t>
            </w:r>
          </w:p>
        </w:tc>
        <w:tc>
          <w:tcPr>
            <w:tcW w:w="939" w:type="dxa"/>
            <w:tcBorders>
              <w:top w:val="single" w:sz="12" w:space="0" w:color="auto"/>
              <w:left w:val="single" w:sz="12" w:space="0" w:color="auto"/>
              <w:bottom w:val="single" w:sz="12" w:space="0" w:color="auto"/>
              <w:right w:val="single" w:sz="12" w:space="0" w:color="auto"/>
            </w:tcBorders>
          </w:tcPr>
          <w:p w14:paraId="6C53DBBC" w14:textId="7F2C3D48" w:rsidR="007A1953" w:rsidRPr="0031485E" w:rsidRDefault="00687E03" w:rsidP="00125A58">
            <w:pPr>
              <w:jc w:val="right"/>
              <w:rPr>
                <w:rFonts w:ascii="Arial" w:hAnsi="Arial" w:cs="Arial"/>
                <w:sz w:val="20"/>
              </w:rPr>
            </w:pPr>
            <w:r w:rsidRPr="0031485E">
              <w:rPr>
                <w:rFonts w:ascii="Arial" w:hAnsi="Arial" w:cs="Arial"/>
                <w:sz w:val="20"/>
              </w:rPr>
              <w:t>16473</w:t>
            </w:r>
          </w:p>
        </w:tc>
        <w:tc>
          <w:tcPr>
            <w:tcW w:w="939" w:type="dxa"/>
            <w:tcBorders>
              <w:top w:val="single" w:sz="12" w:space="0" w:color="auto"/>
              <w:left w:val="single" w:sz="12" w:space="0" w:color="auto"/>
              <w:bottom w:val="single" w:sz="12" w:space="0" w:color="auto"/>
              <w:right w:val="single" w:sz="12" w:space="0" w:color="auto"/>
            </w:tcBorders>
          </w:tcPr>
          <w:p w14:paraId="6821A65E" w14:textId="36C7EADB" w:rsidR="007A1953" w:rsidRPr="0031485E" w:rsidRDefault="00687E03" w:rsidP="00125A58">
            <w:pPr>
              <w:jc w:val="right"/>
              <w:rPr>
                <w:rFonts w:ascii="Arial" w:hAnsi="Arial" w:cs="Arial"/>
                <w:sz w:val="20"/>
              </w:rPr>
            </w:pPr>
            <w:r w:rsidRPr="0031485E">
              <w:rPr>
                <w:rFonts w:ascii="Arial" w:hAnsi="Arial" w:cs="Arial"/>
                <w:sz w:val="20"/>
              </w:rPr>
              <w:t>16071</w:t>
            </w:r>
          </w:p>
        </w:tc>
        <w:tc>
          <w:tcPr>
            <w:tcW w:w="939" w:type="dxa"/>
            <w:tcBorders>
              <w:top w:val="single" w:sz="12" w:space="0" w:color="auto"/>
              <w:left w:val="single" w:sz="12" w:space="0" w:color="auto"/>
              <w:bottom w:val="single" w:sz="12" w:space="0" w:color="auto"/>
              <w:right w:val="single" w:sz="12" w:space="0" w:color="auto"/>
            </w:tcBorders>
          </w:tcPr>
          <w:p w14:paraId="6DF853B7" w14:textId="5EC5DFD6" w:rsidR="007A1953" w:rsidRPr="00AF442F" w:rsidRDefault="00AF442F" w:rsidP="00125A58">
            <w:pPr>
              <w:jc w:val="right"/>
              <w:rPr>
                <w:rFonts w:ascii="Arial" w:hAnsi="Arial" w:cs="Arial"/>
                <w:sz w:val="20"/>
              </w:rPr>
            </w:pPr>
            <w:r w:rsidRPr="00AF442F">
              <w:rPr>
                <w:rFonts w:ascii="Arial" w:hAnsi="Arial" w:cs="Arial"/>
                <w:sz w:val="20"/>
              </w:rPr>
              <w:t>16143</w:t>
            </w:r>
          </w:p>
        </w:tc>
        <w:tc>
          <w:tcPr>
            <w:tcW w:w="939" w:type="dxa"/>
            <w:tcBorders>
              <w:top w:val="single" w:sz="12" w:space="0" w:color="auto"/>
              <w:left w:val="single" w:sz="12" w:space="0" w:color="auto"/>
              <w:bottom w:val="single" w:sz="12" w:space="0" w:color="auto"/>
              <w:right w:val="single" w:sz="12" w:space="0" w:color="auto"/>
            </w:tcBorders>
          </w:tcPr>
          <w:p w14:paraId="6AB07F13" w14:textId="048A1C0A" w:rsidR="007A1953" w:rsidRDefault="007A1953" w:rsidP="00125A58">
            <w:pPr>
              <w:jc w:val="right"/>
              <w:rPr>
                <w:rFonts w:ascii="Arial" w:hAnsi="Arial" w:cs="Arial"/>
                <w:b/>
                <w:bCs/>
                <w:sz w:val="20"/>
              </w:rPr>
            </w:pPr>
          </w:p>
        </w:tc>
        <w:tc>
          <w:tcPr>
            <w:tcW w:w="939" w:type="dxa"/>
            <w:tcBorders>
              <w:top w:val="single" w:sz="12" w:space="0" w:color="auto"/>
              <w:left w:val="single" w:sz="12" w:space="0" w:color="auto"/>
              <w:bottom w:val="single" w:sz="12" w:space="0" w:color="auto"/>
              <w:right w:val="single" w:sz="12" w:space="0" w:color="auto"/>
            </w:tcBorders>
          </w:tcPr>
          <w:p w14:paraId="1007F5D0" w14:textId="3759A134" w:rsidR="007A1953" w:rsidRDefault="007A1953" w:rsidP="00125A58">
            <w:pPr>
              <w:jc w:val="right"/>
              <w:rPr>
                <w:rFonts w:ascii="Arial" w:hAnsi="Arial" w:cs="Arial"/>
                <w:b/>
                <w:bCs/>
                <w:sz w:val="20"/>
              </w:rPr>
            </w:pPr>
          </w:p>
        </w:tc>
        <w:tc>
          <w:tcPr>
            <w:tcW w:w="939" w:type="dxa"/>
            <w:tcBorders>
              <w:top w:val="single" w:sz="12" w:space="0" w:color="auto"/>
              <w:left w:val="single" w:sz="12" w:space="0" w:color="auto"/>
              <w:bottom w:val="single" w:sz="12" w:space="0" w:color="auto"/>
              <w:right w:val="single" w:sz="12" w:space="0" w:color="auto"/>
            </w:tcBorders>
          </w:tcPr>
          <w:p w14:paraId="1C6DF459" w14:textId="45BB23CF" w:rsidR="007A1953" w:rsidRDefault="007A1953" w:rsidP="00125A58">
            <w:pPr>
              <w:jc w:val="right"/>
              <w:rPr>
                <w:rFonts w:ascii="Arial" w:hAnsi="Arial" w:cs="Arial"/>
                <w:b/>
                <w:bCs/>
                <w:sz w:val="20"/>
              </w:rPr>
            </w:pPr>
          </w:p>
        </w:tc>
        <w:tc>
          <w:tcPr>
            <w:tcW w:w="939" w:type="dxa"/>
            <w:tcBorders>
              <w:top w:val="single" w:sz="12" w:space="0" w:color="auto"/>
              <w:left w:val="single" w:sz="12" w:space="0" w:color="auto"/>
              <w:bottom w:val="single" w:sz="12" w:space="0" w:color="auto"/>
              <w:right w:val="single" w:sz="12" w:space="0" w:color="auto"/>
            </w:tcBorders>
          </w:tcPr>
          <w:p w14:paraId="4143AE42" w14:textId="29E4B331" w:rsidR="007A1953" w:rsidRDefault="007A1953" w:rsidP="00125A58">
            <w:pPr>
              <w:jc w:val="right"/>
              <w:rPr>
                <w:rFonts w:ascii="Arial" w:hAnsi="Arial" w:cs="Arial"/>
                <w:b/>
                <w:bCs/>
                <w:sz w:val="20"/>
              </w:rPr>
            </w:pPr>
          </w:p>
        </w:tc>
        <w:tc>
          <w:tcPr>
            <w:tcW w:w="939" w:type="dxa"/>
            <w:tcBorders>
              <w:top w:val="single" w:sz="12" w:space="0" w:color="auto"/>
              <w:left w:val="single" w:sz="12" w:space="0" w:color="auto"/>
              <w:bottom w:val="single" w:sz="12" w:space="0" w:color="auto"/>
              <w:right w:val="single" w:sz="12" w:space="0" w:color="auto"/>
            </w:tcBorders>
          </w:tcPr>
          <w:p w14:paraId="5C80EF18" w14:textId="5F53B8C8" w:rsidR="007A1953" w:rsidRDefault="007A1953" w:rsidP="00125A58">
            <w:pPr>
              <w:jc w:val="right"/>
              <w:rPr>
                <w:rFonts w:ascii="Arial" w:hAnsi="Arial" w:cs="Arial"/>
                <w:b/>
                <w:bCs/>
                <w:sz w:val="20"/>
              </w:rPr>
            </w:pPr>
          </w:p>
        </w:tc>
      </w:tr>
      <w:tr w:rsidR="007A1953" w:rsidRPr="009C44AF" w14:paraId="53C7A084" w14:textId="77777777" w:rsidTr="00125A58">
        <w:trPr>
          <w:gridAfter w:val="1"/>
          <w:wAfter w:w="28" w:type="dxa"/>
        </w:trPr>
        <w:tc>
          <w:tcPr>
            <w:tcW w:w="1531" w:type="dxa"/>
            <w:tcBorders>
              <w:top w:val="single" w:sz="12" w:space="0" w:color="auto"/>
              <w:left w:val="single" w:sz="12" w:space="0" w:color="auto"/>
              <w:bottom w:val="single" w:sz="12" w:space="0" w:color="auto"/>
              <w:right w:val="single" w:sz="12" w:space="0" w:color="auto"/>
            </w:tcBorders>
            <w:shd w:val="clear" w:color="auto" w:fill="DDDDDD"/>
          </w:tcPr>
          <w:p w14:paraId="05B039DD" w14:textId="77777777" w:rsidR="007A1953" w:rsidRDefault="007A1953" w:rsidP="00125A58">
            <w:pPr>
              <w:jc w:val="center"/>
              <w:rPr>
                <w:rFonts w:ascii="Arial" w:hAnsi="Arial" w:cs="Arial"/>
                <w:b/>
                <w:bCs/>
                <w:sz w:val="20"/>
              </w:rPr>
            </w:pPr>
            <w:r>
              <w:rPr>
                <w:rFonts w:ascii="Arial" w:hAnsi="Arial" w:cs="Arial"/>
                <w:b/>
                <w:bCs/>
                <w:sz w:val="20"/>
              </w:rPr>
              <w:t>Finalisations</w:t>
            </w:r>
          </w:p>
        </w:tc>
        <w:tc>
          <w:tcPr>
            <w:tcW w:w="939" w:type="dxa"/>
            <w:tcBorders>
              <w:top w:val="single" w:sz="12" w:space="0" w:color="auto"/>
              <w:left w:val="single" w:sz="12" w:space="0" w:color="auto"/>
              <w:bottom w:val="single" w:sz="12" w:space="0" w:color="auto"/>
              <w:right w:val="single" w:sz="12" w:space="0" w:color="auto"/>
            </w:tcBorders>
          </w:tcPr>
          <w:p w14:paraId="54A889E8" w14:textId="4A347E94" w:rsidR="007A1953" w:rsidRPr="0031485E" w:rsidRDefault="00687E03" w:rsidP="00125A58">
            <w:pPr>
              <w:jc w:val="right"/>
              <w:rPr>
                <w:rFonts w:ascii="Arial" w:hAnsi="Arial" w:cs="Arial"/>
                <w:sz w:val="20"/>
              </w:rPr>
            </w:pPr>
            <w:r w:rsidRPr="0031485E">
              <w:rPr>
                <w:rFonts w:ascii="Arial" w:hAnsi="Arial" w:cs="Arial"/>
                <w:sz w:val="20"/>
              </w:rPr>
              <w:t>16604</w:t>
            </w:r>
          </w:p>
        </w:tc>
        <w:tc>
          <w:tcPr>
            <w:tcW w:w="939" w:type="dxa"/>
            <w:tcBorders>
              <w:top w:val="single" w:sz="12" w:space="0" w:color="auto"/>
              <w:left w:val="single" w:sz="12" w:space="0" w:color="auto"/>
              <w:bottom w:val="single" w:sz="12" w:space="0" w:color="auto"/>
              <w:right w:val="single" w:sz="12" w:space="0" w:color="auto"/>
            </w:tcBorders>
          </w:tcPr>
          <w:p w14:paraId="60BF7314" w14:textId="651E834C" w:rsidR="007A1953" w:rsidRPr="0031485E" w:rsidRDefault="00687E03" w:rsidP="00125A58">
            <w:pPr>
              <w:jc w:val="right"/>
              <w:rPr>
                <w:rFonts w:ascii="Arial" w:hAnsi="Arial" w:cs="Arial"/>
                <w:sz w:val="20"/>
              </w:rPr>
            </w:pPr>
            <w:r w:rsidRPr="0031485E">
              <w:rPr>
                <w:rFonts w:ascii="Arial" w:hAnsi="Arial" w:cs="Arial"/>
                <w:sz w:val="20"/>
              </w:rPr>
              <w:t>14384</w:t>
            </w:r>
          </w:p>
        </w:tc>
        <w:tc>
          <w:tcPr>
            <w:tcW w:w="939" w:type="dxa"/>
            <w:tcBorders>
              <w:top w:val="single" w:sz="12" w:space="0" w:color="auto"/>
              <w:left w:val="single" w:sz="12" w:space="0" w:color="auto"/>
              <w:bottom w:val="single" w:sz="12" w:space="0" w:color="auto"/>
              <w:right w:val="single" w:sz="12" w:space="0" w:color="auto"/>
            </w:tcBorders>
          </w:tcPr>
          <w:p w14:paraId="2BAEB264" w14:textId="42A37483" w:rsidR="007A1953" w:rsidRPr="00AF442F" w:rsidRDefault="00AF442F" w:rsidP="00125A58">
            <w:pPr>
              <w:jc w:val="right"/>
              <w:rPr>
                <w:rFonts w:ascii="Arial" w:hAnsi="Arial" w:cs="Arial"/>
                <w:sz w:val="20"/>
              </w:rPr>
            </w:pPr>
            <w:r w:rsidRPr="00AF442F">
              <w:rPr>
                <w:rFonts w:ascii="Arial" w:hAnsi="Arial" w:cs="Arial"/>
                <w:sz w:val="20"/>
              </w:rPr>
              <w:t>15767</w:t>
            </w:r>
          </w:p>
        </w:tc>
        <w:tc>
          <w:tcPr>
            <w:tcW w:w="939" w:type="dxa"/>
            <w:tcBorders>
              <w:top w:val="single" w:sz="12" w:space="0" w:color="auto"/>
              <w:left w:val="single" w:sz="12" w:space="0" w:color="auto"/>
              <w:bottom w:val="single" w:sz="12" w:space="0" w:color="auto"/>
              <w:right w:val="single" w:sz="12" w:space="0" w:color="auto"/>
            </w:tcBorders>
          </w:tcPr>
          <w:p w14:paraId="67FE5DEC" w14:textId="7C209A56" w:rsidR="007A1953" w:rsidRDefault="007A1953" w:rsidP="00125A58">
            <w:pPr>
              <w:jc w:val="right"/>
              <w:rPr>
                <w:rFonts w:ascii="Arial" w:hAnsi="Arial" w:cs="Arial"/>
                <w:b/>
                <w:bCs/>
                <w:sz w:val="20"/>
              </w:rPr>
            </w:pPr>
          </w:p>
        </w:tc>
        <w:tc>
          <w:tcPr>
            <w:tcW w:w="939" w:type="dxa"/>
            <w:tcBorders>
              <w:top w:val="single" w:sz="12" w:space="0" w:color="auto"/>
              <w:left w:val="single" w:sz="12" w:space="0" w:color="auto"/>
              <w:bottom w:val="single" w:sz="12" w:space="0" w:color="auto"/>
              <w:right w:val="single" w:sz="12" w:space="0" w:color="auto"/>
            </w:tcBorders>
          </w:tcPr>
          <w:p w14:paraId="24661E66" w14:textId="4FCCBAA1" w:rsidR="007A1953" w:rsidRDefault="007A1953" w:rsidP="00125A58">
            <w:pPr>
              <w:jc w:val="right"/>
              <w:rPr>
                <w:rFonts w:ascii="Arial" w:hAnsi="Arial" w:cs="Arial"/>
                <w:b/>
                <w:bCs/>
                <w:sz w:val="20"/>
              </w:rPr>
            </w:pPr>
          </w:p>
        </w:tc>
        <w:tc>
          <w:tcPr>
            <w:tcW w:w="939" w:type="dxa"/>
            <w:tcBorders>
              <w:top w:val="single" w:sz="12" w:space="0" w:color="auto"/>
              <w:left w:val="single" w:sz="12" w:space="0" w:color="auto"/>
              <w:bottom w:val="single" w:sz="12" w:space="0" w:color="auto"/>
              <w:right w:val="single" w:sz="12" w:space="0" w:color="auto"/>
            </w:tcBorders>
          </w:tcPr>
          <w:p w14:paraId="7CA8E599" w14:textId="58B917A3" w:rsidR="007A1953" w:rsidRDefault="007A1953" w:rsidP="00125A58">
            <w:pPr>
              <w:jc w:val="right"/>
              <w:rPr>
                <w:rFonts w:ascii="Arial" w:hAnsi="Arial" w:cs="Arial"/>
                <w:b/>
                <w:bCs/>
                <w:sz w:val="20"/>
              </w:rPr>
            </w:pPr>
          </w:p>
        </w:tc>
        <w:tc>
          <w:tcPr>
            <w:tcW w:w="939" w:type="dxa"/>
            <w:tcBorders>
              <w:top w:val="single" w:sz="12" w:space="0" w:color="auto"/>
              <w:left w:val="single" w:sz="12" w:space="0" w:color="auto"/>
              <w:bottom w:val="single" w:sz="12" w:space="0" w:color="auto"/>
              <w:right w:val="single" w:sz="12" w:space="0" w:color="auto"/>
            </w:tcBorders>
          </w:tcPr>
          <w:p w14:paraId="767D27C6" w14:textId="6BC0A64F" w:rsidR="007A1953" w:rsidRDefault="007A1953" w:rsidP="00125A58">
            <w:pPr>
              <w:jc w:val="right"/>
              <w:rPr>
                <w:rFonts w:ascii="Arial" w:hAnsi="Arial" w:cs="Arial"/>
                <w:b/>
                <w:bCs/>
                <w:sz w:val="20"/>
              </w:rPr>
            </w:pPr>
          </w:p>
        </w:tc>
        <w:tc>
          <w:tcPr>
            <w:tcW w:w="939" w:type="dxa"/>
            <w:tcBorders>
              <w:top w:val="single" w:sz="12" w:space="0" w:color="auto"/>
              <w:left w:val="single" w:sz="12" w:space="0" w:color="auto"/>
              <w:bottom w:val="single" w:sz="12" w:space="0" w:color="auto"/>
              <w:right w:val="single" w:sz="12" w:space="0" w:color="auto"/>
            </w:tcBorders>
          </w:tcPr>
          <w:p w14:paraId="3A6BC73F" w14:textId="0DCC2553" w:rsidR="007A1953" w:rsidRDefault="007A1953" w:rsidP="00125A58">
            <w:pPr>
              <w:jc w:val="right"/>
              <w:rPr>
                <w:rFonts w:ascii="Arial" w:hAnsi="Arial" w:cs="Arial"/>
                <w:b/>
                <w:bCs/>
                <w:sz w:val="20"/>
              </w:rPr>
            </w:pPr>
          </w:p>
        </w:tc>
      </w:tr>
      <w:tr w:rsidR="007A1953" w:rsidRPr="009C44AF" w14:paraId="15F15303" w14:textId="77777777" w:rsidTr="00125A58">
        <w:trPr>
          <w:gridAfter w:val="1"/>
          <w:wAfter w:w="28" w:type="dxa"/>
        </w:trPr>
        <w:tc>
          <w:tcPr>
            <w:tcW w:w="1531" w:type="dxa"/>
            <w:tcBorders>
              <w:top w:val="single" w:sz="12" w:space="0" w:color="auto"/>
              <w:left w:val="single" w:sz="12" w:space="0" w:color="auto"/>
              <w:bottom w:val="single" w:sz="12" w:space="0" w:color="auto"/>
              <w:right w:val="single" w:sz="12" w:space="0" w:color="auto"/>
            </w:tcBorders>
            <w:shd w:val="clear" w:color="auto" w:fill="DDDDDD"/>
          </w:tcPr>
          <w:p w14:paraId="2C65BF9F" w14:textId="77777777" w:rsidR="007A1953" w:rsidRDefault="007A1953" w:rsidP="00125A58">
            <w:pPr>
              <w:jc w:val="center"/>
              <w:rPr>
                <w:rFonts w:ascii="Arial" w:hAnsi="Arial" w:cs="Arial"/>
                <w:b/>
                <w:bCs/>
                <w:sz w:val="20"/>
              </w:rPr>
            </w:pPr>
            <w:r>
              <w:rPr>
                <w:rFonts w:ascii="Arial" w:hAnsi="Arial" w:cs="Arial"/>
                <w:b/>
                <w:bCs/>
                <w:sz w:val="20"/>
              </w:rPr>
              <w:t>Pending</w:t>
            </w:r>
          </w:p>
        </w:tc>
        <w:tc>
          <w:tcPr>
            <w:tcW w:w="939" w:type="dxa"/>
            <w:tcBorders>
              <w:top w:val="single" w:sz="12" w:space="0" w:color="auto"/>
              <w:left w:val="single" w:sz="12" w:space="0" w:color="auto"/>
              <w:bottom w:val="single" w:sz="12" w:space="0" w:color="auto"/>
              <w:right w:val="single" w:sz="12" w:space="0" w:color="auto"/>
            </w:tcBorders>
          </w:tcPr>
          <w:p w14:paraId="5674FE2B" w14:textId="5489B9A3" w:rsidR="007A1953" w:rsidRPr="0031485E" w:rsidRDefault="00687E03" w:rsidP="00125A58">
            <w:pPr>
              <w:jc w:val="right"/>
              <w:rPr>
                <w:rFonts w:ascii="Arial" w:hAnsi="Arial" w:cs="Arial"/>
                <w:sz w:val="20"/>
              </w:rPr>
            </w:pPr>
            <w:r w:rsidRPr="0031485E">
              <w:rPr>
                <w:rFonts w:ascii="Arial" w:hAnsi="Arial" w:cs="Arial"/>
                <w:sz w:val="20"/>
              </w:rPr>
              <w:t>4757</w:t>
            </w:r>
          </w:p>
        </w:tc>
        <w:tc>
          <w:tcPr>
            <w:tcW w:w="939" w:type="dxa"/>
            <w:tcBorders>
              <w:top w:val="single" w:sz="12" w:space="0" w:color="auto"/>
              <w:left w:val="single" w:sz="12" w:space="0" w:color="auto"/>
              <w:bottom w:val="single" w:sz="12" w:space="0" w:color="auto"/>
              <w:right w:val="single" w:sz="12" w:space="0" w:color="auto"/>
            </w:tcBorders>
          </w:tcPr>
          <w:p w14:paraId="6147956E" w14:textId="1391D8BE" w:rsidR="007A1953" w:rsidRPr="0031485E" w:rsidRDefault="00687E03" w:rsidP="00125A58">
            <w:pPr>
              <w:jc w:val="right"/>
              <w:rPr>
                <w:rFonts w:ascii="Arial" w:hAnsi="Arial" w:cs="Arial"/>
                <w:sz w:val="20"/>
              </w:rPr>
            </w:pPr>
            <w:r w:rsidRPr="0031485E">
              <w:rPr>
                <w:rFonts w:ascii="Arial" w:hAnsi="Arial" w:cs="Arial"/>
                <w:sz w:val="20"/>
              </w:rPr>
              <w:t>5651</w:t>
            </w:r>
          </w:p>
        </w:tc>
        <w:tc>
          <w:tcPr>
            <w:tcW w:w="939" w:type="dxa"/>
            <w:tcBorders>
              <w:top w:val="single" w:sz="12" w:space="0" w:color="auto"/>
              <w:left w:val="single" w:sz="12" w:space="0" w:color="auto"/>
              <w:bottom w:val="single" w:sz="12" w:space="0" w:color="auto"/>
              <w:right w:val="single" w:sz="12" w:space="0" w:color="auto"/>
            </w:tcBorders>
          </w:tcPr>
          <w:p w14:paraId="123C86B0" w14:textId="65FC21E4" w:rsidR="007A1953" w:rsidRPr="00AF442F" w:rsidRDefault="00AF442F" w:rsidP="00125A58">
            <w:pPr>
              <w:jc w:val="right"/>
              <w:rPr>
                <w:rFonts w:ascii="Arial" w:hAnsi="Arial" w:cs="Arial"/>
                <w:sz w:val="20"/>
              </w:rPr>
            </w:pPr>
            <w:r w:rsidRPr="00AF442F">
              <w:rPr>
                <w:rFonts w:ascii="Arial" w:hAnsi="Arial" w:cs="Arial"/>
                <w:sz w:val="20"/>
              </w:rPr>
              <w:t>5398</w:t>
            </w:r>
          </w:p>
        </w:tc>
        <w:tc>
          <w:tcPr>
            <w:tcW w:w="939" w:type="dxa"/>
            <w:tcBorders>
              <w:top w:val="single" w:sz="12" w:space="0" w:color="auto"/>
              <w:left w:val="single" w:sz="12" w:space="0" w:color="auto"/>
              <w:bottom w:val="single" w:sz="12" w:space="0" w:color="auto"/>
              <w:right w:val="single" w:sz="12" w:space="0" w:color="auto"/>
            </w:tcBorders>
          </w:tcPr>
          <w:p w14:paraId="3707CCBA" w14:textId="310E819A" w:rsidR="007A1953" w:rsidRDefault="007A1953" w:rsidP="00125A58">
            <w:pPr>
              <w:jc w:val="right"/>
              <w:rPr>
                <w:rFonts w:ascii="Arial" w:hAnsi="Arial" w:cs="Arial"/>
                <w:b/>
                <w:bCs/>
                <w:sz w:val="20"/>
              </w:rPr>
            </w:pPr>
          </w:p>
        </w:tc>
        <w:tc>
          <w:tcPr>
            <w:tcW w:w="939" w:type="dxa"/>
            <w:tcBorders>
              <w:top w:val="single" w:sz="12" w:space="0" w:color="auto"/>
              <w:left w:val="single" w:sz="12" w:space="0" w:color="auto"/>
              <w:bottom w:val="single" w:sz="12" w:space="0" w:color="auto"/>
              <w:right w:val="single" w:sz="12" w:space="0" w:color="auto"/>
            </w:tcBorders>
          </w:tcPr>
          <w:p w14:paraId="4145DDA7" w14:textId="4EC32FD3" w:rsidR="007A1953" w:rsidRDefault="007A1953" w:rsidP="00125A58">
            <w:pPr>
              <w:jc w:val="right"/>
              <w:rPr>
                <w:rFonts w:ascii="Arial" w:hAnsi="Arial" w:cs="Arial"/>
                <w:b/>
                <w:bCs/>
                <w:sz w:val="20"/>
              </w:rPr>
            </w:pPr>
          </w:p>
        </w:tc>
        <w:tc>
          <w:tcPr>
            <w:tcW w:w="939" w:type="dxa"/>
            <w:tcBorders>
              <w:top w:val="single" w:sz="12" w:space="0" w:color="auto"/>
              <w:left w:val="single" w:sz="12" w:space="0" w:color="auto"/>
              <w:bottom w:val="single" w:sz="12" w:space="0" w:color="auto"/>
              <w:right w:val="single" w:sz="12" w:space="0" w:color="auto"/>
            </w:tcBorders>
          </w:tcPr>
          <w:p w14:paraId="30552098" w14:textId="037230B5" w:rsidR="007A1953" w:rsidRDefault="007A1953" w:rsidP="00125A58">
            <w:pPr>
              <w:jc w:val="right"/>
              <w:rPr>
                <w:rFonts w:ascii="Arial" w:hAnsi="Arial" w:cs="Arial"/>
                <w:b/>
                <w:bCs/>
                <w:sz w:val="20"/>
              </w:rPr>
            </w:pPr>
          </w:p>
        </w:tc>
        <w:tc>
          <w:tcPr>
            <w:tcW w:w="939" w:type="dxa"/>
            <w:tcBorders>
              <w:top w:val="single" w:sz="12" w:space="0" w:color="auto"/>
              <w:left w:val="single" w:sz="12" w:space="0" w:color="auto"/>
              <w:bottom w:val="single" w:sz="12" w:space="0" w:color="auto"/>
              <w:right w:val="single" w:sz="12" w:space="0" w:color="auto"/>
            </w:tcBorders>
          </w:tcPr>
          <w:p w14:paraId="4CD0214A" w14:textId="49A2BE7A" w:rsidR="007A1953" w:rsidRDefault="007A1953" w:rsidP="00125A58">
            <w:pPr>
              <w:jc w:val="right"/>
              <w:rPr>
                <w:rFonts w:ascii="Arial" w:hAnsi="Arial" w:cs="Arial"/>
                <w:b/>
                <w:bCs/>
                <w:sz w:val="20"/>
              </w:rPr>
            </w:pPr>
          </w:p>
        </w:tc>
        <w:tc>
          <w:tcPr>
            <w:tcW w:w="939" w:type="dxa"/>
            <w:tcBorders>
              <w:top w:val="single" w:sz="12" w:space="0" w:color="auto"/>
              <w:left w:val="single" w:sz="12" w:space="0" w:color="auto"/>
              <w:bottom w:val="single" w:sz="12" w:space="0" w:color="auto"/>
              <w:right w:val="single" w:sz="12" w:space="0" w:color="auto"/>
            </w:tcBorders>
          </w:tcPr>
          <w:p w14:paraId="6799E4F4" w14:textId="69A0672B" w:rsidR="007A1953" w:rsidRDefault="007A1953" w:rsidP="00125A58">
            <w:pPr>
              <w:jc w:val="right"/>
              <w:rPr>
                <w:rFonts w:ascii="Arial" w:hAnsi="Arial" w:cs="Arial"/>
                <w:b/>
                <w:bCs/>
                <w:sz w:val="20"/>
              </w:rPr>
            </w:pPr>
          </w:p>
        </w:tc>
      </w:tr>
    </w:tbl>
    <w:p w14:paraId="6F5B246C" w14:textId="77777777" w:rsidR="007A1953" w:rsidRPr="00687E03" w:rsidRDefault="007A1953" w:rsidP="00687E03">
      <w:pPr>
        <w:jc w:val="both"/>
        <w:rPr>
          <w:rFonts w:ascii="Arial" w:hAnsi="Arial" w:cs="Arial"/>
          <w:sz w:val="12"/>
          <w:szCs w:val="16"/>
        </w:rPr>
      </w:pPr>
    </w:p>
    <w:tbl>
      <w:tblPr>
        <w:tblStyle w:val="TableGrid"/>
        <w:tblW w:w="9071" w:type="dxa"/>
        <w:tblLook w:val="04A0" w:firstRow="1" w:lastRow="0" w:firstColumn="1" w:lastColumn="0" w:noHBand="0" w:noVBand="1"/>
      </w:tblPr>
      <w:tblGrid>
        <w:gridCol w:w="1531"/>
        <w:gridCol w:w="939"/>
        <w:gridCol w:w="939"/>
        <w:gridCol w:w="939"/>
        <w:gridCol w:w="939"/>
        <w:gridCol w:w="939"/>
        <w:gridCol w:w="939"/>
        <w:gridCol w:w="939"/>
        <w:gridCol w:w="939"/>
        <w:gridCol w:w="28"/>
      </w:tblGrid>
      <w:tr w:rsidR="00681DD6" w:rsidRPr="009C44AF" w14:paraId="05F5E70D" w14:textId="77777777" w:rsidTr="00681DD6">
        <w:tc>
          <w:tcPr>
            <w:tcW w:w="9071" w:type="dxa"/>
            <w:gridSpan w:val="10"/>
            <w:tcBorders>
              <w:top w:val="single" w:sz="12" w:space="0" w:color="auto"/>
              <w:left w:val="single" w:sz="12" w:space="0" w:color="auto"/>
              <w:bottom w:val="single" w:sz="12" w:space="0" w:color="auto"/>
              <w:right w:val="single" w:sz="12" w:space="0" w:color="auto"/>
            </w:tcBorders>
            <w:shd w:val="clear" w:color="auto" w:fill="000000" w:themeFill="text1"/>
          </w:tcPr>
          <w:p w14:paraId="3F5DA0FD" w14:textId="5D493B42" w:rsidR="00681DD6" w:rsidRPr="009C44AF" w:rsidRDefault="007A1953" w:rsidP="00125A58">
            <w:pPr>
              <w:jc w:val="center"/>
              <w:rPr>
                <w:rFonts w:ascii="Arial" w:hAnsi="Arial" w:cs="Arial"/>
                <w:b/>
                <w:bCs/>
                <w:sz w:val="20"/>
              </w:rPr>
            </w:pPr>
            <w:r>
              <w:rPr>
                <w:rFonts w:ascii="Arial" w:hAnsi="Arial" w:cs="Arial"/>
                <w:b/>
                <w:bCs/>
                <w:sz w:val="20"/>
              </w:rPr>
              <w:t xml:space="preserve">STATE-WIDE </w:t>
            </w:r>
            <w:r w:rsidR="00687E03">
              <w:rPr>
                <w:rFonts w:ascii="Arial" w:hAnsi="Arial" w:cs="Arial"/>
                <w:b/>
                <w:bCs/>
                <w:sz w:val="20"/>
              </w:rPr>
              <w:t xml:space="preserve">PROCESSING </w:t>
            </w:r>
            <w:r w:rsidR="00681DD6" w:rsidRPr="009C44AF">
              <w:rPr>
                <w:rFonts w:ascii="Arial" w:hAnsi="Arial" w:cs="Arial"/>
                <w:b/>
                <w:bCs/>
                <w:sz w:val="20"/>
              </w:rPr>
              <w:t xml:space="preserve">STATISTICS </w:t>
            </w:r>
            <w:r>
              <w:rPr>
                <w:rFonts w:ascii="Arial" w:hAnsi="Arial" w:cs="Arial"/>
                <w:b/>
                <w:bCs/>
                <w:sz w:val="20"/>
              </w:rPr>
              <w:t xml:space="preserve">– CRIMINAL </w:t>
            </w:r>
            <w:r w:rsidR="00681DD6">
              <w:rPr>
                <w:rFonts w:ascii="Arial" w:hAnsi="Arial" w:cs="Arial"/>
                <w:b/>
                <w:bCs/>
                <w:sz w:val="20"/>
              </w:rPr>
              <w:t>CASES</w:t>
            </w:r>
            <w:r w:rsidR="00302DA0">
              <w:rPr>
                <w:rFonts w:ascii="Arial" w:hAnsi="Arial" w:cs="Arial"/>
                <w:b/>
                <w:bCs/>
                <w:sz w:val="20"/>
              </w:rPr>
              <w:t xml:space="preserve"> – 2016/17 to 2023/24</w:t>
            </w:r>
          </w:p>
        </w:tc>
      </w:tr>
      <w:tr w:rsidR="007A1953" w:rsidRPr="009C44AF" w14:paraId="35BED347" w14:textId="77777777" w:rsidTr="00687E03">
        <w:trPr>
          <w:gridAfter w:val="1"/>
          <w:wAfter w:w="28" w:type="dxa"/>
        </w:trPr>
        <w:tc>
          <w:tcPr>
            <w:tcW w:w="1531" w:type="dxa"/>
            <w:tcBorders>
              <w:top w:val="single" w:sz="12" w:space="0" w:color="auto"/>
              <w:left w:val="single" w:sz="12" w:space="0" w:color="auto"/>
              <w:bottom w:val="single" w:sz="12" w:space="0" w:color="auto"/>
              <w:right w:val="single" w:sz="12" w:space="0" w:color="auto"/>
            </w:tcBorders>
            <w:shd w:val="clear" w:color="auto" w:fill="DDDDDD"/>
          </w:tcPr>
          <w:p w14:paraId="109825A5" w14:textId="5C6DC111" w:rsidR="007A1953" w:rsidRDefault="007A1953" w:rsidP="00125A58">
            <w:pPr>
              <w:jc w:val="center"/>
              <w:rPr>
                <w:rFonts w:ascii="Arial" w:hAnsi="Arial" w:cs="Arial"/>
                <w:b/>
                <w:bCs/>
                <w:sz w:val="20"/>
              </w:rPr>
            </w:pPr>
          </w:p>
        </w:tc>
        <w:tc>
          <w:tcPr>
            <w:tcW w:w="939" w:type="dxa"/>
            <w:tcBorders>
              <w:top w:val="single" w:sz="12" w:space="0" w:color="auto"/>
              <w:left w:val="single" w:sz="12" w:space="0" w:color="auto"/>
              <w:bottom w:val="single" w:sz="12" w:space="0" w:color="auto"/>
              <w:right w:val="single" w:sz="12" w:space="0" w:color="auto"/>
            </w:tcBorders>
            <w:shd w:val="clear" w:color="auto" w:fill="DDDDDD"/>
          </w:tcPr>
          <w:p w14:paraId="37E8F319" w14:textId="73AF20CE" w:rsidR="007A1953" w:rsidRDefault="007A1953" w:rsidP="00125A58">
            <w:pPr>
              <w:jc w:val="center"/>
              <w:rPr>
                <w:rFonts w:ascii="Arial" w:hAnsi="Arial" w:cs="Arial"/>
                <w:b/>
                <w:bCs/>
                <w:sz w:val="20"/>
              </w:rPr>
            </w:pPr>
            <w:r>
              <w:rPr>
                <w:rFonts w:ascii="Arial" w:hAnsi="Arial" w:cs="Arial"/>
                <w:b/>
                <w:bCs/>
                <w:sz w:val="20"/>
              </w:rPr>
              <w:t>2016/17</w:t>
            </w:r>
          </w:p>
        </w:tc>
        <w:tc>
          <w:tcPr>
            <w:tcW w:w="939" w:type="dxa"/>
            <w:tcBorders>
              <w:top w:val="single" w:sz="12" w:space="0" w:color="auto"/>
              <w:left w:val="single" w:sz="12" w:space="0" w:color="auto"/>
              <w:bottom w:val="single" w:sz="12" w:space="0" w:color="auto"/>
              <w:right w:val="single" w:sz="12" w:space="0" w:color="auto"/>
            </w:tcBorders>
            <w:shd w:val="clear" w:color="auto" w:fill="DDDDDD"/>
          </w:tcPr>
          <w:p w14:paraId="7EC2DCD8" w14:textId="573DEB2A" w:rsidR="007A1953" w:rsidRDefault="007A1953" w:rsidP="00125A58">
            <w:pPr>
              <w:jc w:val="center"/>
              <w:rPr>
                <w:rFonts w:ascii="Arial" w:hAnsi="Arial" w:cs="Arial"/>
                <w:b/>
                <w:bCs/>
                <w:sz w:val="20"/>
              </w:rPr>
            </w:pPr>
            <w:r>
              <w:rPr>
                <w:rFonts w:ascii="Arial" w:hAnsi="Arial" w:cs="Arial"/>
                <w:b/>
                <w:bCs/>
                <w:sz w:val="20"/>
              </w:rPr>
              <w:t>2017/18</w:t>
            </w:r>
          </w:p>
        </w:tc>
        <w:tc>
          <w:tcPr>
            <w:tcW w:w="939" w:type="dxa"/>
            <w:tcBorders>
              <w:top w:val="single" w:sz="12" w:space="0" w:color="auto"/>
              <w:left w:val="single" w:sz="12" w:space="0" w:color="auto"/>
              <w:bottom w:val="single" w:sz="12" w:space="0" w:color="auto"/>
              <w:right w:val="single" w:sz="12" w:space="0" w:color="auto"/>
            </w:tcBorders>
            <w:shd w:val="clear" w:color="auto" w:fill="DDDDDD"/>
          </w:tcPr>
          <w:p w14:paraId="149F57B6" w14:textId="1D5CE38A" w:rsidR="007A1953" w:rsidRDefault="007A1953" w:rsidP="00125A58">
            <w:pPr>
              <w:jc w:val="center"/>
              <w:rPr>
                <w:rFonts w:ascii="Arial" w:hAnsi="Arial" w:cs="Arial"/>
                <w:b/>
                <w:bCs/>
                <w:sz w:val="20"/>
              </w:rPr>
            </w:pPr>
            <w:r>
              <w:rPr>
                <w:rFonts w:ascii="Arial" w:hAnsi="Arial" w:cs="Arial"/>
                <w:b/>
                <w:bCs/>
                <w:sz w:val="20"/>
              </w:rPr>
              <w:t>2018/19</w:t>
            </w:r>
          </w:p>
        </w:tc>
        <w:tc>
          <w:tcPr>
            <w:tcW w:w="939" w:type="dxa"/>
            <w:tcBorders>
              <w:top w:val="single" w:sz="12" w:space="0" w:color="auto"/>
              <w:left w:val="single" w:sz="12" w:space="0" w:color="auto"/>
              <w:bottom w:val="single" w:sz="12" w:space="0" w:color="auto"/>
              <w:right w:val="single" w:sz="12" w:space="0" w:color="auto"/>
            </w:tcBorders>
            <w:shd w:val="clear" w:color="auto" w:fill="DDDDDD"/>
          </w:tcPr>
          <w:p w14:paraId="3FF4A3BB" w14:textId="49B96E05" w:rsidR="007A1953" w:rsidRDefault="007A1953" w:rsidP="00125A58">
            <w:pPr>
              <w:jc w:val="center"/>
              <w:rPr>
                <w:rFonts w:ascii="Arial" w:hAnsi="Arial" w:cs="Arial"/>
                <w:b/>
                <w:bCs/>
                <w:sz w:val="20"/>
              </w:rPr>
            </w:pPr>
            <w:r>
              <w:rPr>
                <w:rFonts w:ascii="Arial" w:hAnsi="Arial" w:cs="Arial"/>
                <w:b/>
                <w:bCs/>
                <w:sz w:val="20"/>
              </w:rPr>
              <w:t>2019/20</w:t>
            </w:r>
          </w:p>
        </w:tc>
        <w:tc>
          <w:tcPr>
            <w:tcW w:w="939" w:type="dxa"/>
            <w:tcBorders>
              <w:top w:val="single" w:sz="12" w:space="0" w:color="auto"/>
              <w:left w:val="single" w:sz="12" w:space="0" w:color="auto"/>
              <w:bottom w:val="single" w:sz="12" w:space="0" w:color="auto"/>
              <w:right w:val="single" w:sz="12" w:space="0" w:color="auto"/>
            </w:tcBorders>
            <w:shd w:val="clear" w:color="auto" w:fill="DDDDDD"/>
          </w:tcPr>
          <w:p w14:paraId="273A02C5" w14:textId="11AD95D5" w:rsidR="007A1953" w:rsidRDefault="007A1953" w:rsidP="00125A58">
            <w:pPr>
              <w:jc w:val="center"/>
              <w:rPr>
                <w:rFonts w:ascii="Arial" w:hAnsi="Arial" w:cs="Arial"/>
                <w:b/>
                <w:bCs/>
                <w:sz w:val="20"/>
              </w:rPr>
            </w:pPr>
            <w:r>
              <w:rPr>
                <w:rFonts w:ascii="Arial" w:hAnsi="Arial" w:cs="Arial"/>
                <w:b/>
                <w:bCs/>
                <w:sz w:val="20"/>
              </w:rPr>
              <w:t>2020/21</w:t>
            </w:r>
          </w:p>
        </w:tc>
        <w:tc>
          <w:tcPr>
            <w:tcW w:w="939" w:type="dxa"/>
            <w:tcBorders>
              <w:top w:val="single" w:sz="12" w:space="0" w:color="auto"/>
              <w:left w:val="single" w:sz="12" w:space="0" w:color="auto"/>
              <w:bottom w:val="single" w:sz="12" w:space="0" w:color="auto"/>
              <w:right w:val="single" w:sz="12" w:space="0" w:color="auto"/>
            </w:tcBorders>
            <w:shd w:val="clear" w:color="auto" w:fill="DDDDDD"/>
          </w:tcPr>
          <w:p w14:paraId="7788FE21" w14:textId="38C2E733" w:rsidR="007A1953" w:rsidRDefault="007A1953" w:rsidP="00125A58">
            <w:pPr>
              <w:jc w:val="center"/>
              <w:rPr>
                <w:rFonts w:ascii="Arial" w:hAnsi="Arial" w:cs="Arial"/>
                <w:b/>
                <w:bCs/>
                <w:sz w:val="20"/>
              </w:rPr>
            </w:pPr>
            <w:r>
              <w:rPr>
                <w:rFonts w:ascii="Arial" w:hAnsi="Arial" w:cs="Arial"/>
                <w:b/>
                <w:bCs/>
                <w:sz w:val="20"/>
              </w:rPr>
              <w:t>2021/22</w:t>
            </w:r>
          </w:p>
        </w:tc>
        <w:tc>
          <w:tcPr>
            <w:tcW w:w="939" w:type="dxa"/>
            <w:tcBorders>
              <w:top w:val="single" w:sz="12" w:space="0" w:color="auto"/>
              <w:left w:val="single" w:sz="12" w:space="0" w:color="auto"/>
              <w:bottom w:val="single" w:sz="12" w:space="0" w:color="auto"/>
              <w:right w:val="single" w:sz="12" w:space="0" w:color="auto"/>
            </w:tcBorders>
            <w:shd w:val="clear" w:color="auto" w:fill="DDDDDD"/>
          </w:tcPr>
          <w:p w14:paraId="5D8A2B87" w14:textId="77A73568" w:rsidR="007A1953" w:rsidRDefault="007A1953" w:rsidP="00125A58">
            <w:pPr>
              <w:jc w:val="center"/>
              <w:rPr>
                <w:rFonts w:ascii="Arial" w:hAnsi="Arial" w:cs="Arial"/>
                <w:b/>
                <w:bCs/>
                <w:sz w:val="20"/>
              </w:rPr>
            </w:pPr>
            <w:r>
              <w:rPr>
                <w:rFonts w:ascii="Arial" w:hAnsi="Arial" w:cs="Arial"/>
                <w:b/>
                <w:bCs/>
                <w:sz w:val="20"/>
              </w:rPr>
              <w:t>2022/23</w:t>
            </w:r>
          </w:p>
        </w:tc>
        <w:tc>
          <w:tcPr>
            <w:tcW w:w="939" w:type="dxa"/>
            <w:tcBorders>
              <w:top w:val="single" w:sz="12" w:space="0" w:color="auto"/>
              <w:left w:val="single" w:sz="12" w:space="0" w:color="auto"/>
              <w:bottom w:val="single" w:sz="12" w:space="0" w:color="auto"/>
              <w:right w:val="single" w:sz="12" w:space="0" w:color="auto"/>
            </w:tcBorders>
            <w:shd w:val="clear" w:color="auto" w:fill="DDDDDD"/>
          </w:tcPr>
          <w:p w14:paraId="16221CFD" w14:textId="0DAEE794" w:rsidR="007A1953" w:rsidRDefault="007A1953" w:rsidP="00125A58">
            <w:pPr>
              <w:jc w:val="center"/>
              <w:rPr>
                <w:rFonts w:ascii="Arial" w:hAnsi="Arial" w:cs="Arial"/>
                <w:b/>
                <w:bCs/>
                <w:sz w:val="20"/>
              </w:rPr>
            </w:pPr>
            <w:r>
              <w:rPr>
                <w:rFonts w:ascii="Arial" w:hAnsi="Arial" w:cs="Arial"/>
                <w:b/>
                <w:bCs/>
                <w:sz w:val="20"/>
              </w:rPr>
              <w:t>2023/24</w:t>
            </w:r>
          </w:p>
        </w:tc>
      </w:tr>
      <w:tr w:rsidR="007A1953" w:rsidRPr="009C44AF" w14:paraId="0D85554B" w14:textId="77777777" w:rsidTr="007A1953">
        <w:trPr>
          <w:gridAfter w:val="1"/>
          <w:wAfter w:w="28" w:type="dxa"/>
        </w:trPr>
        <w:tc>
          <w:tcPr>
            <w:tcW w:w="1531" w:type="dxa"/>
            <w:tcBorders>
              <w:top w:val="single" w:sz="12" w:space="0" w:color="auto"/>
              <w:left w:val="single" w:sz="12" w:space="0" w:color="auto"/>
              <w:bottom w:val="single" w:sz="12" w:space="0" w:color="auto"/>
              <w:right w:val="single" w:sz="12" w:space="0" w:color="auto"/>
            </w:tcBorders>
            <w:shd w:val="clear" w:color="auto" w:fill="DDDDDD"/>
          </w:tcPr>
          <w:p w14:paraId="3741FEAB" w14:textId="2AB73532" w:rsidR="007A1953" w:rsidRDefault="007A1953" w:rsidP="00125A58">
            <w:pPr>
              <w:jc w:val="center"/>
              <w:rPr>
                <w:rFonts w:ascii="Arial" w:hAnsi="Arial" w:cs="Arial"/>
                <w:b/>
                <w:bCs/>
                <w:sz w:val="20"/>
              </w:rPr>
            </w:pPr>
            <w:r>
              <w:rPr>
                <w:rFonts w:ascii="Arial" w:hAnsi="Arial" w:cs="Arial"/>
                <w:b/>
                <w:bCs/>
                <w:sz w:val="20"/>
              </w:rPr>
              <w:t>Initiations</w:t>
            </w:r>
          </w:p>
        </w:tc>
        <w:tc>
          <w:tcPr>
            <w:tcW w:w="939" w:type="dxa"/>
            <w:tcBorders>
              <w:top w:val="single" w:sz="12" w:space="0" w:color="auto"/>
              <w:left w:val="single" w:sz="12" w:space="0" w:color="auto"/>
              <w:bottom w:val="single" w:sz="12" w:space="0" w:color="auto"/>
              <w:right w:val="single" w:sz="12" w:space="0" w:color="auto"/>
            </w:tcBorders>
          </w:tcPr>
          <w:p w14:paraId="79D3B791" w14:textId="7C87E762" w:rsidR="007A1953" w:rsidRPr="0031485E" w:rsidRDefault="007A1953" w:rsidP="007A1953">
            <w:pPr>
              <w:jc w:val="right"/>
              <w:rPr>
                <w:rFonts w:ascii="Arial" w:hAnsi="Arial" w:cs="Arial"/>
                <w:sz w:val="20"/>
              </w:rPr>
            </w:pPr>
            <w:r w:rsidRPr="0031485E">
              <w:rPr>
                <w:rFonts w:ascii="Arial" w:hAnsi="Arial" w:cs="Arial"/>
                <w:sz w:val="20"/>
              </w:rPr>
              <w:t>10477</w:t>
            </w:r>
          </w:p>
        </w:tc>
        <w:tc>
          <w:tcPr>
            <w:tcW w:w="939" w:type="dxa"/>
            <w:tcBorders>
              <w:top w:val="single" w:sz="12" w:space="0" w:color="auto"/>
              <w:left w:val="single" w:sz="12" w:space="0" w:color="auto"/>
              <w:bottom w:val="single" w:sz="12" w:space="0" w:color="auto"/>
              <w:right w:val="single" w:sz="12" w:space="0" w:color="auto"/>
            </w:tcBorders>
          </w:tcPr>
          <w:p w14:paraId="4A362086" w14:textId="3A1FA2E9" w:rsidR="007A1953" w:rsidRPr="0031485E" w:rsidRDefault="007A1953" w:rsidP="007A1953">
            <w:pPr>
              <w:jc w:val="right"/>
              <w:rPr>
                <w:rFonts w:ascii="Arial" w:hAnsi="Arial" w:cs="Arial"/>
                <w:sz w:val="20"/>
              </w:rPr>
            </w:pPr>
            <w:r w:rsidRPr="0031485E">
              <w:rPr>
                <w:rFonts w:ascii="Arial" w:hAnsi="Arial" w:cs="Arial"/>
                <w:sz w:val="20"/>
              </w:rPr>
              <w:t>9277</w:t>
            </w:r>
          </w:p>
        </w:tc>
        <w:tc>
          <w:tcPr>
            <w:tcW w:w="939" w:type="dxa"/>
            <w:tcBorders>
              <w:top w:val="single" w:sz="12" w:space="0" w:color="auto"/>
              <w:left w:val="single" w:sz="12" w:space="0" w:color="auto"/>
              <w:bottom w:val="single" w:sz="12" w:space="0" w:color="auto"/>
              <w:right w:val="single" w:sz="12" w:space="0" w:color="auto"/>
            </w:tcBorders>
          </w:tcPr>
          <w:p w14:paraId="198A8F6C" w14:textId="4419A5F7" w:rsidR="007A1953" w:rsidRPr="0031485E" w:rsidRDefault="007A1953" w:rsidP="007A1953">
            <w:pPr>
              <w:jc w:val="right"/>
              <w:rPr>
                <w:rFonts w:ascii="Arial" w:hAnsi="Arial" w:cs="Arial"/>
                <w:sz w:val="20"/>
              </w:rPr>
            </w:pPr>
            <w:r w:rsidRPr="0031485E">
              <w:rPr>
                <w:rFonts w:ascii="Arial" w:hAnsi="Arial" w:cs="Arial"/>
                <w:sz w:val="20"/>
              </w:rPr>
              <w:t>9339</w:t>
            </w:r>
          </w:p>
        </w:tc>
        <w:tc>
          <w:tcPr>
            <w:tcW w:w="939" w:type="dxa"/>
            <w:tcBorders>
              <w:top w:val="single" w:sz="12" w:space="0" w:color="auto"/>
              <w:left w:val="single" w:sz="12" w:space="0" w:color="auto"/>
              <w:bottom w:val="single" w:sz="12" w:space="0" w:color="auto"/>
              <w:right w:val="single" w:sz="12" w:space="0" w:color="auto"/>
            </w:tcBorders>
          </w:tcPr>
          <w:p w14:paraId="73ACD46F" w14:textId="7AEF3170" w:rsidR="007A1953" w:rsidRPr="0031485E" w:rsidRDefault="007A1953" w:rsidP="007A1953">
            <w:pPr>
              <w:jc w:val="right"/>
              <w:rPr>
                <w:rFonts w:ascii="Arial" w:hAnsi="Arial" w:cs="Arial"/>
                <w:sz w:val="20"/>
              </w:rPr>
            </w:pPr>
            <w:r w:rsidRPr="0031485E">
              <w:rPr>
                <w:rFonts w:ascii="Arial" w:hAnsi="Arial" w:cs="Arial"/>
                <w:sz w:val="20"/>
              </w:rPr>
              <w:t>10154</w:t>
            </w:r>
          </w:p>
        </w:tc>
        <w:tc>
          <w:tcPr>
            <w:tcW w:w="939" w:type="dxa"/>
            <w:tcBorders>
              <w:top w:val="single" w:sz="12" w:space="0" w:color="auto"/>
              <w:left w:val="single" w:sz="12" w:space="0" w:color="auto"/>
              <w:bottom w:val="single" w:sz="12" w:space="0" w:color="auto"/>
              <w:right w:val="single" w:sz="12" w:space="0" w:color="auto"/>
            </w:tcBorders>
          </w:tcPr>
          <w:p w14:paraId="485E9AFD" w14:textId="7F2B10CE" w:rsidR="007A1953" w:rsidRPr="0031485E" w:rsidRDefault="007A1953" w:rsidP="007A1953">
            <w:pPr>
              <w:jc w:val="right"/>
              <w:rPr>
                <w:rFonts w:ascii="Arial" w:hAnsi="Arial" w:cs="Arial"/>
                <w:sz w:val="20"/>
              </w:rPr>
            </w:pPr>
            <w:r w:rsidRPr="0031485E">
              <w:rPr>
                <w:rFonts w:ascii="Arial" w:hAnsi="Arial" w:cs="Arial"/>
                <w:sz w:val="20"/>
              </w:rPr>
              <w:t>7715</w:t>
            </w:r>
          </w:p>
        </w:tc>
        <w:tc>
          <w:tcPr>
            <w:tcW w:w="939" w:type="dxa"/>
            <w:tcBorders>
              <w:top w:val="single" w:sz="12" w:space="0" w:color="auto"/>
              <w:left w:val="single" w:sz="12" w:space="0" w:color="auto"/>
              <w:bottom w:val="single" w:sz="12" w:space="0" w:color="auto"/>
              <w:right w:val="single" w:sz="12" w:space="0" w:color="auto"/>
            </w:tcBorders>
          </w:tcPr>
          <w:p w14:paraId="706CAEB4" w14:textId="4E21AAC3" w:rsidR="007A1953" w:rsidRPr="0031485E" w:rsidRDefault="007A1953" w:rsidP="007A1953">
            <w:pPr>
              <w:jc w:val="right"/>
              <w:rPr>
                <w:rFonts w:ascii="Arial" w:hAnsi="Arial" w:cs="Arial"/>
                <w:sz w:val="20"/>
              </w:rPr>
            </w:pPr>
            <w:r w:rsidRPr="0031485E">
              <w:rPr>
                <w:rFonts w:ascii="Arial" w:hAnsi="Arial" w:cs="Arial"/>
                <w:sz w:val="20"/>
              </w:rPr>
              <w:t>6683</w:t>
            </w:r>
          </w:p>
        </w:tc>
        <w:tc>
          <w:tcPr>
            <w:tcW w:w="939" w:type="dxa"/>
            <w:tcBorders>
              <w:top w:val="single" w:sz="12" w:space="0" w:color="auto"/>
              <w:left w:val="single" w:sz="12" w:space="0" w:color="auto"/>
              <w:bottom w:val="single" w:sz="12" w:space="0" w:color="auto"/>
              <w:right w:val="single" w:sz="12" w:space="0" w:color="auto"/>
            </w:tcBorders>
          </w:tcPr>
          <w:p w14:paraId="14772495" w14:textId="1567A88D" w:rsidR="007A1953" w:rsidRPr="0031485E" w:rsidRDefault="007A1953" w:rsidP="007A1953">
            <w:pPr>
              <w:jc w:val="right"/>
              <w:rPr>
                <w:rFonts w:ascii="Arial" w:hAnsi="Arial" w:cs="Arial"/>
                <w:sz w:val="20"/>
              </w:rPr>
            </w:pPr>
            <w:r w:rsidRPr="0031485E">
              <w:rPr>
                <w:rFonts w:ascii="Arial" w:hAnsi="Arial" w:cs="Arial"/>
                <w:sz w:val="20"/>
              </w:rPr>
              <w:t>7458</w:t>
            </w:r>
          </w:p>
        </w:tc>
        <w:tc>
          <w:tcPr>
            <w:tcW w:w="939" w:type="dxa"/>
            <w:tcBorders>
              <w:top w:val="single" w:sz="12" w:space="0" w:color="auto"/>
              <w:left w:val="single" w:sz="12" w:space="0" w:color="auto"/>
              <w:bottom w:val="single" w:sz="12" w:space="0" w:color="auto"/>
              <w:right w:val="single" w:sz="12" w:space="0" w:color="auto"/>
            </w:tcBorders>
          </w:tcPr>
          <w:p w14:paraId="39C31EE7" w14:textId="0136B362" w:rsidR="007A1953" w:rsidRPr="0031485E" w:rsidRDefault="007A1953" w:rsidP="007A1953">
            <w:pPr>
              <w:jc w:val="right"/>
              <w:rPr>
                <w:rFonts w:ascii="Arial" w:hAnsi="Arial" w:cs="Arial"/>
                <w:sz w:val="20"/>
              </w:rPr>
            </w:pPr>
            <w:r w:rsidRPr="0031485E">
              <w:rPr>
                <w:rFonts w:ascii="Arial" w:hAnsi="Arial" w:cs="Arial"/>
                <w:sz w:val="20"/>
              </w:rPr>
              <w:t>7266</w:t>
            </w:r>
          </w:p>
        </w:tc>
      </w:tr>
      <w:tr w:rsidR="007A1953" w:rsidRPr="009C44AF" w14:paraId="0343A804" w14:textId="77777777" w:rsidTr="007A1953">
        <w:trPr>
          <w:gridAfter w:val="1"/>
          <w:wAfter w:w="28" w:type="dxa"/>
        </w:trPr>
        <w:tc>
          <w:tcPr>
            <w:tcW w:w="1531" w:type="dxa"/>
            <w:tcBorders>
              <w:top w:val="single" w:sz="12" w:space="0" w:color="auto"/>
              <w:left w:val="single" w:sz="12" w:space="0" w:color="auto"/>
              <w:bottom w:val="single" w:sz="12" w:space="0" w:color="auto"/>
              <w:right w:val="single" w:sz="12" w:space="0" w:color="auto"/>
            </w:tcBorders>
            <w:shd w:val="clear" w:color="auto" w:fill="DDDDDD"/>
          </w:tcPr>
          <w:p w14:paraId="06F33BBE" w14:textId="41C3FAE3" w:rsidR="007A1953" w:rsidRDefault="007A1953" w:rsidP="00125A58">
            <w:pPr>
              <w:jc w:val="center"/>
              <w:rPr>
                <w:rFonts w:ascii="Arial" w:hAnsi="Arial" w:cs="Arial"/>
                <w:b/>
                <w:bCs/>
                <w:sz w:val="20"/>
              </w:rPr>
            </w:pPr>
            <w:r>
              <w:rPr>
                <w:rFonts w:ascii="Arial" w:hAnsi="Arial" w:cs="Arial"/>
                <w:b/>
                <w:bCs/>
                <w:sz w:val="20"/>
              </w:rPr>
              <w:t>Finalisations</w:t>
            </w:r>
          </w:p>
        </w:tc>
        <w:tc>
          <w:tcPr>
            <w:tcW w:w="939" w:type="dxa"/>
            <w:tcBorders>
              <w:top w:val="single" w:sz="12" w:space="0" w:color="auto"/>
              <w:left w:val="single" w:sz="12" w:space="0" w:color="auto"/>
              <w:bottom w:val="single" w:sz="12" w:space="0" w:color="auto"/>
              <w:right w:val="single" w:sz="12" w:space="0" w:color="auto"/>
            </w:tcBorders>
          </w:tcPr>
          <w:p w14:paraId="3C479881" w14:textId="763FCD94" w:rsidR="007A1953" w:rsidRPr="0031485E" w:rsidRDefault="007A1953" w:rsidP="007A1953">
            <w:pPr>
              <w:jc w:val="right"/>
              <w:rPr>
                <w:rFonts w:ascii="Arial" w:hAnsi="Arial" w:cs="Arial"/>
                <w:sz w:val="20"/>
              </w:rPr>
            </w:pPr>
            <w:r w:rsidRPr="0031485E">
              <w:rPr>
                <w:rFonts w:ascii="Arial" w:hAnsi="Arial" w:cs="Arial"/>
                <w:sz w:val="20"/>
              </w:rPr>
              <w:t>12201</w:t>
            </w:r>
          </w:p>
        </w:tc>
        <w:tc>
          <w:tcPr>
            <w:tcW w:w="939" w:type="dxa"/>
            <w:tcBorders>
              <w:top w:val="single" w:sz="12" w:space="0" w:color="auto"/>
              <w:left w:val="single" w:sz="12" w:space="0" w:color="auto"/>
              <w:bottom w:val="single" w:sz="12" w:space="0" w:color="auto"/>
              <w:right w:val="single" w:sz="12" w:space="0" w:color="auto"/>
            </w:tcBorders>
          </w:tcPr>
          <w:p w14:paraId="21B25459" w14:textId="100A7767" w:rsidR="007A1953" w:rsidRPr="0031485E" w:rsidRDefault="007A1953" w:rsidP="007A1953">
            <w:pPr>
              <w:jc w:val="right"/>
              <w:rPr>
                <w:rFonts w:ascii="Arial" w:hAnsi="Arial" w:cs="Arial"/>
                <w:sz w:val="20"/>
              </w:rPr>
            </w:pPr>
            <w:r w:rsidRPr="0031485E">
              <w:rPr>
                <w:rFonts w:ascii="Arial" w:hAnsi="Arial" w:cs="Arial"/>
                <w:sz w:val="20"/>
              </w:rPr>
              <w:t>9530</w:t>
            </w:r>
          </w:p>
        </w:tc>
        <w:tc>
          <w:tcPr>
            <w:tcW w:w="939" w:type="dxa"/>
            <w:tcBorders>
              <w:top w:val="single" w:sz="12" w:space="0" w:color="auto"/>
              <w:left w:val="single" w:sz="12" w:space="0" w:color="auto"/>
              <w:bottom w:val="single" w:sz="12" w:space="0" w:color="auto"/>
              <w:right w:val="single" w:sz="12" w:space="0" w:color="auto"/>
            </w:tcBorders>
          </w:tcPr>
          <w:p w14:paraId="515A98BF" w14:textId="0CCF6F3D" w:rsidR="007A1953" w:rsidRPr="0031485E" w:rsidRDefault="007A1953" w:rsidP="007A1953">
            <w:pPr>
              <w:jc w:val="right"/>
              <w:rPr>
                <w:rFonts w:ascii="Arial" w:hAnsi="Arial" w:cs="Arial"/>
                <w:sz w:val="20"/>
              </w:rPr>
            </w:pPr>
            <w:r w:rsidRPr="0031485E">
              <w:rPr>
                <w:rFonts w:ascii="Arial" w:hAnsi="Arial" w:cs="Arial"/>
                <w:sz w:val="20"/>
              </w:rPr>
              <w:t>9230</w:t>
            </w:r>
          </w:p>
        </w:tc>
        <w:tc>
          <w:tcPr>
            <w:tcW w:w="939" w:type="dxa"/>
            <w:tcBorders>
              <w:top w:val="single" w:sz="12" w:space="0" w:color="auto"/>
              <w:left w:val="single" w:sz="12" w:space="0" w:color="auto"/>
              <w:bottom w:val="single" w:sz="12" w:space="0" w:color="auto"/>
              <w:right w:val="single" w:sz="12" w:space="0" w:color="auto"/>
            </w:tcBorders>
          </w:tcPr>
          <w:p w14:paraId="1BA2BCFE" w14:textId="4A71F9FA" w:rsidR="007A1953" w:rsidRPr="0031485E" w:rsidRDefault="007A1953" w:rsidP="007A1953">
            <w:pPr>
              <w:jc w:val="right"/>
              <w:rPr>
                <w:rFonts w:ascii="Arial" w:hAnsi="Arial" w:cs="Arial"/>
                <w:sz w:val="20"/>
              </w:rPr>
            </w:pPr>
            <w:r w:rsidRPr="0031485E">
              <w:rPr>
                <w:rFonts w:ascii="Arial" w:hAnsi="Arial" w:cs="Arial"/>
                <w:sz w:val="20"/>
              </w:rPr>
              <w:t>8142</w:t>
            </w:r>
          </w:p>
        </w:tc>
        <w:tc>
          <w:tcPr>
            <w:tcW w:w="939" w:type="dxa"/>
            <w:tcBorders>
              <w:top w:val="single" w:sz="12" w:space="0" w:color="auto"/>
              <w:left w:val="single" w:sz="12" w:space="0" w:color="auto"/>
              <w:bottom w:val="single" w:sz="12" w:space="0" w:color="auto"/>
              <w:right w:val="single" w:sz="12" w:space="0" w:color="auto"/>
            </w:tcBorders>
          </w:tcPr>
          <w:p w14:paraId="4D391B70" w14:textId="2E096F8E" w:rsidR="007A1953" w:rsidRPr="0031485E" w:rsidRDefault="007A1953" w:rsidP="007A1953">
            <w:pPr>
              <w:jc w:val="right"/>
              <w:rPr>
                <w:rFonts w:ascii="Arial" w:hAnsi="Arial" w:cs="Arial"/>
                <w:sz w:val="20"/>
              </w:rPr>
            </w:pPr>
            <w:r w:rsidRPr="0031485E">
              <w:rPr>
                <w:rFonts w:ascii="Arial" w:hAnsi="Arial" w:cs="Arial"/>
                <w:sz w:val="20"/>
              </w:rPr>
              <w:t>7708</w:t>
            </w:r>
          </w:p>
        </w:tc>
        <w:tc>
          <w:tcPr>
            <w:tcW w:w="939" w:type="dxa"/>
            <w:tcBorders>
              <w:top w:val="single" w:sz="12" w:space="0" w:color="auto"/>
              <w:left w:val="single" w:sz="12" w:space="0" w:color="auto"/>
              <w:bottom w:val="single" w:sz="12" w:space="0" w:color="auto"/>
              <w:right w:val="single" w:sz="12" w:space="0" w:color="auto"/>
            </w:tcBorders>
          </w:tcPr>
          <w:p w14:paraId="22DE7640" w14:textId="09F17E2C" w:rsidR="007A1953" w:rsidRPr="0031485E" w:rsidRDefault="007A1953" w:rsidP="007A1953">
            <w:pPr>
              <w:jc w:val="right"/>
              <w:rPr>
                <w:rFonts w:ascii="Arial" w:hAnsi="Arial" w:cs="Arial"/>
                <w:sz w:val="20"/>
              </w:rPr>
            </w:pPr>
            <w:r w:rsidRPr="0031485E">
              <w:rPr>
                <w:rFonts w:ascii="Arial" w:hAnsi="Arial" w:cs="Arial"/>
                <w:sz w:val="20"/>
              </w:rPr>
              <w:t>8444</w:t>
            </w:r>
          </w:p>
        </w:tc>
        <w:tc>
          <w:tcPr>
            <w:tcW w:w="939" w:type="dxa"/>
            <w:tcBorders>
              <w:top w:val="single" w:sz="12" w:space="0" w:color="auto"/>
              <w:left w:val="single" w:sz="12" w:space="0" w:color="auto"/>
              <w:bottom w:val="single" w:sz="12" w:space="0" w:color="auto"/>
              <w:right w:val="single" w:sz="12" w:space="0" w:color="auto"/>
            </w:tcBorders>
          </w:tcPr>
          <w:p w14:paraId="4B6B3191" w14:textId="2ED89A40" w:rsidR="007A1953" w:rsidRPr="0031485E" w:rsidRDefault="007A1953" w:rsidP="007A1953">
            <w:pPr>
              <w:jc w:val="right"/>
              <w:rPr>
                <w:rFonts w:ascii="Arial" w:hAnsi="Arial" w:cs="Arial"/>
                <w:sz w:val="20"/>
              </w:rPr>
            </w:pPr>
            <w:r w:rsidRPr="0031485E">
              <w:rPr>
                <w:rFonts w:ascii="Arial" w:hAnsi="Arial" w:cs="Arial"/>
                <w:sz w:val="20"/>
              </w:rPr>
              <w:t>8197</w:t>
            </w:r>
          </w:p>
        </w:tc>
        <w:tc>
          <w:tcPr>
            <w:tcW w:w="939" w:type="dxa"/>
            <w:tcBorders>
              <w:top w:val="single" w:sz="12" w:space="0" w:color="auto"/>
              <w:left w:val="single" w:sz="12" w:space="0" w:color="auto"/>
              <w:bottom w:val="single" w:sz="12" w:space="0" w:color="auto"/>
              <w:right w:val="single" w:sz="12" w:space="0" w:color="auto"/>
            </w:tcBorders>
          </w:tcPr>
          <w:p w14:paraId="6A5969FB" w14:textId="473CC81B" w:rsidR="007A1953" w:rsidRPr="0031485E" w:rsidRDefault="007A1953" w:rsidP="007A1953">
            <w:pPr>
              <w:jc w:val="right"/>
              <w:rPr>
                <w:rFonts w:ascii="Arial" w:hAnsi="Arial" w:cs="Arial"/>
                <w:sz w:val="20"/>
              </w:rPr>
            </w:pPr>
            <w:r w:rsidRPr="0031485E">
              <w:rPr>
                <w:rFonts w:ascii="Arial" w:hAnsi="Arial" w:cs="Arial"/>
                <w:sz w:val="20"/>
              </w:rPr>
              <w:t>8040</w:t>
            </w:r>
          </w:p>
        </w:tc>
      </w:tr>
      <w:tr w:rsidR="007A1953" w:rsidRPr="009C44AF" w14:paraId="3A7765F3" w14:textId="77777777" w:rsidTr="007A1953">
        <w:trPr>
          <w:gridAfter w:val="1"/>
          <w:wAfter w:w="28" w:type="dxa"/>
        </w:trPr>
        <w:tc>
          <w:tcPr>
            <w:tcW w:w="1531" w:type="dxa"/>
            <w:tcBorders>
              <w:top w:val="single" w:sz="12" w:space="0" w:color="auto"/>
              <w:left w:val="single" w:sz="12" w:space="0" w:color="auto"/>
              <w:bottom w:val="single" w:sz="12" w:space="0" w:color="auto"/>
              <w:right w:val="single" w:sz="12" w:space="0" w:color="auto"/>
            </w:tcBorders>
            <w:shd w:val="clear" w:color="auto" w:fill="DDDDDD"/>
          </w:tcPr>
          <w:p w14:paraId="51EBFBAC" w14:textId="3C42955C" w:rsidR="007A1953" w:rsidRDefault="007A1953" w:rsidP="00125A58">
            <w:pPr>
              <w:jc w:val="center"/>
              <w:rPr>
                <w:rFonts w:ascii="Arial" w:hAnsi="Arial" w:cs="Arial"/>
                <w:b/>
                <w:bCs/>
                <w:sz w:val="20"/>
              </w:rPr>
            </w:pPr>
            <w:r>
              <w:rPr>
                <w:rFonts w:ascii="Arial" w:hAnsi="Arial" w:cs="Arial"/>
                <w:b/>
                <w:bCs/>
                <w:sz w:val="20"/>
              </w:rPr>
              <w:t>Pending</w:t>
            </w:r>
          </w:p>
        </w:tc>
        <w:tc>
          <w:tcPr>
            <w:tcW w:w="939" w:type="dxa"/>
            <w:tcBorders>
              <w:top w:val="single" w:sz="12" w:space="0" w:color="auto"/>
              <w:left w:val="single" w:sz="12" w:space="0" w:color="auto"/>
              <w:bottom w:val="single" w:sz="12" w:space="0" w:color="auto"/>
              <w:right w:val="single" w:sz="12" w:space="0" w:color="auto"/>
            </w:tcBorders>
          </w:tcPr>
          <w:p w14:paraId="6522D8EA" w14:textId="55CBAB94" w:rsidR="007A1953" w:rsidRPr="0031485E" w:rsidRDefault="007A1953" w:rsidP="007A1953">
            <w:pPr>
              <w:jc w:val="right"/>
              <w:rPr>
                <w:rFonts w:ascii="Arial" w:hAnsi="Arial" w:cs="Arial"/>
                <w:sz w:val="20"/>
              </w:rPr>
            </w:pPr>
            <w:r w:rsidRPr="0031485E">
              <w:rPr>
                <w:rFonts w:ascii="Arial" w:hAnsi="Arial" w:cs="Arial"/>
                <w:sz w:val="20"/>
              </w:rPr>
              <w:t>2573</w:t>
            </w:r>
          </w:p>
        </w:tc>
        <w:tc>
          <w:tcPr>
            <w:tcW w:w="939" w:type="dxa"/>
            <w:tcBorders>
              <w:top w:val="single" w:sz="12" w:space="0" w:color="auto"/>
              <w:left w:val="single" w:sz="12" w:space="0" w:color="auto"/>
              <w:bottom w:val="single" w:sz="12" w:space="0" w:color="auto"/>
              <w:right w:val="single" w:sz="12" w:space="0" w:color="auto"/>
            </w:tcBorders>
          </w:tcPr>
          <w:p w14:paraId="04E86446" w14:textId="117B7209" w:rsidR="007A1953" w:rsidRPr="0031485E" w:rsidRDefault="007A1953" w:rsidP="007A1953">
            <w:pPr>
              <w:jc w:val="right"/>
              <w:rPr>
                <w:rFonts w:ascii="Arial" w:hAnsi="Arial" w:cs="Arial"/>
                <w:sz w:val="20"/>
              </w:rPr>
            </w:pPr>
            <w:r w:rsidRPr="0031485E">
              <w:rPr>
                <w:rFonts w:ascii="Arial" w:hAnsi="Arial" w:cs="Arial"/>
                <w:sz w:val="20"/>
              </w:rPr>
              <w:t>1914</w:t>
            </w:r>
          </w:p>
        </w:tc>
        <w:tc>
          <w:tcPr>
            <w:tcW w:w="939" w:type="dxa"/>
            <w:tcBorders>
              <w:top w:val="single" w:sz="12" w:space="0" w:color="auto"/>
              <w:left w:val="single" w:sz="12" w:space="0" w:color="auto"/>
              <w:bottom w:val="single" w:sz="12" w:space="0" w:color="auto"/>
              <w:right w:val="single" w:sz="12" w:space="0" w:color="auto"/>
            </w:tcBorders>
          </w:tcPr>
          <w:p w14:paraId="625B8E0B" w14:textId="58F8045C" w:rsidR="007A1953" w:rsidRPr="0031485E" w:rsidRDefault="007A1953" w:rsidP="007A1953">
            <w:pPr>
              <w:jc w:val="right"/>
              <w:rPr>
                <w:rFonts w:ascii="Arial" w:hAnsi="Arial" w:cs="Arial"/>
                <w:sz w:val="20"/>
              </w:rPr>
            </w:pPr>
            <w:r w:rsidRPr="0031485E">
              <w:rPr>
                <w:rFonts w:ascii="Arial" w:hAnsi="Arial" w:cs="Arial"/>
                <w:sz w:val="20"/>
              </w:rPr>
              <w:t>2400</w:t>
            </w:r>
          </w:p>
        </w:tc>
        <w:tc>
          <w:tcPr>
            <w:tcW w:w="939" w:type="dxa"/>
            <w:tcBorders>
              <w:top w:val="single" w:sz="12" w:space="0" w:color="auto"/>
              <w:left w:val="single" w:sz="12" w:space="0" w:color="auto"/>
              <w:bottom w:val="single" w:sz="12" w:space="0" w:color="auto"/>
              <w:right w:val="single" w:sz="12" w:space="0" w:color="auto"/>
            </w:tcBorders>
          </w:tcPr>
          <w:p w14:paraId="6D653A2C" w14:textId="169D8392" w:rsidR="007A1953" w:rsidRPr="0031485E" w:rsidRDefault="007A1953" w:rsidP="007A1953">
            <w:pPr>
              <w:jc w:val="right"/>
              <w:rPr>
                <w:rFonts w:ascii="Arial" w:hAnsi="Arial" w:cs="Arial"/>
                <w:sz w:val="20"/>
              </w:rPr>
            </w:pPr>
            <w:r w:rsidRPr="0031485E">
              <w:rPr>
                <w:rFonts w:ascii="Arial" w:hAnsi="Arial" w:cs="Arial"/>
                <w:sz w:val="20"/>
              </w:rPr>
              <w:t>4512</w:t>
            </w:r>
          </w:p>
        </w:tc>
        <w:tc>
          <w:tcPr>
            <w:tcW w:w="939" w:type="dxa"/>
            <w:tcBorders>
              <w:top w:val="single" w:sz="12" w:space="0" w:color="auto"/>
              <w:left w:val="single" w:sz="12" w:space="0" w:color="auto"/>
              <w:bottom w:val="single" w:sz="12" w:space="0" w:color="auto"/>
              <w:right w:val="single" w:sz="12" w:space="0" w:color="auto"/>
            </w:tcBorders>
          </w:tcPr>
          <w:p w14:paraId="5F75A5B0" w14:textId="7BB5BB28" w:rsidR="007A1953" w:rsidRPr="0031485E" w:rsidRDefault="007A1953" w:rsidP="007A1953">
            <w:pPr>
              <w:jc w:val="right"/>
              <w:rPr>
                <w:rFonts w:ascii="Arial" w:hAnsi="Arial" w:cs="Arial"/>
                <w:sz w:val="20"/>
              </w:rPr>
            </w:pPr>
            <w:r w:rsidRPr="0031485E">
              <w:rPr>
                <w:rFonts w:ascii="Arial" w:hAnsi="Arial" w:cs="Arial"/>
                <w:sz w:val="20"/>
              </w:rPr>
              <w:t>4410</w:t>
            </w:r>
          </w:p>
        </w:tc>
        <w:tc>
          <w:tcPr>
            <w:tcW w:w="939" w:type="dxa"/>
            <w:tcBorders>
              <w:top w:val="single" w:sz="12" w:space="0" w:color="auto"/>
              <w:left w:val="single" w:sz="12" w:space="0" w:color="auto"/>
              <w:bottom w:val="single" w:sz="12" w:space="0" w:color="auto"/>
              <w:right w:val="single" w:sz="12" w:space="0" w:color="auto"/>
            </w:tcBorders>
          </w:tcPr>
          <w:p w14:paraId="3F624CF2" w14:textId="20145182" w:rsidR="007A1953" w:rsidRPr="0031485E" w:rsidRDefault="007A1953" w:rsidP="007A1953">
            <w:pPr>
              <w:jc w:val="right"/>
              <w:rPr>
                <w:rFonts w:ascii="Arial" w:hAnsi="Arial" w:cs="Arial"/>
                <w:sz w:val="20"/>
              </w:rPr>
            </w:pPr>
            <w:r w:rsidRPr="0031485E">
              <w:rPr>
                <w:rFonts w:ascii="Arial" w:hAnsi="Arial" w:cs="Arial"/>
                <w:sz w:val="20"/>
              </w:rPr>
              <w:t>3085</w:t>
            </w:r>
          </w:p>
        </w:tc>
        <w:tc>
          <w:tcPr>
            <w:tcW w:w="939" w:type="dxa"/>
            <w:tcBorders>
              <w:top w:val="single" w:sz="12" w:space="0" w:color="auto"/>
              <w:left w:val="single" w:sz="12" w:space="0" w:color="auto"/>
              <w:bottom w:val="single" w:sz="12" w:space="0" w:color="auto"/>
              <w:right w:val="single" w:sz="12" w:space="0" w:color="auto"/>
            </w:tcBorders>
          </w:tcPr>
          <w:p w14:paraId="392EAAFE" w14:textId="1D72402D" w:rsidR="007A1953" w:rsidRPr="0031485E" w:rsidRDefault="007A1953" w:rsidP="007A1953">
            <w:pPr>
              <w:jc w:val="right"/>
              <w:rPr>
                <w:rFonts w:ascii="Arial" w:hAnsi="Arial" w:cs="Arial"/>
                <w:sz w:val="20"/>
              </w:rPr>
            </w:pPr>
            <w:r w:rsidRPr="0031485E">
              <w:rPr>
                <w:rFonts w:ascii="Arial" w:hAnsi="Arial" w:cs="Arial"/>
                <w:sz w:val="20"/>
              </w:rPr>
              <w:t>2798</w:t>
            </w:r>
          </w:p>
        </w:tc>
        <w:tc>
          <w:tcPr>
            <w:tcW w:w="939" w:type="dxa"/>
            <w:tcBorders>
              <w:top w:val="single" w:sz="12" w:space="0" w:color="auto"/>
              <w:left w:val="single" w:sz="12" w:space="0" w:color="auto"/>
              <w:bottom w:val="single" w:sz="12" w:space="0" w:color="auto"/>
              <w:right w:val="single" w:sz="12" w:space="0" w:color="auto"/>
            </w:tcBorders>
          </w:tcPr>
          <w:p w14:paraId="4E62AC43" w14:textId="0DCE3886" w:rsidR="007A1953" w:rsidRPr="0031485E" w:rsidRDefault="007A1953" w:rsidP="007A1953">
            <w:pPr>
              <w:jc w:val="right"/>
              <w:rPr>
                <w:rFonts w:ascii="Arial" w:hAnsi="Arial" w:cs="Arial"/>
                <w:sz w:val="20"/>
              </w:rPr>
            </w:pPr>
            <w:r w:rsidRPr="0031485E">
              <w:rPr>
                <w:rFonts w:ascii="Arial" w:hAnsi="Arial" w:cs="Arial"/>
                <w:sz w:val="20"/>
              </w:rPr>
              <w:t>2448</w:t>
            </w:r>
          </w:p>
        </w:tc>
      </w:tr>
    </w:tbl>
    <w:p w14:paraId="130D404B" w14:textId="77777777" w:rsidR="00302DA0" w:rsidRPr="00687E03" w:rsidRDefault="00302DA0" w:rsidP="00302DA0">
      <w:pPr>
        <w:jc w:val="both"/>
        <w:rPr>
          <w:rFonts w:ascii="Arial" w:hAnsi="Arial" w:cs="Arial"/>
          <w:sz w:val="12"/>
          <w:szCs w:val="16"/>
        </w:rPr>
      </w:pPr>
    </w:p>
    <w:tbl>
      <w:tblPr>
        <w:tblStyle w:val="TableGrid"/>
        <w:tblW w:w="9071" w:type="dxa"/>
        <w:tblLook w:val="04A0" w:firstRow="1" w:lastRow="0" w:firstColumn="1" w:lastColumn="0" w:noHBand="0" w:noVBand="1"/>
      </w:tblPr>
      <w:tblGrid>
        <w:gridCol w:w="1531"/>
        <w:gridCol w:w="939"/>
        <w:gridCol w:w="939"/>
        <w:gridCol w:w="939"/>
        <w:gridCol w:w="939"/>
        <w:gridCol w:w="939"/>
        <w:gridCol w:w="939"/>
        <w:gridCol w:w="939"/>
        <w:gridCol w:w="939"/>
        <w:gridCol w:w="28"/>
      </w:tblGrid>
      <w:tr w:rsidR="00302DA0" w:rsidRPr="009C44AF" w14:paraId="7EBD33E4" w14:textId="77777777" w:rsidTr="00BD6654">
        <w:tc>
          <w:tcPr>
            <w:tcW w:w="9071" w:type="dxa"/>
            <w:gridSpan w:val="10"/>
            <w:tcBorders>
              <w:top w:val="single" w:sz="12" w:space="0" w:color="auto"/>
              <w:left w:val="single" w:sz="12" w:space="0" w:color="auto"/>
              <w:bottom w:val="single" w:sz="12" w:space="0" w:color="auto"/>
              <w:right w:val="single" w:sz="12" w:space="0" w:color="auto"/>
            </w:tcBorders>
            <w:shd w:val="clear" w:color="auto" w:fill="000000" w:themeFill="text1"/>
          </w:tcPr>
          <w:p w14:paraId="7E6834C4" w14:textId="46FE5368" w:rsidR="00302DA0" w:rsidRPr="009C44AF" w:rsidRDefault="00302DA0" w:rsidP="00BD6654">
            <w:pPr>
              <w:jc w:val="center"/>
              <w:rPr>
                <w:rFonts w:ascii="Arial" w:hAnsi="Arial" w:cs="Arial"/>
                <w:b/>
                <w:bCs/>
                <w:sz w:val="20"/>
              </w:rPr>
            </w:pPr>
            <w:r>
              <w:rPr>
                <w:rFonts w:ascii="Arial" w:hAnsi="Arial" w:cs="Arial"/>
                <w:b/>
                <w:bCs/>
                <w:sz w:val="20"/>
              </w:rPr>
              <w:t xml:space="preserve">STATE-WIDE PROCESSING </w:t>
            </w:r>
            <w:r w:rsidRPr="009C44AF">
              <w:rPr>
                <w:rFonts w:ascii="Arial" w:hAnsi="Arial" w:cs="Arial"/>
                <w:b/>
                <w:bCs/>
                <w:sz w:val="20"/>
              </w:rPr>
              <w:t xml:space="preserve">STATISTICS </w:t>
            </w:r>
            <w:r>
              <w:rPr>
                <w:rFonts w:ascii="Arial" w:hAnsi="Arial" w:cs="Arial"/>
                <w:b/>
                <w:bCs/>
                <w:sz w:val="20"/>
              </w:rPr>
              <w:t>– CRIMINAL CASES – 2024/25</w:t>
            </w:r>
          </w:p>
        </w:tc>
      </w:tr>
      <w:tr w:rsidR="00302DA0" w:rsidRPr="009C44AF" w14:paraId="0B3DD8EE" w14:textId="77777777" w:rsidTr="00BD6654">
        <w:trPr>
          <w:gridAfter w:val="1"/>
          <w:wAfter w:w="28" w:type="dxa"/>
        </w:trPr>
        <w:tc>
          <w:tcPr>
            <w:tcW w:w="1531" w:type="dxa"/>
            <w:tcBorders>
              <w:top w:val="single" w:sz="12" w:space="0" w:color="auto"/>
              <w:left w:val="single" w:sz="12" w:space="0" w:color="auto"/>
              <w:bottom w:val="single" w:sz="12" w:space="0" w:color="auto"/>
              <w:right w:val="single" w:sz="12" w:space="0" w:color="auto"/>
            </w:tcBorders>
            <w:shd w:val="clear" w:color="auto" w:fill="DDDDDD"/>
          </w:tcPr>
          <w:p w14:paraId="3B7CB939" w14:textId="77777777" w:rsidR="00302DA0" w:rsidRDefault="00302DA0" w:rsidP="00BD6654">
            <w:pPr>
              <w:jc w:val="center"/>
              <w:rPr>
                <w:rFonts w:ascii="Arial" w:hAnsi="Arial" w:cs="Arial"/>
                <w:b/>
                <w:bCs/>
                <w:sz w:val="20"/>
              </w:rPr>
            </w:pPr>
          </w:p>
        </w:tc>
        <w:tc>
          <w:tcPr>
            <w:tcW w:w="939" w:type="dxa"/>
            <w:tcBorders>
              <w:top w:val="single" w:sz="12" w:space="0" w:color="auto"/>
              <w:left w:val="single" w:sz="12" w:space="0" w:color="auto"/>
              <w:bottom w:val="single" w:sz="12" w:space="0" w:color="auto"/>
              <w:right w:val="single" w:sz="12" w:space="0" w:color="auto"/>
            </w:tcBorders>
            <w:shd w:val="clear" w:color="auto" w:fill="DDDDDD"/>
          </w:tcPr>
          <w:p w14:paraId="3ADAA23D" w14:textId="4A8AEEE1" w:rsidR="00302DA0" w:rsidRDefault="00302DA0" w:rsidP="00BD6654">
            <w:pPr>
              <w:jc w:val="center"/>
              <w:rPr>
                <w:rFonts w:ascii="Arial" w:hAnsi="Arial" w:cs="Arial"/>
                <w:b/>
                <w:bCs/>
                <w:sz w:val="20"/>
              </w:rPr>
            </w:pPr>
            <w:r>
              <w:rPr>
                <w:rFonts w:ascii="Arial" w:hAnsi="Arial" w:cs="Arial"/>
                <w:b/>
                <w:bCs/>
                <w:sz w:val="20"/>
              </w:rPr>
              <w:t>2024/25</w:t>
            </w:r>
          </w:p>
        </w:tc>
        <w:tc>
          <w:tcPr>
            <w:tcW w:w="939" w:type="dxa"/>
            <w:tcBorders>
              <w:top w:val="single" w:sz="12" w:space="0" w:color="auto"/>
              <w:left w:val="single" w:sz="12" w:space="0" w:color="auto"/>
              <w:bottom w:val="single" w:sz="12" w:space="0" w:color="auto"/>
              <w:right w:val="single" w:sz="12" w:space="0" w:color="auto"/>
            </w:tcBorders>
            <w:shd w:val="clear" w:color="auto" w:fill="DDDDDD"/>
          </w:tcPr>
          <w:p w14:paraId="708ED287" w14:textId="5E95D261" w:rsidR="00302DA0" w:rsidRDefault="00302DA0" w:rsidP="00BD6654">
            <w:pPr>
              <w:jc w:val="center"/>
              <w:rPr>
                <w:rFonts w:ascii="Arial" w:hAnsi="Arial" w:cs="Arial"/>
                <w:b/>
                <w:bCs/>
                <w:sz w:val="20"/>
              </w:rPr>
            </w:pPr>
          </w:p>
        </w:tc>
        <w:tc>
          <w:tcPr>
            <w:tcW w:w="939" w:type="dxa"/>
            <w:tcBorders>
              <w:top w:val="single" w:sz="12" w:space="0" w:color="auto"/>
              <w:left w:val="single" w:sz="12" w:space="0" w:color="auto"/>
              <w:bottom w:val="single" w:sz="12" w:space="0" w:color="auto"/>
              <w:right w:val="single" w:sz="12" w:space="0" w:color="auto"/>
            </w:tcBorders>
            <w:shd w:val="clear" w:color="auto" w:fill="DDDDDD"/>
          </w:tcPr>
          <w:p w14:paraId="322F731D" w14:textId="4DAC1B08" w:rsidR="00302DA0" w:rsidRDefault="00302DA0" w:rsidP="00BD6654">
            <w:pPr>
              <w:jc w:val="center"/>
              <w:rPr>
                <w:rFonts w:ascii="Arial" w:hAnsi="Arial" w:cs="Arial"/>
                <w:b/>
                <w:bCs/>
                <w:sz w:val="20"/>
              </w:rPr>
            </w:pPr>
          </w:p>
        </w:tc>
        <w:tc>
          <w:tcPr>
            <w:tcW w:w="939" w:type="dxa"/>
            <w:tcBorders>
              <w:top w:val="single" w:sz="12" w:space="0" w:color="auto"/>
              <w:left w:val="single" w:sz="12" w:space="0" w:color="auto"/>
              <w:bottom w:val="single" w:sz="12" w:space="0" w:color="auto"/>
              <w:right w:val="single" w:sz="12" w:space="0" w:color="auto"/>
            </w:tcBorders>
            <w:shd w:val="clear" w:color="auto" w:fill="DDDDDD"/>
          </w:tcPr>
          <w:p w14:paraId="615FF2EE" w14:textId="6A22A1F5" w:rsidR="00302DA0" w:rsidRDefault="00302DA0" w:rsidP="00BD6654">
            <w:pPr>
              <w:jc w:val="center"/>
              <w:rPr>
                <w:rFonts w:ascii="Arial" w:hAnsi="Arial" w:cs="Arial"/>
                <w:b/>
                <w:bCs/>
                <w:sz w:val="20"/>
              </w:rPr>
            </w:pPr>
          </w:p>
        </w:tc>
        <w:tc>
          <w:tcPr>
            <w:tcW w:w="939" w:type="dxa"/>
            <w:tcBorders>
              <w:top w:val="single" w:sz="12" w:space="0" w:color="auto"/>
              <w:left w:val="single" w:sz="12" w:space="0" w:color="auto"/>
              <w:bottom w:val="single" w:sz="12" w:space="0" w:color="auto"/>
              <w:right w:val="single" w:sz="12" w:space="0" w:color="auto"/>
            </w:tcBorders>
            <w:shd w:val="clear" w:color="auto" w:fill="DDDDDD"/>
          </w:tcPr>
          <w:p w14:paraId="38F774AB" w14:textId="3FA9A4C3" w:rsidR="00302DA0" w:rsidRDefault="00302DA0" w:rsidP="00BD6654">
            <w:pPr>
              <w:jc w:val="center"/>
              <w:rPr>
                <w:rFonts w:ascii="Arial" w:hAnsi="Arial" w:cs="Arial"/>
                <w:b/>
                <w:bCs/>
                <w:sz w:val="20"/>
              </w:rPr>
            </w:pPr>
          </w:p>
        </w:tc>
        <w:tc>
          <w:tcPr>
            <w:tcW w:w="939" w:type="dxa"/>
            <w:tcBorders>
              <w:top w:val="single" w:sz="12" w:space="0" w:color="auto"/>
              <w:left w:val="single" w:sz="12" w:space="0" w:color="auto"/>
              <w:bottom w:val="single" w:sz="12" w:space="0" w:color="auto"/>
              <w:right w:val="single" w:sz="12" w:space="0" w:color="auto"/>
            </w:tcBorders>
            <w:shd w:val="clear" w:color="auto" w:fill="DDDDDD"/>
          </w:tcPr>
          <w:p w14:paraId="0843A6A8" w14:textId="14313ACE" w:rsidR="00302DA0" w:rsidRDefault="00302DA0" w:rsidP="00BD6654">
            <w:pPr>
              <w:jc w:val="center"/>
              <w:rPr>
                <w:rFonts w:ascii="Arial" w:hAnsi="Arial" w:cs="Arial"/>
                <w:b/>
                <w:bCs/>
                <w:sz w:val="20"/>
              </w:rPr>
            </w:pPr>
          </w:p>
        </w:tc>
        <w:tc>
          <w:tcPr>
            <w:tcW w:w="939" w:type="dxa"/>
            <w:tcBorders>
              <w:top w:val="single" w:sz="12" w:space="0" w:color="auto"/>
              <w:left w:val="single" w:sz="12" w:space="0" w:color="auto"/>
              <w:bottom w:val="single" w:sz="12" w:space="0" w:color="auto"/>
              <w:right w:val="single" w:sz="12" w:space="0" w:color="auto"/>
            </w:tcBorders>
            <w:shd w:val="clear" w:color="auto" w:fill="DDDDDD"/>
          </w:tcPr>
          <w:p w14:paraId="265D290A" w14:textId="1D9264C9" w:rsidR="00302DA0" w:rsidRDefault="00302DA0" w:rsidP="00BD6654">
            <w:pPr>
              <w:jc w:val="center"/>
              <w:rPr>
                <w:rFonts w:ascii="Arial" w:hAnsi="Arial" w:cs="Arial"/>
                <w:b/>
                <w:bCs/>
                <w:sz w:val="20"/>
              </w:rPr>
            </w:pPr>
          </w:p>
        </w:tc>
        <w:tc>
          <w:tcPr>
            <w:tcW w:w="939" w:type="dxa"/>
            <w:tcBorders>
              <w:top w:val="single" w:sz="12" w:space="0" w:color="auto"/>
              <w:left w:val="single" w:sz="12" w:space="0" w:color="auto"/>
              <w:bottom w:val="single" w:sz="12" w:space="0" w:color="auto"/>
              <w:right w:val="single" w:sz="12" w:space="0" w:color="auto"/>
            </w:tcBorders>
            <w:shd w:val="clear" w:color="auto" w:fill="DDDDDD"/>
          </w:tcPr>
          <w:p w14:paraId="5EFC2C56" w14:textId="25D2A861" w:rsidR="00302DA0" w:rsidRDefault="00302DA0" w:rsidP="00BD6654">
            <w:pPr>
              <w:jc w:val="center"/>
              <w:rPr>
                <w:rFonts w:ascii="Arial" w:hAnsi="Arial" w:cs="Arial"/>
                <w:b/>
                <w:bCs/>
                <w:sz w:val="20"/>
              </w:rPr>
            </w:pPr>
          </w:p>
        </w:tc>
      </w:tr>
      <w:tr w:rsidR="00302DA0" w:rsidRPr="009C44AF" w14:paraId="11F28778" w14:textId="77777777" w:rsidTr="00BD6654">
        <w:trPr>
          <w:gridAfter w:val="1"/>
          <w:wAfter w:w="28" w:type="dxa"/>
        </w:trPr>
        <w:tc>
          <w:tcPr>
            <w:tcW w:w="1531" w:type="dxa"/>
            <w:tcBorders>
              <w:top w:val="single" w:sz="12" w:space="0" w:color="auto"/>
              <w:left w:val="single" w:sz="12" w:space="0" w:color="auto"/>
              <w:bottom w:val="single" w:sz="12" w:space="0" w:color="auto"/>
              <w:right w:val="single" w:sz="12" w:space="0" w:color="auto"/>
            </w:tcBorders>
            <w:shd w:val="clear" w:color="auto" w:fill="DDDDDD"/>
          </w:tcPr>
          <w:p w14:paraId="5EB7D556" w14:textId="77777777" w:rsidR="00302DA0" w:rsidRDefault="00302DA0" w:rsidP="00BD6654">
            <w:pPr>
              <w:jc w:val="center"/>
              <w:rPr>
                <w:rFonts w:ascii="Arial" w:hAnsi="Arial" w:cs="Arial"/>
                <w:b/>
                <w:bCs/>
                <w:sz w:val="20"/>
              </w:rPr>
            </w:pPr>
            <w:r>
              <w:rPr>
                <w:rFonts w:ascii="Arial" w:hAnsi="Arial" w:cs="Arial"/>
                <w:b/>
                <w:bCs/>
                <w:sz w:val="20"/>
              </w:rPr>
              <w:t>Initiations</w:t>
            </w:r>
          </w:p>
        </w:tc>
        <w:tc>
          <w:tcPr>
            <w:tcW w:w="939" w:type="dxa"/>
            <w:tcBorders>
              <w:top w:val="single" w:sz="12" w:space="0" w:color="auto"/>
              <w:left w:val="single" w:sz="12" w:space="0" w:color="auto"/>
              <w:bottom w:val="single" w:sz="12" w:space="0" w:color="auto"/>
              <w:right w:val="single" w:sz="12" w:space="0" w:color="auto"/>
            </w:tcBorders>
          </w:tcPr>
          <w:p w14:paraId="4D802AE5" w14:textId="09F54B58" w:rsidR="00302DA0" w:rsidRPr="0031485E" w:rsidRDefault="00412F6C" w:rsidP="00BD6654">
            <w:pPr>
              <w:jc w:val="right"/>
              <w:rPr>
                <w:rFonts w:ascii="Arial" w:hAnsi="Arial" w:cs="Arial"/>
                <w:sz w:val="20"/>
              </w:rPr>
            </w:pPr>
            <w:r>
              <w:rPr>
                <w:rFonts w:ascii="Arial" w:hAnsi="Arial" w:cs="Arial"/>
                <w:sz w:val="20"/>
              </w:rPr>
              <w:t>8605</w:t>
            </w:r>
          </w:p>
        </w:tc>
        <w:tc>
          <w:tcPr>
            <w:tcW w:w="939" w:type="dxa"/>
            <w:tcBorders>
              <w:top w:val="single" w:sz="12" w:space="0" w:color="auto"/>
              <w:left w:val="single" w:sz="12" w:space="0" w:color="auto"/>
              <w:bottom w:val="single" w:sz="12" w:space="0" w:color="auto"/>
              <w:right w:val="single" w:sz="12" w:space="0" w:color="auto"/>
            </w:tcBorders>
          </w:tcPr>
          <w:p w14:paraId="48FA6730" w14:textId="7CBDEAE3" w:rsidR="00302DA0" w:rsidRPr="0031485E" w:rsidRDefault="00302DA0" w:rsidP="00BD6654">
            <w:pPr>
              <w:jc w:val="right"/>
              <w:rPr>
                <w:rFonts w:ascii="Arial" w:hAnsi="Arial" w:cs="Arial"/>
                <w:sz w:val="20"/>
              </w:rPr>
            </w:pPr>
          </w:p>
        </w:tc>
        <w:tc>
          <w:tcPr>
            <w:tcW w:w="939" w:type="dxa"/>
            <w:tcBorders>
              <w:top w:val="single" w:sz="12" w:space="0" w:color="auto"/>
              <w:left w:val="single" w:sz="12" w:space="0" w:color="auto"/>
              <w:bottom w:val="single" w:sz="12" w:space="0" w:color="auto"/>
              <w:right w:val="single" w:sz="12" w:space="0" w:color="auto"/>
            </w:tcBorders>
          </w:tcPr>
          <w:p w14:paraId="495567AA" w14:textId="2AE3B5B0" w:rsidR="00302DA0" w:rsidRPr="0031485E" w:rsidRDefault="00302DA0" w:rsidP="00BD6654">
            <w:pPr>
              <w:jc w:val="right"/>
              <w:rPr>
                <w:rFonts w:ascii="Arial" w:hAnsi="Arial" w:cs="Arial"/>
                <w:sz w:val="20"/>
              </w:rPr>
            </w:pPr>
          </w:p>
        </w:tc>
        <w:tc>
          <w:tcPr>
            <w:tcW w:w="939" w:type="dxa"/>
            <w:tcBorders>
              <w:top w:val="single" w:sz="12" w:space="0" w:color="auto"/>
              <w:left w:val="single" w:sz="12" w:space="0" w:color="auto"/>
              <w:bottom w:val="single" w:sz="12" w:space="0" w:color="auto"/>
              <w:right w:val="single" w:sz="12" w:space="0" w:color="auto"/>
            </w:tcBorders>
          </w:tcPr>
          <w:p w14:paraId="6C76CCAE" w14:textId="7019DA97" w:rsidR="00302DA0" w:rsidRPr="0031485E" w:rsidRDefault="00302DA0" w:rsidP="00BD6654">
            <w:pPr>
              <w:jc w:val="right"/>
              <w:rPr>
                <w:rFonts w:ascii="Arial" w:hAnsi="Arial" w:cs="Arial"/>
                <w:sz w:val="20"/>
              </w:rPr>
            </w:pPr>
          </w:p>
        </w:tc>
        <w:tc>
          <w:tcPr>
            <w:tcW w:w="939" w:type="dxa"/>
            <w:tcBorders>
              <w:top w:val="single" w:sz="12" w:space="0" w:color="auto"/>
              <w:left w:val="single" w:sz="12" w:space="0" w:color="auto"/>
              <w:bottom w:val="single" w:sz="12" w:space="0" w:color="auto"/>
              <w:right w:val="single" w:sz="12" w:space="0" w:color="auto"/>
            </w:tcBorders>
          </w:tcPr>
          <w:p w14:paraId="24972CF1" w14:textId="7C5BFD85" w:rsidR="00302DA0" w:rsidRPr="0031485E" w:rsidRDefault="00302DA0" w:rsidP="00BD6654">
            <w:pPr>
              <w:jc w:val="right"/>
              <w:rPr>
                <w:rFonts w:ascii="Arial" w:hAnsi="Arial" w:cs="Arial"/>
                <w:sz w:val="20"/>
              </w:rPr>
            </w:pPr>
          </w:p>
        </w:tc>
        <w:tc>
          <w:tcPr>
            <w:tcW w:w="939" w:type="dxa"/>
            <w:tcBorders>
              <w:top w:val="single" w:sz="12" w:space="0" w:color="auto"/>
              <w:left w:val="single" w:sz="12" w:space="0" w:color="auto"/>
              <w:bottom w:val="single" w:sz="12" w:space="0" w:color="auto"/>
              <w:right w:val="single" w:sz="12" w:space="0" w:color="auto"/>
            </w:tcBorders>
          </w:tcPr>
          <w:p w14:paraId="56A3EB99" w14:textId="26ED6582" w:rsidR="00302DA0" w:rsidRPr="0031485E" w:rsidRDefault="00302DA0" w:rsidP="00BD6654">
            <w:pPr>
              <w:jc w:val="right"/>
              <w:rPr>
                <w:rFonts w:ascii="Arial" w:hAnsi="Arial" w:cs="Arial"/>
                <w:sz w:val="20"/>
              </w:rPr>
            </w:pPr>
          </w:p>
        </w:tc>
        <w:tc>
          <w:tcPr>
            <w:tcW w:w="939" w:type="dxa"/>
            <w:tcBorders>
              <w:top w:val="single" w:sz="12" w:space="0" w:color="auto"/>
              <w:left w:val="single" w:sz="12" w:space="0" w:color="auto"/>
              <w:bottom w:val="single" w:sz="12" w:space="0" w:color="auto"/>
              <w:right w:val="single" w:sz="12" w:space="0" w:color="auto"/>
            </w:tcBorders>
          </w:tcPr>
          <w:p w14:paraId="69922273" w14:textId="38F194FC" w:rsidR="00302DA0" w:rsidRPr="0031485E" w:rsidRDefault="00302DA0" w:rsidP="00BD6654">
            <w:pPr>
              <w:jc w:val="right"/>
              <w:rPr>
                <w:rFonts w:ascii="Arial" w:hAnsi="Arial" w:cs="Arial"/>
                <w:sz w:val="20"/>
              </w:rPr>
            </w:pPr>
          </w:p>
        </w:tc>
        <w:tc>
          <w:tcPr>
            <w:tcW w:w="939" w:type="dxa"/>
            <w:tcBorders>
              <w:top w:val="single" w:sz="12" w:space="0" w:color="auto"/>
              <w:left w:val="single" w:sz="12" w:space="0" w:color="auto"/>
              <w:bottom w:val="single" w:sz="12" w:space="0" w:color="auto"/>
              <w:right w:val="single" w:sz="12" w:space="0" w:color="auto"/>
            </w:tcBorders>
          </w:tcPr>
          <w:p w14:paraId="264075C3" w14:textId="12D96482" w:rsidR="00302DA0" w:rsidRPr="0031485E" w:rsidRDefault="00302DA0" w:rsidP="00BD6654">
            <w:pPr>
              <w:jc w:val="right"/>
              <w:rPr>
                <w:rFonts w:ascii="Arial" w:hAnsi="Arial" w:cs="Arial"/>
                <w:sz w:val="20"/>
              </w:rPr>
            </w:pPr>
          </w:p>
        </w:tc>
      </w:tr>
      <w:tr w:rsidR="00302DA0" w:rsidRPr="009C44AF" w14:paraId="16EE5B35" w14:textId="77777777" w:rsidTr="00BD6654">
        <w:trPr>
          <w:gridAfter w:val="1"/>
          <w:wAfter w:w="28" w:type="dxa"/>
        </w:trPr>
        <w:tc>
          <w:tcPr>
            <w:tcW w:w="1531" w:type="dxa"/>
            <w:tcBorders>
              <w:top w:val="single" w:sz="12" w:space="0" w:color="auto"/>
              <w:left w:val="single" w:sz="12" w:space="0" w:color="auto"/>
              <w:bottom w:val="single" w:sz="12" w:space="0" w:color="auto"/>
              <w:right w:val="single" w:sz="12" w:space="0" w:color="auto"/>
            </w:tcBorders>
            <w:shd w:val="clear" w:color="auto" w:fill="DDDDDD"/>
          </w:tcPr>
          <w:p w14:paraId="2043C0F7" w14:textId="77777777" w:rsidR="00302DA0" w:rsidRDefault="00302DA0" w:rsidP="00BD6654">
            <w:pPr>
              <w:jc w:val="center"/>
              <w:rPr>
                <w:rFonts w:ascii="Arial" w:hAnsi="Arial" w:cs="Arial"/>
                <w:b/>
                <w:bCs/>
                <w:sz w:val="20"/>
              </w:rPr>
            </w:pPr>
            <w:r>
              <w:rPr>
                <w:rFonts w:ascii="Arial" w:hAnsi="Arial" w:cs="Arial"/>
                <w:b/>
                <w:bCs/>
                <w:sz w:val="20"/>
              </w:rPr>
              <w:t>Finalisations</w:t>
            </w:r>
          </w:p>
        </w:tc>
        <w:tc>
          <w:tcPr>
            <w:tcW w:w="939" w:type="dxa"/>
            <w:tcBorders>
              <w:top w:val="single" w:sz="12" w:space="0" w:color="auto"/>
              <w:left w:val="single" w:sz="12" w:space="0" w:color="auto"/>
              <w:bottom w:val="single" w:sz="12" w:space="0" w:color="auto"/>
              <w:right w:val="single" w:sz="12" w:space="0" w:color="auto"/>
            </w:tcBorders>
          </w:tcPr>
          <w:p w14:paraId="624E8A50" w14:textId="47DC2A13" w:rsidR="00302DA0" w:rsidRPr="0031485E" w:rsidRDefault="00412F6C" w:rsidP="00BD6654">
            <w:pPr>
              <w:jc w:val="right"/>
              <w:rPr>
                <w:rFonts w:ascii="Arial" w:hAnsi="Arial" w:cs="Arial"/>
                <w:sz w:val="20"/>
              </w:rPr>
            </w:pPr>
            <w:r>
              <w:rPr>
                <w:rFonts w:ascii="Arial" w:hAnsi="Arial" w:cs="Arial"/>
                <w:sz w:val="20"/>
              </w:rPr>
              <w:t>9514</w:t>
            </w:r>
          </w:p>
        </w:tc>
        <w:tc>
          <w:tcPr>
            <w:tcW w:w="939" w:type="dxa"/>
            <w:tcBorders>
              <w:top w:val="single" w:sz="12" w:space="0" w:color="auto"/>
              <w:left w:val="single" w:sz="12" w:space="0" w:color="auto"/>
              <w:bottom w:val="single" w:sz="12" w:space="0" w:color="auto"/>
              <w:right w:val="single" w:sz="12" w:space="0" w:color="auto"/>
            </w:tcBorders>
          </w:tcPr>
          <w:p w14:paraId="7A1CFCF2" w14:textId="41D3E6F3" w:rsidR="00302DA0" w:rsidRPr="0031485E" w:rsidRDefault="00302DA0" w:rsidP="00BD6654">
            <w:pPr>
              <w:jc w:val="right"/>
              <w:rPr>
                <w:rFonts w:ascii="Arial" w:hAnsi="Arial" w:cs="Arial"/>
                <w:sz w:val="20"/>
              </w:rPr>
            </w:pPr>
          </w:p>
        </w:tc>
        <w:tc>
          <w:tcPr>
            <w:tcW w:w="939" w:type="dxa"/>
            <w:tcBorders>
              <w:top w:val="single" w:sz="12" w:space="0" w:color="auto"/>
              <w:left w:val="single" w:sz="12" w:space="0" w:color="auto"/>
              <w:bottom w:val="single" w:sz="12" w:space="0" w:color="auto"/>
              <w:right w:val="single" w:sz="12" w:space="0" w:color="auto"/>
            </w:tcBorders>
          </w:tcPr>
          <w:p w14:paraId="4520C09B" w14:textId="4E80E4BC" w:rsidR="00302DA0" w:rsidRPr="0031485E" w:rsidRDefault="00302DA0" w:rsidP="00BD6654">
            <w:pPr>
              <w:jc w:val="right"/>
              <w:rPr>
                <w:rFonts w:ascii="Arial" w:hAnsi="Arial" w:cs="Arial"/>
                <w:sz w:val="20"/>
              </w:rPr>
            </w:pPr>
          </w:p>
        </w:tc>
        <w:tc>
          <w:tcPr>
            <w:tcW w:w="939" w:type="dxa"/>
            <w:tcBorders>
              <w:top w:val="single" w:sz="12" w:space="0" w:color="auto"/>
              <w:left w:val="single" w:sz="12" w:space="0" w:color="auto"/>
              <w:bottom w:val="single" w:sz="12" w:space="0" w:color="auto"/>
              <w:right w:val="single" w:sz="12" w:space="0" w:color="auto"/>
            </w:tcBorders>
          </w:tcPr>
          <w:p w14:paraId="1489DB58" w14:textId="339AA38B" w:rsidR="00302DA0" w:rsidRPr="0031485E" w:rsidRDefault="00302DA0" w:rsidP="00BD6654">
            <w:pPr>
              <w:jc w:val="right"/>
              <w:rPr>
                <w:rFonts w:ascii="Arial" w:hAnsi="Arial" w:cs="Arial"/>
                <w:sz w:val="20"/>
              </w:rPr>
            </w:pPr>
          </w:p>
        </w:tc>
        <w:tc>
          <w:tcPr>
            <w:tcW w:w="939" w:type="dxa"/>
            <w:tcBorders>
              <w:top w:val="single" w:sz="12" w:space="0" w:color="auto"/>
              <w:left w:val="single" w:sz="12" w:space="0" w:color="auto"/>
              <w:bottom w:val="single" w:sz="12" w:space="0" w:color="auto"/>
              <w:right w:val="single" w:sz="12" w:space="0" w:color="auto"/>
            </w:tcBorders>
          </w:tcPr>
          <w:p w14:paraId="07B07B11" w14:textId="69927B8C" w:rsidR="00302DA0" w:rsidRPr="0031485E" w:rsidRDefault="00302DA0" w:rsidP="00BD6654">
            <w:pPr>
              <w:jc w:val="right"/>
              <w:rPr>
                <w:rFonts w:ascii="Arial" w:hAnsi="Arial" w:cs="Arial"/>
                <w:sz w:val="20"/>
              </w:rPr>
            </w:pPr>
          </w:p>
        </w:tc>
        <w:tc>
          <w:tcPr>
            <w:tcW w:w="939" w:type="dxa"/>
            <w:tcBorders>
              <w:top w:val="single" w:sz="12" w:space="0" w:color="auto"/>
              <w:left w:val="single" w:sz="12" w:space="0" w:color="auto"/>
              <w:bottom w:val="single" w:sz="12" w:space="0" w:color="auto"/>
              <w:right w:val="single" w:sz="12" w:space="0" w:color="auto"/>
            </w:tcBorders>
          </w:tcPr>
          <w:p w14:paraId="186DE237" w14:textId="2B0E95B8" w:rsidR="00302DA0" w:rsidRPr="0031485E" w:rsidRDefault="00302DA0" w:rsidP="00BD6654">
            <w:pPr>
              <w:jc w:val="right"/>
              <w:rPr>
                <w:rFonts w:ascii="Arial" w:hAnsi="Arial" w:cs="Arial"/>
                <w:sz w:val="20"/>
              </w:rPr>
            </w:pPr>
          </w:p>
        </w:tc>
        <w:tc>
          <w:tcPr>
            <w:tcW w:w="939" w:type="dxa"/>
            <w:tcBorders>
              <w:top w:val="single" w:sz="12" w:space="0" w:color="auto"/>
              <w:left w:val="single" w:sz="12" w:space="0" w:color="auto"/>
              <w:bottom w:val="single" w:sz="12" w:space="0" w:color="auto"/>
              <w:right w:val="single" w:sz="12" w:space="0" w:color="auto"/>
            </w:tcBorders>
          </w:tcPr>
          <w:p w14:paraId="4A8C23CF" w14:textId="7CA6EE3D" w:rsidR="00302DA0" w:rsidRPr="0031485E" w:rsidRDefault="00302DA0" w:rsidP="00BD6654">
            <w:pPr>
              <w:jc w:val="right"/>
              <w:rPr>
                <w:rFonts w:ascii="Arial" w:hAnsi="Arial" w:cs="Arial"/>
                <w:sz w:val="20"/>
              </w:rPr>
            </w:pPr>
          </w:p>
        </w:tc>
        <w:tc>
          <w:tcPr>
            <w:tcW w:w="939" w:type="dxa"/>
            <w:tcBorders>
              <w:top w:val="single" w:sz="12" w:space="0" w:color="auto"/>
              <w:left w:val="single" w:sz="12" w:space="0" w:color="auto"/>
              <w:bottom w:val="single" w:sz="12" w:space="0" w:color="auto"/>
              <w:right w:val="single" w:sz="12" w:space="0" w:color="auto"/>
            </w:tcBorders>
          </w:tcPr>
          <w:p w14:paraId="7D468F24" w14:textId="344CAD73" w:rsidR="00302DA0" w:rsidRPr="0031485E" w:rsidRDefault="00302DA0" w:rsidP="00BD6654">
            <w:pPr>
              <w:jc w:val="right"/>
              <w:rPr>
                <w:rFonts w:ascii="Arial" w:hAnsi="Arial" w:cs="Arial"/>
                <w:sz w:val="20"/>
              </w:rPr>
            </w:pPr>
          </w:p>
        </w:tc>
      </w:tr>
      <w:tr w:rsidR="00302DA0" w:rsidRPr="009C44AF" w14:paraId="2C14A0F7" w14:textId="77777777" w:rsidTr="00BD6654">
        <w:trPr>
          <w:gridAfter w:val="1"/>
          <w:wAfter w:w="28" w:type="dxa"/>
        </w:trPr>
        <w:tc>
          <w:tcPr>
            <w:tcW w:w="1531" w:type="dxa"/>
            <w:tcBorders>
              <w:top w:val="single" w:sz="12" w:space="0" w:color="auto"/>
              <w:left w:val="single" w:sz="12" w:space="0" w:color="auto"/>
              <w:bottom w:val="single" w:sz="12" w:space="0" w:color="auto"/>
              <w:right w:val="single" w:sz="12" w:space="0" w:color="auto"/>
            </w:tcBorders>
            <w:shd w:val="clear" w:color="auto" w:fill="DDDDDD"/>
          </w:tcPr>
          <w:p w14:paraId="512DAEEF" w14:textId="77777777" w:rsidR="00302DA0" w:rsidRDefault="00302DA0" w:rsidP="00BD6654">
            <w:pPr>
              <w:jc w:val="center"/>
              <w:rPr>
                <w:rFonts w:ascii="Arial" w:hAnsi="Arial" w:cs="Arial"/>
                <w:b/>
                <w:bCs/>
                <w:sz w:val="20"/>
              </w:rPr>
            </w:pPr>
            <w:r>
              <w:rPr>
                <w:rFonts w:ascii="Arial" w:hAnsi="Arial" w:cs="Arial"/>
                <w:b/>
                <w:bCs/>
                <w:sz w:val="20"/>
              </w:rPr>
              <w:t>Pending</w:t>
            </w:r>
          </w:p>
        </w:tc>
        <w:tc>
          <w:tcPr>
            <w:tcW w:w="939" w:type="dxa"/>
            <w:tcBorders>
              <w:top w:val="single" w:sz="12" w:space="0" w:color="auto"/>
              <w:left w:val="single" w:sz="12" w:space="0" w:color="auto"/>
              <w:bottom w:val="single" w:sz="12" w:space="0" w:color="auto"/>
              <w:right w:val="single" w:sz="12" w:space="0" w:color="auto"/>
            </w:tcBorders>
          </w:tcPr>
          <w:p w14:paraId="609CE6E1" w14:textId="2FDE28C5" w:rsidR="00302DA0" w:rsidRPr="0031485E" w:rsidRDefault="00412F6C" w:rsidP="00BD6654">
            <w:pPr>
              <w:jc w:val="right"/>
              <w:rPr>
                <w:rFonts w:ascii="Arial" w:hAnsi="Arial" w:cs="Arial"/>
                <w:sz w:val="20"/>
              </w:rPr>
            </w:pPr>
            <w:r>
              <w:rPr>
                <w:rFonts w:ascii="Arial" w:hAnsi="Arial" w:cs="Arial"/>
                <w:sz w:val="20"/>
              </w:rPr>
              <w:t>2313</w:t>
            </w:r>
          </w:p>
        </w:tc>
        <w:tc>
          <w:tcPr>
            <w:tcW w:w="939" w:type="dxa"/>
            <w:tcBorders>
              <w:top w:val="single" w:sz="12" w:space="0" w:color="auto"/>
              <w:left w:val="single" w:sz="12" w:space="0" w:color="auto"/>
              <w:bottom w:val="single" w:sz="12" w:space="0" w:color="auto"/>
              <w:right w:val="single" w:sz="12" w:space="0" w:color="auto"/>
            </w:tcBorders>
          </w:tcPr>
          <w:p w14:paraId="7E5240B1" w14:textId="6D8CFBDD" w:rsidR="00302DA0" w:rsidRPr="0031485E" w:rsidRDefault="00302DA0" w:rsidP="00BD6654">
            <w:pPr>
              <w:jc w:val="right"/>
              <w:rPr>
                <w:rFonts w:ascii="Arial" w:hAnsi="Arial" w:cs="Arial"/>
                <w:sz w:val="20"/>
              </w:rPr>
            </w:pPr>
          </w:p>
        </w:tc>
        <w:tc>
          <w:tcPr>
            <w:tcW w:w="939" w:type="dxa"/>
            <w:tcBorders>
              <w:top w:val="single" w:sz="12" w:space="0" w:color="auto"/>
              <w:left w:val="single" w:sz="12" w:space="0" w:color="auto"/>
              <w:bottom w:val="single" w:sz="12" w:space="0" w:color="auto"/>
              <w:right w:val="single" w:sz="12" w:space="0" w:color="auto"/>
            </w:tcBorders>
          </w:tcPr>
          <w:p w14:paraId="3488C947" w14:textId="709A6120" w:rsidR="00302DA0" w:rsidRPr="0031485E" w:rsidRDefault="00302DA0" w:rsidP="00BD6654">
            <w:pPr>
              <w:jc w:val="right"/>
              <w:rPr>
                <w:rFonts w:ascii="Arial" w:hAnsi="Arial" w:cs="Arial"/>
                <w:sz w:val="20"/>
              </w:rPr>
            </w:pPr>
          </w:p>
        </w:tc>
        <w:tc>
          <w:tcPr>
            <w:tcW w:w="939" w:type="dxa"/>
            <w:tcBorders>
              <w:top w:val="single" w:sz="12" w:space="0" w:color="auto"/>
              <w:left w:val="single" w:sz="12" w:space="0" w:color="auto"/>
              <w:bottom w:val="single" w:sz="12" w:space="0" w:color="auto"/>
              <w:right w:val="single" w:sz="12" w:space="0" w:color="auto"/>
            </w:tcBorders>
          </w:tcPr>
          <w:p w14:paraId="7E9E6FBF" w14:textId="29CB2014" w:rsidR="00302DA0" w:rsidRPr="0031485E" w:rsidRDefault="00302DA0" w:rsidP="00BD6654">
            <w:pPr>
              <w:jc w:val="right"/>
              <w:rPr>
                <w:rFonts w:ascii="Arial" w:hAnsi="Arial" w:cs="Arial"/>
                <w:sz w:val="20"/>
              </w:rPr>
            </w:pPr>
          </w:p>
        </w:tc>
        <w:tc>
          <w:tcPr>
            <w:tcW w:w="939" w:type="dxa"/>
            <w:tcBorders>
              <w:top w:val="single" w:sz="12" w:space="0" w:color="auto"/>
              <w:left w:val="single" w:sz="12" w:space="0" w:color="auto"/>
              <w:bottom w:val="single" w:sz="12" w:space="0" w:color="auto"/>
              <w:right w:val="single" w:sz="12" w:space="0" w:color="auto"/>
            </w:tcBorders>
          </w:tcPr>
          <w:p w14:paraId="1F31F31E" w14:textId="65C74C68" w:rsidR="00302DA0" w:rsidRPr="0031485E" w:rsidRDefault="00302DA0" w:rsidP="00BD6654">
            <w:pPr>
              <w:jc w:val="right"/>
              <w:rPr>
                <w:rFonts w:ascii="Arial" w:hAnsi="Arial" w:cs="Arial"/>
                <w:sz w:val="20"/>
              </w:rPr>
            </w:pPr>
          </w:p>
        </w:tc>
        <w:tc>
          <w:tcPr>
            <w:tcW w:w="939" w:type="dxa"/>
            <w:tcBorders>
              <w:top w:val="single" w:sz="12" w:space="0" w:color="auto"/>
              <w:left w:val="single" w:sz="12" w:space="0" w:color="auto"/>
              <w:bottom w:val="single" w:sz="12" w:space="0" w:color="auto"/>
              <w:right w:val="single" w:sz="12" w:space="0" w:color="auto"/>
            </w:tcBorders>
          </w:tcPr>
          <w:p w14:paraId="5A487BC5" w14:textId="265D565F" w:rsidR="00302DA0" w:rsidRPr="0031485E" w:rsidRDefault="00302DA0" w:rsidP="00BD6654">
            <w:pPr>
              <w:jc w:val="right"/>
              <w:rPr>
                <w:rFonts w:ascii="Arial" w:hAnsi="Arial" w:cs="Arial"/>
                <w:sz w:val="20"/>
              </w:rPr>
            </w:pPr>
          </w:p>
        </w:tc>
        <w:tc>
          <w:tcPr>
            <w:tcW w:w="939" w:type="dxa"/>
            <w:tcBorders>
              <w:top w:val="single" w:sz="12" w:space="0" w:color="auto"/>
              <w:left w:val="single" w:sz="12" w:space="0" w:color="auto"/>
              <w:bottom w:val="single" w:sz="12" w:space="0" w:color="auto"/>
              <w:right w:val="single" w:sz="12" w:space="0" w:color="auto"/>
            </w:tcBorders>
          </w:tcPr>
          <w:p w14:paraId="29C12569" w14:textId="448E68F5" w:rsidR="00302DA0" w:rsidRPr="0031485E" w:rsidRDefault="00302DA0" w:rsidP="00BD6654">
            <w:pPr>
              <w:jc w:val="right"/>
              <w:rPr>
                <w:rFonts w:ascii="Arial" w:hAnsi="Arial" w:cs="Arial"/>
                <w:sz w:val="20"/>
              </w:rPr>
            </w:pPr>
          </w:p>
        </w:tc>
        <w:tc>
          <w:tcPr>
            <w:tcW w:w="939" w:type="dxa"/>
            <w:tcBorders>
              <w:top w:val="single" w:sz="12" w:space="0" w:color="auto"/>
              <w:left w:val="single" w:sz="12" w:space="0" w:color="auto"/>
              <w:bottom w:val="single" w:sz="12" w:space="0" w:color="auto"/>
              <w:right w:val="single" w:sz="12" w:space="0" w:color="auto"/>
            </w:tcBorders>
          </w:tcPr>
          <w:p w14:paraId="71C4F5BF" w14:textId="055C64A9" w:rsidR="00302DA0" w:rsidRPr="0031485E" w:rsidRDefault="00302DA0" w:rsidP="00BD6654">
            <w:pPr>
              <w:jc w:val="right"/>
              <w:rPr>
                <w:rFonts w:ascii="Arial" w:hAnsi="Arial" w:cs="Arial"/>
                <w:sz w:val="20"/>
              </w:rPr>
            </w:pPr>
          </w:p>
        </w:tc>
      </w:tr>
    </w:tbl>
    <w:p w14:paraId="72F44F29" w14:textId="77777777" w:rsidR="00302DA0" w:rsidRDefault="00302DA0" w:rsidP="00687E03">
      <w:pPr>
        <w:jc w:val="both"/>
        <w:rPr>
          <w:rFonts w:ascii="Arial" w:hAnsi="Arial" w:cs="Arial"/>
          <w:sz w:val="20"/>
        </w:rPr>
      </w:pPr>
    </w:p>
    <w:p w14:paraId="6E3612CE" w14:textId="3876737C" w:rsidR="00681DD6" w:rsidRDefault="00687E03" w:rsidP="00687E03">
      <w:pPr>
        <w:spacing w:after="120"/>
        <w:jc w:val="both"/>
        <w:rPr>
          <w:rFonts w:ascii="Arial" w:hAnsi="Arial" w:cs="Arial"/>
          <w:sz w:val="20"/>
        </w:rPr>
      </w:pPr>
      <w:r>
        <w:rPr>
          <w:rFonts w:ascii="Arial" w:hAnsi="Arial" w:cs="Arial"/>
          <w:sz w:val="20"/>
        </w:rPr>
        <w:t xml:space="preserve">The Children’s Court of Victoria more detailed finalisation statistics </w:t>
      </w:r>
      <w:r w:rsidR="00445AC5">
        <w:rPr>
          <w:rFonts w:ascii="Arial" w:hAnsi="Arial" w:cs="Arial"/>
          <w:sz w:val="20"/>
        </w:rPr>
        <w:t xml:space="preserve">(detailing child protection cases, intervention order cases, criminal cases &amp; CAYPINS cases) </w:t>
      </w:r>
      <w:r>
        <w:rPr>
          <w:rFonts w:ascii="Arial" w:hAnsi="Arial" w:cs="Arial"/>
          <w:sz w:val="20"/>
        </w:rPr>
        <w:t>for 2022/23</w:t>
      </w:r>
      <w:r w:rsidR="00302DA0">
        <w:rPr>
          <w:rFonts w:ascii="Arial" w:hAnsi="Arial" w:cs="Arial"/>
          <w:sz w:val="20"/>
        </w:rPr>
        <w:t>, 2023/24</w:t>
      </w:r>
      <w:r>
        <w:rPr>
          <w:rFonts w:ascii="Arial" w:hAnsi="Arial" w:cs="Arial"/>
          <w:sz w:val="20"/>
        </w:rPr>
        <w:t xml:space="preserve"> &amp; 202</w:t>
      </w:r>
      <w:r w:rsidR="00302DA0">
        <w:rPr>
          <w:rFonts w:ascii="Arial" w:hAnsi="Arial" w:cs="Arial"/>
          <w:sz w:val="20"/>
        </w:rPr>
        <w:t>4</w:t>
      </w:r>
      <w:r>
        <w:rPr>
          <w:rFonts w:ascii="Arial" w:hAnsi="Arial" w:cs="Arial"/>
          <w:sz w:val="20"/>
        </w:rPr>
        <w:t>/2</w:t>
      </w:r>
      <w:r w:rsidR="00302DA0">
        <w:rPr>
          <w:rFonts w:ascii="Arial" w:hAnsi="Arial" w:cs="Arial"/>
          <w:sz w:val="20"/>
        </w:rPr>
        <w:t>5</w:t>
      </w:r>
      <w:r>
        <w:rPr>
          <w:rFonts w:ascii="Arial" w:hAnsi="Arial" w:cs="Arial"/>
          <w:sz w:val="20"/>
        </w:rPr>
        <w:t xml:space="preserve"> are as follows:</w:t>
      </w:r>
    </w:p>
    <w:tbl>
      <w:tblPr>
        <w:tblStyle w:val="TableGrid"/>
        <w:tblW w:w="7711" w:type="dxa"/>
        <w:tblInd w:w="652" w:type="dxa"/>
        <w:tblLook w:val="04A0" w:firstRow="1" w:lastRow="0" w:firstColumn="1" w:lastColumn="0" w:noHBand="0" w:noVBand="1"/>
      </w:tblPr>
      <w:tblGrid>
        <w:gridCol w:w="2268"/>
        <w:gridCol w:w="1134"/>
        <w:gridCol w:w="2268"/>
        <w:gridCol w:w="1134"/>
        <w:gridCol w:w="907"/>
      </w:tblGrid>
      <w:tr w:rsidR="009C44AF" w:rsidRPr="009C44AF" w14:paraId="49531339" w14:textId="77777777" w:rsidTr="0031485E">
        <w:tc>
          <w:tcPr>
            <w:tcW w:w="7711" w:type="dxa"/>
            <w:gridSpan w:val="5"/>
            <w:tcBorders>
              <w:top w:val="single" w:sz="12" w:space="0" w:color="auto"/>
              <w:left w:val="single" w:sz="12" w:space="0" w:color="auto"/>
              <w:bottom w:val="single" w:sz="12" w:space="0" w:color="auto"/>
              <w:right w:val="single" w:sz="12" w:space="0" w:color="auto"/>
            </w:tcBorders>
            <w:shd w:val="clear" w:color="auto" w:fill="000000" w:themeFill="text1"/>
          </w:tcPr>
          <w:p w14:paraId="5CE1464E" w14:textId="1A0A85DE" w:rsidR="009C44AF" w:rsidRPr="009C44AF" w:rsidRDefault="009C44AF" w:rsidP="009C44AF">
            <w:pPr>
              <w:jc w:val="center"/>
              <w:rPr>
                <w:rFonts w:ascii="Arial" w:hAnsi="Arial" w:cs="Arial"/>
                <w:b/>
                <w:bCs/>
                <w:sz w:val="20"/>
              </w:rPr>
            </w:pPr>
            <w:r w:rsidRPr="009C44AF">
              <w:rPr>
                <w:rFonts w:ascii="Arial" w:hAnsi="Arial" w:cs="Arial"/>
                <w:b/>
                <w:bCs/>
                <w:sz w:val="20"/>
              </w:rPr>
              <w:t>FINALISATION STATISTICS 2022/23</w:t>
            </w:r>
          </w:p>
        </w:tc>
      </w:tr>
      <w:tr w:rsidR="007C73F6" w14:paraId="2E1E8073" w14:textId="77777777" w:rsidTr="0031485E">
        <w:tc>
          <w:tcPr>
            <w:tcW w:w="2268" w:type="dxa"/>
            <w:vMerge w:val="restart"/>
            <w:tcBorders>
              <w:top w:val="single" w:sz="12" w:space="0" w:color="auto"/>
              <w:left w:val="single" w:sz="12" w:space="0" w:color="auto"/>
              <w:bottom w:val="single" w:sz="12" w:space="0" w:color="auto"/>
              <w:right w:val="single" w:sz="12" w:space="0" w:color="auto"/>
            </w:tcBorders>
            <w:shd w:val="clear" w:color="auto" w:fill="DDDDDD"/>
          </w:tcPr>
          <w:p w14:paraId="619B6CEB" w14:textId="39515E05" w:rsidR="00F926CF" w:rsidRPr="00F926CF" w:rsidRDefault="00F926CF" w:rsidP="00F926CF">
            <w:pPr>
              <w:jc w:val="center"/>
              <w:rPr>
                <w:rFonts w:ascii="Arial" w:hAnsi="Arial" w:cs="Arial"/>
                <w:b/>
                <w:bCs/>
                <w:sz w:val="20"/>
              </w:rPr>
            </w:pPr>
            <w:r w:rsidRPr="00F926CF">
              <w:rPr>
                <w:rFonts w:ascii="Arial" w:hAnsi="Arial" w:cs="Arial"/>
                <w:b/>
                <w:bCs/>
                <w:sz w:val="20"/>
              </w:rPr>
              <w:t>FAMILY DIVISION</w:t>
            </w:r>
          </w:p>
        </w:tc>
        <w:tc>
          <w:tcPr>
            <w:tcW w:w="1134" w:type="dxa"/>
            <w:vMerge w:val="restart"/>
            <w:tcBorders>
              <w:top w:val="single" w:sz="12" w:space="0" w:color="auto"/>
              <w:left w:val="single" w:sz="12" w:space="0" w:color="auto"/>
              <w:bottom w:val="single" w:sz="12" w:space="0" w:color="auto"/>
              <w:right w:val="single" w:sz="4" w:space="0" w:color="auto"/>
            </w:tcBorders>
          </w:tcPr>
          <w:p w14:paraId="22AE5F6B" w14:textId="257CF032" w:rsidR="00F926CF" w:rsidRDefault="00F926CF" w:rsidP="00F926CF">
            <w:pPr>
              <w:jc w:val="right"/>
              <w:rPr>
                <w:rFonts w:ascii="Arial" w:hAnsi="Arial" w:cs="Arial"/>
                <w:sz w:val="20"/>
              </w:rPr>
            </w:pPr>
            <w:r>
              <w:rPr>
                <w:rFonts w:ascii="Arial" w:hAnsi="Arial" w:cs="Arial"/>
                <w:sz w:val="20"/>
              </w:rPr>
              <w:t>19847</w:t>
            </w:r>
          </w:p>
        </w:tc>
        <w:tc>
          <w:tcPr>
            <w:tcW w:w="2268" w:type="dxa"/>
            <w:tcBorders>
              <w:top w:val="single" w:sz="12" w:space="0" w:color="auto"/>
              <w:left w:val="single" w:sz="4" w:space="0" w:color="auto"/>
              <w:bottom w:val="single" w:sz="4" w:space="0" w:color="auto"/>
              <w:right w:val="single" w:sz="4" w:space="0" w:color="auto"/>
            </w:tcBorders>
          </w:tcPr>
          <w:p w14:paraId="168F62DE" w14:textId="11B3618E" w:rsidR="00F926CF" w:rsidRPr="00F926CF" w:rsidRDefault="00F926CF" w:rsidP="00F926CF">
            <w:pPr>
              <w:jc w:val="center"/>
              <w:rPr>
                <w:rFonts w:ascii="Arial" w:hAnsi="Arial" w:cs="Arial"/>
                <w:b/>
                <w:bCs/>
                <w:sz w:val="20"/>
              </w:rPr>
            </w:pPr>
            <w:r w:rsidRPr="00F926CF">
              <w:rPr>
                <w:rFonts w:ascii="Arial" w:hAnsi="Arial" w:cs="Arial"/>
                <w:b/>
                <w:bCs/>
                <w:sz w:val="20"/>
              </w:rPr>
              <w:t>Child Protection</w:t>
            </w:r>
          </w:p>
        </w:tc>
        <w:tc>
          <w:tcPr>
            <w:tcW w:w="1134" w:type="dxa"/>
            <w:tcBorders>
              <w:top w:val="single" w:sz="12" w:space="0" w:color="auto"/>
              <w:left w:val="single" w:sz="4" w:space="0" w:color="auto"/>
              <w:bottom w:val="single" w:sz="4" w:space="0" w:color="auto"/>
              <w:right w:val="single" w:sz="12" w:space="0" w:color="auto"/>
            </w:tcBorders>
          </w:tcPr>
          <w:p w14:paraId="15D08DB5" w14:textId="6FA33F52" w:rsidR="00F926CF" w:rsidRDefault="00F926CF" w:rsidP="00F926CF">
            <w:pPr>
              <w:jc w:val="right"/>
              <w:rPr>
                <w:rFonts w:ascii="Arial" w:hAnsi="Arial" w:cs="Arial"/>
                <w:sz w:val="20"/>
              </w:rPr>
            </w:pPr>
            <w:r>
              <w:rPr>
                <w:rFonts w:ascii="Arial" w:hAnsi="Arial" w:cs="Arial"/>
                <w:sz w:val="20"/>
              </w:rPr>
              <w:t>16604</w:t>
            </w:r>
          </w:p>
        </w:tc>
        <w:tc>
          <w:tcPr>
            <w:tcW w:w="907" w:type="dxa"/>
            <w:tcBorders>
              <w:top w:val="single" w:sz="12" w:space="0" w:color="auto"/>
              <w:left w:val="single" w:sz="12" w:space="0" w:color="auto"/>
              <w:bottom w:val="single" w:sz="4" w:space="0" w:color="auto"/>
              <w:right w:val="single" w:sz="12" w:space="0" w:color="auto"/>
            </w:tcBorders>
            <w:shd w:val="clear" w:color="auto" w:fill="DDDDDD"/>
          </w:tcPr>
          <w:p w14:paraId="7CD90EEC" w14:textId="06BD7413" w:rsidR="00F926CF" w:rsidRDefault="00F926CF" w:rsidP="00F926CF">
            <w:pPr>
              <w:jc w:val="right"/>
              <w:rPr>
                <w:rFonts w:ascii="Arial" w:hAnsi="Arial" w:cs="Arial"/>
                <w:sz w:val="20"/>
              </w:rPr>
            </w:pPr>
            <w:r>
              <w:rPr>
                <w:rFonts w:ascii="Arial" w:hAnsi="Arial" w:cs="Arial"/>
                <w:sz w:val="20"/>
              </w:rPr>
              <w:t>54%</w:t>
            </w:r>
          </w:p>
        </w:tc>
      </w:tr>
      <w:tr w:rsidR="007C73F6" w14:paraId="42053A4A" w14:textId="77777777" w:rsidTr="0031485E">
        <w:tc>
          <w:tcPr>
            <w:tcW w:w="2268" w:type="dxa"/>
            <w:vMerge/>
            <w:tcBorders>
              <w:top w:val="single" w:sz="12" w:space="0" w:color="auto"/>
              <w:left w:val="single" w:sz="12" w:space="0" w:color="auto"/>
              <w:bottom w:val="single" w:sz="12" w:space="0" w:color="auto"/>
              <w:right w:val="single" w:sz="12" w:space="0" w:color="auto"/>
            </w:tcBorders>
            <w:shd w:val="clear" w:color="auto" w:fill="DDDDDD"/>
          </w:tcPr>
          <w:p w14:paraId="63329A69" w14:textId="5B71B1CD" w:rsidR="00F926CF" w:rsidRPr="00F926CF" w:rsidRDefault="00F926CF" w:rsidP="00F926CF">
            <w:pPr>
              <w:jc w:val="center"/>
              <w:rPr>
                <w:rFonts w:ascii="Arial" w:hAnsi="Arial" w:cs="Arial"/>
                <w:b/>
                <w:bCs/>
                <w:sz w:val="20"/>
              </w:rPr>
            </w:pPr>
          </w:p>
        </w:tc>
        <w:tc>
          <w:tcPr>
            <w:tcW w:w="1134" w:type="dxa"/>
            <w:vMerge/>
            <w:tcBorders>
              <w:top w:val="single" w:sz="12" w:space="0" w:color="auto"/>
              <w:left w:val="single" w:sz="12" w:space="0" w:color="auto"/>
              <w:bottom w:val="single" w:sz="12" w:space="0" w:color="auto"/>
              <w:right w:val="single" w:sz="4" w:space="0" w:color="auto"/>
            </w:tcBorders>
          </w:tcPr>
          <w:p w14:paraId="275A97CC" w14:textId="3EEA696C" w:rsidR="00F926CF" w:rsidRDefault="00F926CF" w:rsidP="00F926CF">
            <w:pPr>
              <w:jc w:val="right"/>
              <w:rPr>
                <w:rFonts w:ascii="Arial" w:hAnsi="Arial" w:cs="Arial"/>
                <w:sz w:val="20"/>
              </w:rPr>
            </w:pPr>
          </w:p>
        </w:tc>
        <w:tc>
          <w:tcPr>
            <w:tcW w:w="2268" w:type="dxa"/>
            <w:tcBorders>
              <w:top w:val="single" w:sz="4" w:space="0" w:color="auto"/>
              <w:left w:val="single" w:sz="4" w:space="0" w:color="auto"/>
              <w:bottom w:val="single" w:sz="12" w:space="0" w:color="auto"/>
              <w:right w:val="single" w:sz="4" w:space="0" w:color="auto"/>
            </w:tcBorders>
          </w:tcPr>
          <w:p w14:paraId="597E24EE" w14:textId="29B23331" w:rsidR="00F926CF" w:rsidRPr="00F926CF" w:rsidRDefault="00F926CF" w:rsidP="00F926CF">
            <w:pPr>
              <w:jc w:val="center"/>
              <w:rPr>
                <w:rFonts w:ascii="Arial" w:hAnsi="Arial" w:cs="Arial"/>
                <w:b/>
                <w:bCs/>
                <w:sz w:val="20"/>
              </w:rPr>
            </w:pPr>
            <w:r w:rsidRPr="00F926CF">
              <w:rPr>
                <w:rFonts w:ascii="Arial" w:hAnsi="Arial" w:cs="Arial"/>
                <w:b/>
                <w:bCs/>
                <w:sz w:val="20"/>
              </w:rPr>
              <w:t>Intervention Orders</w:t>
            </w:r>
          </w:p>
        </w:tc>
        <w:tc>
          <w:tcPr>
            <w:tcW w:w="1134" w:type="dxa"/>
            <w:tcBorders>
              <w:top w:val="single" w:sz="4" w:space="0" w:color="auto"/>
              <w:left w:val="single" w:sz="4" w:space="0" w:color="auto"/>
              <w:bottom w:val="single" w:sz="12" w:space="0" w:color="auto"/>
              <w:right w:val="single" w:sz="12" w:space="0" w:color="auto"/>
            </w:tcBorders>
          </w:tcPr>
          <w:p w14:paraId="575BA4A9" w14:textId="3C61742C" w:rsidR="00F926CF" w:rsidRDefault="00F926CF" w:rsidP="00F926CF">
            <w:pPr>
              <w:jc w:val="right"/>
              <w:rPr>
                <w:rFonts w:ascii="Arial" w:hAnsi="Arial" w:cs="Arial"/>
                <w:sz w:val="20"/>
              </w:rPr>
            </w:pPr>
            <w:r>
              <w:rPr>
                <w:rFonts w:ascii="Arial" w:hAnsi="Arial" w:cs="Arial"/>
                <w:sz w:val="20"/>
              </w:rPr>
              <w:t>3243</w:t>
            </w:r>
          </w:p>
        </w:tc>
        <w:tc>
          <w:tcPr>
            <w:tcW w:w="907" w:type="dxa"/>
            <w:tcBorders>
              <w:top w:val="single" w:sz="4" w:space="0" w:color="auto"/>
              <w:left w:val="single" w:sz="12" w:space="0" w:color="auto"/>
              <w:bottom w:val="single" w:sz="12" w:space="0" w:color="auto"/>
              <w:right w:val="single" w:sz="12" w:space="0" w:color="auto"/>
            </w:tcBorders>
            <w:shd w:val="clear" w:color="auto" w:fill="DDDDDD"/>
          </w:tcPr>
          <w:p w14:paraId="71C8DE4E" w14:textId="72C7E94E" w:rsidR="00F926CF" w:rsidRDefault="00F926CF" w:rsidP="00F926CF">
            <w:pPr>
              <w:jc w:val="right"/>
              <w:rPr>
                <w:rFonts w:ascii="Arial" w:hAnsi="Arial" w:cs="Arial"/>
                <w:sz w:val="20"/>
              </w:rPr>
            </w:pPr>
            <w:r>
              <w:rPr>
                <w:rFonts w:ascii="Arial" w:hAnsi="Arial" w:cs="Arial"/>
                <w:sz w:val="20"/>
              </w:rPr>
              <w:t>10%</w:t>
            </w:r>
          </w:p>
        </w:tc>
      </w:tr>
      <w:tr w:rsidR="007C73F6" w14:paraId="1FDE9133" w14:textId="77777777" w:rsidTr="0031485E">
        <w:tc>
          <w:tcPr>
            <w:tcW w:w="2268" w:type="dxa"/>
            <w:vMerge w:val="restart"/>
            <w:tcBorders>
              <w:top w:val="single" w:sz="12" w:space="0" w:color="auto"/>
              <w:left w:val="single" w:sz="12" w:space="0" w:color="auto"/>
              <w:right w:val="single" w:sz="12" w:space="0" w:color="auto"/>
            </w:tcBorders>
            <w:shd w:val="clear" w:color="auto" w:fill="DDDDDD"/>
          </w:tcPr>
          <w:p w14:paraId="5D9A0EB5" w14:textId="3C6CE822" w:rsidR="00F926CF" w:rsidRPr="00F926CF" w:rsidRDefault="00F926CF" w:rsidP="00F926CF">
            <w:pPr>
              <w:jc w:val="center"/>
              <w:rPr>
                <w:rFonts w:ascii="Arial" w:hAnsi="Arial" w:cs="Arial"/>
                <w:b/>
                <w:bCs/>
                <w:sz w:val="20"/>
              </w:rPr>
            </w:pPr>
            <w:r w:rsidRPr="00F926CF">
              <w:rPr>
                <w:rFonts w:ascii="Arial" w:hAnsi="Arial" w:cs="Arial"/>
                <w:b/>
                <w:bCs/>
                <w:sz w:val="20"/>
              </w:rPr>
              <w:t>CRIMINAL DIVISION</w:t>
            </w:r>
          </w:p>
        </w:tc>
        <w:tc>
          <w:tcPr>
            <w:tcW w:w="1134" w:type="dxa"/>
            <w:vMerge w:val="restart"/>
            <w:tcBorders>
              <w:top w:val="single" w:sz="12" w:space="0" w:color="auto"/>
              <w:left w:val="single" w:sz="12" w:space="0" w:color="auto"/>
            </w:tcBorders>
          </w:tcPr>
          <w:p w14:paraId="7A33302F" w14:textId="41FF56E9" w:rsidR="00F926CF" w:rsidRDefault="00F926CF" w:rsidP="00F926CF">
            <w:pPr>
              <w:jc w:val="right"/>
              <w:rPr>
                <w:rFonts w:ascii="Arial" w:hAnsi="Arial" w:cs="Arial"/>
                <w:sz w:val="20"/>
              </w:rPr>
            </w:pPr>
            <w:r>
              <w:rPr>
                <w:rFonts w:ascii="Arial" w:hAnsi="Arial" w:cs="Arial"/>
                <w:sz w:val="20"/>
              </w:rPr>
              <w:t>11118</w:t>
            </w:r>
          </w:p>
        </w:tc>
        <w:tc>
          <w:tcPr>
            <w:tcW w:w="2268" w:type="dxa"/>
            <w:tcBorders>
              <w:top w:val="single" w:sz="12" w:space="0" w:color="auto"/>
            </w:tcBorders>
          </w:tcPr>
          <w:p w14:paraId="18CC73A3" w14:textId="1017F511" w:rsidR="00F926CF" w:rsidRPr="00F926CF" w:rsidRDefault="00F926CF" w:rsidP="00F926CF">
            <w:pPr>
              <w:jc w:val="center"/>
              <w:rPr>
                <w:rFonts w:ascii="Arial" w:hAnsi="Arial" w:cs="Arial"/>
                <w:b/>
                <w:bCs/>
                <w:sz w:val="20"/>
              </w:rPr>
            </w:pPr>
            <w:r w:rsidRPr="00F926CF">
              <w:rPr>
                <w:rFonts w:ascii="Arial" w:hAnsi="Arial" w:cs="Arial"/>
                <w:b/>
                <w:bCs/>
                <w:sz w:val="20"/>
              </w:rPr>
              <w:t>Crim</w:t>
            </w:r>
            <w:r w:rsidR="007C73F6">
              <w:rPr>
                <w:rFonts w:ascii="Arial" w:hAnsi="Arial" w:cs="Arial"/>
                <w:b/>
                <w:bCs/>
                <w:sz w:val="20"/>
              </w:rPr>
              <w:t>inal Cases</w:t>
            </w:r>
          </w:p>
        </w:tc>
        <w:tc>
          <w:tcPr>
            <w:tcW w:w="1134" w:type="dxa"/>
            <w:tcBorders>
              <w:top w:val="single" w:sz="12" w:space="0" w:color="auto"/>
              <w:right w:val="single" w:sz="12" w:space="0" w:color="auto"/>
            </w:tcBorders>
          </w:tcPr>
          <w:p w14:paraId="767CF1BA" w14:textId="77F9727C" w:rsidR="00F926CF" w:rsidRDefault="00F926CF" w:rsidP="00F926CF">
            <w:pPr>
              <w:jc w:val="right"/>
              <w:rPr>
                <w:rFonts w:ascii="Arial" w:hAnsi="Arial" w:cs="Arial"/>
                <w:sz w:val="20"/>
              </w:rPr>
            </w:pPr>
            <w:r>
              <w:rPr>
                <w:rFonts w:ascii="Arial" w:hAnsi="Arial" w:cs="Arial"/>
                <w:sz w:val="20"/>
              </w:rPr>
              <w:t>8197</w:t>
            </w:r>
          </w:p>
        </w:tc>
        <w:tc>
          <w:tcPr>
            <w:tcW w:w="907" w:type="dxa"/>
            <w:tcBorders>
              <w:top w:val="single" w:sz="12" w:space="0" w:color="auto"/>
              <w:left w:val="single" w:sz="12" w:space="0" w:color="auto"/>
              <w:right w:val="single" w:sz="12" w:space="0" w:color="auto"/>
            </w:tcBorders>
            <w:shd w:val="clear" w:color="auto" w:fill="DDDDDD"/>
          </w:tcPr>
          <w:p w14:paraId="325271A5" w14:textId="0D1824E5" w:rsidR="00F926CF" w:rsidRDefault="00F926CF" w:rsidP="00F926CF">
            <w:pPr>
              <w:jc w:val="right"/>
              <w:rPr>
                <w:rFonts w:ascii="Arial" w:hAnsi="Arial" w:cs="Arial"/>
                <w:sz w:val="20"/>
              </w:rPr>
            </w:pPr>
            <w:r>
              <w:rPr>
                <w:rFonts w:ascii="Arial" w:hAnsi="Arial" w:cs="Arial"/>
                <w:sz w:val="20"/>
              </w:rPr>
              <w:t>27%</w:t>
            </w:r>
          </w:p>
        </w:tc>
      </w:tr>
      <w:tr w:rsidR="007C73F6" w14:paraId="123F1BA7" w14:textId="77777777" w:rsidTr="0031485E">
        <w:tc>
          <w:tcPr>
            <w:tcW w:w="2268" w:type="dxa"/>
            <w:vMerge/>
            <w:tcBorders>
              <w:left w:val="single" w:sz="12" w:space="0" w:color="auto"/>
              <w:bottom w:val="single" w:sz="12" w:space="0" w:color="auto"/>
              <w:right w:val="single" w:sz="12" w:space="0" w:color="auto"/>
            </w:tcBorders>
            <w:shd w:val="clear" w:color="auto" w:fill="DDDDDD"/>
          </w:tcPr>
          <w:p w14:paraId="3875053B" w14:textId="77777777" w:rsidR="00F926CF" w:rsidRDefault="00F926CF" w:rsidP="00F926CF">
            <w:pPr>
              <w:jc w:val="both"/>
              <w:rPr>
                <w:rFonts w:ascii="Arial" w:hAnsi="Arial" w:cs="Arial"/>
                <w:sz w:val="20"/>
              </w:rPr>
            </w:pPr>
          </w:p>
        </w:tc>
        <w:tc>
          <w:tcPr>
            <w:tcW w:w="1134" w:type="dxa"/>
            <w:vMerge/>
            <w:tcBorders>
              <w:left w:val="single" w:sz="12" w:space="0" w:color="auto"/>
              <w:bottom w:val="single" w:sz="12" w:space="0" w:color="auto"/>
            </w:tcBorders>
          </w:tcPr>
          <w:p w14:paraId="7C5668A5" w14:textId="0EDFB376" w:rsidR="00F926CF" w:rsidRDefault="00F926CF" w:rsidP="00F926CF">
            <w:pPr>
              <w:jc w:val="right"/>
              <w:rPr>
                <w:rFonts w:ascii="Arial" w:hAnsi="Arial" w:cs="Arial"/>
                <w:sz w:val="20"/>
              </w:rPr>
            </w:pPr>
          </w:p>
        </w:tc>
        <w:tc>
          <w:tcPr>
            <w:tcW w:w="2268" w:type="dxa"/>
            <w:tcBorders>
              <w:bottom w:val="single" w:sz="12" w:space="0" w:color="auto"/>
            </w:tcBorders>
          </w:tcPr>
          <w:p w14:paraId="19F97555" w14:textId="4A357E8B" w:rsidR="00F926CF" w:rsidRPr="00F926CF" w:rsidRDefault="00F926CF" w:rsidP="00F926CF">
            <w:pPr>
              <w:jc w:val="center"/>
              <w:rPr>
                <w:rFonts w:ascii="Arial" w:hAnsi="Arial" w:cs="Arial"/>
                <w:b/>
                <w:bCs/>
                <w:sz w:val="20"/>
              </w:rPr>
            </w:pPr>
            <w:r w:rsidRPr="00F926CF">
              <w:rPr>
                <w:rFonts w:ascii="Arial" w:hAnsi="Arial" w:cs="Arial"/>
                <w:b/>
                <w:bCs/>
                <w:sz w:val="20"/>
              </w:rPr>
              <w:t>CAYPINS</w:t>
            </w:r>
          </w:p>
        </w:tc>
        <w:tc>
          <w:tcPr>
            <w:tcW w:w="1134" w:type="dxa"/>
            <w:tcBorders>
              <w:bottom w:val="single" w:sz="12" w:space="0" w:color="auto"/>
              <w:right w:val="single" w:sz="12" w:space="0" w:color="auto"/>
            </w:tcBorders>
          </w:tcPr>
          <w:p w14:paraId="12170D3B" w14:textId="51D6D8A0" w:rsidR="00F926CF" w:rsidRDefault="00F926CF" w:rsidP="00F926CF">
            <w:pPr>
              <w:jc w:val="right"/>
              <w:rPr>
                <w:rFonts w:ascii="Arial" w:hAnsi="Arial" w:cs="Arial"/>
                <w:sz w:val="20"/>
              </w:rPr>
            </w:pPr>
            <w:r>
              <w:rPr>
                <w:rFonts w:ascii="Arial" w:hAnsi="Arial" w:cs="Arial"/>
                <w:sz w:val="20"/>
              </w:rPr>
              <w:t>2921</w:t>
            </w:r>
          </w:p>
        </w:tc>
        <w:tc>
          <w:tcPr>
            <w:tcW w:w="907" w:type="dxa"/>
            <w:tcBorders>
              <w:left w:val="single" w:sz="12" w:space="0" w:color="auto"/>
              <w:bottom w:val="single" w:sz="12" w:space="0" w:color="auto"/>
              <w:right w:val="single" w:sz="12" w:space="0" w:color="auto"/>
            </w:tcBorders>
            <w:shd w:val="clear" w:color="auto" w:fill="DDDDDD"/>
          </w:tcPr>
          <w:p w14:paraId="196351A0" w14:textId="6BD13000" w:rsidR="00F926CF" w:rsidRDefault="00F926CF" w:rsidP="00F926CF">
            <w:pPr>
              <w:jc w:val="right"/>
              <w:rPr>
                <w:rFonts w:ascii="Arial" w:hAnsi="Arial" w:cs="Arial"/>
                <w:sz w:val="20"/>
              </w:rPr>
            </w:pPr>
            <w:r>
              <w:rPr>
                <w:rFonts w:ascii="Arial" w:hAnsi="Arial" w:cs="Arial"/>
                <w:sz w:val="20"/>
              </w:rPr>
              <w:t>9%</w:t>
            </w:r>
          </w:p>
        </w:tc>
      </w:tr>
      <w:tr w:rsidR="00F926CF" w:rsidRPr="00F926CF" w14:paraId="7EBE4372" w14:textId="77777777" w:rsidTr="0031485E">
        <w:tc>
          <w:tcPr>
            <w:tcW w:w="2268" w:type="dxa"/>
            <w:tcBorders>
              <w:top w:val="single" w:sz="12" w:space="0" w:color="auto"/>
              <w:left w:val="single" w:sz="12" w:space="0" w:color="auto"/>
              <w:bottom w:val="single" w:sz="12" w:space="0" w:color="auto"/>
              <w:right w:val="single" w:sz="12" w:space="0" w:color="auto"/>
            </w:tcBorders>
            <w:shd w:val="clear" w:color="auto" w:fill="DDDDDD"/>
          </w:tcPr>
          <w:p w14:paraId="1A1495CF" w14:textId="3E004300" w:rsidR="00F926CF" w:rsidRPr="00F926CF" w:rsidRDefault="00F926CF" w:rsidP="00F926CF">
            <w:pPr>
              <w:jc w:val="center"/>
              <w:rPr>
                <w:rFonts w:ascii="Arial" w:hAnsi="Arial" w:cs="Arial"/>
                <w:b/>
                <w:bCs/>
                <w:sz w:val="20"/>
              </w:rPr>
            </w:pPr>
            <w:r w:rsidRPr="00F926CF">
              <w:rPr>
                <w:rFonts w:ascii="Arial" w:hAnsi="Arial" w:cs="Arial"/>
                <w:b/>
                <w:bCs/>
                <w:sz w:val="20"/>
              </w:rPr>
              <w:t>TOTALS</w:t>
            </w:r>
          </w:p>
        </w:tc>
        <w:tc>
          <w:tcPr>
            <w:tcW w:w="1134" w:type="dxa"/>
            <w:tcBorders>
              <w:top w:val="single" w:sz="12" w:space="0" w:color="auto"/>
              <w:left w:val="single" w:sz="12" w:space="0" w:color="auto"/>
              <w:bottom w:val="single" w:sz="12" w:space="0" w:color="auto"/>
            </w:tcBorders>
            <w:shd w:val="clear" w:color="auto" w:fill="DDDDDD"/>
          </w:tcPr>
          <w:p w14:paraId="22C3EC42" w14:textId="2F8C905F" w:rsidR="00F926CF" w:rsidRPr="00F926CF" w:rsidRDefault="00F926CF" w:rsidP="00F926CF">
            <w:pPr>
              <w:jc w:val="right"/>
              <w:rPr>
                <w:rFonts w:ascii="Arial" w:hAnsi="Arial" w:cs="Arial"/>
                <w:b/>
                <w:bCs/>
                <w:sz w:val="20"/>
              </w:rPr>
            </w:pPr>
            <w:r w:rsidRPr="00F926CF">
              <w:rPr>
                <w:rFonts w:ascii="Arial" w:hAnsi="Arial" w:cs="Arial"/>
                <w:b/>
                <w:bCs/>
                <w:sz w:val="20"/>
              </w:rPr>
              <w:t>30965</w:t>
            </w:r>
          </w:p>
        </w:tc>
        <w:tc>
          <w:tcPr>
            <w:tcW w:w="2268" w:type="dxa"/>
            <w:tcBorders>
              <w:top w:val="single" w:sz="12" w:space="0" w:color="auto"/>
              <w:bottom w:val="single" w:sz="12" w:space="0" w:color="auto"/>
            </w:tcBorders>
            <w:shd w:val="clear" w:color="auto" w:fill="DDDDDD"/>
          </w:tcPr>
          <w:p w14:paraId="514B7372" w14:textId="77777777" w:rsidR="00F926CF" w:rsidRPr="00F926CF" w:rsidRDefault="00F926CF" w:rsidP="00F926CF">
            <w:pPr>
              <w:jc w:val="both"/>
              <w:rPr>
                <w:rFonts w:ascii="Arial" w:hAnsi="Arial" w:cs="Arial"/>
                <w:b/>
                <w:bCs/>
                <w:sz w:val="20"/>
              </w:rPr>
            </w:pPr>
          </w:p>
        </w:tc>
        <w:tc>
          <w:tcPr>
            <w:tcW w:w="1134" w:type="dxa"/>
            <w:tcBorders>
              <w:top w:val="single" w:sz="12" w:space="0" w:color="auto"/>
              <w:bottom w:val="single" w:sz="12" w:space="0" w:color="auto"/>
              <w:right w:val="single" w:sz="12" w:space="0" w:color="auto"/>
            </w:tcBorders>
            <w:shd w:val="clear" w:color="auto" w:fill="DDDDDD"/>
          </w:tcPr>
          <w:p w14:paraId="5698C397" w14:textId="17C9A1DB" w:rsidR="00F926CF" w:rsidRPr="00F926CF" w:rsidRDefault="00F926CF" w:rsidP="00F926CF">
            <w:pPr>
              <w:jc w:val="right"/>
              <w:rPr>
                <w:rFonts w:ascii="Arial" w:hAnsi="Arial" w:cs="Arial"/>
                <w:b/>
                <w:bCs/>
                <w:sz w:val="20"/>
              </w:rPr>
            </w:pPr>
            <w:r>
              <w:rPr>
                <w:rFonts w:ascii="Arial" w:hAnsi="Arial" w:cs="Arial"/>
                <w:b/>
                <w:bCs/>
                <w:sz w:val="20"/>
              </w:rPr>
              <w:t>30965</w:t>
            </w:r>
          </w:p>
        </w:tc>
        <w:tc>
          <w:tcPr>
            <w:tcW w:w="907" w:type="dxa"/>
            <w:tcBorders>
              <w:top w:val="single" w:sz="12" w:space="0" w:color="auto"/>
              <w:left w:val="single" w:sz="12" w:space="0" w:color="auto"/>
              <w:bottom w:val="single" w:sz="12" w:space="0" w:color="auto"/>
              <w:right w:val="single" w:sz="12" w:space="0" w:color="auto"/>
            </w:tcBorders>
            <w:shd w:val="clear" w:color="auto" w:fill="DDDDDD"/>
          </w:tcPr>
          <w:p w14:paraId="3D945644" w14:textId="641CC613" w:rsidR="00F926CF" w:rsidRPr="00F926CF" w:rsidRDefault="00F926CF" w:rsidP="00F926CF">
            <w:pPr>
              <w:jc w:val="right"/>
              <w:rPr>
                <w:rFonts w:ascii="Arial" w:hAnsi="Arial" w:cs="Arial"/>
                <w:b/>
                <w:bCs/>
                <w:sz w:val="20"/>
              </w:rPr>
            </w:pPr>
            <w:r>
              <w:rPr>
                <w:rFonts w:ascii="Arial" w:hAnsi="Arial" w:cs="Arial"/>
                <w:b/>
                <w:bCs/>
                <w:sz w:val="20"/>
              </w:rPr>
              <w:t>100%</w:t>
            </w:r>
          </w:p>
        </w:tc>
      </w:tr>
    </w:tbl>
    <w:p w14:paraId="4E53BF04" w14:textId="47D54911" w:rsidR="007C73F6" w:rsidRPr="0031485E" w:rsidRDefault="007C73F6" w:rsidP="009C44AF">
      <w:pPr>
        <w:jc w:val="both"/>
        <w:rPr>
          <w:rFonts w:ascii="Arial" w:hAnsi="Arial" w:cs="Arial"/>
          <w:sz w:val="12"/>
          <w:szCs w:val="16"/>
        </w:rPr>
      </w:pPr>
    </w:p>
    <w:tbl>
      <w:tblPr>
        <w:tblStyle w:val="TableGrid"/>
        <w:tblW w:w="7711" w:type="dxa"/>
        <w:tblInd w:w="652" w:type="dxa"/>
        <w:tblLook w:val="04A0" w:firstRow="1" w:lastRow="0" w:firstColumn="1" w:lastColumn="0" w:noHBand="0" w:noVBand="1"/>
      </w:tblPr>
      <w:tblGrid>
        <w:gridCol w:w="2268"/>
        <w:gridCol w:w="1134"/>
        <w:gridCol w:w="2268"/>
        <w:gridCol w:w="1134"/>
        <w:gridCol w:w="907"/>
      </w:tblGrid>
      <w:tr w:rsidR="009C44AF" w:rsidRPr="009C44AF" w14:paraId="18FB5F21" w14:textId="77777777" w:rsidTr="0031485E">
        <w:tc>
          <w:tcPr>
            <w:tcW w:w="7711" w:type="dxa"/>
            <w:gridSpan w:val="5"/>
            <w:tcBorders>
              <w:top w:val="single" w:sz="12" w:space="0" w:color="auto"/>
              <w:left w:val="single" w:sz="12" w:space="0" w:color="auto"/>
              <w:bottom w:val="single" w:sz="12" w:space="0" w:color="auto"/>
              <w:right w:val="single" w:sz="12" w:space="0" w:color="auto"/>
            </w:tcBorders>
            <w:shd w:val="clear" w:color="auto" w:fill="000000" w:themeFill="text1"/>
          </w:tcPr>
          <w:p w14:paraId="12A682FA" w14:textId="685E2FE8" w:rsidR="009C44AF" w:rsidRPr="009C44AF" w:rsidRDefault="009C44AF" w:rsidP="009C44AF">
            <w:pPr>
              <w:jc w:val="center"/>
              <w:rPr>
                <w:rFonts w:ascii="Arial" w:hAnsi="Arial" w:cs="Arial"/>
                <w:b/>
                <w:bCs/>
                <w:sz w:val="20"/>
              </w:rPr>
            </w:pPr>
            <w:r w:rsidRPr="009C44AF">
              <w:rPr>
                <w:rFonts w:ascii="Arial" w:hAnsi="Arial" w:cs="Arial"/>
                <w:b/>
                <w:bCs/>
                <w:sz w:val="20"/>
              </w:rPr>
              <w:t>FINALISATION STATISTICS 202</w:t>
            </w:r>
            <w:r>
              <w:rPr>
                <w:rFonts w:ascii="Arial" w:hAnsi="Arial" w:cs="Arial"/>
                <w:b/>
                <w:bCs/>
                <w:sz w:val="20"/>
              </w:rPr>
              <w:t>3</w:t>
            </w:r>
            <w:r w:rsidRPr="009C44AF">
              <w:rPr>
                <w:rFonts w:ascii="Arial" w:hAnsi="Arial" w:cs="Arial"/>
                <w:b/>
                <w:bCs/>
                <w:sz w:val="20"/>
              </w:rPr>
              <w:t>/2</w:t>
            </w:r>
            <w:r>
              <w:rPr>
                <w:rFonts w:ascii="Arial" w:hAnsi="Arial" w:cs="Arial"/>
                <w:b/>
                <w:bCs/>
                <w:sz w:val="20"/>
              </w:rPr>
              <w:t>4</w:t>
            </w:r>
          </w:p>
        </w:tc>
      </w:tr>
      <w:tr w:rsidR="009C44AF" w14:paraId="5CC1C902" w14:textId="77777777" w:rsidTr="0031485E">
        <w:tc>
          <w:tcPr>
            <w:tcW w:w="2268" w:type="dxa"/>
            <w:vMerge w:val="restart"/>
            <w:tcBorders>
              <w:top w:val="single" w:sz="12" w:space="0" w:color="auto"/>
              <w:left w:val="single" w:sz="12" w:space="0" w:color="auto"/>
              <w:bottom w:val="single" w:sz="12" w:space="0" w:color="auto"/>
              <w:right w:val="single" w:sz="12" w:space="0" w:color="auto"/>
            </w:tcBorders>
            <w:shd w:val="clear" w:color="auto" w:fill="DDDDDD"/>
          </w:tcPr>
          <w:p w14:paraId="7E7D3234" w14:textId="77777777" w:rsidR="009C44AF" w:rsidRPr="00F926CF" w:rsidRDefault="009C44AF" w:rsidP="00125A58">
            <w:pPr>
              <w:jc w:val="center"/>
              <w:rPr>
                <w:rFonts w:ascii="Arial" w:hAnsi="Arial" w:cs="Arial"/>
                <w:b/>
                <w:bCs/>
                <w:sz w:val="20"/>
              </w:rPr>
            </w:pPr>
            <w:r w:rsidRPr="00F926CF">
              <w:rPr>
                <w:rFonts w:ascii="Arial" w:hAnsi="Arial" w:cs="Arial"/>
                <w:b/>
                <w:bCs/>
                <w:sz w:val="20"/>
              </w:rPr>
              <w:t>FAMILY DIVISION</w:t>
            </w:r>
          </w:p>
        </w:tc>
        <w:tc>
          <w:tcPr>
            <w:tcW w:w="1134" w:type="dxa"/>
            <w:vMerge w:val="restart"/>
            <w:tcBorders>
              <w:top w:val="single" w:sz="12" w:space="0" w:color="auto"/>
              <w:left w:val="single" w:sz="12" w:space="0" w:color="auto"/>
              <w:bottom w:val="single" w:sz="12" w:space="0" w:color="auto"/>
              <w:right w:val="single" w:sz="4" w:space="0" w:color="auto"/>
            </w:tcBorders>
          </w:tcPr>
          <w:p w14:paraId="23FBDE18" w14:textId="33A33C27" w:rsidR="009C44AF" w:rsidRDefault="009C44AF" w:rsidP="00125A58">
            <w:pPr>
              <w:jc w:val="right"/>
              <w:rPr>
                <w:rFonts w:ascii="Arial" w:hAnsi="Arial" w:cs="Arial"/>
                <w:sz w:val="20"/>
              </w:rPr>
            </w:pPr>
            <w:r>
              <w:rPr>
                <w:rFonts w:ascii="Arial" w:hAnsi="Arial" w:cs="Arial"/>
                <w:sz w:val="20"/>
              </w:rPr>
              <w:t>17</w:t>
            </w:r>
            <w:r w:rsidR="00412F6C">
              <w:rPr>
                <w:rFonts w:ascii="Arial" w:hAnsi="Arial" w:cs="Arial"/>
                <w:sz w:val="20"/>
              </w:rPr>
              <w:t>534</w:t>
            </w:r>
          </w:p>
        </w:tc>
        <w:tc>
          <w:tcPr>
            <w:tcW w:w="2268" w:type="dxa"/>
            <w:tcBorders>
              <w:top w:val="single" w:sz="12" w:space="0" w:color="auto"/>
              <w:left w:val="single" w:sz="4" w:space="0" w:color="auto"/>
              <w:bottom w:val="single" w:sz="4" w:space="0" w:color="auto"/>
              <w:right w:val="single" w:sz="4" w:space="0" w:color="auto"/>
            </w:tcBorders>
          </w:tcPr>
          <w:p w14:paraId="1083F319" w14:textId="77777777" w:rsidR="009C44AF" w:rsidRPr="00F926CF" w:rsidRDefault="009C44AF" w:rsidP="00125A58">
            <w:pPr>
              <w:jc w:val="center"/>
              <w:rPr>
                <w:rFonts w:ascii="Arial" w:hAnsi="Arial" w:cs="Arial"/>
                <w:b/>
                <w:bCs/>
                <w:sz w:val="20"/>
              </w:rPr>
            </w:pPr>
            <w:r w:rsidRPr="00F926CF">
              <w:rPr>
                <w:rFonts w:ascii="Arial" w:hAnsi="Arial" w:cs="Arial"/>
                <w:b/>
                <w:bCs/>
                <w:sz w:val="20"/>
              </w:rPr>
              <w:t>Child Protection</w:t>
            </w:r>
          </w:p>
        </w:tc>
        <w:tc>
          <w:tcPr>
            <w:tcW w:w="1134" w:type="dxa"/>
            <w:tcBorders>
              <w:top w:val="single" w:sz="12" w:space="0" w:color="auto"/>
              <w:left w:val="single" w:sz="4" w:space="0" w:color="auto"/>
              <w:bottom w:val="single" w:sz="4" w:space="0" w:color="auto"/>
              <w:right w:val="single" w:sz="12" w:space="0" w:color="auto"/>
            </w:tcBorders>
          </w:tcPr>
          <w:p w14:paraId="3111B849" w14:textId="7C5BAB1C" w:rsidR="009C44AF" w:rsidRDefault="009C44AF" w:rsidP="00125A58">
            <w:pPr>
              <w:jc w:val="right"/>
              <w:rPr>
                <w:rFonts w:ascii="Arial" w:hAnsi="Arial" w:cs="Arial"/>
                <w:sz w:val="20"/>
              </w:rPr>
            </w:pPr>
            <w:r>
              <w:rPr>
                <w:rFonts w:ascii="Arial" w:hAnsi="Arial" w:cs="Arial"/>
                <w:sz w:val="20"/>
              </w:rPr>
              <w:t>14384</w:t>
            </w:r>
          </w:p>
        </w:tc>
        <w:tc>
          <w:tcPr>
            <w:tcW w:w="907" w:type="dxa"/>
            <w:tcBorders>
              <w:top w:val="single" w:sz="12" w:space="0" w:color="auto"/>
              <w:left w:val="single" w:sz="12" w:space="0" w:color="auto"/>
              <w:bottom w:val="single" w:sz="4" w:space="0" w:color="auto"/>
              <w:right w:val="single" w:sz="12" w:space="0" w:color="auto"/>
            </w:tcBorders>
            <w:shd w:val="clear" w:color="auto" w:fill="DDDDDD"/>
          </w:tcPr>
          <w:p w14:paraId="0FD796D3" w14:textId="2030CDAA" w:rsidR="009C44AF" w:rsidRDefault="009C44AF" w:rsidP="00125A58">
            <w:pPr>
              <w:jc w:val="right"/>
              <w:rPr>
                <w:rFonts w:ascii="Arial" w:hAnsi="Arial" w:cs="Arial"/>
                <w:sz w:val="20"/>
              </w:rPr>
            </w:pPr>
            <w:r>
              <w:rPr>
                <w:rFonts w:ascii="Arial" w:hAnsi="Arial" w:cs="Arial"/>
                <w:sz w:val="20"/>
              </w:rPr>
              <w:t>48%</w:t>
            </w:r>
          </w:p>
        </w:tc>
      </w:tr>
      <w:tr w:rsidR="009C44AF" w14:paraId="744CDCCB" w14:textId="77777777" w:rsidTr="0031485E">
        <w:tc>
          <w:tcPr>
            <w:tcW w:w="2268" w:type="dxa"/>
            <w:vMerge/>
            <w:tcBorders>
              <w:top w:val="single" w:sz="12" w:space="0" w:color="auto"/>
              <w:left w:val="single" w:sz="12" w:space="0" w:color="auto"/>
              <w:bottom w:val="single" w:sz="12" w:space="0" w:color="auto"/>
              <w:right w:val="single" w:sz="12" w:space="0" w:color="auto"/>
            </w:tcBorders>
            <w:shd w:val="clear" w:color="auto" w:fill="DDDDDD"/>
          </w:tcPr>
          <w:p w14:paraId="11493FF3" w14:textId="77777777" w:rsidR="009C44AF" w:rsidRPr="00F926CF" w:rsidRDefault="009C44AF" w:rsidP="00125A58">
            <w:pPr>
              <w:jc w:val="center"/>
              <w:rPr>
                <w:rFonts w:ascii="Arial" w:hAnsi="Arial" w:cs="Arial"/>
                <w:b/>
                <w:bCs/>
                <w:sz w:val="20"/>
              </w:rPr>
            </w:pPr>
          </w:p>
        </w:tc>
        <w:tc>
          <w:tcPr>
            <w:tcW w:w="1134" w:type="dxa"/>
            <w:vMerge/>
            <w:tcBorders>
              <w:top w:val="single" w:sz="12" w:space="0" w:color="auto"/>
              <w:left w:val="single" w:sz="12" w:space="0" w:color="auto"/>
              <w:bottom w:val="single" w:sz="12" w:space="0" w:color="auto"/>
              <w:right w:val="single" w:sz="4" w:space="0" w:color="auto"/>
            </w:tcBorders>
          </w:tcPr>
          <w:p w14:paraId="4227082C" w14:textId="77777777" w:rsidR="009C44AF" w:rsidRDefault="009C44AF" w:rsidP="00125A58">
            <w:pPr>
              <w:jc w:val="right"/>
              <w:rPr>
                <w:rFonts w:ascii="Arial" w:hAnsi="Arial" w:cs="Arial"/>
                <w:sz w:val="20"/>
              </w:rPr>
            </w:pPr>
          </w:p>
        </w:tc>
        <w:tc>
          <w:tcPr>
            <w:tcW w:w="2268" w:type="dxa"/>
            <w:tcBorders>
              <w:top w:val="single" w:sz="4" w:space="0" w:color="auto"/>
              <w:left w:val="single" w:sz="4" w:space="0" w:color="auto"/>
              <w:bottom w:val="single" w:sz="12" w:space="0" w:color="auto"/>
              <w:right w:val="single" w:sz="4" w:space="0" w:color="auto"/>
            </w:tcBorders>
          </w:tcPr>
          <w:p w14:paraId="6E7150FB" w14:textId="77777777" w:rsidR="009C44AF" w:rsidRPr="00F926CF" w:rsidRDefault="009C44AF" w:rsidP="00125A58">
            <w:pPr>
              <w:jc w:val="center"/>
              <w:rPr>
                <w:rFonts w:ascii="Arial" w:hAnsi="Arial" w:cs="Arial"/>
                <w:b/>
                <w:bCs/>
                <w:sz w:val="20"/>
              </w:rPr>
            </w:pPr>
            <w:r w:rsidRPr="00F926CF">
              <w:rPr>
                <w:rFonts w:ascii="Arial" w:hAnsi="Arial" w:cs="Arial"/>
                <w:b/>
                <w:bCs/>
                <w:sz w:val="20"/>
              </w:rPr>
              <w:t>Intervention Orders</w:t>
            </w:r>
          </w:p>
        </w:tc>
        <w:tc>
          <w:tcPr>
            <w:tcW w:w="1134" w:type="dxa"/>
            <w:tcBorders>
              <w:top w:val="single" w:sz="4" w:space="0" w:color="auto"/>
              <w:left w:val="single" w:sz="4" w:space="0" w:color="auto"/>
              <w:bottom w:val="single" w:sz="12" w:space="0" w:color="auto"/>
              <w:right w:val="single" w:sz="12" w:space="0" w:color="auto"/>
            </w:tcBorders>
          </w:tcPr>
          <w:p w14:paraId="0C3C9497" w14:textId="0D13859B" w:rsidR="009C44AF" w:rsidRPr="00412F6C" w:rsidRDefault="00412F6C" w:rsidP="00125A58">
            <w:pPr>
              <w:jc w:val="right"/>
              <w:rPr>
                <w:rFonts w:ascii="Arial" w:hAnsi="Arial" w:cs="Arial"/>
                <w:sz w:val="20"/>
              </w:rPr>
            </w:pPr>
            <w:r w:rsidRPr="00412F6C">
              <w:rPr>
                <w:rFonts w:ascii="Arial" w:hAnsi="Arial" w:cs="Arial"/>
                <w:sz w:val="20"/>
              </w:rPr>
              <w:t>3150</w:t>
            </w:r>
          </w:p>
        </w:tc>
        <w:tc>
          <w:tcPr>
            <w:tcW w:w="907" w:type="dxa"/>
            <w:tcBorders>
              <w:top w:val="single" w:sz="4" w:space="0" w:color="auto"/>
              <w:left w:val="single" w:sz="12" w:space="0" w:color="auto"/>
              <w:bottom w:val="single" w:sz="12" w:space="0" w:color="auto"/>
              <w:right w:val="single" w:sz="12" w:space="0" w:color="auto"/>
            </w:tcBorders>
            <w:shd w:val="clear" w:color="auto" w:fill="DDDDDD"/>
          </w:tcPr>
          <w:p w14:paraId="0B1D0B72" w14:textId="7A52F3CA" w:rsidR="009C44AF" w:rsidRDefault="009C44AF" w:rsidP="00125A58">
            <w:pPr>
              <w:jc w:val="right"/>
              <w:rPr>
                <w:rFonts w:ascii="Arial" w:hAnsi="Arial" w:cs="Arial"/>
                <w:sz w:val="20"/>
              </w:rPr>
            </w:pPr>
            <w:r>
              <w:rPr>
                <w:rFonts w:ascii="Arial" w:hAnsi="Arial" w:cs="Arial"/>
                <w:sz w:val="20"/>
              </w:rPr>
              <w:t>1</w:t>
            </w:r>
            <w:r w:rsidR="009E356C">
              <w:rPr>
                <w:rFonts w:ascii="Arial" w:hAnsi="Arial" w:cs="Arial"/>
                <w:sz w:val="20"/>
              </w:rPr>
              <w:t>1</w:t>
            </w:r>
            <w:r>
              <w:rPr>
                <w:rFonts w:ascii="Arial" w:hAnsi="Arial" w:cs="Arial"/>
                <w:sz w:val="20"/>
              </w:rPr>
              <w:t>%</w:t>
            </w:r>
          </w:p>
        </w:tc>
      </w:tr>
      <w:tr w:rsidR="009C44AF" w14:paraId="1D6E1020" w14:textId="77777777" w:rsidTr="0031485E">
        <w:tc>
          <w:tcPr>
            <w:tcW w:w="2268" w:type="dxa"/>
            <w:vMerge w:val="restart"/>
            <w:tcBorders>
              <w:top w:val="single" w:sz="12" w:space="0" w:color="auto"/>
              <w:left w:val="single" w:sz="12" w:space="0" w:color="auto"/>
              <w:right w:val="single" w:sz="12" w:space="0" w:color="auto"/>
            </w:tcBorders>
            <w:shd w:val="clear" w:color="auto" w:fill="DDDDDD"/>
          </w:tcPr>
          <w:p w14:paraId="43BF436B" w14:textId="77777777" w:rsidR="009C44AF" w:rsidRPr="00F926CF" w:rsidRDefault="009C44AF" w:rsidP="00125A58">
            <w:pPr>
              <w:jc w:val="center"/>
              <w:rPr>
                <w:rFonts w:ascii="Arial" w:hAnsi="Arial" w:cs="Arial"/>
                <w:b/>
                <w:bCs/>
                <w:sz w:val="20"/>
              </w:rPr>
            </w:pPr>
            <w:r w:rsidRPr="00F926CF">
              <w:rPr>
                <w:rFonts w:ascii="Arial" w:hAnsi="Arial" w:cs="Arial"/>
                <w:b/>
                <w:bCs/>
                <w:sz w:val="20"/>
              </w:rPr>
              <w:t>CRIMINAL DIVISION</w:t>
            </w:r>
          </w:p>
        </w:tc>
        <w:tc>
          <w:tcPr>
            <w:tcW w:w="1134" w:type="dxa"/>
            <w:vMerge w:val="restart"/>
            <w:tcBorders>
              <w:top w:val="single" w:sz="12" w:space="0" w:color="auto"/>
              <w:left w:val="single" w:sz="12" w:space="0" w:color="auto"/>
            </w:tcBorders>
          </w:tcPr>
          <w:p w14:paraId="1B8A3A76" w14:textId="1D466BCC" w:rsidR="009C44AF" w:rsidRDefault="009C44AF" w:rsidP="00125A58">
            <w:pPr>
              <w:jc w:val="right"/>
              <w:rPr>
                <w:rFonts w:ascii="Arial" w:hAnsi="Arial" w:cs="Arial"/>
                <w:sz w:val="20"/>
              </w:rPr>
            </w:pPr>
            <w:r>
              <w:rPr>
                <w:rFonts w:ascii="Arial" w:hAnsi="Arial" w:cs="Arial"/>
                <w:sz w:val="20"/>
              </w:rPr>
              <w:t>12</w:t>
            </w:r>
            <w:r w:rsidR="005D7C41">
              <w:rPr>
                <w:rFonts w:ascii="Arial" w:hAnsi="Arial" w:cs="Arial"/>
                <w:sz w:val="20"/>
              </w:rPr>
              <w:t>38</w:t>
            </w:r>
            <w:r>
              <w:rPr>
                <w:rFonts w:ascii="Arial" w:hAnsi="Arial" w:cs="Arial"/>
                <w:sz w:val="20"/>
              </w:rPr>
              <w:t>5</w:t>
            </w:r>
          </w:p>
        </w:tc>
        <w:tc>
          <w:tcPr>
            <w:tcW w:w="2268" w:type="dxa"/>
            <w:tcBorders>
              <w:top w:val="single" w:sz="12" w:space="0" w:color="auto"/>
            </w:tcBorders>
          </w:tcPr>
          <w:p w14:paraId="20F18B7F" w14:textId="77777777" w:rsidR="009C44AF" w:rsidRPr="00F926CF" w:rsidRDefault="009C44AF" w:rsidP="00125A58">
            <w:pPr>
              <w:jc w:val="center"/>
              <w:rPr>
                <w:rFonts w:ascii="Arial" w:hAnsi="Arial" w:cs="Arial"/>
                <w:b/>
                <w:bCs/>
                <w:sz w:val="20"/>
              </w:rPr>
            </w:pPr>
            <w:r w:rsidRPr="00F926CF">
              <w:rPr>
                <w:rFonts w:ascii="Arial" w:hAnsi="Arial" w:cs="Arial"/>
                <w:b/>
                <w:bCs/>
                <w:sz w:val="20"/>
              </w:rPr>
              <w:t>Crim</w:t>
            </w:r>
            <w:r>
              <w:rPr>
                <w:rFonts w:ascii="Arial" w:hAnsi="Arial" w:cs="Arial"/>
                <w:b/>
                <w:bCs/>
                <w:sz w:val="20"/>
              </w:rPr>
              <w:t>inal Cases</w:t>
            </w:r>
          </w:p>
        </w:tc>
        <w:tc>
          <w:tcPr>
            <w:tcW w:w="1134" w:type="dxa"/>
            <w:tcBorders>
              <w:top w:val="single" w:sz="12" w:space="0" w:color="auto"/>
              <w:right w:val="single" w:sz="12" w:space="0" w:color="auto"/>
            </w:tcBorders>
          </w:tcPr>
          <w:p w14:paraId="6D815DAD" w14:textId="5CF8B048" w:rsidR="009C44AF" w:rsidRDefault="009C44AF" w:rsidP="00125A58">
            <w:pPr>
              <w:jc w:val="right"/>
              <w:rPr>
                <w:rFonts w:ascii="Arial" w:hAnsi="Arial" w:cs="Arial"/>
                <w:sz w:val="20"/>
              </w:rPr>
            </w:pPr>
            <w:r>
              <w:rPr>
                <w:rFonts w:ascii="Arial" w:hAnsi="Arial" w:cs="Arial"/>
                <w:sz w:val="20"/>
              </w:rPr>
              <w:t>8040</w:t>
            </w:r>
          </w:p>
        </w:tc>
        <w:tc>
          <w:tcPr>
            <w:tcW w:w="907" w:type="dxa"/>
            <w:tcBorders>
              <w:top w:val="single" w:sz="12" w:space="0" w:color="auto"/>
              <w:left w:val="single" w:sz="12" w:space="0" w:color="auto"/>
              <w:right w:val="single" w:sz="12" w:space="0" w:color="auto"/>
            </w:tcBorders>
            <w:shd w:val="clear" w:color="auto" w:fill="DDDDDD"/>
          </w:tcPr>
          <w:p w14:paraId="16F3AE2F" w14:textId="77777777" w:rsidR="009C44AF" w:rsidRDefault="009C44AF" w:rsidP="00125A58">
            <w:pPr>
              <w:jc w:val="right"/>
              <w:rPr>
                <w:rFonts w:ascii="Arial" w:hAnsi="Arial" w:cs="Arial"/>
                <w:sz w:val="20"/>
              </w:rPr>
            </w:pPr>
            <w:r>
              <w:rPr>
                <w:rFonts w:ascii="Arial" w:hAnsi="Arial" w:cs="Arial"/>
                <w:sz w:val="20"/>
              </w:rPr>
              <w:t>27%</w:t>
            </w:r>
          </w:p>
        </w:tc>
      </w:tr>
      <w:tr w:rsidR="009C44AF" w14:paraId="3957B302" w14:textId="77777777" w:rsidTr="0031485E">
        <w:tc>
          <w:tcPr>
            <w:tcW w:w="2268" w:type="dxa"/>
            <w:vMerge/>
            <w:tcBorders>
              <w:left w:val="single" w:sz="12" w:space="0" w:color="auto"/>
              <w:bottom w:val="single" w:sz="12" w:space="0" w:color="auto"/>
              <w:right w:val="single" w:sz="12" w:space="0" w:color="auto"/>
            </w:tcBorders>
            <w:shd w:val="clear" w:color="auto" w:fill="DDDDDD"/>
          </w:tcPr>
          <w:p w14:paraId="226D674E" w14:textId="77777777" w:rsidR="009C44AF" w:rsidRDefault="009C44AF" w:rsidP="00125A58">
            <w:pPr>
              <w:jc w:val="both"/>
              <w:rPr>
                <w:rFonts w:ascii="Arial" w:hAnsi="Arial" w:cs="Arial"/>
                <w:sz w:val="20"/>
              </w:rPr>
            </w:pPr>
          </w:p>
        </w:tc>
        <w:tc>
          <w:tcPr>
            <w:tcW w:w="1134" w:type="dxa"/>
            <w:vMerge/>
            <w:tcBorders>
              <w:left w:val="single" w:sz="12" w:space="0" w:color="auto"/>
              <w:bottom w:val="single" w:sz="12" w:space="0" w:color="auto"/>
            </w:tcBorders>
          </w:tcPr>
          <w:p w14:paraId="5A20E058" w14:textId="77777777" w:rsidR="009C44AF" w:rsidRDefault="009C44AF" w:rsidP="00125A58">
            <w:pPr>
              <w:jc w:val="right"/>
              <w:rPr>
                <w:rFonts w:ascii="Arial" w:hAnsi="Arial" w:cs="Arial"/>
                <w:sz w:val="20"/>
              </w:rPr>
            </w:pPr>
          </w:p>
        </w:tc>
        <w:tc>
          <w:tcPr>
            <w:tcW w:w="2268" w:type="dxa"/>
            <w:tcBorders>
              <w:bottom w:val="single" w:sz="12" w:space="0" w:color="auto"/>
            </w:tcBorders>
          </w:tcPr>
          <w:p w14:paraId="3A4B74F9" w14:textId="77777777" w:rsidR="009C44AF" w:rsidRPr="00F926CF" w:rsidRDefault="009C44AF" w:rsidP="00125A58">
            <w:pPr>
              <w:jc w:val="center"/>
              <w:rPr>
                <w:rFonts w:ascii="Arial" w:hAnsi="Arial" w:cs="Arial"/>
                <w:b/>
                <w:bCs/>
                <w:sz w:val="20"/>
              </w:rPr>
            </w:pPr>
            <w:r w:rsidRPr="00F926CF">
              <w:rPr>
                <w:rFonts w:ascii="Arial" w:hAnsi="Arial" w:cs="Arial"/>
                <w:b/>
                <w:bCs/>
                <w:sz w:val="20"/>
              </w:rPr>
              <w:t>CAYPINS</w:t>
            </w:r>
          </w:p>
        </w:tc>
        <w:tc>
          <w:tcPr>
            <w:tcW w:w="1134" w:type="dxa"/>
            <w:tcBorders>
              <w:bottom w:val="single" w:sz="12" w:space="0" w:color="auto"/>
              <w:right w:val="single" w:sz="12" w:space="0" w:color="auto"/>
            </w:tcBorders>
          </w:tcPr>
          <w:p w14:paraId="7BD34899" w14:textId="59832FD3" w:rsidR="009C44AF" w:rsidRDefault="009C44AF" w:rsidP="00125A58">
            <w:pPr>
              <w:jc w:val="right"/>
              <w:rPr>
                <w:rFonts w:ascii="Arial" w:hAnsi="Arial" w:cs="Arial"/>
                <w:sz w:val="20"/>
              </w:rPr>
            </w:pPr>
            <w:r>
              <w:rPr>
                <w:rFonts w:ascii="Arial" w:hAnsi="Arial" w:cs="Arial"/>
                <w:sz w:val="20"/>
              </w:rPr>
              <w:t>4345</w:t>
            </w:r>
          </w:p>
        </w:tc>
        <w:tc>
          <w:tcPr>
            <w:tcW w:w="907" w:type="dxa"/>
            <w:tcBorders>
              <w:left w:val="single" w:sz="12" w:space="0" w:color="auto"/>
              <w:bottom w:val="single" w:sz="12" w:space="0" w:color="auto"/>
              <w:right w:val="single" w:sz="12" w:space="0" w:color="auto"/>
            </w:tcBorders>
            <w:shd w:val="clear" w:color="auto" w:fill="DDDDDD"/>
          </w:tcPr>
          <w:p w14:paraId="7395151B" w14:textId="78768CB5" w:rsidR="009C44AF" w:rsidRDefault="009C44AF" w:rsidP="00125A58">
            <w:pPr>
              <w:jc w:val="right"/>
              <w:rPr>
                <w:rFonts w:ascii="Arial" w:hAnsi="Arial" w:cs="Arial"/>
                <w:sz w:val="20"/>
              </w:rPr>
            </w:pPr>
            <w:r>
              <w:rPr>
                <w:rFonts w:ascii="Arial" w:hAnsi="Arial" w:cs="Arial"/>
                <w:sz w:val="20"/>
              </w:rPr>
              <w:t>1</w:t>
            </w:r>
            <w:r w:rsidR="009E356C">
              <w:rPr>
                <w:rFonts w:ascii="Arial" w:hAnsi="Arial" w:cs="Arial"/>
                <w:sz w:val="20"/>
              </w:rPr>
              <w:t>4</w:t>
            </w:r>
            <w:r>
              <w:rPr>
                <w:rFonts w:ascii="Arial" w:hAnsi="Arial" w:cs="Arial"/>
                <w:sz w:val="20"/>
              </w:rPr>
              <w:t>%</w:t>
            </w:r>
          </w:p>
        </w:tc>
      </w:tr>
      <w:tr w:rsidR="009C44AF" w:rsidRPr="00F926CF" w14:paraId="0DFF4D36" w14:textId="77777777" w:rsidTr="0031485E">
        <w:tc>
          <w:tcPr>
            <w:tcW w:w="2268" w:type="dxa"/>
            <w:tcBorders>
              <w:top w:val="single" w:sz="12" w:space="0" w:color="auto"/>
              <w:left w:val="single" w:sz="12" w:space="0" w:color="auto"/>
              <w:bottom w:val="single" w:sz="12" w:space="0" w:color="auto"/>
              <w:right w:val="single" w:sz="12" w:space="0" w:color="auto"/>
            </w:tcBorders>
            <w:shd w:val="clear" w:color="auto" w:fill="DDDDDD"/>
          </w:tcPr>
          <w:p w14:paraId="747B137D" w14:textId="77777777" w:rsidR="009C44AF" w:rsidRPr="00F926CF" w:rsidRDefault="009C44AF" w:rsidP="00125A58">
            <w:pPr>
              <w:jc w:val="center"/>
              <w:rPr>
                <w:rFonts w:ascii="Arial" w:hAnsi="Arial" w:cs="Arial"/>
                <w:b/>
                <w:bCs/>
                <w:sz w:val="20"/>
              </w:rPr>
            </w:pPr>
            <w:r w:rsidRPr="00F926CF">
              <w:rPr>
                <w:rFonts w:ascii="Arial" w:hAnsi="Arial" w:cs="Arial"/>
                <w:b/>
                <w:bCs/>
                <w:sz w:val="20"/>
              </w:rPr>
              <w:t>TOTALS</w:t>
            </w:r>
          </w:p>
        </w:tc>
        <w:tc>
          <w:tcPr>
            <w:tcW w:w="1134" w:type="dxa"/>
            <w:tcBorders>
              <w:top w:val="single" w:sz="12" w:space="0" w:color="auto"/>
              <w:left w:val="single" w:sz="12" w:space="0" w:color="auto"/>
              <w:bottom w:val="single" w:sz="12" w:space="0" w:color="auto"/>
            </w:tcBorders>
            <w:shd w:val="clear" w:color="auto" w:fill="DDDDDD"/>
          </w:tcPr>
          <w:p w14:paraId="30A7925B" w14:textId="63805525" w:rsidR="009C44AF" w:rsidRPr="00F926CF" w:rsidRDefault="005D7C41" w:rsidP="00125A58">
            <w:pPr>
              <w:jc w:val="right"/>
              <w:rPr>
                <w:rFonts w:ascii="Arial" w:hAnsi="Arial" w:cs="Arial"/>
                <w:b/>
                <w:bCs/>
                <w:sz w:val="20"/>
              </w:rPr>
            </w:pPr>
            <w:r>
              <w:rPr>
                <w:rFonts w:ascii="Arial" w:hAnsi="Arial" w:cs="Arial"/>
                <w:b/>
                <w:bCs/>
                <w:sz w:val="20"/>
              </w:rPr>
              <w:t>29</w:t>
            </w:r>
            <w:r w:rsidR="00412F6C">
              <w:rPr>
                <w:rFonts w:ascii="Arial" w:hAnsi="Arial" w:cs="Arial"/>
                <w:b/>
                <w:bCs/>
                <w:sz w:val="20"/>
              </w:rPr>
              <w:t>919</w:t>
            </w:r>
          </w:p>
        </w:tc>
        <w:tc>
          <w:tcPr>
            <w:tcW w:w="2268" w:type="dxa"/>
            <w:tcBorders>
              <w:top w:val="single" w:sz="12" w:space="0" w:color="auto"/>
              <w:bottom w:val="single" w:sz="12" w:space="0" w:color="auto"/>
            </w:tcBorders>
            <w:shd w:val="clear" w:color="auto" w:fill="DDDDDD"/>
          </w:tcPr>
          <w:p w14:paraId="27A66EEC" w14:textId="77777777" w:rsidR="009C44AF" w:rsidRPr="00F926CF" w:rsidRDefault="009C44AF" w:rsidP="00125A58">
            <w:pPr>
              <w:jc w:val="both"/>
              <w:rPr>
                <w:rFonts w:ascii="Arial" w:hAnsi="Arial" w:cs="Arial"/>
                <w:b/>
                <w:bCs/>
                <w:sz w:val="20"/>
              </w:rPr>
            </w:pPr>
          </w:p>
        </w:tc>
        <w:tc>
          <w:tcPr>
            <w:tcW w:w="1134" w:type="dxa"/>
            <w:tcBorders>
              <w:top w:val="single" w:sz="12" w:space="0" w:color="auto"/>
              <w:bottom w:val="single" w:sz="12" w:space="0" w:color="auto"/>
              <w:right w:val="single" w:sz="12" w:space="0" w:color="auto"/>
            </w:tcBorders>
            <w:shd w:val="clear" w:color="auto" w:fill="DDDDDD"/>
          </w:tcPr>
          <w:p w14:paraId="36FA209D" w14:textId="70FC2F6E" w:rsidR="009C44AF" w:rsidRPr="00F926CF" w:rsidRDefault="009C44AF" w:rsidP="00125A58">
            <w:pPr>
              <w:jc w:val="right"/>
              <w:rPr>
                <w:rFonts w:ascii="Arial" w:hAnsi="Arial" w:cs="Arial"/>
                <w:b/>
                <w:bCs/>
                <w:sz w:val="20"/>
              </w:rPr>
            </w:pPr>
            <w:r>
              <w:rPr>
                <w:rFonts w:ascii="Arial" w:hAnsi="Arial" w:cs="Arial"/>
                <w:b/>
                <w:bCs/>
                <w:sz w:val="20"/>
              </w:rPr>
              <w:t>29</w:t>
            </w:r>
            <w:r w:rsidR="00412F6C">
              <w:rPr>
                <w:rFonts w:ascii="Arial" w:hAnsi="Arial" w:cs="Arial"/>
                <w:b/>
                <w:bCs/>
                <w:sz w:val="20"/>
              </w:rPr>
              <w:t>919</w:t>
            </w:r>
          </w:p>
        </w:tc>
        <w:tc>
          <w:tcPr>
            <w:tcW w:w="907" w:type="dxa"/>
            <w:tcBorders>
              <w:top w:val="single" w:sz="12" w:space="0" w:color="auto"/>
              <w:left w:val="single" w:sz="12" w:space="0" w:color="auto"/>
              <w:bottom w:val="single" w:sz="12" w:space="0" w:color="auto"/>
              <w:right w:val="single" w:sz="12" w:space="0" w:color="auto"/>
            </w:tcBorders>
            <w:shd w:val="clear" w:color="auto" w:fill="DDDDDD"/>
          </w:tcPr>
          <w:p w14:paraId="34C1E873" w14:textId="77777777" w:rsidR="009C44AF" w:rsidRPr="00F926CF" w:rsidRDefault="009C44AF" w:rsidP="00125A58">
            <w:pPr>
              <w:jc w:val="right"/>
              <w:rPr>
                <w:rFonts w:ascii="Arial" w:hAnsi="Arial" w:cs="Arial"/>
                <w:b/>
                <w:bCs/>
                <w:sz w:val="20"/>
              </w:rPr>
            </w:pPr>
            <w:r>
              <w:rPr>
                <w:rFonts w:ascii="Arial" w:hAnsi="Arial" w:cs="Arial"/>
                <w:b/>
                <w:bCs/>
                <w:sz w:val="20"/>
              </w:rPr>
              <w:t>100%</w:t>
            </w:r>
          </w:p>
        </w:tc>
      </w:tr>
    </w:tbl>
    <w:p w14:paraId="226F9782" w14:textId="77777777" w:rsidR="007A1953" w:rsidRDefault="007A1953" w:rsidP="007A1953">
      <w:pPr>
        <w:jc w:val="both"/>
        <w:rPr>
          <w:rFonts w:ascii="Arial" w:hAnsi="Arial" w:cs="Arial"/>
          <w:color w:val="000000"/>
          <w:sz w:val="20"/>
        </w:rPr>
      </w:pPr>
    </w:p>
    <w:tbl>
      <w:tblPr>
        <w:tblStyle w:val="TableGrid"/>
        <w:tblW w:w="7711" w:type="dxa"/>
        <w:tblInd w:w="652" w:type="dxa"/>
        <w:tblLook w:val="04A0" w:firstRow="1" w:lastRow="0" w:firstColumn="1" w:lastColumn="0" w:noHBand="0" w:noVBand="1"/>
      </w:tblPr>
      <w:tblGrid>
        <w:gridCol w:w="2268"/>
        <w:gridCol w:w="1134"/>
        <w:gridCol w:w="2268"/>
        <w:gridCol w:w="1134"/>
        <w:gridCol w:w="907"/>
      </w:tblGrid>
      <w:tr w:rsidR="00302DA0" w:rsidRPr="009C44AF" w14:paraId="5D0D1B64" w14:textId="77777777" w:rsidTr="00BD6654">
        <w:tc>
          <w:tcPr>
            <w:tcW w:w="7711" w:type="dxa"/>
            <w:gridSpan w:val="5"/>
            <w:tcBorders>
              <w:top w:val="single" w:sz="12" w:space="0" w:color="auto"/>
              <w:left w:val="single" w:sz="12" w:space="0" w:color="auto"/>
              <w:bottom w:val="single" w:sz="12" w:space="0" w:color="auto"/>
              <w:right w:val="single" w:sz="12" w:space="0" w:color="auto"/>
            </w:tcBorders>
            <w:shd w:val="clear" w:color="auto" w:fill="000000" w:themeFill="text1"/>
          </w:tcPr>
          <w:p w14:paraId="11B16219" w14:textId="1BB593F0" w:rsidR="00302DA0" w:rsidRPr="009C44AF" w:rsidRDefault="00302DA0" w:rsidP="00302DA0">
            <w:pPr>
              <w:keepNext/>
              <w:keepLines/>
              <w:jc w:val="center"/>
              <w:rPr>
                <w:rFonts w:ascii="Arial" w:hAnsi="Arial" w:cs="Arial"/>
                <w:b/>
                <w:bCs/>
                <w:sz w:val="20"/>
              </w:rPr>
            </w:pPr>
            <w:r w:rsidRPr="009C44AF">
              <w:rPr>
                <w:rFonts w:ascii="Arial" w:hAnsi="Arial" w:cs="Arial"/>
                <w:b/>
                <w:bCs/>
                <w:sz w:val="20"/>
              </w:rPr>
              <w:lastRenderedPageBreak/>
              <w:t>FINALISATION STATISTICS 202</w:t>
            </w:r>
            <w:r>
              <w:rPr>
                <w:rFonts w:ascii="Arial" w:hAnsi="Arial" w:cs="Arial"/>
                <w:b/>
                <w:bCs/>
                <w:sz w:val="20"/>
              </w:rPr>
              <w:t>4</w:t>
            </w:r>
            <w:r w:rsidRPr="009C44AF">
              <w:rPr>
                <w:rFonts w:ascii="Arial" w:hAnsi="Arial" w:cs="Arial"/>
                <w:b/>
                <w:bCs/>
                <w:sz w:val="20"/>
              </w:rPr>
              <w:t>/2</w:t>
            </w:r>
            <w:r>
              <w:rPr>
                <w:rFonts w:ascii="Arial" w:hAnsi="Arial" w:cs="Arial"/>
                <w:b/>
                <w:bCs/>
                <w:sz w:val="20"/>
              </w:rPr>
              <w:t>5</w:t>
            </w:r>
          </w:p>
        </w:tc>
      </w:tr>
      <w:tr w:rsidR="00302DA0" w14:paraId="6534C471" w14:textId="77777777" w:rsidTr="00BD6654">
        <w:tc>
          <w:tcPr>
            <w:tcW w:w="2268" w:type="dxa"/>
            <w:vMerge w:val="restart"/>
            <w:tcBorders>
              <w:top w:val="single" w:sz="12" w:space="0" w:color="auto"/>
              <w:left w:val="single" w:sz="12" w:space="0" w:color="auto"/>
              <w:bottom w:val="single" w:sz="12" w:space="0" w:color="auto"/>
              <w:right w:val="single" w:sz="12" w:space="0" w:color="auto"/>
            </w:tcBorders>
            <w:shd w:val="clear" w:color="auto" w:fill="DDDDDD"/>
          </w:tcPr>
          <w:p w14:paraId="5AE0C203" w14:textId="77777777" w:rsidR="00302DA0" w:rsidRPr="00F926CF" w:rsidRDefault="00302DA0" w:rsidP="00302DA0">
            <w:pPr>
              <w:keepNext/>
              <w:keepLines/>
              <w:jc w:val="center"/>
              <w:rPr>
                <w:rFonts w:ascii="Arial" w:hAnsi="Arial" w:cs="Arial"/>
                <w:b/>
                <w:bCs/>
                <w:sz w:val="20"/>
              </w:rPr>
            </w:pPr>
            <w:r w:rsidRPr="00F926CF">
              <w:rPr>
                <w:rFonts w:ascii="Arial" w:hAnsi="Arial" w:cs="Arial"/>
                <w:b/>
                <w:bCs/>
                <w:sz w:val="20"/>
              </w:rPr>
              <w:t>FAMILY DIVISION</w:t>
            </w:r>
          </w:p>
        </w:tc>
        <w:tc>
          <w:tcPr>
            <w:tcW w:w="1134" w:type="dxa"/>
            <w:vMerge w:val="restart"/>
            <w:tcBorders>
              <w:top w:val="single" w:sz="12" w:space="0" w:color="auto"/>
              <w:left w:val="single" w:sz="12" w:space="0" w:color="auto"/>
              <w:bottom w:val="single" w:sz="12" w:space="0" w:color="auto"/>
              <w:right w:val="single" w:sz="4" w:space="0" w:color="auto"/>
            </w:tcBorders>
          </w:tcPr>
          <w:p w14:paraId="7B7FE280" w14:textId="0182139D" w:rsidR="00302DA0" w:rsidRDefault="00412F6C" w:rsidP="00302DA0">
            <w:pPr>
              <w:keepNext/>
              <w:keepLines/>
              <w:jc w:val="right"/>
              <w:rPr>
                <w:rFonts w:ascii="Arial" w:hAnsi="Arial" w:cs="Arial"/>
                <w:sz w:val="20"/>
              </w:rPr>
            </w:pPr>
            <w:r>
              <w:rPr>
                <w:rFonts w:ascii="Arial" w:hAnsi="Arial" w:cs="Arial"/>
                <w:sz w:val="20"/>
              </w:rPr>
              <w:t>18723</w:t>
            </w:r>
          </w:p>
        </w:tc>
        <w:tc>
          <w:tcPr>
            <w:tcW w:w="2268" w:type="dxa"/>
            <w:tcBorders>
              <w:top w:val="single" w:sz="12" w:space="0" w:color="auto"/>
              <w:left w:val="single" w:sz="4" w:space="0" w:color="auto"/>
              <w:bottom w:val="single" w:sz="4" w:space="0" w:color="auto"/>
              <w:right w:val="single" w:sz="4" w:space="0" w:color="auto"/>
            </w:tcBorders>
          </w:tcPr>
          <w:p w14:paraId="74213A8A" w14:textId="77777777" w:rsidR="00302DA0" w:rsidRPr="00F926CF" w:rsidRDefault="00302DA0" w:rsidP="00302DA0">
            <w:pPr>
              <w:keepNext/>
              <w:keepLines/>
              <w:jc w:val="center"/>
              <w:rPr>
                <w:rFonts w:ascii="Arial" w:hAnsi="Arial" w:cs="Arial"/>
                <w:b/>
                <w:bCs/>
                <w:sz w:val="20"/>
              </w:rPr>
            </w:pPr>
            <w:r w:rsidRPr="00F926CF">
              <w:rPr>
                <w:rFonts w:ascii="Arial" w:hAnsi="Arial" w:cs="Arial"/>
                <w:b/>
                <w:bCs/>
                <w:sz w:val="20"/>
              </w:rPr>
              <w:t>Child Protection</w:t>
            </w:r>
          </w:p>
        </w:tc>
        <w:tc>
          <w:tcPr>
            <w:tcW w:w="1134" w:type="dxa"/>
            <w:tcBorders>
              <w:top w:val="single" w:sz="12" w:space="0" w:color="auto"/>
              <w:left w:val="single" w:sz="4" w:space="0" w:color="auto"/>
              <w:bottom w:val="single" w:sz="4" w:space="0" w:color="auto"/>
              <w:right w:val="single" w:sz="12" w:space="0" w:color="auto"/>
            </w:tcBorders>
          </w:tcPr>
          <w:p w14:paraId="39CFABA8" w14:textId="2A40CC49" w:rsidR="00302DA0" w:rsidRDefault="00302DA0" w:rsidP="00302DA0">
            <w:pPr>
              <w:keepNext/>
              <w:keepLines/>
              <w:jc w:val="right"/>
              <w:rPr>
                <w:rFonts w:ascii="Arial" w:hAnsi="Arial" w:cs="Arial"/>
                <w:sz w:val="20"/>
              </w:rPr>
            </w:pPr>
            <w:r>
              <w:rPr>
                <w:rFonts w:ascii="Arial" w:hAnsi="Arial" w:cs="Arial"/>
                <w:sz w:val="20"/>
              </w:rPr>
              <w:t>15767</w:t>
            </w:r>
          </w:p>
        </w:tc>
        <w:tc>
          <w:tcPr>
            <w:tcW w:w="907" w:type="dxa"/>
            <w:tcBorders>
              <w:top w:val="single" w:sz="12" w:space="0" w:color="auto"/>
              <w:left w:val="single" w:sz="12" w:space="0" w:color="auto"/>
              <w:bottom w:val="single" w:sz="4" w:space="0" w:color="auto"/>
              <w:right w:val="single" w:sz="12" w:space="0" w:color="auto"/>
            </w:tcBorders>
            <w:shd w:val="clear" w:color="auto" w:fill="DDDDDD"/>
          </w:tcPr>
          <w:p w14:paraId="6EF918AE" w14:textId="1F150CAB" w:rsidR="00302DA0" w:rsidRDefault="00302DA0" w:rsidP="00302DA0">
            <w:pPr>
              <w:keepNext/>
              <w:keepLines/>
              <w:jc w:val="right"/>
              <w:rPr>
                <w:rFonts w:ascii="Arial" w:hAnsi="Arial" w:cs="Arial"/>
                <w:sz w:val="20"/>
              </w:rPr>
            </w:pPr>
            <w:r>
              <w:rPr>
                <w:rFonts w:ascii="Arial" w:hAnsi="Arial" w:cs="Arial"/>
                <w:sz w:val="20"/>
              </w:rPr>
              <w:t>51%</w:t>
            </w:r>
          </w:p>
        </w:tc>
      </w:tr>
      <w:tr w:rsidR="00302DA0" w14:paraId="7395BD0B" w14:textId="77777777" w:rsidTr="00BD6654">
        <w:tc>
          <w:tcPr>
            <w:tcW w:w="2268" w:type="dxa"/>
            <w:vMerge/>
            <w:tcBorders>
              <w:top w:val="single" w:sz="12" w:space="0" w:color="auto"/>
              <w:left w:val="single" w:sz="12" w:space="0" w:color="auto"/>
              <w:bottom w:val="single" w:sz="12" w:space="0" w:color="auto"/>
              <w:right w:val="single" w:sz="12" w:space="0" w:color="auto"/>
            </w:tcBorders>
            <w:shd w:val="clear" w:color="auto" w:fill="DDDDDD"/>
          </w:tcPr>
          <w:p w14:paraId="34611F5C" w14:textId="77777777" w:rsidR="00302DA0" w:rsidRPr="00F926CF" w:rsidRDefault="00302DA0" w:rsidP="00BD6654">
            <w:pPr>
              <w:jc w:val="center"/>
              <w:rPr>
                <w:rFonts w:ascii="Arial" w:hAnsi="Arial" w:cs="Arial"/>
                <w:b/>
                <w:bCs/>
                <w:sz w:val="20"/>
              </w:rPr>
            </w:pPr>
          </w:p>
        </w:tc>
        <w:tc>
          <w:tcPr>
            <w:tcW w:w="1134" w:type="dxa"/>
            <w:vMerge/>
            <w:tcBorders>
              <w:top w:val="single" w:sz="12" w:space="0" w:color="auto"/>
              <w:left w:val="single" w:sz="12" w:space="0" w:color="auto"/>
              <w:bottom w:val="single" w:sz="12" w:space="0" w:color="auto"/>
              <w:right w:val="single" w:sz="4" w:space="0" w:color="auto"/>
            </w:tcBorders>
          </w:tcPr>
          <w:p w14:paraId="0CFCCD03" w14:textId="77777777" w:rsidR="00302DA0" w:rsidRDefault="00302DA0" w:rsidP="00BD6654">
            <w:pPr>
              <w:jc w:val="right"/>
              <w:rPr>
                <w:rFonts w:ascii="Arial" w:hAnsi="Arial" w:cs="Arial"/>
                <w:sz w:val="20"/>
              </w:rPr>
            </w:pPr>
          </w:p>
        </w:tc>
        <w:tc>
          <w:tcPr>
            <w:tcW w:w="2268" w:type="dxa"/>
            <w:tcBorders>
              <w:top w:val="single" w:sz="4" w:space="0" w:color="auto"/>
              <w:left w:val="single" w:sz="4" w:space="0" w:color="auto"/>
              <w:bottom w:val="single" w:sz="12" w:space="0" w:color="auto"/>
              <w:right w:val="single" w:sz="4" w:space="0" w:color="auto"/>
            </w:tcBorders>
          </w:tcPr>
          <w:p w14:paraId="5951B598" w14:textId="77777777" w:rsidR="00302DA0" w:rsidRPr="00F926CF" w:rsidRDefault="00302DA0" w:rsidP="00BD6654">
            <w:pPr>
              <w:jc w:val="center"/>
              <w:rPr>
                <w:rFonts w:ascii="Arial" w:hAnsi="Arial" w:cs="Arial"/>
                <w:b/>
                <w:bCs/>
                <w:sz w:val="20"/>
              </w:rPr>
            </w:pPr>
            <w:r w:rsidRPr="00F926CF">
              <w:rPr>
                <w:rFonts w:ascii="Arial" w:hAnsi="Arial" w:cs="Arial"/>
                <w:b/>
                <w:bCs/>
                <w:sz w:val="20"/>
              </w:rPr>
              <w:t>Intervention Orders</w:t>
            </w:r>
          </w:p>
        </w:tc>
        <w:tc>
          <w:tcPr>
            <w:tcW w:w="1134" w:type="dxa"/>
            <w:tcBorders>
              <w:top w:val="single" w:sz="4" w:space="0" w:color="auto"/>
              <w:left w:val="single" w:sz="4" w:space="0" w:color="auto"/>
              <w:bottom w:val="single" w:sz="12" w:space="0" w:color="auto"/>
              <w:right w:val="single" w:sz="12" w:space="0" w:color="auto"/>
            </w:tcBorders>
          </w:tcPr>
          <w:p w14:paraId="2EB06954" w14:textId="76966681" w:rsidR="00302DA0" w:rsidRDefault="00412F6C" w:rsidP="00BD6654">
            <w:pPr>
              <w:jc w:val="right"/>
              <w:rPr>
                <w:rFonts w:ascii="Arial" w:hAnsi="Arial" w:cs="Arial"/>
                <w:sz w:val="20"/>
              </w:rPr>
            </w:pPr>
            <w:r>
              <w:rPr>
                <w:rFonts w:ascii="Arial" w:hAnsi="Arial" w:cs="Arial"/>
                <w:sz w:val="20"/>
              </w:rPr>
              <w:t>2956</w:t>
            </w:r>
          </w:p>
        </w:tc>
        <w:tc>
          <w:tcPr>
            <w:tcW w:w="907" w:type="dxa"/>
            <w:tcBorders>
              <w:top w:val="single" w:sz="4" w:space="0" w:color="auto"/>
              <w:left w:val="single" w:sz="12" w:space="0" w:color="auto"/>
              <w:bottom w:val="single" w:sz="12" w:space="0" w:color="auto"/>
              <w:right w:val="single" w:sz="12" w:space="0" w:color="auto"/>
            </w:tcBorders>
            <w:shd w:val="clear" w:color="auto" w:fill="DDDDDD"/>
          </w:tcPr>
          <w:p w14:paraId="40C57E94" w14:textId="77777777" w:rsidR="00302DA0" w:rsidRDefault="00302DA0" w:rsidP="00BD6654">
            <w:pPr>
              <w:jc w:val="right"/>
              <w:rPr>
                <w:rFonts w:ascii="Arial" w:hAnsi="Arial" w:cs="Arial"/>
                <w:sz w:val="20"/>
              </w:rPr>
            </w:pPr>
            <w:r>
              <w:rPr>
                <w:rFonts w:ascii="Arial" w:hAnsi="Arial" w:cs="Arial"/>
                <w:sz w:val="20"/>
              </w:rPr>
              <w:t>10%</w:t>
            </w:r>
          </w:p>
        </w:tc>
      </w:tr>
      <w:tr w:rsidR="00302DA0" w14:paraId="47C0189D" w14:textId="77777777" w:rsidTr="00BD6654">
        <w:tc>
          <w:tcPr>
            <w:tcW w:w="2268" w:type="dxa"/>
            <w:vMerge w:val="restart"/>
            <w:tcBorders>
              <w:top w:val="single" w:sz="12" w:space="0" w:color="auto"/>
              <w:left w:val="single" w:sz="12" w:space="0" w:color="auto"/>
              <w:right w:val="single" w:sz="12" w:space="0" w:color="auto"/>
            </w:tcBorders>
            <w:shd w:val="clear" w:color="auto" w:fill="DDDDDD"/>
          </w:tcPr>
          <w:p w14:paraId="52824190" w14:textId="77777777" w:rsidR="00302DA0" w:rsidRPr="00F926CF" w:rsidRDefault="00302DA0" w:rsidP="00BD6654">
            <w:pPr>
              <w:jc w:val="center"/>
              <w:rPr>
                <w:rFonts w:ascii="Arial" w:hAnsi="Arial" w:cs="Arial"/>
                <w:b/>
                <w:bCs/>
                <w:sz w:val="20"/>
              </w:rPr>
            </w:pPr>
            <w:r w:rsidRPr="00F926CF">
              <w:rPr>
                <w:rFonts w:ascii="Arial" w:hAnsi="Arial" w:cs="Arial"/>
                <w:b/>
                <w:bCs/>
                <w:sz w:val="20"/>
              </w:rPr>
              <w:t>CRIMINAL DIVISION</w:t>
            </w:r>
          </w:p>
        </w:tc>
        <w:tc>
          <w:tcPr>
            <w:tcW w:w="1134" w:type="dxa"/>
            <w:vMerge w:val="restart"/>
            <w:tcBorders>
              <w:top w:val="single" w:sz="12" w:space="0" w:color="auto"/>
              <w:left w:val="single" w:sz="12" w:space="0" w:color="auto"/>
            </w:tcBorders>
          </w:tcPr>
          <w:p w14:paraId="6A1A00CF" w14:textId="30A80639" w:rsidR="00302DA0" w:rsidRDefault="00412F6C" w:rsidP="00BD6654">
            <w:pPr>
              <w:jc w:val="right"/>
              <w:rPr>
                <w:rFonts w:ascii="Arial" w:hAnsi="Arial" w:cs="Arial"/>
                <w:sz w:val="20"/>
              </w:rPr>
            </w:pPr>
            <w:r>
              <w:rPr>
                <w:rFonts w:ascii="Arial" w:hAnsi="Arial" w:cs="Arial"/>
                <w:sz w:val="20"/>
              </w:rPr>
              <w:t>12166</w:t>
            </w:r>
          </w:p>
        </w:tc>
        <w:tc>
          <w:tcPr>
            <w:tcW w:w="2268" w:type="dxa"/>
            <w:tcBorders>
              <w:top w:val="single" w:sz="12" w:space="0" w:color="auto"/>
            </w:tcBorders>
          </w:tcPr>
          <w:p w14:paraId="029DFAB1" w14:textId="77777777" w:rsidR="00302DA0" w:rsidRPr="00F926CF" w:rsidRDefault="00302DA0" w:rsidP="00BD6654">
            <w:pPr>
              <w:jc w:val="center"/>
              <w:rPr>
                <w:rFonts w:ascii="Arial" w:hAnsi="Arial" w:cs="Arial"/>
                <w:b/>
                <w:bCs/>
                <w:sz w:val="20"/>
              </w:rPr>
            </w:pPr>
            <w:r w:rsidRPr="00F926CF">
              <w:rPr>
                <w:rFonts w:ascii="Arial" w:hAnsi="Arial" w:cs="Arial"/>
                <w:b/>
                <w:bCs/>
                <w:sz w:val="20"/>
              </w:rPr>
              <w:t>Crim</w:t>
            </w:r>
            <w:r>
              <w:rPr>
                <w:rFonts w:ascii="Arial" w:hAnsi="Arial" w:cs="Arial"/>
                <w:b/>
                <w:bCs/>
                <w:sz w:val="20"/>
              </w:rPr>
              <w:t>inal Cases</w:t>
            </w:r>
          </w:p>
        </w:tc>
        <w:tc>
          <w:tcPr>
            <w:tcW w:w="1134" w:type="dxa"/>
            <w:tcBorders>
              <w:top w:val="single" w:sz="12" w:space="0" w:color="auto"/>
              <w:right w:val="single" w:sz="12" w:space="0" w:color="auto"/>
            </w:tcBorders>
          </w:tcPr>
          <w:p w14:paraId="01A70496" w14:textId="3A747D48" w:rsidR="00302DA0" w:rsidRDefault="00AF442F" w:rsidP="00BD6654">
            <w:pPr>
              <w:jc w:val="right"/>
              <w:rPr>
                <w:rFonts w:ascii="Arial" w:hAnsi="Arial" w:cs="Arial"/>
                <w:sz w:val="20"/>
              </w:rPr>
            </w:pPr>
            <w:r>
              <w:rPr>
                <w:rFonts w:ascii="Arial" w:hAnsi="Arial" w:cs="Arial"/>
                <w:sz w:val="20"/>
              </w:rPr>
              <w:t>9514</w:t>
            </w:r>
          </w:p>
        </w:tc>
        <w:tc>
          <w:tcPr>
            <w:tcW w:w="907" w:type="dxa"/>
            <w:tcBorders>
              <w:top w:val="single" w:sz="12" w:space="0" w:color="auto"/>
              <w:left w:val="single" w:sz="12" w:space="0" w:color="auto"/>
              <w:right w:val="single" w:sz="12" w:space="0" w:color="auto"/>
            </w:tcBorders>
            <w:shd w:val="clear" w:color="auto" w:fill="DDDDDD"/>
          </w:tcPr>
          <w:p w14:paraId="7F67AF61" w14:textId="462B1C91" w:rsidR="00302DA0" w:rsidRDefault="00AF442F" w:rsidP="00BD6654">
            <w:pPr>
              <w:jc w:val="right"/>
              <w:rPr>
                <w:rFonts w:ascii="Arial" w:hAnsi="Arial" w:cs="Arial"/>
                <w:sz w:val="20"/>
              </w:rPr>
            </w:pPr>
            <w:r>
              <w:rPr>
                <w:rFonts w:ascii="Arial" w:hAnsi="Arial" w:cs="Arial"/>
                <w:sz w:val="20"/>
              </w:rPr>
              <w:t>31</w:t>
            </w:r>
            <w:r w:rsidR="00302DA0">
              <w:rPr>
                <w:rFonts w:ascii="Arial" w:hAnsi="Arial" w:cs="Arial"/>
                <w:sz w:val="20"/>
              </w:rPr>
              <w:t>%</w:t>
            </w:r>
          </w:p>
        </w:tc>
      </w:tr>
      <w:tr w:rsidR="00302DA0" w14:paraId="5E916ED4" w14:textId="77777777" w:rsidTr="00BD6654">
        <w:tc>
          <w:tcPr>
            <w:tcW w:w="2268" w:type="dxa"/>
            <w:vMerge/>
            <w:tcBorders>
              <w:left w:val="single" w:sz="12" w:space="0" w:color="auto"/>
              <w:bottom w:val="single" w:sz="12" w:space="0" w:color="auto"/>
              <w:right w:val="single" w:sz="12" w:space="0" w:color="auto"/>
            </w:tcBorders>
            <w:shd w:val="clear" w:color="auto" w:fill="DDDDDD"/>
          </w:tcPr>
          <w:p w14:paraId="2F7D19ED" w14:textId="77777777" w:rsidR="00302DA0" w:rsidRDefault="00302DA0" w:rsidP="00BD6654">
            <w:pPr>
              <w:jc w:val="both"/>
              <w:rPr>
                <w:rFonts w:ascii="Arial" w:hAnsi="Arial" w:cs="Arial"/>
                <w:sz w:val="20"/>
              </w:rPr>
            </w:pPr>
          </w:p>
        </w:tc>
        <w:tc>
          <w:tcPr>
            <w:tcW w:w="1134" w:type="dxa"/>
            <w:vMerge/>
            <w:tcBorders>
              <w:left w:val="single" w:sz="12" w:space="0" w:color="auto"/>
              <w:bottom w:val="single" w:sz="12" w:space="0" w:color="auto"/>
            </w:tcBorders>
          </w:tcPr>
          <w:p w14:paraId="6D58593C" w14:textId="77777777" w:rsidR="00302DA0" w:rsidRDefault="00302DA0" w:rsidP="00BD6654">
            <w:pPr>
              <w:jc w:val="right"/>
              <w:rPr>
                <w:rFonts w:ascii="Arial" w:hAnsi="Arial" w:cs="Arial"/>
                <w:sz w:val="20"/>
              </w:rPr>
            </w:pPr>
          </w:p>
        </w:tc>
        <w:tc>
          <w:tcPr>
            <w:tcW w:w="2268" w:type="dxa"/>
            <w:tcBorders>
              <w:bottom w:val="single" w:sz="12" w:space="0" w:color="auto"/>
            </w:tcBorders>
          </w:tcPr>
          <w:p w14:paraId="71643F37" w14:textId="77777777" w:rsidR="00302DA0" w:rsidRPr="00F926CF" w:rsidRDefault="00302DA0" w:rsidP="00BD6654">
            <w:pPr>
              <w:jc w:val="center"/>
              <w:rPr>
                <w:rFonts w:ascii="Arial" w:hAnsi="Arial" w:cs="Arial"/>
                <w:b/>
                <w:bCs/>
                <w:sz w:val="20"/>
              </w:rPr>
            </w:pPr>
            <w:r w:rsidRPr="00F926CF">
              <w:rPr>
                <w:rFonts w:ascii="Arial" w:hAnsi="Arial" w:cs="Arial"/>
                <w:b/>
                <w:bCs/>
                <w:sz w:val="20"/>
              </w:rPr>
              <w:t>CAYPINS</w:t>
            </w:r>
          </w:p>
        </w:tc>
        <w:tc>
          <w:tcPr>
            <w:tcW w:w="1134" w:type="dxa"/>
            <w:tcBorders>
              <w:bottom w:val="single" w:sz="12" w:space="0" w:color="auto"/>
              <w:right w:val="single" w:sz="12" w:space="0" w:color="auto"/>
            </w:tcBorders>
          </w:tcPr>
          <w:p w14:paraId="2DDA1AE4" w14:textId="5EE72636" w:rsidR="00302DA0" w:rsidRDefault="00412F6C" w:rsidP="00BD6654">
            <w:pPr>
              <w:jc w:val="right"/>
              <w:rPr>
                <w:rFonts w:ascii="Arial" w:hAnsi="Arial" w:cs="Arial"/>
                <w:sz w:val="20"/>
              </w:rPr>
            </w:pPr>
            <w:r>
              <w:rPr>
                <w:rFonts w:ascii="Arial" w:hAnsi="Arial" w:cs="Arial"/>
                <w:sz w:val="20"/>
              </w:rPr>
              <w:t>2652</w:t>
            </w:r>
          </w:p>
        </w:tc>
        <w:tc>
          <w:tcPr>
            <w:tcW w:w="907" w:type="dxa"/>
            <w:tcBorders>
              <w:left w:val="single" w:sz="12" w:space="0" w:color="auto"/>
              <w:bottom w:val="single" w:sz="12" w:space="0" w:color="auto"/>
              <w:right w:val="single" w:sz="12" w:space="0" w:color="auto"/>
            </w:tcBorders>
            <w:shd w:val="clear" w:color="auto" w:fill="DDDDDD"/>
          </w:tcPr>
          <w:p w14:paraId="234664B0" w14:textId="056E160B" w:rsidR="00302DA0" w:rsidRDefault="00AF442F" w:rsidP="00BD6654">
            <w:pPr>
              <w:jc w:val="right"/>
              <w:rPr>
                <w:rFonts w:ascii="Arial" w:hAnsi="Arial" w:cs="Arial"/>
                <w:sz w:val="20"/>
              </w:rPr>
            </w:pPr>
            <w:r>
              <w:rPr>
                <w:rFonts w:ascii="Arial" w:hAnsi="Arial" w:cs="Arial"/>
                <w:sz w:val="20"/>
              </w:rPr>
              <w:t xml:space="preserve"> 8</w:t>
            </w:r>
            <w:r w:rsidR="00302DA0">
              <w:rPr>
                <w:rFonts w:ascii="Arial" w:hAnsi="Arial" w:cs="Arial"/>
                <w:sz w:val="20"/>
              </w:rPr>
              <w:t>%</w:t>
            </w:r>
          </w:p>
        </w:tc>
      </w:tr>
      <w:tr w:rsidR="00302DA0" w:rsidRPr="00F926CF" w14:paraId="572490F6" w14:textId="77777777" w:rsidTr="00BD6654">
        <w:tc>
          <w:tcPr>
            <w:tcW w:w="2268" w:type="dxa"/>
            <w:tcBorders>
              <w:top w:val="single" w:sz="12" w:space="0" w:color="auto"/>
              <w:left w:val="single" w:sz="12" w:space="0" w:color="auto"/>
              <w:bottom w:val="single" w:sz="12" w:space="0" w:color="auto"/>
              <w:right w:val="single" w:sz="12" w:space="0" w:color="auto"/>
            </w:tcBorders>
            <w:shd w:val="clear" w:color="auto" w:fill="DDDDDD"/>
          </w:tcPr>
          <w:p w14:paraId="0C55B261" w14:textId="77777777" w:rsidR="00302DA0" w:rsidRPr="00F926CF" w:rsidRDefault="00302DA0" w:rsidP="00BD6654">
            <w:pPr>
              <w:jc w:val="center"/>
              <w:rPr>
                <w:rFonts w:ascii="Arial" w:hAnsi="Arial" w:cs="Arial"/>
                <w:b/>
                <w:bCs/>
                <w:sz w:val="20"/>
              </w:rPr>
            </w:pPr>
            <w:r w:rsidRPr="00F926CF">
              <w:rPr>
                <w:rFonts w:ascii="Arial" w:hAnsi="Arial" w:cs="Arial"/>
                <w:b/>
                <w:bCs/>
                <w:sz w:val="20"/>
              </w:rPr>
              <w:t>TOTALS</w:t>
            </w:r>
          </w:p>
        </w:tc>
        <w:tc>
          <w:tcPr>
            <w:tcW w:w="1134" w:type="dxa"/>
            <w:tcBorders>
              <w:top w:val="single" w:sz="12" w:space="0" w:color="auto"/>
              <w:left w:val="single" w:sz="12" w:space="0" w:color="auto"/>
              <w:bottom w:val="single" w:sz="12" w:space="0" w:color="auto"/>
            </w:tcBorders>
            <w:shd w:val="clear" w:color="auto" w:fill="DDDDDD"/>
          </w:tcPr>
          <w:p w14:paraId="4EA8F447" w14:textId="035A0E51" w:rsidR="00302DA0" w:rsidRPr="00F926CF" w:rsidRDefault="00AF442F" w:rsidP="00BD6654">
            <w:pPr>
              <w:jc w:val="right"/>
              <w:rPr>
                <w:rFonts w:ascii="Arial" w:hAnsi="Arial" w:cs="Arial"/>
                <w:b/>
                <w:bCs/>
                <w:sz w:val="20"/>
              </w:rPr>
            </w:pPr>
            <w:r>
              <w:rPr>
                <w:rFonts w:ascii="Arial" w:hAnsi="Arial" w:cs="Arial"/>
                <w:b/>
                <w:bCs/>
                <w:sz w:val="20"/>
              </w:rPr>
              <w:t>30</w:t>
            </w:r>
            <w:r w:rsidR="00412F6C">
              <w:rPr>
                <w:rFonts w:ascii="Arial" w:hAnsi="Arial" w:cs="Arial"/>
                <w:b/>
                <w:bCs/>
                <w:sz w:val="20"/>
              </w:rPr>
              <w:t>889</w:t>
            </w:r>
          </w:p>
        </w:tc>
        <w:tc>
          <w:tcPr>
            <w:tcW w:w="2268" w:type="dxa"/>
            <w:tcBorders>
              <w:top w:val="single" w:sz="12" w:space="0" w:color="auto"/>
              <w:bottom w:val="single" w:sz="12" w:space="0" w:color="auto"/>
            </w:tcBorders>
            <w:shd w:val="clear" w:color="auto" w:fill="DDDDDD"/>
          </w:tcPr>
          <w:p w14:paraId="42B014BF" w14:textId="77777777" w:rsidR="00302DA0" w:rsidRPr="00F926CF" w:rsidRDefault="00302DA0" w:rsidP="00BD6654">
            <w:pPr>
              <w:jc w:val="both"/>
              <w:rPr>
                <w:rFonts w:ascii="Arial" w:hAnsi="Arial" w:cs="Arial"/>
                <w:b/>
                <w:bCs/>
                <w:sz w:val="20"/>
              </w:rPr>
            </w:pPr>
          </w:p>
        </w:tc>
        <w:tc>
          <w:tcPr>
            <w:tcW w:w="1134" w:type="dxa"/>
            <w:tcBorders>
              <w:top w:val="single" w:sz="12" w:space="0" w:color="auto"/>
              <w:bottom w:val="single" w:sz="12" w:space="0" w:color="auto"/>
              <w:right w:val="single" w:sz="12" w:space="0" w:color="auto"/>
            </w:tcBorders>
            <w:shd w:val="clear" w:color="auto" w:fill="DDDDDD"/>
          </w:tcPr>
          <w:p w14:paraId="7818ABC4" w14:textId="4E1A1B6B" w:rsidR="00302DA0" w:rsidRPr="00F926CF" w:rsidRDefault="009E356C" w:rsidP="00BD6654">
            <w:pPr>
              <w:jc w:val="right"/>
              <w:rPr>
                <w:rFonts w:ascii="Arial" w:hAnsi="Arial" w:cs="Arial"/>
                <w:b/>
                <w:bCs/>
                <w:sz w:val="20"/>
              </w:rPr>
            </w:pPr>
            <w:r>
              <w:rPr>
                <w:rFonts w:ascii="Arial" w:hAnsi="Arial" w:cs="Arial"/>
                <w:b/>
                <w:bCs/>
                <w:sz w:val="20"/>
              </w:rPr>
              <w:t>3088</w:t>
            </w:r>
            <w:r w:rsidR="00412F6C">
              <w:rPr>
                <w:rFonts w:ascii="Arial" w:hAnsi="Arial" w:cs="Arial"/>
                <w:b/>
                <w:bCs/>
                <w:sz w:val="20"/>
              </w:rPr>
              <w:t>9</w:t>
            </w:r>
          </w:p>
        </w:tc>
        <w:tc>
          <w:tcPr>
            <w:tcW w:w="907" w:type="dxa"/>
            <w:tcBorders>
              <w:top w:val="single" w:sz="12" w:space="0" w:color="auto"/>
              <w:left w:val="single" w:sz="12" w:space="0" w:color="auto"/>
              <w:bottom w:val="single" w:sz="12" w:space="0" w:color="auto"/>
              <w:right w:val="single" w:sz="12" w:space="0" w:color="auto"/>
            </w:tcBorders>
            <w:shd w:val="clear" w:color="auto" w:fill="DDDDDD"/>
          </w:tcPr>
          <w:p w14:paraId="658269E0" w14:textId="77777777" w:rsidR="00302DA0" w:rsidRPr="00F926CF" w:rsidRDefault="00302DA0" w:rsidP="00BD6654">
            <w:pPr>
              <w:jc w:val="right"/>
              <w:rPr>
                <w:rFonts w:ascii="Arial" w:hAnsi="Arial" w:cs="Arial"/>
                <w:b/>
                <w:bCs/>
                <w:sz w:val="20"/>
              </w:rPr>
            </w:pPr>
            <w:r>
              <w:rPr>
                <w:rFonts w:ascii="Arial" w:hAnsi="Arial" w:cs="Arial"/>
                <w:b/>
                <w:bCs/>
                <w:sz w:val="20"/>
              </w:rPr>
              <w:t>100%</w:t>
            </w:r>
          </w:p>
        </w:tc>
      </w:tr>
    </w:tbl>
    <w:p w14:paraId="148371CC" w14:textId="77777777" w:rsidR="00302DA0" w:rsidRPr="007C64AE" w:rsidRDefault="00302DA0" w:rsidP="007A1953">
      <w:pPr>
        <w:jc w:val="both"/>
        <w:rPr>
          <w:rFonts w:ascii="Arial" w:hAnsi="Arial" w:cs="Arial"/>
          <w:color w:val="000000"/>
          <w:sz w:val="20"/>
        </w:rPr>
      </w:pPr>
    </w:p>
    <w:p w14:paraId="2E141637" w14:textId="77777777" w:rsidR="007A1953" w:rsidRPr="00BD3BA0" w:rsidRDefault="007A1953" w:rsidP="007A1953">
      <w:pPr>
        <w:jc w:val="center"/>
        <w:rPr>
          <w:rFonts w:ascii="Arial" w:hAnsi="Arial" w:cs="Arial"/>
          <w:b/>
          <w:bCs/>
          <w:sz w:val="22"/>
          <w:szCs w:val="28"/>
        </w:rPr>
      </w:pPr>
      <w:r w:rsidRPr="00BD3BA0">
        <w:rPr>
          <w:rFonts w:ascii="Arial" w:hAnsi="Arial" w:cs="Arial"/>
          <w:b/>
          <w:bCs/>
          <w:sz w:val="22"/>
          <w:szCs w:val="28"/>
        </w:rPr>
        <w:t>THE REST OF THIS PAGE IS BLANK</w:t>
      </w:r>
    </w:p>
    <w:p w14:paraId="53A51A77" w14:textId="77777777" w:rsidR="007A1953" w:rsidRDefault="007A1953" w:rsidP="007A1953">
      <w:pPr>
        <w:rPr>
          <w:rFonts w:ascii="Arial" w:hAnsi="Arial" w:cs="Arial"/>
          <w:color w:val="000000"/>
          <w:sz w:val="20"/>
        </w:rPr>
      </w:pPr>
    </w:p>
    <w:p w14:paraId="625E653F" w14:textId="77777777" w:rsidR="007A1953" w:rsidRDefault="007A1953">
      <w:pPr>
        <w:rPr>
          <w:rFonts w:ascii="Arial" w:hAnsi="Arial" w:cs="Arial"/>
          <w:b/>
          <w:bCs/>
          <w:kern w:val="28"/>
          <w:szCs w:val="20"/>
          <w:lang w:val="en-GB"/>
        </w:rPr>
      </w:pPr>
      <w:r>
        <w:rPr>
          <w:rFonts w:ascii="Arial" w:hAnsi="Arial" w:cs="Arial"/>
          <w:b/>
          <w:bCs/>
        </w:rPr>
        <w:br w:type="page"/>
      </w:r>
    </w:p>
    <w:p w14:paraId="4533DFAB" w14:textId="3E767B21" w:rsidR="00277B85" w:rsidRDefault="00277B85">
      <w:pPr>
        <w:pStyle w:val="Heading2"/>
        <w:keepNext/>
        <w:tabs>
          <w:tab w:val="left" w:pos="567"/>
        </w:tabs>
        <w:spacing w:line="240" w:lineRule="auto"/>
        <w:rPr>
          <w:rFonts w:ascii="Arial" w:hAnsi="Arial" w:cs="Arial"/>
          <w:b/>
          <w:bCs/>
        </w:rPr>
      </w:pPr>
      <w:bookmarkStart w:id="320" w:name="_2.5_Venues_of"/>
      <w:bookmarkEnd w:id="320"/>
      <w:r>
        <w:rPr>
          <w:rFonts w:ascii="Arial" w:hAnsi="Arial" w:cs="Arial"/>
          <w:b/>
          <w:bCs/>
        </w:rPr>
        <w:lastRenderedPageBreak/>
        <w:t>2.5</w:t>
      </w:r>
      <w:r>
        <w:rPr>
          <w:rFonts w:ascii="Arial" w:hAnsi="Arial" w:cs="Arial"/>
          <w:b/>
          <w:bCs/>
        </w:rPr>
        <w:tab/>
        <w:t>Venues of the Court</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14:paraId="32B296DE" w14:textId="77777777" w:rsidR="00962CA3" w:rsidRPr="001E79F7" w:rsidRDefault="00962CA3" w:rsidP="00962CA3">
      <w:pPr>
        <w:keepNext/>
        <w:keepLines/>
        <w:jc w:val="both"/>
        <w:rPr>
          <w:rFonts w:ascii="Arial" w:hAnsi="Arial" w:cs="Arial"/>
          <w:sz w:val="20"/>
        </w:rPr>
      </w:pPr>
    </w:p>
    <w:p w14:paraId="08529B84" w14:textId="56FC21B7" w:rsidR="00962CA3" w:rsidRDefault="00962CA3" w:rsidP="00962CA3">
      <w:pPr>
        <w:pStyle w:val="Heading3"/>
        <w:keepNext/>
        <w:keepLines/>
        <w:spacing w:after="120" w:line="240" w:lineRule="auto"/>
        <w:rPr>
          <w:rFonts w:ascii="Arial" w:hAnsi="Arial" w:cs="Arial"/>
          <w:b/>
          <w:bCs/>
          <w:sz w:val="20"/>
        </w:rPr>
      </w:pPr>
      <w:bookmarkStart w:id="321" w:name="_2.5.1_Sections_505"/>
      <w:bookmarkEnd w:id="321"/>
      <w:r>
        <w:rPr>
          <w:rFonts w:ascii="Arial" w:hAnsi="Arial" w:cs="Arial"/>
          <w:b/>
          <w:bCs/>
          <w:sz w:val="20"/>
        </w:rPr>
        <w:t>2.5.1</w:t>
      </w:r>
      <w:r>
        <w:rPr>
          <w:rFonts w:ascii="Arial" w:hAnsi="Arial" w:cs="Arial"/>
          <w:b/>
          <w:bCs/>
          <w:sz w:val="20"/>
        </w:rPr>
        <w:tab/>
        <w:t>Sections 505 &amp; 505A of the CYFA</w:t>
      </w:r>
    </w:p>
    <w:p w14:paraId="2F81C66C" w14:textId="5952BAD2" w:rsidR="000D7DAB" w:rsidRDefault="00CB3774" w:rsidP="009C456B">
      <w:pPr>
        <w:shd w:val="clear" w:color="auto" w:fill="FFFFFF"/>
        <w:ind w:right="-57"/>
        <w:jc w:val="both"/>
        <w:rPr>
          <w:rFonts w:ascii="Arial" w:hAnsi="Arial" w:cs="Arial"/>
          <w:bCs/>
          <w:sz w:val="20"/>
          <w:szCs w:val="20"/>
        </w:rPr>
      </w:pPr>
      <w:r w:rsidRPr="00CB3774">
        <w:rPr>
          <w:rFonts w:ascii="Arial" w:hAnsi="Arial" w:cs="Arial"/>
          <w:bCs/>
          <w:sz w:val="20"/>
          <w:szCs w:val="20"/>
        </w:rPr>
        <w:t xml:space="preserve">Section 505 </w:t>
      </w:r>
      <w:r>
        <w:rPr>
          <w:rFonts w:ascii="Arial" w:hAnsi="Arial" w:cs="Arial"/>
          <w:bCs/>
          <w:sz w:val="20"/>
          <w:szCs w:val="20"/>
        </w:rPr>
        <w:t xml:space="preserve">of the CYFA </w:t>
      </w:r>
      <w:r w:rsidR="00A32C68">
        <w:rPr>
          <w:rFonts w:ascii="Arial" w:hAnsi="Arial" w:cs="Arial"/>
          <w:bCs/>
          <w:sz w:val="20"/>
          <w:szCs w:val="20"/>
        </w:rPr>
        <w:t>formerly</w:t>
      </w:r>
      <w:r w:rsidRPr="00CB3774">
        <w:rPr>
          <w:rFonts w:ascii="Arial" w:hAnsi="Arial" w:cs="Arial"/>
          <w:bCs/>
          <w:sz w:val="20"/>
          <w:szCs w:val="20"/>
        </w:rPr>
        <w:t xml:space="preserve"> contained a fairly rigid stipulation, in part requiring the Children’s Court to be held at places at which the Magistrates’ Court is to be held and on such days and at such times as the President, after consulting the Chief Magistrate, appoints by notice published in the Government Gazette. </w:t>
      </w:r>
      <w:r w:rsidR="00E74A77">
        <w:rPr>
          <w:rFonts w:ascii="Arial" w:hAnsi="Arial" w:cs="Arial"/>
          <w:bCs/>
          <w:sz w:val="20"/>
          <w:szCs w:val="20"/>
        </w:rPr>
        <w:t>A</w:t>
      </w:r>
      <w:r w:rsidRPr="00CB3774">
        <w:rPr>
          <w:rFonts w:ascii="Arial" w:hAnsi="Arial" w:cs="Arial"/>
          <w:bCs/>
          <w:sz w:val="20"/>
          <w:szCs w:val="20"/>
        </w:rPr>
        <w:t>lthough not expressly excluded, the headquarters of each of the Courts [Melbourne Children’s Court and</w:t>
      </w:r>
      <w:r>
        <w:rPr>
          <w:rFonts w:ascii="Arial" w:hAnsi="Arial" w:cs="Arial"/>
          <w:bCs/>
          <w:sz w:val="20"/>
          <w:szCs w:val="20"/>
        </w:rPr>
        <w:t xml:space="preserve"> </w:t>
      </w:r>
      <w:r w:rsidRPr="00CB3774">
        <w:rPr>
          <w:rFonts w:ascii="Arial" w:hAnsi="Arial" w:cs="Arial"/>
          <w:bCs/>
          <w:sz w:val="20"/>
          <w:szCs w:val="20"/>
        </w:rPr>
        <w:t xml:space="preserve">Melbourne Magistrates’ Court] never complied with </w:t>
      </w:r>
      <w:r w:rsidR="00E74A77">
        <w:rPr>
          <w:rFonts w:ascii="Arial" w:hAnsi="Arial" w:cs="Arial"/>
          <w:bCs/>
          <w:sz w:val="20"/>
          <w:szCs w:val="20"/>
        </w:rPr>
        <w:t xml:space="preserve">former </w:t>
      </w:r>
      <w:r w:rsidRPr="00CB3774">
        <w:rPr>
          <w:rFonts w:ascii="Arial" w:hAnsi="Arial" w:cs="Arial"/>
          <w:bCs/>
          <w:sz w:val="20"/>
          <w:szCs w:val="20"/>
        </w:rPr>
        <w:t>s.505(1)(a), having always been in completely separate buildings.</w:t>
      </w:r>
      <w:r>
        <w:rPr>
          <w:rFonts w:ascii="Arial" w:hAnsi="Arial" w:cs="Arial"/>
          <w:bCs/>
          <w:sz w:val="20"/>
          <w:szCs w:val="20"/>
        </w:rPr>
        <w:t xml:space="preserve"> </w:t>
      </w:r>
      <w:r w:rsidR="009D2258">
        <w:rPr>
          <w:rFonts w:ascii="Arial" w:hAnsi="Arial" w:cs="Arial"/>
          <w:bCs/>
          <w:sz w:val="20"/>
          <w:szCs w:val="20"/>
        </w:rPr>
        <w:t>S</w:t>
      </w:r>
      <w:r w:rsidRPr="00CB3774">
        <w:rPr>
          <w:rFonts w:ascii="Arial" w:hAnsi="Arial" w:cs="Arial"/>
          <w:bCs/>
          <w:sz w:val="20"/>
          <w:szCs w:val="20"/>
        </w:rPr>
        <w:t xml:space="preserve">ection 505(3) prohibited the Children’s Court from being held in the same building as that in which the Magistrates’ Court </w:t>
      </w:r>
      <w:r>
        <w:rPr>
          <w:rFonts w:ascii="Arial" w:hAnsi="Arial" w:cs="Arial"/>
          <w:bCs/>
          <w:sz w:val="20"/>
          <w:szCs w:val="20"/>
        </w:rPr>
        <w:t>wa</w:t>
      </w:r>
      <w:r w:rsidRPr="00CB3774">
        <w:rPr>
          <w:rFonts w:ascii="Arial" w:hAnsi="Arial" w:cs="Arial"/>
          <w:bCs/>
          <w:sz w:val="20"/>
          <w:szCs w:val="20"/>
        </w:rPr>
        <w:t>s at the time sitting unless the Governor in Council, by Order published in the Government Gazette, otherwise direct</w:t>
      </w:r>
      <w:r w:rsidR="00CE404E">
        <w:rPr>
          <w:rFonts w:ascii="Arial" w:hAnsi="Arial" w:cs="Arial"/>
          <w:bCs/>
          <w:sz w:val="20"/>
          <w:szCs w:val="20"/>
        </w:rPr>
        <w:t>ed</w:t>
      </w:r>
      <w:r w:rsidRPr="00CB3774">
        <w:rPr>
          <w:rFonts w:ascii="Arial" w:hAnsi="Arial" w:cs="Arial"/>
          <w:bCs/>
          <w:sz w:val="20"/>
          <w:szCs w:val="20"/>
        </w:rPr>
        <w:t xml:space="preserve"> with respect to any particular building.  Subject to that, s.505(4) permitted the Children’s Court to sit and act at any time and place.</w:t>
      </w:r>
    </w:p>
    <w:p w14:paraId="20A5E1CC" w14:textId="77777777" w:rsidR="000D7DAB" w:rsidRDefault="000D7DAB" w:rsidP="009C456B">
      <w:pPr>
        <w:shd w:val="clear" w:color="auto" w:fill="FFFFFF"/>
        <w:ind w:right="-57"/>
        <w:jc w:val="both"/>
        <w:rPr>
          <w:rFonts w:ascii="Arial" w:hAnsi="Arial" w:cs="Arial"/>
          <w:bCs/>
          <w:sz w:val="20"/>
          <w:szCs w:val="20"/>
        </w:rPr>
      </w:pPr>
    </w:p>
    <w:p w14:paraId="6452A857" w14:textId="0B00851D" w:rsidR="00D91405" w:rsidRDefault="00CB3774" w:rsidP="009C456B">
      <w:pPr>
        <w:shd w:val="clear" w:color="auto" w:fill="FFFFFF"/>
        <w:ind w:right="-57"/>
        <w:jc w:val="both"/>
        <w:rPr>
          <w:rFonts w:ascii="Arial" w:hAnsi="Arial" w:cs="Arial"/>
          <w:bCs/>
          <w:sz w:val="20"/>
          <w:szCs w:val="20"/>
        </w:rPr>
      </w:pPr>
      <w:r w:rsidRPr="00CB3774">
        <w:rPr>
          <w:rFonts w:ascii="Arial" w:hAnsi="Arial" w:cs="Arial"/>
          <w:bCs/>
          <w:sz w:val="20"/>
          <w:szCs w:val="20"/>
        </w:rPr>
        <w:t xml:space="preserve">The situation was further complicated by the absence of a </w:t>
      </w:r>
      <w:r w:rsidR="00CD4244">
        <w:rPr>
          <w:rFonts w:ascii="Arial" w:hAnsi="Arial" w:cs="Arial"/>
          <w:bCs/>
          <w:sz w:val="20"/>
          <w:szCs w:val="20"/>
        </w:rPr>
        <w:t>legislative</w:t>
      </w:r>
      <w:r w:rsidRPr="00CB3774">
        <w:rPr>
          <w:rFonts w:ascii="Arial" w:hAnsi="Arial" w:cs="Arial"/>
          <w:bCs/>
          <w:sz w:val="20"/>
          <w:szCs w:val="20"/>
        </w:rPr>
        <w:t xml:space="preserve"> link between </w:t>
      </w:r>
      <w:r w:rsidR="00CE404E" w:rsidRPr="00CB3774">
        <w:rPr>
          <w:rFonts w:ascii="Arial" w:hAnsi="Arial" w:cs="Arial"/>
          <w:bCs/>
          <w:sz w:val="20"/>
          <w:szCs w:val="20"/>
        </w:rPr>
        <w:t>s.505</w:t>
      </w:r>
      <w:r w:rsidR="00CE404E">
        <w:rPr>
          <w:rFonts w:ascii="Arial" w:hAnsi="Arial" w:cs="Arial"/>
          <w:bCs/>
          <w:sz w:val="20"/>
          <w:szCs w:val="20"/>
        </w:rPr>
        <w:t xml:space="preserve"> and </w:t>
      </w:r>
      <w:r w:rsidRPr="00CB3774">
        <w:rPr>
          <w:rFonts w:ascii="Arial" w:hAnsi="Arial" w:cs="Arial"/>
          <w:bCs/>
          <w:sz w:val="20"/>
          <w:szCs w:val="20"/>
        </w:rPr>
        <w:t xml:space="preserve">the </w:t>
      </w:r>
      <w:r w:rsidR="00D91405">
        <w:rPr>
          <w:rFonts w:ascii="Arial" w:hAnsi="Arial" w:cs="Arial"/>
          <w:bCs/>
          <w:sz w:val="20"/>
          <w:szCs w:val="20"/>
        </w:rPr>
        <w:t xml:space="preserve">very complex </w:t>
      </w:r>
      <w:r w:rsidRPr="00CB3774">
        <w:rPr>
          <w:rFonts w:ascii="Arial" w:hAnsi="Arial" w:cs="Arial"/>
          <w:bCs/>
          <w:sz w:val="20"/>
          <w:szCs w:val="20"/>
        </w:rPr>
        <w:t>definition of ‘proper venue’ in s.3(1).</w:t>
      </w:r>
      <w:r w:rsidR="00CD4244">
        <w:rPr>
          <w:rFonts w:ascii="Arial" w:hAnsi="Arial" w:cs="Arial"/>
          <w:bCs/>
          <w:sz w:val="20"/>
          <w:szCs w:val="20"/>
        </w:rPr>
        <w:t xml:space="preserve">  Speaking generally</w:t>
      </w:r>
      <w:r w:rsidR="00D91405">
        <w:rPr>
          <w:rFonts w:ascii="Arial" w:hAnsi="Arial" w:cs="Arial"/>
          <w:bCs/>
          <w:sz w:val="20"/>
          <w:szCs w:val="20"/>
        </w:rPr>
        <w:t xml:space="preserve"> and subject to limited exceptions</w:t>
      </w:r>
      <w:r w:rsidR="00CD4244">
        <w:rPr>
          <w:rFonts w:ascii="Arial" w:hAnsi="Arial" w:cs="Arial"/>
          <w:bCs/>
          <w:sz w:val="20"/>
          <w:szCs w:val="20"/>
        </w:rPr>
        <w:t xml:space="preserve">, </w:t>
      </w:r>
      <w:r w:rsidR="00D91405">
        <w:rPr>
          <w:rFonts w:ascii="Arial" w:hAnsi="Arial" w:cs="Arial"/>
          <w:bCs/>
          <w:sz w:val="20"/>
          <w:szCs w:val="20"/>
        </w:rPr>
        <w:t xml:space="preserve">s.3(1) provides that </w:t>
      </w:r>
      <w:r w:rsidR="00CD4244">
        <w:rPr>
          <w:rFonts w:ascii="Arial" w:hAnsi="Arial" w:cs="Arial"/>
          <w:bCs/>
          <w:sz w:val="20"/>
          <w:szCs w:val="20"/>
        </w:rPr>
        <w:t>the ‘proper venue’ is the venue of the Court that is nearest to</w:t>
      </w:r>
      <w:r w:rsidR="00D91405">
        <w:rPr>
          <w:rFonts w:ascii="Arial" w:hAnsi="Arial" w:cs="Arial"/>
          <w:bCs/>
          <w:sz w:val="20"/>
          <w:szCs w:val="20"/>
        </w:rPr>
        <w:t>–</w:t>
      </w:r>
    </w:p>
    <w:p w14:paraId="6FBD73B8" w14:textId="3368FE86" w:rsidR="00D91405" w:rsidRPr="00D91405" w:rsidRDefault="00D91405" w:rsidP="006264A9">
      <w:pPr>
        <w:pStyle w:val="ListParagraph"/>
        <w:numPr>
          <w:ilvl w:val="0"/>
          <w:numId w:val="48"/>
        </w:numPr>
        <w:shd w:val="clear" w:color="auto" w:fill="FFFFFF"/>
        <w:ind w:left="357" w:hanging="357"/>
        <w:jc w:val="both"/>
        <w:rPr>
          <w:rFonts w:ascii="Arial" w:hAnsi="Arial" w:cs="Arial"/>
          <w:bCs/>
          <w:sz w:val="20"/>
        </w:rPr>
      </w:pPr>
      <w:r>
        <w:rPr>
          <w:rFonts w:ascii="Arial" w:hAnsi="Arial" w:cs="Arial"/>
          <w:bCs/>
          <w:sz w:val="20"/>
        </w:rPr>
        <w:t>the place of residence of the child; or</w:t>
      </w:r>
    </w:p>
    <w:p w14:paraId="16D40A4E" w14:textId="1BAEA5E3" w:rsidR="00CE404E" w:rsidRPr="00D91405" w:rsidRDefault="00CD4244" w:rsidP="006264A9">
      <w:pPr>
        <w:pStyle w:val="ListParagraph"/>
        <w:numPr>
          <w:ilvl w:val="0"/>
          <w:numId w:val="48"/>
        </w:numPr>
        <w:shd w:val="clear" w:color="auto" w:fill="FFFFFF"/>
        <w:ind w:left="357" w:hanging="357"/>
        <w:jc w:val="both"/>
        <w:rPr>
          <w:rFonts w:ascii="Arial" w:hAnsi="Arial" w:cs="Arial"/>
          <w:bCs/>
          <w:sz w:val="20"/>
        </w:rPr>
      </w:pPr>
      <w:r w:rsidRPr="00D91405">
        <w:rPr>
          <w:rFonts w:ascii="Arial" w:hAnsi="Arial" w:cs="Arial"/>
          <w:bCs/>
          <w:sz w:val="20"/>
        </w:rPr>
        <w:t>the place where the subject-matter of the case arose.</w:t>
      </w:r>
    </w:p>
    <w:p w14:paraId="5F9C18D8" w14:textId="77777777" w:rsidR="00CE404E" w:rsidRDefault="00CE404E" w:rsidP="00CE404E">
      <w:pPr>
        <w:jc w:val="both"/>
        <w:rPr>
          <w:rFonts w:ascii="Arial" w:hAnsi="Arial" w:cs="Arial"/>
          <w:sz w:val="20"/>
        </w:rPr>
      </w:pPr>
    </w:p>
    <w:p w14:paraId="2E9E1F2C" w14:textId="55D5EC12" w:rsidR="0031003A" w:rsidRDefault="00CE404E" w:rsidP="00CE404E">
      <w:pPr>
        <w:jc w:val="both"/>
        <w:rPr>
          <w:rFonts w:ascii="Arial" w:hAnsi="Arial" w:cs="Arial"/>
          <w:bCs/>
          <w:sz w:val="20"/>
          <w:szCs w:val="20"/>
        </w:rPr>
      </w:pPr>
      <w:r>
        <w:rPr>
          <w:rFonts w:ascii="Arial" w:hAnsi="Arial" w:cs="Arial"/>
          <w:sz w:val="20"/>
        </w:rPr>
        <w:t xml:space="preserve">Although the </w:t>
      </w:r>
      <w:r w:rsidRPr="00CB3774">
        <w:rPr>
          <w:rFonts w:ascii="Arial" w:hAnsi="Arial" w:cs="Arial"/>
          <w:bCs/>
          <w:sz w:val="20"/>
          <w:szCs w:val="20"/>
        </w:rPr>
        <w:t>Children’s Court understands the importance of keeping its proceedings as far as possible away from courts in which adult proceedings are being conducted</w:t>
      </w:r>
      <w:r>
        <w:rPr>
          <w:rFonts w:ascii="Arial" w:hAnsi="Arial" w:cs="Arial"/>
          <w:bCs/>
          <w:sz w:val="20"/>
          <w:szCs w:val="20"/>
        </w:rPr>
        <w:t xml:space="preserve">, </w:t>
      </w:r>
      <w:r w:rsidRPr="00CB3774">
        <w:rPr>
          <w:rFonts w:ascii="Arial" w:hAnsi="Arial" w:cs="Arial"/>
          <w:bCs/>
          <w:sz w:val="20"/>
          <w:szCs w:val="20"/>
        </w:rPr>
        <w:t>the interests of justice occasionally require them to be held at the same time in the same building.</w:t>
      </w:r>
      <w:r>
        <w:rPr>
          <w:rFonts w:ascii="Arial" w:hAnsi="Arial" w:cs="Arial"/>
          <w:bCs/>
          <w:sz w:val="20"/>
          <w:szCs w:val="20"/>
        </w:rPr>
        <w:t xml:space="preserve"> Accordingly, for this reason and because of an ongoing need for online hearings from time to time, s.505 has been substantially amended to provide simply: “The Court may sit and act at any time and place.”</w:t>
      </w:r>
    </w:p>
    <w:p w14:paraId="343AA77B" w14:textId="77777777" w:rsidR="00A060D2" w:rsidRDefault="00A060D2" w:rsidP="00A060D2">
      <w:pPr>
        <w:jc w:val="both"/>
        <w:rPr>
          <w:rFonts w:ascii="Arial" w:hAnsi="Arial" w:cs="Arial"/>
          <w:bCs/>
          <w:sz w:val="20"/>
          <w:szCs w:val="20"/>
        </w:rPr>
      </w:pPr>
    </w:p>
    <w:p w14:paraId="4937EB6E" w14:textId="77777777" w:rsidR="00A060D2" w:rsidRDefault="00A060D2" w:rsidP="00A060D2">
      <w:pPr>
        <w:jc w:val="both"/>
        <w:rPr>
          <w:rFonts w:ascii="Arial" w:hAnsi="Arial" w:cs="Arial"/>
          <w:bCs/>
          <w:sz w:val="20"/>
          <w:szCs w:val="20"/>
        </w:rPr>
      </w:pPr>
      <w:r>
        <w:rPr>
          <w:rFonts w:ascii="Arial" w:hAnsi="Arial" w:cs="Arial"/>
          <w:bCs/>
          <w:sz w:val="20"/>
          <w:szCs w:val="20"/>
        </w:rPr>
        <w:t>New s.505A now provides the following link with the definition of ‘proper venue’ in s.3(1):</w:t>
      </w:r>
    </w:p>
    <w:p w14:paraId="014FBB53" w14:textId="78573117" w:rsidR="00A060D2" w:rsidRPr="00CB3774" w:rsidRDefault="00A060D2" w:rsidP="00FD6D96">
      <w:pPr>
        <w:shd w:val="clear" w:color="auto" w:fill="FFFFFF"/>
        <w:spacing w:before="60"/>
        <w:ind w:left="924" w:right="567" w:hanging="357"/>
        <w:jc w:val="both"/>
        <w:rPr>
          <w:rFonts w:ascii="Arial" w:hAnsi="Arial" w:cs="Arial"/>
          <w:bCs/>
          <w:sz w:val="20"/>
          <w:szCs w:val="20"/>
        </w:rPr>
      </w:pPr>
      <w:r w:rsidRPr="00CB3774">
        <w:rPr>
          <w:rFonts w:ascii="Arial" w:hAnsi="Arial" w:cs="Arial"/>
          <w:bCs/>
          <w:sz w:val="20"/>
          <w:szCs w:val="20"/>
        </w:rPr>
        <w:t>“(1)</w:t>
      </w:r>
      <w:r>
        <w:rPr>
          <w:rFonts w:ascii="Arial" w:hAnsi="Arial" w:cs="Arial"/>
          <w:bCs/>
          <w:sz w:val="20"/>
          <w:szCs w:val="20"/>
        </w:rPr>
        <w:tab/>
      </w:r>
      <w:r w:rsidRPr="00CB3774">
        <w:rPr>
          <w:rFonts w:ascii="Arial" w:hAnsi="Arial" w:cs="Arial"/>
          <w:bCs/>
          <w:sz w:val="20"/>
          <w:szCs w:val="20"/>
        </w:rPr>
        <w:t>Without limiting s.505, the Court may order that a hearing be held at an appropriate place that is not the proper venue for the hearing if the Court considers that</w:t>
      </w:r>
      <w:r w:rsidR="00FD6D96">
        <w:rPr>
          <w:rFonts w:ascii="Arial" w:hAnsi="Arial" w:cs="Arial"/>
          <w:sz w:val="20"/>
          <w:szCs w:val="20"/>
        </w:rPr>
        <w:t>–</w:t>
      </w:r>
    </w:p>
    <w:p w14:paraId="6AD202E4" w14:textId="77777777" w:rsidR="00A060D2" w:rsidRPr="00CB3774" w:rsidRDefault="00A060D2" w:rsidP="00FD6D96">
      <w:pPr>
        <w:pStyle w:val="ListParagraph"/>
        <w:numPr>
          <w:ilvl w:val="0"/>
          <w:numId w:val="17"/>
        </w:numPr>
        <w:shd w:val="clear" w:color="auto" w:fill="FFFFFF"/>
        <w:ind w:left="1281" w:right="567" w:hanging="357"/>
        <w:jc w:val="both"/>
        <w:rPr>
          <w:rFonts w:ascii="Arial" w:hAnsi="Arial" w:cs="Arial"/>
          <w:bCs/>
          <w:sz w:val="20"/>
        </w:rPr>
      </w:pPr>
      <w:r w:rsidRPr="00CB3774">
        <w:rPr>
          <w:rFonts w:ascii="Arial" w:hAnsi="Arial" w:cs="Arial"/>
          <w:bCs/>
          <w:sz w:val="20"/>
        </w:rPr>
        <w:t xml:space="preserve">for any reason it is </w:t>
      </w:r>
      <w:r w:rsidRPr="005F2CAA">
        <w:rPr>
          <w:rFonts w:ascii="Arial" w:hAnsi="Arial" w:cs="Arial"/>
          <w:b/>
          <w:sz w:val="20"/>
        </w:rPr>
        <w:t>appropriate</w:t>
      </w:r>
      <w:r w:rsidRPr="00CB3774">
        <w:rPr>
          <w:rFonts w:ascii="Arial" w:hAnsi="Arial" w:cs="Arial"/>
          <w:bCs/>
          <w:sz w:val="20"/>
        </w:rPr>
        <w:t xml:space="preserve"> that the hearing </w:t>
      </w:r>
      <w:proofErr w:type="gramStart"/>
      <w:r w:rsidRPr="00CB3774">
        <w:rPr>
          <w:rFonts w:ascii="Arial" w:hAnsi="Arial" w:cs="Arial"/>
          <w:bCs/>
          <w:sz w:val="20"/>
        </w:rPr>
        <w:t>not be</w:t>
      </w:r>
      <w:proofErr w:type="gramEnd"/>
      <w:r w:rsidRPr="00CB3774">
        <w:rPr>
          <w:rFonts w:ascii="Arial" w:hAnsi="Arial" w:cs="Arial"/>
          <w:bCs/>
          <w:sz w:val="20"/>
        </w:rPr>
        <w:t xml:space="preserve"> held at the proper venue; </w:t>
      </w:r>
      <w:r w:rsidRPr="005F2CAA">
        <w:rPr>
          <w:rFonts w:ascii="Arial" w:hAnsi="Arial" w:cs="Arial"/>
          <w:b/>
          <w:sz w:val="20"/>
        </w:rPr>
        <w:t>and</w:t>
      </w:r>
    </w:p>
    <w:p w14:paraId="15C5D753" w14:textId="77777777" w:rsidR="00A060D2" w:rsidRPr="00CB3774" w:rsidRDefault="00A060D2" w:rsidP="00FD6D96">
      <w:pPr>
        <w:pStyle w:val="ListParagraph"/>
        <w:numPr>
          <w:ilvl w:val="0"/>
          <w:numId w:val="17"/>
        </w:numPr>
        <w:shd w:val="clear" w:color="auto" w:fill="FFFFFF"/>
        <w:ind w:left="1281" w:right="567" w:hanging="357"/>
        <w:jc w:val="both"/>
        <w:rPr>
          <w:rFonts w:ascii="Arial" w:hAnsi="Arial" w:cs="Arial"/>
          <w:bCs/>
          <w:sz w:val="20"/>
        </w:rPr>
      </w:pPr>
      <w:r w:rsidRPr="00CB3774">
        <w:rPr>
          <w:rFonts w:ascii="Arial" w:hAnsi="Arial" w:cs="Arial"/>
          <w:bCs/>
          <w:sz w:val="20"/>
        </w:rPr>
        <w:t xml:space="preserve">it is in the </w:t>
      </w:r>
      <w:r w:rsidRPr="005F2CAA">
        <w:rPr>
          <w:rFonts w:ascii="Arial" w:hAnsi="Arial" w:cs="Arial"/>
          <w:b/>
          <w:sz w:val="20"/>
        </w:rPr>
        <w:t>interests of justice</w:t>
      </w:r>
      <w:r w:rsidRPr="00CB3774">
        <w:rPr>
          <w:rFonts w:ascii="Arial" w:hAnsi="Arial" w:cs="Arial"/>
          <w:bCs/>
          <w:sz w:val="20"/>
        </w:rPr>
        <w:t xml:space="preserve"> that the hearing </w:t>
      </w:r>
      <w:proofErr w:type="gramStart"/>
      <w:r w:rsidRPr="00CB3774">
        <w:rPr>
          <w:rFonts w:ascii="Arial" w:hAnsi="Arial" w:cs="Arial"/>
          <w:bCs/>
          <w:sz w:val="20"/>
        </w:rPr>
        <w:t>not be</w:t>
      </w:r>
      <w:proofErr w:type="gramEnd"/>
      <w:r w:rsidRPr="00CB3774">
        <w:rPr>
          <w:rFonts w:ascii="Arial" w:hAnsi="Arial" w:cs="Arial"/>
          <w:bCs/>
          <w:sz w:val="20"/>
        </w:rPr>
        <w:t xml:space="preserve"> held at the proper venue.</w:t>
      </w:r>
    </w:p>
    <w:p w14:paraId="61E238C8" w14:textId="76BF2A5D" w:rsidR="00A060D2" w:rsidRPr="00CB3774" w:rsidRDefault="00A060D2" w:rsidP="00FD6D96">
      <w:pPr>
        <w:shd w:val="clear" w:color="auto" w:fill="FFFFFF"/>
        <w:spacing w:before="60"/>
        <w:ind w:left="924" w:right="567" w:hanging="357"/>
        <w:jc w:val="both"/>
        <w:rPr>
          <w:rFonts w:ascii="Arial" w:hAnsi="Arial" w:cs="Arial"/>
          <w:bCs/>
          <w:sz w:val="20"/>
          <w:szCs w:val="20"/>
        </w:rPr>
      </w:pPr>
      <w:r w:rsidRPr="00CB3774">
        <w:rPr>
          <w:rFonts w:ascii="Arial" w:hAnsi="Arial" w:cs="Arial"/>
          <w:bCs/>
          <w:sz w:val="20"/>
          <w:szCs w:val="20"/>
        </w:rPr>
        <w:t>(2)</w:t>
      </w:r>
      <w:r>
        <w:rPr>
          <w:rFonts w:ascii="Arial" w:hAnsi="Arial" w:cs="Arial"/>
          <w:bCs/>
          <w:sz w:val="20"/>
          <w:szCs w:val="20"/>
        </w:rPr>
        <w:tab/>
      </w:r>
      <w:r w:rsidRPr="00CB3774">
        <w:rPr>
          <w:rFonts w:ascii="Arial" w:hAnsi="Arial" w:cs="Arial"/>
          <w:bCs/>
          <w:sz w:val="20"/>
          <w:szCs w:val="20"/>
        </w:rPr>
        <w:t>In determining an appropriate place to hold a hearing for the purposes of subsection</w:t>
      </w:r>
      <w:r w:rsidR="00FD6D96">
        <w:rPr>
          <w:rFonts w:ascii="Arial" w:hAnsi="Arial" w:cs="Arial"/>
          <w:bCs/>
          <w:sz w:val="20"/>
          <w:szCs w:val="20"/>
        </w:rPr>
        <w:t> </w:t>
      </w:r>
      <w:r w:rsidRPr="00CB3774">
        <w:rPr>
          <w:rFonts w:ascii="Arial" w:hAnsi="Arial" w:cs="Arial"/>
          <w:bCs/>
          <w:sz w:val="20"/>
          <w:szCs w:val="20"/>
        </w:rPr>
        <w:t>(1), the Court must first have regard to</w:t>
      </w:r>
      <w:r w:rsidR="00FD6D96">
        <w:rPr>
          <w:rFonts w:ascii="Arial" w:hAnsi="Arial" w:cs="Arial"/>
          <w:bCs/>
          <w:sz w:val="20"/>
          <w:szCs w:val="20"/>
        </w:rPr>
        <w:t>–</w:t>
      </w:r>
    </w:p>
    <w:p w14:paraId="3EA9423F" w14:textId="77777777" w:rsidR="00A060D2" w:rsidRDefault="00A060D2" w:rsidP="00FD6D96">
      <w:pPr>
        <w:pStyle w:val="ListParagraph"/>
        <w:numPr>
          <w:ilvl w:val="0"/>
          <w:numId w:val="18"/>
        </w:numPr>
        <w:shd w:val="clear" w:color="auto" w:fill="FFFFFF"/>
        <w:ind w:left="1281" w:right="567" w:hanging="357"/>
        <w:jc w:val="both"/>
        <w:rPr>
          <w:rFonts w:ascii="Arial" w:hAnsi="Arial" w:cs="Arial"/>
          <w:bCs/>
          <w:sz w:val="20"/>
        </w:rPr>
      </w:pPr>
      <w:r w:rsidRPr="00CB3774">
        <w:rPr>
          <w:rFonts w:ascii="Arial" w:hAnsi="Arial" w:cs="Arial"/>
          <w:bCs/>
          <w:sz w:val="20"/>
        </w:rPr>
        <w:t>places closest to the proper venue for the hearing; and</w:t>
      </w:r>
    </w:p>
    <w:p w14:paraId="7E5F52CF" w14:textId="77777777" w:rsidR="00A060D2" w:rsidRPr="00CB3774" w:rsidRDefault="00A060D2" w:rsidP="00FD6D96">
      <w:pPr>
        <w:pStyle w:val="ListParagraph"/>
        <w:numPr>
          <w:ilvl w:val="0"/>
          <w:numId w:val="18"/>
        </w:numPr>
        <w:shd w:val="clear" w:color="auto" w:fill="FFFFFF"/>
        <w:ind w:left="1281" w:right="567" w:hanging="357"/>
        <w:jc w:val="both"/>
        <w:rPr>
          <w:rFonts w:ascii="Arial" w:hAnsi="Arial" w:cs="Arial"/>
          <w:bCs/>
          <w:sz w:val="20"/>
        </w:rPr>
      </w:pPr>
      <w:r w:rsidRPr="00CB3774">
        <w:rPr>
          <w:rFonts w:ascii="Arial" w:hAnsi="Arial" w:cs="Arial"/>
          <w:bCs/>
          <w:sz w:val="20"/>
        </w:rPr>
        <w:t>the views of the parties to the proceeding.”</w:t>
      </w:r>
    </w:p>
    <w:p w14:paraId="17BE9E21" w14:textId="77777777" w:rsidR="00A776DB" w:rsidRDefault="00A776DB" w:rsidP="00A776DB">
      <w:pPr>
        <w:jc w:val="both"/>
        <w:rPr>
          <w:rFonts w:ascii="Arial" w:hAnsi="Arial" w:cs="Arial"/>
          <w:sz w:val="20"/>
          <w:szCs w:val="20"/>
        </w:rPr>
      </w:pPr>
    </w:p>
    <w:p w14:paraId="06C51BBA" w14:textId="7C62D1CE" w:rsidR="00A776DB" w:rsidRPr="006256FD" w:rsidRDefault="00A776DB" w:rsidP="00A776DB">
      <w:pPr>
        <w:jc w:val="both"/>
        <w:rPr>
          <w:rFonts w:ascii="Arial" w:hAnsi="Arial" w:cs="Arial"/>
          <w:sz w:val="20"/>
          <w:szCs w:val="20"/>
        </w:rPr>
      </w:pPr>
      <w:r w:rsidRPr="006256FD">
        <w:rPr>
          <w:rFonts w:ascii="Arial" w:hAnsi="Arial" w:cs="Arial"/>
          <w:sz w:val="20"/>
          <w:szCs w:val="20"/>
        </w:rPr>
        <w:t xml:space="preserve">For a discussion of the meaning of </w:t>
      </w:r>
      <w:r w:rsidRPr="005F2CAA">
        <w:rPr>
          <w:rFonts w:ascii="Arial" w:hAnsi="Arial" w:cs="Arial"/>
          <w:b/>
          <w:bCs/>
          <w:sz w:val="20"/>
          <w:szCs w:val="20"/>
        </w:rPr>
        <w:t>“interests of justice</w:t>
      </w:r>
      <w:r w:rsidRPr="006256FD">
        <w:rPr>
          <w:rFonts w:ascii="Arial" w:hAnsi="Arial" w:cs="Arial"/>
          <w:sz w:val="20"/>
          <w:szCs w:val="20"/>
        </w:rPr>
        <w:t xml:space="preserve">” in the context of an unopposed but unsuccessful application for a judge-alone trial see the dicta of Jane Dixon J in </w:t>
      </w:r>
      <w:r w:rsidRPr="006256FD">
        <w:rPr>
          <w:rFonts w:ascii="Arial" w:hAnsi="Arial" w:cs="Arial"/>
          <w:i/>
          <w:iCs/>
          <w:sz w:val="20"/>
          <w:szCs w:val="20"/>
        </w:rPr>
        <w:t>DPP v JH</w:t>
      </w:r>
      <w:r w:rsidRPr="006256FD">
        <w:rPr>
          <w:rFonts w:ascii="Arial" w:hAnsi="Arial" w:cs="Arial"/>
          <w:sz w:val="20"/>
          <w:szCs w:val="20"/>
        </w:rPr>
        <w:t xml:space="preserve"> [2022] VSC 237 at [15]-[19], including her Honour’s reference to [2020] VCC 726, cited with approval by Hollingworth J in </w:t>
      </w:r>
      <w:r w:rsidRPr="006256FD">
        <w:rPr>
          <w:rFonts w:ascii="Arial" w:eastAsia="Book Antiqua" w:hAnsi="Arial" w:cs="Arial"/>
          <w:i/>
          <w:sz w:val="20"/>
          <w:szCs w:val="20"/>
        </w:rPr>
        <w:t xml:space="preserve">DPP v Tiba </w:t>
      </w:r>
      <w:r w:rsidRPr="006256FD">
        <w:rPr>
          <w:rFonts w:ascii="Arial" w:hAnsi="Arial" w:cs="Arial"/>
          <w:sz w:val="20"/>
          <w:szCs w:val="20"/>
        </w:rPr>
        <w:t xml:space="preserve">[2020] VSC 600, and also cited with approval by the Court of Appeal in </w:t>
      </w:r>
      <w:r w:rsidRPr="006256FD">
        <w:rPr>
          <w:rFonts w:ascii="Arial" w:eastAsia="Book Antiqua" w:hAnsi="Arial" w:cs="Arial"/>
          <w:i/>
          <w:sz w:val="20"/>
          <w:szCs w:val="20"/>
        </w:rPr>
        <w:t xml:space="preserve">Hooper v </w:t>
      </w:r>
      <w:proofErr w:type="spellStart"/>
      <w:r w:rsidRPr="006256FD">
        <w:rPr>
          <w:rFonts w:ascii="Arial" w:eastAsia="Book Antiqua" w:hAnsi="Arial" w:cs="Arial"/>
          <w:i/>
          <w:sz w:val="20"/>
          <w:szCs w:val="20"/>
        </w:rPr>
        <w:t>Oxymed</w:t>
      </w:r>
      <w:proofErr w:type="spellEnd"/>
      <w:r w:rsidRPr="006256FD">
        <w:rPr>
          <w:rFonts w:ascii="Arial" w:eastAsia="Book Antiqua" w:hAnsi="Arial" w:cs="Arial"/>
          <w:i/>
          <w:sz w:val="20"/>
          <w:szCs w:val="20"/>
        </w:rPr>
        <w:t xml:space="preserve"> Australia Pty Ltd</w:t>
      </w:r>
      <w:r w:rsidRPr="006256FD">
        <w:rPr>
          <w:rFonts w:ascii="Arial" w:hAnsi="Arial" w:cs="Arial"/>
          <w:sz w:val="20"/>
          <w:szCs w:val="20"/>
        </w:rPr>
        <w:t xml:space="preserve"> [2021] VSCA 68 [37].</w:t>
      </w:r>
      <w:r w:rsidR="000D7D82">
        <w:rPr>
          <w:rFonts w:ascii="Arial" w:hAnsi="Arial" w:cs="Arial"/>
          <w:sz w:val="20"/>
          <w:szCs w:val="20"/>
        </w:rPr>
        <w:t xml:space="preserve"> See also dicta of Judd J in </w:t>
      </w:r>
      <w:r w:rsidR="000D7D82" w:rsidRPr="000D7D82">
        <w:rPr>
          <w:rFonts w:ascii="Arial" w:hAnsi="Arial" w:cs="Arial"/>
          <w:i/>
          <w:iCs/>
          <w:sz w:val="20"/>
          <w:szCs w:val="20"/>
        </w:rPr>
        <w:t>McHugh v Commonwealth of Australia</w:t>
      </w:r>
      <w:r w:rsidR="000D7D82">
        <w:rPr>
          <w:rFonts w:ascii="Arial" w:hAnsi="Arial" w:cs="Arial"/>
          <w:sz w:val="20"/>
          <w:szCs w:val="20"/>
        </w:rPr>
        <w:t xml:space="preserve"> [2025] VSC 11 at [13]-[18] in relation to the meaning of </w:t>
      </w:r>
      <w:r w:rsidR="000D7D82" w:rsidRPr="005F2CAA">
        <w:rPr>
          <w:rFonts w:ascii="Arial" w:hAnsi="Arial" w:cs="Arial"/>
          <w:b/>
          <w:bCs/>
          <w:sz w:val="20"/>
          <w:szCs w:val="20"/>
        </w:rPr>
        <w:t>“interests of justice</w:t>
      </w:r>
      <w:r w:rsidR="000D7D82" w:rsidRPr="006256FD">
        <w:rPr>
          <w:rFonts w:ascii="Arial" w:hAnsi="Arial" w:cs="Arial"/>
          <w:sz w:val="20"/>
          <w:szCs w:val="20"/>
        </w:rPr>
        <w:t>” in the context of</w:t>
      </w:r>
      <w:r w:rsidR="000D7D82">
        <w:rPr>
          <w:rFonts w:ascii="Arial" w:hAnsi="Arial" w:cs="Arial"/>
          <w:sz w:val="20"/>
          <w:szCs w:val="20"/>
        </w:rPr>
        <w:t xml:space="preserve"> cross-vesting legislation between the Supreme Court of Victoria and the Federal Court.</w:t>
      </w:r>
    </w:p>
    <w:p w14:paraId="4325AF30" w14:textId="78075A84" w:rsidR="00A776DB" w:rsidRDefault="00A776DB" w:rsidP="00FD6D96">
      <w:pPr>
        <w:jc w:val="both"/>
        <w:rPr>
          <w:rFonts w:ascii="Arial" w:hAnsi="Arial" w:cs="Arial"/>
          <w:sz w:val="20"/>
          <w:szCs w:val="20"/>
        </w:rPr>
      </w:pPr>
    </w:p>
    <w:p w14:paraId="48DA9882" w14:textId="54A26BF1" w:rsidR="00A060D2" w:rsidRDefault="00A060D2" w:rsidP="00FD6D96">
      <w:pPr>
        <w:jc w:val="both"/>
        <w:rPr>
          <w:rFonts w:ascii="Arial" w:hAnsi="Arial" w:cs="Arial"/>
          <w:sz w:val="20"/>
          <w:szCs w:val="20"/>
        </w:rPr>
      </w:pPr>
      <w:r>
        <w:rPr>
          <w:rFonts w:ascii="Arial" w:hAnsi="Arial" w:cs="Arial"/>
          <w:sz w:val="20"/>
          <w:szCs w:val="20"/>
        </w:rPr>
        <w:t>By comparison</w:t>
      </w:r>
      <w:r w:rsidR="00A776DB">
        <w:rPr>
          <w:rFonts w:ascii="Arial" w:hAnsi="Arial" w:cs="Arial"/>
          <w:sz w:val="20"/>
          <w:szCs w:val="20"/>
        </w:rPr>
        <w:t xml:space="preserve"> with s.505A CYFA</w:t>
      </w:r>
      <w:r>
        <w:rPr>
          <w:rFonts w:ascii="Arial" w:hAnsi="Arial" w:cs="Arial"/>
          <w:sz w:val="20"/>
          <w:szCs w:val="20"/>
        </w:rPr>
        <w:t xml:space="preserve">, s.31 of the Criminal Procedure Act 2009 </w:t>
      </w:r>
      <w:r w:rsidR="009D2258">
        <w:rPr>
          <w:rFonts w:ascii="Arial" w:hAnsi="Arial" w:cs="Arial"/>
          <w:sz w:val="20"/>
          <w:szCs w:val="20"/>
        </w:rPr>
        <w:t xml:space="preserve">[CPA] </w:t>
      </w:r>
      <w:r>
        <w:rPr>
          <w:rFonts w:ascii="Arial" w:hAnsi="Arial" w:cs="Arial"/>
          <w:sz w:val="20"/>
          <w:szCs w:val="20"/>
        </w:rPr>
        <w:t>provides</w:t>
      </w:r>
      <w:r w:rsidR="00BD754A">
        <w:rPr>
          <w:rFonts w:ascii="Arial" w:hAnsi="Arial" w:cs="Arial"/>
          <w:sz w:val="20"/>
          <w:szCs w:val="20"/>
        </w:rPr>
        <w:t>:</w:t>
      </w:r>
    </w:p>
    <w:p w14:paraId="05198919" w14:textId="77777777" w:rsidR="00A060D2" w:rsidRDefault="00A060D2" w:rsidP="00FD6D96">
      <w:pPr>
        <w:spacing w:before="60"/>
        <w:ind w:left="567" w:right="567"/>
        <w:jc w:val="both"/>
        <w:rPr>
          <w:rFonts w:ascii="Arial" w:hAnsi="Arial" w:cs="Arial"/>
          <w:sz w:val="20"/>
          <w:szCs w:val="20"/>
        </w:rPr>
      </w:pPr>
      <w:r>
        <w:rPr>
          <w:rFonts w:ascii="Arial" w:hAnsi="Arial" w:cs="Arial"/>
          <w:sz w:val="20"/>
          <w:szCs w:val="20"/>
        </w:rPr>
        <w:t>“If the Magistrates’ Court considers that–</w:t>
      </w:r>
    </w:p>
    <w:p w14:paraId="3FAD3DB4" w14:textId="77777777" w:rsidR="00A060D2" w:rsidRPr="00A63D6D" w:rsidRDefault="00A060D2" w:rsidP="006264A9">
      <w:pPr>
        <w:pStyle w:val="ListParagraph"/>
        <w:numPr>
          <w:ilvl w:val="0"/>
          <w:numId w:val="49"/>
        </w:numPr>
        <w:ind w:left="924" w:right="567" w:hanging="357"/>
        <w:jc w:val="both"/>
        <w:rPr>
          <w:rFonts w:ascii="Arial" w:hAnsi="Arial" w:cs="Arial"/>
          <w:sz w:val="20"/>
        </w:rPr>
      </w:pPr>
      <w:r w:rsidRPr="00A63D6D">
        <w:rPr>
          <w:rFonts w:ascii="Arial" w:hAnsi="Arial" w:cs="Arial"/>
          <w:sz w:val="20"/>
        </w:rPr>
        <w:t>a fair hearing in a criminal proceeding cannot otherwise be had; or</w:t>
      </w:r>
    </w:p>
    <w:p w14:paraId="7424F003" w14:textId="77777777" w:rsidR="00A060D2" w:rsidRPr="00A63D6D" w:rsidRDefault="00A060D2" w:rsidP="006264A9">
      <w:pPr>
        <w:pStyle w:val="ListParagraph"/>
        <w:numPr>
          <w:ilvl w:val="0"/>
          <w:numId w:val="49"/>
        </w:numPr>
        <w:ind w:left="924" w:right="567" w:hanging="357"/>
        <w:jc w:val="both"/>
        <w:rPr>
          <w:rFonts w:ascii="Arial" w:hAnsi="Arial" w:cs="Arial"/>
          <w:sz w:val="20"/>
        </w:rPr>
      </w:pPr>
      <w:r>
        <w:rPr>
          <w:rFonts w:ascii="Arial" w:hAnsi="Arial" w:cs="Arial"/>
          <w:sz w:val="20"/>
        </w:rPr>
        <w:t>for any other reason it is appropriate to do so–</w:t>
      </w:r>
    </w:p>
    <w:p w14:paraId="4818AA2F" w14:textId="77777777" w:rsidR="00A060D2" w:rsidRPr="00A63D6D" w:rsidRDefault="00A060D2" w:rsidP="00FD6D96">
      <w:pPr>
        <w:ind w:left="567" w:right="567"/>
        <w:jc w:val="both"/>
        <w:rPr>
          <w:rFonts w:ascii="Arial" w:hAnsi="Arial" w:cs="Arial"/>
          <w:sz w:val="20"/>
        </w:rPr>
      </w:pPr>
      <w:r>
        <w:rPr>
          <w:rFonts w:ascii="Arial" w:hAnsi="Arial" w:cs="Arial"/>
          <w:sz w:val="20"/>
        </w:rPr>
        <w:t>the court may order that the hearing be held at another place or venue of the court that the court considers appropriate.”</w:t>
      </w:r>
    </w:p>
    <w:p w14:paraId="11259C27" w14:textId="77777777" w:rsidR="009D2258" w:rsidRDefault="009D2258" w:rsidP="000D7DAB">
      <w:pPr>
        <w:jc w:val="both"/>
        <w:rPr>
          <w:rFonts w:ascii="Arial" w:hAnsi="Arial" w:cs="Arial"/>
          <w:sz w:val="20"/>
          <w:szCs w:val="20"/>
        </w:rPr>
      </w:pPr>
    </w:p>
    <w:p w14:paraId="55BC0BC5" w14:textId="3E6987CF" w:rsidR="00E23B5A" w:rsidRDefault="009D2258" w:rsidP="000D7DAB">
      <w:pPr>
        <w:jc w:val="both"/>
        <w:rPr>
          <w:rFonts w:ascii="Arial" w:hAnsi="Arial" w:cs="Arial"/>
          <w:sz w:val="20"/>
          <w:szCs w:val="20"/>
        </w:rPr>
      </w:pPr>
      <w:r>
        <w:rPr>
          <w:rFonts w:ascii="Arial" w:hAnsi="Arial" w:cs="Arial"/>
          <w:sz w:val="20"/>
          <w:szCs w:val="20"/>
        </w:rPr>
        <w:t>And</w:t>
      </w:r>
      <w:r w:rsidR="00E23B5A">
        <w:rPr>
          <w:rFonts w:ascii="Arial" w:hAnsi="Arial" w:cs="Arial"/>
          <w:sz w:val="20"/>
          <w:szCs w:val="20"/>
        </w:rPr>
        <w:t xml:space="preserve"> s.192 of the C</w:t>
      </w:r>
      <w:r>
        <w:rPr>
          <w:rFonts w:ascii="Arial" w:hAnsi="Arial" w:cs="Arial"/>
          <w:sz w:val="20"/>
          <w:szCs w:val="20"/>
        </w:rPr>
        <w:t>PA</w:t>
      </w:r>
      <w:r w:rsidR="00E23B5A">
        <w:rPr>
          <w:rFonts w:ascii="Arial" w:hAnsi="Arial" w:cs="Arial"/>
          <w:sz w:val="20"/>
          <w:szCs w:val="20"/>
        </w:rPr>
        <w:t xml:space="preserve"> </w:t>
      </w:r>
      <w:r>
        <w:rPr>
          <w:rFonts w:ascii="Arial" w:hAnsi="Arial" w:cs="Arial"/>
          <w:sz w:val="20"/>
          <w:szCs w:val="20"/>
        </w:rPr>
        <w:t xml:space="preserve">contains a similar provision </w:t>
      </w:r>
      <w:r w:rsidR="00E23B5A">
        <w:rPr>
          <w:rFonts w:ascii="Arial" w:hAnsi="Arial" w:cs="Arial"/>
          <w:sz w:val="20"/>
          <w:szCs w:val="20"/>
        </w:rPr>
        <w:t xml:space="preserve">in relation to </w:t>
      </w:r>
      <w:r>
        <w:rPr>
          <w:rFonts w:ascii="Arial" w:hAnsi="Arial" w:cs="Arial"/>
          <w:sz w:val="20"/>
          <w:szCs w:val="20"/>
        </w:rPr>
        <w:t>criminal trials:</w:t>
      </w:r>
    </w:p>
    <w:p w14:paraId="70F4892E" w14:textId="684F5F98" w:rsidR="009D2258" w:rsidRDefault="009D2258" w:rsidP="009D2258">
      <w:pPr>
        <w:spacing w:before="60"/>
        <w:ind w:left="567" w:right="567"/>
        <w:jc w:val="both"/>
        <w:rPr>
          <w:rFonts w:ascii="Arial" w:hAnsi="Arial" w:cs="Arial"/>
          <w:sz w:val="20"/>
          <w:szCs w:val="20"/>
        </w:rPr>
      </w:pPr>
      <w:r>
        <w:rPr>
          <w:rFonts w:ascii="Arial" w:hAnsi="Arial" w:cs="Arial"/>
          <w:sz w:val="20"/>
          <w:szCs w:val="20"/>
        </w:rPr>
        <w:t>“If a court considers that–</w:t>
      </w:r>
    </w:p>
    <w:p w14:paraId="703FAB09" w14:textId="2731FB3D" w:rsidR="009D2258" w:rsidRPr="009D2258" w:rsidRDefault="009D2258" w:rsidP="006264A9">
      <w:pPr>
        <w:pStyle w:val="ListParagraph"/>
        <w:numPr>
          <w:ilvl w:val="0"/>
          <w:numId w:val="53"/>
        </w:numPr>
        <w:ind w:left="924" w:right="567" w:hanging="357"/>
        <w:jc w:val="both"/>
        <w:rPr>
          <w:rFonts w:ascii="Arial" w:hAnsi="Arial" w:cs="Arial"/>
          <w:sz w:val="20"/>
        </w:rPr>
      </w:pPr>
      <w:r w:rsidRPr="009D2258">
        <w:rPr>
          <w:rFonts w:ascii="Arial" w:hAnsi="Arial" w:cs="Arial"/>
          <w:sz w:val="20"/>
        </w:rPr>
        <w:t xml:space="preserve">a fair </w:t>
      </w:r>
      <w:r>
        <w:rPr>
          <w:rFonts w:ascii="Arial" w:hAnsi="Arial" w:cs="Arial"/>
          <w:sz w:val="20"/>
        </w:rPr>
        <w:t>trial</w:t>
      </w:r>
      <w:r w:rsidRPr="009D2258">
        <w:rPr>
          <w:rFonts w:ascii="Arial" w:hAnsi="Arial" w:cs="Arial"/>
          <w:sz w:val="20"/>
        </w:rPr>
        <w:t xml:space="preserve"> in a criminal proceeding cannot otherwise be had; or</w:t>
      </w:r>
    </w:p>
    <w:p w14:paraId="559165E3" w14:textId="77777777" w:rsidR="009D2258" w:rsidRPr="00A63D6D" w:rsidRDefault="009D2258" w:rsidP="006264A9">
      <w:pPr>
        <w:pStyle w:val="ListParagraph"/>
        <w:numPr>
          <w:ilvl w:val="0"/>
          <w:numId w:val="53"/>
        </w:numPr>
        <w:ind w:left="924" w:right="567" w:hanging="357"/>
        <w:jc w:val="both"/>
        <w:rPr>
          <w:rFonts w:ascii="Arial" w:hAnsi="Arial" w:cs="Arial"/>
          <w:sz w:val="20"/>
        </w:rPr>
      </w:pPr>
      <w:r>
        <w:rPr>
          <w:rFonts w:ascii="Arial" w:hAnsi="Arial" w:cs="Arial"/>
          <w:sz w:val="20"/>
        </w:rPr>
        <w:t>for any other reason it is appropriate to do so–</w:t>
      </w:r>
    </w:p>
    <w:p w14:paraId="45FEABC7" w14:textId="37825E8A" w:rsidR="009D2258" w:rsidRPr="00A63D6D" w:rsidRDefault="009D2258" w:rsidP="009D2258">
      <w:pPr>
        <w:ind w:left="567" w:right="567"/>
        <w:jc w:val="both"/>
        <w:rPr>
          <w:rFonts w:ascii="Arial" w:hAnsi="Arial" w:cs="Arial"/>
          <w:sz w:val="20"/>
        </w:rPr>
      </w:pPr>
      <w:r>
        <w:rPr>
          <w:rFonts w:ascii="Arial" w:hAnsi="Arial" w:cs="Arial"/>
          <w:sz w:val="20"/>
        </w:rPr>
        <w:t>the court may order that the trial be held at any other place that the court considers appropriate.”</w:t>
      </w:r>
    </w:p>
    <w:p w14:paraId="1E4762FB" w14:textId="77777777" w:rsidR="00E23B5A" w:rsidRDefault="00E23B5A" w:rsidP="000D7DAB">
      <w:pPr>
        <w:jc w:val="both"/>
        <w:rPr>
          <w:rFonts w:ascii="Arial" w:hAnsi="Arial" w:cs="Arial"/>
          <w:sz w:val="20"/>
          <w:szCs w:val="20"/>
        </w:rPr>
      </w:pPr>
    </w:p>
    <w:p w14:paraId="5CE05B4E" w14:textId="1146922C" w:rsidR="009D2258" w:rsidRDefault="009D2258" w:rsidP="009D2258">
      <w:pPr>
        <w:jc w:val="both"/>
        <w:rPr>
          <w:rFonts w:ascii="Arial" w:hAnsi="Arial" w:cs="Arial"/>
          <w:sz w:val="20"/>
          <w:szCs w:val="20"/>
        </w:rPr>
      </w:pPr>
      <w:r>
        <w:rPr>
          <w:rFonts w:ascii="Arial" w:hAnsi="Arial" w:cs="Arial"/>
          <w:sz w:val="20"/>
          <w:szCs w:val="20"/>
        </w:rPr>
        <w:t xml:space="preserve">The writer considers that s.528(2)(b) of the CYFA does not make s.31 of the CPA applicable to the Children’s Court because the contrary intention appears in new s.505A. </w:t>
      </w:r>
      <w:r w:rsidR="00A776DB">
        <w:rPr>
          <w:rFonts w:ascii="Arial" w:hAnsi="Arial" w:cs="Arial"/>
          <w:sz w:val="20"/>
          <w:szCs w:val="20"/>
        </w:rPr>
        <w:t>Further,</w:t>
      </w:r>
      <w:r>
        <w:rPr>
          <w:rFonts w:ascii="Arial" w:hAnsi="Arial" w:cs="Arial"/>
          <w:sz w:val="20"/>
          <w:szCs w:val="20"/>
        </w:rPr>
        <w:t xml:space="preserve"> the distinction between the words “trial” in s.192 CPA and “hearing” in s.</w:t>
      </w:r>
      <w:r w:rsidR="00A776DB">
        <w:rPr>
          <w:rFonts w:ascii="Arial" w:hAnsi="Arial" w:cs="Arial"/>
          <w:sz w:val="20"/>
          <w:szCs w:val="20"/>
        </w:rPr>
        <w:t xml:space="preserve">505A CYFA means that s.192 is not directly applicable </w:t>
      </w:r>
      <w:r w:rsidR="00A776DB">
        <w:rPr>
          <w:rFonts w:ascii="Arial" w:hAnsi="Arial" w:cs="Arial"/>
          <w:sz w:val="20"/>
          <w:szCs w:val="20"/>
        </w:rPr>
        <w:lastRenderedPageBreak/>
        <w:t>to the Children’s Court although the principles enunciated by superior courts in relation to the operation of s.192 are likely to be relevant to an application for change of a Children’s Court hearing venue.</w:t>
      </w:r>
    </w:p>
    <w:p w14:paraId="4939C39D" w14:textId="77777777" w:rsidR="006256FD" w:rsidRPr="00E11477" w:rsidRDefault="006256FD" w:rsidP="000D7DAB">
      <w:pPr>
        <w:jc w:val="both"/>
        <w:rPr>
          <w:rFonts w:ascii="Arial" w:hAnsi="Arial" w:cs="Arial"/>
          <w:sz w:val="20"/>
        </w:rPr>
      </w:pPr>
    </w:p>
    <w:p w14:paraId="5367C845" w14:textId="1F56F24C" w:rsidR="000D7DAB" w:rsidRPr="00E11477" w:rsidRDefault="000D7DAB" w:rsidP="000D7DAB">
      <w:pPr>
        <w:jc w:val="both"/>
        <w:rPr>
          <w:rFonts w:ascii="Arial" w:hAnsi="Arial" w:cs="Arial"/>
          <w:sz w:val="20"/>
        </w:rPr>
      </w:pPr>
      <w:r>
        <w:rPr>
          <w:rFonts w:ascii="Arial" w:hAnsi="Arial" w:cs="Arial"/>
          <w:sz w:val="20"/>
        </w:rPr>
        <w:t xml:space="preserve">Factors to be considered in relation to an application to change the venue of a Supreme Court murder </w:t>
      </w:r>
      <w:bookmarkStart w:id="322" w:name="_Hlk528836073"/>
      <w:r>
        <w:rPr>
          <w:rFonts w:ascii="Arial" w:hAnsi="Arial" w:cs="Arial"/>
          <w:sz w:val="20"/>
        </w:rPr>
        <w:t xml:space="preserve">trial </w:t>
      </w:r>
      <w:r w:rsidR="005F2CAA">
        <w:rPr>
          <w:rFonts w:ascii="Arial" w:hAnsi="Arial" w:cs="Arial"/>
          <w:sz w:val="20"/>
        </w:rPr>
        <w:t>we</w:t>
      </w:r>
      <w:r>
        <w:rPr>
          <w:rFonts w:ascii="Arial" w:hAnsi="Arial" w:cs="Arial"/>
          <w:sz w:val="20"/>
        </w:rPr>
        <w:t xml:space="preserve">re set </w:t>
      </w:r>
      <w:r w:rsidR="00E23B5A">
        <w:rPr>
          <w:rFonts w:ascii="Arial" w:hAnsi="Arial" w:cs="Arial"/>
          <w:sz w:val="20"/>
        </w:rPr>
        <w:t xml:space="preserve">out by Taylor J </w:t>
      </w:r>
      <w:r>
        <w:rPr>
          <w:rFonts w:ascii="Arial" w:hAnsi="Arial" w:cs="Arial"/>
          <w:sz w:val="20"/>
        </w:rPr>
        <w:t xml:space="preserve">in </w:t>
      </w:r>
      <w:r w:rsidRPr="00E11477">
        <w:rPr>
          <w:rFonts w:ascii="Arial" w:hAnsi="Arial" w:cs="Arial"/>
          <w:i/>
          <w:sz w:val="20"/>
        </w:rPr>
        <w:t>R v Allan (Change of Venue)</w:t>
      </w:r>
      <w:r>
        <w:rPr>
          <w:rFonts w:ascii="Arial" w:hAnsi="Arial" w:cs="Arial"/>
          <w:sz w:val="20"/>
        </w:rPr>
        <w:t xml:space="preserve"> [2018] VSC 571 at [5]-[7]. </w:t>
      </w:r>
      <w:r w:rsidR="00FF0306">
        <w:rPr>
          <w:rFonts w:ascii="Arial" w:hAnsi="Arial" w:cs="Arial"/>
          <w:sz w:val="20"/>
        </w:rPr>
        <w:t>At</w:t>
      </w:r>
      <w:r>
        <w:rPr>
          <w:rFonts w:ascii="Arial" w:hAnsi="Arial" w:cs="Arial"/>
          <w:sz w:val="20"/>
        </w:rPr>
        <w:t xml:space="preserve"> [5] her Honour referred with approval to the legal principles set out in </w:t>
      </w:r>
      <w:r w:rsidRPr="00E11477">
        <w:rPr>
          <w:rFonts w:ascii="Arial" w:hAnsi="Arial" w:cs="Arial"/>
          <w:i/>
          <w:sz w:val="20"/>
        </w:rPr>
        <w:t>R v Iaria and Panozzo</w:t>
      </w:r>
      <w:r>
        <w:rPr>
          <w:rFonts w:ascii="Arial" w:hAnsi="Arial" w:cs="Arial"/>
          <w:sz w:val="20"/>
        </w:rPr>
        <w:t xml:space="preserve"> [2004] VSC 96</w:t>
      </w:r>
      <w:r w:rsidR="00EF498E">
        <w:rPr>
          <w:rFonts w:ascii="Arial" w:hAnsi="Arial" w:cs="Arial"/>
          <w:sz w:val="20"/>
        </w:rPr>
        <w:t>; (2004) 9</w:t>
      </w:r>
      <w:r w:rsidR="00E23B5A">
        <w:rPr>
          <w:rFonts w:ascii="Arial" w:hAnsi="Arial" w:cs="Arial"/>
          <w:sz w:val="20"/>
        </w:rPr>
        <w:t> </w:t>
      </w:r>
      <w:r w:rsidR="00EF498E">
        <w:rPr>
          <w:rFonts w:ascii="Arial" w:hAnsi="Arial" w:cs="Arial"/>
          <w:sz w:val="20"/>
        </w:rPr>
        <w:t>VR 425</w:t>
      </w:r>
      <w:r>
        <w:rPr>
          <w:rFonts w:ascii="Arial" w:hAnsi="Arial" w:cs="Arial"/>
          <w:sz w:val="20"/>
        </w:rPr>
        <w:t xml:space="preserve"> at [10] where Nettle J quoted with approval the formulation of Pincus JA in </w:t>
      </w:r>
      <w:r w:rsidRPr="00E11477">
        <w:rPr>
          <w:rFonts w:ascii="Arial" w:hAnsi="Arial" w:cs="Arial"/>
          <w:i/>
          <w:sz w:val="20"/>
        </w:rPr>
        <w:t xml:space="preserve">R v </w:t>
      </w:r>
      <w:proofErr w:type="spellStart"/>
      <w:r w:rsidRPr="00E11477">
        <w:rPr>
          <w:rFonts w:ascii="Arial" w:hAnsi="Arial" w:cs="Arial"/>
          <w:i/>
          <w:sz w:val="20"/>
        </w:rPr>
        <w:t>Yanner</w:t>
      </w:r>
      <w:proofErr w:type="spellEnd"/>
      <w:r>
        <w:rPr>
          <w:rFonts w:ascii="Arial" w:hAnsi="Arial" w:cs="Arial"/>
          <w:sz w:val="20"/>
        </w:rPr>
        <w:t xml:space="preserve"> [1988] 2 </w:t>
      </w:r>
      <w:proofErr w:type="spellStart"/>
      <w:r>
        <w:rPr>
          <w:rFonts w:ascii="Arial" w:hAnsi="Arial" w:cs="Arial"/>
          <w:sz w:val="20"/>
        </w:rPr>
        <w:t>Qd</w:t>
      </w:r>
      <w:proofErr w:type="spellEnd"/>
      <w:r>
        <w:rPr>
          <w:rFonts w:ascii="Arial" w:hAnsi="Arial" w:cs="Arial"/>
          <w:sz w:val="20"/>
        </w:rPr>
        <w:t xml:space="preserve"> R 208:</w:t>
      </w:r>
    </w:p>
    <w:p w14:paraId="4F7ADC20" w14:textId="7B170C6C" w:rsidR="000D7DAB" w:rsidRPr="00E11477" w:rsidRDefault="000D7DAB" w:rsidP="000D7DAB">
      <w:pPr>
        <w:spacing w:before="60" w:after="60"/>
        <w:ind w:left="567" w:right="567"/>
        <w:jc w:val="both"/>
        <w:rPr>
          <w:rFonts w:ascii="Arial" w:hAnsi="Arial" w:cs="Arial"/>
          <w:sz w:val="22"/>
        </w:rPr>
      </w:pPr>
      <w:r>
        <w:rPr>
          <w:rFonts w:ascii="Arial" w:hAnsi="Arial" w:cs="Arial"/>
          <w:sz w:val="20"/>
        </w:rPr>
        <w:t>“</w:t>
      </w:r>
      <w:r w:rsidRPr="00E11477">
        <w:rPr>
          <w:rFonts w:ascii="Arial" w:hAnsi="Arial" w:cs="Arial"/>
          <w:sz w:val="20"/>
        </w:rPr>
        <w:t>… the proper rule to be applied is that each case in which an application is made for a change of venue falls to be considered on its own merits and not with any preconceptions, save that a trial should ordinarily proceed in the district in which the offence charged is alleged to have been committed</w:t>
      </w:r>
      <w:r w:rsidR="00A32C68">
        <w:rPr>
          <w:rFonts w:ascii="Arial" w:hAnsi="Arial" w:cs="Arial"/>
          <w:sz w:val="20"/>
        </w:rPr>
        <w:t>,</w:t>
      </w:r>
      <w:r w:rsidRPr="00E11477">
        <w:rPr>
          <w:rFonts w:ascii="Arial" w:hAnsi="Arial" w:cs="Arial"/>
          <w:sz w:val="20"/>
        </w:rPr>
        <w:t xml:space="preserve"> ‘removal being warranted where sufficient cause is shown’.</w:t>
      </w:r>
      <w:r>
        <w:rPr>
          <w:rFonts w:ascii="Arial" w:hAnsi="Arial" w:cs="Arial"/>
          <w:sz w:val="20"/>
        </w:rPr>
        <w:t>”</w:t>
      </w:r>
    </w:p>
    <w:p w14:paraId="779526EF" w14:textId="77777777" w:rsidR="00E23B5A" w:rsidRDefault="00E23B5A" w:rsidP="000D7DAB">
      <w:pPr>
        <w:jc w:val="both"/>
        <w:rPr>
          <w:rFonts w:ascii="Arial" w:hAnsi="Arial" w:cs="Arial"/>
          <w:sz w:val="20"/>
        </w:rPr>
      </w:pPr>
    </w:p>
    <w:p w14:paraId="12F36428" w14:textId="117B3B40" w:rsidR="00E23B5A" w:rsidRDefault="00E23B5A" w:rsidP="000D7DAB">
      <w:pPr>
        <w:jc w:val="both"/>
        <w:rPr>
          <w:rFonts w:ascii="Arial" w:hAnsi="Arial" w:cs="Arial"/>
          <w:sz w:val="20"/>
        </w:rPr>
      </w:pPr>
      <w:r>
        <w:rPr>
          <w:rFonts w:ascii="Arial" w:hAnsi="Arial" w:cs="Arial"/>
          <w:sz w:val="20"/>
        </w:rPr>
        <w:t xml:space="preserve">In </w:t>
      </w:r>
      <w:r w:rsidRPr="00AD5306">
        <w:rPr>
          <w:rFonts w:ascii="Arial" w:hAnsi="Arial" w:cs="Arial"/>
          <w:i/>
          <w:iCs/>
          <w:color w:val="000000"/>
          <w:sz w:val="20"/>
          <w:szCs w:val="20"/>
          <w:shd w:val="clear" w:color="auto" w:fill="FFFFFF"/>
        </w:rPr>
        <w:t>Re DC, DE and KS</w:t>
      </w:r>
      <w:r>
        <w:rPr>
          <w:rFonts w:ascii="Arial" w:hAnsi="Arial" w:cs="Arial"/>
          <w:color w:val="000000"/>
          <w:sz w:val="20"/>
          <w:szCs w:val="20"/>
          <w:shd w:val="clear" w:color="auto" w:fill="FFFFFF"/>
        </w:rPr>
        <w:t xml:space="preserve"> [2024] VSC 676 – an unsuccessful application to change the venue of a Supreme Court jury murder trial from a regional court to Melbourne – Jane Dixon J </w:t>
      </w:r>
      <w:r w:rsidR="00755C32">
        <w:rPr>
          <w:rFonts w:ascii="Arial" w:hAnsi="Arial" w:cs="Arial"/>
          <w:color w:val="000000"/>
          <w:sz w:val="20"/>
          <w:szCs w:val="20"/>
          <w:shd w:val="clear" w:color="auto" w:fill="FFFFFF"/>
        </w:rPr>
        <w:t xml:space="preserve">summarised </w:t>
      </w:r>
      <w:r>
        <w:rPr>
          <w:rFonts w:ascii="Arial" w:hAnsi="Arial" w:cs="Arial"/>
          <w:color w:val="000000"/>
          <w:sz w:val="20"/>
          <w:szCs w:val="20"/>
          <w:shd w:val="clear" w:color="auto" w:fill="FFFFFF"/>
        </w:rPr>
        <w:t xml:space="preserve">at </w:t>
      </w:r>
      <w:r w:rsidR="00755C32">
        <w:rPr>
          <w:rFonts w:ascii="Arial" w:hAnsi="Arial" w:cs="Arial"/>
          <w:color w:val="000000"/>
          <w:sz w:val="20"/>
          <w:szCs w:val="20"/>
          <w:shd w:val="clear" w:color="auto" w:fill="FFFFFF"/>
        </w:rPr>
        <w:t>[10]-</w:t>
      </w:r>
      <w:r>
        <w:rPr>
          <w:rFonts w:ascii="Arial" w:hAnsi="Arial" w:cs="Arial"/>
          <w:color w:val="000000"/>
          <w:sz w:val="20"/>
          <w:szCs w:val="20"/>
          <w:shd w:val="clear" w:color="auto" w:fill="FFFFFF"/>
        </w:rPr>
        <w:t xml:space="preserve">[15] </w:t>
      </w:r>
      <w:r w:rsidR="00755C32">
        <w:rPr>
          <w:rFonts w:ascii="Arial" w:hAnsi="Arial" w:cs="Arial"/>
          <w:color w:val="000000"/>
          <w:sz w:val="20"/>
          <w:szCs w:val="20"/>
          <w:shd w:val="clear" w:color="auto" w:fill="FFFFFF"/>
        </w:rPr>
        <w:t>the legal principles governing the operation of s.192 CPA, in particular noting at [15]:</w:t>
      </w:r>
    </w:p>
    <w:p w14:paraId="2306C5C7" w14:textId="7058C88C" w:rsidR="00755C32" w:rsidRPr="00E11477" w:rsidRDefault="00755C32" w:rsidP="00755C32">
      <w:pPr>
        <w:spacing w:before="60" w:after="60"/>
        <w:ind w:left="567" w:right="567"/>
        <w:jc w:val="both"/>
        <w:rPr>
          <w:rFonts w:ascii="Arial" w:hAnsi="Arial" w:cs="Arial"/>
          <w:sz w:val="22"/>
        </w:rPr>
      </w:pPr>
      <w:r>
        <w:rPr>
          <w:rFonts w:ascii="Arial" w:hAnsi="Arial" w:cs="Arial"/>
          <w:sz w:val="22"/>
        </w:rPr>
        <w:t>“</w:t>
      </w:r>
      <w:r w:rsidRPr="00E23B5A">
        <w:rPr>
          <w:rFonts w:ascii="Arial" w:hAnsi="Arial" w:cs="Arial"/>
          <w:sz w:val="20"/>
        </w:rPr>
        <w:t>Finally, the important public policy rationale for justice being dispensed in the proper venue where the alleged offending occurred was pithily expressed by Cummins J in an oft-cited extract from</w:t>
      </w:r>
      <w:r w:rsidR="00B76641">
        <w:rPr>
          <w:rFonts w:ascii="Arial" w:hAnsi="Arial" w:cs="Arial"/>
          <w:sz w:val="20"/>
        </w:rPr>
        <w:t xml:space="preserve"> </w:t>
      </w:r>
      <w:r w:rsidRPr="00E23B5A">
        <w:rPr>
          <w:rFonts w:ascii="Arial" w:hAnsi="Arial" w:cs="Arial"/>
          <w:i/>
          <w:iCs/>
          <w:sz w:val="20"/>
        </w:rPr>
        <w:t>DPP v Bennett</w:t>
      </w:r>
      <w:r>
        <w:rPr>
          <w:rFonts w:ascii="Arial" w:hAnsi="Arial" w:cs="Arial"/>
          <w:sz w:val="20"/>
        </w:rPr>
        <w:t xml:space="preserve"> [2004] VSC 148; (2004) 10 VR 355</w:t>
      </w:r>
      <w:r w:rsidR="00B76641">
        <w:rPr>
          <w:rFonts w:ascii="Arial" w:hAnsi="Arial" w:cs="Arial"/>
          <w:sz w:val="20"/>
        </w:rPr>
        <w:t xml:space="preserve"> at [6]</w:t>
      </w:r>
      <w:r>
        <w:rPr>
          <w:rFonts w:ascii="Arial" w:hAnsi="Arial" w:cs="Arial"/>
          <w:sz w:val="20"/>
        </w:rPr>
        <w:t>:</w:t>
      </w:r>
    </w:p>
    <w:p w14:paraId="190DFFEB" w14:textId="6D8F047E" w:rsidR="00755C32" w:rsidRDefault="00B76641" w:rsidP="00B76641">
      <w:pPr>
        <w:spacing w:before="60"/>
        <w:ind w:left="1021" w:right="1021"/>
        <w:jc w:val="both"/>
        <w:rPr>
          <w:rFonts w:ascii="Arial" w:hAnsi="Arial" w:cs="Arial"/>
          <w:sz w:val="20"/>
        </w:rPr>
      </w:pPr>
      <w:r>
        <w:rPr>
          <w:rFonts w:ascii="Arial" w:hAnsi="Arial" w:cs="Arial"/>
          <w:sz w:val="20"/>
        </w:rPr>
        <w:t>‘</w:t>
      </w:r>
      <w:r w:rsidRPr="00B76641">
        <w:rPr>
          <w:rFonts w:ascii="Arial" w:hAnsi="Arial" w:cs="Arial"/>
          <w:sz w:val="18"/>
          <w:szCs w:val="22"/>
        </w:rPr>
        <w:t>The local community is the community in which the alleged crime took place; it is concerned to have the law administered within it; and to remove a circuit trial to Melbourne can lead the vacated community to feel disenfranchised, marginalised or alienated. All this is common experience. This basal requirement should not be watered down by mere administrative convenience. This is the Supreme Court of Victoria, not the Supreme Court of Melbourne.</w:t>
      </w:r>
      <w:r>
        <w:rPr>
          <w:rFonts w:ascii="Arial" w:hAnsi="Arial" w:cs="Arial"/>
          <w:sz w:val="18"/>
          <w:szCs w:val="22"/>
        </w:rPr>
        <w:t>’</w:t>
      </w:r>
      <w:r w:rsidR="005F2CAA">
        <w:rPr>
          <w:rFonts w:ascii="Arial" w:hAnsi="Arial" w:cs="Arial"/>
          <w:sz w:val="18"/>
          <w:szCs w:val="22"/>
        </w:rPr>
        <w:t>”</w:t>
      </w:r>
    </w:p>
    <w:p w14:paraId="5AB40DF3" w14:textId="77777777" w:rsidR="00755C32" w:rsidRDefault="00755C32" w:rsidP="000D7DAB">
      <w:pPr>
        <w:jc w:val="both"/>
        <w:rPr>
          <w:rFonts w:ascii="Arial" w:hAnsi="Arial" w:cs="Arial"/>
          <w:sz w:val="20"/>
        </w:rPr>
      </w:pPr>
    </w:p>
    <w:p w14:paraId="533FEC75" w14:textId="2404748B" w:rsidR="003D46D8" w:rsidRDefault="003D46D8" w:rsidP="003D46D8">
      <w:pPr>
        <w:jc w:val="both"/>
        <w:rPr>
          <w:rFonts w:ascii="Arial" w:hAnsi="Arial" w:cs="Arial"/>
          <w:sz w:val="20"/>
        </w:rPr>
      </w:pPr>
      <w:r>
        <w:rPr>
          <w:rFonts w:ascii="Arial" w:hAnsi="Arial" w:cs="Arial"/>
          <w:sz w:val="20"/>
        </w:rPr>
        <w:t xml:space="preserve">In </w:t>
      </w:r>
      <w:r w:rsidRPr="003D46D8">
        <w:rPr>
          <w:rFonts w:ascii="Arial" w:hAnsi="Arial" w:cs="Arial"/>
          <w:i/>
          <w:iCs/>
          <w:sz w:val="20"/>
        </w:rPr>
        <w:t>R v Stott &amp; Ors (Ruling 7)</w:t>
      </w:r>
      <w:r>
        <w:rPr>
          <w:rFonts w:ascii="Arial" w:hAnsi="Arial" w:cs="Arial"/>
          <w:sz w:val="20"/>
        </w:rPr>
        <w:t xml:space="preserve"> [2025] VSC 793 the 3 accused – who </w:t>
      </w:r>
      <w:r w:rsidR="0073607A">
        <w:rPr>
          <w:rFonts w:ascii="Arial" w:hAnsi="Arial" w:cs="Arial"/>
          <w:sz w:val="20"/>
        </w:rPr>
        <w:t>were on remand</w:t>
      </w:r>
      <w:r>
        <w:rPr>
          <w:rFonts w:ascii="Arial" w:hAnsi="Arial" w:cs="Arial"/>
          <w:sz w:val="20"/>
        </w:rPr>
        <w:t xml:space="preserve"> charged with kidnapping, murder and arson, were</w:t>
      </w:r>
      <w:r w:rsidRPr="003D46D8">
        <w:rPr>
          <w:rFonts w:ascii="Arial" w:hAnsi="Arial" w:cs="Arial"/>
          <w:sz w:val="20"/>
        </w:rPr>
        <w:t xml:space="preserve"> kept in police cells in Shepparton from Monday to Thursday nights and transported to and from prisons on Friday evenings and Monday mornings</w:t>
      </w:r>
      <w:r>
        <w:rPr>
          <w:rFonts w:ascii="Arial" w:hAnsi="Arial" w:cs="Arial"/>
          <w:sz w:val="20"/>
        </w:rPr>
        <w:t xml:space="preserve">. </w:t>
      </w:r>
      <w:r w:rsidRPr="003D46D8">
        <w:rPr>
          <w:rFonts w:ascii="Arial" w:hAnsi="Arial" w:cs="Arial"/>
          <w:sz w:val="20"/>
        </w:rPr>
        <w:t xml:space="preserve">Pursuant to </w:t>
      </w:r>
      <w:r>
        <w:rPr>
          <w:rFonts w:ascii="Arial" w:hAnsi="Arial" w:cs="Arial"/>
          <w:sz w:val="20"/>
        </w:rPr>
        <w:t xml:space="preserve">a </w:t>
      </w:r>
      <w:r w:rsidRPr="003D46D8">
        <w:rPr>
          <w:rFonts w:ascii="Arial" w:hAnsi="Arial" w:cs="Arial"/>
          <w:sz w:val="20"/>
        </w:rPr>
        <w:t xml:space="preserve">Victoria Police policy said to be aimed at </w:t>
      </w:r>
      <w:r>
        <w:rPr>
          <w:rFonts w:ascii="Arial" w:hAnsi="Arial" w:cs="Arial"/>
          <w:sz w:val="20"/>
        </w:rPr>
        <w:t xml:space="preserve">the </w:t>
      </w:r>
      <w:r w:rsidRPr="003D46D8">
        <w:rPr>
          <w:rFonts w:ascii="Arial" w:hAnsi="Arial" w:cs="Arial"/>
          <w:sz w:val="20"/>
        </w:rPr>
        <w:t xml:space="preserve">welfare of those in custody, lights in police cells </w:t>
      </w:r>
      <w:r>
        <w:rPr>
          <w:rFonts w:ascii="Arial" w:hAnsi="Arial" w:cs="Arial"/>
          <w:sz w:val="20"/>
        </w:rPr>
        <w:t xml:space="preserve">were </w:t>
      </w:r>
      <w:r w:rsidRPr="003D46D8">
        <w:rPr>
          <w:rFonts w:ascii="Arial" w:hAnsi="Arial" w:cs="Arial"/>
          <w:sz w:val="20"/>
        </w:rPr>
        <w:t xml:space="preserve">left on all night and </w:t>
      </w:r>
      <w:r>
        <w:rPr>
          <w:rFonts w:ascii="Arial" w:hAnsi="Arial" w:cs="Arial"/>
          <w:sz w:val="20"/>
        </w:rPr>
        <w:t xml:space="preserve">the </w:t>
      </w:r>
      <w:r w:rsidRPr="003D46D8">
        <w:rPr>
          <w:rFonts w:ascii="Arial" w:hAnsi="Arial" w:cs="Arial"/>
          <w:sz w:val="20"/>
        </w:rPr>
        <w:t xml:space="preserve">accused </w:t>
      </w:r>
      <w:r>
        <w:rPr>
          <w:rFonts w:ascii="Arial" w:hAnsi="Arial" w:cs="Arial"/>
          <w:sz w:val="20"/>
        </w:rPr>
        <w:t xml:space="preserve">were </w:t>
      </w:r>
      <w:r w:rsidRPr="003D46D8">
        <w:rPr>
          <w:rFonts w:ascii="Arial" w:hAnsi="Arial" w:cs="Arial"/>
          <w:sz w:val="20"/>
        </w:rPr>
        <w:t xml:space="preserve">roused or woken every hour throughout </w:t>
      </w:r>
      <w:r>
        <w:rPr>
          <w:rFonts w:ascii="Arial" w:hAnsi="Arial" w:cs="Arial"/>
          <w:sz w:val="20"/>
        </w:rPr>
        <w:t xml:space="preserve">the </w:t>
      </w:r>
      <w:r w:rsidRPr="003D46D8">
        <w:rPr>
          <w:rFonts w:ascii="Arial" w:hAnsi="Arial" w:cs="Arial"/>
          <w:sz w:val="20"/>
        </w:rPr>
        <w:t>night</w:t>
      </w:r>
      <w:r>
        <w:rPr>
          <w:rFonts w:ascii="Arial" w:hAnsi="Arial" w:cs="Arial"/>
          <w:sz w:val="20"/>
        </w:rPr>
        <w:t xml:space="preserve">. </w:t>
      </w:r>
      <w:r w:rsidRPr="003D46D8">
        <w:rPr>
          <w:rFonts w:ascii="Arial" w:hAnsi="Arial" w:cs="Arial"/>
          <w:sz w:val="20"/>
        </w:rPr>
        <w:t xml:space="preserve">Despite </w:t>
      </w:r>
      <w:r>
        <w:rPr>
          <w:rFonts w:ascii="Arial" w:hAnsi="Arial" w:cs="Arial"/>
          <w:sz w:val="20"/>
        </w:rPr>
        <w:t xml:space="preserve">the </w:t>
      </w:r>
      <w:r w:rsidRPr="003D46D8">
        <w:rPr>
          <w:rFonts w:ascii="Arial" w:hAnsi="Arial" w:cs="Arial"/>
          <w:sz w:val="20"/>
        </w:rPr>
        <w:t xml:space="preserve">resulting sleep-deprivation rendering </w:t>
      </w:r>
      <w:r>
        <w:rPr>
          <w:rFonts w:ascii="Arial" w:hAnsi="Arial" w:cs="Arial"/>
          <w:sz w:val="20"/>
        </w:rPr>
        <w:t xml:space="preserve">the </w:t>
      </w:r>
      <w:r w:rsidRPr="003D46D8">
        <w:rPr>
          <w:rFonts w:ascii="Arial" w:hAnsi="Arial" w:cs="Arial"/>
          <w:sz w:val="20"/>
        </w:rPr>
        <w:t xml:space="preserve">accused so tired as to be unfit for proper participation in trial, Victoria Police refused to relax </w:t>
      </w:r>
      <w:r>
        <w:rPr>
          <w:rFonts w:ascii="Arial" w:hAnsi="Arial" w:cs="Arial"/>
          <w:sz w:val="20"/>
        </w:rPr>
        <w:t xml:space="preserve">the </w:t>
      </w:r>
      <w:r w:rsidRPr="003D46D8">
        <w:rPr>
          <w:rFonts w:ascii="Arial" w:hAnsi="Arial" w:cs="Arial"/>
          <w:sz w:val="20"/>
        </w:rPr>
        <w:t>policy</w:t>
      </w:r>
      <w:r>
        <w:rPr>
          <w:rFonts w:ascii="Arial" w:hAnsi="Arial" w:cs="Arial"/>
          <w:sz w:val="20"/>
        </w:rPr>
        <w:t>. There were n</w:t>
      </w:r>
      <w:r w:rsidRPr="003D46D8">
        <w:rPr>
          <w:rFonts w:ascii="Arial" w:hAnsi="Arial" w:cs="Arial"/>
          <w:sz w:val="20"/>
        </w:rPr>
        <w:t xml:space="preserve">o mental health or other concerns justifying exposure of these accused to </w:t>
      </w:r>
      <w:r>
        <w:rPr>
          <w:rFonts w:ascii="Arial" w:hAnsi="Arial" w:cs="Arial"/>
          <w:sz w:val="20"/>
        </w:rPr>
        <w:t xml:space="preserve">the </w:t>
      </w:r>
      <w:r w:rsidRPr="003D46D8">
        <w:rPr>
          <w:rFonts w:ascii="Arial" w:hAnsi="Arial" w:cs="Arial"/>
          <w:sz w:val="20"/>
        </w:rPr>
        <w:t>policy</w:t>
      </w:r>
      <w:r>
        <w:rPr>
          <w:rFonts w:ascii="Arial" w:hAnsi="Arial" w:cs="Arial"/>
          <w:sz w:val="20"/>
        </w:rPr>
        <w:t xml:space="preserve">. </w:t>
      </w:r>
      <w:r w:rsidR="002F222E">
        <w:rPr>
          <w:rFonts w:ascii="Arial" w:hAnsi="Arial" w:cs="Arial"/>
          <w:sz w:val="20"/>
        </w:rPr>
        <w:t>Croucher J held that t</w:t>
      </w:r>
      <w:r>
        <w:rPr>
          <w:rFonts w:ascii="Arial" w:hAnsi="Arial" w:cs="Arial"/>
          <w:sz w:val="20"/>
        </w:rPr>
        <w:t>he a</w:t>
      </w:r>
      <w:r w:rsidRPr="003D46D8">
        <w:rPr>
          <w:rFonts w:ascii="Arial" w:hAnsi="Arial" w:cs="Arial"/>
          <w:sz w:val="20"/>
        </w:rPr>
        <w:t xml:space="preserve">ccused </w:t>
      </w:r>
      <w:r>
        <w:rPr>
          <w:rFonts w:ascii="Arial" w:hAnsi="Arial" w:cs="Arial"/>
          <w:sz w:val="20"/>
        </w:rPr>
        <w:t xml:space="preserve">were </w:t>
      </w:r>
      <w:r w:rsidRPr="003D46D8">
        <w:rPr>
          <w:rFonts w:ascii="Arial" w:hAnsi="Arial" w:cs="Arial"/>
          <w:sz w:val="20"/>
        </w:rPr>
        <w:t xml:space="preserve">unable to receive </w:t>
      </w:r>
      <w:r>
        <w:rPr>
          <w:rFonts w:ascii="Arial" w:hAnsi="Arial" w:cs="Arial"/>
          <w:sz w:val="20"/>
        </w:rPr>
        <w:t xml:space="preserve">a </w:t>
      </w:r>
      <w:r w:rsidRPr="003D46D8">
        <w:rPr>
          <w:rFonts w:ascii="Arial" w:hAnsi="Arial" w:cs="Arial"/>
          <w:sz w:val="20"/>
        </w:rPr>
        <w:t xml:space="preserve">fair trial in consequence of Victoria Police’s intransigence in </w:t>
      </w:r>
      <w:r>
        <w:rPr>
          <w:rFonts w:ascii="Arial" w:hAnsi="Arial" w:cs="Arial"/>
          <w:sz w:val="20"/>
        </w:rPr>
        <w:t xml:space="preserve">the </w:t>
      </w:r>
      <w:r w:rsidRPr="003D46D8">
        <w:rPr>
          <w:rFonts w:ascii="Arial" w:hAnsi="Arial" w:cs="Arial"/>
          <w:sz w:val="20"/>
        </w:rPr>
        <w:t xml:space="preserve">application of </w:t>
      </w:r>
      <w:r>
        <w:rPr>
          <w:rFonts w:ascii="Arial" w:hAnsi="Arial" w:cs="Arial"/>
          <w:sz w:val="20"/>
        </w:rPr>
        <w:t xml:space="preserve">this </w:t>
      </w:r>
      <w:r w:rsidRPr="003D46D8">
        <w:rPr>
          <w:rFonts w:ascii="Arial" w:hAnsi="Arial" w:cs="Arial"/>
          <w:sz w:val="20"/>
        </w:rPr>
        <w:t>policy</w:t>
      </w:r>
      <w:r>
        <w:rPr>
          <w:rFonts w:ascii="Arial" w:hAnsi="Arial" w:cs="Arial"/>
          <w:sz w:val="20"/>
        </w:rPr>
        <w:t>. The a</w:t>
      </w:r>
      <w:r w:rsidRPr="003D46D8">
        <w:rPr>
          <w:rFonts w:ascii="Arial" w:hAnsi="Arial" w:cs="Arial"/>
          <w:sz w:val="20"/>
        </w:rPr>
        <w:t xml:space="preserve">ccused </w:t>
      </w:r>
      <w:r>
        <w:rPr>
          <w:rFonts w:ascii="Arial" w:hAnsi="Arial" w:cs="Arial"/>
          <w:sz w:val="20"/>
        </w:rPr>
        <w:t xml:space="preserve">were </w:t>
      </w:r>
      <w:r w:rsidRPr="003D46D8">
        <w:rPr>
          <w:rFonts w:ascii="Arial" w:hAnsi="Arial" w:cs="Arial"/>
          <w:sz w:val="20"/>
        </w:rPr>
        <w:t xml:space="preserve">not exposed to </w:t>
      </w:r>
      <w:r>
        <w:rPr>
          <w:rFonts w:ascii="Arial" w:hAnsi="Arial" w:cs="Arial"/>
          <w:sz w:val="20"/>
        </w:rPr>
        <w:t xml:space="preserve">the </w:t>
      </w:r>
      <w:r w:rsidRPr="003D46D8">
        <w:rPr>
          <w:rFonts w:ascii="Arial" w:hAnsi="Arial" w:cs="Arial"/>
          <w:sz w:val="20"/>
        </w:rPr>
        <w:t xml:space="preserve">same policy if </w:t>
      </w:r>
      <w:r>
        <w:rPr>
          <w:rFonts w:ascii="Arial" w:hAnsi="Arial" w:cs="Arial"/>
          <w:sz w:val="20"/>
        </w:rPr>
        <w:t xml:space="preserve">the </w:t>
      </w:r>
      <w:r w:rsidRPr="003D46D8">
        <w:rPr>
          <w:rFonts w:ascii="Arial" w:hAnsi="Arial" w:cs="Arial"/>
          <w:sz w:val="20"/>
        </w:rPr>
        <w:t xml:space="preserve">trial </w:t>
      </w:r>
      <w:r>
        <w:rPr>
          <w:rFonts w:ascii="Arial" w:hAnsi="Arial" w:cs="Arial"/>
          <w:sz w:val="20"/>
        </w:rPr>
        <w:t xml:space="preserve">was </w:t>
      </w:r>
      <w:r w:rsidRPr="003D46D8">
        <w:rPr>
          <w:rFonts w:ascii="Arial" w:hAnsi="Arial" w:cs="Arial"/>
          <w:sz w:val="20"/>
        </w:rPr>
        <w:t>heard in Melbourne</w:t>
      </w:r>
      <w:r>
        <w:rPr>
          <w:rFonts w:ascii="Arial" w:hAnsi="Arial" w:cs="Arial"/>
          <w:sz w:val="20"/>
        </w:rPr>
        <w:t>. The accused’s a</w:t>
      </w:r>
      <w:r w:rsidRPr="003D46D8">
        <w:rPr>
          <w:rFonts w:ascii="Arial" w:hAnsi="Arial" w:cs="Arial"/>
          <w:sz w:val="20"/>
        </w:rPr>
        <w:t xml:space="preserve">pplication </w:t>
      </w:r>
      <w:r>
        <w:rPr>
          <w:rFonts w:ascii="Arial" w:hAnsi="Arial" w:cs="Arial"/>
          <w:sz w:val="20"/>
        </w:rPr>
        <w:t xml:space="preserve">was </w:t>
      </w:r>
      <w:r w:rsidRPr="003D46D8">
        <w:rPr>
          <w:rFonts w:ascii="Arial" w:hAnsi="Arial" w:cs="Arial"/>
          <w:sz w:val="20"/>
        </w:rPr>
        <w:t xml:space="preserve">granted </w:t>
      </w:r>
      <w:r>
        <w:rPr>
          <w:rFonts w:ascii="Arial" w:hAnsi="Arial" w:cs="Arial"/>
          <w:sz w:val="20"/>
        </w:rPr>
        <w:t xml:space="preserve">and pursuant to s.192 of the </w:t>
      </w:r>
      <w:r w:rsidRPr="003D46D8">
        <w:rPr>
          <w:rFonts w:ascii="Arial" w:hAnsi="Arial" w:cs="Arial"/>
          <w:i/>
          <w:iCs/>
          <w:sz w:val="20"/>
        </w:rPr>
        <w:t>Criminal Procedure Act 2009</w:t>
      </w:r>
      <w:r w:rsidRPr="003D46D8">
        <w:rPr>
          <w:rFonts w:ascii="Arial" w:hAnsi="Arial" w:cs="Arial"/>
          <w:sz w:val="20"/>
        </w:rPr>
        <w:t xml:space="preserve"> </w:t>
      </w:r>
      <w:r>
        <w:rPr>
          <w:rFonts w:ascii="Arial" w:hAnsi="Arial" w:cs="Arial"/>
          <w:sz w:val="20"/>
        </w:rPr>
        <w:t>the v</w:t>
      </w:r>
      <w:r w:rsidRPr="003D46D8">
        <w:rPr>
          <w:rFonts w:ascii="Arial" w:hAnsi="Arial" w:cs="Arial"/>
          <w:sz w:val="20"/>
        </w:rPr>
        <w:t xml:space="preserve">enue of </w:t>
      </w:r>
      <w:r>
        <w:rPr>
          <w:rFonts w:ascii="Arial" w:hAnsi="Arial" w:cs="Arial"/>
          <w:sz w:val="20"/>
        </w:rPr>
        <w:t xml:space="preserve">the </w:t>
      </w:r>
      <w:r w:rsidRPr="003D46D8">
        <w:rPr>
          <w:rFonts w:ascii="Arial" w:hAnsi="Arial" w:cs="Arial"/>
          <w:sz w:val="20"/>
        </w:rPr>
        <w:t xml:space="preserve">trial </w:t>
      </w:r>
      <w:r>
        <w:rPr>
          <w:rFonts w:ascii="Arial" w:hAnsi="Arial" w:cs="Arial"/>
          <w:sz w:val="20"/>
        </w:rPr>
        <w:t xml:space="preserve">was </w:t>
      </w:r>
      <w:r w:rsidRPr="003D46D8">
        <w:rPr>
          <w:rFonts w:ascii="Arial" w:hAnsi="Arial" w:cs="Arial"/>
          <w:sz w:val="20"/>
        </w:rPr>
        <w:t>changed from Shepparton to Melbourne.</w:t>
      </w:r>
    </w:p>
    <w:p w14:paraId="0D7B1D05" w14:textId="77777777" w:rsidR="003D46D8" w:rsidRDefault="003D46D8" w:rsidP="000D7DAB">
      <w:pPr>
        <w:jc w:val="both"/>
        <w:rPr>
          <w:rFonts w:ascii="Arial" w:hAnsi="Arial" w:cs="Arial"/>
          <w:sz w:val="20"/>
        </w:rPr>
      </w:pPr>
    </w:p>
    <w:p w14:paraId="6F16FF8C" w14:textId="708CB695" w:rsidR="00AD5306" w:rsidRDefault="000D7DAB" w:rsidP="000D7DAB">
      <w:pPr>
        <w:jc w:val="both"/>
        <w:rPr>
          <w:rFonts w:ascii="Arial" w:hAnsi="Arial" w:cs="Arial"/>
          <w:color w:val="000000"/>
          <w:sz w:val="20"/>
          <w:szCs w:val="20"/>
          <w:shd w:val="clear" w:color="auto" w:fill="FFFFFF"/>
        </w:rPr>
      </w:pPr>
      <w:r>
        <w:rPr>
          <w:rFonts w:ascii="Arial" w:hAnsi="Arial" w:cs="Arial"/>
          <w:sz w:val="20"/>
        </w:rPr>
        <w:t xml:space="preserve">See also </w:t>
      </w:r>
      <w:r w:rsidRPr="00E11477">
        <w:rPr>
          <w:rFonts w:ascii="Arial" w:hAnsi="Arial" w:cs="Arial"/>
          <w:i/>
          <w:sz w:val="20"/>
        </w:rPr>
        <w:t xml:space="preserve">R v </w:t>
      </w:r>
      <w:proofErr w:type="spellStart"/>
      <w:r w:rsidRPr="00E11477">
        <w:rPr>
          <w:rFonts w:ascii="Arial" w:hAnsi="Arial" w:cs="Arial"/>
          <w:i/>
          <w:sz w:val="20"/>
        </w:rPr>
        <w:t>Vjestica</w:t>
      </w:r>
      <w:proofErr w:type="spellEnd"/>
      <w:r>
        <w:rPr>
          <w:rFonts w:ascii="Arial" w:hAnsi="Arial" w:cs="Arial"/>
          <w:sz w:val="20"/>
        </w:rPr>
        <w:t xml:space="preserve"> [2008] VSCA 47</w:t>
      </w:r>
      <w:r w:rsidR="00EF498E">
        <w:rPr>
          <w:rFonts w:ascii="Arial" w:hAnsi="Arial" w:cs="Arial"/>
          <w:sz w:val="20"/>
        </w:rPr>
        <w:t>; (2008) 182 A Crim R 350</w:t>
      </w:r>
      <w:r>
        <w:rPr>
          <w:rFonts w:ascii="Arial" w:hAnsi="Arial" w:cs="Arial"/>
          <w:sz w:val="20"/>
        </w:rPr>
        <w:t xml:space="preserve"> per Maxwell P</w:t>
      </w:r>
      <w:r w:rsidR="00880F7D">
        <w:rPr>
          <w:rFonts w:ascii="Arial" w:hAnsi="Arial" w:cs="Arial"/>
          <w:sz w:val="20"/>
        </w:rPr>
        <w:t xml:space="preserve">; </w:t>
      </w:r>
      <w:r w:rsidR="00880F7D" w:rsidRPr="00880F7D">
        <w:rPr>
          <w:rFonts w:ascii="Arial" w:hAnsi="Arial" w:cs="Arial"/>
          <w:i/>
          <w:iCs/>
          <w:sz w:val="20"/>
        </w:rPr>
        <w:t>Re Cohrs</w:t>
      </w:r>
      <w:r w:rsidR="00880F7D">
        <w:rPr>
          <w:rFonts w:ascii="Arial" w:hAnsi="Arial" w:cs="Arial"/>
          <w:sz w:val="20"/>
        </w:rPr>
        <w:t xml:space="preserve"> </w:t>
      </w:r>
      <w:r w:rsidR="00880F7D" w:rsidRPr="00880F7D">
        <w:rPr>
          <w:rFonts w:ascii="Arial" w:hAnsi="Arial" w:cs="Arial"/>
          <w:color w:val="000000"/>
          <w:sz w:val="20"/>
          <w:szCs w:val="20"/>
          <w:shd w:val="clear" w:color="auto" w:fill="FFFFFF"/>
        </w:rPr>
        <w:t>[2023] VSC 752 per Taylor JA</w:t>
      </w:r>
      <w:r w:rsidR="005E22A2">
        <w:rPr>
          <w:rFonts w:ascii="Arial" w:hAnsi="Arial" w:cs="Arial"/>
          <w:color w:val="000000"/>
          <w:sz w:val="20"/>
          <w:szCs w:val="20"/>
          <w:shd w:val="clear" w:color="auto" w:fill="FFFFFF"/>
        </w:rPr>
        <w:t xml:space="preserve">; </w:t>
      </w:r>
      <w:r w:rsidR="00622DD2" w:rsidRPr="00622DD2">
        <w:rPr>
          <w:rFonts w:ascii="Arial" w:hAnsi="Arial" w:cs="Arial"/>
          <w:i/>
          <w:iCs/>
          <w:color w:val="000000"/>
          <w:sz w:val="20"/>
          <w:szCs w:val="20"/>
          <w:shd w:val="clear" w:color="auto" w:fill="FFFFFF"/>
        </w:rPr>
        <w:t>Re Patterson</w:t>
      </w:r>
      <w:r w:rsidR="00622DD2">
        <w:rPr>
          <w:rFonts w:ascii="Arial" w:hAnsi="Arial" w:cs="Arial"/>
          <w:color w:val="000000"/>
          <w:sz w:val="20"/>
          <w:szCs w:val="20"/>
          <w:shd w:val="clear" w:color="auto" w:fill="FFFFFF"/>
        </w:rPr>
        <w:t xml:space="preserve"> [2024] VSC </w:t>
      </w:r>
      <w:r w:rsidR="00FC6931">
        <w:rPr>
          <w:rFonts w:ascii="Arial" w:hAnsi="Arial" w:cs="Arial"/>
          <w:color w:val="000000"/>
          <w:sz w:val="20"/>
          <w:szCs w:val="20"/>
          <w:shd w:val="clear" w:color="auto" w:fill="FFFFFF"/>
        </w:rPr>
        <w:t>448</w:t>
      </w:r>
      <w:r w:rsidR="00622DD2">
        <w:rPr>
          <w:rFonts w:ascii="Arial" w:hAnsi="Arial" w:cs="Arial"/>
          <w:color w:val="000000"/>
          <w:sz w:val="20"/>
          <w:szCs w:val="20"/>
          <w:shd w:val="clear" w:color="auto" w:fill="FFFFFF"/>
        </w:rPr>
        <w:t xml:space="preserve"> per Jane Dixon J;</w:t>
      </w:r>
      <w:r w:rsidR="00BD5BB2" w:rsidRPr="00BD5BB2">
        <w:rPr>
          <w:rFonts w:ascii="Arial" w:hAnsi="Arial" w:cs="Arial"/>
          <w:color w:val="000000"/>
          <w:sz w:val="20"/>
        </w:rPr>
        <w:t xml:space="preserve"> </w:t>
      </w:r>
      <w:r w:rsidR="00BD5BB2" w:rsidRPr="00BD5BB2">
        <w:rPr>
          <w:rFonts w:ascii="Arial" w:hAnsi="Arial" w:cs="Arial"/>
          <w:i/>
          <w:iCs/>
          <w:color w:val="000000"/>
          <w:sz w:val="20"/>
        </w:rPr>
        <w:t>Re Clarke (No 1)</w:t>
      </w:r>
      <w:r w:rsidR="00BD5BB2" w:rsidRPr="00BD5BB2">
        <w:rPr>
          <w:rFonts w:ascii="Arial" w:hAnsi="Arial" w:cs="Arial"/>
          <w:color w:val="000000"/>
          <w:sz w:val="20"/>
        </w:rPr>
        <w:t xml:space="preserve"> [2024] VSC 696</w:t>
      </w:r>
      <w:r w:rsidR="00BD5BB2">
        <w:rPr>
          <w:rFonts w:ascii="Arial" w:hAnsi="Arial" w:cs="Arial"/>
          <w:color w:val="000000"/>
          <w:sz w:val="20"/>
        </w:rPr>
        <w:t xml:space="preserve"> per Jane Dixon J;</w:t>
      </w:r>
      <w:r w:rsidR="00622DD2" w:rsidRPr="005E22A2">
        <w:rPr>
          <w:rFonts w:ascii="Arial" w:hAnsi="Arial" w:cs="Arial"/>
          <w:i/>
          <w:iCs/>
          <w:color w:val="000000"/>
          <w:sz w:val="20"/>
          <w:szCs w:val="20"/>
          <w:shd w:val="clear" w:color="auto" w:fill="FFFFFF"/>
        </w:rPr>
        <w:t xml:space="preserve"> </w:t>
      </w:r>
      <w:r w:rsidR="005E22A2" w:rsidRPr="005E22A2">
        <w:rPr>
          <w:rFonts w:ascii="Arial" w:hAnsi="Arial" w:cs="Arial"/>
          <w:i/>
          <w:iCs/>
          <w:color w:val="000000"/>
          <w:sz w:val="20"/>
          <w:szCs w:val="20"/>
          <w:shd w:val="clear" w:color="auto" w:fill="FFFFFF"/>
        </w:rPr>
        <w:t>DPP v Clifford (Ruling No 1)</w:t>
      </w:r>
      <w:r w:rsidR="005E22A2">
        <w:rPr>
          <w:rFonts w:ascii="Arial" w:hAnsi="Arial" w:cs="Arial"/>
          <w:color w:val="000000"/>
          <w:sz w:val="20"/>
          <w:szCs w:val="20"/>
          <w:shd w:val="clear" w:color="auto" w:fill="FFFFFF"/>
        </w:rPr>
        <w:t xml:space="preserve"> [2025] VSC 115 per Incerti J</w:t>
      </w:r>
      <w:r w:rsidR="00622DD2">
        <w:rPr>
          <w:rFonts w:ascii="Arial" w:hAnsi="Arial" w:cs="Arial"/>
          <w:color w:val="000000"/>
          <w:sz w:val="20"/>
          <w:szCs w:val="20"/>
          <w:shd w:val="clear" w:color="auto" w:fill="FFFFFF"/>
        </w:rPr>
        <w:t>.</w:t>
      </w:r>
    </w:p>
    <w:bookmarkEnd w:id="322"/>
    <w:p w14:paraId="086F97E1" w14:textId="025DBC2F" w:rsidR="003D46D8" w:rsidRPr="007C64AE" w:rsidRDefault="003D46D8" w:rsidP="003D46D8">
      <w:pPr>
        <w:jc w:val="both"/>
        <w:rPr>
          <w:rFonts w:ascii="Arial" w:hAnsi="Arial" w:cs="Arial"/>
          <w:color w:val="000000"/>
          <w:sz w:val="20"/>
        </w:rPr>
      </w:pPr>
    </w:p>
    <w:p w14:paraId="3C2243E4" w14:textId="77777777" w:rsidR="003D46D8" w:rsidRPr="00BD3BA0" w:rsidRDefault="003D46D8" w:rsidP="003D46D8">
      <w:pPr>
        <w:jc w:val="center"/>
        <w:rPr>
          <w:rFonts w:ascii="Arial" w:hAnsi="Arial" w:cs="Arial"/>
          <w:b/>
          <w:bCs/>
          <w:sz w:val="22"/>
          <w:szCs w:val="28"/>
        </w:rPr>
      </w:pPr>
      <w:r w:rsidRPr="00BD3BA0">
        <w:rPr>
          <w:rFonts w:ascii="Arial" w:hAnsi="Arial" w:cs="Arial"/>
          <w:b/>
          <w:bCs/>
          <w:sz w:val="22"/>
          <w:szCs w:val="28"/>
        </w:rPr>
        <w:t>THE REST OF THIS PAGE IS BLANK</w:t>
      </w:r>
    </w:p>
    <w:p w14:paraId="099361AA" w14:textId="77777777" w:rsidR="003D46D8" w:rsidRDefault="003D46D8" w:rsidP="003D46D8">
      <w:pPr>
        <w:rPr>
          <w:rFonts w:ascii="Arial" w:hAnsi="Arial" w:cs="Arial"/>
          <w:color w:val="000000"/>
          <w:sz w:val="20"/>
        </w:rPr>
      </w:pPr>
    </w:p>
    <w:p w14:paraId="0D24F0C4" w14:textId="77777777" w:rsidR="003D46D8" w:rsidRDefault="003D46D8">
      <w:pPr>
        <w:rPr>
          <w:rFonts w:ascii="Arial" w:hAnsi="Arial" w:cs="Arial"/>
          <w:b/>
          <w:bCs/>
          <w:kern w:val="28"/>
          <w:sz w:val="20"/>
          <w:szCs w:val="20"/>
          <w:lang w:val="en-GB"/>
        </w:rPr>
      </w:pPr>
      <w:r>
        <w:rPr>
          <w:rFonts w:ascii="Arial" w:hAnsi="Arial" w:cs="Arial"/>
          <w:b/>
          <w:bCs/>
          <w:sz w:val="20"/>
        </w:rPr>
        <w:br w:type="page"/>
      </w:r>
    </w:p>
    <w:p w14:paraId="3752E4B3" w14:textId="77CCF6CC" w:rsidR="00962CA3" w:rsidRDefault="00962CA3" w:rsidP="00962CA3">
      <w:pPr>
        <w:pStyle w:val="Heading3"/>
        <w:keepNext/>
        <w:keepLines/>
        <w:spacing w:after="120" w:line="240" w:lineRule="auto"/>
        <w:rPr>
          <w:rFonts w:ascii="Arial" w:hAnsi="Arial" w:cs="Arial"/>
          <w:b/>
          <w:bCs/>
          <w:sz w:val="20"/>
        </w:rPr>
      </w:pPr>
      <w:r>
        <w:rPr>
          <w:rFonts w:ascii="Arial" w:hAnsi="Arial" w:cs="Arial"/>
          <w:b/>
          <w:bCs/>
          <w:sz w:val="20"/>
        </w:rPr>
        <w:lastRenderedPageBreak/>
        <w:t>2.5.2</w:t>
      </w:r>
      <w:r>
        <w:rPr>
          <w:rFonts w:ascii="Arial" w:hAnsi="Arial" w:cs="Arial"/>
          <w:b/>
          <w:bCs/>
          <w:sz w:val="20"/>
        </w:rPr>
        <w:tab/>
        <w:t>Victorian Children’s Court venues</w:t>
      </w:r>
    </w:p>
    <w:p w14:paraId="29047CF4" w14:textId="14E76C08" w:rsidR="00FD0B3E" w:rsidRDefault="00277B85" w:rsidP="006E3EB3">
      <w:pPr>
        <w:spacing w:after="120"/>
        <w:jc w:val="both"/>
        <w:rPr>
          <w:rFonts w:ascii="Arial" w:hAnsi="Arial" w:cs="Arial"/>
          <w:color w:val="000000"/>
          <w:sz w:val="20"/>
        </w:rPr>
      </w:pPr>
      <w:r w:rsidRPr="00B46EF1">
        <w:rPr>
          <w:rFonts w:ascii="Arial" w:hAnsi="Arial" w:cs="Arial"/>
          <w:color w:val="000000"/>
          <w:sz w:val="20"/>
        </w:rPr>
        <w:t>A</w:t>
      </w:r>
      <w:r w:rsidR="009B2A46">
        <w:rPr>
          <w:rFonts w:ascii="Arial" w:hAnsi="Arial" w:cs="Arial"/>
          <w:color w:val="000000"/>
          <w:sz w:val="20"/>
        </w:rPr>
        <w:t xml:space="preserve">s </w:t>
      </w:r>
      <w:r w:rsidR="00D650B4">
        <w:rPr>
          <w:rFonts w:ascii="Arial" w:hAnsi="Arial" w:cs="Arial"/>
          <w:color w:val="000000"/>
          <w:sz w:val="20"/>
        </w:rPr>
        <w:t>from</w:t>
      </w:r>
      <w:r w:rsidR="009B2A46">
        <w:rPr>
          <w:rFonts w:ascii="Arial" w:hAnsi="Arial" w:cs="Arial"/>
          <w:color w:val="000000"/>
          <w:sz w:val="20"/>
        </w:rPr>
        <w:t xml:space="preserve"> </w:t>
      </w:r>
      <w:r w:rsidR="003F3E2C">
        <w:rPr>
          <w:rFonts w:ascii="Arial" w:hAnsi="Arial" w:cs="Arial"/>
          <w:color w:val="000000"/>
          <w:sz w:val="20"/>
        </w:rPr>
        <w:t>10</w:t>
      </w:r>
      <w:r w:rsidR="00D650B4">
        <w:rPr>
          <w:rFonts w:ascii="Arial" w:hAnsi="Arial" w:cs="Arial"/>
          <w:color w:val="000000"/>
          <w:sz w:val="20"/>
        </w:rPr>
        <w:t>/</w:t>
      </w:r>
      <w:r w:rsidR="003F3E2C">
        <w:rPr>
          <w:rFonts w:ascii="Arial" w:hAnsi="Arial" w:cs="Arial"/>
          <w:color w:val="000000"/>
          <w:sz w:val="20"/>
        </w:rPr>
        <w:t>11</w:t>
      </w:r>
      <w:r w:rsidR="00D650B4">
        <w:rPr>
          <w:rFonts w:ascii="Arial" w:hAnsi="Arial" w:cs="Arial"/>
          <w:color w:val="000000"/>
          <w:sz w:val="20"/>
        </w:rPr>
        <w:t>/2025</w:t>
      </w:r>
      <w:r w:rsidRPr="00B46EF1">
        <w:rPr>
          <w:rFonts w:ascii="Arial" w:hAnsi="Arial" w:cs="Arial"/>
          <w:color w:val="000000"/>
          <w:sz w:val="20"/>
        </w:rPr>
        <w:t xml:space="preserve"> the </w:t>
      </w:r>
      <w:r w:rsidR="000D7DAB">
        <w:rPr>
          <w:rFonts w:ascii="Arial" w:hAnsi="Arial" w:cs="Arial"/>
          <w:color w:val="000000"/>
          <w:sz w:val="20"/>
        </w:rPr>
        <w:t xml:space="preserve">Children’s </w:t>
      </w:r>
      <w:r w:rsidRPr="00B46EF1">
        <w:rPr>
          <w:rFonts w:ascii="Arial" w:hAnsi="Arial" w:cs="Arial"/>
          <w:color w:val="000000"/>
          <w:sz w:val="20"/>
        </w:rPr>
        <w:t xml:space="preserve">Court sits as </w:t>
      </w:r>
      <w:r w:rsidR="009F20D0">
        <w:rPr>
          <w:rFonts w:ascii="Arial" w:hAnsi="Arial" w:cs="Arial"/>
          <w:color w:val="000000"/>
          <w:sz w:val="20"/>
        </w:rPr>
        <w:t xml:space="preserve">listed </w:t>
      </w:r>
      <w:r w:rsidRPr="00B46EF1">
        <w:rPr>
          <w:rFonts w:ascii="Arial" w:hAnsi="Arial" w:cs="Arial"/>
          <w:color w:val="000000"/>
          <w:sz w:val="20"/>
        </w:rPr>
        <w:t xml:space="preserve">at </w:t>
      </w:r>
      <w:r w:rsidR="00D650B4">
        <w:rPr>
          <w:rFonts w:ascii="Arial" w:hAnsi="Arial" w:cs="Arial"/>
          <w:color w:val="000000"/>
          <w:sz w:val="20"/>
        </w:rPr>
        <w:t>t</w:t>
      </w:r>
      <w:r w:rsidRPr="00B46EF1">
        <w:rPr>
          <w:rFonts w:ascii="Arial" w:hAnsi="Arial" w:cs="Arial"/>
          <w:color w:val="000000"/>
          <w:sz w:val="20"/>
        </w:rPr>
        <w:t xml:space="preserve">he locations </w:t>
      </w:r>
      <w:r w:rsidR="009F20D0">
        <w:rPr>
          <w:rFonts w:ascii="Arial" w:hAnsi="Arial" w:cs="Arial"/>
          <w:color w:val="000000"/>
          <w:sz w:val="20"/>
        </w:rPr>
        <w:t>detailed</w:t>
      </w:r>
      <w:r w:rsidRPr="00B46EF1">
        <w:rPr>
          <w:rFonts w:ascii="Arial" w:hAnsi="Arial" w:cs="Arial"/>
          <w:color w:val="000000"/>
          <w:sz w:val="20"/>
        </w:rPr>
        <w:t xml:space="preserve"> </w:t>
      </w:r>
      <w:r w:rsidR="00217D88">
        <w:rPr>
          <w:rFonts w:ascii="Arial" w:hAnsi="Arial" w:cs="Arial"/>
          <w:color w:val="000000"/>
          <w:sz w:val="20"/>
        </w:rPr>
        <w:t>in the following table</w:t>
      </w:r>
      <w:r w:rsidR="0094108A">
        <w:rPr>
          <w:rFonts w:ascii="Arial" w:hAnsi="Arial" w:cs="Arial"/>
          <w:color w:val="000000"/>
          <w:sz w:val="20"/>
        </w:rPr>
        <w:t>:</w:t>
      </w:r>
    </w:p>
    <w:p w14:paraId="79843837" w14:textId="5655F470" w:rsidR="006E3EB3" w:rsidRDefault="006E3EB3" w:rsidP="006E3EB3">
      <w:pPr>
        <w:pStyle w:val="Heading2"/>
        <w:tabs>
          <w:tab w:val="left" w:pos="567"/>
        </w:tabs>
        <w:spacing w:line="240" w:lineRule="auto"/>
        <w:ind w:left="-113"/>
        <w:rPr>
          <w:rFonts w:ascii="Arial" w:hAnsi="Arial" w:cs="Arial"/>
          <w:sz w:val="18"/>
          <w:szCs w:val="14"/>
        </w:rPr>
      </w:pPr>
      <w:r w:rsidRPr="006E3EB3">
        <w:rPr>
          <w:rFonts w:ascii="Arial" w:hAnsi="Arial" w:cs="Arial"/>
          <w:noProof/>
          <w:sz w:val="18"/>
          <w:szCs w:val="14"/>
          <w:lang w:val="en-AU"/>
        </w:rPr>
        <w:drawing>
          <wp:inline distT="0" distB="0" distL="0" distR="0" wp14:anchorId="3A8F5E34" wp14:editId="6B3DACF6">
            <wp:extent cx="5868000" cy="1882800"/>
            <wp:effectExtent l="19050" t="19050" r="19050" b="22225"/>
            <wp:docPr id="15364" name="Picture 4" descr="A building with glass walls&#10;&#10;AI-generated content may be incorrect.">
              <a:extLst xmlns:a="http://schemas.openxmlformats.org/drawingml/2006/main">
                <a:ext uri="{FF2B5EF4-FFF2-40B4-BE49-F238E27FC236}">
                  <a16:creationId xmlns:a16="http://schemas.microsoft.com/office/drawing/2014/main" id="{B3ED29C0-F502-6C94-FD7D-E3CEF6E508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4" name="Picture 4" descr="A building with glass walls&#10;&#10;AI-generated content may be incorrect.">
                      <a:extLst>
                        <a:ext uri="{FF2B5EF4-FFF2-40B4-BE49-F238E27FC236}">
                          <a16:creationId xmlns:a16="http://schemas.microsoft.com/office/drawing/2014/main" id="{B3ED29C0-F502-6C94-FD7D-E3CEF6E5089C}"/>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t="34250" b="17650"/>
                    <a:stretch>
                      <a:fillRect/>
                    </a:stretch>
                  </pic:blipFill>
                  <pic:spPr bwMode="auto">
                    <a:xfrm>
                      <a:off x="0" y="0"/>
                      <a:ext cx="5868000" cy="1882800"/>
                    </a:xfrm>
                    <a:prstGeom prst="rect">
                      <a:avLst/>
                    </a:prstGeom>
                    <a:noFill/>
                    <a:ln>
                      <a:solidFill>
                        <a:schemeClr val="tx1"/>
                      </a:solidFill>
                    </a:ln>
                  </pic:spPr>
                </pic:pic>
              </a:graphicData>
            </a:graphic>
          </wp:inline>
        </w:drawing>
      </w:r>
    </w:p>
    <w:p w14:paraId="6D285993" w14:textId="2D5A097A" w:rsidR="006E3EB3" w:rsidRPr="006E3EB3" w:rsidRDefault="006E3EB3" w:rsidP="006E3EB3">
      <w:pPr>
        <w:pStyle w:val="Heading2"/>
        <w:shd w:val="clear" w:color="auto" w:fill="000000" w:themeFill="text1"/>
        <w:tabs>
          <w:tab w:val="left" w:pos="567"/>
        </w:tabs>
        <w:spacing w:line="240" w:lineRule="auto"/>
        <w:ind w:left="-85" w:right="-85"/>
        <w:jc w:val="center"/>
        <w:rPr>
          <w:rFonts w:ascii="Arial" w:hAnsi="Arial" w:cs="Arial"/>
          <w:b/>
          <w:bCs/>
        </w:rPr>
      </w:pPr>
      <w:r w:rsidRPr="006E3EB3">
        <w:rPr>
          <w:rFonts w:ascii="Arial" w:hAnsi="Arial" w:cs="Arial"/>
          <w:b/>
          <w:bCs/>
        </w:rPr>
        <w:t>MELBOURNE CHILDREN’S COURT</w:t>
      </w:r>
    </w:p>
    <w:p w14:paraId="0B6F1472" w14:textId="77777777" w:rsidR="006E3EB3" w:rsidRDefault="006E3EB3" w:rsidP="006E3EB3">
      <w:pPr>
        <w:pStyle w:val="Heading2"/>
        <w:tabs>
          <w:tab w:val="left" w:pos="567"/>
        </w:tabs>
        <w:spacing w:line="240" w:lineRule="auto"/>
        <w:ind w:left="-113"/>
        <w:rPr>
          <w:rFonts w:ascii="Arial" w:hAnsi="Arial" w:cs="Arial"/>
          <w:sz w:val="18"/>
          <w:szCs w:val="14"/>
        </w:rPr>
      </w:pPr>
    </w:p>
    <w:p w14:paraId="299387B7" w14:textId="0C224E40" w:rsidR="00277B85" w:rsidRDefault="00277B85">
      <w:pPr>
        <w:pBdr>
          <w:top w:val="double" w:sz="4" w:space="1" w:color="auto"/>
          <w:left w:val="double" w:sz="4" w:space="4" w:color="auto"/>
          <w:bottom w:val="double" w:sz="4" w:space="1" w:color="auto"/>
          <w:right w:val="double" w:sz="4" w:space="4" w:color="auto"/>
        </w:pBdr>
        <w:jc w:val="center"/>
        <w:rPr>
          <w:rFonts w:ascii="Arial Rounded MT Bold" w:hAnsi="Arial Rounded MT Bold"/>
          <w:color w:val="000000"/>
          <w:sz w:val="32"/>
          <w:szCs w:val="32"/>
        </w:rPr>
      </w:pPr>
      <w:r>
        <w:rPr>
          <w:rFonts w:ascii="Arial Rounded MT Bold" w:hAnsi="Arial Rounded MT Bold"/>
          <w:color w:val="000000"/>
          <w:sz w:val="32"/>
          <w:szCs w:val="32"/>
        </w:rPr>
        <w:t>VICTORIAN CHILDREN’S COURT VENUES</w:t>
      </w:r>
    </w:p>
    <w:p w14:paraId="1B209557" w14:textId="6C71E917" w:rsidR="00895060" w:rsidRPr="00493C76" w:rsidRDefault="00493C76">
      <w:pPr>
        <w:pBdr>
          <w:top w:val="double" w:sz="4" w:space="1" w:color="auto"/>
          <w:left w:val="double" w:sz="4" w:space="4" w:color="auto"/>
          <w:bottom w:val="double" w:sz="4" w:space="1" w:color="auto"/>
          <w:right w:val="double" w:sz="4" w:space="4" w:color="auto"/>
        </w:pBdr>
        <w:jc w:val="center"/>
        <w:rPr>
          <w:rFonts w:ascii="Arial Rounded MT Bold" w:hAnsi="Arial Rounded MT Bold" w:cs="Arial"/>
          <w:b/>
          <w:bCs/>
          <w:color w:val="000000"/>
          <w:sz w:val="20"/>
          <w:szCs w:val="20"/>
        </w:rPr>
      </w:pPr>
      <w:r w:rsidRPr="00493C76">
        <w:rPr>
          <w:rFonts w:ascii="Arial Rounded MT Bold" w:hAnsi="Arial Rounded MT Bold" w:cs="Arial"/>
          <w:b/>
          <w:bCs/>
          <w:color w:val="000000"/>
          <w:sz w:val="20"/>
          <w:szCs w:val="20"/>
        </w:rPr>
        <w:t xml:space="preserve">AS </w:t>
      </w:r>
      <w:r w:rsidR="0094108A">
        <w:rPr>
          <w:rFonts w:ascii="Arial Rounded MT Bold" w:hAnsi="Arial Rounded MT Bold" w:cs="Arial"/>
          <w:b/>
          <w:bCs/>
          <w:color w:val="000000"/>
          <w:sz w:val="20"/>
          <w:szCs w:val="20"/>
        </w:rPr>
        <w:t>FROM</w:t>
      </w:r>
      <w:r w:rsidRPr="00493C76">
        <w:rPr>
          <w:rFonts w:ascii="Arial Rounded MT Bold" w:hAnsi="Arial Rounded MT Bold" w:cs="Arial"/>
          <w:b/>
          <w:bCs/>
          <w:color w:val="000000"/>
          <w:sz w:val="20"/>
          <w:szCs w:val="20"/>
        </w:rPr>
        <w:t xml:space="preserve"> </w:t>
      </w:r>
      <w:r w:rsidR="003F3E2C">
        <w:rPr>
          <w:rFonts w:ascii="Arial Rounded MT Bold" w:hAnsi="Arial Rounded MT Bold" w:cs="Arial"/>
          <w:b/>
          <w:bCs/>
          <w:color w:val="000000"/>
          <w:sz w:val="20"/>
          <w:szCs w:val="20"/>
        </w:rPr>
        <w:t>10</w:t>
      </w:r>
      <w:r w:rsidR="003D20BC">
        <w:rPr>
          <w:rFonts w:ascii="Arial Rounded MT Bold" w:hAnsi="Arial Rounded MT Bold" w:cs="Arial"/>
          <w:b/>
          <w:bCs/>
          <w:color w:val="000000"/>
          <w:sz w:val="20"/>
          <w:szCs w:val="20"/>
        </w:rPr>
        <w:t xml:space="preserve"> </w:t>
      </w:r>
      <w:r w:rsidR="003F3E2C">
        <w:rPr>
          <w:rFonts w:ascii="Arial Rounded MT Bold" w:hAnsi="Arial Rounded MT Bold" w:cs="Arial"/>
          <w:b/>
          <w:bCs/>
          <w:color w:val="000000"/>
          <w:sz w:val="20"/>
          <w:szCs w:val="20"/>
        </w:rPr>
        <w:t>NOVEMBER</w:t>
      </w:r>
      <w:r w:rsidR="003D20BC">
        <w:rPr>
          <w:rFonts w:ascii="Arial Rounded MT Bold" w:hAnsi="Arial Rounded MT Bold" w:cs="Arial"/>
          <w:b/>
          <w:bCs/>
          <w:color w:val="000000"/>
          <w:sz w:val="20"/>
          <w:szCs w:val="20"/>
        </w:rPr>
        <w:t xml:space="preserve"> 2025</w:t>
      </w:r>
    </w:p>
    <w:p w14:paraId="5B627C76" w14:textId="6833A805" w:rsidR="00895060" w:rsidRDefault="00895060">
      <w:pPr>
        <w:pBdr>
          <w:top w:val="double" w:sz="4" w:space="1" w:color="auto"/>
          <w:left w:val="double" w:sz="4" w:space="4" w:color="auto"/>
          <w:bottom w:val="double" w:sz="4" w:space="1" w:color="auto"/>
          <w:right w:val="double" w:sz="4" w:space="4" w:color="auto"/>
        </w:pBdr>
        <w:jc w:val="center"/>
        <w:rPr>
          <w:rFonts w:ascii="Arial Rounded MT Bold" w:eastAsia="Arial Unicode MS" w:hAnsi="Arial Rounded MT Bold" w:cs="Arial Unicode MS"/>
          <w:color w:val="000000"/>
          <w:sz w:val="32"/>
          <w:szCs w:val="32"/>
        </w:rPr>
      </w:pPr>
      <w:r>
        <w:rPr>
          <w:rFonts w:ascii="Arial" w:hAnsi="Arial" w:cs="Arial"/>
          <w:noProof/>
          <w:lang w:val="en-US"/>
        </w:rPr>
        <mc:AlternateContent>
          <mc:Choice Requires="wpg">
            <w:drawing>
              <wp:inline distT="0" distB="0" distL="0" distR="0" wp14:anchorId="20C1B570" wp14:editId="3E9D5B12">
                <wp:extent cx="5347335" cy="1979329"/>
                <wp:effectExtent l="0" t="0" r="0" b="1905"/>
                <wp:docPr id="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7335" cy="1979329"/>
                          <a:chOff x="2040" y="7984"/>
                          <a:chExt cx="8421" cy="2858"/>
                        </a:xfrm>
                      </wpg:grpSpPr>
                      <wps:wsp>
                        <wps:cNvPr id="5" name="Rectangle 23"/>
                        <wps:cNvSpPr>
                          <a:spLocks noChangeArrowheads="1"/>
                        </wps:cNvSpPr>
                        <wps:spPr bwMode="auto">
                          <a:xfrm>
                            <a:off x="2040" y="7984"/>
                            <a:ext cx="1701" cy="2858"/>
                          </a:xfrm>
                          <a:prstGeom prst="rect">
                            <a:avLst/>
                          </a:prstGeom>
                          <a:noFill/>
                          <a:ln>
                            <a:noFill/>
                          </a:ln>
                          <a:effectLst/>
                          <a:extLst>
                            <a:ext uri="{909E8E84-426E-40DD-AFC4-6F175D3DCCD1}">
                              <a14:hiddenFill xmlns:a14="http://schemas.microsoft.com/office/drawing/2010/main">
                                <a:solidFill>
                                  <a:srgbClr val="FF00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4D9F6B"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Ararat</w:t>
                              </w:r>
                            </w:p>
                            <w:p w14:paraId="78E9C2EE"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Bairnsdale</w:t>
                              </w:r>
                            </w:p>
                            <w:p w14:paraId="3AE8166D"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Ballarat</w:t>
                              </w:r>
                            </w:p>
                            <w:p w14:paraId="74B13813"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Benalla</w:t>
                              </w:r>
                            </w:p>
                            <w:p w14:paraId="4DC120FF"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smartTag w:uri="urn:schemas-microsoft-com:office:smarttags" w:element="City">
                                <w:smartTag w:uri="urn:schemas-microsoft-com:office:smarttags" w:element="place">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Bendigo</w:t>
                                  </w:r>
                                </w:smartTag>
                              </w:smartTag>
                            </w:p>
                            <w:p w14:paraId="051BA64A" w14:textId="77777777" w:rsidR="00895060" w:rsidRPr="00C47D81" w:rsidRDefault="00895060" w:rsidP="00895060">
                              <w:pPr>
                                <w:rPr>
                                  <w:rFonts w:ascii="Arial" w:hAnsi="Arial" w:cs="Arial"/>
                                  <w:color w:val="FF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FF0000"/>
                                  <w:sz w:val="20"/>
                                  <w:szCs w:val="40"/>
                                  <w14:shadow w14:blurRad="50800" w14:dist="38100" w14:dir="2700000" w14:sx="100000" w14:sy="100000" w14:kx="0" w14:ky="0" w14:algn="tl">
                                    <w14:srgbClr w14:val="000000">
                                      <w14:alpha w14:val="60000"/>
                                    </w14:srgbClr>
                                  </w14:shadow>
                                </w:rPr>
                                <w:t>Broadmeadows</w:t>
                              </w:r>
                            </w:p>
                            <w:p w14:paraId="10C71B95"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Castlemaine</w:t>
                              </w:r>
                            </w:p>
                            <w:p w14:paraId="4179ED88"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Cobram</w:t>
                              </w:r>
                            </w:p>
                            <w:p w14:paraId="7D9A6267"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Colac</w:t>
                              </w:r>
                            </w:p>
                            <w:p w14:paraId="26BE0E1E"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Corryong</w:t>
                              </w:r>
                            </w:p>
                            <w:p w14:paraId="296FEEBD" w14:textId="36E5A013" w:rsidR="006E3A7F" w:rsidRPr="00C47D81" w:rsidRDefault="006E3A7F" w:rsidP="006E3A7F">
                              <w:pPr>
                                <w:rPr>
                                  <w:rFonts w:ascii="Arial" w:hAnsi="Arial" w:cs="Arial"/>
                                  <w:color w:val="FF0000"/>
                                  <w:sz w:val="20"/>
                                  <w:szCs w:val="40"/>
                                  <w14:shadow w14:blurRad="50800" w14:dist="38100" w14:dir="2700000" w14:sx="100000" w14:sy="100000" w14:kx="0" w14:ky="0" w14:algn="tl">
                                    <w14:srgbClr w14:val="000000">
                                      <w14:alpha w14:val="60000"/>
                                    </w14:srgbClr>
                                  </w14:shadow>
                                </w:rPr>
                              </w:pPr>
                              <w:r>
                                <w:rPr>
                                  <w:rFonts w:ascii="Arial" w:hAnsi="Arial" w:cs="Arial"/>
                                  <w:color w:val="FF0000"/>
                                  <w:sz w:val="20"/>
                                  <w:szCs w:val="40"/>
                                  <w14:shadow w14:blurRad="50800" w14:dist="38100" w14:dir="2700000" w14:sx="100000" w14:sy="100000" w14:kx="0" w14:ky="0" w14:algn="tl">
                                    <w14:srgbClr w14:val="000000">
                                      <w14:alpha w14:val="60000"/>
                                    </w14:srgbClr>
                                  </w14:shadow>
                                </w:rPr>
                                <w:t>Dandenong</w:t>
                              </w:r>
                              <w:r w:rsidR="001A18AD">
                                <w:rPr>
                                  <w:rFonts w:ascii="Arial" w:hAnsi="Arial" w:cs="Arial"/>
                                  <w:color w:val="FF0000"/>
                                  <w:sz w:val="20"/>
                                  <w:szCs w:val="40"/>
                                  <w14:shadow w14:blurRad="50800" w14:dist="38100" w14:dir="2700000" w14:sx="100000" w14:sy="100000" w14:kx="0" w14:ky="0" w14:algn="tl">
                                    <w14:srgbClr w14:val="000000">
                                      <w14:alpha w14:val="60000"/>
                                    </w14:srgbClr>
                                  </w14:shadow>
                                </w:rPr>
                                <w:t xml:space="preserve"> CC</w:t>
                              </w:r>
                            </w:p>
                          </w:txbxContent>
                        </wps:txbx>
                        <wps:bodyPr rot="0" vert="horz" wrap="square" lIns="92075" tIns="46037" rIns="92075" bIns="46037" anchor="t" anchorCtr="0" upright="1">
                          <a:spAutoFit/>
                        </wps:bodyPr>
                      </wps:wsp>
                      <wps:wsp>
                        <wps:cNvPr id="6" name="Rectangle 24"/>
                        <wps:cNvSpPr>
                          <a:spLocks noChangeArrowheads="1"/>
                        </wps:cNvSpPr>
                        <wps:spPr bwMode="auto">
                          <a:xfrm>
                            <a:off x="4320" y="7984"/>
                            <a:ext cx="1941" cy="2858"/>
                          </a:xfrm>
                          <a:prstGeom prst="rect">
                            <a:avLst/>
                          </a:prstGeom>
                          <a:noFill/>
                          <a:ln>
                            <a:noFill/>
                          </a:ln>
                          <a:effectLst/>
                          <a:extLst>
                            <a:ext uri="{909E8E84-426E-40DD-AFC4-6F175D3DCCD1}">
                              <a14:hiddenFill xmlns:a14="http://schemas.microsoft.com/office/drawing/2010/main">
                                <a:solidFill>
                                  <a:srgbClr val="FF00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9DD9C4" w14:textId="2BD99CFF" w:rsidR="00895060" w:rsidRPr="009F4E2D" w:rsidRDefault="009F4E2D" w:rsidP="00895060">
                              <w:pPr>
                                <w:rPr>
                                  <w:rFonts w:ascii="Arial" w:hAnsi="Arial" w:cs="Arial"/>
                                  <w:color w:val="000000" w:themeColor="text1"/>
                                  <w:sz w:val="20"/>
                                  <w:szCs w:val="40"/>
                                  <w14:shadow w14:blurRad="50800" w14:dist="38100" w14:dir="2700000" w14:sx="100000" w14:sy="100000" w14:kx="0" w14:ky="0" w14:algn="tl">
                                    <w14:srgbClr w14:val="000000">
                                      <w14:alpha w14:val="60000"/>
                                    </w14:srgbClr>
                                  </w14:shadow>
                                </w:rPr>
                              </w:pPr>
                              <w:r w:rsidRPr="009F4E2D">
                                <w:rPr>
                                  <w:rFonts w:ascii="Arial" w:hAnsi="Arial" w:cs="Arial"/>
                                  <w:color w:val="000000" w:themeColor="text1"/>
                                  <w:sz w:val="20"/>
                                  <w:szCs w:val="40"/>
                                  <w14:shadow w14:blurRad="50800" w14:dist="38100" w14:dir="2700000" w14:sx="100000" w14:sy="100000" w14:kx="0" w14:ky="0" w14:algn="tl">
                                    <w14:srgbClr w14:val="000000">
                                      <w14:alpha w14:val="60000"/>
                                    </w14:srgbClr>
                                  </w14:shadow>
                                </w:rPr>
                                <w:t>Echuca</w:t>
                              </w:r>
                            </w:p>
                            <w:p w14:paraId="33B7ECDA"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Geelong</w:t>
                              </w:r>
                            </w:p>
                            <w:p w14:paraId="320626F6"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smartTag w:uri="urn:schemas-microsoft-com:office:smarttags" w:element="City">
                                <w:smartTag w:uri="urn:schemas-microsoft-com:office:smarttags" w:element="place">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Hamilton</w:t>
                                  </w:r>
                                </w:smartTag>
                              </w:smartTag>
                            </w:p>
                            <w:p w14:paraId="05C04FFE"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Hopetoun</w:t>
                              </w:r>
                            </w:p>
                            <w:p w14:paraId="3DC98237" w14:textId="77777777" w:rsidR="00895060" w:rsidRPr="00C47D81" w:rsidRDefault="00895060" w:rsidP="00895060">
                              <w:pPr>
                                <w:rPr>
                                  <w:rFonts w:ascii="Arial" w:hAnsi="Arial" w:cs="Arial"/>
                                  <w:color w:val="003366"/>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Horsham</w:t>
                              </w:r>
                            </w:p>
                            <w:p w14:paraId="769541A2"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Kerang</w:t>
                              </w:r>
                            </w:p>
                            <w:p w14:paraId="5703D2E5"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Korumburra</w:t>
                              </w:r>
                            </w:p>
                            <w:p w14:paraId="48BE7C86"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Kyneton</w:t>
                              </w:r>
                            </w:p>
                            <w:p w14:paraId="4EBBF8A5"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smartTag w:uri="urn:schemas-microsoft-com:office:smarttags" w:element="place">
                                <w:smartTag w:uri="urn:schemas-microsoft-com:office:smarttags" w:element="PlaceName">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Latrobe</w:t>
                                  </w:r>
                                </w:smartTag>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 xml:space="preserve"> </w:t>
                                </w:r>
                                <w:smartTag w:uri="urn:schemas-microsoft-com:office:smarttags" w:element="PlaceType">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Valley</w:t>
                                  </w:r>
                                </w:smartTag>
                              </w:smartTag>
                            </w:p>
                            <w:p w14:paraId="1C3EB539" w14:textId="77777777" w:rsidR="00895060" w:rsidRPr="00A47FA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A47FA1">
                                <w:rPr>
                                  <w:rFonts w:ascii="Arial" w:hAnsi="Arial" w:cs="Arial"/>
                                  <w:color w:val="000000"/>
                                  <w:sz w:val="20"/>
                                  <w:szCs w:val="40"/>
                                  <w14:shadow w14:blurRad="50800" w14:dist="38100" w14:dir="2700000" w14:sx="100000" w14:sy="100000" w14:kx="0" w14:ky="0" w14:algn="tl">
                                    <w14:srgbClr w14:val="000000">
                                      <w14:alpha w14:val="60000"/>
                                    </w14:srgbClr>
                                  </w14:shadow>
                                </w:rPr>
                                <w:t>Mansfield</w:t>
                              </w:r>
                            </w:p>
                            <w:p w14:paraId="2CBB1909"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Maryborough</w:t>
                              </w:r>
                            </w:p>
                          </w:txbxContent>
                        </wps:txbx>
                        <wps:bodyPr rot="0" vert="horz" wrap="square" lIns="92075" tIns="46037" rIns="92075" bIns="46037" anchor="t" anchorCtr="0" upright="1">
                          <a:spAutoFit/>
                        </wps:bodyPr>
                      </wps:wsp>
                      <wps:wsp>
                        <wps:cNvPr id="7" name="Rectangle 25"/>
                        <wps:cNvSpPr>
                          <a:spLocks noChangeArrowheads="1"/>
                        </wps:cNvSpPr>
                        <wps:spPr bwMode="auto">
                          <a:xfrm>
                            <a:off x="6621" y="7984"/>
                            <a:ext cx="1993" cy="2858"/>
                          </a:xfrm>
                          <a:prstGeom prst="rect">
                            <a:avLst/>
                          </a:prstGeom>
                          <a:noFill/>
                          <a:ln>
                            <a:noFill/>
                          </a:ln>
                          <a:effectLst/>
                          <a:extLst>
                            <a:ext uri="{909E8E84-426E-40DD-AFC4-6F175D3DCCD1}">
                              <a14:hiddenFill xmlns:a14="http://schemas.microsoft.com/office/drawing/2010/main">
                                <a:solidFill>
                                  <a:srgbClr val="FF00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0BC3322" w14:textId="62166BCA" w:rsidR="00895060" w:rsidRPr="00C47D81" w:rsidRDefault="00895060" w:rsidP="00895060">
                              <w:pPr>
                                <w:rPr>
                                  <w:rFonts w:ascii="Arial" w:hAnsi="Arial" w:cs="Arial"/>
                                  <w:color w:val="FF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FF0000"/>
                                  <w:sz w:val="20"/>
                                  <w:szCs w:val="40"/>
                                  <w14:shadow w14:blurRad="50800" w14:dist="38100" w14:dir="2700000" w14:sx="100000" w14:sy="100000" w14:kx="0" w14:ky="0" w14:algn="tl">
                                    <w14:srgbClr w14:val="000000">
                                      <w14:alpha w14:val="60000"/>
                                    </w14:srgbClr>
                                  </w14:shadow>
                                </w:rPr>
                                <w:t>Melbourne</w:t>
                              </w:r>
                              <w:r w:rsidR="001A18AD">
                                <w:rPr>
                                  <w:rFonts w:ascii="Arial" w:hAnsi="Arial" w:cs="Arial"/>
                                  <w:color w:val="FF0000"/>
                                  <w:sz w:val="20"/>
                                  <w:szCs w:val="40"/>
                                  <w14:shadow w14:blurRad="50800" w14:dist="38100" w14:dir="2700000" w14:sx="100000" w14:sy="100000" w14:kx="0" w14:ky="0" w14:algn="tl">
                                    <w14:srgbClr w14:val="000000">
                                      <w14:alpha w14:val="60000"/>
                                    </w14:srgbClr>
                                  </w14:shadow>
                                </w:rPr>
                                <w:t xml:space="preserve"> CC</w:t>
                              </w:r>
                            </w:p>
                            <w:p w14:paraId="6F02500D"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Mildura</w:t>
                              </w:r>
                            </w:p>
                            <w:p w14:paraId="46C60579" w14:textId="77777777" w:rsidR="00895060" w:rsidRPr="00C47D81" w:rsidRDefault="00895060" w:rsidP="00895060">
                              <w:pPr>
                                <w:rPr>
                                  <w:rFonts w:ascii="Arial" w:hAnsi="Arial" w:cs="Arial"/>
                                  <w:color w:val="FF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FF0000"/>
                                  <w:sz w:val="20"/>
                                  <w:szCs w:val="40"/>
                                  <w14:shadow w14:blurRad="50800" w14:dist="38100" w14:dir="2700000" w14:sx="100000" w14:sy="100000" w14:kx="0" w14:ky="0" w14:algn="tl">
                                    <w14:srgbClr w14:val="000000">
                                      <w14:alpha w14:val="60000"/>
                                    </w14:srgbClr>
                                  </w14:shadow>
                                </w:rPr>
                                <w:t>Moorabbin JC</w:t>
                              </w:r>
                            </w:p>
                            <w:p w14:paraId="35CCCB73"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Myrtleford</w:t>
                              </w:r>
                            </w:p>
                            <w:p w14:paraId="0CA5C21D"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Nhill</w:t>
                              </w:r>
                            </w:p>
                            <w:p w14:paraId="03F2F7F0"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Omeo</w:t>
                              </w:r>
                            </w:p>
                            <w:p w14:paraId="1B1E709B"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Orbost</w:t>
                              </w:r>
                            </w:p>
                            <w:p w14:paraId="79D2A98B"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Ouyen</w:t>
                              </w:r>
                            </w:p>
                            <w:p w14:paraId="21BF4564" w14:textId="77777777" w:rsidR="00895060" w:rsidRPr="00A47FA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A47FA1">
                                <w:rPr>
                                  <w:rFonts w:ascii="Arial" w:hAnsi="Arial" w:cs="Arial"/>
                                  <w:color w:val="000000"/>
                                  <w:sz w:val="20"/>
                                  <w:szCs w:val="40"/>
                                  <w14:shadow w14:blurRad="50800" w14:dist="38100" w14:dir="2700000" w14:sx="100000" w14:sy="100000" w14:kx="0" w14:ky="0" w14:algn="tl">
                                    <w14:srgbClr w14:val="000000">
                                      <w14:alpha w14:val="60000"/>
                                    </w14:srgbClr>
                                  </w14:shadow>
                                </w:rPr>
                                <w:t>Portland</w:t>
                              </w:r>
                            </w:p>
                            <w:p w14:paraId="78C90F78" w14:textId="05ADEB9F" w:rsidR="00CD1F64" w:rsidRDefault="00CD1F64" w:rsidP="00895060">
                              <w:pPr>
                                <w:rPr>
                                  <w:rFonts w:ascii="Arial" w:hAnsi="Arial" w:cs="Arial"/>
                                  <w:color w:val="000000" w:themeColor="text1"/>
                                  <w:sz w:val="20"/>
                                  <w:szCs w:val="40"/>
                                  <w14:shadow w14:blurRad="50800" w14:dist="38100" w14:dir="2700000" w14:sx="100000" w14:sy="100000" w14:kx="0" w14:ky="0" w14:algn="tl">
                                    <w14:srgbClr w14:val="000000">
                                      <w14:alpha w14:val="60000"/>
                                    </w14:srgbClr>
                                  </w14:shadow>
                                </w:rPr>
                              </w:pPr>
                              <w:r w:rsidRPr="00CD1F64">
                                <w:rPr>
                                  <w:rFonts w:ascii="Arial" w:hAnsi="Arial" w:cs="Arial"/>
                                  <w:color w:val="000000" w:themeColor="text1"/>
                                  <w:sz w:val="20"/>
                                  <w:szCs w:val="40"/>
                                  <w14:shadow w14:blurRad="50800" w14:dist="38100" w14:dir="2700000" w14:sx="100000" w14:sy="100000" w14:kx="0" w14:ky="0" w14:algn="tl">
                                    <w14:srgbClr w14:val="000000">
                                      <w14:alpha w14:val="60000"/>
                                    </w14:srgbClr>
                                  </w14:shadow>
                                </w:rPr>
                                <w:t>Robinvale</w:t>
                              </w:r>
                            </w:p>
                            <w:p w14:paraId="1BFD7BA9" w14:textId="2F1D3C2F" w:rsidR="009F4E2D" w:rsidRPr="00CD1F64" w:rsidRDefault="009F4E2D" w:rsidP="00895060">
                              <w:pPr>
                                <w:rPr>
                                  <w:rFonts w:ascii="Arial" w:hAnsi="Arial" w:cs="Arial"/>
                                  <w:color w:val="000000" w:themeColor="text1"/>
                                  <w:sz w:val="20"/>
                                  <w:szCs w:val="40"/>
                                  <w14:shadow w14:blurRad="50800" w14:dist="38100" w14:dir="2700000" w14:sx="100000" w14:sy="100000" w14:kx="0" w14:ky="0" w14:algn="tl">
                                    <w14:srgbClr w14:val="000000">
                                      <w14:alpha w14:val="60000"/>
                                    </w14:srgbClr>
                                  </w14:shadow>
                                </w:rPr>
                              </w:pPr>
                              <w:r>
                                <w:rPr>
                                  <w:rFonts w:ascii="Arial" w:hAnsi="Arial" w:cs="Arial"/>
                                  <w:color w:val="000000" w:themeColor="text1"/>
                                  <w:sz w:val="20"/>
                                  <w:szCs w:val="40"/>
                                  <w14:shadow w14:blurRad="50800" w14:dist="38100" w14:dir="2700000" w14:sx="100000" w14:sy="100000" w14:kx="0" w14:ky="0" w14:algn="tl">
                                    <w14:srgbClr w14:val="000000">
                                      <w14:alpha w14:val="60000"/>
                                    </w14:srgbClr>
                                  </w14:shadow>
                                </w:rPr>
                                <w:t>Sale</w:t>
                              </w:r>
                            </w:p>
                          </w:txbxContent>
                        </wps:txbx>
                        <wps:bodyPr rot="0" vert="horz" wrap="square" lIns="92075" tIns="46037" rIns="92075" bIns="46037" anchor="t" anchorCtr="0" upright="1">
                          <a:spAutoFit/>
                        </wps:bodyPr>
                      </wps:wsp>
                      <wps:wsp>
                        <wps:cNvPr id="8" name="Rectangle 26"/>
                        <wps:cNvSpPr>
                          <a:spLocks noChangeArrowheads="1"/>
                        </wps:cNvSpPr>
                        <wps:spPr bwMode="auto">
                          <a:xfrm>
                            <a:off x="8781" y="7984"/>
                            <a:ext cx="1680" cy="2610"/>
                          </a:xfrm>
                          <a:prstGeom prst="rect">
                            <a:avLst/>
                          </a:prstGeom>
                          <a:noFill/>
                          <a:ln>
                            <a:noFill/>
                          </a:ln>
                          <a:effectLst/>
                          <a:extLst>
                            <a:ext uri="{909E8E84-426E-40DD-AFC4-6F175D3DCCD1}">
                              <a14:hiddenFill xmlns:a14="http://schemas.microsoft.com/office/drawing/2010/main">
                                <a:solidFill>
                                  <a:srgbClr val="FF00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D8FC9B"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Seymour</w:t>
                              </w:r>
                            </w:p>
                            <w:p w14:paraId="595F707E"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Shepparton</w:t>
                              </w:r>
                            </w:p>
                            <w:p w14:paraId="3D6B75BB"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St Arnaud</w:t>
                              </w:r>
                            </w:p>
                            <w:p w14:paraId="5E905D40" w14:textId="77777777" w:rsidR="00895060" w:rsidRPr="00C47D81" w:rsidRDefault="00895060" w:rsidP="00895060">
                              <w:pPr>
                                <w:rPr>
                                  <w:rFonts w:ascii="Arial" w:hAnsi="Arial" w:cs="Arial"/>
                                  <w:color w:val="003366"/>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Stawell</w:t>
                              </w:r>
                            </w:p>
                            <w:p w14:paraId="7F6F4578"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Swan Hill</w:t>
                              </w:r>
                            </w:p>
                            <w:p w14:paraId="6AC915EF"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Wangaratta</w:t>
                              </w:r>
                            </w:p>
                            <w:p w14:paraId="3F5B7014"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Warrnambool</w:t>
                              </w:r>
                            </w:p>
                            <w:p w14:paraId="1AE55E16"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Wodonga</w:t>
                              </w:r>
                            </w:p>
                            <w:p w14:paraId="6C57325A" w14:textId="77777777" w:rsidR="00895060"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Wonthaggi</w:t>
                              </w:r>
                            </w:p>
                            <w:p w14:paraId="7A2A2A53" w14:textId="567221FE" w:rsidR="003F3E2C" w:rsidRPr="003F3E2C" w:rsidRDefault="003F3E2C" w:rsidP="00895060">
                              <w:pPr>
                                <w:rPr>
                                  <w:rFonts w:ascii="Arial" w:hAnsi="Arial" w:cs="Arial"/>
                                  <w:color w:val="FF0000"/>
                                  <w:sz w:val="20"/>
                                  <w:szCs w:val="40"/>
                                  <w14:shadow w14:blurRad="50800" w14:dist="38100" w14:dir="2700000" w14:sx="100000" w14:sy="100000" w14:kx="0" w14:ky="0" w14:algn="tl">
                                    <w14:srgbClr w14:val="000000">
                                      <w14:alpha w14:val="60000"/>
                                    </w14:srgbClr>
                                  </w14:shadow>
                                </w:rPr>
                              </w:pPr>
                              <w:r w:rsidRPr="003F3E2C">
                                <w:rPr>
                                  <w:rFonts w:ascii="Arial" w:hAnsi="Arial" w:cs="Arial"/>
                                  <w:color w:val="FF0000"/>
                                  <w:sz w:val="20"/>
                                  <w:szCs w:val="40"/>
                                  <w14:shadow w14:blurRad="50800" w14:dist="38100" w14:dir="2700000" w14:sx="100000" w14:sy="100000" w14:kx="0" w14:ky="0" w14:algn="tl">
                                    <w14:srgbClr w14:val="000000">
                                      <w14:alpha w14:val="60000"/>
                                    </w14:srgbClr>
                                  </w14:shadow>
                                </w:rPr>
                                <w:t>Wyndham</w:t>
                              </w:r>
                            </w:p>
                          </w:txbxContent>
                        </wps:txbx>
                        <wps:bodyPr rot="0" vert="horz" wrap="square" lIns="92075" tIns="46037" rIns="92075" bIns="46037" anchor="t" anchorCtr="0" upright="1">
                          <a:spAutoFit/>
                        </wps:bodyPr>
                      </wps:wsp>
                    </wpg:wgp>
                  </a:graphicData>
                </a:graphic>
              </wp:inline>
            </w:drawing>
          </mc:Choice>
          <mc:Fallback>
            <w:pict>
              <v:group w14:anchorId="20C1B570" id="Group 20" o:spid="_x0000_s1026" style="width:421.05pt;height:155.85pt;mso-position-horizontal-relative:char;mso-position-vertical-relative:line" coordorigin="2040,7984" coordsize="8421,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wKD0AIAANQLAAAOAAAAZHJzL2Uyb0RvYy54bWzsVttu3CAQfa/Uf0C8N76ub4o3ipImqpS2&#10;UdN+AGvji2oDBTbe9Os74PXekqhSWiWtlBcEDAwzZ84Mc3yy6jt0S6VqOcuxd+RiRFnBy5bVOf72&#10;9eJdgpHShJWk44zm+I4qfDJ/++Z4EBn1ecO7kkoESpjKBpHjRmuROY4qGtoTdcQFZSCsuOyJhqWs&#10;nVKSAbT3neO7buQMXJZC8oIqBbvnoxDPrf6qooX+XFWKatTlGGzTdpR2XJjRmR+TrJZENG2xNoM8&#10;wYqetAwe3ag6J5qgpWzvqerbQnLFK31U8N7hVdUW1PoA3njugTeXki+F9aXOhlpsYAJoD3B6stri&#10;0+2lFDfiWo7Ww/SKF98V4OIMos525WZdj4fRYvjIS4gnWWpuHV9VsjcqwCW0svjebfClK40K2JwF&#10;YRwEM4wKkHlpnAZ+OkagaCBM5p7vhhAmEMdpEk6y9+v7Seh742U/mSVG6pBsfNgauzbOBB/YpLaA&#10;qT8D7KYhgto4KAPItURtCd5gxEgPGHwBlhFWdxT5gTHKvA7HJlDViChi/KyBY/RUSj40lJRglWed&#10;2LtgFgri8VuIH4BqAtqL3ceAIpmQSl9S3iMzybEE620Eye2V0iOm0xETUMYv2q6DfZJ1bG8DwB93&#10;qE209e3J/hEHvVqs1pAseHkHbkk+JiEUDZg0XP7EaIAEzLH6sSSSYtR9YABN6rsxQKztIozcIMZI&#10;7koWuxLCClCVY43ROD3TY5YvhWzrBl7yrJNKnAJjL1rrqDF1tMqy3XLmmcgTPUAey/c9LhBggk3H&#10;v06eMPAP82xDnjT8h8hjU82myTZarxyyqEBC3CtAs2csQFFkyvFerd5yKA0eqdQvUIAsWv6EzGsd&#10;2vnEoD27x6FoQuoZPrEkTh7lUJRAiTKtgh95tlPb/PYvxaHN9/6/cMi2RdA62k5p3eaa3nR3bf++&#10;bTM+/wUAAP//AwBQSwMEFAAGAAgAAAAhAOY55v3dAAAABQEAAA8AAABkcnMvZG93bnJldi54bWxM&#10;j81qwzAQhO+FvoPYQm+NrKQ/wbUcQmh7CoUkhZDbxtrYJtbKWIrtvH3VXtrLwjDDzLfZYrSN6Knz&#10;tWMNapKAIC6cqbnU8LV7f5iD8AHZYOOYNFzJwyK/vckwNW7gDfXbUIpYwj5FDVUIbSqlLyqy6Ceu&#10;JY7eyXUWQ5RdKU2HQyy3jZwmybO0WHNcqLClVUXFeXuxGj4GHJYz9davz6fV9bB7+tyvFWl9fzcu&#10;X0EEGsNfGH7wIzrkkenoLmy8aDTER8Lvjd78capAHDXMlHoBmWfyP33+DQAA//8DAFBLAQItABQA&#10;BgAIAAAAIQC2gziS/gAAAOEBAAATAAAAAAAAAAAAAAAAAAAAAABbQ29udGVudF9UeXBlc10ueG1s&#10;UEsBAi0AFAAGAAgAAAAhADj9If/WAAAAlAEAAAsAAAAAAAAAAAAAAAAALwEAAF9yZWxzLy5yZWxz&#10;UEsBAi0AFAAGAAgAAAAhAGprAoPQAgAA1AsAAA4AAAAAAAAAAAAAAAAALgIAAGRycy9lMm9Eb2Mu&#10;eG1sUEsBAi0AFAAGAAgAAAAhAOY55v3dAAAABQEAAA8AAAAAAAAAAAAAAAAAKgUAAGRycy9kb3du&#10;cmV2LnhtbFBLBQYAAAAABAAEAPMAAAA0BgAAAAA=&#10;">
                <v:rect id="Rectangle 23" o:spid="_x0000_s1027" style="position:absolute;left:2040;top:7984;width:1701;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sAwgAAANoAAAAPAAAAZHJzL2Rvd25yZXYueG1sRI9fa8Iw&#10;FMXfB36HcIW9zVTZplajiDAYGwzU+uDbpbk2xeSmNFntvv0iCD4ezp8fZ7nunRUdtaH2rGA8ykAQ&#10;l17XXCkoDh8vMxAhImu0nknBHwVYrwZPS8y1v/KOun2sRBrhkKMCE2OTSxlKQw7DyDfEyTv71mFM&#10;sq2kbvGaxp2Vkyx7lw5rTgSDDW0NlZf9r0uQYL7OnbT2tTj1P02x+54fy6lSz8N+swARqY+P8L39&#10;qRW8we1KugFy9Q8AAP//AwBQSwECLQAUAAYACAAAACEA2+H2y+4AAACFAQAAEwAAAAAAAAAAAAAA&#10;AAAAAAAAW0NvbnRlbnRfVHlwZXNdLnhtbFBLAQItABQABgAIAAAAIQBa9CxbvwAAABUBAAALAAAA&#10;AAAAAAAAAAAAAB8BAABfcmVscy8ucmVsc1BLAQItABQABgAIAAAAIQD2/3sAwgAAANoAAAAPAAAA&#10;AAAAAAAAAAAAAAcCAABkcnMvZG93bnJldi54bWxQSwUGAAAAAAMAAwC3AAAA9gIAAAAA&#10;" filled="f" fillcolor="fuchsia" stroked="f">
                  <v:textbox style="mso-fit-shape-to-text:t" inset="7.25pt,1.2788mm,7.25pt,1.2788mm">
                    <w:txbxContent>
                      <w:p w14:paraId="6C4D9F6B"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Ararat</w:t>
                        </w:r>
                      </w:p>
                      <w:p w14:paraId="78E9C2EE"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Bairnsdale</w:t>
                        </w:r>
                      </w:p>
                      <w:p w14:paraId="3AE8166D"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Ballarat</w:t>
                        </w:r>
                      </w:p>
                      <w:p w14:paraId="74B13813"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Benalla</w:t>
                        </w:r>
                      </w:p>
                      <w:p w14:paraId="4DC120FF"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smartTag w:uri="urn:schemas-microsoft-com:office:smarttags" w:element="place">
                          <w:smartTag w:uri="urn:schemas-microsoft-com:office:smarttags" w:element="City">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Bendigo</w:t>
                            </w:r>
                          </w:smartTag>
                        </w:smartTag>
                      </w:p>
                      <w:p w14:paraId="051BA64A" w14:textId="77777777" w:rsidR="00895060" w:rsidRPr="00C47D81" w:rsidRDefault="00895060" w:rsidP="00895060">
                        <w:pPr>
                          <w:rPr>
                            <w:rFonts w:ascii="Arial" w:hAnsi="Arial" w:cs="Arial"/>
                            <w:color w:val="FF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FF0000"/>
                            <w:sz w:val="20"/>
                            <w:szCs w:val="40"/>
                            <w14:shadow w14:blurRad="50800" w14:dist="38100" w14:dir="2700000" w14:sx="100000" w14:sy="100000" w14:kx="0" w14:ky="0" w14:algn="tl">
                              <w14:srgbClr w14:val="000000">
                                <w14:alpha w14:val="60000"/>
                              </w14:srgbClr>
                            </w14:shadow>
                          </w:rPr>
                          <w:t>Broadmeadows</w:t>
                        </w:r>
                      </w:p>
                      <w:p w14:paraId="10C71B95"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Castlemaine</w:t>
                        </w:r>
                      </w:p>
                      <w:p w14:paraId="4179ED88"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Cobram</w:t>
                        </w:r>
                      </w:p>
                      <w:p w14:paraId="7D9A6267"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Colac</w:t>
                        </w:r>
                      </w:p>
                      <w:p w14:paraId="26BE0E1E"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Corryong</w:t>
                        </w:r>
                      </w:p>
                      <w:p w14:paraId="296FEEBD" w14:textId="36E5A013" w:rsidR="006E3A7F" w:rsidRPr="00C47D81" w:rsidRDefault="006E3A7F" w:rsidP="006E3A7F">
                        <w:pPr>
                          <w:rPr>
                            <w:rFonts w:ascii="Arial" w:hAnsi="Arial" w:cs="Arial"/>
                            <w:color w:val="FF0000"/>
                            <w:sz w:val="20"/>
                            <w:szCs w:val="40"/>
                            <w14:shadow w14:blurRad="50800" w14:dist="38100" w14:dir="2700000" w14:sx="100000" w14:sy="100000" w14:kx="0" w14:ky="0" w14:algn="tl">
                              <w14:srgbClr w14:val="000000">
                                <w14:alpha w14:val="60000"/>
                              </w14:srgbClr>
                            </w14:shadow>
                          </w:rPr>
                        </w:pPr>
                        <w:r>
                          <w:rPr>
                            <w:rFonts w:ascii="Arial" w:hAnsi="Arial" w:cs="Arial"/>
                            <w:color w:val="FF0000"/>
                            <w:sz w:val="20"/>
                            <w:szCs w:val="40"/>
                            <w14:shadow w14:blurRad="50800" w14:dist="38100" w14:dir="2700000" w14:sx="100000" w14:sy="100000" w14:kx="0" w14:ky="0" w14:algn="tl">
                              <w14:srgbClr w14:val="000000">
                                <w14:alpha w14:val="60000"/>
                              </w14:srgbClr>
                            </w14:shadow>
                          </w:rPr>
                          <w:t>Dandenong</w:t>
                        </w:r>
                        <w:r w:rsidR="001A18AD">
                          <w:rPr>
                            <w:rFonts w:ascii="Arial" w:hAnsi="Arial" w:cs="Arial"/>
                            <w:color w:val="FF0000"/>
                            <w:sz w:val="20"/>
                            <w:szCs w:val="40"/>
                            <w14:shadow w14:blurRad="50800" w14:dist="38100" w14:dir="2700000" w14:sx="100000" w14:sy="100000" w14:kx="0" w14:ky="0" w14:algn="tl">
                              <w14:srgbClr w14:val="000000">
                                <w14:alpha w14:val="60000"/>
                              </w14:srgbClr>
                            </w14:shadow>
                          </w:rPr>
                          <w:t xml:space="preserve"> CC</w:t>
                        </w:r>
                      </w:p>
                    </w:txbxContent>
                  </v:textbox>
                </v:rect>
                <v:rect id="Rectangle 24" o:spid="_x0000_s1028" style="position:absolute;left:4320;top:7984;width:1941;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eV3wwAAANoAAAAPAAAAZHJzL2Rvd25yZXYueG1sRI9fa8Iw&#10;FMXfB36HcIW9zdQhTmujyGAgGwzU+uDbpbltislNabLafftlMNjj4fz5cYrd6KwYqA+tZwXzWQaC&#10;uPK65UZBeX57WoEIEVmj9UwKvinAbjt5KDDX/s5HGk6xEWmEQ44KTIxdLmWoDDkMM98RJ6/2vcOY&#10;ZN9I3eM9jTsrn7NsKR22nAgGO3o1VN1OXy5BgnmvB2ntoryOn115/FhfqhelHqfjfgMi0hj/w3/t&#10;g1awhN8r6QbI7Q8AAAD//wMAUEsBAi0AFAAGAAgAAAAhANvh9svuAAAAhQEAABMAAAAAAAAAAAAA&#10;AAAAAAAAAFtDb250ZW50X1R5cGVzXS54bWxQSwECLQAUAAYACAAAACEAWvQsW78AAAAVAQAACwAA&#10;AAAAAAAAAAAAAAAfAQAAX3JlbHMvLnJlbHNQSwECLQAUAAYACAAAACEABi3ld8MAAADaAAAADwAA&#10;AAAAAAAAAAAAAAAHAgAAZHJzL2Rvd25yZXYueG1sUEsFBgAAAAADAAMAtwAAAPcCAAAAAA==&#10;" filled="f" fillcolor="fuchsia" stroked="f">
                  <v:textbox style="mso-fit-shape-to-text:t" inset="7.25pt,1.2788mm,7.25pt,1.2788mm">
                    <w:txbxContent>
                      <w:p w14:paraId="259DD9C4" w14:textId="2BD99CFF" w:rsidR="00895060" w:rsidRPr="009F4E2D" w:rsidRDefault="009F4E2D" w:rsidP="00895060">
                        <w:pPr>
                          <w:rPr>
                            <w:rFonts w:ascii="Arial" w:hAnsi="Arial" w:cs="Arial"/>
                            <w:color w:val="000000" w:themeColor="text1"/>
                            <w:sz w:val="20"/>
                            <w:szCs w:val="40"/>
                            <w14:shadow w14:blurRad="50800" w14:dist="38100" w14:dir="2700000" w14:sx="100000" w14:sy="100000" w14:kx="0" w14:ky="0" w14:algn="tl">
                              <w14:srgbClr w14:val="000000">
                                <w14:alpha w14:val="60000"/>
                              </w14:srgbClr>
                            </w14:shadow>
                          </w:rPr>
                        </w:pPr>
                        <w:r w:rsidRPr="009F4E2D">
                          <w:rPr>
                            <w:rFonts w:ascii="Arial" w:hAnsi="Arial" w:cs="Arial"/>
                            <w:color w:val="000000" w:themeColor="text1"/>
                            <w:sz w:val="20"/>
                            <w:szCs w:val="40"/>
                            <w14:shadow w14:blurRad="50800" w14:dist="38100" w14:dir="2700000" w14:sx="100000" w14:sy="100000" w14:kx="0" w14:ky="0" w14:algn="tl">
                              <w14:srgbClr w14:val="000000">
                                <w14:alpha w14:val="60000"/>
                              </w14:srgbClr>
                            </w14:shadow>
                          </w:rPr>
                          <w:t>Echuca</w:t>
                        </w:r>
                      </w:p>
                      <w:p w14:paraId="33B7ECDA"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Geelong</w:t>
                        </w:r>
                      </w:p>
                      <w:p w14:paraId="320626F6"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smartTag w:uri="urn:schemas-microsoft-com:office:smarttags" w:element="place">
                          <w:smartTag w:uri="urn:schemas-microsoft-com:office:smarttags" w:element="City">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Hamilton</w:t>
                            </w:r>
                          </w:smartTag>
                        </w:smartTag>
                      </w:p>
                      <w:p w14:paraId="05C04FFE"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Hopetoun</w:t>
                        </w:r>
                      </w:p>
                      <w:p w14:paraId="3DC98237" w14:textId="77777777" w:rsidR="00895060" w:rsidRPr="00C47D81" w:rsidRDefault="00895060" w:rsidP="00895060">
                        <w:pPr>
                          <w:rPr>
                            <w:rFonts w:ascii="Arial" w:hAnsi="Arial" w:cs="Arial"/>
                            <w:color w:val="003366"/>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Horsham</w:t>
                        </w:r>
                      </w:p>
                      <w:p w14:paraId="769541A2"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Kerang</w:t>
                        </w:r>
                      </w:p>
                      <w:p w14:paraId="5703D2E5"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Korumburra</w:t>
                        </w:r>
                      </w:p>
                      <w:p w14:paraId="48BE7C86"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Kyneton</w:t>
                        </w:r>
                      </w:p>
                      <w:p w14:paraId="4EBBF8A5"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smartTag w:uri="urn:schemas-microsoft-com:office:smarttags" w:element="place">
                          <w:smartTag w:uri="urn:schemas-microsoft-com:office:smarttags" w:element="PlaceName">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Latrobe</w:t>
                            </w:r>
                          </w:smartTag>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 xml:space="preserve"> </w:t>
                          </w:r>
                          <w:smartTag w:uri="urn:schemas-microsoft-com:office:smarttags" w:element="PlaceType">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Valley</w:t>
                            </w:r>
                          </w:smartTag>
                        </w:smartTag>
                      </w:p>
                      <w:p w14:paraId="1C3EB539" w14:textId="77777777" w:rsidR="00895060" w:rsidRPr="00A47FA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A47FA1">
                          <w:rPr>
                            <w:rFonts w:ascii="Arial" w:hAnsi="Arial" w:cs="Arial"/>
                            <w:color w:val="000000"/>
                            <w:sz w:val="20"/>
                            <w:szCs w:val="40"/>
                            <w14:shadow w14:blurRad="50800" w14:dist="38100" w14:dir="2700000" w14:sx="100000" w14:sy="100000" w14:kx="0" w14:ky="0" w14:algn="tl">
                              <w14:srgbClr w14:val="000000">
                                <w14:alpha w14:val="60000"/>
                              </w14:srgbClr>
                            </w14:shadow>
                          </w:rPr>
                          <w:t>Mansfield</w:t>
                        </w:r>
                      </w:p>
                      <w:p w14:paraId="2CBB1909"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Maryborough</w:t>
                        </w:r>
                      </w:p>
                    </w:txbxContent>
                  </v:textbox>
                </v:rect>
                <v:rect id="Rectangle 25" o:spid="_x0000_s1029" style="position:absolute;left:6621;top:7984;width:1993;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UDswwAAANoAAAAPAAAAZHJzL2Rvd25yZXYueG1sRI9fa8Iw&#10;FMXfB36HcIW9zdQhU2ujyGAgGwzU+uDbpbltislNabLafftlMNjj4fz5cYrd6KwYqA+tZwXzWQaC&#10;uPK65UZBeX57WoEIEVmj9UwKvinAbjt5KDDX/s5HGk6xEWmEQ44KTIxdLmWoDDkMM98RJ6/2vcOY&#10;ZN9I3eM9jTsrn7PsRTpsOREMdvRqqLqdvlyCBPNeD9LaRXkdP7vy+LG+VEulHqfjfgMi0hj/w3/t&#10;g1awhN8r6QbI7Q8AAAD//wMAUEsBAi0AFAAGAAgAAAAhANvh9svuAAAAhQEAABMAAAAAAAAAAAAA&#10;AAAAAAAAAFtDb250ZW50X1R5cGVzXS54bWxQSwECLQAUAAYACAAAACEAWvQsW78AAAAVAQAACwAA&#10;AAAAAAAAAAAAAAAfAQAAX3JlbHMvLnJlbHNQSwECLQAUAAYACAAAACEAaWFA7MMAAADaAAAADwAA&#10;AAAAAAAAAAAAAAAHAgAAZHJzL2Rvd25yZXYueG1sUEsFBgAAAAADAAMAtwAAAPcCAAAAAA==&#10;" filled="f" fillcolor="fuchsia" stroked="f">
                  <v:textbox style="mso-fit-shape-to-text:t" inset="7.25pt,1.2788mm,7.25pt,1.2788mm">
                    <w:txbxContent>
                      <w:p w14:paraId="20BC3322" w14:textId="62166BCA" w:rsidR="00895060" w:rsidRPr="00C47D81" w:rsidRDefault="00895060" w:rsidP="00895060">
                        <w:pPr>
                          <w:rPr>
                            <w:rFonts w:ascii="Arial" w:hAnsi="Arial" w:cs="Arial"/>
                            <w:color w:val="FF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FF0000"/>
                            <w:sz w:val="20"/>
                            <w:szCs w:val="40"/>
                            <w14:shadow w14:blurRad="50800" w14:dist="38100" w14:dir="2700000" w14:sx="100000" w14:sy="100000" w14:kx="0" w14:ky="0" w14:algn="tl">
                              <w14:srgbClr w14:val="000000">
                                <w14:alpha w14:val="60000"/>
                              </w14:srgbClr>
                            </w14:shadow>
                          </w:rPr>
                          <w:t>Melbourne</w:t>
                        </w:r>
                        <w:r w:rsidR="001A18AD">
                          <w:rPr>
                            <w:rFonts w:ascii="Arial" w:hAnsi="Arial" w:cs="Arial"/>
                            <w:color w:val="FF0000"/>
                            <w:sz w:val="20"/>
                            <w:szCs w:val="40"/>
                            <w14:shadow w14:blurRad="50800" w14:dist="38100" w14:dir="2700000" w14:sx="100000" w14:sy="100000" w14:kx="0" w14:ky="0" w14:algn="tl">
                              <w14:srgbClr w14:val="000000">
                                <w14:alpha w14:val="60000"/>
                              </w14:srgbClr>
                            </w14:shadow>
                          </w:rPr>
                          <w:t xml:space="preserve"> CC</w:t>
                        </w:r>
                      </w:p>
                      <w:p w14:paraId="6F02500D"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Mildura</w:t>
                        </w:r>
                      </w:p>
                      <w:p w14:paraId="46C60579" w14:textId="77777777" w:rsidR="00895060" w:rsidRPr="00C47D81" w:rsidRDefault="00895060" w:rsidP="00895060">
                        <w:pPr>
                          <w:rPr>
                            <w:rFonts w:ascii="Arial" w:hAnsi="Arial" w:cs="Arial"/>
                            <w:color w:val="FF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FF0000"/>
                            <w:sz w:val="20"/>
                            <w:szCs w:val="40"/>
                            <w14:shadow w14:blurRad="50800" w14:dist="38100" w14:dir="2700000" w14:sx="100000" w14:sy="100000" w14:kx="0" w14:ky="0" w14:algn="tl">
                              <w14:srgbClr w14:val="000000">
                                <w14:alpha w14:val="60000"/>
                              </w14:srgbClr>
                            </w14:shadow>
                          </w:rPr>
                          <w:t>Moorabbin JC</w:t>
                        </w:r>
                      </w:p>
                      <w:p w14:paraId="35CCCB73"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Myrtleford</w:t>
                        </w:r>
                      </w:p>
                      <w:p w14:paraId="0CA5C21D"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Nhill</w:t>
                        </w:r>
                      </w:p>
                      <w:p w14:paraId="03F2F7F0"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Omeo</w:t>
                        </w:r>
                      </w:p>
                      <w:p w14:paraId="1B1E709B"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Orbost</w:t>
                        </w:r>
                      </w:p>
                      <w:p w14:paraId="79D2A98B"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Ouyen</w:t>
                        </w:r>
                      </w:p>
                      <w:p w14:paraId="21BF4564" w14:textId="77777777" w:rsidR="00895060" w:rsidRPr="00A47FA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A47FA1">
                          <w:rPr>
                            <w:rFonts w:ascii="Arial" w:hAnsi="Arial" w:cs="Arial"/>
                            <w:color w:val="000000"/>
                            <w:sz w:val="20"/>
                            <w:szCs w:val="40"/>
                            <w14:shadow w14:blurRad="50800" w14:dist="38100" w14:dir="2700000" w14:sx="100000" w14:sy="100000" w14:kx="0" w14:ky="0" w14:algn="tl">
                              <w14:srgbClr w14:val="000000">
                                <w14:alpha w14:val="60000"/>
                              </w14:srgbClr>
                            </w14:shadow>
                          </w:rPr>
                          <w:t>Portland</w:t>
                        </w:r>
                      </w:p>
                      <w:p w14:paraId="78C90F78" w14:textId="05ADEB9F" w:rsidR="00CD1F64" w:rsidRDefault="00CD1F64" w:rsidP="00895060">
                        <w:pPr>
                          <w:rPr>
                            <w:rFonts w:ascii="Arial" w:hAnsi="Arial" w:cs="Arial"/>
                            <w:color w:val="000000" w:themeColor="text1"/>
                            <w:sz w:val="20"/>
                            <w:szCs w:val="40"/>
                            <w14:shadow w14:blurRad="50800" w14:dist="38100" w14:dir="2700000" w14:sx="100000" w14:sy="100000" w14:kx="0" w14:ky="0" w14:algn="tl">
                              <w14:srgbClr w14:val="000000">
                                <w14:alpha w14:val="60000"/>
                              </w14:srgbClr>
                            </w14:shadow>
                          </w:rPr>
                        </w:pPr>
                        <w:r w:rsidRPr="00CD1F64">
                          <w:rPr>
                            <w:rFonts w:ascii="Arial" w:hAnsi="Arial" w:cs="Arial"/>
                            <w:color w:val="000000" w:themeColor="text1"/>
                            <w:sz w:val="20"/>
                            <w:szCs w:val="40"/>
                            <w14:shadow w14:blurRad="50800" w14:dist="38100" w14:dir="2700000" w14:sx="100000" w14:sy="100000" w14:kx="0" w14:ky="0" w14:algn="tl">
                              <w14:srgbClr w14:val="000000">
                                <w14:alpha w14:val="60000"/>
                              </w14:srgbClr>
                            </w14:shadow>
                          </w:rPr>
                          <w:t>Robinvale</w:t>
                        </w:r>
                      </w:p>
                      <w:p w14:paraId="1BFD7BA9" w14:textId="2F1D3C2F" w:rsidR="009F4E2D" w:rsidRPr="00CD1F64" w:rsidRDefault="009F4E2D" w:rsidP="00895060">
                        <w:pPr>
                          <w:rPr>
                            <w:rFonts w:ascii="Arial" w:hAnsi="Arial" w:cs="Arial"/>
                            <w:color w:val="000000" w:themeColor="text1"/>
                            <w:sz w:val="20"/>
                            <w:szCs w:val="40"/>
                            <w14:shadow w14:blurRad="50800" w14:dist="38100" w14:dir="2700000" w14:sx="100000" w14:sy="100000" w14:kx="0" w14:ky="0" w14:algn="tl">
                              <w14:srgbClr w14:val="000000">
                                <w14:alpha w14:val="60000"/>
                              </w14:srgbClr>
                            </w14:shadow>
                          </w:rPr>
                        </w:pPr>
                        <w:r>
                          <w:rPr>
                            <w:rFonts w:ascii="Arial" w:hAnsi="Arial" w:cs="Arial"/>
                            <w:color w:val="000000" w:themeColor="text1"/>
                            <w:sz w:val="20"/>
                            <w:szCs w:val="40"/>
                            <w14:shadow w14:blurRad="50800" w14:dist="38100" w14:dir="2700000" w14:sx="100000" w14:sy="100000" w14:kx="0" w14:ky="0" w14:algn="tl">
                              <w14:srgbClr w14:val="000000">
                                <w14:alpha w14:val="60000"/>
                              </w14:srgbClr>
                            </w14:shadow>
                          </w:rPr>
                          <w:t>Sale</w:t>
                        </w:r>
                      </w:p>
                    </w:txbxContent>
                  </v:textbox>
                </v:rect>
                <v:rect id="Rectangle 26" o:spid="_x0000_s1030" style="position:absolute;left:8781;top:7984;width:1680;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SewAAAANoAAAAPAAAAZHJzL2Rvd25yZXYueG1sRE9NawIx&#10;EL0X+h/CFHqr2RbRdjVKKQhSoaBuD70Nm3GzmEyWTVy3/75zKHh8vO/legxeDdSnNrKB50kBiriO&#10;tuXGQHXcPL2CShnZoo9MBn4pwXp1f7fE0sYr72k45EZJCKcSDbicu1LrVDsKmCaxIxbuFPuAWWDf&#10;aNvjVcKD1y9FMdMBW5YGhx19OKrPh0uQkuQ+T4P2flr9jF9dtd+9fddzYx4fxvcFqExjvon/3Vtr&#10;QLbKFbkBevUHAAD//wMAUEsBAi0AFAAGAAgAAAAhANvh9svuAAAAhQEAABMAAAAAAAAAAAAAAAAA&#10;AAAAAFtDb250ZW50X1R5cGVzXS54bWxQSwECLQAUAAYACAAAACEAWvQsW78AAAAVAQAACwAAAAAA&#10;AAAAAAAAAAAfAQAAX3JlbHMvLnJlbHNQSwECLQAUAAYACAAAACEAGP7UnsAAAADaAAAADwAAAAAA&#10;AAAAAAAAAAAHAgAAZHJzL2Rvd25yZXYueG1sUEsFBgAAAAADAAMAtwAAAPQCAAAAAA==&#10;" filled="f" fillcolor="fuchsia" stroked="f">
                  <v:textbox style="mso-fit-shape-to-text:t" inset="7.25pt,1.2788mm,7.25pt,1.2788mm">
                    <w:txbxContent>
                      <w:p w14:paraId="02D8FC9B"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Seymour</w:t>
                        </w:r>
                      </w:p>
                      <w:p w14:paraId="595F707E"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Shepparton</w:t>
                        </w:r>
                      </w:p>
                      <w:p w14:paraId="3D6B75BB"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St Arnaud</w:t>
                        </w:r>
                      </w:p>
                      <w:p w14:paraId="5E905D40" w14:textId="77777777" w:rsidR="00895060" w:rsidRPr="00C47D81" w:rsidRDefault="00895060" w:rsidP="00895060">
                        <w:pPr>
                          <w:rPr>
                            <w:rFonts w:ascii="Arial" w:hAnsi="Arial" w:cs="Arial"/>
                            <w:color w:val="003366"/>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Stawell</w:t>
                        </w:r>
                      </w:p>
                      <w:p w14:paraId="7F6F4578"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Swan Hill</w:t>
                        </w:r>
                      </w:p>
                      <w:p w14:paraId="6AC915EF"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Wangaratta</w:t>
                        </w:r>
                      </w:p>
                      <w:p w14:paraId="3F5B7014"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Warrnambool</w:t>
                        </w:r>
                      </w:p>
                      <w:p w14:paraId="1AE55E16" w14:textId="77777777" w:rsidR="00895060" w:rsidRPr="00C47D81"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Wodonga</w:t>
                        </w:r>
                      </w:p>
                      <w:p w14:paraId="6C57325A" w14:textId="77777777" w:rsidR="00895060" w:rsidRDefault="00895060" w:rsidP="00895060">
                        <w:pPr>
                          <w:rPr>
                            <w:rFonts w:ascii="Arial" w:hAnsi="Arial" w:cs="Arial"/>
                            <w:color w:val="000000"/>
                            <w:sz w:val="20"/>
                            <w:szCs w:val="40"/>
                            <w14:shadow w14:blurRad="50800" w14:dist="38100" w14:dir="2700000" w14:sx="100000" w14:sy="100000" w14:kx="0" w14:ky="0" w14:algn="tl">
                              <w14:srgbClr w14:val="000000">
                                <w14:alpha w14:val="60000"/>
                              </w14:srgbClr>
                            </w14:shadow>
                          </w:rPr>
                        </w:pPr>
                        <w:r w:rsidRPr="00C47D81">
                          <w:rPr>
                            <w:rFonts w:ascii="Arial" w:hAnsi="Arial" w:cs="Arial"/>
                            <w:color w:val="000000"/>
                            <w:sz w:val="20"/>
                            <w:szCs w:val="40"/>
                            <w14:shadow w14:blurRad="50800" w14:dist="38100" w14:dir="2700000" w14:sx="100000" w14:sy="100000" w14:kx="0" w14:ky="0" w14:algn="tl">
                              <w14:srgbClr w14:val="000000">
                                <w14:alpha w14:val="60000"/>
                              </w14:srgbClr>
                            </w14:shadow>
                          </w:rPr>
                          <w:t>Wonthaggi</w:t>
                        </w:r>
                      </w:p>
                      <w:p w14:paraId="7A2A2A53" w14:textId="567221FE" w:rsidR="003F3E2C" w:rsidRPr="003F3E2C" w:rsidRDefault="003F3E2C" w:rsidP="00895060">
                        <w:pPr>
                          <w:rPr>
                            <w:rFonts w:ascii="Arial" w:hAnsi="Arial" w:cs="Arial"/>
                            <w:color w:val="FF0000"/>
                            <w:sz w:val="20"/>
                            <w:szCs w:val="40"/>
                            <w14:shadow w14:blurRad="50800" w14:dist="38100" w14:dir="2700000" w14:sx="100000" w14:sy="100000" w14:kx="0" w14:ky="0" w14:algn="tl">
                              <w14:srgbClr w14:val="000000">
                                <w14:alpha w14:val="60000"/>
                              </w14:srgbClr>
                            </w14:shadow>
                          </w:rPr>
                        </w:pPr>
                        <w:r w:rsidRPr="003F3E2C">
                          <w:rPr>
                            <w:rFonts w:ascii="Arial" w:hAnsi="Arial" w:cs="Arial"/>
                            <w:color w:val="FF0000"/>
                            <w:sz w:val="20"/>
                            <w:szCs w:val="40"/>
                            <w14:shadow w14:blurRad="50800" w14:dist="38100" w14:dir="2700000" w14:sx="100000" w14:sy="100000" w14:kx="0" w14:ky="0" w14:algn="tl">
                              <w14:srgbClr w14:val="000000">
                                <w14:alpha w14:val="60000"/>
                              </w14:srgbClr>
                            </w14:shadow>
                          </w:rPr>
                          <w:t>Wyndham</w:t>
                        </w:r>
                      </w:p>
                    </w:txbxContent>
                  </v:textbox>
                </v:rect>
                <w10:anchorlock/>
              </v:group>
            </w:pict>
          </mc:Fallback>
        </mc:AlternateContent>
      </w:r>
    </w:p>
    <w:p w14:paraId="7F5EDF54" w14:textId="77777777" w:rsidR="00217D88" w:rsidRDefault="00217D88" w:rsidP="00217D88">
      <w:pPr>
        <w:jc w:val="both"/>
        <w:rPr>
          <w:rFonts w:ascii="Arial" w:hAnsi="Arial" w:cs="Arial"/>
          <w:color w:val="000000"/>
          <w:sz w:val="20"/>
        </w:rPr>
      </w:pPr>
      <w:bookmarkStart w:id="323" w:name="_Hlk213843788"/>
    </w:p>
    <w:p w14:paraId="50313B73" w14:textId="61A58508" w:rsidR="000D7D82" w:rsidRDefault="000D7D82" w:rsidP="00217D88">
      <w:pPr>
        <w:jc w:val="both"/>
        <w:rPr>
          <w:rFonts w:ascii="Arial" w:hAnsi="Arial" w:cs="Arial"/>
          <w:color w:val="000000"/>
          <w:sz w:val="20"/>
        </w:rPr>
      </w:pPr>
      <w:bookmarkStart w:id="324" w:name="_Hlk213844785"/>
      <w:r>
        <w:rPr>
          <w:rFonts w:ascii="Arial" w:hAnsi="Arial" w:cs="Arial"/>
          <w:color w:val="000000"/>
          <w:sz w:val="20"/>
        </w:rPr>
        <w:t xml:space="preserve">At </w:t>
      </w:r>
      <w:r w:rsidRPr="00CA6976">
        <w:rPr>
          <w:rFonts w:ascii="Arial" w:hAnsi="Arial" w:cs="Arial"/>
          <w:b/>
          <w:bCs/>
          <w:color w:val="FF0000"/>
          <w:sz w:val="20"/>
        </w:rPr>
        <w:t xml:space="preserve">Melbourne CC, Broadmeadows, </w:t>
      </w:r>
      <w:r w:rsidR="003F3E2C">
        <w:rPr>
          <w:rFonts w:ascii="Arial" w:hAnsi="Arial" w:cs="Arial"/>
          <w:b/>
          <w:bCs/>
          <w:color w:val="FF0000"/>
          <w:sz w:val="20"/>
        </w:rPr>
        <w:t xml:space="preserve">Wyndham, </w:t>
      </w:r>
      <w:r w:rsidRPr="00CA6976">
        <w:rPr>
          <w:rFonts w:ascii="Arial" w:hAnsi="Arial" w:cs="Arial"/>
          <w:b/>
          <w:bCs/>
          <w:color w:val="FF0000"/>
          <w:sz w:val="20"/>
        </w:rPr>
        <w:t xml:space="preserve">Dandenong </w:t>
      </w:r>
      <w:r w:rsidRPr="003F3E2C">
        <w:rPr>
          <w:rFonts w:ascii="Arial" w:hAnsi="Arial" w:cs="Arial"/>
          <w:b/>
          <w:bCs/>
          <w:color w:val="FF0000"/>
          <w:sz w:val="20"/>
        </w:rPr>
        <w:t>CC</w:t>
      </w:r>
      <w:r w:rsidR="003F3E2C" w:rsidRPr="003F3E2C">
        <w:rPr>
          <w:rFonts w:ascii="Arial" w:hAnsi="Arial" w:cs="Arial"/>
          <w:b/>
          <w:bCs/>
          <w:color w:val="FF0000"/>
          <w:sz w:val="20"/>
        </w:rPr>
        <w:t xml:space="preserve"> &amp; </w:t>
      </w:r>
      <w:r w:rsidRPr="00CA6976">
        <w:rPr>
          <w:rFonts w:ascii="Arial" w:hAnsi="Arial" w:cs="Arial"/>
          <w:b/>
          <w:bCs/>
          <w:color w:val="FF0000"/>
          <w:sz w:val="20"/>
        </w:rPr>
        <w:t>Moorabbin JC</w:t>
      </w:r>
      <w:r w:rsidR="003F3E2C" w:rsidRPr="003F3E2C">
        <w:rPr>
          <w:rFonts w:ascii="Arial" w:hAnsi="Arial" w:cs="Arial"/>
          <w:b/>
          <w:bCs/>
          <w:color w:val="FF0000"/>
          <w:sz w:val="20"/>
        </w:rPr>
        <w:t xml:space="preserve"> </w:t>
      </w:r>
      <w:r>
        <w:rPr>
          <w:rFonts w:ascii="Arial" w:hAnsi="Arial" w:cs="Arial"/>
          <w:color w:val="000000"/>
          <w:sz w:val="20"/>
        </w:rPr>
        <w:t xml:space="preserve">and also at most country locations, the Court sits in both Divisions. From 06/01/2025 the Children’s Court does not sit in either Division at any of the remaining courts in the extended metropolitan area, namely </w:t>
      </w:r>
      <w:r w:rsidRPr="00CA6976">
        <w:rPr>
          <w:rFonts w:ascii="Arial" w:hAnsi="Arial" w:cs="Arial"/>
          <w:b/>
          <w:bCs/>
          <w:color w:val="0066FF"/>
          <w:sz w:val="20"/>
        </w:rPr>
        <w:t xml:space="preserve">Dromana, </w:t>
      </w:r>
      <w:r w:rsidRPr="003F3E2C">
        <w:rPr>
          <w:rFonts w:ascii="Arial" w:hAnsi="Arial" w:cs="Arial"/>
          <w:b/>
          <w:bCs/>
          <w:color w:val="0066FF"/>
          <w:sz w:val="20"/>
        </w:rPr>
        <w:t>Frankston, Heidelberg, NJC (Collingwood</w:t>
      </w:r>
      <w:r w:rsidRPr="00CA6976">
        <w:rPr>
          <w:rFonts w:ascii="Arial" w:hAnsi="Arial" w:cs="Arial"/>
          <w:b/>
          <w:bCs/>
          <w:color w:val="0066FF"/>
          <w:sz w:val="20"/>
        </w:rPr>
        <w:t>), Ringwood, Sunshine &amp; Werribee</w:t>
      </w:r>
      <w:r>
        <w:rPr>
          <w:rFonts w:ascii="Arial" w:hAnsi="Arial" w:cs="Arial"/>
          <w:color w:val="000000"/>
          <w:sz w:val="20"/>
        </w:rPr>
        <w:t>.</w:t>
      </w:r>
    </w:p>
    <w:p w14:paraId="05327316" w14:textId="77777777" w:rsidR="009F4E2D" w:rsidRDefault="009F4E2D" w:rsidP="00217D88">
      <w:pPr>
        <w:jc w:val="both"/>
        <w:rPr>
          <w:rFonts w:ascii="Arial" w:hAnsi="Arial" w:cs="Arial"/>
          <w:color w:val="000000"/>
          <w:sz w:val="20"/>
        </w:rPr>
      </w:pPr>
    </w:p>
    <w:p w14:paraId="3D48F282" w14:textId="18C424D7" w:rsidR="00A51F56" w:rsidRPr="00373AD0" w:rsidRDefault="000A53B9" w:rsidP="00373AD0">
      <w:pPr>
        <w:shd w:val="clear" w:color="auto" w:fill="000000" w:themeFill="text1"/>
        <w:jc w:val="center"/>
        <w:rPr>
          <w:rFonts w:ascii="Arial" w:hAnsi="Arial" w:cs="Arial"/>
          <w:color w:val="FFFFFF" w:themeColor="background1"/>
          <w:sz w:val="20"/>
        </w:rPr>
      </w:pPr>
      <w:r>
        <w:rPr>
          <w:rFonts w:ascii="Arial" w:hAnsi="Arial" w:cs="Arial"/>
          <w:b/>
          <w:bCs/>
          <w:color w:val="FFFFFF" w:themeColor="background1"/>
          <w:sz w:val="20"/>
        </w:rPr>
        <w:t xml:space="preserve">METROPOLITAN </w:t>
      </w:r>
      <w:r w:rsidR="00A51F56" w:rsidRPr="00373AD0">
        <w:rPr>
          <w:rFonts w:ascii="Arial" w:hAnsi="Arial" w:cs="Arial"/>
          <w:b/>
          <w:bCs/>
          <w:color w:val="FFFFFF" w:themeColor="background1"/>
          <w:sz w:val="20"/>
        </w:rPr>
        <w:t>FAMILY DIVISION CHILD PROTECTION [CP] CASES ARE GENERALLY HE</w:t>
      </w:r>
      <w:r w:rsidR="00AA2A36">
        <w:rPr>
          <w:rFonts w:ascii="Arial" w:hAnsi="Arial" w:cs="Arial"/>
          <w:b/>
          <w:bCs/>
          <w:color w:val="FFFFFF" w:themeColor="background1"/>
          <w:sz w:val="20"/>
        </w:rPr>
        <w:t>AR</w:t>
      </w:r>
      <w:r w:rsidR="00A51F56" w:rsidRPr="00373AD0">
        <w:rPr>
          <w:rFonts w:ascii="Arial" w:hAnsi="Arial" w:cs="Arial"/>
          <w:b/>
          <w:bCs/>
          <w:color w:val="FFFFFF" w:themeColor="background1"/>
          <w:sz w:val="20"/>
        </w:rPr>
        <w:t>D AT THE FOLLOWING VENUES</w:t>
      </w:r>
      <w:r w:rsidR="00A51F56" w:rsidRPr="00373AD0">
        <w:rPr>
          <w:rFonts w:ascii="Arial" w:hAnsi="Arial" w:cs="Arial"/>
          <w:color w:val="FFFFFF" w:themeColor="background1"/>
          <w:sz w:val="20"/>
        </w:rPr>
        <w:t>:</w:t>
      </w:r>
    </w:p>
    <w:p w14:paraId="5CA12F62" w14:textId="77777777" w:rsidR="00A51F56" w:rsidRDefault="00A51F56" w:rsidP="00373AD0">
      <w:pPr>
        <w:spacing w:before="60"/>
        <w:jc w:val="both"/>
        <w:rPr>
          <w:rFonts w:ascii="Arial" w:hAnsi="Arial" w:cs="Arial"/>
          <w:color w:val="000000"/>
          <w:sz w:val="20"/>
        </w:rPr>
      </w:pPr>
      <w:r w:rsidRPr="00A51F56">
        <w:rPr>
          <w:rFonts w:ascii="Arial" w:hAnsi="Arial" w:cs="Arial"/>
          <w:b/>
          <w:bCs/>
          <w:color w:val="FF0000"/>
          <w:sz w:val="20"/>
          <w:u w:val="single"/>
        </w:rPr>
        <w:t>Broadmeadows</w:t>
      </w:r>
      <w:r>
        <w:rPr>
          <w:rFonts w:ascii="Arial" w:hAnsi="Arial" w:cs="Arial"/>
          <w:color w:val="000000"/>
          <w:sz w:val="20"/>
        </w:rPr>
        <w:t xml:space="preserve">: </w:t>
      </w:r>
      <w:r w:rsidRPr="00090232">
        <w:rPr>
          <w:rFonts w:ascii="Arial" w:hAnsi="Arial" w:cs="Arial"/>
          <w:color w:val="000000"/>
          <w:sz w:val="20"/>
        </w:rPr>
        <w:t xml:space="preserve">CP cases originating from DFFH’s Preston office </w:t>
      </w:r>
      <w:r>
        <w:rPr>
          <w:rFonts w:ascii="Arial" w:hAnsi="Arial" w:cs="Arial"/>
          <w:color w:val="000000"/>
          <w:sz w:val="20"/>
        </w:rPr>
        <w:t>e</w:t>
      </w:r>
      <w:r w:rsidR="00090232" w:rsidRPr="00090232">
        <w:rPr>
          <w:rFonts w:ascii="Arial" w:hAnsi="Arial" w:cs="Arial"/>
          <w:color w:val="000000"/>
          <w:sz w:val="20"/>
        </w:rPr>
        <w:t xml:space="preserve">xcept for final contests listed for more than </w:t>
      </w:r>
      <w:r>
        <w:rPr>
          <w:rFonts w:ascii="Arial" w:hAnsi="Arial" w:cs="Arial"/>
          <w:color w:val="000000"/>
          <w:sz w:val="20"/>
        </w:rPr>
        <w:t>4</w:t>
      </w:r>
      <w:r w:rsidR="00090232" w:rsidRPr="00090232">
        <w:rPr>
          <w:rFonts w:ascii="Arial" w:hAnsi="Arial" w:cs="Arial"/>
          <w:color w:val="000000"/>
          <w:sz w:val="20"/>
        </w:rPr>
        <w:t xml:space="preserve"> days</w:t>
      </w:r>
      <w:r>
        <w:rPr>
          <w:rFonts w:ascii="Arial" w:hAnsi="Arial" w:cs="Arial"/>
          <w:color w:val="000000"/>
          <w:sz w:val="20"/>
        </w:rPr>
        <w:t>.</w:t>
      </w:r>
    </w:p>
    <w:p w14:paraId="66ABD6E5" w14:textId="44DED1FC" w:rsidR="00A51F56" w:rsidRDefault="00A51F56" w:rsidP="00373AD0">
      <w:pPr>
        <w:spacing w:before="60"/>
        <w:jc w:val="both"/>
        <w:rPr>
          <w:rFonts w:ascii="Arial" w:hAnsi="Arial" w:cs="Arial"/>
          <w:color w:val="000000"/>
          <w:sz w:val="20"/>
        </w:rPr>
      </w:pPr>
      <w:r w:rsidRPr="00A51F56">
        <w:rPr>
          <w:rFonts w:ascii="Arial" w:hAnsi="Arial" w:cs="Arial"/>
          <w:b/>
          <w:bCs/>
          <w:color w:val="FF0000"/>
          <w:sz w:val="20"/>
          <w:u w:val="single"/>
        </w:rPr>
        <w:t>Wyndham</w:t>
      </w:r>
      <w:r>
        <w:rPr>
          <w:rFonts w:ascii="Arial" w:hAnsi="Arial" w:cs="Arial"/>
          <w:color w:val="000000"/>
          <w:sz w:val="20"/>
        </w:rPr>
        <w:t xml:space="preserve">: </w:t>
      </w:r>
      <w:r w:rsidRPr="00090232">
        <w:rPr>
          <w:rFonts w:ascii="Arial" w:hAnsi="Arial" w:cs="Arial"/>
          <w:color w:val="000000"/>
          <w:sz w:val="20"/>
        </w:rPr>
        <w:t xml:space="preserve">CP cases originating from </w:t>
      </w:r>
      <w:r>
        <w:rPr>
          <w:rFonts w:ascii="Arial" w:hAnsi="Arial" w:cs="Arial"/>
          <w:color w:val="000000"/>
          <w:sz w:val="20"/>
        </w:rPr>
        <w:t xml:space="preserve">that part of DFFH’s Footscray office dealing with the Wyndham &amp; Hobson’s Bay local government areas (all other LGAs under DFFH’s Footscray office are generally </w:t>
      </w:r>
    </w:p>
    <w:p w14:paraId="749AE4DB" w14:textId="53E85277" w:rsidR="00A51F56" w:rsidRDefault="00090232" w:rsidP="00090232">
      <w:pPr>
        <w:jc w:val="both"/>
        <w:rPr>
          <w:rFonts w:ascii="Arial" w:hAnsi="Arial" w:cs="Arial"/>
          <w:color w:val="000000"/>
          <w:sz w:val="20"/>
        </w:rPr>
      </w:pPr>
      <w:r w:rsidRPr="00090232">
        <w:rPr>
          <w:rFonts w:ascii="Arial" w:hAnsi="Arial" w:cs="Arial"/>
          <w:color w:val="000000"/>
          <w:sz w:val="20"/>
        </w:rPr>
        <w:t xml:space="preserve">heard at </w:t>
      </w:r>
      <w:r w:rsidR="00A51F56">
        <w:rPr>
          <w:rFonts w:ascii="Arial" w:hAnsi="Arial" w:cs="Arial"/>
          <w:b/>
          <w:bCs/>
          <w:color w:val="FF0000"/>
          <w:sz w:val="20"/>
        </w:rPr>
        <w:t>Melbourne</w:t>
      </w:r>
      <w:r w:rsidR="00A51F56">
        <w:rPr>
          <w:rFonts w:ascii="Arial" w:hAnsi="Arial" w:cs="Arial"/>
          <w:color w:val="000000"/>
          <w:sz w:val="20"/>
        </w:rPr>
        <w:t>).</w:t>
      </w:r>
    </w:p>
    <w:p w14:paraId="496776CD" w14:textId="6A3343DD" w:rsidR="00A51F56" w:rsidRDefault="00373AD0" w:rsidP="00373AD0">
      <w:pPr>
        <w:spacing w:before="60"/>
        <w:jc w:val="both"/>
        <w:rPr>
          <w:rFonts w:ascii="Arial" w:hAnsi="Arial" w:cs="Arial"/>
          <w:color w:val="000000"/>
          <w:sz w:val="20"/>
        </w:rPr>
      </w:pPr>
      <w:r w:rsidRPr="00373AD0">
        <w:rPr>
          <w:rFonts w:ascii="Arial" w:hAnsi="Arial" w:cs="Arial"/>
          <w:b/>
          <w:bCs/>
          <w:color w:val="FF0000"/>
          <w:sz w:val="20"/>
          <w:u w:val="single"/>
        </w:rPr>
        <w:t>Dandenong</w:t>
      </w:r>
      <w:r w:rsidR="00850F5C">
        <w:rPr>
          <w:rFonts w:ascii="Arial" w:hAnsi="Arial" w:cs="Arial"/>
          <w:b/>
          <w:bCs/>
          <w:color w:val="FF0000"/>
          <w:sz w:val="20"/>
          <w:u w:val="single"/>
        </w:rPr>
        <w:t xml:space="preserve"> CC</w:t>
      </w:r>
      <w:r>
        <w:rPr>
          <w:rFonts w:ascii="Arial" w:hAnsi="Arial" w:cs="Arial"/>
          <w:color w:val="000000"/>
          <w:sz w:val="20"/>
        </w:rPr>
        <w:t>: CP cases originating from DFFH’s Dandenong office except for final contests listed for more than 5 days.</w:t>
      </w:r>
    </w:p>
    <w:p w14:paraId="1FF2A00F" w14:textId="5219E42C" w:rsidR="00373AD0" w:rsidRDefault="00373AD0" w:rsidP="00373AD0">
      <w:pPr>
        <w:spacing w:before="60"/>
        <w:jc w:val="both"/>
        <w:rPr>
          <w:rFonts w:ascii="Arial" w:hAnsi="Arial" w:cs="Arial"/>
          <w:color w:val="000000"/>
          <w:sz w:val="20"/>
        </w:rPr>
      </w:pPr>
      <w:r w:rsidRPr="00373AD0">
        <w:rPr>
          <w:rFonts w:ascii="Arial" w:hAnsi="Arial" w:cs="Arial"/>
          <w:b/>
          <w:bCs/>
          <w:color w:val="FF0000"/>
          <w:sz w:val="20"/>
          <w:u w:val="single"/>
        </w:rPr>
        <w:t>Moorabbin</w:t>
      </w:r>
      <w:r w:rsidR="00850F5C">
        <w:rPr>
          <w:rFonts w:ascii="Arial" w:hAnsi="Arial" w:cs="Arial"/>
          <w:b/>
          <w:bCs/>
          <w:color w:val="FF0000"/>
          <w:sz w:val="20"/>
          <w:u w:val="single"/>
        </w:rPr>
        <w:t xml:space="preserve"> JC</w:t>
      </w:r>
      <w:r>
        <w:rPr>
          <w:rFonts w:ascii="Arial" w:hAnsi="Arial" w:cs="Arial"/>
          <w:color w:val="000000"/>
          <w:sz w:val="20"/>
        </w:rPr>
        <w:t>: CP cases originating from DFFH’s Frankston &amp; Cheltenham offices.</w:t>
      </w:r>
    </w:p>
    <w:p w14:paraId="772F5B3C" w14:textId="571ADD45" w:rsidR="00373AD0" w:rsidRDefault="00373AD0" w:rsidP="00373AD0">
      <w:pPr>
        <w:spacing w:before="60"/>
        <w:jc w:val="both"/>
        <w:rPr>
          <w:rFonts w:ascii="Arial" w:hAnsi="Arial" w:cs="Arial"/>
          <w:color w:val="000000"/>
          <w:sz w:val="20"/>
        </w:rPr>
      </w:pPr>
      <w:r w:rsidRPr="00373AD0">
        <w:rPr>
          <w:rFonts w:ascii="Arial" w:hAnsi="Arial" w:cs="Arial"/>
          <w:b/>
          <w:bCs/>
          <w:color w:val="FF0000"/>
          <w:sz w:val="20"/>
          <w:u w:val="single"/>
        </w:rPr>
        <w:t>Melbourne</w:t>
      </w:r>
      <w:r w:rsidR="00850F5C">
        <w:rPr>
          <w:rFonts w:ascii="Arial" w:hAnsi="Arial" w:cs="Arial"/>
          <w:b/>
          <w:bCs/>
          <w:color w:val="FF0000"/>
          <w:sz w:val="20"/>
          <w:u w:val="single"/>
        </w:rPr>
        <w:t xml:space="preserve"> CC</w:t>
      </w:r>
      <w:r>
        <w:rPr>
          <w:rFonts w:ascii="Arial" w:hAnsi="Arial" w:cs="Arial"/>
          <w:color w:val="000000"/>
          <w:sz w:val="20"/>
        </w:rPr>
        <w:t>: All other CP cases originating in the extended metropolitan area.</w:t>
      </w:r>
    </w:p>
    <w:p w14:paraId="714ED7CF" w14:textId="77777777" w:rsidR="00373AD0" w:rsidRDefault="00373AD0" w:rsidP="00373AD0">
      <w:pPr>
        <w:spacing w:before="60"/>
        <w:jc w:val="both"/>
        <w:rPr>
          <w:rFonts w:ascii="Arial" w:hAnsi="Arial" w:cs="Arial"/>
          <w:color w:val="000000"/>
          <w:sz w:val="20"/>
        </w:rPr>
      </w:pPr>
    </w:p>
    <w:p w14:paraId="6128A40B" w14:textId="081A16C5" w:rsidR="00A51F56" w:rsidRDefault="000A53B9" w:rsidP="00373AD0">
      <w:pPr>
        <w:shd w:val="clear" w:color="auto" w:fill="000000" w:themeFill="text1"/>
        <w:jc w:val="center"/>
        <w:rPr>
          <w:rFonts w:ascii="Arial" w:hAnsi="Arial" w:cs="Arial"/>
          <w:color w:val="000000"/>
          <w:sz w:val="20"/>
        </w:rPr>
      </w:pPr>
      <w:r>
        <w:rPr>
          <w:rFonts w:ascii="Arial" w:hAnsi="Arial" w:cs="Arial"/>
          <w:b/>
          <w:bCs/>
          <w:color w:val="FFFFFF" w:themeColor="background1"/>
          <w:sz w:val="20"/>
        </w:rPr>
        <w:t xml:space="preserve">METROPOLITAN </w:t>
      </w:r>
      <w:r w:rsidR="00373AD0">
        <w:rPr>
          <w:rFonts w:ascii="Arial" w:hAnsi="Arial" w:cs="Arial"/>
          <w:b/>
          <w:bCs/>
          <w:color w:val="FFFFFF" w:themeColor="background1"/>
          <w:sz w:val="20"/>
        </w:rPr>
        <w:t>CRIMINAL DIVISION AND INTERVENTION ORDER [IVO] CASES</w:t>
      </w:r>
    </w:p>
    <w:p w14:paraId="6656309F" w14:textId="77777777" w:rsidR="00373AD0" w:rsidRDefault="00373AD0" w:rsidP="0094108A">
      <w:pPr>
        <w:jc w:val="both"/>
        <w:rPr>
          <w:rFonts w:ascii="Arial" w:hAnsi="Arial" w:cs="Arial"/>
          <w:sz w:val="20"/>
        </w:rPr>
      </w:pPr>
    </w:p>
    <w:p w14:paraId="0E79088C" w14:textId="4609C718" w:rsidR="000B5587" w:rsidRPr="000B5587" w:rsidRDefault="003F3E2C" w:rsidP="00794632">
      <w:pPr>
        <w:jc w:val="both"/>
        <w:rPr>
          <w:rFonts w:ascii="Arial" w:hAnsi="Arial" w:cs="Arial"/>
          <w:color w:val="000000"/>
          <w:sz w:val="20"/>
        </w:rPr>
      </w:pPr>
      <w:r>
        <w:rPr>
          <w:rFonts w:ascii="Arial" w:hAnsi="Arial" w:cs="Arial"/>
          <w:sz w:val="20"/>
        </w:rPr>
        <w:t>From 10/11/2025 all</w:t>
      </w:r>
      <w:r w:rsidR="0094108A">
        <w:rPr>
          <w:rFonts w:ascii="Arial" w:hAnsi="Arial" w:cs="Arial"/>
          <w:sz w:val="20"/>
        </w:rPr>
        <w:t xml:space="preserve"> </w:t>
      </w:r>
      <w:r w:rsidR="000A53B9">
        <w:rPr>
          <w:rFonts w:ascii="Arial" w:hAnsi="Arial" w:cs="Arial"/>
          <w:sz w:val="20"/>
        </w:rPr>
        <w:t xml:space="preserve">metropolitan </w:t>
      </w:r>
      <w:r w:rsidR="0094108A">
        <w:rPr>
          <w:rFonts w:ascii="Arial" w:hAnsi="Arial" w:cs="Arial"/>
          <w:sz w:val="20"/>
        </w:rPr>
        <w:t>Children’s Court Criminal Division cases and IVO cases</w:t>
      </w:r>
      <w:r w:rsidR="002F328B" w:rsidRPr="002F328B">
        <w:rPr>
          <w:rFonts w:ascii="Arial" w:hAnsi="Arial" w:cs="Arial"/>
          <w:color w:val="000000" w:themeColor="text1"/>
          <w:sz w:val="20"/>
          <w:szCs w:val="40"/>
          <w14:shadow w14:blurRad="50800" w14:dist="38100" w14:dir="2700000" w14:sx="100000" w14:sy="100000" w14:kx="0" w14:ky="0" w14:algn="tl">
            <w14:srgbClr w14:val="000000">
              <w14:alpha w14:val="60000"/>
            </w14:srgbClr>
          </w14:shadow>
        </w:rPr>
        <w:t xml:space="preserve"> </w:t>
      </w:r>
      <w:r w:rsidR="0094108A">
        <w:rPr>
          <w:rFonts w:ascii="Arial" w:hAnsi="Arial" w:cs="Arial"/>
          <w:sz w:val="20"/>
        </w:rPr>
        <w:t xml:space="preserve">involving a child respondent </w:t>
      </w:r>
      <w:r>
        <w:rPr>
          <w:rFonts w:ascii="Arial" w:hAnsi="Arial" w:cs="Arial"/>
          <w:sz w:val="20"/>
        </w:rPr>
        <w:t>are</w:t>
      </w:r>
      <w:r w:rsidR="0094108A">
        <w:rPr>
          <w:rFonts w:ascii="Arial" w:hAnsi="Arial" w:cs="Arial"/>
          <w:sz w:val="20"/>
        </w:rPr>
        <w:t xml:space="preserve"> heard at either</w:t>
      </w:r>
      <w:r w:rsidR="00CA6976">
        <w:rPr>
          <w:rFonts w:ascii="Arial" w:hAnsi="Arial" w:cs="Arial"/>
          <w:sz w:val="20"/>
        </w:rPr>
        <w:t xml:space="preserve"> </w:t>
      </w:r>
      <w:r w:rsidR="00CA6976" w:rsidRPr="00CA6976">
        <w:rPr>
          <w:rFonts w:ascii="Arial" w:hAnsi="Arial" w:cs="Arial"/>
          <w:b/>
          <w:bCs/>
          <w:color w:val="FF0000"/>
          <w:sz w:val="20"/>
        </w:rPr>
        <w:t xml:space="preserve">Melbourne CC, Broadmeadows, </w:t>
      </w:r>
      <w:r>
        <w:rPr>
          <w:rFonts w:ascii="Arial" w:hAnsi="Arial" w:cs="Arial"/>
          <w:b/>
          <w:bCs/>
          <w:color w:val="FF0000"/>
          <w:sz w:val="20"/>
        </w:rPr>
        <w:t xml:space="preserve">Wyndham, </w:t>
      </w:r>
      <w:r w:rsidR="00CA6976" w:rsidRPr="00CA6976">
        <w:rPr>
          <w:rFonts w:ascii="Arial" w:hAnsi="Arial" w:cs="Arial"/>
          <w:b/>
          <w:bCs/>
          <w:color w:val="FF0000"/>
          <w:sz w:val="20"/>
        </w:rPr>
        <w:t xml:space="preserve">Dandenong CC </w:t>
      </w:r>
      <w:r w:rsidR="00CA6976" w:rsidRPr="00CA6976">
        <w:rPr>
          <w:rFonts w:ascii="Arial" w:hAnsi="Arial" w:cs="Arial"/>
          <w:color w:val="000000" w:themeColor="text1"/>
          <w:sz w:val="20"/>
        </w:rPr>
        <w:t>or</w:t>
      </w:r>
      <w:r w:rsidR="00CA6976" w:rsidRPr="00CA6976">
        <w:rPr>
          <w:rFonts w:ascii="Arial" w:hAnsi="Arial" w:cs="Arial"/>
          <w:b/>
          <w:bCs/>
          <w:color w:val="FF0000"/>
          <w:sz w:val="20"/>
        </w:rPr>
        <w:t xml:space="preserve"> Moorabbin JC</w:t>
      </w:r>
      <w:r w:rsidR="0094108A">
        <w:rPr>
          <w:rFonts w:ascii="Arial" w:hAnsi="Arial" w:cs="Arial"/>
          <w:sz w:val="20"/>
        </w:rPr>
        <w:t xml:space="preserve"> depending on the type of case and the catchment area in which the child currently resides</w:t>
      </w:r>
      <w:r w:rsidR="00CA6976">
        <w:rPr>
          <w:rFonts w:ascii="Arial" w:hAnsi="Arial" w:cs="Arial"/>
          <w:sz w:val="20"/>
        </w:rPr>
        <w:t>. See</w:t>
      </w:r>
      <w:r w:rsidR="000B5587">
        <w:rPr>
          <w:rFonts w:ascii="Arial" w:hAnsi="Arial" w:cs="Arial"/>
          <w:sz w:val="20"/>
        </w:rPr>
        <w:t xml:space="preserve"> Practice Direction No.2 of 2025, the following map and chart and </w:t>
      </w:r>
      <w:bookmarkStart w:id="325" w:name="_Hlk213843155"/>
      <w:bookmarkEnd w:id="323"/>
      <w:r w:rsidR="000B5587">
        <w:rPr>
          <w:rFonts w:ascii="Arial" w:hAnsi="Arial" w:cs="Arial"/>
          <w:color w:val="000000"/>
          <w:sz w:val="20"/>
        </w:rPr>
        <w:t xml:space="preserve">the </w:t>
      </w:r>
      <w:r w:rsidR="000B5587" w:rsidRPr="000B5587">
        <w:rPr>
          <w:rFonts w:ascii="Arial" w:hAnsi="Arial" w:cs="Arial"/>
          <w:sz w:val="20"/>
        </w:rPr>
        <w:t>Children's Court Metropolitan Crime Listing Tool</w:t>
      </w:r>
      <w:r w:rsidR="000B5587" w:rsidRPr="000B5587">
        <w:rPr>
          <w:rFonts w:ascii="Arial" w:hAnsi="Arial" w:cs="Arial"/>
          <w:sz w:val="18"/>
          <w:szCs w:val="22"/>
        </w:rPr>
        <w:t xml:space="preserve"> </w:t>
      </w:r>
      <w:r w:rsidR="000B5587" w:rsidRPr="000B5587">
        <w:rPr>
          <w:rFonts w:ascii="Arial" w:hAnsi="Arial" w:cs="Arial"/>
          <w:sz w:val="20"/>
        </w:rPr>
        <w:t>on the Children’s Court of Victoria website</w:t>
      </w:r>
      <w:r w:rsidR="000B5587">
        <w:rPr>
          <w:rFonts w:ascii="Arial" w:hAnsi="Arial" w:cs="Arial"/>
          <w:sz w:val="20"/>
        </w:rPr>
        <w:t>.</w:t>
      </w:r>
    </w:p>
    <w:p w14:paraId="263BB15D" w14:textId="77777777" w:rsidR="000B5587" w:rsidRPr="00A20ED1" w:rsidRDefault="000B5587" w:rsidP="00794632">
      <w:pPr>
        <w:jc w:val="both"/>
        <w:rPr>
          <w:rFonts w:ascii="Arial" w:hAnsi="Arial" w:cs="Arial"/>
          <w:sz w:val="18"/>
          <w:szCs w:val="22"/>
        </w:rPr>
      </w:pPr>
    </w:p>
    <w:bookmarkEnd w:id="324"/>
    <w:p w14:paraId="634F0F35" w14:textId="14C61F42" w:rsidR="006D439A" w:rsidRPr="00321476" w:rsidRDefault="001A25AD" w:rsidP="008838B4">
      <w:pPr>
        <w:pStyle w:val="Heading2"/>
        <w:shd w:val="clear" w:color="auto" w:fill="DDDDDD"/>
        <w:tabs>
          <w:tab w:val="left" w:pos="567"/>
        </w:tabs>
        <w:ind w:left="28" w:right="-125"/>
        <w:rPr>
          <w:rFonts w:ascii="Arial" w:hAnsi="Arial" w:cs="Arial"/>
          <w:color w:val="DDDDDD"/>
          <w:sz w:val="20"/>
          <w:szCs w:val="16"/>
          <w:lang w:val="en-AU"/>
        </w:rPr>
      </w:pPr>
      <w:r w:rsidRPr="00321476">
        <w:rPr>
          <w:rFonts w:ascii="Arial" w:hAnsi="Arial" w:cs="Arial"/>
          <w:color w:val="DDDDDD"/>
          <w:sz w:val="20"/>
          <w:szCs w:val="16"/>
          <w:lang w:val="en-AU"/>
        </w:rPr>
        <w:lastRenderedPageBreak/>
        <w:t xml:space="preserve">                       </w:t>
      </w:r>
      <w:r w:rsidR="006D439A" w:rsidRPr="006D439A">
        <w:rPr>
          <w:rFonts w:ascii="Arial" w:hAnsi="Arial" w:cs="Arial"/>
          <w:noProof/>
          <w:sz w:val="20"/>
          <w:szCs w:val="16"/>
          <w:bdr w:val="single" w:sz="4" w:space="0" w:color="auto"/>
          <w:lang w:val="en-AU"/>
        </w:rPr>
        <w:drawing>
          <wp:inline distT="0" distB="0" distL="0" distR="0" wp14:anchorId="6B0748BB" wp14:editId="03487116">
            <wp:extent cx="4046400" cy="2933559"/>
            <wp:effectExtent l="0" t="0" r="0" b="635"/>
            <wp:docPr id="2088409562" name="Picture 2" descr="A map of different colored region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8409562" name="Picture 2" descr="A map of different colored regions&#10;&#10;Description automatically generated"/>
                    <pic:cNvPicPr>
                      <a:picLocks noChangeAspect="1" noChangeArrowheads="1"/>
                    </pic:cNvPicPr>
                  </pic:nvPicPr>
                  <pic:blipFill rotWithShape="1">
                    <a:blip r:embed="rId9">
                      <a:extLst>
                        <a:ext uri="{28A0092B-C50C-407E-A947-70E740481C1C}">
                          <a14:useLocalDpi xmlns:a14="http://schemas.microsoft.com/office/drawing/2010/main" val="0"/>
                        </a:ext>
                      </a:extLst>
                    </a:blip>
                    <a:srcRect l="2607" r="2415"/>
                    <a:stretch/>
                  </pic:blipFill>
                  <pic:spPr bwMode="auto">
                    <a:xfrm>
                      <a:off x="0" y="0"/>
                      <a:ext cx="4046400" cy="2933559"/>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92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96"/>
        <w:gridCol w:w="4688"/>
        <w:gridCol w:w="1706"/>
        <w:gridCol w:w="1531"/>
      </w:tblGrid>
      <w:tr w:rsidR="002D165C" w:rsidRPr="007A48FF" w14:paraId="511F688F" w14:textId="77777777" w:rsidTr="00BF7E74">
        <w:trPr>
          <w:trHeight w:val="246"/>
        </w:trPr>
        <w:tc>
          <w:tcPr>
            <w:tcW w:w="1296" w:type="dxa"/>
            <w:tcBorders>
              <w:right w:val="single" w:sz="8" w:space="0" w:color="FFFFFF" w:themeColor="background1"/>
            </w:tcBorders>
            <w:shd w:val="clear" w:color="auto" w:fill="003865"/>
          </w:tcPr>
          <w:p w14:paraId="52EA6659" w14:textId="73210BD6" w:rsidR="002D165C" w:rsidRDefault="002D165C" w:rsidP="00935948">
            <w:pPr>
              <w:keepNext/>
              <w:keepLines/>
              <w:jc w:val="center"/>
              <w:rPr>
                <w:rFonts w:ascii="Arial" w:hAnsi="Arial"/>
                <w:b/>
                <w:bCs/>
                <w:sz w:val="20"/>
              </w:rPr>
            </w:pPr>
            <w:r>
              <w:rPr>
                <w:rFonts w:ascii="Arial" w:hAnsi="Arial"/>
                <w:b/>
                <w:bCs/>
                <w:sz w:val="20"/>
              </w:rPr>
              <w:t>Catchment area</w:t>
            </w:r>
          </w:p>
        </w:tc>
        <w:tc>
          <w:tcPr>
            <w:tcW w:w="4688" w:type="dxa"/>
            <w:tcBorders>
              <w:left w:val="single" w:sz="8" w:space="0" w:color="FFFFFF" w:themeColor="background1"/>
              <w:right w:val="single" w:sz="8" w:space="0" w:color="FFFFFF" w:themeColor="background1"/>
            </w:tcBorders>
            <w:shd w:val="clear" w:color="auto" w:fill="003865"/>
          </w:tcPr>
          <w:p w14:paraId="7F13087D" w14:textId="0C87A2F5" w:rsidR="002D165C" w:rsidRDefault="002D165C" w:rsidP="0020729F">
            <w:pPr>
              <w:spacing w:after="20"/>
              <w:jc w:val="center"/>
              <w:rPr>
                <w:rFonts w:ascii="Arial" w:hAnsi="Arial"/>
                <w:b/>
                <w:bCs/>
                <w:sz w:val="20"/>
              </w:rPr>
            </w:pPr>
            <w:r>
              <w:rPr>
                <w:rFonts w:ascii="Arial" w:hAnsi="Arial"/>
                <w:b/>
                <w:bCs/>
                <w:sz w:val="20"/>
              </w:rPr>
              <w:t>Child’s current residence postcodes</w:t>
            </w:r>
          </w:p>
        </w:tc>
        <w:tc>
          <w:tcPr>
            <w:tcW w:w="1706" w:type="dxa"/>
            <w:tcBorders>
              <w:left w:val="single" w:sz="8" w:space="0" w:color="FFFFFF" w:themeColor="background1"/>
              <w:right w:val="single" w:sz="8" w:space="0" w:color="FFFFFF" w:themeColor="background1"/>
            </w:tcBorders>
            <w:shd w:val="clear" w:color="auto" w:fill="003865"/>
          </w:tcPr>
          <w:p w14:paraId="18399527" w14:textId="3684F272" w:rsidR="002D165C" w:rsidRDefault="002D165C" w:rsidP="000274EC">
            <w:pPr>
              <w:jc w:val="center"/>
              <w:rPr>
                <w:rFonts w:ascii="Arial" w:hAnsi="Arial"/>
                <w:b/>
                <w:bCs/>
                <w:sz w:val="20"/>
              </w:rPr>
            </w:pPr>
            <w:r>
              <w:rPr>
                <w:rFonts w:ascii="Arial" w:hAnsi="Arial"/>
                <w:b/>
                <w:bCs/>
                <w:sz w:val="20"/>
              </w:rPr>
              <w:t xml:space="preserve">Court </w:t>
            </w:r>
            <w:r w:rsidRPr="007A48FF">
              <w:rPr>
                <w:rFonts w:ascii="Arial" w:hAnsi="Arial"/>
                <w:b/>
                <w:bCs/>
                <w:sz w:val="20"/>
              </w:rPr>
              <w:t>Venue</w:t>
            </w:r>
            <w:r>
              <w:rPr>
                <w:rFonts w:ascii="Arial" w:hAnsi="Arial"/>
                <w:b/>
                <w:bCs/>
                <w:sz w:val="20"/>
              </w:rPr>
              <w:t xml:space="preserve">: </w:t>
            </w:r>
            <w:r w:rsidRPr="007A48FF">
              <w:rPr>
                <w:rFonts w:ascii="Arial" w:hAnsi="Arial"/>
                <w:b/>
                <w:bCs/>
                <w:sz w:val="20"/>
              </w:rPr>
              <w:t>Summons</w:t>
            </w:r>
            <w:r>
              <w:rPr>
                <w:rFonts w:ascii="Arial" w:hAnsi="Arial"/>
                <w:b/>
                <w:bCs/>
                <w:sz w:val="20"/>
              </w:rPr>
              <w:t xml:space="preserve">/ </w:t>
            </w:r>
            <w:r w:rsidRPr="007A48FF">
              <w:rPr>
                <w:rFonts w:ascii="Arial" w:hAnsi="Arial"/>
                <w:b/>
                <w:bCs/>
                <w:sz w:val="20"/>
              </w:rPr>
              <w:t>Bail</w:t>
            </w:r>
            <w:r>
              <w:rPr>
                <w:rFonts w:ascii="Arial" w:hAnsi="Arial"/>
                <w:b/>
                <w:bCs/>
                <w:sz w:val="20"/>
              </w:rPr>
              <w:t> </w:t>
            </w:r>
            <w:r w:rsidRPr="007A48FF">
              <w:rPr>
                <w:rFonts w:ascii="Arial" w:hAnsi="Arial"/>
                <w:b/>
                <w:bCs/>
                <w:sz w:val="20"/>
              </w:rPr>
              <w:t>/</w:t>
            </w:r>
            <w:r>
              <w:rPr>
                <w:rFonts w:ascii="Arial" w:hAnsi="Arial"/>
                <w:b/>
                <w:bCs/>
                <w:sz w:val="20"/>
              </w:rPr>
              <w:t xml:space="preserve"> </w:t>
            </w:r>
            <w:r w:rsidRPr="007A48FF">
              <w:rPr>
                <w:rFonts w:ascii="Arial" w:hAnsi="Arial"/>
                <w:b/>
                <w:bCs/>
                <w:sz w:val="20"/>
              </w:rPr>
              <w:t>IVO</w:t>
            </w:r>
          </w:p>
        </w:tc>
        <w:tc>
          <w:tcPr>
            <w:tcW w:w="1531" w:type="dxa"/>
            <w:tcBorders>
              <w:left w:val="single" w:sz="8" w:space="0" w:color="FFFFFF" w:themeColor="background1"/>
            </w:tcBorders>
            <w:shd w:val="clear" w:color="auto" w:fill="003865"/>
          </w:tcPr>
          <w:p w14:paraId="1787D5BD" w14:textId="2555C46D" w:rsidR="002D165C" w:rsidRDefault="002D165C" w:rsidP="000274EC">
            <w:pPr>
              <w:jc w:val="center"/>
              <w:rPr>
                <w:rFonts w:ascii="Arial" w:hAnsi="Arial"/>
                <w:b/>
                <w:bCs/>
                <w:sz w:val="20"/>
              </w:rPr>
            </w:pPr>
            <w:r>
              <w:rPr>
                <w:rFonts w:ascii="Arial" w:hAnsi="Arial"/>
                <w:b/>
                <w:bCs/>
                <w:sz w:val="20"/>
              </w:rPr>
              <w:t xml:space="preserve">Court </w:t>
            </w:r>
            <w:r w:rsidRPr="007A48FF">
              <w:rPr>
                <w:rFonts w:ascii="Arial" w:hAnsi="Arial"/>
                <w:b/>
                <w:bCs/>
                <w:sz w:val="20"/>
              </w:rPr>
              <w:t>Venue</w:t>
            </w:r>
            <w:r>
              <w:rPr>
                <w:rFonts w:ascii="Arial" w:hAnsi="Arial"/>
                <w:b/>
                <w:bCs/>
                <w:sz w:val="20"/>
              </w:rPr>
              <w:t>:</w:t>
            </w:r>
            <w:r w:rsidRPr="007A48FF">
              <w:rPr>
                <w:rFonts w:ascii="Arial" w:hAnsi="Arial"/>
                <w:b/>
                <w:bCs/>
                <w:sz w:val="20"/>
              </w:rPr>
              <w:t xml:space="preserve"> Remands</w:t>
            </w:r>
          </w:p>
        </w:tc>
      </w:tr>
      <w:tr w:rsidR="002D165C" w:rsidRPr="007A48FF" w14:paraId="2566573E" w14:textId="77777777" w:rsidTr="009550D4">
        <w:tc>
          <w:tcPr>
            <w:tcW w:w="1296" w:type="dxa"/>
            <w:shd w:val="clear" w:color="auto" w:fill="FFCC99"/>
            <w:hideMark/>
          </w:tcPr>
          <w:p w14:paraId="1DF52F90" w14:textId="77777777" w:rsidR="002D165C" w:rsidRPr="007A48FF" w:rsidRDefault="002D165C" w:rsidP="0056718A">
            <w:pPr>
              <w:jc w:val="center"/>
              <w:rPr>
                <w:rFonts w:ascii="Arial" w:hAnsi="Arial"/>
                <w:b/>
                <w:bCs/>
                <w:sz w:val="20"/>
              </w:rPr>
            </w:pPr>
            <w:r w:rsidRPr="007A48FF">
              <w:rPr>
                <w:rFonts w:ascii="Arial" w:hAnsi="Arial"/>
                <w:b/>
                <w:bCs/>
                <w:sz w:val="20"/>
              </w:rPr>
              <w:t>Central</w:t>
            </w:r>
          </w:p>
        </w:tc>
        <w:tc>
          <w:tcPr>
            <w:tcW w:w="4688" w:type="dxa"/>
          </w:tcPr>
          <w:p w14:paraId="622E62CE" w14:textId="174F1747" w:rsidR="002D165C" w:rsidRPr="00150904" w:rsidRDefault="002D165C" w:rsidP="002D165C">
            <w:pPr>
              <w:jc w:val="both"/>
              <w:rPr>
                <w:rFonts w:ascii="Arial" w:hAnsi="Arial"/>
                <w:b/>
                <w:bCs/>
                <w:sz w:val="20"/>
              </w:rPr>
            </w:pPr>
            <w:r>
              <w:rPr>
                <w:rFonts w:ascii="Arial" w:hAnsi="Arial"/>
                <w:sz w:val="20"/>
              </w:rPr>
              <w:t xml:space="preserve">3000–3011, 3012 (except </w:t>
            </w:r>
            <w:proofErr w:type="spellStart"/>
            <w:r>
              <w:rPr>
                <w:rFonts w:ascii="Arial" w:hAnsi="Arial"/>
                <w:sz w:val="20"/>
              </w:rPr>
              <w:t>Maidstone+Tottenham</w:t>
            </w:r>
            <w:proofErr w:type="spellEnd"/>
            <w:r>
              <w:rPr>
                <w:rFonts w:ascii="Arial" w:hAnsi="Arial"/>
                <w:sz w:val="20"/>
              </w:rPr>
              <w:t>), 3013–3018, 3019 (Braybrook North), 3025, 3028, 3031, 3032 (except Maribyrnong), 3050–3057, 3065–3071, 3101–3104, 3121–3124, 3126, 3141–3142, 3146, 3147 (Ashburton), 3181–3184, 3205–3207</w:t>
            </w:r>
          </w:p>
        </w:tc>
        <w:tc>
          <w:tcPr>
            <w:tcW w:w="1706" w:type="dxa"/>
            <w:shd w:val="clear" w:color="auto" w:fill="FFCC99"/>
            <w:hideMark/>
          </w:tcPr>
          <w:p w14:paraId="28915B38" w14:textId="77777777" w:rsidR="002D165C" w:rsidRPr="00150904" w:rsidRDefault="002D165C" w:rsidP="000274EC">
            <w:pPr>
              <w:jc w:val="center"/>
              <w:rPr>
                <w:rFonts w:ascii="Arial" w:hAnsi="Arial"/>
                <w:b/>
                <w:bCs/>
                <w:sz w:val="20"/>
              </w:rPr>
            </w:pPr>
            <w:r w:rsidRPr="00150904">
              <w:rPr>
                <w:rFonts w:ascii="Arial" w:hAnsi="Arial"/>
                <w:b/>
                <w:bCs/>
                <w:sz w:val="20"/>
              </w:rPr>
              <w:t>Melbourne</w:t>
            </w:r>
          </w:p>
        </w:tc>
        <w:tc>
          <w:tcPr>
            <w:tcW w:w="1531" w:type="dxa"/>
            <w:shd w:val="clear" w:color="auto" w:fill="FFCC99"/>
            <w:hideMark/>
          </w:tcPr>
          <w:p w14:paraId="6B6539C6" w14:textId="77777777" w:rsidR="002D165C" w:rsidRPr="00150904" w:rsidRDefault="002D165C" w:rsidP="000274EC">
            <w:pPr>
              <w:jc w:val="center"/>
              <w:rPr>
                <w:rFonts w:ascii="Arial" w:hAnsi="Arial"/>
                <w:b/>
                <w:bCs/>
                <w:sz w:val="20"/>
              </w:rPr>
            </w:pPr>
            <w:r w:rsidRPr="00150904">
              <w:rPr>
                <w:rFonts w:ascii="Arial" w:hAnsi="Arial"/>
                <w:b/>
                <w:bCs/>
                <w:sz w:val="20"/>
              </w:rPr>
              <w:t>Melbourne</w:t>
            </w:r>
          </w:p>
        </w:tc>
      </w:tr>
      <w:tr w:rsidR="002D165C" w:rsidRPr="007A48FF" w14:paraId="057B3134" w14:textId="77777777" w:rsidTr="00DF1962">
        <w:tc>
          <w:tcPr>
            <w:tcW w:w="1296" w:type="dxa"/>
            <w:shd w:val="clear" w:color="auto" w:fill="FF9B9D"/>
            <w:hideMark/>
          </w:tcPr>
          <w:p w14:paraId="622DB82B" w14:textId="77777777" w:rsidR="002D165C" w:rsidRPr="007A48FF" w:rsidRDefault="002D165C" w:rsidP="0056718A">
            <w:pPr>
              <w:jc w:val="center"/>
              <w:rPr>
                <w:rFonts w:ascii="Arial" w:hAnsi="Arial"/>
                <w:b/>
                <w:bCs/>
                <w:sz w:val="20"/>
              </w:rPr>
            </w:pPr>
            <w:r w:rsidRPr="007A48FF">
              <w:rPr>
                <w:rFonts w:ascii="Arial" w:hAnsi="Arial"/>
                <w:b/>
                <w:bCs/>
                <w:sz w:val="20"/>
              </w:rPr>
              <w:t>East</w:t>
            </w:r>
          </w:p>
        </w:tc>
        <w:tc>
          <w:tcPr>
            <w:tcW w:w="4688" w:type="dxa"/>
          </w:tcPr>
          <w:p w14:paraId="0EFF30E0" w14:textId="69198D78" w:rsidR="002D165C" w:rsidRPr="00150904" w:rsidRDefault="002D165C" w:rsidP="002D165C">
            <w:pPr>
              <w:jc w:val="both"/>
              <w:rPr>
                <w:rFonts w:ascii="Arial" w:hAnsi="Arial"/>
                <w:b/>
                <w:bCs/>
                <w:sz w:val="20"/>
              </w:rPr>
            </w:pPr>
            <w:r>
              <w:rPr>
                <w:rFonts w:ascii="Arial" w:hAnsi="Arial"/>
                <w:sz w:val="20"/>
              </w:rPr>
              <w:t>3106–3116, 3125, 3127–3140, 3147 (Ashwood), 3149–3160, 3170, 3178–3180, 3765–3779, 3782 (Clematis), 3785–3799</w:t>
            </w:r>
          </w:p>
        </w:tc>
        <w:tc>
          <w:tcPr>
            <w:tcW w:w="1706" w:type="dxa"/>
            <w:shd w:val="clear" w:color="auto" w:fill="FF9B9D"/>
            <w:hideMark/>
          </w:tcPr>
          <w:p w14:paraId="6F02C063" w14:textId="77777777" w:rsidR="002D165C" w:rsidRPr="00150904" w:rsidRDefault="002D165C" w:rsidP="000274EC">
            <w:pPr>
              <w:jc w:val="center"/>
              <w:rPr>
                <w:rFonts w:ascii="Arial" w:hAnsi="Arial"/>
                <w:b/>
                <w:bCs/>
                <w:sz w:val="20"/>
              </w:rPr>
            </w:pPr>
            <w:r w:rsidRPr="00150904">
              <w:rPr>
                <w:rFonts w:ascii="Arial" w:hAnsi="Arial"/>
                <w:b/>
                <w:bCs/>
                <w:sz w:val="20"/>
              </w:rPr>
              <w:t>Melbourne</w:t>
            </w:r>
          </w:p>
        </w:tc>
        <w:tc>
          <w:tcPr>
            <w:tcW w:w="1531" w:type="dxa"/>
            <w:shd w:val="clear" w:color="auto" w:fill="FF9B9D"/>
            <w:hideMark/>
          </w:tcPr>
          <w:p w14:paraId="579B8CF3" w14:textId="77777777" w:rsidR="002D165C" w:rsidRPr="00150904" w:rsidRDefault="002D165C" w:rsidP="000274EC">
            <w:pPr>
              <w:jc w:val="center"/>
              <w:rPr>
                <w:rFonts w:ascii="Arial" w:hAnsi="Arial"/>
                <w:b/>
                <w:bCs/>
                <w:sz w:val="20"/>
              </w:rPr>
            </w:pPr>
            <w:r w:rsidRPr="00150904">
              <w:rPr>
                <w:rFonts w:ascii="Arial" w:hAnsi="Arial"/>
                <w:b/>
                <w:bCs/>
                <w:sz w:val="20"/>
              </w:rPr>
              <w:t>Dandenong</w:t>
            </w:r>
          </w:p>
        </w:tc>
      </w:tr>
      <w:tr w:rsidR="002D165C" w:rsidRPr="007A48FF" w14:paraId="49664F85" w14:textId="77777777" w:rsidTr="00103D2F">
        <w:tc>
          <w:tcPr>
            <w:tcW w:w="1296" w:type="dxa"/>
            <w:shd w:val="clear" w:color="auto" w:fill="FFFFA3"/>
            <w:hideMark/>
          </w:tcPr>
          <w:p w14:paraId="621B5315" w14:textId="77777777" w:rsidR="002D165C" w:rsidRPr="007A48FF" w:rsidRDefault="002D165C" w:rsidP="0056718A">
            <w:pPr>
              <w:jc w:val="center"/>
              <w:rPr>
                <w:rFonts w:ascii="Arial" w:hAnsi="Arial"/>
                <w:b/>
                <w:bCs/>
                <w:sz w:val="20"/>
              </w:rPr>
            </w:pPr>
            <w:r w:rsidRPr="007A48FF">
              <w:rPr>
                <w:rFonts w:ascii="Arial" w:hAnsi="Arial"/>
                <w:b/>
                <w:bCs/>
                <w:sz w:val="20"/>
              </w:rPr>
              <w:t>West</w:t>
            </w:r>
          </w:p>
        </w:tc>
        <w:tc>
          <w:tcPr>
            <w:tcW w:w="4688" w:type="dxa"/>
          </w:tcPr>
          <w:p w14:paraId="4D4F3980" w14:textId="4B6E38AE" w:rsidR="002D165C" w:rsidRPr="00150904" w:rsidRDefault="002D165C" w:rsidP="002D165C">
            <w:pPr>
              <w:jc w:val="both"/>
              <w:rPr>
                <w:rFonts w:ascii="Arial" w:hAnsi="Arial"/>
                <w:b/>
                <w:bCs/>
                <w:sz w:val="20"/>
              </w:rPr>
            </w:pPr>
            <w:r>
              <w:rPr>
                <w:rFonts w:ascii="Arial" w:hAnsi="Arial"/>
                <w:sz w:val="20"/>
              </w:rPr>
              <w:t>3012 (</w:t>
            </w:r>
            <w:proofErr w:type="spellStart"/>
            <w:r>
              <w:rPr>
                <w:rFonts w:ascii="Arial" w:hAnsi="Arial"/>
                <w:sz w:val="20"/>
              </w:rPr>
              <w:t>Maidstone+Tottenham</w:t>
            </w:r>
            <w:proofErr w:type="spellEnd"/>
            <w:r>
              <w:rPr>
                <w:rFonts w:ascii="Arial" w:hAnsi="Arial"/>
                <w:sz w:val="20"/>
              </w:rPr>
              <w:t>), 3019 (Braybrook + Robinson), 3020–3023, 3032 (Maribyrnong), 3037–3038, 3335–3427</w:t>
            </w:r>
          </w:p>
        </w:tc>
        <w:tc>
          <w:tcPr>
            <w:tcW w:w="1706" w:type="dxa"/>
            <w:shd w:val="clear" w:color="auto" w:fill="FFFFA3"/>
            <w:hideMark/>
          </w:tcPr>
          <w:p w14:paraId="735DBA6A" w14:textId="77777777" w:rsidR="002D165C" w:rsidRPr="00150904" w:rsidRDefault="002D165C" w:rsidP="000274EC">
            <w:pPr>
              <w:jc w:val="center"/>
              <w:rPr>
                <w:rFonts w:ascii="Arial" w:hAnsi="Arial"/>
                <w:b/>
                <w:bCs/>
                <w:sz w:val="20"/>
              </w:rPr>
            </w:pPr>
            <w:r w:rsidRPr="00150904">
              <w:rPr>
                <w:rFonts w:ascii="Arial" w:hAnsi="Arial"/>
                <w:b/>
                <w:bCs/>
                <w:sz w:val="20"/>
              </w:rPr>
              <w:t>Melbourne</w:t>
            </w:r>
          </w:p>
        </w:tc>
        <w:tc>
          <w:tcPr>
            <w:tcW w:w="1531" w:type="dxa"/>
            <w:shd w:val="clear" w:color="auto" w:fill="FFFFA3"/>
            <w:hideMark/>
          </w:tcPr>
          <w:p w14:paraId="6DC56952" w14:textId="77777777" w:rsidR="002D165C" w:rsidRPr="00150904" w:rsidRDefault="002D165C" w:rsidP="000274EC">
            <w:pPr>
              <w:jc w:val="center"/>
              <w:rPr>
                <w:rFonts w:ascii="Arial" w:hAnsi="Arial"/>
                <w:b/>
                <w:bCs/>
                <w:sz w:val="20"/>
              </w:rPr>
            </w:pPr>
            <w:r w:rsidRPr="00150904">
              <w:rPr>
                <w:rFonts w:ascii="Arial" w:hAnsi="Arial"/>
                <w:b/>
                <w:bCs/>
                <w:sz w:val="20"/>
              </w:rPr>
              <w:t>Melbourne</w:t>
            </w:r>
          </w:p>
        </w:tc>
      </w:tr>
      <w:tr w:rsidR="002D165C" w:rsidRPr="007A48FF" w14:paraId="14C20479" w14:textId="77777777" w:rsidTr="00CD18F3">
        <w:tc>
          <w:tcPr>
            <w:tcW w:w="1296" w:type="dxa"/>
            <w:shd w:val="clear" w:color="auto" w:fill="FBE4D5"/>
            <w:hideMark/>
          </w:tcPr>
          <w:p w14:paraId="75058E56" w14:textId="77777777" w:rsidR="002D165C" w:rsidRPr="007A48FF" w:rsidRDefault="002D165C" w:rsidP="0056718A">
            <w:pPr>
              <w:jc w:val="center"/>
              <w:rPr>
                <w:rFonts w:ascii="Arial" w:hAnsi="Arial"/>
                <w:b/>
                <w:bCs/>
                <w:sz w:val="20"/>
              </w:rPr>
            </w:pPr>
            <w:r w:rsidRPr="007A48FF">
              <w:rPr>
                <w:rFonts w:ascii="Arial" w:hAnsi="Arial"/>
                <w:b/>
                <w:bCs/>
                <w:sz w:val="20"/>
              </w:rPr>
              <w:t>North East</w:t>
            </w:r>
          </w:p>
        </w:tc>
        <w:tc>
          <w:tcPr>
            <w:tcW w:w="4688" w:type="dxa"/>
          </w:tcPr>
          <w:p w14:paraId="71325E18" w14:textId="4CCAAE19" w:rsidR="002D165C" w:rsidRPr="00150904" w:rsidRDefault="002D165C" w:rsidP="002D165C">
            <w:pPr>
              <w:jc w:val="both"/>
              <w:rPr>
                <w:rFonts w:ascii="Arial" w:hAnsi="Arial"/>
                <w:b/>
                <w:bCs/>
                <w:sz w:val="20"/>
              </w:rPr>
            </w:pPr>
            <w:r>
              <w:rPr>
                <w:rFonts w:ascii="Arial" w:hAnsi="Arial"/>
                <w:sz w:val="20"/>
              </w:rPr>
              <w:t>3058 (Moreland), 3072–3099, 3105, 3750–3752, 3754–3755, 3757–3763</w:t>
            </w:r>
          </w:p>
        </w:tc>
        <w:tc>
          <w:tcPr>
            <w:tcW w:w="1706" w:type="dxa"/>
            <w:shd w:val="clear" w:color="auto" w:fill="FBE4D5"/>
            <w:hideMark/>
          </w:tcPr>
          <w:p w14:paraId="3450AB71" w14:textId="77777777" w:rsidR="002D165C" w:rsidRPr="00150904" w:rsidRDefault="002D165C" w:rsidP="000274EC">
            <w:pPr>
              <w:jc w:val="center"/>
              <w:rPr>
                <w:rFonts w:ascii="Arial" w:hAnsi="Arial"/>
                <w:b/>
                <w:bCs/>
                <w:sz w:val="20"/>
              </w:rPr>
            </w:pPr>
            <w:r w:rsidRPr="00150904">
              <w:rPr>
                <w:rFonts w:ascii="Arial" w:hAnsi="Arial"/>
                <w:b/>
                <w:bCs/>
                <w:sz w:val="20"/>
              </w:rPr>
              <w:t>Melbourne</w:t>
            </w:r>
          </w:p>
        </w:tc>
        <w:tc>
          <w:tcPr>
            <w:tcW w:w="1531" w:type="dxa"/>
            <w:shd w:val="clear" w:color="auto" w:fill="FBE4D5"/>
            <w:hideMark/>
          </w:tcPr>
          <w:p w14:paraId="15CDD71C" w14:textId="77777777" w:rsidR="002D165C" w:rsidRPr="00150904" w:rsidRDefault="002D165C" w:rsidP="000274EC">
            <w:pPr>
              <w:jc w:val="center"/>
              <w:rPr>
                <w:rFonts w:ascii="Arial" w:hAnsi="Arial"/>
                <w:b/>
                <w:bCs/>
                <w:sz w:val="20"/>
              </w:rPr>
            </w:pPr>
            <w:r w:rsidRPr="00150904">
              <w:rPr>
                <w:rFonts w:ascii="Arial" w:hAnsi="Arial"/>
                <w:b/>
                <w:bCs/>
                <w:sz w:val="20"/>
              </w:rPr>
              <w:t>Melbourne</w:t>
            </w:r>
          </w:p>
        </w:tc>
      </w:tr>
      <w:tr w:rsidR="002D165C" w:rsidRPr="007A48FF" w14:paraId="10A3CAEB" w14:textId="77777777" w:rsidTr="00A74081">
        <w:tc>
          <w:tcPr>
            <w:tcW w:w="1296" w:type="dxa"/>
            <w:shd w:val="clear" w:color="auto" w:fill="D5B8EA"/>
            <w:hideMark/>
          </w:tcPr>
          <w:p w14:paraId="72324B61" w14:textId="77777777" w:rsidR="002D165C" w:rsidRPr="007A48FF" w:rsidRDefault="002D165C" w:rsidP="0056718A">
            <w:pPr>
              <w:jc w:val="center"/>
              <w:rPr>
                <w:rFonts w:ascii="Arial" w:hAnsi="Arial"/>
                <w:b/>
                <w:bCs/>
                <w:sz w:val="20"/>
              </w:rPr>
            </w:pPr>
            <w:r w:rsidRPr="007A48FF">
              <w:rPr>
                <w:rFonts w:ascii="Arial" w:hAnsi="Arial"/>
                <w:b/>
                <w:bCs/>
                <w:sz w:val="20"/>
              </w:rPr>
              <w:t>North West</w:t>
            </w:r>
          </w:p>
        </w:tc>
        <w:tc>
          <w:tcPr>
            <w:tcW w:w="4688" w:type="dxa"/>
          </w:tcPr>
          <w:p w14:paraId="0E82B5A3" w14:textId="61F8783F" w:rsidR="002D165C" w:rsidRPr="00150904" w:rsidRDefault="002D165C" w:rsidP="002D165C">
            <w:pPr>
              <w:jc w:val="both"/>
              <w:rPr>
                <w:rFonts w:ascii="Arial" w:hAnsi="Arial"/>
                <w:b/>
                <w:bCs/>
                <w:sz w:val="20"/>
              </w:rPr>
            </w:pPr>
            <w:r>
              <w:rPr>
                <w:rFonts w:ascii="Arial" w:hAnsi="Arial"/>
                <w:sz w:val="20"/>
              </w:rPr>
              <w:t>3033–3036, 3039–3049, 3058 (except Moreland), 3059–3064, 3428–3429, 3753, 3756</w:t>
            </w:r>
          </w:p>
        </w:tc>
        <w:tc>
          <w:tcPr>
            <w:tcW w:w="1706" w:type="dxa"/>
            <w:shd w:val="clear" w:color="auto" w:fill="D5B8EA"/>
            <w:hideMark/>
          </w:tcPr>
          <w:p w14:paraId="477EE92F" w14:textId="49D883CF" w:rsidR="002D165C" w:rsidRPr="00150904" w:rsidRDefault="002D165C" w:rsidP="000274EC">
            <w:pPr>
              <w:jc w:val="center"/>
              <w:rPr>
                <w:rFonts w:ascii="Arial" w:hAnsi="Arial"/>
                <w:b/>
                <w:bCs/>
                <w:sz w:val="20"/>
              </w:rPr>
            </w:pPr>
            <w:r w:rsidRPr="008838B4">
              <w:rPr>
                <w:rFonts w:ascii="Arial" w:hAnsi="Arial"/>
                <w:b/>
                <w:bCs/>
                <w:sz w:val="20"/>
              </w:rPr>
              <w:t>Br</w:t>
            </w:r>
            <w:r>
              <w:rPr>
                <w:rFonts w:ascii="Arial" w:hAnsi="Arial"/>
                <w:b/>
                <w:bCs/>
                <w:sz w:val="20"/>
              </w:rPr>
              <w:t>oad</w:t>
            </w:r>
            <w:r w:rsidRPr="008838B4">
              <w:rPr>
                <w:rFonts w:ascii="Arial" w:hAnsi="Arial"/>
                <w:b/>
                <w:bCs/>
                <w:sz w:val="20"/>
              </w:rPr>
              <w:t>meadows</w:t>
            </w:r>
          </w:p>
        </w:tc>
        <w:tc>
          <w:tcPr>
            <w:tcW w:w="1531" w:type="dxa"/>
            <w:shd w:val="clear" w:color="auto" w:fill="D5B8EA"/>
            <w:hideMark/>
          </w:tcPr>
          <w:p w14:paraId="6AC4880A" w14:textId="77777777" w:rsidR="002D165C" w:rsidRPr="00150904" w:rsidRDefault="002D165C" w:rsidP="000274EC">
            <w:pPr>
              <w:jc w:val="center"/>
              <w:rPr>
                <w:rFonts w:ascii="Arial" w:hAnsi="Arial"/>
                <w:b/>
                <w:bCs/>
                <w:sz w:val="20"/>
              </w:rPr>
            </w:pPr>
            <w:r w:rsidRPr="00150904">
              <w:rPr>
                <w:rFonts w:ascii="Arial" w:hAnsi="Arial"/>
                <w:b/>
                <w:bCs/>
                <w:sz w:val="20"/>
              </w:rPr>
              <w:t>Melbourne</w:t>
            </w:r>
          </w:p>
        </w:tc>
      </w:tr>
      <w:tr w:rsidR="002D165C" w:rsidRPr="007A48FF" w14:paraId="693EB39A" w14:textId="77777777" w:rsidTr="0089404A">
        <w:tc>
          <w:tcPr>
            <w:tcW w:w="1296" w:type="dxa"/>
            <w:shd w:val="clear" w:color="auto" w:fill="FFDF79"/>
            <w:hideMark/>
          </w:tcPr>
          <w:p w14:paraId="76AC4068" w14:textId="77777777" w:rsidR="002D165C" w:rsidRPr="007A48FF" w:rsidRDefault="002D165C" w:rsidP="0056718A">
            <w:pPr>
              <w:jc w:val="center"/>
              <w:rPr>
                <w:rFonts w:ascii="Arial" w:hAnsi="Arial"/>
                <w:b/>
                <w:bCs/>
                <w:sz w:val="20"/>
              </w:rPr>
            </w:pPr>
            <w:r w:rsidRPr="007A48FF">
              <w:rPr>
                <w:rFonts w:ascii="Arial" w:hAnsi="Arial"/>
                <w:b/>
                <w:bCs/>
                <w:sz w:val="20"/>
              </w:rPr>
              <w:t>South West</w:t>
            </w:r>
          </w:p>
        </w:tc>
        <w:tc>
          <w:tcPr>
            <w:tcW w:w="4688" w:type="dxa"/>
          </w:tcPr>
          <w:p w14:paraId="492FC7F9" w14:textId="0ACE493B" w:rsidR="002D165C" w:rsidRPr="00150904" w:rsidRDefault="002D165C" w:rsidP="002D165C">
            <w:pPr>
              <w:jc w:val="both"/>
              <w:rPr>
                <w:rFonts w:ascii="Arial" w:hAnsi="Arial"/>
                <w:b/>
                <w:bCs/>
                <w:sz w:val="20"/>
              </w:rPr>
            </w:pPr>
            <w:r>
              <w:rPr>
                <w:rFonts w:ascii="Arial" w:hAnsi="Arial"/>
                <w:sz w:val="20"/>
              </w:rPr>
              <w:t>3024, 3026–3027, 3029–3030, 3211</w:t>
            </w:r>
          </w:p>
        </w:tc>
        <w:tc>
          <w:tcPr>
            <w:tcW w:w="1706" w:type="dxa"/>
            <w:shd w:val="clear" w:color="auto" w:fill="FFDF79"/>
            <w:hideMark/>
          </w:tcPr>
          <w:p w14:paraId="49176E67" w14:textId="2E20578C" w:rsidR="002D165C" w:rsidRPr="00150904" w:rsidRDefault="00A51F56" w:rsidP="000274EC">
            <w:pPr>
              <w:jc w:val="center"/>
              <w:rPr>
                <w:rFonts w:ascii="Arial" w:hAnsi="Arial"/>
                <w:b/>
                <w:bCs/>
                <w:sz w:val="20"/>
              </w:rPr>
            </w:pPr>
            <w:r>
              <w:rPr>
                <w:rFonts w:ascii="Arial" w:hAnsi="Arial"/>
                <w:b/>
                <w:bCs/>
                <w:sz w:val="20"/>
              </w:rPr>
              <w:t>Wyndham</w:t>
            </w:r>
          </w:p>
        </w:tc>
        <w:tc>
          <w:tcPr>
            <w:tcW w:w="1531" w:type="dxa"/>
            <w:shd w:val="clear" w:color="auto" w:fill="FFDF79"/>
            <w:hideMark/>
          </w:tcPr>
          <w:p w14:paraId="22F3422E" w14:textId="310584B2" w:rsidR="002D165C" w:rsidRPr="00150904" w:rsidRDefault="00A51F56" w:rsidP="000274EC">
            <w:pPr>
              <w:jc w:val="center"/>
              <w:rPr>
                <w:rFonts w:ascii="Arial" w:hAnsi="Arial"/>
                <w:b/>
                <w:bCs/>
                <w:sz w:val="20"/>
              </w:rPr>
            </w:pPr>
            <w:r>
              <w:rPr>
                <w:rFonts w:ascii="Arial" w:hAnsi="Arial"/>
                <w:b/>
                <w:bCs/>
                <w:sz w:val="20"/>
              </w:rPr>
              <w:t>Wyndham</w:t>
            </w:r>
          </w:p>
        </w:tc>
      </w:tr>
      <w:tr w:rsidR="002D165C" w:rsidRPr="007A48FF" w14:paraId="6E6D1BB6" w14:textId="77777777" w:rsidTr="003770BC">
        <w:tc>
          <w:tcPr>
            <w:tcW w:w="1296" w:type="dxa"/>
            <w:shd w:val="clear" w:color="auto" w:fill="C5E0B3"/>
            <w:hideMark/>
          </w:tcPr>
          <w:p w14:paraId="257D136F" w14:textId="77777777" w:rsidR="002D165C" w:rsidRPr="007A48FF" w:rsidRDefault="002D165C" w:rsidP="0056718A">
            <w:pPr>
              <w:jc w:val="center"/>
              <w:rPr>
                <w:rFonts w:ascii="Arial" w:hAnsi="Arial"/>
                <w:b/>
                <w:bCs/>
                <w:sz w:val="20"/>
              </w:rPr>
            </w:pPr>
            <w:r w:rsidRPr="007A48FF">
              <w:rPr>
                <w:rFonts w:ascii="Arial" w:hAnsi="Arial"/>
                <w:b/>
                <w:bCs/>
                <w:sz w:val="20"/>
              </w:rPr>
              <w:t>Peninsula</w:t>
            </w:r>
          </w:p>
        </w:tc>
        <w:tc>
          <w:tcPr>
            <w:tcW w:w="4688" w:type="dxa"/>
          </w:tcPr>
          <w:p w14:paraId="4A5F3FCC" w14:textId="274D916D" w:rsidR="002D165C" w:rsidRPr="00150904" w:rsidRDefault="002D165C" w:rsidP="002D165C">
            <w:pPr>
              <w:jc w:val="both"/>
              <w:rPr>
                <w:rFonts w:ascii="Arial" w:hAnsi="Arial"/>
                <w:b/>
                <w:bCs/>
                <w:sz w:val="20"/>
              </w:rPr>
            </w:pPr>
            <w:r>
              <w:rPr>
                <w:rFonts w:ascii="Arial" w:hAnsi="Arial"/>
                <w:sz w:val="20"/>
              </w:rPr>
              <w:t>3196–3201, 3910–3944, 3977 (except Cranbourne North), 3980</w:t>
            </w:r>
          </w:p>
        </w:tc>
        <w:tc>
          <w:tcPr>
            <w:tcW w:w="1706" w:type="dxa"/>
            <w:shd w:val="clear" w:color="auto" w:fill="C5E0B3"/>
            <w:hideMark/>
          </w:tcPr>
          <w:p w14:paraId="431F50F9" w14:textId="77777777" w:rsidR="002D165C" w:rsidRPr="00150904" w:rsidRDefault="002D165C" w:rsidP="000274EC">
            <w:pPr>
              <w:jc w:val="center"/>
              <w:rPr>
                <w:rFonts w:ascii="Arial" w:hAnsi="Arial"/>
                <w:b/>
                <w:bCs/>
                <w:sz w:val="20"/>
              </w:rPr>
            </w:pPr>
            <w:r w:rsidRPr="00150904">
              <w:rPr>
                <w:rFonts w:ascii="Arial" w:hAnsi="Arial"/>
                <w:b/>
                <w:bCs/>
                <w:sz w:val="20"/>
              </w:rPr>
              <w:t>Moorabbin</w:t>
            </w:r>
          </w:p>
        </w:tc>
        <w:tc>
          <w:tcPr>
            <w:tcW w:w="1531" w:type="dxa"/>
            <w:shd w:val="clear" w:color="auto" w:fill="C5E0B3"/>
            <w:hideMark/>
          </w:tcPr>
          <w:p w14:paraId="23722E76" w14:textId="77777777" w:rsidR="002D165C" w:rsidRPr="00150904" w:rsidRDefault="002D165C" w:rsidP="000274EC">
            <w:pPr>
              <w:jc w:val="center"/>
              <w:rPr>
                <w:rFonts w:ascii="Arial" w:hAnsi="Arial"/>
                <w:b/>
                <w:bCs/>
                <w:sz w:val="20"/>
              </w:rPr>
            </w:pPr>
            <w:r w:rsidRPr="00150904">
              <w:rPr>
                <w:rFonts w:ascii="Arial" w:hAnsi="Arial"/>
                <w:b/>
                <w:bCs/>
                <w:sz w:val="20"/>
              </w:rPr>
              <w:t>Dandenong</w:t>
            </w:r>
          </w:p>
        </w:tc>
      </w:tr>
      <w:tr w:rsidR="002D165C" w:rsidRPr="007A48FF" w14:paraId="45989B82" w14:textId="77777777" w:rsidTr="00166A01">
        <w:tc>
          <w:tcPr>
            <w:tcW w:w="1296" w:type="dxa"/>
            <w:shd w:val="clear" w:color="auto" w:fill="76B54B"/>
            <w:hideMark/>
          </w:tcPr>
          <w:p w14:paraId="6ACD13D2" w14:textId="77777777" w:rsidR="002D165C" w:rsidRPr="007A48FF" w:rsidRDefault="002D165C" w:rsidP="0056718A">
            <w:pPr>
              <w:jc w:val="center"/>
              <w:rPr>
                <w:rFonts w:ascii="Arial" w:hAnsi="Arial"/>
                <w:b/>
                <w:bCs/>
                <w:sz w:val="20"/>
              </w:rPr>
            </w:pPr>
            <w:r w:rsidRPr="007A48FF">
              <w:rPr>
                <w:rFonts w:ascii="Arial" w:hAnsi="Arial"/>
                <w:b/>
                <w:bCs/>
                <w:sz w:val="20"/>
              </w:rPr>
              <w:t>South</w:t>
            </w:r>
          </w:p>
        </w:tc>
        <w:tc>
          <w:tcPr>
            <w:tcW w:w="4688" w:type="dxa"/>
          </w:tcPr>
          <w:p w14:paraId="587E3F1F" w14:textId="05D077AA" w:rsidR="002D165C" w:rsidRPr="00150904" w:rsidRDefault="002D165C" w:rsidP="002D165C">
            <w:pPr>
              <w:jc w:val="both"/>
              <w:rPr>
                <w:rFonts w:ascii="Arial" w:hAnsi="Arial"/>
                <w:b/>
                <w:bCs/>
                <w:sz w:val="20"/>
              </w:rPr>
            </w:pPr>
            <w:r>
              <w:rPr>
                <w:rFonts w:ascii="Arial" w:hAnsi="Arial"/>
                <w:sz w:val="20"/>
              </w:rPr>
              <w:t>3143–3145, 3148, 3161–3163, 3165–3169, 3185–3195, 3202–3204</w:t>
            </w:r>
          </w:p>
        </w:tc>
        <w:tc>
          <w:tcPr>
            <w:tcW w:w="1706" w:type="dxa"/>
            <w:shd w:val="clear" w:color="auto" w:fill="76B54B"/>
            <w:hideMark/>
          </w:tcPr>
          <w:p w14:paraId="7E486E63" w14:textId="77777777" w:rsidR="002D165C" w:rsidRPr="00150904" w:rsidRDefault="002D165C" w:rsidP="000274EC">
            <w:pPr>
              <w:jc w:val="center"/>
              <w:rPr>
                <w:rFonts w:ascii="Arial" w:hAnsi="Arial"/>
                <w:b/>
                <w:bCs/>
                <w:sz w:val="20"/>
              </w:rPr>
            </w:pPr>
            <w:r w:rsidRPr="00150904">
              <w:rPr>
                <w:rFonts w:ascii="Arial" w:hAnsi="Arial"/>
                <w:b/>
                <w:bCs/>
                <w:sz w:val="20"/>
              </w:rPr>
              <w:t>Moorabbin</w:t>
            </w:r>
          </w:p>
        </w:tc>
        <w:tc>
          <w:tcPr>
            <w:tcW w:w="1531" w:type="dxa"/>
            <w:shd w:val="clear" w:color="auto" w:fill="76B54B"/>
            <w:hideMark/>
          </w:tcPr>
          <w:p w14:paraId="3BBFBBE9" w14:textId="77777777" w:rsidR="002D165C" w:rsidRPr="00150904" w:rsidRDefault="002D165C" w:rsidP="000274EC">
            <w:pPr>
              <w:jc w:val="center"/>
              <w:rPr>
                <w:rFonts w:ascii="Arial" w:hAnsi="Arial"/>
                <w:b/>
                <w:bCs/>
                <w:sz w:val="20"/>
              </w:rPr>
            </w:pPr>
            <w:r w:rsidRPr="00150904">
              <w:rPr>
                <w:rFonts w:ascii="Arial" w:hAnsi="Arial"/>
                <w:b/>
                <w:bCs/>
                <w:sz w:val="20"/>
              </w:rPr>
              <w:t>Melbourne</w:t>
            </w:r>
          </w:p>
        </w:tc>
      </w:tr>
      <w:tr w:rsidR="002D165C" w:rsidRPr="007A48FF" w14:paraId="69FD8CBD" w14:textId="77777777" w:rsidTr="006C52F3">
        <w:tc>
          <w:tcPr>
            <w:tcW w:w="1296" w:type="dxa"/>
            <w:shd w:val="clear" w:color="auto" w:fill="BDD6EE" w:themeFill="accent5" w:themeFillTint="66"/>
            <w:hideMark/>
          </w:tcPr>
          <w:p w14:paraId="0A92971B" w14:textId="77777777" w:rsidR="002D165C" w:rsidRPr="007A48FF" w:rsidRDefault="002D165C" w:rsidP="0056718A">
            <w:pPr>
              <w:jc w:val="center"/>
              <w:rPr>
                <w:rFonts w:ascii="Arial" w:hAnsi="Arial"/>
                <w:b/>
                <w:bCs/>
                <w:sz w:val="20"/>
              </w:rPr>
            </w:pPr>
            <w:r w:rsidRPr="007A48FF">
              <w:rPr>
                <w:rFonts w:ascii="Arial" w:hAnsi="Arial"/>
                <w:b/>
                <w:bCs/>
                <w:sz w:val="20"/>
              </w:rPr>
              <w:t>South East</w:t>
            </w:r>
          </w:p>
        </w:tc>
        <w:tc>
          <w:tcPr>
            <w:tcW w:w="4688" w:type="dxa"/>
          </w:tcPr>
          <w:p w14:paraId="34BBA839" w14:textId="04A52CC7" w:rsidR="002D165C" w:rsidRPr="00150904" w:rsidRDefault="002D165C" w:rsidP="002D165C">
            <w:pPr>
              <w:jc w:val="both"/>
              <w:rPr>
                <w:rFonts w:ascii="Arial" w:hAnsi="Arial"/>
                <w:b/>
                <w:bCs/>
                <w:sz w:val="20"/>
              </w:rPr>
            </w:pPr>
            <w:r>
              <w:rPr>
                <w:rFonts w:ascii="Arial" w:hAnsi="Arial"/>
                <w:sz w:val="20"/>
              </w:rPr>
              <w:t>3164, 3171–3177, 3781, 3782 (except Clematis), 3783, 3800–3815, 3975–3976, 3977 (Cranbourne North), 3978, 3981–3984</w:t>
            </w:r>
          </w:p>
        </w:tc>
        <w:tc>
          <w:tcPr>
            <w:tcW w:w="1706" w:type="dxa"/>
            <w:shd w:val="clear" w:color="auto" w:fill="BDD6EE" w:themeFill="accent5" w:themeFillTint="66"/>
            <w:hideMark/>
          </w:tcPr>
          <w:p w14:paraId="1E315C24" w14:textId="77777777" w:rsidR="002D165C" w:rsidRPr="00150904" w:rsidRDefault="002D165C" w:rsidP="000274EC">
            <w:pPr>
              <w:jc w:val="center"/>
              <w:rPr>
                <w:rFonts w:ascii="Arial" w:hAnsi="Arial"/>
                <w:b/>
                <w:bCs/>
                <w:sz w:val="20"/>
              </w:rPr>
            </w:pPr>
            <w:r w:rsidRPr="00150904">
              <w:rPr>
                <w:rFonts w:ascii="Arial" w:hAnsi="Arial"/>
                <w:b/>
                <w:bCs/>
                <w:sz w:val="20"/>
              </w:rPr>
              <w:t>Dandenong</w:t>
            </w:r>
          </w:p>
        </w:tc>
        <w:tc>
          <w:tcPr>
            <w:tcW w:w="1531" w:type="dxa"/>
            <w:shd w:val="clear" w:color="auto" w:fill="BDD6EE" w:themeFill="accent5" w:themeFillTint="66"/>
            <w:hideMark/>
          </w:tcPr>
          <w:p w14:paraId="66A884DA" w14:textId="77777777" w:rsidR="002D165C" w:rsidRPr="00150904" w:rsidRDefault="002D165C" w:rsidP="000274EC">
            <w:pPr>
              <w:jc w:val="center"/>
              <w:rPr>
                <w:rFonts w:ascii="Arial" w:hAnsi="Arial"/>
                <w:b/>
                <w:bCs/>
                <w:sz w:val="20"/>
              </w:rPr>
            </w:pPr>
            <w:r w:rsidRPr="00150904">
              <w:rPr>
                <w:rFonts w:ascii="Arial" w:hAnsi="Arial"/>
                <w:b/>
                <w:bCs/>
                <w:sz w:val="20"/>
              </w:rPr>
              <w:t>Dandenong</w:t>
            </w:r>
          </w:p>
        </w:tc>
      </w:tr>
    </w:tbl>
    <w:p w14:paraId="0493993E" w14:textId="77777777" w:rsidR="006D439A" w:rsidRDefault="006D439A" w:rsidP="00DD13C2">
      <w:pPr>
        <w:ind w:left="-57"/>
        <w:jc w:val="both"/>
        <w:rPr>
          <w:rFonts w:ascii="Arial" w:hAnsi="Arial" w:cs="Arial"/>
          <w:sz w:val="20"/>
        </w:rPr>
      </w:pPr>
    </w:p>
    <w:bookmarkEnd w:id="325"/>
    <w:p w14:paraId="1BCA3659" w14:textId="5858B490" w:rsidR="00277B85" w:rsidRDefault="00277B85" w:rsidP="00895060">
      <w:pPr>
        <w:jc w:val="both"/>
        <w:rPr>
          <w:rFonts w:ascii="Arial" w:hAnsi="Arial" w:cs="Arial"/>
          <w:sz w:val="20"/>
        </w:rPr>
      </w:pPr>
      <w:r>
        <w:rPr>
          <w:rFonts w:ascii="Arial" w:hAnsi="Arial" w:cs="Arial"/>
          <w:sz w:val="20"/>
        </w:rPr>
        <w:t xml:space="preserve">In addition, </w:t>
      </w:r>
      <w:r w:rsidR="00D56DF6">
        <w:rPr>
          <w:rFonts w:ascii="Arial" w:hAnsi="Arial" w:cs="Arial"/>
          <w:sz w:val="20"/>
        </w:rPr>
        <w:t xml:space="preserve">all of the </w:t>
      </w:r>
      <w:r>
        <w:rPr>
          <w:rFonts w:ascii="Arial" w:hAnsi="Arial" w:cs="Arial"/>
          <w:sz w:val="20"/>
        </w:rPr>
        <w:t>Melbourne</w:t>
      </w:r>
      <w:r w:rsidR="00D56DF6">
        <w:rPr>
          <w:rFonts w:ascii="Arial" w:hAnsi="Arial" w:cs="Arial"/>
          <w:sz w:val="20"/>
        </w:rPr>
        <w:t>, suburban and regional</w:t>
      </w:r>
      <w:r>
        <w:rPr>
          <w:rFonts w:ascii="Arial" w:hAnsi="Arial" w:cs="Arial"/>
          <w:sz w:val="20"/>
        </w:rPr>
        <w:t xml:space="preserve"> Children's Court</w:t>
      </w:r>
      <w:r w:rsidR="00D56DF6">
        <w:rPr>
          <w:rFonts w:ascii="Arial" w:hAnsi="Arial" w:cs="Arial"/>
          <w:sz w:val="20"/>
        </w:rPr>
        <w:t>s</w:t>
      </w:r>
      <w:r>
        <w:rPr>
          <w:rFonts w:ascii="Arial" w:hAnsi="Arial" w:cs="Arial"/>
          <w:sz w:val="20"/>
        </w:rPr>
        <w:t xml:space="preserve"> and </w:t>
      </w:r>
      <w:r w:rsidR="00D56DF6">
        <w:rPr>
          <w:rFonts w:ascii="Arial" w:hAnsi="Arial" w:cs="Arial"/>
          <w:sz w:val="20"/>
        </w:rPr>
        <w:t>a number</w:t>
      </w:r>
      <w:r>
        <w:rPr>
          <w:rFonts w:ascii="Arial" w:hAnsi="Arial" w:cs="Arial"/>
          <w:sz w:val="20"/>
        </w:rPr>
        <w:t xml:space="preserve"> of the country </w:t>
      </w:r>
      <w:r w:rsidR="00D56DF6">
        <w:rPr>
          <w:rFonts w:ascii="Arial" w:hAnsi="Arial" w:cs="Arial"/>
          <w:sz w:val="20"/>
        </w:rPr>
        <w:t>venues</w:t>
      </w:r>
      <w:r>
        <w:rPr>
          <w:rFonts w:ascii="Arial" w:hAnsi="Arial" w:cs="Arial"/>
          <w:sz w:val="20"/>
        </w:rPr>
        <w:t xml:space="preserve"> are equipped with video-conferencing &amp; remote witness facilities.  These have 2 </w:t>
      </w:r>
      <w:r w:rsidR="001F230B">
        <w:rPr>
          <w:rFonts w:ascii="Arial" w:hAnsi="Arial" w:cs="Arial"/>
          <w:sz w:val="20"/>
        </w:rPr>
        <w:t xml:space="preserve">main </w:t>
      </w:r>
      <w:r>
        <w:rPr>
          <w:rFonts w:ascii="Arial" w:hAnsi="Arial" w:cs="Arial"/>
          <w:sz w:val="20"/>
        </w:rPr>
        <w:t>functions:</w:t>
      </w:r>
    </w:p>
    <w:p w14:paraId="3793B705" w14:textId="01C125F8" w:rsidR="00277B85" w:rsidRDefault="00277B85" w:rsidP="0073729A">
      <w:pPr>
        <w:numPr>
          <w:ilvl w:val="0"/>
          <w:numId w:val="8"/>
        </w:numPr>
        <w:tabs>
          <w:tab w:val="num" w:pos="723"/>
        </w:tabs>
        <w:jc w:val="both"/>
        <w:rPr>
          <w:rFonts w:ascii="Arial" w:hAnsi="Arial" w:cs="Arial"/>
          <w:sz w:val="20"/>
        </w:rPr>
      </w:pPr>
      <w:r>
        <w:rPr>
          <w:rFonts w:ascii="Arial" w:hAnsi="Arial" w:cs="Arial"/>
          <w:color w:val="000000"/>
          <w:sz w:val="20"/>
        </w:rPr>
        <w:t xml:space="preserve">to </w:t>
      </w:r>
      <w:r>
        <w:rPr>
          <w:rFonts w:ascii="Arial" w:hAnsi="Arial" w:cs="Arial"/>
          <w:sz w:val="20"/>
        </w:rPr>
        <w:t xml:space="preserve">allow a </w:t>
      </w:r>
      <w:r w:rsidR="00077D71">
        <w:rPr>
          <w:rFonts w:ascii="Arial" w:hAnsi="Arial" w:cs="Arial"/>
          <w:sz w:val="20"/>
        </w:rPr>
        <w:t>judicial officer</w:t>
      </w:r>
      <w:r>
        <w:rPr>
          <w:rFonts w:ascii="Arial" w:hAnsi="Arial" w:cs="Arial"/>
          <w:sz w:val="20"/>
        </w:rPr>
        <w:t xml:space="preserve"> and/or one or more parties to be in a different location from another party; thus, for instance, a magistrate in Melbourne can preside over a case in which some or all of the parties are in Bendigo;</w:t>
      </w:r>
    </w:p>
    <w:p w14:paraId="38E1079E" w14:textId="368BA56D" w:rsidR="00277B85" w:rsidRDefault="00277B85" w:rsidP="0073729A">
      <w:pPr>
        <w:numPr>
          <w:ilvl w:val="0"/>
          <w:numId w:val="8"/>
        </w:numPr>
        <w:tabs>
          <w:tab w:val="num" w:pos="723"/>
        </w:tabs>
        <w:jc w:val="both"/>
        <w:rPr>
          <w:rFonts w:ascii="Arial" w:hAnsi="Arial" w:cs="Arial"/>
          <w:sz w:val="20"/>
        </w:rPr>
      </w:pPr>
      <w:r>
        <w:rPr>
          <w:rFonts w:ascii="Arial" w:hAnsi="Arial" w:cs="Arial"/>
          <w:sz w:val="20"/>
        </w:rPr>
        <w:t xml:space="preserve">to allow a witness who is in a location remote from the courtroom to give evidence and be cross-examined without coming into the courtroom; there are 2 main situations in which the Court </w:t>
      </w:r>
      <w:r w:rsidR="00077D71">
        <w:rPr>
          <w:rFonts w:ascii="Arial" w:hAnsi="Arial" w:cs="Arial"/>
          <w:sz w:val="20"/>
        </w:rPr>
        <w:t xml:space="preserve">is likely to </w:t>
      </w:r>
      <w:r>
        <w:rPr>
          <w:rFonts w:ascii="Arial" w:hAnsi="Arial" w:cs="Arial"/>
          <w:sz w:val="20"/>
        </w:rPr>
        <w:t>permit this to be used:</w:t>
      </w:r>
    </w:p>
    <w:p w14:paraId="2BEE1935" w14:textId="7CA9D646" w:rsidR="00277B85" w:rsidRDefault="00277B85" w:rsidP="0008770D">
      <w:pPr>
        <w:ind w:left="726" w:hanging="363"/>
        <w:jc w:val="both"/>
        <w:rPr>
          <w:rFonts w:ascii="Arial" w:hAnsi="Arial" w:cs="Arial"/>
          <w:sz w:val="20"/>
        </w:rPr>
      </w:pPr>
      <w:r>
        <w:rPr>
          <w:rFonts w:ascii="Arial" w:hAnsi="Arial" w:cs="Arial"/>
          <w:sz w:val="20"/>
        </w:rPr>
        <w:t>(i)</w:t>
      </w:r>
      <w:r>
        <w:rPr>
          <w:rFonts w:ascii="Arial" w:hAnsi="Arial" w:cs="Arial"/>
          <w:sz w:val="20"/>
        </w:rPr>
        <w:tab/>
        <w:t>where a witness is interstate or overseas or in another town or city</w:t>
      </w:r>
      <w:r w:rsidR="001F230B">
        <w:rPr>
          <w:rFonts w:ascii="Arial" w:hAnsi="Arial" w:cs="Arial"/>
          <w:sz w:val="20"/>
        </w:rPr>
        <w:t>;</w:t>
      </w:r>
    </w:p>
    <w:p w14:paraId="18063432" w14:textId="410D1710" w:rsidR="001F230B" w:rsidRDefault="00277B85">
      <w:pPr>
        <w:ind w:left="726" w:hanging="363"/>
        <w:jc w:val="both"/>
        <w:rPr>
          <w:rFonts w:ascii="Arial" w:hAnsi="Arial" w:cs="Arial"/>
          <w:sz w:val="20"/>
        </w:rPr>
      </w:pPr>
      <w:r>
        <w:rPr>
          <w:rFonts w:ascii="Arial" w:hAnsi="Arial" w:cs="Arial"/>
          <w:sz w:val="20"/>
        </w:rPr>
        <w:t>(ii)</w:t>
      </w:r>
      <w:r>
        <w:rPr>
          <w:rFonts w:ascii="Arial" w:hAnsi="Arial" w:cs="Arial"/>
          <w:sz w:val="20"/>
        </w:rPr>
        <w:tab/>
        <w:t xml:space="preserve">where a witness is in the same town or city but the court orders that, for reasons of convenience, </w:t>
      </w:r>
      <w:r w:rsidR="00C72E5B">
        <w:rPr>
          <w:rFonts w:ascii="Arial" w:hAnsi="Arial" w:cs="Arial"/>
          <w:sz w:val="20"/>
        </w:rPr>
        <w:t>safety</w:t>
      </w:r>
      <w:r>
        <w:rPr>
          <w:rFonts w:ascii="Arial" w:hAnsi="Arial" w:cs="Arial"/>
          <w:sz w:val="20"/>
        </w:rPr>
        <w:t xml:space="preserve"> or protection of the witness, the witness should not be in the same room as a party</w:t>
      </w:r>
      <w:r w:rsidR="001F230B">
        <w:rPr>
          <w:rFonts w:ascii="Arial" w:hAnsi="Arial" w:cs="Arial"/>
          <w:sz w:val="20"/>
        </w:rPr>
        <w:t>.</w:t>
      </w:r>
    </w:p>
    <w:p w14:paraId="6849D3CD" w14:textId="3B81DD18" w:rsidR="00277B85" w:rsidRPr="001F230B" w:rsidRDefault="001F230B" w:rsidP="001F230B">
      <w:pPr>
        <w:jc w:val="both"/>
        <w:rPr>
          <w:rFonts w:ascii="Arial" w:hAnsi="Arial" w:cs="Arial"/>
          <w:sz w:val="16"/>
        </w:rPr>
      </w:pPr>
      <w:r>
        <w:rPr>
          <w:rFonts w:ascii="Arial" w:hAnsi="Arial" w:cs="Arial"/>
          <w:sz w:val="20"/>
        </w:rPr>
        <w:lastRenderedPageBreak/>
        <w:t>S</w:t>
      </w:r>
      <w:r w:rsidR="00277B85">
        <w:rPr>
          <w:rFonts w:ascii="Arial" w:hAnsi="Arial" w:cs="Arial"/>
          <w:sz w:val="20"/>
        </w:rPr>
        <w:t>ee e.g. s</w:t>
      </w:r>
      <w:r>
        <w:rPr>
          <w:rFonts w:ascii="Arial" w:hAnsi="Arial" w:cs="Arial"/>
          <w:sz w:val="20"/>
        </w:rPr>
        <w:t>s</w:t>
      </w:r>
      <w:r w:rsidR="00277B85">
        <w:rPr>
          <w:rFonts w:ascii="Arial" w:hAnsi="Arial" w:cs="Arial"/>
          <w:sz w:val="20"/>
        </w:rPr>
        <w:t>.</w:t>
      </w:r>
      <w:r>
        <w:rPr>
          <w:rFonts w:ascii="Arial" w:hAnsi="Arial" w:cs="Arial"/>
          <w:sz w:val="20"/>
        </w:rPr>
        <w:t xml:space="preserve">42E &amp; 42F </w:t>
      </w:r>
      <w:r w:rsidR="00277B85">
        <w:rPr>
          <w:rFonts w:ascii="Arial" w:hAnsi="Arial" w:cs="Arial"/>
          <w:sz w:val="20"/>
        </w:rPr>
        <w:t xml:space="preserve">of the </w:t>
      </w:r>
      <w:r w:rsidR="00277B85" w:rsidRPr="001F230B">
        <w:rPr>
          <w:rFonts w:ascii="Arial" w:hAnsi="Arial" w:cs="Arial"/>
          <w:i/>
          <w:iCs/>
          <w:sz w:val="20"/>
        </w:rPr>
        <w:t xml:space="preserve">Evidence </w:t>
      </w:r>
      <w:r w:rsidRPr="001F230B">
        <w:rPr>
          <w:rFonts w:ascii="Arial" w:hAnsi="Arial" w:cs="Arial"/>
          <w:i/>
          <w:iCs/>
          <w:sz w:val="20"/>
        </w:rPr>
        <w:t xml:space="preserve">(Miscellaneous Provisions) </w:t>
      </w:r>
      <w:r w:rsidR="00277B85" w:rsidRPr="001F230B">
        <w:rPr>
          <w:rFonts w:ascii="Arial" w:hAnsi="Arial" w:cs="Arial"/>
          <w:i/>
          <w:iCs/>
          <w:sz w:val="20"/>
        </w:rPr>
        <w:t>Act 1958</w:t>
      </w:r>
      <w:r>
        <w:rPr>
          <w:rFonts w:ascii="Arial" w:hAnsi="Arial" w:cs="Arial"/>
          <w:i/>
          <w:iCs/>
          <w:sz w:val="20"/>
        </w:rPr>
        <w:t xml:space="preserve">.  </w:t>
      </w:r>
      <w:r>
        <w:rPr>
          <w:rFonts w:ascii="Arial" w:hAnsi="Arial" w:cs="Arial"/>
          <w:sz w:val="20"/>
        </w:rPr>
        <w:t>In</w:t>
      </w:r>
      <w:r w:rsidRPr="00B97656">
        <w:rPr>
          <w:rFonts w:ascii="Arial" w:hAnsi="Arial" w:cs="Arial"/>
          <w:sz w:val="16"/>
        </w:rPr>
        <w:t xml:space="preserve"> </w:t>
      </w:r>
      <w:r>
        <w:rPr>
          <w:rFonts w:ascii="Arial" w:hAnsi="Arial" w:cs="Arial"/>
          <w:i/>
          <w:sz w:val="20"/>
        </w:rPr>
        <w:t xml:space="preserve">R v Cox &amp; Ors (Ruling No.6) </w:t>
      </w:r>
      <w:r>
        <w:rPr>
          <w:rFonts w:ascii="Arial" w:hAnsi="Arial" w:cs="Arial"/>
          <w:sz w:val="20"/>
        </w:rPr>
        <w:t>{</w:t>
      </w:r>
      <w:r w:rsidRPr="00727D20">
        <w:rPr>
          <w:rFonts w:ascii="Arial" w:hAnsi="Arial" w:cs="Arial"/>
          <w:sz w:val="20"/>
        </w:rPr>
        <w:t xml:space="preserve">also known as </w:t>
      </w:r>
      <w:r w:rsidRPr="00B97656">
        <w:rPr>
          <w:rFonts w:ascii="Arial" w:hAnsi="Arial" w:cs="Arial"/>
          <w:i/>
          <w:sz w:val="20"/>
        </w:rPr>
        <w:t>R v Cox, Sadler, Ferguson &amp; Ferguson</w:t>
      </w:r>
      <w:r w:rsidRPr="00727D20">
        <w:rPr>
          <w:rFonts w:ascii="Arial" w:hAnsi="Arial" w:cs="Arial"/>
          <w:sz w:val="20"/>
        </w:rPr>
        <w:t>}</w:t>
      </w:r>
      <w:r w:rsidRPr="00B97656">
        <w:rPr>
          <w:rFonts w:ascii="Arial" w:hAnsi="Arial" w:cs="Arial"/>
          <w:sz w:val="16"/>
        </w:rPr>
        <w:t xml:space="preserve"> </w:t>
      </w:r>
      <w:r w:rsidRPr="00B97656">
        <w:rPr>
          <w:rFonts w:ascii="Arial" w:hAnsi="Arial" w:cs="Arial"/>
          <w:sz w:val="20"/>
        </w:rPr>
        <w:t xml:space="preserve">[2005] VSC 364 Kaye J </w:t>
      </w:r>
      <w:r>
        <w:rPr>
          <w:rFonts w:ascii="Arial" w:hAnsi="Arial" w:cs="Arial"/>
          <w:sz w:val="20"/>
        </w:rPr>
        <w:t xml:space="preserve">summarized the </w:t>
      </w:r>
      <w:r w:rsidRPr="00B97656">
        <w:rPr>
          <w:rFonts w:ascii="Arial" w:hAnsi="Arial" w:cs="Arial"/>
          <w:sz w:val="20"/>
          <w:szCs w:val="20"/>
        </w:rPr>
        <w:t xml:space="preserve">principles </w:t>
      </w:r>
      <w:r>
        <w:rPr>
          <w:rFonts w:ascii="Arial" w:hAnsi="Arial" w:cs="Arial"/>
          <w:sz w:val="20"/>
          <w:szCs w:val="20"/>
        </w:rPr>
        <w:t xml:space="preserve">on the application of s.42E </w:t>
      </w:r>
      <w:r w:rsidRPr="00B97656">
        <w:rPr>
          <w:rFonts w:ascii="Arial" w:hAnsi="Arial" w:cs="Arial"/>
          <w:sz w:val="20"/>
          <w:szCs w:val="20"/>
        </w:rPr>
        <w:t xml:space="preserve">which </w:t>
      </w:r>
      <w:r>
        <w:rPr>
          <w:rFonts w:ascii="Arial" w:hAnsi="Arial" w:cs="Arial"/>
          <w:sz w:val="20"/>
          <w:szCs w:val="20"/>
        </w:rPr>
        <w:t xml:space="preserve">he considered </w:t>
      </w:r>
      <w:r w:rsidRPr="00B97656">
        <w:rPr>
          <w:rFonts w:ascii="Arial" w:hAnsi="Arial" w:cs="Arial"/>
          <w:sz w:val="20"/>
          <w:szCs w:val="20"/>
        </w:rPr>
        <w:t>were to be elucidated</w:t>
      </w:r>
      <w:r>
        <w:rPr>
          <w:rFonts w:ascii="Arial" w:hAnsi="Arial" w:cs="Arial"/>
          <w:sz w:val="20"/>
          <w:szCs w:val="20"/>
        </w:rPr>
        <w:t xml:space="preserve"> from the cases of </w:t>
      </w:r>
      <w:r w:rsidRPr="00727D20">
        <w:rPr>
          <w:rFonts w:ascii="Arial" w:hAnsi="Arial" w:cs="Arial"/>
          <w:i/>
          <w:sz w:val="20"/>
          <w:szCs w:val="20"/>
        </w:rPr>
        <w:t>R v Kim</w:t>
      </w:r>
      <w:r w:rsidRPr="00727D20">
        <w:rPr>
          <w:rFonts w:ascii="Arial" w:hAnsi="Arial" w:cs="Arial"/>
          <w:sz w:val="20"/>
          <w:szCs w:val="20"/>
        </w:rPr>
        <w:t xml:space="preserve"> (1998) 104 A Crim R 233, </w:t>
      </w:r>
      <w:r w:rsidRPr="00727D20">
        <w:rPr>
          <w:rFonts w:ascii="Arial" w:hAnsi="Arial" w:cs="Arial"/>
          <w:i/>
          <w:sz w:val="20"/>
          <w:szCs w:val="20"/>
        </w:rPr>
        <w:t>R v Weiss</w:t>
      </w:r>
      <w:r w:rsidRPr="00727D20">
        <w:rPr>
          <w:rFonts w:ascii="Arial" w:hAnsi="Arial" w:cs="Arial"/>
          <w:sz w:val="20"/>
          <w:szCs w:val="20"/>
        </w:rPr>
        <w:t xml:space="preserve"> [2002] VSC 15</w:t>
      </w:r>
      <w:r>
        <w:rPr>
          <w:rFonts w:ascii="Arial" w:hAnsi="Arial" w:cs="Arial"/>
          <w:sz w:val="20"/>
          <w:szCs w:val="20"/>
        </w:rPr>
        <w:t xml:space="preserve"> </w:t>
      </w:r>
      <w:r w:rsidRPr="00727D20">
        <w:rPr>
          <w:rFonts w:ascii="Arial" w:hAnsi="Arial" w:cs="Arial"/>
          <w:sz w:val="20"/>
          <w:szCs w:val="20"/>
        </w:rPr>
        <w:t xml:space="preserve">&amp; </w:t>
      </w:r>
      <w:r w:rsidRPr="00727D20">
        <w:rPr>
          <w:rFonts w:ascii="Arial" w:hAnsi="Arial" w:cs="Arial"/>
          <w:i/>
          <w:sz w:val="20"/>
          <w:szCs w:val="20"/>
        </w:rPr>
        <w:t>R v Strawhorn</w:t>
      </w:r>
      <w:r w:rsidRPr="00727D20">
        <w:rPr>
          <w:rFonts w:ascii="Arial" w:hAnsi="Arial" w:cs="Arial"/>
          <w:sz w:val="20"/>
          <w:szCs w:val="20"/>
        </w:rPr>
        <w:t xml:space="preserve"> </w:t>
      </w:r>
      <w:r w:rsidRPr="001F230B">
        <w:rPr>
          <w:rFonts w:ascii="Arial" w:hAnsi="Arial" w:cs="Arial"/>
          <w:sz w:val="20"/>
          <w:szCs w:val="20"/>
        </w:rPr>
        <w:t xml:space="preserve">[2004] VSC 415.  In </w:t>
      </w:r>
      <w:r w:rsidR="00277B85" w:rsidRPr="001F230B">
        <w:rPr>
          <w:rFonts w:ascii="Arial" w:hAnsi="Arial" w:cs="Arial"/>
          <w:i/>
          <w:iCs/>
          <w:sz w:val="20"/>
          <w:szCs w:val="20"/>
        </w:rPr>
        <w:t>R v Goldman</w:t>
      </w:r>
      <w:r w:rsidR="00277B85" w:rsidRPr="001F230B">
        <w:rPr>
          <w:rFonts w:ascii="Arial" w:hAnsi="Arial" w:cs="Arial"/>
          <w:sz w:val="20"/>
          <w:szCs w:val="20"/>
        </w:rPr>
        <w:t xml:space="preserve"> [2004] VSC 165 Redlich J traced the genesis of the</w:t>
      </w:r>
      <w:r w:rsidR="00277B85">
        <w:rPr>
          <w:rFonts w:ascii="Arial" w:hAnsi="Arial" w:cs="Arial"/>
          <w:sz w:val="20"/>
        </w:rPr>
        <w:t xml:space="preserve"> legislation and analysed a large number of relevant cases </w:t>
      </w:r>
      <w:r>
        <w:rPr>
          <w:rFonts w:ascii="Arial" w:hAnsi="Arial" w:cs="Arial"/>
          <w:sz w:val="20"/>
        </w:rPr>
        <w:t>–</w:t>
      </w:r>
      <w:r w:rsidR="00277B85">
        <w:rPr>
          <w:rFonts w:ascii="Arial" w:hAnsi="Arial" w:cs="Arial"/>
          <w:sz w:val="20"/>
        </w:rPr>
        <w:t xml:space="preserve"> Victorian,</w:t>
      </w:r>
      <w:r>
        <w:rPr>
          <w:rFonts w:ascii="Arial" w:hAnsi="Arial" w:cs="Arial"/>
          <w:sz w:val="20"/>
        </w:rPr>
        <w:t xml:space="preserve"> </w:t>
      </w:r>
      <w:r w:rsidR="00277B85">
        <w:rPr>
          <w:rFonts w:ascii="Arial" w:hAnsi="Arial" w:cs="Arial"/>
          <w:sz w:val="20"/>
        </w:rPr>
        <w:t xml:space="preserve">Australian &amp; foreign </w:t>
      </w:r>
      <w:r>
        <w:rPr>
          <w:rFonts w:ascii="Arial" w:hAnsi="Arial" w:cs="Arial"/>
          <w:sz w:val="20"/>
        </w:rPr>
        <w:t>–</w:t>
      </w:r>
      <w:r w:rsidR="00277B85">
        <w:rPr>
          <w:rFonts w:ascii="Arial" w:hAnsi="Arial" w:cs="Arial"/>
          <w:sz w:val="20"/>
        </w:rPr>
        <w:t xml:space="preserve"> before</w:t>
      </w:r>
      <w:r>
        <w:rPr>
          <w:rFonts w:ascii="Arial" w:hAnsi="Arial" w:cs="Arial"/>
          <w:sz w:val="20"/>
        </w:rPr>
        <w:t xml:space="preserve"> </w:t>
      </w:r>
      <w:r w:rsidR="00277B85">
        <w:rPr>
          <w:rFonts w:ascii="Arial" w:hAnsi="Arial" w:cs="Arial"/>
          <w:sz w:val="20"/>
        </w:rPr>
        <w:t>concluding at [32] that: "The accused's right to confrontation and the forensic advantages that may flow therefrom needs to be balanced against the need to protect the witness against the risk of harm."</w:t>
      </w:r>
    </w:p>
    <w:p w14:paraId="77096EED" w14:textId="77777777" w:rsidR="00077D71" w:rsidRPr="000E6664" w:rsidRDefault="00077D71" w:rsidP="00077D71">
      <w:pPr>
        <w:jc w:val="both"/>
        <w:rPr>
          <w:rFonts w:ascii="Arial" w:hAnsi="Arial" w:cs="Arial"/>
          <w:color w:val="000000"/>
          <w:sz w:val="20"/>
        </w:rPr>
      </w:pPr>
    </w:p>
    <w:p w14:paraId="3FF172FF" w14:textId="2F99B69E" w:rsidR="00077D71" w:rsidRDefault="00077D71" w:rsidP="00077D71">
      <w:pPr>
        <w:jc w:val="both"/>
        <w:rPr>
          <w:rFonts w:ascii="Arial" w:hAnsi="Arial" w:cs="Arial"/>
          <w:color w:val="000000"/>
          <w:sz w:val="20"/>
        </w:rPr>
      </w:pPr>
      <w:bookmarkStart w:id="326" w:name="_Hlk213845510"/>
      <w:r w:rsidRPr="000E6664">
        <w:rPr>
          <w:rFonts w:ascii="Arial" w:hAnsi="Arial" w:cs="Arial"/>
          <w:color w:val="000000"/>
          <w:sz w:val="20"/>
        </w:rPr>
        <w:t xml:space="preserve">Melbourne Children's Court is the headquarters of the Children's Court of Victoria. The President and </w:t>
      </w:r>
      <w:r w:rsidR="00F32C85">
        <w:rPr>
          <w:rFonts w:ascii="Arial" w:hAnsi="Arial" w:cs="Arial"/>
          <w:color w:val="000000"/>
          <w:sz w:val="20"/>
        </w:rPr>
        <w:t>most of the registry staff</w:t>
      </w:r>
      <w:r w:rsidRPr="000E6664">
        <w:rPr>
          <w:rFonts w:ascii="Arial" w:hAnsi="Arial" w:cs="Arial"/>
          <w:color w:val="000000"/>
          <w:sz w:val="20"/>
        </w:rPr>
        <w:t xml:space="preserve"> are located there, as are </w:t>
      </w:r>
      <w:r w:rsidR="004553E5">
        <w:rPr>
          <w:rFonts w:ascii="Arial" w:hAnsi="Arial" w:cs="Arial"/>
          <w:color w:val="000000"/>
          <w:sz w:val="20"/>
        </w:rPr>
        <w:t xml:space="preserve">16 of the </w:t>
      </w:r>
      <w:r w:rsidR="00373AD0">
        <w:rPr>
          <w:rFonts w:ascii="Arial" w:hAnsi="Arial" w:cs="Arial"/>
          <w:color w:val="000000"/>
          <w:sz w:val="20"/>
        </w:rPr>
        <w:t>2</w:t>
      </w:r>
      <w:r w:rsidR="00861944">
        <w:rPr>
          <w:rFonts w:ascii="Arial" w:hAnsi="Arial" w:cs="Arial"/>
          <w:color w:val="000000"/>
          <w:sz w:val="20"/>
        </w:rPr>
        <w:t>5</w:t>
      </w:r>
      <w:r w:rsidR="0031701F">
        <w:rPr>
          <w:rFonts w:ascii="Arial" w:hAnsi="Arial" w:cs="Arial"/>
          <w:color w:val="000000"/>
          <w:sz w:val="20"/>
        </w:rPr>
        <w:t xml:space="preserve"> </w:t>
      </w:r>
      <w:r w:rsidRPr="000E6664">
        <w:rPr>
          <w:rFonts w:ascii="Arial" w:hAnsi="Arial" w:cs="Arial"/>
          <w:color w:val="000000"/>
          <w:sz w:val="20"/>
        </w:rPr>
        <w:t xml:space="preserve">magistrates and </w:t>
      </w:r>
      <w:r w:rsidR="004553E5">
        <w:rPr>
          <w:rFonts w:ascii="Arial" w:hAnsi="Arial" w:cs="Arial"/>
          <w:color w:val="000000"/>
          <w:sz w:val="20"/>
        </w:rPr>
        <w:t xml:space="preserve">the </w:t>
      </w:r>
      <w:r w:rsidR="00861944">
        <w:rPr>
          <w:rFonts w:ascii="Arial" w:hAnsi="Arial" w:cs="Arial"/>
          <w:color w:val="000000"/>
          <w:sz w:val="20"/>
        </w:rPr>
        <w:t>3</w:t>
      </w:r>
      <w:r w:rsidRPr="000E6664">
        <w:rPr>
          <w:rFonts w:ascii="Arial" w:hAnsi="Arial" w:cs="Arial"/>
          <w:color w:val="000000"/>
          <w:sz w:val="20"/>
        </w:rPr>
        <w:t xml:space="preserve"> reserve magistrate</w:t>
      </w:r>
      <w:r>
        <w:rPr>
          <w:rFonts w:ascii="Arial" w:hAnsi="Arial" w:cs="Arial"/>
          <w:color w:val="000000"/>
          <w:sz w:val="20"/>
        </w:rPr>
        <w:t>s</w:t>
      </w:r>
      <w:r w:rsidRPr="000E6664">
        <w:rPr>
          <w:rFonts w:ascii="Arial" w:hAnsi="Arial" w:cs="Arial"/>
          <w:color w:val="000000"/>
          <w:sz w:val="20"/>
        </w:rPr>
        <w:t xml:space="preserve"> who are currently assigned to the Children's Court. </w:t>
      </w:r>
      <w:r w:rsidR="00850F5C">
        <w:rPr>
          <w:rFonts w:ascii="Arial" w:hAnsi="Arial" w:cs="Arial"/>
          <w:color w:val="000000"/>
          <w:sz w:val="20"/>
        </w:rPr>
        <w:t xml:space="preserve">In addition </w:t>
      </w:r>
      <w:r>
        <w:rPr>
          <w:rFonts w:ascii="Arial" w:hAnsi="Arial" w:cs="Arial"/>
          <w:color w:val="000000"/>
          <w:sz w:val="20"/>
        </w:rPr>
        <w:t xml:space="preserve">RCM Macpherson is located at </w:t>
      </w:r>
      <w:r w:rsidRPr="00850F5C">
        <w:rPr>
          <w:rFonts w:ascii="Arial" w:hAnsi="Arial" w:cs="Arial"/>
          <w:b/>
          <w:bCs/>
          <w:color w:val="FF0000"/>
          <w:sz w:val="20"/>
        </w:rPr>
        <w:t>Broadmeadows</w:t>
      </w:r>
      <w:r>
        <w:rPr>
          <w:rFonts w:ascii="Arial" w:hAnsi="Arial" w:cs="Arial"/>
          <w:color w:val="000000"/>
          <w:sz w:val="20"/>
        </w:rPr>
        <w:t xml:space="preserve"> and is assisted by one magistrate. </w:t>
      </w:r>
      <w:r w:rsidR="00850F5C">
        <w:rPr>
          <w:rFonts w:ascii="Arial" w:hAnsi="Arial" w:cs="Arial"/>
          <w:color w:val="000000"/>
          <w:sz w:val="20"/>
        </w:rPr>
        <w:t xml:space="preserve">RCM Stead is located at </w:t>
      </w:r>
      <w:r w:rsidR="00850F5C" w:rsidRPr="00850F5C">
        <w:rPr>
          <w:rFonts w:ascii="Arial" w:hAnsi="Arial" w:cs="Arial"/>
          <w:b/>
          <w:bCs/>
          <w:color w:val="FF0000"/>
          <w:sz w:val="20"/>
        </w:rPr>
        <w:t>Wyndham</w:t>
      </w:r>
      <w:r w:rsidR="00850F5C">
        <w:rPr>
          <w:rFonts w:ascii="Arial" w:hAnsi="Arial" w:cs="Arial"/>
          <w:color w:val="000000"/>
          <w:sz w:val="20"/>
        </w:rPr>
        <w:t xml:space="preserve"> and is assisted by one magistrate. </w:t>
      </w:r>
      <w:r w:rsidR="005379C9">
        <w:rPr>
          <w:rFonts w:ascii="Arial" w:hAnsi="Arial" w:cs="Arial"/>
          <w:color w:val="000000"/>
          <w:sz w:val="20"/>
        </w:rPr>
        <w:t xml:space="preserve">RCM Hubble is located at </w:t>
      </w:r>
      <w:r w:rsidR="005379C9" w:rsidRPr="00850F5C">
        <w:rPr>
          <w:rFonts w:ascii="Arial" w:hAnsi="Arial" w:cs="Arial"/>
          <w:b/>
          <w:bCs/>
          <w:color w:val="FF0000"/>
          <w:sz w:val="20"/>
        </w:rPr>
        <w:t>Dandenong</w:t>
      </w:r>
      <w:r w:rsidR="00850F5C">
        <w:rPr>
          <w:rFonts w:ascii="Arial" w:hAnsi="Arial" w:cs="Arial"/>
          <w:b/>
          <w:bCs/>
          <w:color w:val="FF0000"/>
          <w:sz w:val="20"/>
        </w:rPr>
        <w:t xml:space="preserve"> CC</w:t>
      </w:r>
      <w:r w:rsidR="005379C9">
        <w:rPr>
          <w:rFonts w:ascii="Arial" w:hAnsi="Arial" w:cs="Arial"/>
          <w:color w:val="000000"/>
          <w:sz w:val="20"/>
        </w:rPr>
        <w:t xml:space="preserve"> and is assisted by one magistrate. </w:t>
      </w:r>
      <w:r w:rsidR="00850F5C">
        <w:rPr>
          <w:rFonts w:ascii="Arial" w:hAnsi="Arial" w:cs="Arial"/>
          <w:color w:val="000000"/>
          <w:sz w:val="20"/>
        </w:rPr>
        <w:t xml:space="preserve">RCM Dotchin is located at </w:t>
      </w:r>
      <w:r w:rsidR="00850F5C" w:rsidRPr="00850F5C">
        <w:rPr>
          <w:rFonts w:ascii="Arial" w:hAnsi="Arial" w:cs="Arial"/>
          <w:b/>
          <w:bCs/>
          <w:color w:val="FF0000"/>
          <w:sz w:val="20"/>
        </w:rPr>
        <w:t>Moorabbin JC</w:t>
      </w:r>
      <w:r w:rsidR="00850F5C">
        <w:rPr>
          <w:rFonts w:ascii="Arial" w:hAnsi="Arial" w:cs="Arial"/>
          <w:color w:val="000000"/>
          <w:sz w:val="20"/>
        </w:rPr>
        <w:t xml:space="preserve"> and is assisted by one magistrate. </w:t>
      </w:r>
      <w:r w:rsidR="00632747">
        <w:rPr>
          <w:rFonts w:ascii="Arial" w:hAnsi="Arial" w:cs="Arial"/>
          <w:color w:val="000000"/>
          <w:sz w:val="20"/>
        </w:rPr>
        <w:t xml:space="preserve">The Children’s Court’s </w:t>
      </w:r>
      <w:r w:rsidR="003729F5">
        <w:rPr>
          <w:rFonts w:ascii="Arial" w:hAnsi="Arial" w:cs="Arial"/>
          <w:color w:val="000000"/>
          <w:sz w:val="20"/>
        </w:rPr>
        <w:t>three</w:t>
      </w:r>
      <w:r>
        <w:rPr>
          <w:rFonts w:ascii="Arial" w:hAnsi="Arial" w:cs="Arial"/>
          <w:color w:val="000000"/>
          <w:sz w:val="20"/>
        </w:rPr>
        <w:t xml:space="preserve"> judicial registrar</w:t>
      </w:r>
      <w:r w:rsidR="003729F5">
        <w:rPr>
          <w:rFonts w:ascii="Arial" w:hAnsi="Arial" w:cs="Arial"/>
          <w:color w:val="000000"/>
          <w:sz w:val="20"/>
        </w:rPr>
        <w:t>s</w:t>
      </w:r>
      <w:r>
        <w:rPr>
          <w:rFonts w:ascii="Arial" w:hAnsi="Arial" w:cs="Arial"/>
          <w:color w:val="000000"/>
          <w:sz w:val="20"/>
        </w:rPr>
        <w:t xml:space="preserve"> </w:t>
      </w:r>
      <w:r w:rsidR="003729F5">
        <w:rPr>
          <w:rFonts w:ascii="Arial" w:hAnsi="Arial" w:cs="Arial"/>
          <w:color w:val="000000"/>
          <w:sz w:val="20"/>
        </w:rPr>
        <w:t xml:space="preserve">are </w:t>
      </w:r>
      <w:r w:rsidR="00861944">
        <w:rPr>
          <w:rFonts w:ascii="Arial" w:hAnsi="Arial" w:cs="Arial"/>
          <w:color w:val="000000"/>
          <w:sz w:val="20"/>
        </w:rPr>
        <w:t>generally listed to sit at Melbourne Children’s Court (if necessary, online).</w:t>
      </w:r>
    </w:p>
    <w:p w14:paraId="2CD56A4B" w14:textId="77777777" w:rsidR="00077D71" w:rsidRPr="000E6664" w:rsidRDefault="00077D71" w:rsidP="00077D71">
      <w:pPr>
        <w:jc w:val="both"/>
        <w:rPr>
          <w:rFonts w:ascii="Arial" w:hAnsi="Arial" w:cs="Arial"/>
          <w:color w:val="000000"/>
          <w:sz w:val="20"/>
        </w:rPr>
      </w:pPr>
    </w:p>
    <w:p w14:paraId="2DB8C2D5" w14:textId="3DA89072" w:rsidR="00CC13FB" w:rsidRDefault="00077D71" w:rsidP="00077D71">
      <w:pPr>
        <w:jc w:val="both"/>
        <w:rPr>
          <w:rFonts w:ascii="Arial" w:hAnsi="Arial" w:cs="Arial"/>
          <w:sz w:val="20"/>
        </w:rPr>
      </w:pPr>
      <w:r>
        <w:rPr>
          <w:rFonts w:ascii="Arial" w:hAnsi="Arial" w:cs="Arial"/>
          <w:sz w:val="20"/>
        </w:rPr>
        <w:t>At country &amp; regional locations</w:t>
      </w:r>
      <w:r w:rsidR="003C2984">
        <w:rPr>
          <w:rFonts w:ascii="Arial" w:hAnsi="Arial" w:cs="Arial"/>
          <w:sz w:val="20"/>
        </w:rPr>
        <w:t xml:space="preserve"> other than Shepparton</w:t>
      </w:r>
      <w:r>
        <w:rPr>
          <w:rFonts w:ascii="Arial" w:hAnsi="Arial" w:cs="Arial"/>
          <w:sz w:val="20"/>
        </w:rPr>
        <w:t xml:space="preserve">, a magistrate assigned to that court generally hears cases in the Children's Court in addition to his or her other duties in the Magistrates' Court.  However, </w:t>
      </w:r>
      <w:r w:rsidR="00CC13FB">
        <w:rPr>
          <w:rFonts w:ascii="Arial" w:hAnsi="Arial" w:cs="Arial"/>
          <w:sz w:val="20"/>
        </w:rPr>
        <w:t>in country &amp; regional locations</w:t>
      </w:r>
      <w:r w:rsidR="006835EC">
        <w:rPr>
          <w:rFonts w:ascii="Arial" w:hAnsi="Arial" w:cs="Arial"/>
          <w:sz w:val="20"/>
        </w:rPr>
        <w:t>,</w:t>
      </w:r>
      <w:r w:rsidR="00CC13FB">
        <w:rPr>
          <w:rFonts w:ascii="Arial" w:hAnsi="Arial" w:cs="Arial"/>
          <w:sz w:val="20"/>
        </w:rPr>
        <w:t xml:space="preserve"> </w:t>
      </w:r>
      <w:r w:rsidR="004E6875">
        <w:rPr>
          <w:rFonts w:ascii="Arial" w:hAnsi="Arial" w:cs="Arial"/>
          <w:sz w:val="20"/>
        </w:rPr>
        <w:t xml:space="preserve">final contested Family Division hearings listed for </w:t>
      </w:r>
      <w:r w:rsidR="00CC13FB">
        <w:rPr>
          <w:rFonts w:ascii="Arial" w:hAnsi="Arial" w:cs="Arial"/>
          <w:sz w:val="20"/>
        </w:rPr>
        <w:t>3 days or more</w:t>
      </w:r>
      <w:r w:rsidR="004E6875">
        <w:rPr>
          <w:rFonts w:ascii="Arial" w:hAnsi="Arial" w:cs="Arial"/>
          <w:sz w:val="20"/>
        </w:rPr>
        <w:t xml:space="preserve"> are generally heard by </w:t>
      </w:r>
      <w:r w:rsidR="00CF10A9">
        <w:rPr>
          <w:rFonts w:ascii="Arial" w:hAnsi="Arial" w:cs="Arial"/>
          <w:sz w:val="20"/>
        </w:rPr>
        <w:t>a magistrate from</w:t>
      </w:r>
      <w:r w:rsidR="004E6875">
        <w:rPr>
          <w:rFonts w:ascii="Arial" w:hAnsi="Arial" w:cs="Arial"/>
          <w:sz w:val="20"/>
        </w:rPr>
        <w:t xml:space="preserve"> Melbourne Children’s Court.  </w:t>
      </w:r>
      <w:r w:rsidR="00CC13FB">
        <w:rPr>
          <w:rFonts w:ascii="Arial" w:hAnsi="Arial" w:cs="Arial"/>
          <w:sz w:val="20"/>
        </w:rPr>
        <w:t>At</w:t>
      </w:r>
      <w:r w:rsidR="0089405F">
        <w:rPr>
          <w:rFonts w:ascii="Arial" w:hAnsi="Arial" w:cs="Arial"/>
          <w:sz w:val="20"/>
        </w:rPr>
        <w:t xml:space="preserve"> </w:t>
      </w:r>
      <w:r w:rsidR="00CC13FB">
        <w:rPr>
          <w:rFonts w:ascii="Arial" w:hAnsi="Arial" w:cs="Arial"/>
          <w:sz w:val="20"/>
        </w:rPr>
        <w:t>Shepparton Children’s Court a Melbourne Children’s Court magistrate sits on Thursday/Friday to hear Children’s Court cases.</w:t>
      </w:r>
    </w:p>
    <w:p w14:paraId="26FBA5E5" w14:textId="77777777" w:rsidR="00CC13FB" w:rsidRDefault="00CC13FB" w:rsidP="00077D71">
      <w:pPr>
        <w:jc w:val="both"/>
        <w:rPr>
          <w:rFonts w:ascii="Arial" w:hAnsi="Arial" w:cs="Arial"/>
          <w:sz w:val="20"/>
        </w:rPr>
      </w:pPr>
    </w:p>
    <w:p w14:paraId="125B87EE" w14:textId="34DC481A" w:rsidR="00077D71" w:rsidRDefault="00077D71" w:rsidP="00077D71">
      <w:pPr>
        <w:jc w:val="both"/>
        <w:rPr>
          <w:rFonts w:ascii="Arial" w:hAnsi="Arial" w:cs="Arial"/>
          <w:sz w:val="20"/>
        </w:rPr>
      </w:pPr>
      <w:r>
        <w:rPr>
          <w:rFonts w:ascii="Arial" w:hAnsi="Arial" w:cs="Arial"/>
          <w:sz w:val="20"/>
        </w:rPr>
        <w:t>In addition, contested suburban criminal cases of more than 1 day's duration are</w:t>
      </w:r>
      <w:r w:rsidR="00CC13FB">
        <w:rPr>
          <w:rFonts w:ascii="Arial" w:hAnsi="Arial" w:cs="Arial"/>
          <w:sz w:val="20"/>
        </w:rPr>
        <w:t xml:space="preserve"> generally</w:t>
      </w:r>
      <w:r>
        <w:rPr>
          <w:rFonts w:ascii="Arial" w:hAnsi="Arial" w:cs="Arial"/>
          <w:sz w:val="20"/>
        </w:rPr>
        <w:t xml:space="preserve"> hear</w:t>
      </w:r>
      <w:r w:rsidR="00FC30E9">
        <w:rPr>
          <w:rFonts w:ascii="Arial" w:hAnsi="Arial" w:cs="Arial"/>
          <w:sz w:val="20"/>
        </w:rPr>
        <w:t>d by the</w:t>
      </w:r>
      <w:r>
        <w:rPr>
          <w:rFonts w:ascii="Arial" w:hAnsi="Arial" w:cs="Arial"/>
          <w:sz w:val="20"/>
        </w:rPr>
        <w:t xml:space="preserve"> Melbourne Children's Court, albeit at the discretion of the coordinators of both courts.</w:t>
      </w:r>
    </w:p>
    <w:bookmarkEnd w:id="326"/>
    <w:p w14:paraId="2BD10AE9" w14:textId="77777777" w:rsidR="00077D71" w:rsidRDefault="00077D71" w:rsidP="00077D71">
      <w:pPr>
        <w:jc w:val="both"/>
        <w:rPr>
          <w:rFonts w:ascii="Arial" w:hAnsi="Arial" w:cs="Arial"/>
          <w:sz w:val="20"/>
        </w:rPr>
      </w:pPr>
    </w:p>
    <w:p w14:paraId="14F16A2C" w14:textId="26B93EE8" w:rsidR="00C23CF0" w:rsidRDefault="00C23CF0" w:rsidP="00C23CF0">
      <w:pPr>
        <w:jc w:val="both"/>
        <w:rPr>
          <w:rFonts w:ascii="Arial" w:hAnsi="Arial" w:cs="Arial"/>
          <w:sz w:val="20"/>
        </w:rPr>
      </w:pPr>
      <w:bookmarkStart w:id="327" w:name="_Hlk144738638"/>
      <w:r>
        <w:rPr>
          <w:rFonts w:ascii="Arial" w:hAnsi="Arial" w:cs="Arial"/>
          <w:sz w:val="20"/>
        </w:rPr>
        <w:t xml:space="preserve">In its second interim report – </w:t>
      </w:r>
      <w:hyperlink r:id="rId10" w:history="1">
        <w:r w:rsidRPr="001851B4">
          <w:rPr>
            <w:rStyle w:val="Hyperlink"/>
            <w:rFonts w:ascii="Arial" w:hAnsi="Arial" w:cs="Arial"/>
            <w:sz w:val="20"/>
          </w:rPr>
          <w:t>Report into Victoria’s Child Protection and Criminal Justice Systems</w:t>
        </w:r>
      </w:hyperlink>
      <w:r>
        <w:rPr>
          <w:rFonts w:ascii="Arial" w:hAnsi="Arial" w:cs="Arial"/>
          <w:sz w:val="20"/>
        </w:rPr>
        <w:t xml:space="preserve"> – tabled on 04/09/2023</w:t>
      </w:r>
      <w:r w:rsidR="001471CA">
        <w:rPr>
          <w:rFonts w:ascii="Arial" w:hAnsi="Arial" w:cs="Arial"/>
          <w:sz w:val="20"/>
        </w:rPr>
        <w:t>,</w:t>
      </w:r>
      <w:r>
        <w:rPr>
          <w:rFonts w:ascii="Arial" w:hAnsi="Arial" w:cs="Arial"/>
          <w:sz w:val="20"/>
        </w:rPr>
        <w:t xml:space="preserve"> the Yoorrook Justice Commission </w:t>
      </w:r>
      <w:bookmarkEnd w:id="327"/>
      <w:r w:rsidRPr="00BA3401">
        <w:rPr>
          <w:rFonts w:ascii="Arial" w:hAnsi="Arial" w:cs="Arial"/>
          <w:sz w:val="20"/>
        </w:rPr>
        <w:t>ma</w:t>
      </w:r>
      <w:r>
        <w:rPr>
          <w:rFonts w:ascii="Arial" w:hAnsi="Arial" w:cs="Arial"/>
          <w:sz w:val="20"/>
        </w:rPr>
        <w:t>de</w:t>
      </w:r>
      <w:r w:rsidRPr="00BA3401">
        <w:rPr>
          <w:rFonts w:ascii="Arial" w:hAnsi="Arial" w:cs="Arial"/>
          <w:sz w:val="20"/>
        </w:rPr>
        <w:t xml:space="preserve"> 46 recommendations</w:t>
      </w:r>
      <w:r>
        <w:rPr>
          <w:rFonts w:ascii="Arial" w:hAnsi="Arial" w:cs="Arial"/>
          <w:sz w:val="20"/>
        </w:rPr>
        <w:t xml:space="preserve"> </w:t>
      </w:r>
      <w:r w:rsidRPr="00BA3401">
        <w:rPr>
          <w:rFonts w:ascii="Arial" w:hAnsi="Arial" w:cs="Arial"/>
          <w:sz w:val="20"/>
        </w:rPr>
        <w:t xml:space="preserve">for </w:t>
      </w:r>
      <w:r>
        <w:rPr>
          <w:rFonts w:ascii="Arial" w:hAnsi="Arial" w:cs="Arial"/>
          <w:sz w:val="20"/>
        </w:rPr>
        <w:t xml:space="preserve">legislative and general system </w:t>
      </w:r>
      <w:r w:rsidRPr="00BA3401">
        <w:rPr>
          <w:rFonts w:ascii="Arial" w:hAnsi="Arial" w:cs="Arial"/>
          <w:sz w:val="20"/>
        </w:rPr>
        <w:t>reform</w:t>
      </w:r>
      <w:r>
        <w:rPr>
          <w:rFonts w:ascii="Arial" w:hAnsi="Arial" w:cs="Arial"/>
          <w:sz w:val="20"/>
        </w:rPr>
        <w:t xml:space="preserve">.  Yoorrook’s recommendation 18 </w:t>
      </w:r>
      <w:r w:rsidR="001471CA">
        <w:rPr>
          <w:rFonts w:ascii="Arial" w:hAnsi="Arial" w:cs="Arial"/>
          <w:sz w:val="20"/>
        </w:rPr>
        <w:t>is</w:t>
      </w:r>
      <w:r>
        <w:rPr>
          <w:rFonts w:ascii="Arial" w:hAnsi="Arial" w:cs="Arial"/>
          <w:sz w:val="20"/>
        </w:rPr>
        <w:t>:</w:t>
      </w:r>
    </w:p>
    <w:p w14:paraId="69BFADC5" w14:textId="419FD0D1" w:rsidR="00C23CF0" w:rsidRPr="00C23CF0" w:rsidRDefault="00C23CF0" w:rsidP="001471CA">
      <w:pPr>
        <w:pStyle w:val="ListParagraph"/>
        <w:numPr>
          <w:ilvl w:val="0"/>
          <w:numId w:val="39"/>
        </w:numPr>
        <w:spacing w:before="60"/>
        <w:ind w:left="357" w:hanging="357"/>
        <w:jc w:val="both"/>
        <w:rPr>
          <w:rFonts w:ascii="Arial" w:hAnsi="Arial" w:cs="Arial"/>
          <w:sz w:val="20"/>
        </w:rPr>
      </w:pPr>
      <w:r w:rsidRPr="00C23CF0">
        <w:rPr>
          <w:rFonts w:ascii="Arial" w:hAnsi="Arial" w:cs="Arial"/>
          <w:sz w:val="20"/>
        </w:rPr>
        <w:t>The Victorian Government must:</w:t>
      </w:r>
    </w:p>
    <w:p w14:paraId="797A5D31" w14:textId="1CBAFCC0" w:rsidR="00C23CF0" w:rsidRPr="001471CA" w:rsidRDefault="00C23CF0" w:rsidP="001471CA">
      <w:pPr>
        <w:pStyle w:val="ListParagraph"/>
        <w:numPr>
          <w:ilvl w:val="0"/>
          <w:numId w:val="40"/>
        </w:numPr>
        <w:contextualSpacing/>
        <w:jc w:val="both"/>
        <w:rPr>
          <w:rFonts w:ascii="Arial" w:hAnsi="Arial" w:cs="Arial"/>
          <w:sz w:val="20"/>
        </w:rPr>
      </w:pPr>
      <w:r w:rsidRPr="001471CA">
        <w:rPr>
          <w:rFonts w:ascii="Arial" w:hAnsi="Arial" w:cs="Arial"/>
          <w:sz w:val="20"/>
        </w:rPr>
        <w:t>ensure Children’s Court of Victoria judicial officers determine child protection matters state-wide; and</w:t>
      </w:r>
    </w:p>
    <w:p w14:paraId="56F49ABD" w14:textId="6B77D3C1" w:rsidR="00C23CF0" w:rsidRPr="001471CA" w:rsidRDefault="00C23CF0" w:rsidP="001471CA">
      <w:pPr>
        <w:pStyle w:val="ListParagraph"/>
        <w:numPr>
          <w:ilvl w:val="0"/>
          <w:numId w:val="40"/>
        </w:numPr>
        <w:spacing w:before="60"/>
        <w:contextualSpacing/>
        <w:jc w:val="both"/>
        <w:rPr>
          <w:rFonts w:ascii="Arial" w:hAnsi="Arial" w:cs="Arial"/>
          <w:sz w:val="20"/>
        </w:rPr>
      </w:pPr>
      <w:r w:rsidRPr="001471CA">
        <w:rPr>
          <w:rFonts w:ascii="Arial" w:hAnsi="Arial" w:cs="Arial"/>
          <w:sz w:val="20"/>
        </w:rPr>
        <w:t>abolish the current practice of having non-specialist magistrates determining child protection matters in some rural and regional court locations.</w:t>
      </w:r>
    </w:p>
    <w:p w14:paraId="06F00FDF" w14:textId="423DB058" w:rsidR="00C23CF0" w:rsidRDefault="00C23CF0" w:rsidP="00C23CF0">
      <w:pPr>
        <w:spacing w:before="60"/>
        <w:jc w:val="both"/>
        <w:rPr>
          <w:rFonts w:ascii="Arial" w:hAnsi="Arial" w:cs="Arial"/>
          <w:sz w:val="20"/>
        </w:rPr>
      </w:pPr>
      <w:r>
        <w:rPr>
          <w:rFonts w:ascii="Arial" w:hAnsi="Arial" w:cs="Arial"/>
          <w:sz w:val="20"/>
        </w:rPr>
        <w:t>The reasons for th</w:t>
      </w:r>
      <w:r w:rsidR="001471CA">
        <w:rPr>
          <w:rFonts w:ascii="Arial" w:hAnsi="Arial" w:cs="Arial"/>
          <w:sz w:val="20"/>
        </w:rPr>
        <w:t>is</w:t>
      </w:r>
      <w:r>
        <w:rPr>
          <w:rFonts w:ascii="Arial" w:hAnsi="Arial" w:cs="Arial"/>
          <w:sz w:val="20"/>
        </w:rPr>
        <w:t xml:space="preserve"> recommendation </w:t>
      </w:r>
      <w:r w:rsidR="005B7359">
        <w:rPr>
          <w:rFonts w:ascii="Arial" w:hAnsi="Arial" w:cs="Arial"/>
          <w:sz w:val="20"/>
        </w:rPr>
        <w:t xml:space="preserve">together with the reasons for recommendation 19 – the expansion of the Marram-Ngala </w:t>
      </w:r>
      <w:proofErr w:type="spellStart"/>
      <w:r w:rsidR="005B7359">
        <w:rPr>
          <w:rFonts w:ascii="Arial" w:hAnsi="Arial" w:cs="Arial"/>
          <w:sz w:val="20"/>
        </w:rPr>
        <w:t>Ganbu</w:t>
      </w:r>
      <w:proofErr w:type="spellEnd"/>
      <w:r w:rsidR="005B7359">
        <w:rPr>
          <w:rFonts w:ascii="Arial" w:hAnsi="Arial" w:cs="Arial"/>
          <w:sz w:val="20"/>
        </w:rPr>
        <w:t xml:space="preserve"> (Koori Family Hearing Day) state-wide – </w:t>
      </w:r>
      <w:r>
        <w:rPr>
          <w:rFonts w:ascii="Arial" w:hAnsi="Arial" w:cs="Arial"/>
          <w:sz w:val="20"/>
        </w:rPr>
        <w:t>are</w:t>
      </w:r>
      <w:r w:rsidR="005B7359">
        <w:rPr>
          <w:rFonts w:ascii="Arial" w:hAnsi="Arial" w:cs="Arial"/>
          <w:sz w:val="20"/>
        </w:rPr>
        <w:t xml:space="preserve"> </w:t>
      </w:r>
      <w:r>
        <w:rPr>
          <w:rFonts w:ascii="Arial" w:hAnsi="Arial" w:cs="Arial"/>
          <w:sz w:val="20"/>
        </w:rPr>
        <w:t xml:space="preserve">detailed on pages </w:t>
      </w:r>
      <w:r w:rsidR="005B7359">
        <w:rPr>
          <w:rFonts w:ascii="Arial" w:hAnsi="Arial" w:cs="Arial"/>
          <w:sz w:val="20"/>
        </w:rPr>
        <w:t>163</w:t>
      </w:r>
      <w:r>
        <w:rPr>
          <w:rFonts w:ascii="Arial" w:hAnsi="Arial" w:cs="Arial"/>
          <w:sz w:val="20"/>
        </w:rPr>
        <w:t>-</w:t>
      </w:r>
      <w:r w:rsidR="005B7359">
        <w:rPr>
          <w:rFonts w:ascii="Arial" w:hAnsi="Arial" w:cs="Arial"/>
          <w:sz w:val="20"/>
        </w:rPr>
        <w:t>167</w:t>
      </w:r>
      <w:r>
        <w:rPr>
          <w:rFonts w:ascii="Arial" w:hAnsi="Arial" w:cs="Arial"/>
          <w:sz w:val="20"/>
        </w:rPr>
        <w:t xml:space="preserve"> of the report.</w:t>
      </w:r>
    </w:p>
    <w:p w14:paraId="112AD861" w14:textId="77A615D4" w:rsidR="00C23CF0" w:rsidRDefault="00C23CF0" w:rsidP="00077D71">
      <w:pPr>
        <w:jc w:val="both"/>
        <w:rPr>
          <w:rFonts w:ascii="Arial" w:hAnsi="Arial" w:cs="Arial"/>
          <w:sz w:val="20"/>
        </w:rPr>
      </w:pPr>
    </w:p>
    <w:p w14:paraId="2C3F69BD" w14:textId="1BBEE5DB" w:rsidR="00F843DE" w:rsidRDefault="00F843DE" w:rsidP="00077D71">
      <w:pPr>
        <w:jc w:val="both"/>
        <w:rPr>
          <w:rFonts w:ascii="Arial" w:hAnsi="Arial" w:cs="Arial"/>
          <w:sz w:val="20"/>
        </w:rPr>
      </w:pPr>
      <w:r>
        <w:rPr>
          <w:rFonts w:ascii="Arial" w:hAnsi="Arial" w:cs="Arial"/>
          <w:sz w:val="20"/>
        </w:rPr>
        <w:t>The Victorian government advised in April 2024 that it supported recommendations 18 &amp; 19 in principle.</w:t>
      </w:r>
    </w:p>
    <w:p w14:paraId="7902C327" w14:textId="77777777" w:rsidR="00F843DE" w:rsidRDefault="00F843DE" w:rsidP="00077D71">
      <w:pPr>
        <w:jc w:val="both"/>
        <w:rPr>
          <w:rFonts w:ascii="Arial" w:hAnsi="Arial" w:cs="Arial"/>
          <w:sz w:val="20"/>
        </w:rPr>
      </w:pPr>
    </w:p>
    <w:p w14:paraId="0D9C48BE" w14:textId="0E577234" w:rsidR="00077D71" w:rsidRDefault="00077D71" w:rsidP="00077D71">
      <w:pPr>
        <w:pStyle w:val="Heading3"/>
        <w:keepNext/>
        <w:keepLines/>
        <w:spacing w:after="120" w:line="240" w:lineRule="auto"/>
        <w:rPr>
          <w:rFonts w:ascii="Arial" w:hAnsi="Arial" w:cs="Arial"/>
          <w:b/>
          <w:bCs/>
          <w:sz w:val="20"/>
        </w:rPr>
      </w:pPr>
      <w:bookmarkStart w:id="328" w:name="_2.5.3_Children’s_Court"/>
      <w:bookmarkEnd w:id="328"/>
      <w:r>
        <w:rPr>
          <w:rFonts w:ascii="Arial" w:hAnsi="Arial" w:cs="Arial"/>
          <w:b/>
          <w:bCs/>
          <w:sz w:val="20"/>
        </w:rPr>
        <w:t>2.5.</w:t>
      </w:r>
      <w:r w:rsidR="00827F9A">
        <w:rPr>
          <w:rFonts w:ascii="Arial" w:hAnsi="Arial" w:cs="Arial"/>
          <w:b/>
          <w:bCs/>
          <w:sz w:val="20"/>
        </w:rPr>
        <w:t>3</w:t>
      </w:r>
      <w:r>
        <w:rPr>
          <w:rFonts w:ascii="Arial" w:hAnsi="Arial" w:cs="Arial"/>
          <w:b/>
          <w:bCs/>
          <w:sz w:val="20"/>
        </w:rPr>
        <w:tab/>
        <w:t xml:space="preserve">Children’s Court </w:t>
      </w:r>
      <w:r w:rsidR="001922E5">
        <w:rPr>
          <w:rFonts w:ascii="Arial" w:hAnsi="Arial" w:cs="Arial"/>
          <w:b/>
          <w:bCs/>
          <w:sz w:val="20"/>
        </w:rPr>
        <w:t xml:space="preserve">Weekend </w:t>
      </w:r>
      <w:r>
        <w:rPr>
          <w:rFonts w:ascii="Arial" w:hAnsi="Arial" w:cs="Arial"/>
          <w:b/>
          <w:bCs/>
          <w:sz w:val="20"/>
        </w:rPr>
        <w:t>Online Remand Court [WORC]</w:t>
      </w:r>
    </w:p>
    <w:p w14:paraId="2465E374" w14:textId="29950C50" w:rsidR="009C57A7" w:rsidRDefault="00C0003A">
      <w:pPr>
        <w:jc w:val="both"/>
        <w:rPr>
          <w:rFonts w:ascii="Arial" w:hAnsi="Arial" w:cs="Arial"/>
          <w:color w:val="000000"/>
          <w:sz w:val="20"/>
        </w:rPr>
      </w:pPr>
      <w:r>
        <w:rPr>
          <w:rFonts w:ascii="Arial" w:hAnsi="Arial" w:cs="Arial"/>
          <w:color w:val="000000"/>
          <w:sz w:val="20"/>
        </w:rPr>
        <w:t xml:space="preserve">Commencing on 03/09/2022 a new Children’s Court Weekend Online Remand Court </w:t>
      </w:r>
      <w:r w:rsidR="009B5323">
        <w:rPr>
          <w:rFonts w:ascii="Arial" w:hAnsi="Arial" w:cs="Arial"/>
          <w:color w:val="000000"/>
          <w:sz w:val="20"/>
        </w:rPr>
        <w:t>[</w:t>
      </w:r>
      <w:r>
        <w:rPr>
          <w:rFonts w:ascii="Arial" w:hAnsi="Arial" w:cs="Arial"/>
          <w:color w:val="000000"/>
          <w:sz w:val="20"/>
        </w:rPr>
        <w:t>WORC</w:t>
      </w:r>
      <w:r w:rsidR="009B5323">
        <w:rPr>
          <w:rFonts w:ascii="Arial" w:hAnsi="Arial" w:cs="Arial"/>
          <w:color w:val="000000"/>
          <w:sz w:val="20"/>
        </w:rPr>
        <w:t>]</w:t>
      </w:r>
      <w:r>
        <w:rPr>
          <w:rFonts w:ascii="Arial" w:hAnsi="Arial" w:cs="Arial"/>
          <w:color w:val="000000"/>
          <w:sz w:val="20"/>
        </w:rPr>
        <w:t xml:space="preserve"> </w:t>
      </w:r>
      <w:r w:rsidR="005711EB">
        <w:rPr>
          <w:rFonts w:ascii="Arial" w:hAnsi="Arial" w:cs="Arial"/>
          <w:color w:val="000000"/>
          <w:sz w:val="20"/>
        </w:rPr>
        <w:t>was</w:t>
      </w:r>
      <w:r>
        <w:rPr>
          <w:rFonts w:ascii="Arial" w:hAnsi="Arial" w:cs="Arial"/>
          <w:color w:val="000000"/>
          <w:sz w:val="20"/>
        </w:rPr>
        <w:t xml:space="preserve"> established in the Criminal Division of the Court to hear</w:t>
      </w:r>
      <w:r w:rsidR="007604F0">
        <w:rPr>
          <w:rFonts w:ascii="Arial" w:hAnsi="Arial" w:cs="Arial"/>
          <w:color w:val="000000"/>
          <w:sz w:val="20"/>
        </w:rPr>
        <w:t>–</w:t>
      </w:r>
    </w:p>
    <w:p w14:paraId="16E8AE03" w14:textId="69C40B52" w:rsidR="009C57A7" w:rsidRPr="009C57A7" w:rsidRDefault="00C0003A" w:rsidP="00C23CF0">
      <w:pPr>
        <w:numPr>
          <w:ilvl w:val="0"/>
          <w:numId w:val="25"/>
        </w:numPr>
        <w:ind w:left="357" w:hanging="357"/>
        <w:rPr>
          <w:rFonts w:ascii="Arial" w:hAnsi="Arial" w:cs="Arial"/>
          <w:color w:val="000000" w:themeColor="text1"/>
          <w:sz w:val="20"/>
          <w:szCs w:val="20"/>
        </w:rPr>
      </w:pPr>
      <w:r>
        <w:rPr>
          <w:rFonts w:ascii="Arial" w:hAnsi="Arial" w:cs="Arial"/>
          <w:color w:val="000000"/>
          <w:sz w:val="20"/>
        </w:rPr>
        <w:t>bail and remand applications</w:t>
      </w:r>
      <w:r w:rsidR="009C57A7">
        <w:rPr>
          <w:rFonts w:ascii="Arial" w:hAnsi="Arial" w:cs="Arial"/>
          <w:color w:val="000000"/>
          <w:sz w:val="20"/>
        </w:rPr>
        <w:t>;</w:t>
      </w:r>
    </w:p>
    <w:p w14:paraId="1A23FECE" w14:textId="32C0A916" w:rsidR="009C57A7" w:rsidRPr="002A0A99" w:rsidRDefault="009C57A7" w:rsidP="00C23CF0">
      <w:pPr>
        <w:numPr>
          <w:ilvl w:val="0"/>
          <w:numId w:val="25"/>
        </w:numPr>
        <w:ind w:left="357" w:hanging="357"/>
        <w:rPr>
          <w:rFonts w:ascii="Arial" w:hAnsi="Arial" w:cs="Arial"/>
          <w:color w:val="000000" w:themeColor="text1"/>
          <w:sz w:val="20"/>
          <w:szCs w:val="20"/>
        </w:rPr>
      </w:pPr>
      <w:r>
        <w:rPr>
          <w:rFonts w:ascii="Arial" w:hAnsi="Arial" w:cs="Arial"/>
          <w:color w:val="000000"/>
          <w:sz w:val="20"/>
        </w:rPr>
        <w:t>pleas by remanded children in appropriate cases; and</w:t>
      </w:r>
    </w:p>
    <w:p w14:paraId="0C493343" w14:textId="11DFB9E6" w:rsidR="009C57A7" w:rsidRPr="002A0A99" w:rsidRDefault="00E250AE" w:rsidP="00C23CF0">
      <w:pPr>
        <w:numPr>
          <w:ilvl w:val="0"/>
          <w:numId w:val="25"/>
        </w:numPr>
        <w:ind w:left="357" w:hanging="357"/>
        <w:rPr>
          <w:rFonts w:ascii="Arial" w:hAnsi="Arial" w:cs="Arial"/>
          <w:color w:val="000000" w:themeColor="text1"/>
          <w:sz w:val="20"/>
          <w:szCs w:val="20"/>
        </w:rPr>
      </w:pPr>
      <w:r>
        <w:rPr>
          <w:rFonts w:ascii="Arial" w:hAnsi="Arial" w:cs="Arial"/>
          <w:color w:val="000000"/>
          <w:sz w:val="20"/>
        </w:rPr>
        <w:t xml:space="preserve">other appropriate </w:t>
      </w:r>
      <w:r w:rsidR="00E10AB9">
        <w:rPr>
          <w:rFonts w:ascii="Arial" w:hAnsi="Arial" w:cs="Arial"/>
          <w:color w:val="000000"/>
          <w:sz w:val="20"/>
        </w:rPr>
        <w:t xml:space="preserve">Criminal Division </w:t>
      </w:r>
      <w:r>
        <w:rPr>
          <w:rFonts w:ascii="Arial" w:hAnsi="Arial" w:cs="Arial"/>
          <w:color w:val="000000"/>
          <w:sz w:val="20"/>
        </w:rPr>
        <w:t>applications</w:t>
      </w:r>
      <w:r w:rsidR="007604F0">
        <w:rPr>
          <w:rFonts w:ascii="Arial" w:hAnsi="Arial" w:cs="Arial"/>
          <w:color w:val="000000"/>
          <w:sz w:val="20"/>
        </w:rPr>
        <w:t>–</w:t>
      </w:r>
    </w:p>
    <w:p w14:paraId="59D36DBA" w14:textId="553443E9" w:rsidR="00C0003A" w:rsidRDefault="00341113">
      <w:pPr>
        <w:jc w:val="both"/>
        <w:rPr>
          <w:rFonts w:ascii="Arial" w:hAnsi="Arial" w:cs="Arial"/>
          <w:color w:val="000000"/>
          <w:sz w:val="20"/>
        </w:rPr>
      </w:pPr>
      <w:r>
        <w:rPr>
          <w:rFonts w:ascii="Arial" w:hAnsi="Arial" w:cs="Arial"/>
          <w:color w:val="000000"/>
          <w:sz w:val="20"/>
        </w:rPr>
        <w:t xml:space="preserve">online </w:t>
      </w:r>
      <w:r w:rsidR="00C0003A">
        <w:rPr>
          <w:rFonts w:ascii="Arial" w:hAnsi="Arial" w:cs="Arial"/>
          <w:color w:val="000000"/>
          <w:sz w:val="20"/>
        </w:rPr>
        <w:t xml:space="preserve">from across the State. </w:t>
      </w:r>
      <w:r w:rsidR="00C0003A" w:rsidRPr="00C0003A">
        <w:rPr>
          <w:rFonts w:ascii="Arial" w:hAnsi="Arial" w:cs="Arial"/>
          <w:sz w:val="20"/>
          <w:szCs w:val="20"/>
        </w:rPr>
        <w:t>WORC sit</w:t>
      </w:r>
      <w:r w:rsidR="007604F0">
        <w:rPr>
          <w:rFonts w:ascii="Arial" w:hAnsi="Arial" w:cs="Arial"/>
          <w:sz w:val="20"/>
          <w:szCs w:val="20"/>
        </w:rPr>
        <w:t>s</w:t>
      </w:r>
      <w:r w:rsidR="00C0003A" w:rsidRPr="00C0003A">
        <w:rPr>
          <w:rFonts w:ascii="Arial" w:hAnsi="Arial" w:cs="Arial"/>
          <w:sz w:val="20"/>
          <w:szCs w:val="20"/>
        </w:rPr>
        <w:t xml:space="preserve"> between the hours of 3pm and 9pm on weekends and public holidays (excluding Christmas Day).</w:t>
      </w:r>
      <w:r w:rsidR="00E250AE">
        <w:rPr>
          <w:rFonts w:ascii="Arial" w:hAnsi="Arial" w:cs="Arial"/>
          <w:sz w:val="20"/>
          <w:szCs w:val="20"/>
        </w:rPr>
        <w:t xml:space="preserve"> </w:t>
      </w:r>
      <w:r w:rsidR="009C57A7">
        <w:rPr>
          <w:rFonts w:ascii="Arial" w:hAnsi="Arial" w:cs="Arial"/>
          <w:sz w:val="20"/>
          <w:szCs w:val="20"/>
        </w:rPr>
        <w:t xml:space="preserve">Any </w:t>
      </w:r>
      <w:r w:rsidR="001F230B">
        <w:rPr>
          <w:rFonts w:ascii="Arial" w:hAnsi="Arial" w:cs="Arial"/>
          <w:sz w:val="20"/>
          <w:szCs w:val="20"/>
        </w:rPr>
        <w:t xml:space="preserve">part-heard WORC cases </w:t>
      </w:r>
      <w:r w:rsidR="005711EB">
        <w:rPr>
          <w:rFonts w:ascii="Arial" w:hAnsi="Arial" w:cs="Arial"/>
          <w:sz w:val="20"/>
          <w:szCs w:val="20"/>
        </w:rPr>
        <w:t>are</w:t>
      </w:r>
      <w:r w:rsidR="001F230B">
        <w:rPr>
          <w:rFonts w:ascii="Arial" w:hAnsi="Arial" w:cs="Arial"/>
          <w:sz w:val="20"/>
          <w:szCs w:val="20"/>
        </w:rPr>
        <w:t xml:space="preserve"> adjourned at the discretion of the presiding judicial officer. Any other </w:t>
      </w:r>
      <w:r w:rsidR="009C57A7">
        <w:rPr>
          <w:rFonts w:ascii="Arial" w:hAnsi="Arial" w:cs="Arial"/>
          <w:sz w:val="20"/>
          <w:szCs w:val="20"/>
        </w:rPr>
        <w:t>un</w:t>
      </w:r>
      <w:r w:rsidR="00E250AE">
        <w:rPr>
          <w:rFonts w:ascii="Arial" w:hAnsi="Arial" w:cs="Arial"/>
          <w:sz w:val="20"/>
          <w:szCs w:val="20"/>
        </w:rPr>
        <w:t xml:space="preserve">completed </w:t>
      </w:r>
      <w:r w:rsidR="001F230B">
        <w:rPr>
          <w:rFonts w:ascii="Arial" w:hAnsi="Arial" w:cs="Arial"/>
          <w:sz w:val="20"/>
          <w:szCs w:val="20"/>
        </w:rPr>
        <w:t xml:space="preserve">WORC </w:t>
      </w:r>
      <w:r w:rsidR="00E250AE">
        <w:rPr>
          <w:rFonts w:ascii="Arial" w:hAnsi="Arial" w:cs="Arial"/>
          <w:sz w:val="20"/>
          <w:szCs w:val="20"/>
        </w:rPr>
        <w:t>cases</w:t>
      </w:r>
      <w:r w:rsidR="00E250AE" w:rsidRPr="002A0A99">
        <w:rPr>
          <w:rFonts w:ascii="Arial" w:hAnsi="Arial" w:cs="Arial"/>
          <w:color w:val="000000" w:themeColor="text1"/>
          <w:sz w:val="20"/>
          <w:szCs w:val="20"/>
        </w:rPr>
        <w:t xml:space="preserve"> </w:t>
      </w:r>
      <w:r w:rsidR="005711EB">
        <w:rPr>
          <w:rFonts w:ascii="Arial" w:hAnsi="Arial" w:cs="Arial"/>
          <w:color w:val="000000" w:themeColor="text1"/>
          <w:sz w:val="20"/>
          <w:szCs w:val="20"/>
        </w:rPr>
        <w:t>are</w:t>
      </w:r>
      <w:r w:rsidR="00E250AE" w:rsidRPr="002A0A99">
        <w:rPr>
          <w:rFonts w:ascii="Arial" w:hAnsi="Arial" w:cs="Arial"/>
          <w:color w:val="000000" w:themeColor="text1"/>
          <w:sz w:val="20"/>
          <w:szCs w:val="20"/>
        </w:rPr>
        <w:t xml:space="preserve"> </w:t>
      </w:r>
      <w:r w:rsidR="001A2EA9">
        <w:rPr>
          <w:rFonts w:ascii="Arial" w:hAnsi="Arial" w:cs="Arial"/>
          <w:color w:val="000000" w:themeColor="text1"/>
          <w:sz w:val="20"/>
          <w:szCs w:val="20"/>
        </w:rPr>
        <w:t xml:space="preserve">generally </w:t>
      </w:r>
      <w:r w:rsidR="00E250AE" w:rsidRPr="002A0A99">
        <w:rPr>
          <w:rFonts w:ascii="Arial" w:hAnsi="Arial" w:cs="Arial"/>
          <w:color w:val="000000" w:themeColor="text1"/>
          <w:sz w:val="20"/>
          <w:szCs w:val="20"/>
        </w:rPr>
        <w:t xml:space="preserve">adjourned to the </w:t>
      </w:r>
      <w:r w:rsidR="005711EB">
        <w:rPr>
          <w:rFonts w:ascii="Arial" w:hAnsi="Arial" w:cs="Arial"/>
          <w:color w:val="000000" w:themeColor="text1"/>
          <w:sz w:val="20"/>
          <w:szCs w:val="20"/>
        </w:rPr>
        <w:t>appropriate</w:t>
      </w:r>
      <w:r w:rsidR="00E250AE" w:rsidRPr="002A0A99">
        <w:rPr>
          <w:rFonts w:ascii="Arial" w:hAnsi="Arial" w:cs="Arial"/>
          <w:color w:val="000000" w:themeColor="text1"/>
          <w:sz w:val="20"/>
          <w:szCs w:val="20"/>
        </w:rPr>
        <w:t xml:space="preserve"> venue </w:t>
      </w:r>
      <w:r w:rsidR="00E250AE">
        <w:rPr>
          <w:rFonts w:ascii="Arial" w:hAnsi="Arial" w:cs="Arial"/>
          <w:color w:val="000000" w:themeColor="text1"/>
          <w:sz w:val="20"/>
          <w:szCs w:val="20"/>
        </w:rPr>
        <w:t xml:space="preserve">of the Children’s </w:t>
      </w:r>
      <w:r w:rsidR="00E250AE" w:rsidRPr="002A0A99">
        <w:rPr>
          <w:rFonts w:ascii="Arial" w:hAnsi="Arial" w:cs="Arial"/>
          <w:color w:val="000000" w:themeColor="text1"/>
          <w:sz w:val="20"/>
          <w:szCs w:val="20"/>
        </w:rPr>
        <w:t>Court on an appropriate date.</w:t>
      </w:r>
    </w:p>
    <w:p w14:paraId="1B8D6644" w14:textId="77E23B9D" w:rsidR="003526EB" w:rsidRDefault="003526EB">
      <w:pPr>
        <w:jc w:val="both"/>
        <w:rPr>
          <w:rFonts w:ascii="Arial" w:hAnsi="Arial" w:cs="Arial"/>
          <w:color w:val="000000" w:themeColor="text1"/>
          <w:sz w:val="20"/>
        </w:rPr>
      </w:pPr>
    </w:p>
    <w:p w14:paraId="3D15ED79" w14:textId="69B2A54A" w:rsidR="00E250AE" w:rsidRDefault="00E250AE">
      <w:pPr>
        <w:jc w:val="both"/>
        <w:rPr>
          <w:rFonts w:ascii="Arial" w:hAnsi="Arial" w:cs="Arial"/>
          <w:color w:val="000000" w:themeColor="text1"/>
          <w:sz w:val="20"/>
        </w:rPr>
      </w:pPr>
      <w:r w:rsidRPr="00C0003A">
        <w:rPr>
          <w:rFonts w:ascii="Arial" w:hAnsi="Arial" w:cs="Arial"/>
          <w:sz w:val="20"/>
          <w:szCs w:val="20"/>
        </w:rPr>
        <w:t xml:space="preserve">After hours Interim Accommodation Order hearings </w:t>
      </w:r>
      <w:r>
        <w:rPr>
          <w:rFonts w:ascii="Arial" w:hAnsi="Arial" w:cs="Arial"/>
          <w:sz w:val="20"/>
          <w:szCs w:val="20"/>
        </w:rPr>
        <w:t xml:space="preserve">in the Family Division of the Court </w:t>
      </w:r>
      <w:r w:rsidRPr="00C0003A">
        <w:rPr>
          <w:rFonts w:ascii="Arial" w:hAnsi="Arial" w:cs="Arial"/>
          <w:sz w:val="20"/>
          <w:szCs w:val="20"/>
        </w:rPr>
        <w:t>continue to be heard by Bail Justices.</w:t>
      </w:r>
    </w:p>
    <w:p w14:paraId="2F45BDD9" w14:textId="77777777" w:rsidR="00FB7D75" w:rsidRDefault="00FB7D75" w:rsidP="00C0003A">
      <w:pPr>
        <w:jc w:val="both"/>
        <w:rPr>
          <w:rFonts w:ascii="Arial" w:hAnsi="Arial" w:cs="Arial"/>
          <w:color w:val="000000" w:themeColor="text1"/>
          <w:sz w:val="20"/>
          <w:szCs w:val="20"/>
        </w:rPr>
      </w:pPr>
    </w:p>
    <w:p w14:paraId="048BF663" w14:textId="44362A13" w:rsidR="004E6875" w:rsidRDefault="00803940" w:rsidP="00C0003A">
      <w:pPr>
        <w:jc w:val="both"/>
        <w:rPr>
          <w:rFonts w:ascii="Arial" w:hAnsi="Arial" w:cs="Arial"/>
          <w:color w:val="000000" w:themeColor="text1"/>
          <w:sz w:val="20"/>
          <w:szCs w:val="20"/>
        </w:rPr>
      </w:pPr>
      <w:r>
        <w:rPr>
          <w:rFonts w:ascii="Arial" w:hAnsi="Arial" w:cs="Arial"/>
          <w:color w:val="000000" w:themeColor="text1"/>
          <w:sz w:val="20"/>
          <w:szCs w:val="20"/>
        </w:rPr>
        <w:t xml:space="preserve">Out of </w:t>
      </w:r>
      <w:r w:rsidR="009C57A7">
        <w:rPr>
          <w:rFonts w:ascii="Arial" w:hAnsi="Arial" w:cs="Arial"/>
          <w:color w:val="000000" w:themeColor="text1"/>
          <w:sz w:val="20"/>
          <w:szCs w:val="20"/>
        </w:rPr>
        <w:t>Court</w:t>
      </w:r>
      <w:r>
        <w:rPr>
          <w:rFonts w:ascii="Arial" w:hAnsi="Arial" w:cs="Arial"/>
          <w:color w:val="000000" w:themeColor="text1"/>
          <w:sz w:val="20"/>
          <w:szCs w:val="20"/>
        </w:rPr>
        <w:t xml:space="preserve"> b</w:t>
      </w:r>
      <w:r w:rsidR="002A0A99" w:rsidRPr="002A0A99">
        <w:rPr>
          <w:rFonts w:ascii="Arial" w:hAnsi="Arial" w:cs="Arial"/>
          <w:color w:val="000000" w:themeColor="text1"/>
          <w:sz w:val="20"/>
          <w:szCs w:val="20"/>
        </w:rPr>
        <w:t>ail and remand applications</w:t>
      </w:r>
      <w:r w:rsidR="00C0003A" w:rsidRPr="002A0A99">
        <w:rPr>
          <w:rFonts w:ascii="Arial" w:hAnsi="Arial" w:cs="Arial"/>
          <w:color w:val="000000" w:themeColor="text1"/>
          <w:sz w:val="20"/>
          <w:szCs w:val="20"/>
        </w:rPr>
        <w:t xml:space="preserve"> </w:t>
      </w:r>
      <w:r w:rsidR="00F32C85">
        <w:rPr>
          <w:rFonts w:ascii="Arial" w:hAnsi="Arial" w:cs="Arial"/>
          <w:color w:val="000000" w:themeColor="text1"/>
          <w:sz w:val="20"/>
          <w:szCs w:val="20"/>
        </w:rPr>
        <w:t xml:space="preserve">also </w:t>
      </w:r>
      <w:r w:rsidR="00C0003A" w:rsidRPr="002A0A99">
        <w:rPr>
          <w:rFonts w:ascii="Arial" w:hAnsi="Arial" w:cs="Arial"/>
          <w:color w:val="000000" w:themeColor="text1"/>
          <w:sz w:val="20"/>
          <w:szCs w:val="20"/>
        </w:rPr>
        <w:t xml:space="preserve">continue to be </w:t>
      </w:r>
      <w:r w:rsidR="009C57A7">
        <w:rPr>
          <w:rFonts w:ascii="Arial" w:hAnsi="Arial" w:cs="Arial"/>
          <w:color w:val="000000" w:themeColor="text1"/>
          <w:sz w:val="20"/>
          <w:szCs w:val="20"/>
        </w:rPr>
        <w:t>hear</w:t>
      </w:r>
      <w:r w:rsidR="00C0003A" w:rsidRPr="002A0A99">
        <w:rPr>
          <w:rFonts w:ascii="Arial" w:hAnsi="Arial" w:cs="Arial"/>
          <w:color w:val="000000" w:themeColor="text1"/>
          <w:sz w:val="20"/>
          <w:szCs w:val="20"/>
        </w:rPr>
        <w:t xml:space="preserve">d by Bail Justices. </w:t>
      </w:r>
      <w:r w:rsidR="002A0A99" w:rsidRPr="002A0A99">
        <w:rPr>
          <w:rFonts w:ascii="Arial" w:hAnsi="Arial" w:cs="Arial"/>
          <w:color w:val="000000" w:themeColor="text1"/>
          <w:sz w:val="20"/>
          <w:szCs w:val="20"/>
        </w:rPr>
        <w:t>A</w:t>
      </w:r>
      <w:r w:rsidR="00C0003A" w:rsidRPr="002A0A99">
        <w:rPr>
          <w:rFonts w:ascii="Arial" w:hAnsi="Arial" w:cs="Arial"/>
          <w:color w:val="000000" w:themeColor="text1"/>
          <w:sz w:val="20"/>
          <w:szCs w:val="20"/>
        </w:rPr>
        <w:t xml:space="preserve"> </w:t>
      </w:r>
      <w:r w:rsidR="009C57A7">
        <w:rPr>
          <w:rFonts w:ascii="Arial" w:hAnsi="Arial" w:cs="Arial"/>
          <w:color w:val="000000" w:themeColor="text1"/>
          <w:sz w:val="20"/>
          <w:szCs w:val="20"/>
        </w:rPr>
        <w:t>child</w:t>
      </w:r>
      <w:r w:rsidR="00C0003A" w:rsidRPr="002A0A99">
        <w:rPr>
          <w:rFonts w:ascii="Arial" w:hAnsi="Arial" w:cs="Arial"/>
          <w:color w:val="000000" w:themeColor="text1"/>
          <w:sz w:val="20"/>
          <w:szCs w:val="20"/>
        </w:rPr>
        <w:t xml:space="preserve"> </w:t>
      </w:r>
      <w:r w:rsidR="002A0A99" w:rsidRPr="002A0A99">
        <w:rPr>
          <w:rFonts w:ascii="Arial" w:hAnsi="Arial" w:cs="Arial"/>
          <w:color w:val="000000" w:themeColor="text1"/>
          <w:sz w:val="20"/>
          <w:szCs w:val="20"/>
        </w:rPr>
        <w:t xml:space="preserve">who </w:t>
      </w:r>
      <w:r w:rsidR="00C0003A" w:rsidRPr="002A0A99">
        <w:rPr>
          <w:rFonts w:ascii="Arial" w:hAnsi="Arial" w:cs="Arial"/>
          <w:color w:val="000000" w:themeColor="text1"/>
          <w:sz w:val="20"/>
          <w:szCs w:val="20"/>
        </w:rPr>
        <w:t xml:space="preserve">is remanded by a Bail Justice </w:t>
      </w:r>
      <w:r w:rsidR="004E6875">
        <w:rPr>
          <w:rFonts w:ascii="Arial" w:hAnsi="Arial" w:cs="Arial"/>
          <w:color w:val="000000" w:themeColor="text1"/>
          <w:sz w:val="20"/>
          <w:szCs w:val="20"/>
        </w:rPr>
        <w:t xml:space="preserve">is </w:t>
      </w:r>
      <w:r w:rsidR="005711EB">
        <w:rPr>
          <w:rFonts w:ascii="Arial" w:hAnsi="Arial" w:cs="Arial"/>
          <w:color w:val="000000" w:themeColor="text1"/>
          <w:sz w:val="20"/>
          <w:szCs w:val="20"/>
        </w:rPr>
        <w:t xml:space="preserve">to be </w:t>
      </w:r>
      <w:r w:rsidR="004E6875">
        <w:rPr>
          <w:rFonts w:ascii="Arial" w:hAnsi="Arial" w:cs="Arial"/>
          <w:color w:val="000000" w:themeColor="text1"/>
          <w:sz w:val="20"/>
          <w:szCs w:val="20"/>
        </w:rPr>
        <w:t xml:space="preserve">remanded to the next sitting of the Children’s Court, </w:t>
      </w:r>
      <w:r w:rsidR="00FB7D75">
        <w:rPr>
          <w:rFonts w:ascii="Arial" w:hAnsi="Arial" w:cs="Arial"/>
          <w:color w:val="000000" w:themeColor="text1"/>
          <w:sz w:val="20"/>
          <w:szCs w:val="20"/>
        </w:rPr>
        <w:t>whether that be a WORC sitting or a weekday s</w:t>
      </w:r>
      <w:r w:rsidR="009C57A7">
        <w:rPr>
          <w:rFonts w:ascii="Arial" w:hAnsi="Arial" w:cs="Arial"/>
          <w:color w:val="000000" w:themeColor="text1"/>
          <w:sz w:val="20"/>
          <w:szCs w:val="20"/>
        </w:rPr>
        <w:t>i</w:t>
      </w:r>
      <w:r w:rsidR="00FB7D75">
        <w:rPr>
          <w:rFonts w:ascii="Arial" w:hAnsi="Arial" w:cs="Arial"/>
          <w:color w:val="000000" w:themeColor="text1"/>
          <w:sz w:val="20"/>
          <w:szCs w:val="20"/>
        </w:rPr>
        <w:t>tting.</w:t>
      </w:r>
    </w:p>
    <w:p w14:paraId="4C1EB8C4" w14:textId="77777777" w:rsidR="003D04F9" w:rsidRPr="002A0A99" w:rsidRDefault="003D04F9" w:rsidP="003D04F9">
      <w:pPr>
        <w:jc w:val="both"/>
        <w:rPr>
          <w:rFonts w:ascii="Arial" w:hAnsi="Arial" w:cs="Arial"/>
          <w:color w:val="000000" w:themeColor="text1"/>
          <w:sz w:val="20"/>
        </w:rPr>
      </w:pPr>
    </w:p>
    <w:p w14:paraId="42ED3197" w14:textId="1FC00034" w:rsidR="00C0003A" w:rsidRPr="002A0A99" w:rsidRDefault="00C0003A" w:rsidP="003D04F9">
      <w:pPr>
        <w:pStyle w:val="NormalWeb"/>
        <w:spacing w:before="0" w:beforeAutospacing="0" w:after="0" w:afterAutospacing="0"/>
        <w:jc w:val="both"/>
        <w:rPr>
          <w:rFonts w:ascii="Arial" w:hAnsi="Arial" w:cs="Arial"/>
          <w:color w:val="000000" w:themeColor="text1"/>
          <w:spacing w:val="4"/>
          <w:sz w:val="20"/>
          <w:szCs w:val="20"/>
        </w:rPr>
      </w:pPr>
      <w:r w:rsidRPr="002A0A99">
        <w:rPr>
          <w:rFonts w:ascii="Arial" w:hAnsi="Arial" w:cs="Arial"/>
          <w:color w:val="000000" w:themeColor="text1"/>
          <w:spacing w:val="4"/>
          <w:sz w:val="20"/>
          <w:szCs w:val="20"/>
          <w:bdr w:val="none" w:sz="0" w:space="0" w:color="auto" w:frame="1"/>
        </w:rPr>
        <w:t>Youth Justice,</w:t>
      </w:r>
      <w:r w:rsidR="002A2807">
        <w:rPr>
          <w:rFonts w:ascii="Arial" w:hAnsi="Arial" w:cs="Arial"/>
          <w:color w:val="000000" w:themeColor="text1"/>
          <w:spacing w:val="4"/>
          <w:sz w:val="20"/>
          <w:szCs w:val="20"/>
          <w:bdr w:val="none" w:sz="0" w:space="0" w:color="auto" w:frame="1"/>
        </w:rPr>
        <w:t xml:space="preserve"> </w:t>
      </w:r>
      <w:r w:rsidRPr="002A0A99">
        <w:rPr>
          <w:rFonts w:ascii="Arial" w:hAnsi="Arial" w:cs="Arial"/>
          <w:color w:val="000000" w:themeColor="text1"/>
          <w:spacing w:val="4"/>
          <w:sz w:val="20"/>
          <w:szCs w:val="20"/>
          <w:bdr w:val="none" w:sz="0" w:space="0" w:color="auto" w:frame="1"/>
        </w:rPr>
        <w:t>the</w:t>
      </w:r>
      <w:r w:rsidR="002A2807">
        <w:rPr>
          <w:rFonts w:ascii="Arial" w:hAnsi="Arial" w:cs="Arial"/>
          <w:color w:val="000000" w:themeColor="text1"/>
          <w:spacing w:val="4"/>
          <w:sz w:val="20"/>
          <w:szCs w:val="20"/>
          <w:bdr w:val="none" w:sz="0" w:space="0" w:color="auto" w:frame="1"/>
        </w:rPr>
        <w:t xml:space="preserve"> </w:t>
      </w:r>
      <w:r w:rsidRPr="002A0A99">
        <w:rPr>
          <w:rFonts w:ascii="Arial" w:hAnsi="Arial" w:cs="Arial"/>
          <w:color w:val="000000" w:themeColor="text1"/>
          <w:spacing w:val="4"/>
          <w:sz w:val="20"/>
          <w:szCs w:val="20"/>
          <w:bdr w:val="none" w:sz="0" w:space="0" w:color="auto" w:frame="1"/>
        </w:rPr>
        <w:t>Central After Hours Assessment and Bail Placement Service (CAHABPS),</w:t>
      </w:r>
      <w:r w:rsidR="00202B86">
        <w:rPr>
          <w:rFonts w:ascii="Arial" w:hAnsi="Arial" w:cs="Arial"/>
          <w:color w:val="000000" w:themeColor="text1"/>
          <w:spacing w:val="4"/>
          <w:sz w:val="20"/>
          <w:szCs w:val="20"/>
          <w:bdr w:val="none" w:sz="0" w:space="0" w:color="auto" w:frame="1"/>
        </w:rPr>
        <w:t xml:space="preserve"> </w:t>
      </w:r>
      <w:r w:rsidRPr="002A0A99">
        <w:rPr>
          <w:rFonts w:ascii="Arial" w:hAnsi="Arial" w:cs="Arial"/>
          <w:color w:val="000000" w:themeColor="text1"/>
          <w:spacing w:val="4"/>
          <w:sz w:val="20"/>
          <w:szCs w:val="20"/>
          <w:bdr w:val="none" w:sz="0" w:space="0" w:color="auto" w:frame="1"/>
        </w:rPr>
        <w:t xml:space="preserve">Victoria Legal Aid’s Youth Crime Program and Victoria Police Specialist Children’s Court Prosecution Group have all worked closely with the Children’s Court to set up WORC, using the </w:t>
      </w:r>
      <w:r w:rsidRPr="002A0A99">
        <w:rPr>
          <w:rFonts w:ascii="Arial" w:hAnsi="Arial" w:cs="Arial"/>
          <w:color w:val="000000" w:themeColor="text1"/>
          <w:spacing w:val="4"/>
          <w:sz w:val="20"/>
          <w:szCs w:val="20"/>
          <w:bdr w:val="none" w:sz="0" w:space="0" w:color="auto" w:frame="1"/>
        </w:rPr>
        <w:lastRenderedPageBreak/>
        <w:t>expertise and cooperation developed over the last two years during the justice system’s crisis response and digital transformation.</w:t>
      </w:r>
    </w:p>
    <w:p w14:paraId="412FA670" w14:textId="77777777" w:rsidR="00D5293C" w:rsidRPr="002A0A99" w:rsidRDefault="00D5293C" w:rsidP="00D5293C">
      <w:pPr>
        <w:jc w:val="both"/>
        <w:rPr>
          <w:rFonts w:ascii="Arial" w:hAnsi="Arial" w:cs="Arial"/>
          <w:color w:val="000000" w:themeColor="text1"/>
          <w:sz w:val="20"/>
          <w:szCs w:val="20"/>
        </w:rPr>
      </w:pPr>
    </w:p>
    <w:p w14:paraId="5C10F313" w14:textId="77777777" w:rsidR="00D5293C" w:rsidRPr="008825EB" w:rsidRDefault="00D5293C" w:rsidP="00D5293C">
      <w:pPr>
        <w:jc w:val="both"/>
        <w:rPr>
          <w:rFonts w:ascii="Arial" w:hAnsi="Arial" w:cs="Arial"/>
          <w:color w:val="000000" w:themeColor="text1"/>
          <w:spacing w:val="4"/>
          <w:sz w:val="20"/>
          <w:szCs w:val="20"/>
          <w:bdr w:val="none" w:sz="0" w:space="0" w:color="auto" w:frame="1"/>
        </w:rPr>
      </w:pPr>
      <w:r w:rsidRPr="002A0A99">
        <w:rPr>
          <w:rFonts w:ascii="Arial" w:hAnsi="Arial" w:cs="Arial"/>
          <w:color w:val="000000" w:themeColor="text1"/>
          <w:sz w:val="20"/>
          <w:szCs w:val="20"/>
        </w:rPr>
        <w:t xml:space="preserve">The establishment of WORC has increased </w:t>
      </w:r>
      <w:r w:rsidRPr="002A0A99">
        <w:rPr>
          <w:rFonts w:ascii="Arial" w:hAnsi="Arial" w:cs="Arial"/>
          <w:color w:val="000000" w:themeColor="text1"/>
          <w:sz w:val="20"/>
        </w:rPr>
        <w:t>access to justice for young people in metropolitan and regional Victoria by ensuring:</w:t>
      </w:r>
    </w:p>
    <w:p w14:paraId="1149F852" w14:textId="77777777" w:rsidR="00D5293C" w:rsidRPr="002A0A99" w:rsidRDefault="00D5293C" w:rsidP="00C23CF0">
      <w:pPr>
        <w:numPr>
          <w:ilvl w:val="0"/>
          <w:numId w:val="25"/>
        </w:numPr>
        <w:ind w:left="357" w:hanging="357"/>
        <w:rPr>
          <w:rFonts w:ascii="Arial" w:hAnsi="Arial" w:cs="Arial"/>
          <w:color w:val="000000" w:themeColor="text1"/>
          <w:sz w:val="20"/>
          <w:szCs w:val="20"/>
        </w:rPr>
      </w:pPr>
      <w:r w:rsidRPr="002A0A99">
        <w:rPr>
          <w:rFonts w:ascii="Arial" w:hAnsi="Arial" w:cs="Arial"/>
          <w:color w:val="000000" w:themeColor="text1"/>
          <w:sz w:val="20"/>
          <w:szCs w:val="20"/>
          <w:bdr w:val="none" w:sz="0" w:space="0" w:color="auto" w:frame="1"/>
        </w:rPr>
        <w:t>access to specialist Children’s Court magistrates;</w:t>
      </w:r>
    </w:p>
    <w:p w14:paraId="5DC82227" w14:textId="77777777" w:rsidR="00D5293C" w:rsidRPr="002A0A99" w:rsidRDefault="00D5293C" w:rsidP="00C23CF0">
      <w:pPr>
        <w:numPr>
          <w:ilvl w:val="0"/>
          <w:numId w:val="25"/>
        </w:numPr>
        <w:ind w:left="357" w:hanging="357"/>
        <w:rPr>
          <w:rFonts w:ascii="Arial" w:hAnsi="Arial" w:cs="Arial"/>
          <w:color w:val="000000" w:themeColor="text1"/>
          <w:sz w:val="20"/>
          <w:szCs w:val="20"/>
        </w:rPr>
      </w:pPr>
      <w:r w:rsidRPr="002A0A99">
        <w:rPr>
          <w:rFonts w:ascii="Arial" w:hAnsi="Arial" w:cs="Arial"/>
          <w:color w:val="000000" w:themeColor="text1"/>
          <w:sz w:val="20"/>
          <w:szCs w:val="20"/>
          <w:bdr w:val="none" w:sz="0" w:space="0" w:color="auto" w:frame="1"/>
        </w:rPr>
        <w:t>immediate referrals to services and supports;</w:t>
      </w:r>
    </w:p>
    <w:p w14:paraId="61D30D21" w14:textId="77777777" w:rsidR="00D5293C" w:rsidRPr="002A0A99" w:rsidRDefault="00D5293C" w:rsidP="00C23CF0">
      <w:pPr>
        <w:numPr>
          <w:ilvl w:val="0"/>
          <w:numId w:val="25"/>
        </w:numPr>
        <w:ind w:left="357" w:hanging="357"/>
        <w:rPr>
          <w:rFonts w:ascii="Arial" w:hAnsi="Arial" w:cs="Arial"/>
          <w:color w:val="000000" w:themeColor="text1"/>
          <w:sz w:val="20"/>
          <w:szCs w:val="20"/>
        </w:rPr>
      </w:pPr>
      <w:r w:rsidRPr="002A0A99">
        <w:rPr>
          <w:rFonts w:ascii="Arial" w:hAnsi="Arial" w:cs="Arial"/>
          <w:color w:val="000000" w:themeColor="text1"/>
          <w:sz w:val="20"/>
          <w:szCs w:val="20"/>
          <w:bdr w:val="none" w:sz="0" w:space="0" w:color="auto" w:frame="1"/>
        </w:rPr>
        <w:t>access to legal representation at the most critical time;</w:t>
      </w:r>
    </w:p>
    <w:p w14:paraId="78AB9875" w14:textId="77777777" w:rsidR="00D5293C" w:rsidRPr="002A0A99" w:rsidRDefault="00D5293C" w:rsidP="00C23CF0">
      <w:pPr>
        <w:numPr>
          <w:ilvl w:val="0"/>
          <w:numId w:val="25"/>
        </w:numPr>
        <w:ind w:left="357" w:hanging="357"/>
        <w:rPr>
          <w:rFonts w:ascii="Arial" w:hAnsi="Arial" w:cs="Arial"/>
          <w:color w:val="000000" w:themeColor="text1"/>
          <w:sz w:val="20"/>
          <w:szCs w:val="20"/>
        </w:rPr>
      </w:pPr>
      <w:r w:rsidRPr="002A0A99">
        <w:rPr>
          <w:rFonts w:ascii="Arial" w:hAnsi="Arial" w:cs="Arial"/>
          <w:color w:val="000000" w:themeColor="text1"/>
          <w:sz w:val="20"/>
          <w:szCs w:val="20"/>
          <w:bdr w:val="none" w:sz="0" w:space="0" w:color="auto" w:frame="1"/>
        </w:rPr>
        <w:t>access to technology to appear in court directly from police stations or Youth Justice Centres; and</w:t>
      </w:r>
    </w:p>
    <w:p w14:paraId="6A04A8CD" w14:textId="77777777" w:rsidR="00D5293C" w:rsidRPr="002A0A99" w:rsidRDefault="00D5293C" w:rsidP="00C23CF0">
      <w:pPr>
        <w:numPr>
          <w:ilvl w:val="0"/>
          <w:numId w:val="25"/>
        </w:numPr>
        <w:ind w:left="357" w:hanging="357"/>
        <w:rPr>
          <w:rFonts w:ascii="Arial" w:hAnsi="Arial" w:cs="Arial"/>
          <w:color w:val="000000" w:themeColor="text1"/>
          <w:sz w:val="20"/>
          <w:szCs w:val="20"/>
        </w:rPr>
      </w:pPr>
      <w:r w:rsidRPr="002A0A99">
        <w:rPr>
          <w:rFonts w:ascii="Arial" w:hAnsi="Arial" w:cs="Arial"/>
          <w:color w:val="000000" w:themeColor="text1"/>
          <w:sz w:val="20"/>
          <w:szCs w:val="20"/>
          <w:bdr w:val="none" w:sz="0" w:space="0" w:color="auto" w:frame="1"/>
        </w:rPr>
        <w:t>significantly reduced pressure on local Courts.</w:t>
      </w:r>
    </w:p>
    <w:p w14:paraId="202000BA" w14:textId="77777777" w:rsidR="005711EB" w:rsidRDefault="005711EB">
      <w:pPr>
        <w:jc w:val="both"/>
        <w:rPr>
          <w:rFonts w:ascii="Arial" w:hAnsi="Arial" w:cs="Arial"/>
          <w:sz w:val="20"/>
          <w:szCs w:val="20"/>
        </w:rPr>
      </w:pPr>
    </w:p>
    <w:p w14:paraId="04167F64" w14:textId="1CB2D74C" w:rsidR="00E5215E" w:rsidRDefault="005711EB">
      <w:pPr>
        <w:jc w:val="both"/>
        <w:rPr>
          <w:rFonts w:ascii="Arial" w:hAnsi="Arial" w:cs="Arial"/>
          <w:sz w:val="20"/>
          <w:szCs w:val="20"/>
        </w:rPr>
      </w:pPr>
      <w:r>
        <w:rPr>
          <w:rFonts w:ascii="Arial" w:hAnsi="Arial" w:cs="Arial"/>
          <w:sz w:val="20"/>
          <w:szCs w:val="20"/>
        </w:rPr>
        <w:t>State-wide WORC heard 173 cases f</w:t>
      </w:r>
      <w:r w:rsidR="00E5215E">
        <w:rPr>
          <w:rFonts w:ascii="Arial" w:hAnsi="Arial" w:cs="Arial"/>
          <w:sz w:val="20"/>
          <w:szCs w:val="20"/>
        </w:rPr>
        <w:t xml:space="preserve">rom 03/09/2022 to 30/06/2023 </w:t>
      </w:r>
      <w:r>
        <w:rPr>
          <w:rFonts w:ascii="Arial" w:hAnsi="Arial" w:cs="Arial"/>
          <w:sz w:val="20"/>
          <w:szCs w:val="20"/>
        </w:rPr>
        <w:t xml:space="preserve">and </w:t>
      </w:r>
      <w:r w:rsidR="0020729F">
        <w:rPr>
          <w:rFonts w:ascii="Arial" w:hAnsi="Arial" w:cs="Arial"/>
          <w:sz w:val="20"/>
          <w:szCs w:val="20"/>
        </w:rPr>
        <w:t>163 cases from 01/07/202</w:t>
      </w:r>
      <w:r w:rsidR="00935948">
        <w:rPr>
          <w:rFonts w:ascii="Arial" w:hAnsi="Arial" w:cs="Arial"/>
          <w:sz w:val="20"/>
          <w:szCs w:val="20"/>
        </w:rPr>
        <w:t>3</w:t>
      </w:r>
      <w:r w:rsidR="0020729F">
        <w:rPr>
          <w:rFonts w:ascii="Arial" w:hAnsi="Arial" w:cs="Arial"/>
          <w:sz w:val="20"/>
          <w:szCs w:val="20"/>
        </w:rPr>
        <w:t xml:space="preserve"> to 30/06/2024.</w:t>
      </w:r>
    </w:p>
    <w:p w14:paraId="24308889" w14:textId="77777777" w:rsidR="00E5215E" w:rsidRDefault="00E5215E">
      <w:pPr>
        <w:jc w:val="both"/>
        <w:rPr>
          <w:rFonts w:ascii="Arial" w:hAnsi="Arial" w:cs="Arial"/>
          <w:sz w:val="20"/>
          <w:szCs w:val="20"/>
        </w:rPr>
      </w:pPr>
    </w:p>
    <w:p w14:paraId="64B8D181" w14:textId="5F7468E4" w:rsidR="006D592F" w:rsidRDefault="006D592F" w:rsidP="006D592F">
      <w:pPr>
        <w:pStyle w:val="Heading3"/>
        <w:keepNext/>
        <w:keepLines/>
        <w:spacing w:after="120" w:line="240" w:lineRule="auto"/>
        <w:rPr>
          <w:rFonts w:ascii="Arial" w:hAnsi="Arial" w:cs="Arial"/>
          <w:b/>
          <w:bCs/>
          <w:sz w:val="20"/>
        </w:rPr>
      </w:pPr>
      <w:bookmarkStart w:id="329" w:name="_2.5.4_The_Court"/>
      <w:bookmarkEnd w:id="329"/>
      <w:r>
        <w:rPr>
          <w:rFonts w:ascii="Arial" w:hAnsi="Arial" w:cs="Arial"/>
          <w:b/>
          <w:bCs/>
          <w:sz w:val="20"/>
        </w:rPr>
        <w:t>2.5.</w:t>
      </w:r>
      <w:r w:rsidR="00827F9A">
        <w:rPr>
          <w:rFonts w:ascii="Arial" w:hAnsi="Arial" w:cs="Arial"/>
          <w:b/>
          <w:bCs/>
          <w:sz w:val="20"/>
        </w:rPr>
        <w:t>4</w:t>
      </w:r>
      <w:r>
        <w:rPr>
          <w:rFonts w:ascii="Arial" w:hAnsi="Arial" w:cs="Arial"/>
          <w:b/>
          <w:bCs/>
          <w:sz w:val="20"/>
        </w:rPr>
        <w:tab/>
        <w:t>The Court Security Act 1980</w:t>
      </w:r>
    </w:p>
    <w:p w14:paraId="1927685B" w14:textId="2E11773F" w:rsidR="00AE2EB6" w:rsidRDefault="00AE2EB6" w:rsidP="006D592F">
      <w:pPr>
        <w:shd w:val="clear" w:color="auto" w:fill="FFFFFF"/>
        <w:ind w:right="-57"/>
        <w:jc w:val="both"/>
        <w:rPr>
          <w:rFonts w:ascii="Arial" w:hAnsi="Arial" w:cs="Arial"/>
          <w:bCs/>
          <w:sz w:val="20"/>
          <w:szCs w:val="20"/>
        </w:rPr>
      </w:pPr>
      <w:r>
        <w:rPr>
          <w:rFonts w:ascii="Arial" w:hAnsi="Arial" w:cs="Arial"/>
          <w:bCs/>
          <w:sz w:val="20"/>
          <w:szCs w:val="20"/>
        </w:rPr>
        <w:t xml:space="preserve">The </w:t>
      </w:r>
      <w:r w:rsidRPr="00AE2EB6">
        <w:rPr>
          <w:rFonts w:ascii="Arial" w:hAnsi="Arial" w:cs="Arial"/>
          <w:bCs/>
          <w:i/>
          <w:iCs/>
          <w:sz w:val="20"/>
          <w:szCs w:val="20"/>
        </w:rPr>
        <w:t>Court Security Act 1980</w:t>
      </w:r>
      <w:r>
        <w:rPr>
          <w:rFonts w:ascii="Arial" w:hAnsi="Arial" w:cs="Arial"/>
          <w:bCs/>
          <w:sz w:val="20"/>
          <w:szCs w:val="20"/>
        </w:rPr>
        <w:t xml:space="preserve"> [CSA] is described as “An Act to make Provisions in relation to the secure and orderly operation of Courts…”  It applies to </w:t>
      </w:r>
      <w:r w:rsidR="00F82B9C">
        <w:rPr>
          <w:rFonts w:ascii="Arial" w:hAnsi="Arial" w:cs="Arial"/>
          <w:bCs/>
          <w:sz w:val="20"/>
          <w:szCs w:val="20"/>
        </w:rPr>
        <w:t xml:space="preserve">all venues of </w:t>
      </w:r>
      <w:r>
        <w:rPr>
          <w:rFonts w:ascii="Arial" w:hAnsi="Arial" w:cs="Arial"/>
          <w:bCs/>
          <w:sz w:val="20"/>
          <w:szCs w:val="20"/>
        </w:rPr>
        <w:t xml:space="preserve">the Children’s Court by virtue of the definition of </w:t>
      </w:r>
      <w:r w:rsidRPr="00AE2EB6">
        <w:rPr>
          <w:rFonts w:ascii="Arial" w:hAnsi="Arial" w:cs="Arial"/>
          <w:b/>
          <w:i/>
          <w:iCs/>
          <w:sz w:val="20"/>
          <w:szCs w:val="20"/>
        </w:rPr>
        <w:t>‘proceeding’</w:t>
      </w:r>
      <w:r>
        <w:rPr>
          <w:rFonts w:ascii="Arial" w:hAnsi="Arial" w:cs="Arial"/>
          <w:bCs/>
          <w:sz w:val="20"/>
          <w:szCs w:val="20"/>
        </w:rPr>
        <w:t xml:space="preserve"> and paragraph (d) in the definition of </w:t>
      </w:r>
      <w:r w:rsidRPr="00AE2EB6">
        <w:rPr>
          <w:rFonts w:ascii="Arial" w:hAnsi="Arial" w:cs="Arial"/>
          <w:bCs/>
          <w:sz w:val="20"/>
          <w:szCs w:val="20"/>
        </w:rPr>
        <w:t>‘</w:t>
      </w:r>
      <w:r w:rsidRPr="00AE2EB6">
        <w:rPr>
          <w:rFonts w:ascii="Arial" w:hAnsi="Arial" w:cs="Arial"/>
          <w:b/>
          <w:sz w:val="20"/>
          <w:szCs w:val="20"/>
        </w:rPr>
        <w:t>court</w:t>
      </w:r>
      <w:r w:rsidRPr="00AE2EB6">
        <w:rPr>
          <w:rFonts w:ascii="Arial" w:hAnsi="Arial" w:cs="Arial"/>
          <w:bCs/>
          <w:sz w:val="20"/>
          <w:szCs w:val="20"/>
        </w:rPr>
        <w:t>’</w:t>
      </w:r>
      <w:r>
        <w:rPr>
          <w:rFonts w:ascii="Arial" w:hAnsi="Arial" w:cs="Arial"/>
          <w:bCs/>
          <w:sz w:val="20"/>
          <w:szCs w:val="20"/>
        </w:rPr>
        <w:t xml:space="preserve"> in s.2(1).  Its provisions include:</w:t>
      </w:r>
    </w:p>
    <w:p w14:paraId="50A18C3A" w14:textId="77777777" w:rsidR="00AE2EB6" w:rsidRDefault="00AE2EB6" w:rsidP="006D592F">
      <w:pPr>
        <w:shd w:val="clear" w:color="auto" w:fill="FFFFFF"/>
        <w:ind w:right="-57"/>
        <w:jc w:val="both"/>
        <w:rPr>
          <w:rFonts w:ascii="Arial" w:hAnsi="Arial" w:cs="Arial"/>
          <w:bCs/>
          <w:sz w:val="20"/>
          <w:szCs w:val="20"/>
        </w:rPr>
      </w:pPr>
    </w:p>
    <w:tbl>
      <w:tblPr>
        <w:tblStyle w:val="TableGrid"/>
        <w:tblW w:w="0" w:type="auto"/>
        <w:tblLook w:val="04A0" w:firstRow="1" w:lastRow="0" w:firstColumn="1" w:lastColumn="0" w:noHBand="0" w:noVBand="1"/>
      </w:tblPr>
      <w:tblGrid>
        <w:gridCol w:w="1128"/>
        <w:gridCol w:w="7931"/>
      </w:tblGrid>
      <w:tr w:rsidR="00AE2EB6" w14:paraId="08AA25F2" w14:textId="77777777" w:rsidTr="00BB08A1">
        <w:tc>
          <w:tcPr>
            <w:tcW w:w="1128" w:type="dxa"/>
            <w:tcBorders>
              <w:bottom w:val="single" w:sz="8" w:space="0" w:color="auto"/>
            </w:tcBorders>
            <w:shd w:val="clear" w:color="auto" w:fill="000000" w:themeFill="text1"/>
          </w:tcPr>
          <w:p w14:paraId="29D806F0" w14:textId="2840E788" w:rsidR="00AE2EB6" w:rsidRPr="00AE2EB6" w:rsidRDefault="00AE2EB6" w:rsidP="00AE2EB6">
            <w:pPr>
              <w:ind w:right="-57"/>
              <w:jc w:val="center"/>
              <w:rPr>
                <w:rFonts w:ascii="Arial" w:hAnsi="Arial" w:cs="Arial"/>
                <w:b/>
                <w:color w:val="FFFFFF" w:themeColor="background1"/>
                <w:sz w:val="20"/>
                <w:szCs w:val="20"/>
              </w:rPr>
            </w:pPr>
            <w:r w:rsidRPr="00AE2EB6">
              <w:rPr>
                <w:rFonts w:ascii="Arial" w:hAnsi="Arial" w:cs="Arial"/>
                <w:b/>
                <w:color w:val="FFFFFF" w:themeColor="background1"/>
                <w:sz w:val="20"/>
                <w:szCs w:val="20"/>
              </w:rPr>
              <w:t>SECTION</w:t>
            </w:r>
          </w:p>
        </w:tc>
        <w:tc>
          <w:tcPr>
            <w:tcW w:w="7931" w:type="dxa"/>
            <w:tcBorders>
              <w:bottom w:val="single" w:sz="4" w:space="0" w:color="auto"/>
            </w:tcBorders>
            <w:shd w:val="clear" w:color="auto" w:fill="000000" w:themeFill="text1"/>
          </w:tcPr>
          <w:p w14:paraId="5F8EE9BF" w14:textId="67E310E4" w:rsidR="00AE2EB6" w:rsidRPr="00AE2EB6" w:rsidRDefault="00AE2EB6" w:rsidP="00AE2EB6">
            <w:pPr>
              <w:ind w:right="-57"/>
              <w:jc w:val="center"/>
              <w:rPr>
                <w:rFonts w:ascii="Arial" w:hAnsi="Arial" w:cs="Arial"/>
                <w:b/>
                <w:color w:val="FFFFFF" w:themeColor="background1"/>
                <w:sz w:val="20"/>
                <w:szCs w:val="20"/>
              </w:rPr>
            </w:pPr>
            <w:r w:rsidRPr="00AE2EB6">
              <w:rPr>
                <w:rFonts w:ascii="Arial" w:hAnsi="Arial" w:cs="Arial"/>
                <w:b/>
                <w:color w:val="FFFFFF" w:themeColor="background1"/>
                <w:sz w:val="20"/>
                <w:szCs w:val="20"/>
              </w:rPr>
              <w:t>CONTENT</w:t>
            </w:r>
          </w:p>
        </w:tc>
      </w:tr>
      <w:tr w:rsidR="00F10653" w14:paraId="74688921" w14:textId="77777777" w:rsidTr="00BB08A1">
        <w:tc>
          <w:tcPr>
            <w:tcW w:w="1128" w:type="dxa"/>
            <w:tcBorders>
              <w:top w:val="single" w:sz="8" w:space="0" w:color="auto"/>
              <w:left w:val="single" w:sz="12" w:space="0" w:color="auto"/>
              <w:bottom w:val="single" w:sz="4" w:space="0" w:color="auto"/>
              <w:right w:val="single" w:sz="8" w:space="0" w:color="auto"/>
            </w:tcBorders>
          </w:tcPr>
          <w:p w14:paraId="54165561" w14:textId="09B64D57" w:rsidR="00F10653" w:rsidRDefault="00F10653" w:rsidP="005B30C8">
            <w:pPr>
              <w:ind w:right="-57"/>
              <w:jc w:val="center"/>
              <w:rPr>
                <w:rFonts w:ascii="Arial" w:hAnsi="Arial" w:cs="Arial"/>
                <w:bCs/>
                <w:sz w:val="20"/>
                <w:szCs w:val="20"/>
              </w:rPr>
            </w:pPr>
            <w:r>
              <w:rPr>
                <w:rFonts w:ascii="Arial" w:hAnsi="Arial" w:cs="Arial"/>
                <w:bCs/>
                <w:sz w:val="20"/>
                <w:szCs w:val="20"/>
              </w:rPr>
              <w:t>2</w:t>
            </w:r>
            <w:r w:rsidR="005534CC">
              <w:rPr>
                <w:rFonts w:ascii="Arial" w:hAnsi="Arial" w:cs="Arial"/>
                <w:bCs/>
                <w:sz w:val="20"/>
                <w:szCs w:val="20"/>
              </w:rPr>
              <w:t>(1)</w:t>
            </w:r>
          </w:p>
        </w:tc>
        <w:tc>
          <w:tcPr>
            <w:tcW w:w="7931" w:type="dxa"/>
            <w:tcBorders>
              <w:left w:val="single" w:sz="8" w:space="0" w:color="auto"/>
              <w:right w:val="single" w:sz="12" w:space="0" w:color="auto"/>
            </w:tcBorders>
          </w:tcPr>
          <w:p w14:paraId="77D6542F" w14:textId="1C9B33B0" w:rsidR="00F10653" w:rsidRDefault="00F10653" w:rsidP="005B30C8">
            <w:pPr>
              <w:ind w:right="-57"/>
              <w:jc w:val="both"/>
              <w:rPr>
                <w:rFonts w:ascii="Arial" w:hAnsi="Arial" w:cs="Arial"/>
                <w:bCs/>
                <w:sz w:val="20"/>
                <w:szCs w:val="20"/>
              </w:rPr>
            </w:pPr>
            <w:r>
              <w:rPr>
                <w:rFonts w:ascii="Arial" w:hAnsi="Arial" w:cs="Arial"/>
                <w:bCs/>
                <w:sz w:val="20"/>
                <w:szCs w:val="20"/>
              </w:rPr>
              <w:t xml:space="preserve">Definitions including </w:t>
            </w:r>
            <w:r w:rsidRPr="00F10653">
              <w:rPr>
                <w:rFonts w:ascii="Arial" w:hAnsi="Arial" w:cs="Arial"/>
                <w:b/>
                <w:i/>
                <w:iCs/>
                <w:sz w:val="20"/>
                <w:szCs w:val="20"/>
              </w:rPr>
              <w:t>‘authorized officer’</w:t>
            </w:r>
            <w:r>
              <w:rPr>
                <w:rFonts w:ascii="Arial" w:hAnsi="Arial" w:cs="Arial"/>
                <w:bCs/>
                <w:sz w:val="20"/>
                <w:szCs w:val="20"/>
              </w:rPr>
              <w:t xml:space="preserve">, </w:t>
            </w:r>
            <w:r w:rsidRPr="00F10653">
              <w:rPr>
                <w:rFonts w:ascii="Arial" w:hAnsi="Arial" w:cs="Arial"/>
                <w:b/>
                <w:i/>
                <w:iCs/>
                <w:sz w:val="20"/>
                <w:szCs w:val="20"/>
              </w:rPr>
              <w:t>‘court’</w:t>
            </w:r>
            <w:r>
              <w:rPr>
                <w:rFonts w:ascii="Arial" w:hAnsi="Arial" w:cs="Arial"/>
                <w:bCs/>
                <w:sz w:val="20"/>
                <w:szCs w:val="20"/>
              </w:rPr>
              <w:t xml:space="preserve">, </w:t>
            </w:r>
            <w:r w:rsidRPr="00F10653">
              <w:rPr>
                <w:rFonts w:ascii="Arial" w:hAnsi="Arial" w:cs="Arial"/>
                <w:b/>
                <w:i/>
                <w:iCs/>
                <w:sz w:val="20"/>
                <w:szCs w:val="20"/>
              </w:rPr>
              <w:t>‘court premises’</w:t>
            </w:r>
            <w:r>
              <w:rPr>
                <w:rFonts w:ascii="Arial" w:hAnsi="Arial" w:cs="Arial"/>
                <w:bCs/>
                <w:sz w:val="20"/>
                <w:szCs w:val="20"/>
              </w:rPr>
              <w:t xml:space="preserve">, </w:t>
            </w:r>
            <w:r w:rsidR="005534CC" w:rsidRPr="005534CC">
              <w:rPr>
                <w:rFonts w:ascii="Arial" w:hAnsi="Arial" w:cs="Arial"/>
                <w:b/>
                <w:i/>
                <w:iCs/>
                <w:sz w:val="20"/>
                <w:szCs w:val="20"/>
              </w:rPr>
              <w:t>‘pandemic declaration’</w:t>
            </w:r>
            <w:r w:rsidR="005534CC">
              <w:rPr>
                <w:rFonts w:ascii="Arial" w:hAnsi="Arial" w:cs="Arial"/>
                <w:bCs/>
                <w:sz w:val="20"/>
                <w:szCs w:val="20"/>
              </w:rPr>
              <w:t xml:space="preserve">, </w:t>
            </w:r>
            <w:r w:rsidR="005534CC" w:rsidRPr="005534CC">
              <w:rPr>
                <w:rFonts w:ascii="Arial" w:hAnsi="Arial" w:cs="Arial"/>
                <w:b/>
                <w:i/>
                <w:iCs/>
                <w:sz w:val="20"/>
                <w:szCs w:val="20"/>
              </w:rPr>
              <w:t>‘pandemic order’</w:t>
            </w:r>
            <w:r w:rsidR="005534CC">
              <w:rPr>
                <w:rFonts w:ascii="Arial" w:hAnsi="Arial" w:cs="Arial"/>
                <w:bCs/>
                <w:sz w:val="20"/>
                <w:szCs w:val="20"/>
              </w:rPr>
              <w:t xml:space="preserve">, </w:t>
            </w:r>
            <w:r w:rsidRPr="00F10653">
              <w:rPr>
                <w:rFonts w:ascii="Arial" w:hAnsi="Arial" w:cs="Arial"/>
                <w:b/>
                <w:i/>
                <w:iCs/>
                <w:sz w:val="20"/>
                <w:szCs w:val="20"/>
              </w:rPr>
              <w:t>‘proceeding’</w:t>
            </w:r>
            <w:r>
              <w:rPr>
                <w:rFonts w:ascii="Arial" w:hAnsi="Arial" w:cs="Arial"/>
                <w:bCs/>
                <w:sz w:val="20"/>
                <w:szCs w:val="20"/>
              </w:rPr>
              <w:t xml:space="preserve">, </w:t>
            </w:r>
            <w:r w:rsidRPr="00F10653">
              <w:rPr>
                <w:rFonts w:ascii="Arial" w:hAnsi="Arial" w:cs="Arial"/>
                <w:b/>
                <w:i/>
                <w:iCs/>
                <w:sz w:val="20"/>
                <w:szCs w:val="20"/>
              </w:rPr>
              <w:t>‘prohibited item’</w:t>
            </w:r>
            <w:r>
              <w:rPr>
                <w:rFonts w:ascii="Arial" w:hAnsi="Arial" w:cs="Arial"/>
                <w:bCs/>
                <w:sz w:val="20"/>
                <w:szCs w:val="20"/>
              </w:rPr>
              <w:t xml:space="preserve">, </w:t>
            </w:r>
            <w:r w:rsidRPr="00F10653">
              <w:rPr>
                <w:rFonts w:ascii="Arial" w:hAnsi="Arial" w:cs="Arial"/>
                <w:b/>
                <w:i/>
                <w:iCs/>
                <w:sz w:val="20"/>
                <w:szCs w:val="20"/>
              </w:rPr>
              <w:t>‘publish’</w:t>
            </w:r>
            <w:r>
              <w:rPr>
                <w:rFonts w:ascii="Arial" w:hAnsi="Arial" w:cs="Arial"/>
                <w:bCs/>
                <w:sz w:val="20"/>
                <w:szCs w:val="20"/>
              </w:rPr>
              <w:t xml:space="preserve"> &amp; </w:t>
            </w:r>
            <w:r w:rsidRPr="00F10653">
              <w:rPr>
                <w:rFonts w:ascii="Arial" w:hAnsi="Arial" w:cs="Arial"/>
                <w:b/>
                <w:i/>
                <w:iCs/>
                <w:sz w:val="20"/>
                <w:szCs w:val="20"/>
              </w:rPr>
              <w:t>‘recording’</w:t>
            </w:r>
            <w:r>
              <w:rPr>
                <w:rFonts w:ascii="Arial" w:hAnsi="Arial" w:cs="Arial"/>
                <w:bCs/>
                <w:sz w:val="20"/>
                <w:szCs w:val="20"/>
              </w:rPr>
              <w:t>.</w:t>
            </w:r>
          </w:p>
        </w:tc>
      </w:tr>
      <w:tr w:rsidR="005534CC" w14:paraId="253C6D3B" w14:textId="77777777" w:rsidTr="00BB08A1">
        <w:tc>
          <w:tcPr>
            <w:tcW w:w="1128" w:type="dxa"/>
            <w:tcBorders>
              <w:top w:val="single" w:sz="4" w:space="0" w:color="auto"/>
              <w:left w:val="single" w:sz="12" w:space="0" w:color="auto"/>
              <w:bottom w:val="single" w:sz="4" w:space="0" w:color="auto"/>
              <w:right w:val="single" w:sz="8" w:space="0" w:color="auto"/>
            </w:tcBorders>
          </w:tcPr>
          <w:p w14:paraId="21637449" w14:textId="2808F8E3" w:rsidR="005534CC" w:rsidRDefault="005534CC" w:rsidP="00AE2EB6">
            <w:pPr>
              <w:ind w:right="-57"/>
              <w:jc w:val="center"/>
              <w:rPr>
                <w:rFonts w:ascii="Arial" w:hAnsi="Arial" w:cs="Arial"/>
                <w:bCs/>
                <w:sz w:val="20"/>
                <w:szCs w:val="20"/>
              </w:rPr>
            </w:pPr>
            <w:r>
              <w:rPr>
                <w:rFonts w:ascii="Arial" w:hAnsi="Arial" w:cs="Arial"/>
                <w:bCs/>
                <w:sz w:val="20"/>
                <w:szCs w:val="20"/>
              </w:rPr>
              <w:t>2(2)</w:t>
            </w:r>
          </w:p>
        </w:tc>
        <w:tc>
          <w:tcPr>
            <w:tcW w:w="7931" w:type="dxa"/>
            <w:tcBorders>
              <w:left w:val="single" w:sz="8" w:space="0" w:color="auto"/>
              <w:right w:val="single" w:sz="12" w:space="0" w:color="auto"/>
            </w:tcBorders>
          </w:tcPr>
          <w:p w14:paraId="02B720B1" w14:textId="6C007B3E" w:rsidR="005534CC" w:rsidRDefault="005534CC" w:rsidP="00AE2EB6">
            <w:pPr>
              <w:ind w:right="-57"/>
              <w:jc w:val="both"/>
              <w:rPr>
                <w:rFonts w:ascii="Arial" w:hAnsi="Arial" w:cs="Arial"/>
                <w:bCs/>
                <w:sz w:val="20"/>
                <w:szCs w:val="20"/>
              </w:rPr>
            </w:pPr>
            <w:r>
              <w:rPr>
                <w:rFonts w:ascii="Arial" w:hAnsi="Arial" w:cs="Arial"/>
                <w:bCs/>
                <w:sz w:val="20"/>
                <w:szCs w:val="20"/>
              </w:rPr>
              <w:t>A reference in the CSA to “the security, good order or management of the court premises” includes</w:t>
            </w:r>
            <w:r w:rsidR="00741721">
              <w:rPr>
                <w:rFonts w:ascii="Arial" w:hAnsi="Arial" w:cs="Arial"/>
                <w:bCs/>
                <w:sz w:val="20"/>
                <w:szCs w:val="20"/>
              </w:rPr>
              <w:t>:</w:t>
            </w:r>
          </w:p>
          <w:p w14:paraId="5E0FF51D" w14:textId="0DF51637" w:rsidR="005534CC" w:rsidRDefault="005534CC" w:rsidP="005534CC">
            <w:pPr>
              <w:ind w:left="454" w:right="-57" w:hanging="454"/>
              <w:jc w:val="both"/>
              <w:rPr>
                <w:rFonts w:ascii="Arial" w:hAnsi="Arial" w:cs="Arial"/>
                <w:bCs/>
                <w:sz w:val="20"/>
                <w:szCs w:val="20"/>
              </w:rPr>
            </w:pPr>
            <w:r>
              <w:rPr>
                <w:rFonts w:ascii="Arial" w:hAnsi="Arial" w:cs="Arial"/>
                <w:bCs/>
                <w:sz w:val="20"/>
                <w:szCs w:val="20"/>
              </w:rPr>
              <w:t>(a)</w:t>
            </w:r>
            <w:r>
              <w:rPr>
                <w:rFonts w:ascii="Arial" w:hAnsi="Arial" w:cs="Arial"/>
                <w:sz w:val="20"/>
                <w:szCs w:val="20"/>
              </w:rPr>
              <w:tab/>
            </w:r>
            <w:r>
              <w:rPr>
                <w:rFonts w:ascii="Arial" w:hAnsi="Arial" w:cs="Arial"/>
                <w:bCs/>
                <w:sz w:val="20"/>
                <w:szCs w:val="20"/>
              </w:rPr>
              <w:t>the safety of all persons who work at or attend the court premises;</w:t>
            </w:r>
          </w:p>
          <w:p w14:paraId="2354304E" w14:textId="3D049430" w:rsidR="005534CC" w:rsidRDefault="005534CC" w:rsidP="005534CC">
            <w:pPr>
              <w:ind w:left="454" w:right="-57" w:hanging="454"/>
              <w:jc w:val="both"/>
              <w:rPr>
                <w:rFonts w:ascii="Arial" w:hAnsi="Arial" w:cs="Arial"/>
                <w:bCs/>
                <w:sz w:val="20"/>
                <w:szCs w:val="20"/>
              </w:rPr>
            </w:pPr>
            <w:r>
              <w:rPr>
                <w:rFonts w:ascii="Arial" w:hAnsi="Arial" w:cs="Arial"/>
                <w:bCs/>
                <w:sz w:val="20"/>
                <w:szCs w:val="20"/>
              </w:rPr>
              <w:t>(b)</w:t>
            </w:r>
            <w:r>
              <w:rPr>
                <w:rFonts w:ascii="Arial" w:hAnsi="Arial" w:cs="Arial"/>
                <w:sz w:val="20"/>
                <w:szCs w:val="20"/>
              </w:rPr>
              <w:tab/>
            </w:r>
            <w:r>
              <w:rPr>
                <w:rFonts w:ascii="Arial" w:hAnsi="Arial" w:cs="Arial"/>
                <w:bCs/>
                <w:sz w:val="20"/>
                <w:szCs w:val="20"/>
              </w:rPr>
              <w:t>the safety and welfare of all persons in custody at the court premises;</w:t>
            </w:r>
          </w:p>
          <w:p w14:paraId="5292C8BF" w14:textId="0B7E0739" w:rsidR="005534CC" w:rsidRDefault="005534CC" w:rsidP="005534CC">
            <w:pPr>
              <w:ind w:left="454" w:right="-57" w:hanging="454"/>
              <w:jc w:val="both"/>
              <w:rPr>
                <w:rFonts w:ascii="Arial" w:hAnsi="Arial" w:cs="Arial"/>
                <w:bCs/>
                <w:sz w:val="20"/>
                <w:szCs w:val="20"/>
              </w:rPr>
            </w:pPr>
            <w:r>
              <w:rPr>
                <w:rFonts w:ascii="Arial" w:hAnsi="Arial" w:cs="Arial"/>
                <w:bCs/>
                <w:sz w:val="20"/>
                <w:szCs w:val="20"/>
              </w:rPr>
              <w:t>(c)</w:t>
            </w:r>
            <w:r>
              <w:rPr>
                <w:rFonts w:ascii="Arial" w:hAnsi="Arial" w:cs="Arial"/>
                <w:sz w:val="20"/>
                <w:szCs w:val="20"/>
              </w:rPr>
              <w:tab/>
            </w:r>
            <w:r>
              <w:rPr>
                <w:rFonts w:ascii="Arial" w:hAnsi="Arial" w:cs="Arial"/>
                <w:bCs/>
                <w:sz w:val="20"/>
                <w:szCs w:val="20"/>
              </w:rPr>
              <w:t>the good order or management of legal proceedings or other business conducted at the court premises;</w:t>
            </w:r>
          </w:p>
          <w:p w14:paraId="7CE7BCAB" w14:textId="524637B5" w:rsidR="005534CC" w:rsidRDefault="005534CC" w:rsidP="005534CC">
            <w:pPr>
              <w:ind w:left="454" w:right="-57" w:hanging="454"/>
              <w:jc w:val="both"/>
              <w:rPr>
                <w:rFonts w:ascii="Arial" w:hAnsi="Arial" w:cs="Arial"/>
                <w:sz w:val="20"/>
                <w:szCs w:val="20"/>
              </w:rPr>
            </w:pPr>
            <w:r>
              <w:rPr>
                <w:rFonts w:ascii="Arial" w:hAnsi="Arial" w:cs="Arial"/>
                <w:bCs/>
                <w:sz w:val="20"/>
                <w:szCs w:val="20"/>
              </w:rPr>
              <w:t>(d)</w:t>
            </w:r>
            <w:r>
              <w:rPr>
                <w:rFonts w:ascii="Arial" w:hAnsi="Arial" w:cs="Arial"/>
                <w:sz w:val="20"/>
                <w:szCs w:val="20"/>
              </w:rPr>
              <w:tab/>
              <w:t>in relation to a pandemic declaration, the health of all persons or any class of person who work at, attend or are in custody at the court premises;</w:t>
            </w:r>
          </w:p>
          <w:p w14:paraId="7C1EA708" w14:textId="0871FCB7" w:rsidR="005534CC" w:rsidRDefault="005534CC" w:rsidP="005534CC">
            <w:pPr>
              <w:ind w:left="454" w:right="-57" w:hanging="454"/>
              <w:jc w:val="both"/>
              <w:rPr>
                <w:rFonts w:ascii="Arial" w:hAnsi="Arial" w:cs="Arial"/>
                <w:sz w:val="20"/>
                <w:szCs w:val="20"/>
              </w:rPr>
            </w:pPr>
            <w:r>
              <w:rPr>
                <w:rFonts w:ascii="Arial" w:hAnsi="Arial" w:cs="Arial"/>
                <w:bCs/>
                <w:sz w:val="20"/>
                <w:szCs w:val="20"/>
              </w:rPr>
              <w:t>(e)</w:t>
            </w:r>
            <w:r>
              <w:rPr>
                <w:rFonts w:ascii="Arial" w:hAnsi="Arial" w:cs="Arial"/>
                <w:sz w:val="20"/>
                <w:szCs w:val="20"/>
              </w:rPr>
              <w:tab/>
              <w:t>the following of any relevant pandemic order at the court premises;</w:t>
            </w:r>
          </w:p>
          <w:p w14:paraId="7F70CB83" w14:textId="27A6D21C" w:rsidR="005534CC" w:rsidRDefault="005534CC" w:rsidP="005534CC">
            <w:pPr>
              <w:ind w:left="454" w:right="-57" w:hanging="454"/>
              <w:jc w:val="both"/>
              <w:rPr>
                <w:rFonts w:ascii="Arial" w:hAnsi="Arial" w:cs="Arial"/>
                <w:bCs/>
                <w:sz w:val="20"/>
                <w:szCs w:val="20"/>
              </w:rPr>
            </w:pPr>
            <w:r>
              <w:rPr>
                <w:rFonts w:ascii="Arial" w:hAnsi="Arial" w:cs="Arial"/>
                <w:sz w:val="20"/>
                <w:szCs w:val="20"/>
              </w:rPr>
              <w:t>(f)</w:t>
            </w:r>
            <w:r>
              <w:rPr>
                <w:rFonts w:ascii="Arial" w:hAnsi="Arial" w:cs="Arial"/>
                <w:sz w:val="20"/>
                <w:szCs w:val="20"/>
              </w:rPr>
              <w:tab/>
              <w:t xml:space="preserve">the following of any relevant directions made by an authorised officer under Part 8A or 10 of the </w:t>
            </w:r>
            <w:r w:rsidRPr="005534CC">
              <w:rPr>
                <w:rFonts w:ascii="Arial" w:hAnsi="Arial" w:cs="Arial"/>
                <w:i/>
                <w:iCs/>
                <w:sz w:val="20"/>
                <w:szCs w:val="20"/>
              </w:rPr>
              <w:t>Public Health and Wellbeing Act 2008</w:t>
            </w:r>
            <w:r>
              <w:rPr>
                <w:rFonts w:ascii="Arial" w:hAnsi="Arial" w:cs="Arial"/>
                <w:sz w:val="20"/>
                <w:szCs w:val="20"/>
              </w:rPr>
              <w:t xml:space="preserve"> at the court premises.</w:t>
            </w:r>
          </w:p>
        </w:tc>
      </w:tr>
      <w:tr w:rsidR="00AE2EB6" w14:paraId="5E9F679E" w14:textId="77777777" w:rsidTr="00BB08A1">
        <w:tc>
          <w:tcPr>
            <w:tcW w:w="1128" w:type="dxa"/>
            <w:tcBorders>
              <w:top w:val="single" w:sz="4" w:space="0" w:color="auto"/>
              <w:left w:val="single" w:sz="12" w:space="0" w:color="auto"/>
              <w:bottom w:val="single" w:sz="4" w:space="0" w:color="auto"/>
              <w:right w:val="single" w:sz="8" w:space="0" w:color="auto"/>
            </w:tcBorders>
          </w:tcPr>
          <w:p w14:paraId="027E7B6D" w14:textId="42F50C28" w:rsidR="00AE2EB6" w:rsidRDefault="00AE2EB6" w:rsidP="00AE2EB6">
            <w:pPr>
              <w:ind w:right="-57"/>
              <w:jc w:val="center"/>
              <w:rPr>
                <w:rFonts w:ascii="Arial" w:hAnsi="Arial" w:cs="Arial"/>
                <w:bCs/>
                <w:sz w:val="20"/>
                <w:szCs w:val="20"/>
              </w:rPr>
            </w:pPr>
            <w:r>
              <w:rPr>
                <w:rFonts w:ascii="Arial" w:hAnsi="Arial" w:cs="Arial"/>
                <w:bCs/>
                <w:sz w:val="20"/>
                <w:szCs w:val="20"/>
              </w:rPr>
              <w:t>3</w:t>
            </w:r>
          </w:p>
        </w:tc>
        <w:tc>
          <w:tcPr>
            <w:tcW w:w="7931" w:type="dxa"/>
            <w:tcBorders>
              <w:left w:val="single" w:sz="8" w:space="0" w:color="auto"/>
              <w:right w:val="single" w:sz="12" w:space="0" w:color="auto"/>
            </w:tcBorders>
          </w:tcPr>
          <w:p w14:paraId="4E274B63" w14:textId="295115A7" w:rsidR="00AE2EB6" w:rsidRDefault="00AE2EB6" w:rsidP="00AE2EB6">
            <w:pPr>
              <w:ind w:right="-57"/>
              <w:jc w:val="both"/>
              <w:rPr>
                <w:rFonts w:ascii="Arial" w:hAnsi="Arial" w:cs="Arial"/>
                <w:bCs/>
                <w:sz w:val="20"/>
                <w:szCs w:val="20"/>
              </w:rPr>
            </w:pPr>
            <w:r>
              <w:rPr>
                <w:rFonts w:ascii="Arial" w:hAnsi="Arial" w:cs="Arial"/>
                <w:bCs/>
                <w:sz w:val="20"/>
                <w:szCs w:val="20"/>
              </w:rPr>
              <w:t>Powers of authori</w:t>
            </w:r>
            <w:r w:rsidR="00F10653">
              <w:rPr>
                <w:rFonts w:ascii="Arial" w:hAnsi="Arial" w:cs="Arial"/>
                <w:bCs/>
                <w:sz w:val="20"/>
                <w:szCs w:val="20"/>
              </w:rPr>
              <w:t>z</w:t>
            </w:r>
            <w:r>
              <w:rPr>
                <w:rFonts w:ascii="Arial" w:hAnsi="Arial" w:cs="Arial"/>
                <w:bCs/>
                <w:sz w:val="20"/>
                <w:szCs w:val="20"/>
              </w:rPr>
              <w:t>ed officers</w:t>
            </w:r>
            <w:r w:rsidR="004365D6">
              <w:rPr>
                <w:rFonts w:ascii="Arial" w:hAnsi="Arial" w:cs="Arial"/>
                <w:bCs/>
                <w:sz w:val="20"/>
                <w:szCs w:val="20"/>
              </w:rPr>
              <w:t xml:space="preserve"> include</w:t>
            </w:r>
            <w:r w:rsidR="00B80A2B">
              <w:rPr>
                <w:rFonts w:ascii="Arial" w:hAnsi="Arial" w:cs="Arial"/>
                <w:bCs/>
                <w:sz w:val="20"/>
                <w:szCs w:val="20"/>
              </w:rPr>
              <w:t xml:space="preserve"> powers to</w:t>
            </w:r>
            <w:r w:rsidR="00741721">
              <w:rPr>
                <w:rFonts w:ascii="Arial" w:hAnsi="Arial" w:cs="Arial"/>
                <w:bCs/>
                <w:sz w:val="20"/>
                <w:szCs w:val="20"/>
              </w:rPr>
              <w:t>:</w:t>
            </w:r>
          </w:p>
          <w:p w14:paraId="59B10D70" w14:textId="05547257" w:rsidR="004365D6" w:rsidRDefault="004365D6" w:rsidP="004365D6">
            <w:pPr>
              <w:pStyle w:val="ListParagraph"/>
              <w:numPr>
                <w:ilvl w:val="0"/>
                <w:numId w:val="46"/>
              </w:numPr>
              <w:ind w:left="357" w:right="-57" w:hanging="357"/>
              <w:jc w:val="both"/>
              <w:rPr>
                <w:rFonts w:ascii="Arial" w:hAnsi="Arial" w:cs="Arial"/>
                <w:bCs/>
                <w:sz w:val="20"/>
              </w:rPr>
            </w:pPr>
            <w:r w:rsidRPr="004365D6">
              <w:rPr>
                <w:rFonts w:ascii="Arial" w:hAnsi="Arial" w:cs="Arial"/>
                <w:bCs/>
                <w:sz w:val="20"/>
              </w:rPr>
              <w:t>demand from a person who is on court premises the person’s name and address, reasons for being on the premises and evidence of identity;</w:t>
            </w:r>
          </w:p>
          <w:p w14:paraId="1FE4E552" w14:textId="32E304EE" w:rsidR="004365D6" w:rsidRDefault="004365D6" w:rsidP="004365D6">
            <w:pPr>
              <w:pStyle w:val="ListParagraph"/>
              <w:numPr>
                <w:ilvl w:val="0"/>
                <w:numId w:val="46"/>
              </w:numPr>
              <w:ind w:left="357" w:right="-57" w:hanging="357"/>
              <w:jc w:val="both"/>
              <w:rPr>
                <w:rFonts w:ascii="Arial" w:hAnsi="Arial" w:cs="Arial"/>
                <w:bCs/>
                <w:sz w:val="20"/>
              </w:rPr>
            </w:pPr>
            <w:r>
              <w:rPr>
                <w:rFonts w:ascii="Arial" w:hAnsi="Arial" w:cs="Arial"/>
                <w:bCs/>
                <w:sz w:val="20"/>
              </w:rPr>
              <w:t>giv</w:t>
            </w:r>
            <w:r w:rsidR="00B80A2B">
              <w:rPr>
                <w:rFonts w:ascii="Arial" w:hAnsi="Arial" w:cs="Arial"/>
                <w:bCs/>
                <w:sz w:val="20"/>
              </w:rPr>
              <w:t>e</w:t>
            </w:r>
            <w:r>
              <w:rPr>
                <w:rFonts w:ascii="Arial" w:hAnsi="Arial" w:cs="Arial"/>
                <w:bCs/>
                <w:sz w:val="20"/>
              </w:rPr>
              <w:t xml:space="preserve"> to a person who wishes to enter court premises, or is on the court premises, a reasonable direction to do or not do a thing, for the purpose of maintaining or restoring the security, good order or management of the court premises;</w:t>
            </w:r>
          </w:p>
          <w:p w14:paraId="0EB92057" w14:textId="70F68325" w:rsidR="004365D6" w:rsidRDefault="004365D6" w:rsidP="004365D6">
            <w:pPr>
              <w:pStyle w:val="ListParagraph"/>
              <w:numPr>
                <w:ilvl w:val="0"/>
                <w:numId w:val="46"/>
              </w:numPr>
              <w:ind w:left="357" w:right="-57" w:hanging="357"/>
              <w:jc w:val="both"/>
              <w:rPr>
                <w:rFonts w:ascii="Arial" w:hAnsi="Arial" w:cs="Arial"/>
                <w:bCs/>
                <w:sz w:val="20"/>
              </w:rPr>
            </w:pPr>
            <w:r>
              <w:rPr>
                <w:rFonts w:ascii="Arial" w:hAnsi="Arial" w:cs="Arial"/>
                <w:bCs/>
                <w:sz w:val="20"/>
              </w:rPr>
              <w:t>escort a person to or from court premises if that person has consented to being escorted;</w:t>
            </w:r>
          </w:p>
          <w:p w14:paraId="03DE090D" w14:textId="55F65AC7" w:rsidR="004365D6" w:rsidRDefault="004365D6" w:rsidP="004365D6">
            <w:pPr>
              <w:pStyle w:val="ListParagraph"/>
              <w:numPr>
                <w:ilvl w:val="0"/>
                <w:numId w:val="46"/>
              </w:numPr>
              <w:ind w:left="357" w:right="-57" w:hanging="357"/>
              <w:jc w:val="both"/>
              <w:rPr>
                <w:rFonts w:ascii="Arial" w:hAnsi="Arial" w:cs="Arial"/>
                <w:bCs/>
                <w:sz w:val="20"/>
              </w:rPr>
            </w:pPr>
            <w:r>
              <w:rPr>
                <w:rFonts w:ascii="Arial" w:hAnsi="Arial" w:cs="Arial"/>
                <w:bCs/>
                <w:sz w:val="20"/>
              </w:rPr>
              <w:t xml:space="preserve">direct a person whom the officer reasonably suspects is </w:t>
            </w:r>
            <w:r w:rsidR="00DE5662">
              <w:rPr>
                <w:rFonts w:ascii="Arial" w:hAnsi="Arial" w:cs="Arial"/>
                <w:bCs/>
                <w:sz w:val="20"/>
              </w:rPr>
              <w:t xml:space="preserve">making a </w:t>
            </w:r>
            <w:r>
              <w:rPr>
                <w:rFonts w:ascii="Arial" w:hAnsi="Arial" w:cs="Arial"/>
                <w:bCs/>
                <w:sz w:val="20"/>
              </w:rPr>
              <w:t>recording, transmi</w:t>
            </w:r>
            <w:r w:rsidR="00DE5662">
              <w:rPr>
                <w:rFonts w:ascii="Arial" w:hAnsi="Arial" w:cs="Arial"/>
                <w:bCs/>
                <w:sz w:val="20"/>
              </w:rPr>
              <w:t>ssion</w:t>
            </w:r>
            <w:r>
              <w:rPr>
                <w:rFonts w:ascii="Arial" w:hAnsi="Arial" w:cs="Arial"/>
                <w:bCs/>
                <w:sz w:val="20"/>
              </w:rPr>
              <w:t xml:space="preserve"> or publi</w:t>
            </w:r>
            <w:r w:rsidR="00DE5662">
              <w:rPr>
                <w:rFonts w:ascii="Arial" w:hAnsi="Arial" w:cs="Arial"/>
                <w:bCs/>
                <w:sz w:val="20"/>
              </w:rPr>
              <w:t>cation of</w:t>
            </w:r>
            <w:r>
              <w:rPr>
                <w:rFonts w:ascii="Arial" w:hAnsi="Arial" w:cs="Arial"/>
                <w:bCs/>
                <w:sz w:val="20"/>
              </w:rPr>
              <w:t xml:space="preserve"> a proceeding contrary to the CSA or any other Act:</w:t>
            </w:r>
          </w:p>
          <w:p w14:paraId="4E70DE5B" w14:textId="2DDA1E7D" w:rsidR="004365D6" w:rsidRDefault="004365D6" w:rsidP="00B80A2B">
            <w:pPr>
              <w:ind w:left="811" w:right="-57" w:hanging="454"/>
              <w:jc w:val="both"/>
              <w:rPr>
                <w:rFonts w:ascii="Arial" w:hAnsi="Arial" w:cs="Arial"/>
                <w:bCs/>
                <w:sz w:val="20"/>
              </w:rPr>
            </w:pPr>
            <w:r>
              <w:rPr>
                <w:rFonts w:ascii="Arial" w:hAnsi="Arial" w:cs="Arial"/>
                <w:bCs/>
                <w:sz w:val="20"/>
              </w:rPr>
              <w:t>(i)</w:t>
            </w:r>
            <w:r>
              <w:rPr>
                <w:rFonts w:ascii="Arial" w:hAnsi="Arial" w:cs="Arial"/>
                <w:bCs/>
                <w:sz w:val="20"/>
                <w:szCs w:val="20"/>
              </w:rPr>
              <w:tab/>
            </w:r>
            <w:r>
              <w:rPr>
                <w:rFonts w:ascii="Arial" w:hAnsi="Arial" w:cs="Arial"/>
                <w:bCs/>
                <w:sz w:val="20"/>
              </w:rPr>
              <w:t>to stop making the recording, transmission or publication; and/or</w:t>
            </w:r>
          </w:p>
          <w:p w14:paraId="483656E3" w14:textId="58A258F5" w:rsidR="004365D6" w:rsidRDefault="004365D6" w:rsidP="00B80A2B">
            <w:pPr>
              <w:ind w:left="811" w:right="-57" w:hanging="454"/>
              <w:jc w:val="both"/>
              <w:rPr>
                <w:rFonts w:ascii="Arial" w:hAnsi="Arial" w:cs="Arial"/>
                <w:bCs/>
                <w:sz w:val="20"/>
                <w:szCs w:val="20"/>
              </w:rPr>
            </w:pPr>
            <w:r>
              <w:rPr>
                <w:rFonts w:ascii="Arial" w:hAnsi="Arial" w:cs="Arial"/>
                <w:bCs/>
                <w:sz w:val="20"/>
              </w:rPr>
              <w:t>(ii)</w:t>
            </w:r>
            <w:r>
              <w:rPr>
                <w:rFonts w:ascii="Arial" w:hAnsi="Arial" w:cs="Arial"/>
                <w:bCs/>
                <w:sz w:val="20"/>
                <w:szCs w:val="20"/>
              </w:rPr>
              <w:tab/>
              <w:t>to permit an authorized officer to view the recording, transmission or publication on a device; and/or</w:t>
            </w:r>
          </w:p>
          <w:p w14:paraId="00E87874" w14:textId="234B35E3" w:rsidR="004365D6" w:rsidRDefault="004365D6" w:rsidP="00B80A2B">
            <w:pPr>
              <w:ind w:left="811" w:right="-57" w:hanging="454"/>
              <w:jc w:val="both"/>
              <w:rPr>
                <w:rFonts w:ascii="Arial" w:hAnsi="Arial" w:cs="Arial"/>
                <w:bCs/>
                <w:sz w:val="20"/>
              </w:rPr>
            </w:pPr>
            <w:r>
              <w:rPr>
                <w:rFonts w:ascii="Arial" w:hAnsi="Arial" w:cs="Arial"/>
                <w:bCs/>
                <w:sz w:val="20"/>
              </w:rPr>
              <w:t>(iii)</w:t>
            </w:r>
            <w:r>
              <w:rPr>
                <w:rFonts w:ascii="Arial" w:hAnsi="Arial" w:cs="Arial"/>
                <w:bCs/>
                <w:sz w:val="20"/>
                <w:szCs w:val="20"/>
              </w:rPr>
              <w:tab/>
            </w:r>
            <w:r w:rsidR="00B80A2B">
              <w:rPr>
                <w:rFonts w:ascii="Arial" w:hAnsi="Arial" w:cs="Arial"/>
                <w:bCs/>
                <w:sz w:val="20"/>
                <w:szCs w:val="20"/>
              </w:rPr>
              <w:t xml:space="preserve">to </w:t>
            </w:r>
            <w:r>
              <w:rPr>
                <w:rFonts w:ascii="Arial" w:hAnsi="Arial" w:cs="Arial"/>
                <w:bCs/>
                <w:sz w:val="20"/>
                <w:szCs w:val="20"/>
              </w:rPr>
              <w:t>delete the recording</w:t>
            </w:r>
            <w:r w:rsidR="00DE5662">
              <w:rPr>
                <w:rFonts w:ascii="Arial" w:hAnsi="Arial" w:cs="Arial"/>
                <w:bCs/>
                <w:sz w:val="20"/>
                <w:szCs w:val="20"/>
              </w:rPr>
              <w:t>;</w:t>
            </w:r>
          </w:p>
          <w:p w14:paraId="2196E35D" w14:textId="6BEB3986" w:rsidR="00B80A2B" w:rsidRDefault="00B80A2B" w:rsidP="00B80A2B">
            <w:pPr>
              <w:pStyle w:val="ListParagraph"/>
              <w:numPr>
                <w:ilvl w:val="0"/>
                <w:numId w:val="46"/>
              </w:numPr>
              <w:ind w:left="357" w:right="-57" w:hanging="357"/>
              <w:jc w:val="both"/>
              <w:rPr>
                <w:rFonts w:ascii="Arial" w:hAnsi="Arial" w:cs="Arial"/>
                <w:bCs/>
                <w:sz w:val="20"/>
              </w:rPr>
            </w:pPr>
            <w:r>
              <w:rPr>
                <w:rFonts w:ascii="Arial" w:hAnsi="Arial" w:cs="Arial"/>
                <w:bCs/>
                <w:sz w:val="20"/>
              </w:rPr>
              <w:t>require a person who wishes to enter court premises, or is on the court premises, to submit to a frisk search or a search of anything in the person’s possession</w:t>
            </w:r>
            <w:r w:rsidR="0020729F">
              <w:rPr>
                <w:rFonts w:ascii="Arial" w:hAnsi="Arial" w:cs="Arial"/>
                <w:bCs/>
                <w:sz w:val="20"/>
              </w:rPr>
              <w:t>;</w:t>
            </w:r>
          </w:p>
          <w:p w14:paraId="1B1503AE" w14:textId="718921A8" w:rsidR="00B80A2B" w:rsidRDefault="00B80A2B" w:rsidP="00B80A2B">
            <w:pPr>
              <w:pStyle w:val="ListParagraph"/>
              <w:numPr>
                <w:ilvl w:val="0"/>
                <w:numId w:val="46"/>
              </w:numPr>
              <w:ind w:left="357" w:right="-57" w:hanging="357"/>
              <w:jc w:val="both"/>
              <w:rPr>
                <w:rFonts w:ascii="Arial" w:hAnsi="Arial" w:cs="Arial"/>
                <w:bCs/>
                <w:sz w:val="20"/>
              </w:rPr>
            </w:pPr>
            <w:r>
              <w:rPr>
                <w:rFonts w:ascii="Arial" w:hAnsi="Arial" w:cs="Arial"/>
                <w:bCs/>
                <w:sz w:val="20"/>
              </w:rPr>
              <w:t>seize and retain any item found during a search</w:t>
            </w:r>
            <w:r w:rsidR="00DE5662">
              <w:rPr>
                <w:rFonts w:ascii="Arial" w:hAnsi="Arial" w:cs="Arial"/>
                <w:bCs/>
                <w:sz w:val="20"/>
              </w:rPr>
              <w:t xml:space="preserve"> that the authorized officer believes on reasonable grounds is a prohibited item</w:t>
            </w:r>
            <w:r>
              <w:rPr>
                <w:rFonts w:ascii="Arial" w:hAnsi="Arial" w:cs="Arial"/>
                <w:bCs/>
                <w:sz w:val="20"/>
              </w:rPr>
              <w:t>;</w:t>
            </w:r>
          </w:p>
          <w:p w14:paraId="4951B527" w14:textId="4D8E8D93" w:rsidR="004365D6" w:rsidRPr="00B80A2B" w:rsidRDefault="00B80A2B" w:rsidP="004365D6">
            <w:pPr>
              <w:pStyle w:val="ListParagraph"/>
              <w:numPr>
                <w:ilvl w:val="0"/>
                <w:numId w:val="46"/>
              </w:numPr>
              <w:ind w:left="357" w:right="-57" w:hanging="357"/>
              <w:jc w:val="both"/>
              <w:rPr>
                <w:rFonts w:ascii="Arial" w:hAnsi="Arial" w:cs="Arial"/>
                <w:bCs/>
                <w:sz w:val="20"/>
              </w:rPr>
            </w:pPr>
            <w:r>
              <w:rPr>
                <w:rFonts w:ascii="Arial" w:hAnsi="Arial" w:cs="Arial"/>
                <w:bCs/>
                <w:sz w:val="20"/>
              </w:rPr>
              <w:t>refuse a person entry to the court premises or remove a person from the court premises if the authorized officer believes on reasonable grounds that the person is likely to affect adversely the security, good order or management of the court premises.</w:t>
            </w:r>
          </w:p>
        </w:tc>
      </w:tr>
      <w:tr w:rsidR="00AE2EB6" w14:paraId="6CEB6840" w14:textId="77777777" w:rsidTr="00BB08A1">
        <w:tc>
          <w:tcPr>
            <w:tcW w:w="1128" w:type="dxa"/>
            <w:tcBorders>
              <w:top w:val="single" w:sz="4" w:space="0" w:color="auto"/>
              <w:left w:val="single" w:sz="12" w:space="0" w:color="auto"/>
              <w:bottom w:val="single" w:sz="4" w:space="0" w:color="auto"/>
              <w:right w:val="single" w:sz="8" w:space="0" w:color="auto"/>
            </w:tcBorders>
          </w:tcPr>
          <w:p w14:paraId="24571010" w14:textId="38CC57D3" w:rsidR="00AE2EB6" w:rsidRDefault="00AE2EB6" w:rsidP="00AE2EB6">
            <w:pPr>
              <w:ind w:right="-57"/>
              <w:jc w:val="center"/>
              <w:rPr>
                <w:rFonts w:ascii="Arial" w:hAnsi="Arial" w:cs="Arial"/>
                <w:bCs/>
                <w:sz w:val="20"/>
                <w:szCs w:val="20"/>
              </w:rPr>
            </w:pPr>
            <w:r>
              <w:rPr>
                <w:rFonts w:ascii="Arial" w:hAnsi="Arial" w:cs="Arial"/>
                <w:bCs/>
                <w:sz w:val="20"/>
                <w:szCs w:val="20"/>
              </w:rPr>
              <w:t>3A</w:t>
            </w:r>
          </w:p>
        </w:tc>
        <w:tc>
          <w:tcPr>
            <w:tcW w:w="7931" w:type="dxa"/>
            <w:tcBorders>
              <w:left w:val="single" w:sz="8" w:space="0" w:color="auto"/>
              <w:right w:val="single" w:sz="12" w:space="0" w:color="auto"/>
            </w:tcBorders>
          </w:tcPr>
          <w:p w14:paraId="3B0FEC5C" w14:textId="47DABE2C" w:rsidR="00AE2EB6" w:rsidRDefault="00AE2EB6" w:rsidP="00AE2EB6">
            <w:pPr>
              <w:ind w:right="-57"/>
              <w:jc w:val="both"/>
              <w:rPr>
                <w:rFonts w:ascii="Arial" w:hAnsi="Arial" w:cs="Arial"/>
                <w:bCs/>
                <w:sz w:val="20"/>
                <w:szCs w:val="20"/>
              </w:rPr>
            </w:pPr>
            <w:r>
              <w:rPr>
                <w:rFonts w:ascii="Arial" w:hAnsi="Arial" w:cs="Arial"/>
                <w:bCs/>
                <w:sz w:val="20"/>
                <w:szCs w:val="20"/>
              </w:rPr>
              <w:t>Police to be present at courts</w:t>
            </w:r>
          </w:p>
        </w:tc>
      </w:tr>
      <w:tr w:rsidR="00AE2EB6" w14:paraId="0D36C7FC" w14:textId="77777777" w:rsidTr="00BB08A1">
        <w:tc>
          <w:tcPr>
            <w:tcW w:w="1128" w:type="dxa"/>
            <w:tcBorders>
              <w:top w:val="single" w:sz="4" w:space="0" w:color="auto"/>
              <w:left w:val="single" w:sz="12" w:space="0" w:color="auto"/>
              <w:bottom w:val="single" w:sz="4" w:space="0" w:color="auto"/>
              <w:right w:val="single" w:sz="8" w:space="0" w:color="auto"/>
            </w:tcBorders>
          </w:tcPr>
          <w:p w14:paraId="1E0B4F7F" w14:textId="612965D2" w:rsidR="00AE2EB6" w:rsidRDefault="00F10653" w:rsidP="00AE2EB6">
            <w:pPr>
              <w:ind w:right="-57"/>
              <w:jc w:val="center"/>
              <w:rPr>
                <w:rFonts w:ascii="Arial" w:hAnsi="Arial" w:cs="Arial"/>
                <w:bCs/>
                <w:sz w:val="20"/>
                <w:szCs w:val="20"/>
              </w:rPr>
            </w:pPr>
            <w:r>
              <w:rPr>
                <w:rFonts w:ascii="Arial" w:hAnsi="Arial" w:cs="Arial"/>
                <w:bCs/>
                <w:sz w:val="20"/>
                <w:szCs w:val="20"/>
              </w:rPr>
              <w:t>4</w:t>
            </w:r>
          </w:p>
        </w:tc>
        <w:tc>
          <w:tcPr>
            <w:tcW w:w="7931" w:type="dxa"/>
            <w:tcBorders>
              <w:left w:val="single" w:sz="8" w:space="0" w:color="auto"/>
              <w:right w:val="single" w:sz="12" w:space="0" w:color="auto"/>
            </w:tcBorders>
          </w:tcPr>
          <w:p w14:paraId="32F57283" w14:textId="3046E3B9" w:rsidR="00AE2EB6" w:rsidRDefault="00F10653" w:rsidP="00AE2EB6">
            <w:pPr>
              <w:ind w:right="-57"/>
              <w:jc w:val="both"/>
              <w:rPr>
                <w:rFonts w:ascii="Arial" w:hAnsi="Arial" w:cs="Arial"/>
                <w:bCs/>
                <w:sz w:val="20"/>
                <w:szCs w:val="20"/>
              </w:rPr>
            </w:pPr>
            <w:r>
              <w:rPr>
                <w:rFonts w:ascii="Arial" w:hAnsi="Arial" w:cs="Arial"/>
                <w:bCs/>
                <w:sz w:val="20"/>
                <w:szCs w:val="20"/>
              </w:rPr>
              <w:t>Offence to carry or possess firearm, explosive substance or offensive weapon on court premises</w:t>
            </w:r>
          </w:p>
        </w:tc>
      </w:tr>
      <w:tr w:rsidR="00AE2EB6" w14:paraId="2D008710" w14:textId="77777777" w:rsidTr="00BB08A1">
        <w:tc>
          <w:tcPr>
            <w:tcW w:w="1128" w:type="dxa"/>
            <w:tcBorders>
              <w:top w:val="single" w:sz="4" w:space="0" w:color="auto"/>
              <w:left w:val="single" w:sz="12" w:space="0" w:color="auto"/>
              <w:bottom w:val="single" w:sz="4" w:space="0" w:color="auto"/>
              <w:right w:val="single" w:sz="8" w:space="0" w:color="auto"/>
            </w:tcBorders>
          </w:tcPr>
          <w:p w14:paraId="09A2D176" w14:textId="19365C06" w:rsidR="00AE2EB6" w:rsidRDefault="00F10653" w:rsidP="00AE2EB6">
            <w:pPr>
              <w:ind w:right="-57"/>
              <w:jc w:val="center"/>
              <w:rPr>
                <w:rFonts w:ascii="Arial" w:hAnsi="Arial" w:cs="Arial"/>
                <w:bCs/>
                <w:sz w:val="20"/>
                <w:szCs w:val="20"/>
              </w:rPr>
            </w:pPr>
            <w:r>
              <w:rPr>
                <w:rFonts w:ascii="Arial" w:hAnsi="Arial" w:cs="Arial"/>
                <w:bCs/>
                <w:sz w:val="20"/>
                <w:szCs w:val="20"/>
              </w:rPr>
              <w:t>4A</w:t>
            </w:r>
          </w:p>
        </w:tc>
        <w:tc>
          <w:tcPr>
            <w:tcW w:w="7931" w:type="dxa"/>
            <w:tcBorders>
              <w:left w:val="single" w:sz="8" w:space="0" w:color="auto"/>
              <w:right w:val="single" w:sz="12" w:space="0" w:color="auto"/>
            </w:tcBorders>
          </w:tcPr>
          <w:p w14:paraId="464A5736" w14:textId="4EF1BB7B" w:rsidR="00AE2EB6" w:rsidRDefault="00F10653" w:rsidP="00AE2EB6">
            <w:pPr>
              <w:ind w:right="-57"/>
              <w:jc w:val="both"/>
              <w:rPr>
                <w:rFonts w:ascii="Arial" w:hAnsi="Arial" w:cs="Arial"/>
                <w:bCs/>
                <w:sz w:val="20"/>
                <w:szCs w:val="20"/>
              </w:rPr>
            </w:pPr>
            <w:r>
              <w:rPr>
                <w:rFonts w:ascii="Arial" w:hAnsi="Arial" w:cs="Arial"/>
                <w:bCs/>
                <w:sz w:val="20"/>
                <w:szCs w:val="20"/>
              </w:rPr>
              <w:t>Offence to intentionally record a proceeding except in accordance with ss.4A(2)-(4).</w:t>
            </w:r>
          </w:p>
        </w:tc>
      </w:tr>
      <w:tr w:rsidR="00AE2EB6" w14:paraId="77E3D348" w14:textId="77777777" w:rsidTr="00BB08A1">
        <w:tc>
          <w:tcPr>
            <w:tcW w:w="1128" w:type="dxa"/>
            <w:tcBorders>
              <w:top w:val="single" w:sz="4" w:space="0" w:color="auto"/>
              <w:left w:val="single" w:sz="12" w:space="0" w:color="auto"/>
              <w:bottom w:val="single" w:sz="4" w:space="0" w:color="auto"/>
              <w:right w:val="single" w:sz="8" w:space="0" w:color="auto"/>
            </w:tcBorders>
          </w:tcPr>
          <w:p w14:paraId="084A3F7E" w14:textId="0D0AB1BD" w:rsidR="00AE2EB6" w:rsidRDefault="00F10653" w:rsidP="00AE2EB6">
            <w:pPr>
              <w:ind w:right="-57"/>
              <w:jc w:val="center"/>
              <w:rPr>
                <w:rFonts w:ascii="Arial" w:hAnsi="Arial" w:cs="Arial"/>
                <w:bCs/>
                <w:sz w:val="20"/>
                <w:szCs w:val="20"/>
              </w:rPr>
            </w:pPr>
            <w:r>
              <w:rPr>
                <w:rFonts w:ascii="Arial" w:hAnsi="Arial" w:cs="Arial"/>
                <w:bCs/>
                <w:sz w:val="20"/>
                <w:szCs w:val="20"/>
              </w:rPr>
              <w:lastRenderedPageBreak/>
              <w:t>4B</w:t>
            </w:r>
          </w:p>
        </w:tc>
        <w:tc>
          <w:tcPr>
            <w:tcW w:w="7931" w:type="dxa"/>
            <w:tcBorders>
              <w:left w:val="single" w:sz="8" w:space="0" w:color="auto"/>
              <w:right w:val="single" w:sz="12" w:space="0" w:color="auto"/>
            </w:tcBorders>
          </w:tcPr>
          <w:p w14:paraId="23726D9D" w14:textId="2439B5A5" w:rsidR="00AE2EB6" w:rsidRDefault="00F10653" w:rsidP="00AE2EB6">
            <w:pPr>
              <w:ind w:right="-57"/>
              <w:jc w:val="both"/>
              <w:rPr>
                <w:rFonts w:ascii="Arial" w:hAnsi="Arial" w:cs="Arial"/>
                <w:bCs/>
                <w:sz w:val="20"/>
                <w:szCs w:val="20"/>
              </w:rPr>
            </w:pPr>
            <w:r>
              <w:rPr>
                <w:rFonts w:ascii="Arial" w:hAnsi="Arial" w:cs="Arial"/>
                <w:bCs/>
                <w:sz w:val="20"/>
                <w:szCs w:val="20"/>
              </w:rPr>
              <w:t>Offence to intentionally publish a recording of a proceeding except in accordance with s.4B(2).</w:t>
            </w:r>
            <w:r w:rsidR="004541D3">
              <w:rPr>
                <w:rFonts w:ascii="Arial" w:hAnsi="Arial" w:cs="Arial"/>
                <w:bCs/>
                <w:sz w:val="20"/>
                <w:szCs w:val="20"/>
              </w:rPr>
              <w:t xml:space="preserve">  However, s.4B(2A) provides that a person may publish a recording of a proceeding if the person does so on behalf of a court or tribunal for a purpose set out in s.8B of the </w:t>
            </w:r>
            <w:r w:rsidR="004541D3" w:rsidRPr="004541D3">
              <w:rPr>
                <w:rFonts w:ascii="Arial" w:hAnsi="Arial" w:cs="Arial"/>
                <w:bCs/>
                <w:i/>
                <w:iCs/>
                <w:sz w:val="20"/>
                <w:szCs w:val="20"/>
              </w:rPr>
              <w:t>Open Courts Act 2013</w:t>
            </w:r>
            <w:r w:rsidR="004541D3">
              <w:rPr>
                <w:rFonts w:ascii="Arial" w:hAnsi="Arial" w:cs="Arial"/>
                <w:bCs/>
                <w:sz w:val="20"/>
                <w:szCs w:val="20"/>
              </w:rPr>
              <w:t>.</w:t>
            </w:r>
          </w:p>
        </w:tc>
      </w:tr>
      <w:tr w:rsidR="00F10653" w14:paraId="239EF790" w14:textId="77777777" w:rsidTr="00BB08A1">
        <w:tc>
          <w:tcPr>
            <w:tcW w:w="1128" w:type="dxa"/>
            <w:tcBorders>
              <w:top w:val="single" w:sz="4" w:space="0" w:color="auto"/>
              <w:left w:val="single" w:sz="12" w:space="0" w:color="auto"/>
              <w:bottom w:val="single" w:sz="4" w:space="0" w:color="auto"/>
              <w:right w:val="single" w:sz="8" w:space="0" w:color="auto"/>
            </w:tcBorders>
          </w:tcPr>
          <w:p w14:paraId="3B916A1A" w14:textId="6EB28249" w:rsidR="00F10653" w:rsidRDefault="00F10653" w:rsidP="00AE2EB6">
            <w:pPr>
              <w:ind w:right="-57"/>
              <w:jc w:val="center"/>
              <w:rPr>
                <w:rFonts w:ascii="Arial" w:hAnsi="Arial" w:cs="Arial"/>
                <w:bCs/>
                <w:sz w:val="20"/>
                <w:szCs w:val="20"/>
              </w:rPr>
            </w:pPr>
            <w:r>
              <w:rPr>
                <w:rFonts w:ascii="Arial" w:hAnsi="Arial" w:cs="Arial"/>
                <w:bCs/>
                <w:sz w:val="20"/>
                <w:szCs w:val="20"/>
              </w:rPr>
              <w:t>4C</w:t>
            </w:r>
          </w:p>
        </w:tc>
        <w:tc>
          <w:tcPr>
            <w:tcW w:w="7931" w:type="dxa"/>
            <w:tcBorders>
              <w:left w:val="single" w:sz="8" w:space="0" w:color="auto"/>
              <w:right w:val="single" w:sz="12" w:space="0" w:color="auto"/>
            </w:tcBorders>
          </w:tcPr>
          <w:p w14:paraId="54A045B4" w14:textId="3CDB5198" w:rsidR="00F10653" w:rsidRDefault="00F10653" w:rsidP="00AE2EB6">
            <w:pPr>
              <w:ind w:right="-57"/>
              <w:jc w:val="both"/>
              <w:rPr>
                <w:rFonts w:ascii="Arial" w:hAnsi="Arial" w:cs="Arial"/>
                <w:bCs/>
                <w:sz w:val="20"/>
                <w:szCs w:val="20"/>
              </w:rPr>
            </w:pPr>
            <w:r>
              <w:rPr>
                <w:rFonts w:ascii="Arial" w:hAnsi="Arial" w:cs="Arial"/>
                <w:bCs/>
                <w:sz w:val="20"/>
                <w:szCs w:val="20"/>
              </w:rPr>
              <w:t>Offence to intentionally transmit to or give a recording of a proceeding to another person except in accordance with ss.4C(2)-(4).</w:t>
            </w:r>
          </w:p>
        </w:tc>
      </w:tr>
      <w:tr w:rsidR="00F10653" w14:paraId="193A017D" w14:textId="77777777" w:rsidTr="00BB08A1">
        <w:tc>
          <w:tcPr>
            <w:tcW w:w="1128" w:type="dxa"/>
            <w:tcBorders>
              <w:top w:val="single" w:sz="4" w:space="0" w:color="auto"/>
              <w:left w:val="single" w:sz="12" w:space="0" w:color="auto"/>
              <w:bottom w:val="single" w:sz="4" w:space="0" w:color="auto"/>
              <w:right w:val="single" w:sz="8" w:space="0" w:color="auto"/>
            </w:tcBorders>
          </w:tcPr>
          <w:p w14:paraId="5E1F9D11" w14:textId="05830835" w:rsidR="00F10653" w:rsidRDefault="00F10653" w:rsidP="00AE2EB6">
            <w:pPr>
              <w:ind w:right="-57"/>
              <w:jc w:val="center"/>
              <w:rPr>
                <w:rFonts w:ascii="Arial" w:hAnsi="Arial" w:cs="Arial"/>
                <w:bCs/>
                <w:sz w:val="20"/>
                <w:szCs w:val="20"/>
              </w:rPr>
            </w:pPr>
            <w:r>
              <w:rPr>
                <w:rFonts w:ascii="Arial" w:hAnsi="Arial" w:cs="Arial"/>
                <w:bCs/>
                <w:sz w:val="20"/>
                <w:szCs w:val="20"/>
              </w:rPr>
              <w:t>5</w:t>
            </w:r>
          </w:p>
        </w:tc>
        <w:tc>
          <w:tcPr>
            <w:tcW w:w="7931" w:type="dxa"/>
            <w:tcBorders>
              <w:left w:val="single" w:sz="8" w:space="0" w:color="auto"/>
              <w:right w:val="single" w:sz="12" w:space="0" w:color="auto"/>
            </w:tcBorders>
          </w:tcPr>
          <w:p w14:paraId="7DD96D10" w14:textId="43D792D7" w:rsidR="00F10653" w:rsidRDefault="00F10653" w:rsidP="00AE2EB6">
            <w:pPr>
              <w:ind w:right="-57"/>
              <w:jc w:val="both"/>
              <w:rPr>
                <w:rFonts w:ascii="Arial" w:hAnsi="Arial" w:cs="Arial"/>
                <w:bCs/>
                <w:sz w:val="20"/>
                <w:szCs w:val="20"/>
              </w:rPr>
            </w:pPr>
            <w:r>
              <w:rPr>
                <w:rFonts w:ascii="Arial" w:hAnsi="Arial" w:cs="Arial"/>
                <w:bCs/>
                <w:sz w:val="20"/>
                <w:szCs w:val="20"/>
              </w:rPr>
              <w:t xml:space="preserve">The powers conferred by the CSA are in addition to and </w:t>
            </w:r>
            <w:r w:rsidR="00BB08A1">
              <w:rPr>
                <w:rFonts w:ascii="Arial" w:hAnsi="Arial" w:cs="Arial"/>
                <w:bCs/>
                <w:sz w:val="20"/>
                <w:szCs w:val="20"/>
              </w:rPr>
              <w:t>do</w:t>
            </w:r>
            <w:r>
              <w:rPr>
                <w:rFonts w:ascii="Arial" w:hAnsi="Arial" w:cs="Arial"/>
                <w:bCs/>
                <w:sz w:val="20"/>
                <w:szCs w:val="20"/>
              </w:rPr>
              <w:t xml:space="preserve"> not derogate from any other powers conferred on or possessed by any court</w:t>
            </w:r>
            <w:r w:rsidR="00BB08A1">
              <w:rPr>
                <w:rFonts w:ascii="Arial" w:hAnsi="Arial" w:cs="Arial"/>
                <w:bCs/>
                <w:sz w:val="20"/>
                <w:szCs w:val="20"/>
              </w:rPr>
              <w:t>,</w:t>
            </w:r>
            <w:r>
              <w:rPr>
                <w:rFonts w:ascii="Arial" w:hAnsi="Arial" w:cs="Arial"/>
                <w:bCs/>
                <w:sz w:val="20"/>
                <w:szCs w:val="20"/>
              </w:rPr>
              <w:t xml:space="preserve"> judge or person in relation to the conduct of proceedings in a court or the regulation of the conduct of persons in court premises.</w:t>
            </w:r>
          </w:p>
        </w:tc>
      </w:tr>
      <w:tr w:rsidR="00F10653" w14:paraId="7D3A9B9E" w14:textId="77777777" w:rsidTr="00BB08A1">
        <w:tc>
          <w:tcPr>
            <w:tcW w:w="1128" w:type="dxa"/>
            <w:tcBorders>
              <w:top w:val="single" w:sz="4" w:space="0" w:color="auto"/>
              <w:left w:val="single" w:sz="12" w:space="0" w:color="auto"/>
              <w:bottom w:val="single" w:sz="12" w:space="0" w:color="auto"/>
              <w:right w:val="single" w:sz="8" w:space="0" w:color="auto"/>
            </w:tcBorders>
          </w:tcPr>
          <w:p w14:paraId="70ACAD5E" w14:textId="16724AAC" w:rsidR="00F10653" w:rsidRDefault="00BB08A1" w:rsidP="00AE2EB6">
            <w:pPr>
              <w:ind w:right="-57"/>
              <w:jc w:val="center"/>
              <w:rPr>
                <w:rFonts w:ascii="Arial" w:hAnsi="Arial" w:cs="Arial"/>
                <w:bCs/>
                <w:sz w:val="20"/>
                <w:szCs w:val="20"/>
              </w:rPr>
            </w:pPr>
            <w:r>
              <w:rPr>
                <w:rFonts w:ascii="Arial" w:hAnsi="Arial" w:cs="Arial"/>
                <w:bCs/>
                <w:sz w:val="20"/>
                <w:szCs w:val="20"/>
              </w:rPr>
              <w:t>6 &amp; 7</w:t>
            </w:r>
          </w:p>
        </w:tc>
        <w:tc>
          <w:tcPr>
            <w:tcW w:w="7931" w:type="dxa"/>
            <w:tcBorders>
              <w:left w:val="single" w:sz="8" w:space="0" w:color="auto"/>
              <w:bottom w:val="single" w:sz="12" w:space="0" w:color="auto"/>
              <w:right w:val="single" w:sz="12" w:space="0" w:color="auto"/>
            </w:tcBorders>
          </w:tcPr>
          <w:p w14:paraId="2B83E024" w14:textId="0B1E9C77" w:rsidR="00F10653" w:rsidRDefault="00BB08A1" w:rsidP="00AE2EB6">
            <w:pPr>
              <w:ind w:right="-57"/>
              <w:jc w:val="both"/>
              <w:rPr>
                <w:rFonts w:ascii="Arial" w:hAnsi="Arial" w:cs="Arial"/>
                <w:bCs/>
                <w:sz w:val="20"/>
                <w:szCs w:val="20"/>
              </w:rPr>
            </w:pPr>
            <w:r>
              <w:rPr>
                <w:rFonts w:ascii="Arial" w:hAnsi="Arial" w:cs="Arial"/>
                <w:bCs/>
                <w:sz w:val="20"/>
                <w:szCs w:val="20"/>
              </w:rPr>
              <w:t>Powers to make regulations and/or rules.</w:t>
            </w:r>
          </w:p>
        </w:tc>
      </w:tr>
    </w:tbl>
    <w:p w14:paraId="35B35BEE" w14:textId="70DA2C99" w:rsidR="006D592F" w:rsidRDefault="006D592F" w:rsidP="006D592F">
      <w:pPr>
        <w:shd w:val="clear" w:color="auto" w:fill="FFFFFF"/>
        <w:ind w:right="-57"/>
        <w:jc w:val="both"/>
        <w:rPr>
          <w:rFonts w:ascii="Arial" w:hAnsi="Arial" w:cs="Arial"/>
          <w:bCs/>
          <w:sz w:val="20"/>
          <w:szCs w:val="20"/>
        </w:rPr>
      </w:pPr>
    </w:p>
    <w:p w14:paraId="66EFCBD4" w14:textId="166DC256" w:rsidR="006D592F" w:rsidRDefault="00BB08A1">
      <w:pPr>
        <w:jc w:val="both"/>
        <w:rPr>
          <w:rFonts w:ascii="Arial" w:hAnsi="Arial" w:cs="Arial"/>
          <w:sz w:val="20"/>
          <w:szCs w:val="20"/>
        </w:rPr>
      </w:pPr>
      <w:r>
        <w:rPr>
          <w:rFonts w:ascii="Arial" w:hAnsi="Arial" w:cs="Arial"/>
          <w:sz w:val="20"/>
          <w:szCs w:val="20"/>
        </w:rPr>
        <w:t xml:space="preserve">Section 7A CSA which provided some temporary measures in response to the COVID-19 pandemic </w:t>
      </w:r>
      <w:r w:rsidR="00D56DF6">
        <w:rPr>
          <w:rFonts w:ascii="Arial" w:hAnsi="Arial" w:cs="Arial"/>
          <w:sz w:val="20"/>
          <w:szCs w:val="20"/>
        </w:rPr>
        <w:t>wa</w:t>
      </w:r>
      <w:r>
        <w:rPr>
          <w:rFonts w:ascii="Arial" w:hAnsi="Arial" w:cs="Arial"/>
          <w:sz w:val="20"/>
          <w:szCs w:val="20"/>
        </w:rPr>
        <w:t xml:space="preserve">s repealed as and from </w:t>
      </w:r>
      <w:r w:rsidR="004541D3">
        <w:rPr>
          <w:rFonts w:ascii="Arial" w:hAnsi="Arial" w:cs="Arial"/>
          <w:sz w:val="20"/>
          <w:szCs w:val="20"/>
        </w:rPr>
        <w:t>11</w:t>
      </w:r>
      <w:r>
        <w:rPr>
          <w:rFonts w:ascii="Arial" w:hAnsi="Arial" w:cs="Arial"/>
          <w:sz w:val="20"/>
          <w:szCs w:val="20"/>
        </w:rPr>
        <w:t>/10/2023.</w:t>
      </w:r>
    </w:p>
    <w:p w14:paraId="02B7126E" w14:textId="77777777" w:rsidR="005534CC" w:rsidRPr="000D7DAB" w:rsidRDefault="005534CC">
      <w:pPr>
        <w:jc w:val="both"/>
        <w:rPr>
          <w:rFonts w:ascii="Arial" w:hAnsi="Arial" w:cs="Arial"/>
          <w:sz w:val="20"/>
          <w:szCs w:val="20"/>
        </w:rPr>
      </w:pPr>
    </w:p>
    <w:p w14:paraId="1796A177" w14:textId="77777777" w:rsidR="00277B85" w:rsidRPr="00BE6441" w:rsidRDefault="00277B85">
      <w:pPr>
        <w:pStyle w:val="Heading2"/>
        <w:tabs>
          <w:tab w:val="left" w:pos="567"/>
        </w:tabs>
        <w:spacing w:line="240" w:lineRule="auto"/>
        <w:rPr>
          <w:rFonts w:ascii="Arial" w:hAnsi="Arial" w:cs="Arial"/>
          <w:b/>
          <w:bCs/>
          <w:color w:val="000000"/>
        </w:rPr>
      </w:pPr>
      <w:bookmarkStart w:id="330" w:name="_2.6_A_specialist"/>
      <w:bookmarkStart w:id="331" w:name="_Toc30607524"/>
      <w:bookmarkStart w:id="332" w:name="_Toc30607653"/>
      <w:bookmarkStart w:id="333" w:name="_Toc30607978"/>
      <w:bookmarkStart w:id="334" w:name="_Toc30608795"/>
      <w:bookmarkStart w:id="335" w:name="_Toc30610008"/>
      <w:bookmarkStart w:id="336" w:name="_Toc30610251"/>
      <w:bookmarkStart w:id="337" w:name="_Toc30638405"/>
      <w:bookmarkStart w:id="338" w:name="_Toc30644214"/>
      <w:bookmarkStart w:id="339" w:name="_Toc30644617"/>
      <w:bookmarkStart w:id="340" w:name="_Toc30645167"/>
      <w:bookmarkStart w:id="341" w:name="_Toc30646371"/>
      <w:bookmarkStart w:id="342" w:name="_Toc30646666"/>
      <w:bookmarkStart w:id="343" w:name="_Toc30646776"/>
      <w:bookmarkStart w:id="344" w:name="_Toc30648133"/>
      <w:bookmarkStart w:id="345" w:name="_Toc30649031"/>
      <w:bookmarkStart w:id="346" w:name="_Toc30649107"/>
      <w:bookmarkStart w:id="347" w:name="_Toc30649368"/>
      <w:bookmarkStart w:id="348" w:name="_Toc30649688"/>
      <w:bookmarkStart w:id="349" w:name="_Toc30651622"/>
      <w:bookmarkStart w:id="350" w:name="_Toc30652606"/>
      <w:bookmarkStart w:id="351" w:name="_Toc30652704"/>
      <w:bookmarkStart w:id="352" w:name="_Toc30654049"/>
      <w:bookmarkStart w:id="353" w:name="_Toc30654400"/>
      <w:bookmarkStart w:id="354" w:name="_Toc30655019"/>
      <w:bookmarkStart w:id="355" w:name="_Toc30655276"/>
      <w:bookmarkStart w:id="356" w:name="_Toc30656952"/>
      <w:bookmarkStart w:id="357" w:name="_Toc30661701"/>
      <w:bookmarkStart w:id="358" w:name="_Toc30666389"/>
      <w:bookmarkStart w:id="359" w:name="_Toc30666619"/>
      <w:bookmarkStart w:id="360" w:name="_Toc30667794"/>
      <w:bookmarkStart w:id="361" w:name="_Toc30669172"/>
      <w:bookmarkStart w:id="362" w:name="_Toc30671388"/>
      <w:bookmarkStart w:id="363" w:name="_Toc30673915"/>
      <w:bookmarkStart w:id="364" w:name="_Toc30691137"/>
      <w:bookmarkStart w:id="365" w:name="_Toc30691508"/>
      <w:bookmarkStart w:id="366" w:name="_Toc30691888"/>
      <w:bookmarkStart w:id="367" w:name="_Toc30692647"/>
      <w:bookmarkStart w:id="368" w:name="_Toc30693026"/>
      <w:bookmarkStart w:id="369" w:name="_Toc30693404"/>
      <w:bookmarkStart w:id="370" w:name="_Toc30693783"/>
      <w:bookmarkStart w:id="371" w:name="_Toc30694164"/>
      <w:bookmarkStart w:id="372" w:name="_Toc30698753"/>
      <w:bookmarkStart w:id="373" w:name="_Toc30699131"/>
      <w:bookmarkStart w:id="374" w:name="_Toc30699516"/>
      <w:bookmarkStart w:id="375" w:name="_Toc30700671"/>
      <w:bookmarkStart w:id="376" w:name="_Toc30701058"/>
      <w:bookmarkStart w:id="377" w:name="_Toc30743667"/>
      <w:bookmarkStart w:id="378" w:name="_Toc30754490"/>
      <w:bookmarkStart w:id="379" w:name="_Toc30756930"/>
      <w:bookmarkStart w:id="380" w:name="_Toc30757479"/>
      <w:bookmarkStart w:id="381" w:name="_Toc30757879"/>
      <w:bookmarkStart w:id="382" w:name="_Toc30762640"/>
      <w:bookmarkStart w:id="383" w:name="_Toc30767294"/>
      <w:bookmarkStart w:id="384" w:name="_Toc34823319"/>
      <w:bookmarkEnd w:id="330"/>
      <w:r w:rsidRPr="00BE6441">
        <w:rPr>
          <w:rFonts w:ascii="Arial" w:hAnsi="Arial" w:cs="Arial"/>
          <w:b/>
          <w:bCs/>
          <w:color w:val="000000"/>
        </w:rPr>
        <w:t>2.6</w:t>
      </w:r>
      <w:r w:rsidRPr="00BE6441">
        <w:rPr>
          <w:rFonts w:ascii="Arial" w:hAnsi="Arial" w:cs="Arial"/>
          <w:b/>
          <w:bCs/>
          <w:color w:val="000000"/>
        </w:rPr>
        <w:tab/>
        <w:t>A specialist court</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14:paraId="08BD075C" w14:textId="071170DB" w:rsidR="00277B85" w:rsidRDefault="00277B85">
      <w:pPr>
        <w:jc w:val="both"/>
        <w:rPr>
          <w:rFonts w:ascii="Arial" w:hAnsi="Arial" w:cs="Arial"/>
          <w:sz w:val="20"/>
        </w:rPr>
      </w:pPr>
    </w:p>
    <w:p w14:paraId="43232C58" w14:textId="2F084443" w:rsidR="00885636" w:rsidRDefault="00885636">
      <w:pPr>
        <w:jc w:val="both"/>
        <w:rPr>
          <w:rFonts w:ascii="Arial" w:hAnsi="Arial" w:cs="Arial"/>
          <w:sz w:val="20"/>
        </w:rPr>
      </w:pPr>
      <w:r>
        <w:rPr>
          <w:rFonts w:ascii="Arial" w:hAnsi="Arial" w:cs="Arial"/>
          <w:sz w:val="20"/>
        </w:rPr>
        <w:t xml:space="preserve">Prior to 2000 the Children’s Court had been in some respects a sort of ‘add-on’ to the Magistrates’ Court.  In the Second Reading Speech in support of the </w:t>
      </w:r>
      <w:r w:rsidRPr="00885636">
        <w:rPr>
          <w:rFonts w:ascii="Arial" w:hAnsi="Arial" w:cs="Arial"/>
          <w:i/>
          <w:iCs/>
          <w:sz w:val="20"/>
        </w:rPr>
        <w:t>Children and Young Persons (Appointment of President) Bill 2000</w:t>
      </w:r>
      <w:r>
        <w:rPr>
          <w:rFonts w:ascii="Arial" w:hAnsi="Arial" w:cs="Arial"/>
          <w:sz w:val="20"/>
        </w:rPr>
        <w:t xml:space="preserve"> the then Attorney-General Mr Hulls </w:t>
      </w:r>
      <w:r w:rsidR="008E312A">
        <w:rPr>
          <w:rFonts w:ascii="Arial" w:hAnsi="Arial" w:cs="Arial"/>
          <w:sz w:val="20"/>
        </w:rPr>
        <w:t>made it clear that one of the purposes of the Bill was to create an autonomous specialist court [Hansard, 04/05/2000, p.1</w:t>
      </w:r>
      <w:r w:rsidR="001E3EEE">
        <w:rPr>
          <w:rFonts w:ascii="Arial" w:hAnsi="Arial" w:cs="Arial"/>
          <w:sz w:val="20"/>
        </w:rPr>
        <w:t>32</w:t>
      </w:r>
      <w:r w:rsidR="008E312A">
        <w:rPr>
          <w:rFonts w:ascii="Arial" w:hAnsi="Arial" w:cs="Arial"/>
          <w:sz w:val="20"/>
        </w:rPr>
        <w:t>2]:</w:t>
      </w:r>
    </w:p>
    <w:p w14:paraId="4449BAF1" w14:textId="2472DA28" w:rsidR="008E312A" w:rsidRDefault="008E312A" w:rsidP="008E312A">
      <w:pPr>
        <w:spacing w:before="60"/>
        <w:ind w:left="567" w:right="567"/>
        <w:jc w:val="both"/>
        <w:rPr>
          <w:rFonts w:ascii="Arial" w:hAnsi="Arial" w:cs="Arial"/>
          <w:sz w:val="20"/>
        </w:rPr>
      </w:pPr>
      <w:r>
        <w:rPr>
          <w:rFonts w:ascii="Arial" w:hAnsi="Arial" w:cs="Arial"/>
          <w:sz w:val="20"/>
        </w:rPr>
        <w:t>“The…Bill elevates the status and authority of the long-neglected Children’s Court and by doing so advances the government’s commitment to promoting the position of young people in the Victorian community.</w:t>
      </w:r>
    </w:p>
    <w:p w14:paraId="6528075F" w14:textId="3979A046" w:rsidR="008E312A" w:rsidRDefault="008E312A" w:rsidP="008E312A">
      <w:pPr>
        <w:spacing w:before="60"/>
        <w:ind w:left="567" w:right="567"/>
        <w:jc w:val="both"/>
        <w:rPr>
          <w:rFonts w:ascii="Arial" w:hAnsi="Arial" w:cs="Arial"/>
          <w:sz w:val="20"/>
        </w:rPr>
      </w:pPr>
      <w:r>
        <w:rPr>
          <w:rFonts w:ascii="Arial" w:hAnsi="Arial" w:cs="Arial"/>
          <w:sz w:val="20"/>
        </w:rPr>
        <w:t>The Bill creates the office of President of the Children’s Court and establishes the Children’s Court as a new court which is separate from the Magistrates’ Court.</w:t>
      </w:r>
    </w:p>
    <w:p w14:paraId="0A067087" w14:textId="43240504" w:rsidR="008E312A" w:rsidRDefault="008E312A" w:rsidP="003D5A8D">
      <w:pPr>
        <w:spacing w:before="60"/>
        <w:ind w:left="567" w:right="567"/>
        <w:jc w:val="both"/>
        <w:rPr>
          <w:rFonts w:ascii="Arial" w:hAnsi="Arial" w:cs="Arial"/>
          <w:sz w:val="20"/>
        </w:rPr>
      </w:pPr>
      <w:r>
        <w:rPr>
          <w:rFonts w:ascii="Arial" w:hAnsi="Arial" w:cs="Arial"/>
          <w:sz w:val="20"/>
        </w:rPr>
        <w:t>The creation of the office of President of the Children’s Court:</w:t>
      </w:r>
    </w:p>
    <w:p w14:paraId="5495FD0C" w14:textId="08075AC5" w:rsidR="008E312A" w:rsidRPr="00FF0306" w:rsidRDefault="008E312A" w:rsidP="00C23CF0">
      <w:pPr>
        <w:pStyle w:val="ListParagraph"/>
        <w:numPr>
          <w:ilvl w:val="0"/>
          <w:numId w:val="26"/>
        </w:numPr>
        <w:spacing w:before="60"/>
        <w:ind w:left="924" w:right="454" w:hanging="357"/>
        <w:jc w:val="both"/>
        <w:rPr>
          <w:rFonts w:ascii="Arial" w:hAnsi="Arial" w:cs="Arial"/>
          <w:sz w:val="20"/>
        </w:rPr>
      </w:pPr>
      <w:r w:rsidRPr="00FF0306">
        <w:rPr>
          <w:rFonts w:ascii="Arial" w:hAnsi="Arial" w:cs="Arial"/>
          <w:sz w:val="20"/>
        </w:rPr>
        <w:t>reflects the importance, increasing specialisation and authority of the Children’s Court; and</w:t>
      </w:r>
    </w:p>
    <w:p w14:paraId="618704B0" w14:textId="44730385" w:rsidR="008E312A" w:rsidRPr="00FF0306" w:rsidRDefault="008E312A" w:rsidP="00C23CF0">
      <w:pPr>
        <w:pStyle w:val="ListParagraph"/>
        <w:numPr>
          <w:ilvl w:val="0"/>
          <w:numId w:val="26"/>
        </w:numPr>
        <w:spacing w:before="60"/>
        <w:ind w:left="924" w:right="454" w:hanging="357"/>
        <w:jc w:val="both"/>
        <w:rPr>
          <w:rFonts w:ascii="Arial" w:hAnsi="Arial" w:cs="Arial"/>
          <w:sz w:val="20"/>
        </w:rPr>
      </w:pPr>
      <w:r w:rsidRPr="00FF0306">
        <w:rPr>
          <w:rFonts w:ascii="Arial" w:hAnsi="Arial" w:cs="Arial"/>
          <w:sz w:val="20"/>
        </w:rPr>
        <w:t>will allow the Children’s Court to develop its specialist responsibilities autonomously.  The President will be able to promote the adoption of a consistent philosophy and set standards for the consistent treatment of young people in courts across the state.  This advances the government policy of growing the whole of the state of Victoria and providing increased services to rural and regional Victoria.</w:t>
      </w:r>
    </w:p>
    <w:p w14:paraId="3F52936F" w14:textId="1EB1F8DF" w:rsidR="008E312A" w:rsidRDefault="008E312A" w:rsidP="008E312A">
      <w:pPr>
        <w:spacing w:before="60"/>
        <w:ind w:left="567" w:right="567"/>
        <w:jc w:val="both"/>
        <w:rPr>
          <w:rFonts w:ascii="Arial" w:hAnsi="Arial" w:cs="Arial"/>
          <w:sz w:val="20"/>
        </w:rPr>
      </w:pPr>
      <w:r>
        <w:rPr>
          <w:rFonts w:ascii="Arial" w:hAnsi="Arial" w:cs="Arial"/>
          <w:sz w:val="20"/>
        </w:rPr>
        <w:t>The establishment of the Children’s Court as a freestanding, separately recognised court underlines its increased importance and specialisation.  This change clearly demonstrates the government’s recognition of the important role played by the Children’s Court in our judicial system in providing a specialised court catering for children and young people in both the criminal and family jurisdictions.”</w:t>
      </w:r>
    </w:p>
    <w:p w14:paraId="099BDB0E" w14:textId="77777777" w:rsidR="007E182D" w:rsidRDefault="007E182D">
      <w:pPr>
        <w:jc w:val="both"/>
        <w:rPr>
          <w:rFonts w:ascii="Arial" w:hAnsi="Arial" w:cs="Arial"/>
          <w:sz w:val="20"/>
        </w:rPr>
      </w:pPr>
    </w:p>
    <w:p w14:paraId="56CFFF94" w14:textId="038E6A97" w:rsidR="00277B85" w:rsidRDefault="00277B85">
      <w:pPr>
        <w:jc w:val="both"/>
        <w:rPr>
          <w:rFonts w:ascii="Arial" w:hAnsi="Arial" w:cs="Arial"/>
          <w:sz w:val="20"/>
        </w:rPr>
      </w:pPr>
      <w:r>
        <w:rPr>
          <w:rFonts w:ascii="Arial" w:hAnsi="Arial" w:cs="Arial"/>
          <w:sz w:val="20"/>
        </w:rPr>
        <w:t xml:space="preserve">Section </w:t>
      </w:r>
      <w:r w:rsidR="00D52216">
        <w:rPr>
          <w:rFonts w:ascii="Arial" w:hAnsi="Arial" w:cs="Arial"/>
          <w:sz w:val="20"/>
        </w:rPr>
        <w:t>507</w:t>
      </w:r>
      <w:r>
        <w:rPr>
          <w:rFonts w:ascii="Arial" w:hAnsi="Arial" w:cs="Arial"/>
          <w:sz w:val="20"/>
        </w:rPr>
        <w:t>(2) of the CY</w:t>
      </w:r>
      <w:r w:rsidR="00D52216">
        <w:rPr>
          <w:rFonts w:ascii="Arial" w:hAnsi="Arial" w:cs="Arial"/>
          <w:sz w:val="20"/>
        </w:rPr>
        <w:t>F</w:t>
      </w:r>
      <w:r>
        <w:rPr>
          <w:rFonts w:ascii="Arial" w:hAnsi="Arial" w:cs="Arial"/>
          <w:sz w:val="20"/>
        </w:rPr>
        <w:t xml:space="preserve">A requires the President, in assigning a magistrate or </w:t>
      </w:r>
      <w:r w:rsidRPr="000326C3">
        <w:rPr>
          <w:rFonts w:ascii="Arial" w:hAnsi="Arial" w:cs="Arial"/>
          <w:color w:val="000000"/>
          <w:sz w:val="20"/>
        </w:rPr>
        <w:t>a</w:t>
      </w:r>
      <w:r w:rsidR="000D597F" w:rsidRPr="000326C3">
        <w:rPr>
          <w:rFonts w:ascii="Arial" w:hAnsi="Arial" w:cs="Arial"/>
          <w:color w:val="000000"/>
          <w:sz w:val="20"/>
        </w:rPr>
        <w:t xml:space="preserve"> reserve</w:t>
      </w:r>
      <w:r w:rsidRPr="000326C3">
        <w:rPr>
          <w:rFonts w:ascii="Arial" w:hAnsi="Arial" w:cs="Arial"/>
          <w:color w:val="000000"/>
          <w:sz w:val="20"/>
        </w:rPr>
        <w:t xml:space="preserve"> </w:t>
      </w:r>
      <w:r>
        <w:rPr>
          <w:rFonts w:ascii="Arial" w:hAnsi="Arial" w:cs="Arial"/>
          <w:sz w:val="20"/>
        </w:rPr>
        <w:t>magistrate to be a magistrate for the Court, to have regard to his or her experience in matters relating to child welfare.</w:t>
      </w:r>
    </w:p>
    <w:p w14:paraId="048CC296" w14:textId="77777777" w:rsidR="00277B85" w:rsidRDefault="00277B85">
      <w:pPr>
        <w:jc w:val="both"/>
        <w:rPr>
          <w:rFonts w:ascii="Arial" w:hAnsi="Arial" w:cs="Arial"/>
          <w:sz w:val="20"/>
        </w:rPr>
      </w:pPr>
    </w:p>
    <w:p w14:paraId="2711A499" w14:textId="77777777" w:rsidR="00277B85" w:rsidRDefault="00277B85">
      <w:pPr>
        <w:jc w:val="both"/>
        <w:rPr>
          <w:rFonts w:ascii="Arial" w:hAnsi="Arial" w:cs="Arial"/>
          <w:sz w:val="20"/>
        </w:rPr>
      </w:pPr>
      <w:r>
        <w:rPr>
          <w:rFonts w:ascii="Arial" w:hAnsi="Arial" w:cs="Arial"/>
          <w:sz w:val="20"/>
        </w:rPr>
        <w:t>In order to enhance their experience in this specialist area, judicial officers assigned to the Court attend regular seminars on various matters relating to child welfare, especially on psychological and psychiatric issues and on aspects of child abuse.  Many of these are closed seminars arranged by the Children's Court Clinic.</w:t>
      </w:r>
    </w:p>
    <w:p w14:paraId="6AE44C95" w14:textId="77777777" w:rsidR="00277B85" w:rsidRDefault="00277B85">
      <w:pPr>
        <w:jc w:val="both"/>
        <w:rPr>
          <w:rFonts w:ascii="Arial" w:hAnsi="Arial" w:cs="Arial"/>
          <w:sz w:val="20"/>
        </w:rPr>
      </w:pPr>
    </w:p>
    <w:p w14:paraId="535AE983" w14:textId="77777777" w:rsidR="00277B85" w:rsidRDefault="00277B85">
      <w:pPr>
        <w:jc w:val="both"/>
        <w:rPr>
          <w:rFonts w:ascii="Arial" w:hAnsi="Arial" w:cs="Arial"/>
          <w:sz w:val="20"/>
        </w:rPr>
      </w:pPr>
      <w:r>
        <w:rPr>
          <w:rFonts w:ascii="Arial" w:hAnsi="Arial" w:cs="Arial"/>
          <w:sz w:val="20"/>
        </w:rPr>
        <w:t xml:space="preserve">In </w:t>
      </w:r>
      <w:r>
        <w:rPr>
          <w:rFonts w:ascii="Arial" w:hAnsi="Arial" w:cs="Arial"/>
          <w:i/>
          <w:iCs/>
          <w:sz w:val="20"/>
        </w:rPr>
        <w:t>T v Secretary of Department of Human Services</w:t>
      </w:r>
      <w:r>
        <w:rPr>
          <w:rFonts w:ascii="Arial" w:hAnsi="Arial" w:cs="Arial"/>
          <w:sz w:val="20"/>
        </w:rPr>
        <w:t xml:space="preserve"> [1999] VSC 42 Beach J dismissed an appeal by a mother against interim accommodation orders placing her 2 children in the care of a suitable person.  At the conclusion of his judgment, Beach J said at [21]:</w:t>
      </w:r>
    </w:p>
    <w:p w14:paraId="61BD2A51" w14:textId="77777777" w:rsidR="00277B85" w:rsidRDefault="00277B85" w:rsidP="00DE6548">
      <w:pPr>
        <w:spacing w:before="60"/>
        <w:ind w:left="567" w:right="567"/>
        <w:jc w:val="both"/>
        <w:rPr>
          <w:rFonts w:ascii="Arial" w:hAnsi="Arial" w:cs="Arial"/>
          <w:sz w:val="20"/>
        </w:rPr>
      </w:pPr>
      <w:r>
        <w:rPr>
          <w:rFonts w:ascii="Arial" w:hAnsi="Arial" w:cs="Arial"/>
          <w:sz w:val="20"/>
        </w:rPr>
        <w:t>"The Children's Court is a specialist court presided over by Magistrates experienced in matters affecting young children and with ready access to experts in the field of child care.  It is beyond doubt that Magistrates at the Court become very skilled in dealing with children and assessing the veracity of evidence given by them in courts and of the complaints they make particularly complaints of sexual abuse.  Th[e Supreme] Court should be reluctant to interfere with orders of the Court made in such matters, particularly interim orders which are still subject to further review by the Children's Court itself and should do so only where it is abundantly clear that some significant error has been made."</w:t>
      </w:r>
    </w:p>
    <w:p w14:paraId="310D5C90" w14:textId="77777777" w:rsidR="00277B85" w:rsidRDefault="00277B85">
      <w:pPr>
        <w:jc w:val="both"/>
        <w:rPr>
          <w:rFonts w:ascii="Arial" w:hAnsi="Arial" w:cs="Arial"/>
          <w:sz w:val="20"/>
        </w:rPr>
      </w:pPr>
    </w:p>
    <w:p w14:paraId="68A4D2CE" w14:textId="0A679D5A" w:rsidR="00C95F65" w:rsidRDefault="00277B85" w:rsidP="00E46F6A">
      <w:pPr>
        <w:jc w:val="both"/>
        <w:rPr>
          <w:rFonts w:ascii="Arial" w:hAnsi="Arial" w:cs="Arial"/>
          <w:sz w:val="20"/>
        </w:rPr>
      </w:pPr>
      <w:r>
        <w:rPr>
          <w:rFonts w:ascii="Arial" w:hAnsi="Arial" w:cs="Arial"/>
          <w:sz w:val="20"/>
        </w:rPr>
        <w:lastRenderedPageBreak/>
        <w:t xml:space="preserve">In </w:t>
      </w:r>
      <w:r>
        <w:rPr>
          <w:rFonts w:ascii="Arial" w:hAnsi="Arial" w:cs="Arial"/>
          <w:i/>
          <w:iCs/>
          <w:sz w:val="20"/>
        </w:rPr>
        <w:t>P v RM &amp; Ors</w:t>
      </w:r>
      <w:r>
        <w:rPr>
          <w:rFonts w:ascii="Arial" w:hAnsi="Arial" w:cs="Arial"/>
          <w:sz w:val="20"/>
        </w:rPr>
        <w:t xml:space="preserve"> [2004] VSC 14 Gillard J, after referring to the above dicta, said at [28]: "I</w:t>
      </w:r>
      <w:r w:rsidR="00E5215E">
        <w:rPr>
          <w:rFonts w:ascii="Arial" w:hAnsi="Arial" w:cs="Arial"/>
          <w:sz w:val="20"/>
        </w:rPr>
        <w:t xml:space="preserve"> </w:t>
      </w:r>
      <w:r>
        <w:rPr>
          <w:rFonts w:ascii="Arial" w:hAnsi="Arial" w:cs="Arial"/>
          <w:sz w:val="20"/>
        </w:rPr>
        <w:t>would not raise the hurdle as high as that…Speaking for myself I take the view that weight should be accorded to decisions made by Magistrates experienced in this area."</w:t>
      </w:r>
      <w:r w:rsidR="00C95F65">
        <w:rPr>
          <w:rFonts w:ascii="Arial" w:hAnsi="Arial" w:cs="Arial"/>
          <w:sz w:val="20"/>
        </w:rPr>
        <w:t xml:space="preserve">  In </w:t>
      </w:r>
      <w:r w:rsidR="00C95F65" w:rsidRPr="00894678">
        <w:rPr>
          <w:rFonts w:ascii="Arial" w:hAnsi="Arial" w:cs="Arial"/>
          <w:i/>
          <w:sz w:val="20"/>
        </w:rPr>
        <w:t>DOHS v SM</w:t>
      </w:r>
      <w:r w:rsidR="00C95F65">
        <w:rPr>
          <w:rFonts w:ascii="Arial" w:hAnsi="Arial" w:cs="Arial"/>
          <w:sz w:val="20"/>
        </w:rPr>
        <w:t xml:space="preserve"> [2006] VSC 129 at [14] Hansen</w:t>
      </w:r>
      <w:r w:rsidR="00520020">
        <w:rPr>
          <w:rFonts w:ascii="Arial" w:hAnsi="Arial" w:cs="Arial"/>
          <w:sz w:val="20"/>
        </w:rPr>
        <w:t> </w:t>
      </w:r>
      <w:r w:rsidR="00C95F65">
        <w:rPr>
          <w:rFonts w:ascii="Arial" w:hAnsi="Arial" w:cs="Arial"/>
          <w:sz w:val="20"/>
        </w:rPr>
        <w:t>J expressed a similar view:</w:t>
      </w:r>
    </w:p>
    <w:p w14:paraId="16382884" w14:textId="77777777" w:rsidR="00C95F65" w:rsidRDefault="00C95F65" w:rsidP="001E3EEE">
      <w:pPr>
        <w:spacing w:before="60"/>
        <w:ind w:left="454" w:right="454"/>
        <w:jc w:val="both"/>
        <w:rPr>
          <w:rFonts w:ascii="Arial" w:hAnsi="Arial" w:cs="Arial"/>
          <w:sz w:val="20"/>
        </w:rPr>
      </w:pPr>
      <w:r>
        <w:rPr>
          <w:rFonts w:ascii="Arial" w:hAnsi="Arial" w:cs="Arial"/>
          <w:sz w:val="20"/>
        </w:rPr>
        <w:t>“[T]h</w:t>
      </w:r>
      <w:r w:rsidRPr="00894678">
        <w:rPr>
          <w:rFonts w:ascii="Arial" w:hAnsi="Arial" w:cs="Arial"/>
          <w:sz w:val="20"/>
        </w:rPr>
        <w:t>e decision of an experienced Magistrate in a specialist court is to be afforded respect and weight in consequence that it is such a decision, but doing so, in the end the decision must nevertheless be regarded in the context of all the relevant facts and circumstances of the case.</w:t>
      </w:r>
      <w:r>
        <w:rPr>
          <w:rFonts w:ascii="Arial" w:hAnsi="Arial" w:cs="Arial"/>
          <w:sz w:val="20"/>
        </w:rPr>
        <w:t>”</w:t>
      </w:r>
    </w:p>
    <w:p w14:paraId="03771737" w14:textId="77777777" w:rsidR="00B91F6E" w:rsidRDefault="00B91F6E" w:rsidP="00B91F6E">
      <w:pPr>
        <w:jc w:val="both"/>
        <w:rPr>
          <w:rFonts w:ascii="Arial" w:hAnsi="Arial" w:cs="Arial"/>
          <w:sz w:val="20"/>
        </w:rPr>
      </w:pPr>
    </w:p>
    <w:p w14:paraId="0AC2427F" w14:textId="77777777" w:rsidR="00B91F6E" w:rsidRPr="00B46EF1" w:rsidRDefault="00B91F6E" w:rsidP="00B91F6E">
      <w:pPr>
        <w:jc w:val="both"/>
        <w:rPr>
          <w:rFonts w:ascii="Arial" w:hAnsi="Arial" w:cs="Arial"/>
          <w:color w:val="000000"/>
          <w:sz w:val="20"/>
        </w:rPr>
      </w:pPr>
      <w:r w:rsidRPr="00B46EF1">
        <w:rPr>
          <w:rFonts w:ascii="Arial" w:hAnsi="Arial" w:cs="Arial"/>
          <w:color w:val="000000"/>
          <w:sz w:val="20"/>
        </w:rPr>
        <w:t xml:space="preserve">In </w:t>
      </w:r>
      <w:r w:rsidRPr="00B46EF1">
        <w:rPr>
          <w:rFonts w:ascii="Arial" w:hAnsi="Arial" w:cs="Arial"/>
          <w:i/>
          <w:color w:val="000000"/>
          <w:sz w:val="20"/>
        </w:rPr>
        <w:t>DOHS v Sanding</w:t>
      </w:r>
      <w:r w:rsidRPr="00B46EF1">
        <w:rPr>
          <w:rFonts w:ascii="Arial" w:hAnsi="Arial" w:cs="Arial"/>
          <w:color w:val="000000"/>
          <w:sz w:val="20"/>
        </w:rPr>
        <w:t xml:space="preserve"> [2011] VSC 42 at [</w:t>
      </w:r>
      <w:r w:rsidR="00F73D7A" w:rsidRPr="00B46EF1">
        <w:rPr>
          <w:rFonts w:ascii="Arial" w:hAnsi="Arial" w:cs="Arial"/>
          <w:color w:val="000000"/>
          <w:sz w:val="20"/>
        </w:rPr>
        <w:t>28</w:t>
      </w:r>
      <w:r w:rsidRPr="00B46EF1">
        <w:rPr>
          <w:rFonts w:ascii="Arial" w:hAnsi="Arial" w:cs="Arial"/>
          <w:color w:val="000000"/>
          <w:sz w:val="20"/>
        </w:rPr>
        <w:t xml:space="preserve">] </w:t>
      </w:r>
      <w:r w:rsidR="00F73D7A" w:rsidRPr="00B46EF1">
        <w:rPr>
          <w:rFonts w:ascii="Arial" w:hAnsi="Arial" w:cs="Arial"/>
          <w:color w:val="000000"/>
          <w:sz w:val="20"/>
        </w:rPr>
        <w:t xml:space="preserve">Bell J referred with approval to the first two sentences of the above dicta of Beach J in </w:t>
      </w:r>
      <w:r w:rsidR="00F73D7A" w:rsidRPr="00B46EF1">
        <w:rPr>
          <w:rFonts w:ascii="Arial" w:hAnsi="Arial" w:cs="Arial"/>
          <w:i/>
          <w:color w:val="000000"/>
          <w:sz w:val="20"/>
        </w:rPr>
        <w:t>T’s case</w:t>
      </w:r>
      <w:r w:rsidR="00F73D7A" w:rsidRPr="00B46EF1">
        <w:rPr>
          <w:rFonts w:ascii="Arial" w:hAnsi="Arial" w:cs="Arial"/>
          <w:color w:val="000000"/>
          <w:sz w:val="20"/>
        </w:rPr>
        <w:t xml:space="preserve"> and to dicta of Gillard J in </w:t>
      </w:r>
      <w:r w:rsidR="00F73D7A" w:rsidRPr="00B46EF1">
        <w:rPr>
          <w:rFonts w:ascii="Arial" w:hAnsi="Arial" w:cs="Arial"/>
          <w:i/>
          <w:color w:val="000000"/>
          <w:sz w:val="20"/>
        </w:rPr>
        <w:t>R v RM &amp; Ors</w:t>
      </w:r>
      <w:r w:rsidR="00F73D7A" w:rsidRPr="00B46EF1">
        <w:rPr>
          <w:rFonts w:ascii="Arial" w:hAnsi="Arial" w:cs="Arial"/>
          <w:color w:val="000000"/>
          <w:sz w:val="20"/>
        </w:rPr>
        <w:t xml:space="preserve"> </w:t>
      </w:r>
      <w:r w:rsidR="00474A52" w:rsidRPr="00B46EF1">
        <w:rPr>
          <w:rFonts w:ascii="Arial" w:hAnsi="Arial" w:cs="Arial"/>
          <w:color w:val="000000"/>
          <w:sz w:val="20"/>
        </w:rPr>
        <w:t xml:space="preserve">at [27] </w:t>
      </w:r>
      <w:r w:rsidR="00F73D7A" w:rsidRPr="00B46EF1">
        <w:rPr>
          <w:rFonts w:ascii="Arial" w:hAnsi="Arial" w:cs="Arial"/>
          <w:color w:val="000000"/>
          <w:sz w:val="20"/>
        </w:rPr>
        <w:t xml:space="preserve">and of </w:t>
      </w:r>
      <w:proofErr w:type="spellStart"/>
      <w:r w:rsidR="00F73D7A" w:rsidRPr="00B46EF1">
        <w:rPr>
          <w:rFonts w:ascii="Arial" w:hAnsi="Arial" w:cs="Arial"/>
          <w:color w:val="000000"/>
          <w:sz w:val="20"/>
        </w:rPr>
        <w:t>Habersberger</w:t>
      </w:r>
      <w:proofErr w:type="spellEnd"/>
      <w:r w:rsidR="00F73D7A" w:rsidRPr="00B46EF1">
        <w:rPr>
          <w:rFonts w:ascii="Arial" w:hAnsi="Arial" w:cs="Arial"/>
          <w:color w:val="000000"/>
          <w:sz w:val="20"/>
        </w:rPr>
        <w:t xml:space="preserve"> J in </w:t>
      </w:r>
      <w:r w:rsidR="00F73D7A" w:rsidRPr="00B46EF1">
        <w:rPr>
          <w:rFonts w:ascii="Arial" w:hAnsi="Arial" w:cs="Arial"/>
          <w:i/>
          <w:color w:val="000000"/>
          <w:sz w:val="20"/>
        </w:rPr>
        <w:t>CJ v DOHS</w:t>
      </w:r>
      <w:r w:rsidR="00F73D7A" w:rsidRPr="00B46EF1">
        <w:rPr>
          <w:rFonts w:ascii="Arial" w:hAnsi="Arial" w:cs="Arial"/>
          <w:color w:val="000000"/>
          <w:sz w:val="20"/>
        </w:rPr>
        <w:t xml:space="preserve"> [2004] VSC 317 at [21] and said:</w:t>
      </w:r>
    </w:p>
    <w:p w14:paraId="597DA760" w14:textId="77777777" w:rsidR="00B91F6E" w:rsidRPr="00B46EF1" w:rsidRDefault="00B91F6E" w:rsidP="00B91F6E">
      <w:pPr>
        <w:spacing w:before="60"/>
        <w:ind w:left="567" w:right="567"/>
        <w:jc w:val="both"/>
        <w:rPr>
          <w:rFonts w:ascii="Arial" w:hAnsi="Arial" w:cs="Arial"/>
          <w:color w:val="000000"/>
          <w:sz w:val="20"/>
        </w:rPr>
      </w:pPr>
      <w:r w:rsidRPr="00B46EF1">
        <w:rPr>
          <w:rFonts w:ascii="Arial" w:hAnsi="Arial" w:cs="Arial"/>
          <w:color w:val="000000"/>
          <w:sz w:val="20"/>
        </w:rPr>
        <w:t>“</w:t>
      </w:r>
      <w:r w:rsidR="00F73D7A" w:rsidRPr="00B46EF1">
        <w:rPr>
          <w:rFonts w:ascii="Arial" w:hAnsi="Arial" w:cs="Arial"/>
          <w:color w:val="000000"/>
          <w:sz w:val="20"/>
        </w:rPr>
        <w:t xml:space="preserve">This Court recognizes the specialist nature of the jurisdiction of the Children’s Court and the expertise which it has developed in the </w:t>
      </w:r>
      <w:r w:rsidR="00474A52" w:rsidRPr="00B46EF1">
        <w:rPr>
          <w:rFonts w:ascii="Arial" w:hAnsi="Arial" w:cs="Arial"/>
          <w:color w:val="000000"/>
          <w:sz w:val="20"/>
        </w:rPr>
        <w:t>exercise of that jurisdiction… This will be an important consideration in the present case, for the court will be cautious before interfering with decisions made by the Children’s Court concerning the procedures to be followed in the exercise of its specialist jurisdiction.”</w:t>
      </w:r>
    </w:p>
    <w:p w14:paraId="448AF247" w14:textId="062BAAC8" w:rsidR="00C95F65" w:rsidRDefault="00C95F65">
      <w:pPr>
        <w:jc w:val="both"/>
        <w:rPr>
          <w:rFonts w:ascii="Arial" w:hAnsi="Arial" w:cs="Arial"/>
          <w:sz w:val="20"/>
          <w:szCs w:val="22"/>
        </w:rPr>
      </w:pPr>
    </w:p>
    <w:p w14:paraId="54436357" w14:textId="47C33FDB" w:rsidR="00C77992" w:rsidRDefault="00C77992">
      <w:pPr>
        <w:jc w:val="both"/>
        <w:rPr>
          <w:rFonts w:ascii="Arial" w:hAnsi="Arial" w:cs="Arial"/>
          <w:sz w:val="20"/>
          <w:szCs w:val="22"/>
        </w:rPr>
      </w:pPr>
      <w:r>
        <w:rPr>
          <w:rFonts w:ascii="Arial" w:hAnsi="Arial" w:cs="Arial"/>
          <w:sz w:val="20"/>
          <w:szCs w:val="22"/>
        </w:rPr>
        <w:t xml:space="preserve">In </w:t>
      </w:r>
      <w:r w:rsidRPr="00C77992">
        <w:rPr>
          <w:rFonts w:ascii="Arial" w:hAnsi="Arial" w:cs="Arial"/>
          <w:i/>
          <w:iCs/>
          <w:sz w:val="20"/>
          <w:szCs w:val="22"/>
        </w:rPr>
        <w:t>DHHS v Brown</w:t>
      </w:r>
      <w:r>
        <w:rPr>
          <w:rFonts w:ascii="Arial" w:hAnsi="Arial" w:cs="Arial"/>
          <w:sz w:val="20"/>
          <w:szCs w:val="22"/>
        </w:rPr>
        <w:t xml:space="preserve"> [2018] VSC 775 Beach J said at [62]:</w:t>
      </w:r>
    </w:p>
    <w:p w14:paraId="14D78F51" w14:textId="7AF6B17A" w:rsidR="00C77992" w:rsidRDefault="00C77992" w:rsidP="00E5215E">
      <w:pPr>
        <w:spacing w:before="60"/>
        <w:ind w:left="567" w:right="567"/>
        <w:jc w:val="both"/>
        <w:rPr>
          <w:rFonts w:ascii="Arial" w:hAnsi="Arial" w:cs="Arial"/>
          <w:sz w:val="20"/>
          <w:szCs w:val="22"/>
        </w:rPr>
      </w:pPr>
      <w:r>
        <w:rPr>
          <w:rFonts w:ascii="Arial" w:hAnsi="Arial" w:cs="Arial"/>
          <w:sz w:val="20"/>
          <w:szCs w:val="22"/>
        </w:rPr>
        <w:t>“</w:t>
      </w:r>
      <w:r w:rsidRPr="00C77992">
        <w:rPr>
          <w:rFonts w:ascii="Arial" w:hAnsi="Arial" w:cs="Arial"/>
          <w:sz w:val="20"/>
          <w:szCs w:val="20"/>
        </w:rPr>
        <w:t>The Children’s Court is a busy specialist jurisdiction that deals day in day out with cases involving the wellbeing of children. It is frequently called upon to resolve matters of great complexity where there may be significant competing considerations that must be taken into account in the resolution of its proceedings. Accordingly, in an appeal of the present kind, the views of the magistrate who has conducted a lengthy and detailed proceeding must be accorded considerable weight. There is no occasion for this Court to substitute its view for the view of the magistrate in a case where reasonable minds might legitimately disagree.</w:t>
      </w:r>
      <w:r w:rsidR="0061224E">
        <w:rPr>
          <w:rFonts w:ascii="Arial" w:hAnsi="Arial" w:cs="Arial"/>
          <w:sz w:val="20"/>
          <w:szCs w:val="20"/>
        </w:rPr>
        <w:t>”</w:t>
      </w:r>
    </w:p>
    <w:p w14:paraId="43E25353" w14:textId="77777777" w:rsidR="00C77992" w:rsidRPr="003369AE" w:rsidRDefault="00C77992">
      <w:pPr>
        <w:jc w:val="both"/>
        <w:rPr>
          <w:rFonts w:ascii="Arial" w:hAnsi="Arial" w:cs="Arial"/>
          <w:sz w:val="20"/>
          <w:szCs w:val="22"/>
        </w:rPr>
      </w:pPr>
    </w:p>
    <w:p w14:paraId="217D76EB" w14:textId="77777777" w:rsidR="003369AE" w:rsidRPr="00BE6441" w:rsidRDefault="003369AE">
      <w:pPr>
        <w:jc w:val="both"/>
        <w:rPr>
          <w:rFonts w:ascii="Arial" w:hAnsi="Arial" w:cs="Arial"/>
          <w:color w:val="000000"/>
          <w:sz w:val="20"/>
          <w:szCs w:val="22"/>
        </w:rPr>
      </w:pPr>
      <w:r w:rsidRPr="00BE6441">
        <w:rPr>
          <w:rFonts w:ascii="Arial" w:hAnsi="Arial" w:cs="Arial"/>
          <w:color w:val="000000"/>
          <w:sz w:val="20"/>
          <w:szCs w:val="22"/>
        </w:rPr>
        <w:t xml:space="preserve">In </w:t>
      </w:r>
      <w:r w:rsidRPr="00BE6441">
        <w:rPr>
          <w:rFonts w:ascii="Arial" w:hAnsi="Arial" w:cs="Arial"/>
          <w:i/>
          <w:iCs/>
          <w:color w:val="000000"/>
          <w:sz w:val="20"/>
          <w:szCs w:val="22"/>
        </w:rPr>
        <w:t>Cardell (a pseudonym) v DHHS</w:t>
      </w:r>
      <w:r w:rsidRPr="00BE6441">
        <w:rPr>
          <w:rFonts w:ascii="Arial" w:hAnsi="Arial" w:cs="Arial"/>
          <w:color w:val="000000"/>
          <w:sz w:val="20"/>
          <w:szCs w:val="22"/>
        </w:rPr>
        <w:t xml:space="preserve"> [2019] VSC 781 Maxwell P said at [</w:t>
      </w:r>
      <w:r w:rsidR="005E1DB8" w:rsidRPr="00BE6441">
        <w:rPr>
          <w:rFonts w:ascii="Arial" w:hAnsi="Arial" w:cs="Arial"/>
          <w:color w:val="000000"/>
          <w:sz w:val="20"/>
          <w:szCs w:val="22"/>
        </w:rPr>
        <w:t>40</w:t>
      </w:r>
      <w:r w:rsidRPr="00BE6441">
        <w:rPr>
          <w:rFonts w:ascii="Arial" w:hAnsi="Arial" w:cs="Arial"/>
          <w:color w:val="000000"/>
          <w:sz w:val="20"/>
          <w:szCs w:val="22"/>
        </w:rPr>
        <w:t>]-[</w:t>
      </w:r>
      <w:r w:rsidR="005E1DB8" w:rsidRPr="00BE6441">
        <w:rPr>
          <w:rFonts w:ascii="Arial" w:hAnsi="Arial" w:cs="Arial"/>
          <w:color w:val="000000"/>
          <w:sz w:val="20"/>
          <w:szCs w:val="22"/>
        </w:rPr>
        <w:t>41</w:t>
      </w:r>
      <w:r w:rsidRPr="00BE6441">
        <w:rPr>
          <w:rFonts w:ascii="Arial" w:hAnsi="Arial" w:cs="Arial"/>
          <w:color w:val="000000"/>
          <w:sz w:val="20"/>
          <w:szCs w:val="22"/>
        </w:rPr>
        <w:t>]:</w:t>
      </w:r>
    </w:p>
    <w:p w14:paraId="6547E924" w14:textId="77777777" w:rsidR="003369AE" w:rsidRPr="00BE6441" w:rsidRDefault="003369AE" w:rsidP="003369AE">
      <w:pPr>
        <w:spacing w:before="60"/>
        <w:ind w:left="567" w:right="567"/>
        <w:jc w:val="both"/>
        <w:rPr>
          <w:rFonts w:ascii="Arial" w:hAnsi="Arial" w:cs="Arial"/>
          <w:color w:val="000000"/>
          <w:sz w:val="20"/>
          <w:szCs w:val="20"/>
        </w:rPr>
      </w:pPr>
      <w:r w:rsidRPr="00BE6441">
        <w:rPr>
          <w:rFonts w:ascii="Arial" w:hAnsi="Arial" w:cs="Arial"/>
          <w:color w:val="000000"/>
          <w:sz w:val="20"/>
          <w:szCs w:val="20"/>
        </w:rPr>
        <w:t>“</w:t>
      </w:r>
      <w:r w:rsidR="002F5A52" w:rsidRPr="00BE6441">
        <w:rPr>
          <w:rFonts w:ascii="Arial" w:hAnsi="Arial" w:cs="Arial"/>
          <w:color w:val="000000"/>
          <w:sz w:val="20"/>
          <w:szCs w:val="20"/>
        </w:rPr>
        <w:t>The written submission for the appellant contended that, if the appeal from the Children’s Court orders failed, then this Court should proceed to make its own order with respect to the care and protection of Oliver.  I expressed the provisional view in the course of argument that, were that to be the outcome of the appeal, it was extremely unlikely that I would be persuaded to exercise the Court’s inherent [</w:t>
      </w:r>
      <w:proofErr w:type="spellStart"/>
      <w:r w:rsidR="002F5A52" w:rsidRPr="00BE6441">
        <w:rPr>
          <w:rFonts w:ascii="Arial" w:hAnsi="Arial" w:cs="Arial"/>
          <w:i/>
          <w:iCs/>
          <w:color w:val="000000"/>
          <w:sz w:val="20"/>
          <w:szCs w:val="20"/>
        </w:rPr>
        <w:t>parens</w:t>
      </w:r>
      <w:proofErr w:type="spellEnd"/>
      <w:r w:rsidR="002F5A52" w:rsidRPr="00BE6441">
        <w:rPr>
          <w:rFonts w:ascii="Arial" w:hAnsi="Arial" w:cs="Arial"/>
          <w:i/>
          <w:iCs/>
          <w:color w:val="000000"/>
          <w:sz w:val="20"/>
          <w:szCs w:val="20"/>
        </w:rPr>
        <w:t xml:space="preserve"> patriae</w:t>
      </w:r>
      <w:r w:rsidR="002F5A52" w:rsidRPr="00BE6441">
        <w:rPr>
          <w:rFonts w:ascii="Arial" w:hAnsi="Arial" w:cs="Arial"/>
          <w:color w:val="000000"/>
          <w:sz w:val="20"/>
          <w:szCs w:val="20"/>
        </w:rPr>
        <w:t xml:space="preserve">] power.  </w:t>
      </w:r>
      <w:r w:rsidRPr="00BE6441">
        <w:rPr>
          <w:rFonts w:ascii="Arial" w:hAnsi="Arial" w:cs="Arial"/>
          <w:color w:val="000000"/>
          <w:sz w:val="20"/>
          <w:szCs w:val="20"/>
        </w:rPr>
        <w:t xml:space="preserve">I drew attention to authorities relied on by the Secretary (who is the defendant to the originating motion), the effect of which is that where a child’s welfare is being dealt with by a specialist court, under a legislative scheme explicitly directed at child welfare, the Supreme Court would be very slow to step in and exercise its own jurisdiction: </w:t>
      </w:r>
      <w:r w:rsidRPr="00BE6441">
        <w:rPr>
          <w:rFonts w:ascii="Arial" w:hAnsi="Arial" w:cs="Arial"/>
          <w:i/>
          <w:color w:val="000000"/>
          <w:sz w:val="20"/>
          <w:szCs w:val="20"/>
        </w:rPr>
        <w:t xml:space="preserve">Re Anna, Bruno, Courtney and Deepak </w:t>
      </w:r>
      <w:r w:rsidRPr="00BE6441">
        <w:rPr>
          <w:rFonts w:ascii="Arial" w:hAnsi="Arial" w:cs="Arial"/>
          <w:color w:val="000000"/>
          <w:sz w:val="20"/>
          <w:szCs w:val="20"/>
        </w:rPr>
        <w:t xml:space="preserve">[2001] NSWSC 79, [20];  </w:t>
      </w:r>
      <w:r w:rsidRPr="00BE6441">
        <w:rPr>
          <w:rFonts w:ascii="Arial" w:hAnsi="Arial" w:cs="Arial"/>
          <w:i/>
          <w:color w:val="000000"/>
          <w:sz w:val="20"/>
          <w:szCs w:val="20"/>
        </w:rPr>
        <w:t>RC v Director-General, Department of Family and Community Services</w:t>
      </w:r>
      <w:r w:rsidRPr="00BE6441">
        <w:rPr>
          <w:rFonts w:ascii="Arial" w:hAnsi="Arial" w:cs="Arial"/>
          <w:color w:val="000000"/>
          <w:sz w:val="20"/>
          <w:szCs w:val="20"/>
        </w:rPr>
        <w:t xml:space="preserve"> [2014] NSWCA 38, [65].  I remain of that view.”</w:t>
      </w:r>
    </w:p>
    <w:p w14:paraId="56A6AE9E" w14:textId="798D2695" w:rsidR="00885636" w:rsidRDefault="00885636" w:rsidP="00885636">
      <w:pPr>
        <w:jc w:val="both"/>
        <w:rPr>
          <w:rFonts w:ascii="Arial" w:hAnsi="Arial" w:cs="Arial"/>
          <w:sz w:val="20"/>
        </w:rPr>
      </w:pPr>
      <w:bookmarkStart w:id="385" w:name="_2.7_The_Court"/>
      <w:bookmarkStart w:id="386" w:name="_Toc30608796"/>
      <w:bookmarkStart w:id="387" w:name="_Toc30610009"/>
      <w:bookmarkStart w:id="388" w:name="_Toc30610252"/>
      <w:bookmarkStart w:id="389" w:name="_Toc30638406"/>
      <w:bookmarkStart w:id="390" w:name="_Toc30644215"/>
      <w:bookmarkStart w:id="391" w:name="_Toc30644618"/>
      <w:bookmarkStart w:id="392" w:name="_Toc30645168"/>
      <w:bookmarkStart w:id="393" w:name="_Toc30646372"/>
      <w:bookmarkStart w:id="394" w:name="_Toc30646667"/>
      <w:bookmarkStart w:id="395" w:name="_Toc30646777"/>
      <w:bookmarkStart w:id="396" w:name="_Toc30648134"/>
      <w:bookmarkStart w:id="397" w:name="_Toc30649032"/>
      <w:bookmarkStart w:id="398" w:name="_Toc30649108"/>
      <w:bookmarkStart w:id="399" w:name="_Toc30649369"/>
      <w:bookmarkStart w:id="400" w:name="_Toc30649689"/>
      <w:bookmarkStart w:id="401" w:name="_Toc30651623"/>
      <w:bookmarkStart w:id="402" w:name="_Toc30652607"/>
      <w:bookmarkStart w:id="403" w:name="_Toc30652705"/>
      <w:bookmarkStart w:id="404" w:name="_Toc30654050"/>
      <w:bookmarkStart w:id="405" w:name="_Toc30654401"/>
      <w:bookmarkStart w:id="406" w:name="_Toc30655020"/>
      <w:bookmarkStart w:id="407" w:name="_Toc30655277"/>
      <w:bookmarkStart w:id="408" w:name="_Toc30656953"/>
      <w:bookmarkStart w:id="409" w:name="_Toc30661702"/>
      <w:bookmarkStart w:id="410" w:name="_Toc30666390"/>
      <w:bookmarkStart w:id="411" w:name="_Toc30666620"/>
      <w:bookmarkStart w:id="412" w:name="_Toc30667795"/>
      <w:bookmarkStart w:id="413" w:name="_Toc30669173"/>
      <w:bookmarkStart w:id="414" w:name="_Toc30671389"/>
      <w:bookmarkStart w:id="415" w:name="_Toc30673916"/>
      <w:bookmarkStart w:id="416" w:name="_Toc30691138"/>
      <w:bookmarkStart w:id="417" w:name="_Toc30691509"/>
      <w:bookmarkStart w:id="418" w:name="_Toc30691889"/>
      <w:bookmarkStart w:id="419" w:name="_Toc30692648"/>
      <w:bookmarkStart w:id="420" w:name="_Toc30693027"/>
      <w:bookmarkStart w:id="421" w:name="_Toc30693405"/>
      <w:bookmarkStart w:id="422" w:name="_Toc30693784"/>
      <w:bookmarkStart w:id="423" w:name="_Toc30694165"/>
      <w:bookmarkStart w:id="424" w:name="_Toc30698754"/>
      <w:bookmarkStart w:id="425" w:name="_Toc30699132"/>
      <w:bookmarkStart w:id="426" w:name="_Toc30699517"/>
      <w:bookmarkStart w:id="427" w:name="_Toc30700672"/>
      <w:bookmarkStart w:id="428" w:name="_Toc30701059"/>
      <w:bookmarkStart w:id="429" w:name="_Toc30743668"/>
      <w:bookmarkStart w:id="430" w:name="_Toc30754491"/>
      <w:bookmarkStart w:id="431" w:name="_Toc30756931"/>
      <w:bookmarkStart w:id="432" w:name="_Toc30757480"/>
      <w:bookmarkStart w:id="433" w:name="_Toc30757880"/>
      <w:bookmarkStart w:id="434" w:name="_Toc30762641"/>
      <w:bookmarkStart w:id="435" w:name="_Toc30767295"/>
      <w:bookmarkStart w:id="436" w:name="_Toc34823320"/>
      <w:bookmarkEnd w:id="385"/>
    </w:p>
    <w:p w14:paraId="370E1BAA" w14:textId="0FA5657D" w:rsidR="00C74EA7" w:rsidRDefault="00C74EA7" w:rsidP="00CC13FB">
      <w:pPr>
        <w:jc w:val="both"/>
        <w:rPr>
          <w:rFonts w:ascii="Arial" w:hAnsi="Arial" w:cs="Arial"/>
          <w:sz w:val="20"/>
        </w:rPr>
      </w:pPr>
      <w:r w:rsidRPr="00C77992">
        <w:rPr>
          <w:rFonts w:ascii="Arial" w:hAnsi="Arial" w:cs="Arial"/>
          <w:sz w:val="20"/>
          <w:szCs w:val="20"/>
        </w:rPr>
        <w:t xml:space="preserve">In </w:t>
      </w:r>
      <w:r w:rsidR="00F60089" w:rsidRPr="00C77992">
        <w:rPr>
          <w:rFonts w:ascii="Arial" w:hAnsi="Arial" w:cs="Arial"/>
          <w:i/>
          <w:iCs/>
          <w:sz w:val="20"/>
          <w:szCs w:val="20"/>
        </w:rPr>
        <w:t xml:space="preserve">TSH v DFFH </w:t>
      </w:r>
      <w:r w:rsidR="00F60089" w:rsidRPr="00C77992">
        <w:rPr>
          <w:rFonts w:ascii="Arial" w:hAnsi="Arial" w:cs="Arial"/>
          <w:sz w:val="20"/>
          <w:szCs w:val="20"/>
        </w:rPr>
        <w:t xml:space="preserve">[2022] VSC 390, </w:t>
      </w:r>
      <w:r w:rsidR="00E46F6A">
        <w:rPr>
          <w:rFonts w:ascii="Arial" w:hAnsi="Arial" w:cs="Arial"/>
          <w:sz w:val="20"/>
          <w:szCs w:val="20"/>
        </w:rPr>
        <w:t>having</w:t>
      </w:r>
      <w:r w:rsidRPr="00C77992">
        <w:rPr>
          <w:rFonts w:ascii="Arial" w:hAnsi="Arial" w:cs="Arial"/>
          <w:sz w:val="20"/>
          <w:szCs w:val="20"/>
        </w:rPr>
        <w:t xml:space="preserve"> referr</w:t>
      </w:r>
      <w:r w:rsidR="00E46F6A">
        <w:rPr>
          <w:rFonts w:ascii="Arial" w:hAnsi="Arial" w:cs="Arial"/>
          <w:sz w:val="20"/>
          <w:szCs w:val="20"/>
        </w:rPr>
        <w:t>ed</w:t>
      </w:r>
      <w:r w:rsidRPr="00C77992">
        <w:rPr>
          <w:rFonts w:ascii="Arial" w:hAnsi="Arial" w:cs="Arial"/>
          <w:sz w:val="20"/>
          <w:szCs w:val="20"/>
        </w:rPr>
        <w:t xml:space="preserve"> to the judgment of Beach J in </w:t>
      </w:r>
      <w:r w:rsidRPr="00C77992">
        <w:rPr>
          <w:rFonts w:ascii="Arial" w:hAnsi="Arial" w:cs="Arial"/>
          <w:i/>
          <w:iCs/>
          <w:sz w:val="20"/>
          <w:szCs w:val="20"/>
        </w:rPr>
        <w:t>T v Secretary of Department of Human Services</w:t>
      </w:r>
      <w:r w:rsidRPr="00C77992">
        <w:rPr>
          <w:rFonts w:ascii="Arial" w:hAnsi="Arial" w:cs="Arial"/>
          <w:sz w:val="20"/>
          <w:szCs w:val="20"/>
        </w:rPr>
        <w:t xml:space="preserve"> [1999] VSC 42</w:t>
      </w:r>
      <w:r w:rsidR="00C77992" w:rsidRPr="00C77992">
        <w:rPr>
          <w:rFonts w:ascii="Arial" w:hAnsi="Arial" w:cs="Arial"/>
          <w:sz w:val="20"/>
          <w:szCs w:val="20"/>
        </w:rPr>
        <w:t xml:space="preserve">, </w:t>
      </w:r>
      <w:r w:rsidRPr="00C77992">
        <w:rPr>
          <w:rFonts w:ascii="Arial" w:hAnsi="Arial" w:cs="Arial"/>
          <w:sz w:val="20"/>
          <w:szCs w:val="20"/>
        </w:rPr>
        <w:t xml:space="preserve">the </w:t>
      </w:r>
      <w:r w:rsidR="00077D99">
        <w:rPr>
          <w:rFonts w:ascii="Arial" w:hAnsi="Arial" w:cs="Arial"/>
          <w:sz w:val="20"/>
          <w:szCs w:val="20"/>
        </w:rPr>
        <w:t>judgment</w:t>
      </w:r>
      <w:r w:rsidRPr="00C77992">
        <w:rPr>
          <w:rFonts w:ascii="Arial" w:hAnsi="Arial" w:cs="Arial"/>
          <w:sz w:val="20"/>
          <w:szCs w:val="20"/>
        </w:rPr>
        <w:t xml:space="preserve"> of his son in </w:t>
      </w:r>
      <w:r w:rsidRPr="00C77992">
        <w:rPr>
          <w:rFonts w:ascii="Arial" w:hAnsi="Arial" w:cs="Arial"/>
          <w:i/>
          <w:iCs/>
          <w:sz w:val="20"/>
          <w:szCs w:val="20"/>
        </w:rPr>
        <w:t>DHHS v Brown</w:t>
      </w:r>
      <w:r w:rsidRPr="00C77992">
        <w:rPr>
          <w:rFonts w:ascii="Arial" w:hAnsi="Arial" w:cs="Arial"/>
          <w:sz w:val="20"/>
          <w:szCs w:val="20"/>
        </w:rPr>
        <w:t xml:space="preserve"> </w:t>
      </w:r>
      <w:r w:rsidR="00C77992" w:rsidRPr="00C77992">
        <w:rPr>
          <w:rFonts w:ascii="Arial" w:hAnsi="Arial" w:cs="Arial"/>
          <w:sz w:val="20"/>
          <w:szCs w:val="20"/>
        </w:rPr>
        <w:t>[2018] VSC 775 at [62] and</w:t>
      </w:r>
      <w:r w:rsidR="00C77992">
        <w:rPr>
          <w:rFonts w:ascii="Arial" w:hAnsi="Arial" w:cs="Arial"/>
          <w:sz w:val="20"/>
          <w:szCs w:val="20"/>
        </w:rPr>
        <w:t xml:space="preserve"> the judgments in </w:t>
      </w:r>
      <w:r w:rsidR="00C77992" w:rsidRPr="00C77992">
        <w:rPr>
          <w:rFonts w:ascii="Arial" w:hAnsi="Arial" w:cs="Arial"/>
          <w:i/>
          <w:iCs/>
          <w:sz w:val="20"/>
          <w:szCs w:val="20"/>
        </w:rPr>
        <w:t>P v RM</w:t>
      </w:r>
      <w:r w:rsidR="00C77992" w:rsidRPr="00F60089">
        <w:rPr>
          <w:rFonts w:ascii="Arial" w:hAnsi="Arial" w:cs="Arial"/>
          <w:sz w:val="20"/>
          <w:szCs w:val="20"/>
        </w:rPr>
        <w:t xml:space="preserve"> [2004] VSC 14 at [28]</w:t>
      </w:r>
      <w:r w:rsidR="00C77992">
        <w:rPr>
          <w:rFonts w:ascii="Arial" w:hAnsi="Arial" w:cs="Arial"/>
          <w:sz w:val="20"/>
          <w:szCs w:val="20"/>
        </w:rPr>
        <w:t xml:space="preserve"> and</w:t>
      </w:r>
      <w:r w:rsidR="00C77992" w:rsidRPr="00F60089">
        <w:rPr>
          <w:rFonts w:ascii="Arial" w:hAnsi="Arial" w:cs="Arial"/>
          <w:sz w:val="20"/>
          <w:szCs w:val="20"/>
        </w:rPr>
        <w:t xml:space="preserve"> </w:t>
      </w:r>
      <w:r w:rsidR="0061224E">
        <w:rPr>
          <w:rFonts w:ascii="Arial" w:hAnsi="Arial" w:cs="Arial"/>
          <w:i/>
          <w:iCs/>
          <w:sz w:val="20"/>
          <w:szCs w:val="20"/>
        </w:rPr>
        <w:t>DOHS</w:t>
      </w:r>
      <w:r w:rsidR="00C77992" w:rsidRPr="00C77992">
        <w:rPr>
          <w:rFonts w:ascii="Arial" w:hAnsi="Arial" w:cs="Arial"/>
          <w:i/>
          <w:iCs/>
          <w:sz w:val="20"/>
          <w:szCs w:val="20"/>
        </w:rPr>
        <w:t xml:space="preserve"> v </w:t>
      </w:r>
      <w:r w:rsidR="00C77992">
        <w:rPr>
          <w:rFonts w:ascii="Arial" w:hAnsi="Arial" w:cs="Arial"/>
          <w:i/>
          <w:iCs/>
          <w:sz w:val="20"/>
          <w:szCs w:val="20"/>
        </w:rPr>
        <w:t>S</w:t>
      </w:r>
      <w:r w:rsidR="00C77992" w:rsidRPr="00C77992">
        <w:rPr>
          <w:rFonts w:ascii="Arial" w:hAnsi="Arial" w:cs="Arial"/>
          <w:i/>
          <w:iCs/>
          <w:sz w:val="20"/>
          <w:szCs w:val="20"/>
        </w:rPr>
        <w:t>M</w:t>
      </w:r>
      <w:r w:rsidR="00C77992" w:rsidRPr="00F60089">
        <w:rPr>
          <w:rFonts w:ascii="Arial" w:hAnsi="Arial" w:cs="Arial"/>
          <w:sz w:val="20"/>
          <w:szCs w:val="20"/>
        </w:rPr>
        <w:t xml:space="preserve"> [2006] VSC 129 at [13]</w:t>
      </w:r>
      <w:r w:rsidR="0061224E">
        <w:rPr>
          <w:rFonts w:ascii="Arial" w:hAnsi="Arial" w:cs="Arial"/>
          <w:sz w:val="20"/>
          <w:szCs w:val="20"/>
        </w:rPr>
        <w:noBreakHyphen/>
      </w:r>
      <w:r w:rsidR="00C77992" w:rsidRPr="00F60089">
        <w:rPr>
          <w:rFonts w:ascii="Arial" w:hAnsi="Arial" w:cs="Arial"/>
          <w:sz w:val="20"/>
          <w:szCs w:val="20"/>
        </w:rPr>
        <w:t>[14]</w:t>
      </w:r>
      <w:r w:rsidR="00C77992">
        <w:rPr>
          <w:rFonts w:ascii="Arial" w:hAnsi="Arial" w:cs="Arial"/>
          <w:sz w:val="20"/>
          <w:szCs w:val="20"/>
        </w:rPr>
        <w:t xml:space="preserve">, </w:t>
      </w:r>
      <w:proofErr w:type="spellStart"/>
      <w:r w:rsidR="00F60089" w:rsidRPr="00F60089">
        <w:rPr>
          <w:rFonts w:ascii="Arial" w:hAnsi="Arial" w:cs="Arial"/>
          <w:sz w:val="20"/>
          <w:szCs w:val="20"/>
        </w:rPr>
        <w:t>Tsalamandris</w:t>
      </w:r>
      <w:proofErr w:type="spellEnd"/>
      <w:r w:rsidR="00F60089" w:rsidRPr="00F60089">
        <w:rPr>
          <w:rFonts w:ascii="Arial" w:hAnsi="Arial" w:cs="Arial"/>
          <w:sz w:val="20"/>
          <w:szCs w:val="20"/>
        </w:rPr>
        <w:t xml:space="preserve"> J said at [62]:</w:t>
      </w:r>
    </w:p>
    <w:p w14:paraId="042F74A7" w14:textId="0A0E134F" w:rsidR="00C74EA7" w:rsidRPr="00F60089" w:rsidRDefault="00F60089" w:rsidP="00F60089">
      <w:pPr>
        <w:spacing w:before="60"/>
        <w:ind w:left="567" w:right="567"/>
        <w:jc w:val="both"/>
        <w:rPr>
          <w:rFonts w:ascii="Arial" w:hAnsi="Arial" w:cs="Arial"/>
          <w:sz w:val="16"/>
          <w:szCs w:val="20"/>
        </w:rPr>
      </w:pPr>
      <w:r>
        <w:rPr>
          <w:rFonts w:ascii="Arial" w:hAnsi="Arial" w:cs="Arial"/>
          <w:sz w:val="20"/>
          <w:szCs w:val="20"/>
        </w:rPr>
        <w:t>“</w:t>
      </w:r>
      <w:r w:rsidR="00C74EA7" w:rsidRPr="00F60089">
        <w:rPr>
          <w:rFonts w:ascii="Arial" w:hAnsi="Arial" w:cs="Arial"/>
          <w:sz w:val="20"/>
          <w:szCs w:val="20"/>
        </w:rPr>
        <w:t>I consider that the Magistrate sitting in the specialist Children’s Court decided the appropriate weight to be given to each of the principles required of her under s 10(3) of the Act. There is nothing to persuade me that the Magistrate erred in law in respect of her decision.</w:t>
      </w:r>
      <w:r>
        <w:rPr>
          <w:rFonts w:ascii="Arial" w:hAnsi="Arial" w:cs="Arial"/>
          <w:sz w:val="20"/>
          <w:szCs w:val="20"/>
        </w:rPr>
        <w:t>”</w:t>
      </w:r>
    </w:p>
    <w:p w14:paraId="016449D4" w14:textId="21BCE2CC" w:rsidR="00F60089" w:rsidRDefault="00F60089" w:rsidP="00F60089">
      <w:pPr>
        <w:jc w:val="both"/>
        <w:rPr>
          <w:rFonts w:ascii="Arial" w:hAnsi="Arial" w:cs="Arial"/>
          <w:sz w:val="20"/>
        </w:rPr>
      </w:pPr>
    </w:p>
    <w:p w14:paraId="1F91ABD2" w14:textId="43F0464F" w:rsidR="00A3515B" w:rsidRDefault="00A3515B" w:rsidP="00F60089">
      <w:pPr>
        <w:jc w:val="both"/>
        <w:rPr>
          <w:rFonts w:ascii="Arial" w:hAnsi="Arial" w:cs="Arial"/>
          <w:sz w:val="20"/>
        </w:rPr>
      </w:pPr>
      <w:r>
        <w:rPr>
          <w:rFonts w:ascii="Arial" w:hAnsi="Arial" w:cs="Arial"/>
          <w:sz w:val="20"/>
        </w:rPr>
        <w:t xml:space="preserve">See also </w:t>
      </w:r>
      <w:r w:rsidRPr="0027049C">
        <w:rPr>
          <w:rFonts w:ascii="Arial" w:hAnsi="Arial" w:cs="Arial"/>
          <w:i/>
          <w:iCs/>
          <w:sz w:val="20"/>
          <w:szCs w:val="20"/>
        </w:rPr>
        <w:t>Mia Harris (a pseudonym) and Adam Jackson (a pseudonym) v Secretary to the Department of Families Fairness and Housing</w:t>
      </w:r>
      <w:r w:rsidRPr="0027049C">
        <w:rPr>
          <w:rFonts w:ascii="Arial" w:hAnsi="Arial" w:cs="Arial"/>
          <w:sz w:val="20"/>
          <w:szCs w:val="20"/>
        </w:rPr>
        <w:t xml:space="preserve"> [2023] VSC </w:t>
      </w:r>
      <w:r>
        <w:rPr>
          <w:rFonts w:ascii="Arial" w:hAnsi="Arial" w:cs="Arial"/>
          <w:sz w:val="20"/>
          <w:szCs w:val="20"/>
        </w:rPr>
        <w:t>228 at [106].</w:t>
      </w:r>
    </w:p>
    <w:p w14:paraId="44787FBF" w14:textId="77777777" w:rsidR="002D165C" w:rsidRDefault="002D165C" w:rsidP="002D165C">
      <w:pPr>
        <w:jc w:val="both"/>
        <w:rPr>
          <w:rFonts w:ascii="Arial" w:hAnsi="Arial" w:cs="Arial"/>
          <w:sz w:val="20"/>
        </w:rPr>
      </w:pPr>
      <w:bookmarkStart w:id="437" w:name="_2.7_The_Court_1"/>
      <w:bookmarkEnd w:id="437"/>
    </w:p>
    <w:p w14:paraId="19ECBB22" w14:textId="20C1E597" w:rsidR="00277B85" w:rsidRDefault="00277B85">
      <w:pPr>
        <w:pStyle w:val="Heading2"/>
        <w:keepNext/>
        <w:tabs>
          <w:tab w:val="left" w:pos="567"/>
        </w:tabs>
        <w:spacing w:line="240" w:lineRule="auto"/>
        <w:rPr>
          <w:rFonts w:ascii="Arial" w:hAnsi="Arial" w:cs="Arial"/>
          <w:b/>
          <w:bCs/>
        </w:rPr>
      </w:pPr>
      <w:r>
        <w:rPr>
          <w:rFonts w:ascii="Arial" w:hAnsi="Arial" w:cs="Arial"/>
          <w:b/>
          <w:bCs/>
        </w:rPr>
        <w:t>2.7</w:t>
      </w:r>
      <w:r>
        <w:rPr>
          <w:rFonts w:ascii="Arial" w:hAnsi="Arial" w:cs="Arial"/>
          <w:b/>
          <w:bCs/>
        </w:rPr>
        <w:tab/>
        <w:t>The Court</w:t>
      </w:r>
      <w:bookmarkEnd w:id="386"/>
      <w:bookmarkEnd w:id="387"/>
      <w:r>
        <w:rPr>
          <w:rFonts w:ascii="Arial" w:hAnsi="Arial" w:cs="Arial"/>
          <w:b/>
          <w:bCs/>
        </w:rPr>
        <w:t xml:space="preserve"> is generally open to the public</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14:paraId="29D3B73C" w14:textId="77777777" w:rsidR="00277B85" w:rsidRPr="00B461AE" w:rsidRDefault="00277B85">
      <w:pPr>
        <w:keepNext/>
        <w:jc w:val="both"/>
        <w:rPr>
          <w:rFonts w:ascii="Arial" w:hAnsi="Arial" w:cs="Arial"/>
          <w:sz w:val="22"/>
        </w:rPr>
      </w:pPr>
      <w:bookmarkStart w:id="438" w:name="_Hlk114850633"/>
    </w:p>
    <w:p w14:paraId="3A292EE5" w14:textId="77777777" w:rsidR="0069375F" w:rsidRDefault="00277B85">
      <w:pPr>
        <w:jc w:val="both"/>
        <w:rPr>
          <w:rFonts w:ascii="Arial" w:hAnsi="Arial" w:cs="Arial"/>
          <w:sz w:val="20"/>
        </w:rPr>
      </w:pPr>
      <w:r>
        <w:rPr>
          <w:rFonts w:ascii="Arial" w:hAnsi="Arial" w:cs="Arial"/>
          <w:sz w:val="20"/>
        </w:rPr>
        <w:t xml:space="preserve">Generally, courts are open to the public.  Anyone has a right to go into any court when it is sitting, unless for special reason in a particular case the presiding judge/magistrate has ordered a closed court hearing.  The reason for this was stated </w:t>
      </w:r>
      <w:r w:rsidR="0069375F">
        <w:rPr>
          <w:rFonts w:ascii="Arial" w:hAnsi="Arial" w:cs="Arial"/>
          <w:sz w:val="20"/>
        </w:rPr>
        <w:t xml:space="preserve">in eloquent terms by Lord Shaw of </w:t>
      </w:r>
      <w:smartTag w:uri="urn:schemas-microsoft-com:office:smarttags" w:element="place">
        <w:r w:rsidR="0069375F">
          <w:rPr>
            <w:rFonts w:ascii="Arial" w:hAnsi="Arial" w:cs="Arial"/>
            <w:sz w:val="20"/>
          </w:rPr>
          <w:t>Dunfermline</w:t>
        </w:r>
      </w:smartTag>
      <w:r w:rsidR="0069375F">
        <w:rPr>
          <w:rFonts w:ascii="Arial" w:hAnsi="Arial" w:cs="Arial"/>
          <w:sz w:val="20"/>
        </w:rPr>
        <w:t xml:space="preserve"> in </w:t>
      </w:r>
      <w:r w:rsidR="0069375F" w:rsidRPr="0069375F">
        <w:rPr>
          <w:rFonts w:ascii="Arial" w:hAnsi="Arial" w:cs="Arial"/>
          <w:i/>
          <w:sz w:val="20"/>
        </w:rPr>
        <w:t>Scott v Scott</w:t>
      </w:r>
      <w:r w:rsidR="0069375F">
        <w:rPr>
          <w:rFonts w:ascii="Arial" w:hAnsi="Arial" w:cs="Arial"/>
          <w:sz w:val="20"/>
        </w:rPr>
        <w:t xml:space="preserve"> [1913] AC 417.  Quoting Bentham, his Lordship said at 477-8:</w:t>
      </w:r>
    </w:p>
    <w:p w14:paraId="58F8E693" w14:textId="77777777" w:rsidR="0069375F" w:rsidRDefault="0069375F" w:rsidP="0069375F">
      <w:pPr>
        <w:spacing w:before="60"/>
        <w:ind w:left="567" w:right="567"/>
        <w:jc w:val="both"/>
        <w:rPr>
          <w:rFonts w:ascii="Arial" w:hAnsi="Arial" w:cs="Arial"/>
          <w:sz w:val="20"/>
        </w:rPr>
      </w:pPr>
      <w:r>
        <w:rPr>
          <w:rFonts w:ascii="Arial" w:hAnsi="Arial" w:cs="Arial"/>
          <w:sz w:val="20"/>
        </w:rPr>
        <w:lastRenderedPageBreak/>
        <w:t xml:space="preserve">“’Publicity is the very soul of justice.  It is the keenest spur to exertion and the surest of all guards against improbity.  It keeps the judge himself while trying under trial’. ‘The security </w:t>
      </w:r>
      <w:r w:rsidR="004865C7">
        <w:rPr>
          <w:rFonts w:ascii="Arial" w:hAnsi="Arial" w:cs="Arial"/>
          <w:sz w:val="20"/>
        </w:rPr>
        <w:t>of securities is publicity’ but amongst historians the grave and enlightened verdict of Hallam, in which he ranks the publicity of judicial proceedings even higher than the rights of Parliament as a guarantee of public security, is not likely to be forgotten: ‘Civil liberty in this Kingdom has two direct guarantees; the open administration of justice according to known laws truly interpreted, and fair constructions of evidence; and the right of Parliament, without let or interruption, to inquire into, and obtain redress of, grievances.  Of these, the first is by far the most indispensable; nor can the subjects of any State be reckoned to enjoy a real freedom, where this condition is not found both in its judicial exercise and in their constant exercise.”</w:t>
      </w:r>
    </w:p>
    <w:p w14:paraId="5FB27802" w14:textId="77777777" w:rsidR="0069375F" w:rsidRDefault="0069375F">
      <w:pPr>
        <w:jc w:val="both"/>
        <w:rPr>
          <w:rFonts w:ascii="Arial" w:hAnsi="Arial" w:cs="Arial"/>
          <w:sz w:val="20"/>
        </w:rPr>
      </w:pPr>
    </w:p>
    <w:p w14:paraId="5CB2C010" w14:textId="77777777" w:rsidR="00277B85" w:rsidRDefault="004865C7" w:rsidP="006027E2">
      <w:pPr>
        <w:jc w:val="both"/>
        <w:rPr>
          <w:rFonts w:ascii="Arial" w:hAnsi="Arial" w:cs="Arial"/>
          <w:sz w:val="20"/>
        </w:rPr>
      </w:pPr>
      <w:r>
        <w:rPr>
          <w:rFonts w:ascii="Arial" w:hAnsi="Arial" w:cs="Arial"/>
          <w:sz w:val="20"/>
        </w:rPr>
        <w:t xml:space="preserve">The principles espoused in </w:t>
      </w:r>
      <w:r w:rsidRPr="004865C7">
        <w:rPr>
          <w:rFonts w:ascii="Arial" w:hAnsi="Arial" w:cs="Arial"/>
          <w:i/>
          <w:sz w:val="20"/>
        </w:rPr>
        <w:t>Scott v Scott</w:t>
      </w:r>
      <w:r>
        <w:rPr>
          <w:rFonts w:ascii="Arial" w:hAnsi="Arial" w:cs="Arial"/>
          <w:sz w:val="20"/>
        </w:rPr>
        <w:t xml:space="preserve"> were recognized by the High Court in </w:t>
      </w:r>
      <w:r>
        <w:rPr>
          <w:rFonts w:ascii="Arial" w:hAnsi="Arial" w:cs="Arial"/>
          <w:i/>
          <w:iCs/>
          <w:sz w:val="20"/>
        </w:rPr>
        <w:t>Russell v Russell</w:t>
      </w:r>
      <w:r>
        <w:rPr>
          <w:rFonts w:ascii="Arial" w:hAnsi="Arial" w:cs="Arial"/>
          <w:sz w:val="20"/>
        </w:rPr>
        <w:t xml:space="preserve"> (1976) 134 CLR 495, a case which </w:t>
      </w:r>
      <w:r w:rsidR="00277B85">
        <w:rPr>
          <w:rFonts w:ascii="Arial" w:hAnsi="Arial" w:cs="Arial"/>
          <w:sz w:val="20"/>
        </w:rPr>
        <w:t xml:space="preserve">concerned, among other things, the constitutional validity of sections of the </w:t>
      </w:r>
      <w:r w:rsidR="00277B85" w:rsidRPr="005161F3">
        <w:rPr>
          <w:rFonts w:ascii="Arial" w:hAnsi="Arial" w:cs="Arial"/>
          <w:i/>
          <w:iCs/>
          <w:sz w:val="20"/>
        </w:rPr>
        <w:t>Family Law Act 1975</w:t>
      </w:r>
      <w:r w:rsidR="00277B85" w:rsidRPr="005161F3">
        <w:rPr>
          <w:rFonts w:ascii="Arial" w:hAnsi="Arial" w:cs="Arial"/>
          <w:sz w:val="20"/>
        </w:rPr>
        <w:t xml:space="preserve"> (</w:t>
      </w:r>
      <w:proofErr w:type="spellStart"/>
      <w:r w:rsidR="00277B85" w:rsidRPr="005161F3">
        <w:rPr>
          <w:rFonts w:ascii="Arial" w:hAnsi="Arial" w:cs="Arial"/>
          <w:sz w:val="20"/>
        </w:rPr>
        <w:t>Cth</w:t>
      </w:r>
      <w:proofErr w:type="spellEnd"/>
      <w:r w:rsidR="00277B85" w:rsidRPr="005161F3">
        <w:rPr>
          <w:rFonts w:ascii="Arial" w:hAnsi="Arial" w:cs="Arial"/>
          <w:sz w:val="20"/>
        </w:rPr>
        <w:t>)</w:t>
      </w:r>
      <w:r w:rsidR="00277B85">
        <w:rPr>
          <w:rFonts w:ascii="Arial" w:hAnsi="Arial" w:cs="Arial"/>
          <w:sz w:val="20"/>
        </w:rPr>
        <w:t xml:space="preserve"> which at that time required Family Courts to be closed and prohibited publication of their proceedings.  </w:t>
      </w:r>
      <w:r>
        <w:rPr>
          <w:rFonts w:ascii="Arial" w:hAnsi="Arial" w:cs="Arial"/>
          <w:sz w:val="20"/>
        </w:rPr>
        <w:t>At p.520 Gibbs CJ said</w:t>
      </w:r>
      <w:r w:rsidR="00277B85">
        <w:rPr>
          <w:rFonts w:ascii="Arial" w:hAnsi="Arial" w:cs="Arial"/>
          <w:sz w:val="20"/>
        </w:rPr>
        <w:t>:</w:t>
      </w:r>
    </w:p>
    <w:p w14:paraId="507F0FC3" w14:textId="77777777" w:rsidR="00277B85" w:rsidRDefault="00277B85" w:rsidP="00DE6548">
      <w:pPr>
        <w:spacing w:before="60"/>
        <w:ind w:left="567" w:right="567"/>
        <w:jc w:val="both"/>
        <w:rPr>
          <w:rFonts w:ascii="Arial" w:hAnsi="Arial" w:cs="Arial"/>
          <w:sz w:val="20"/>
        </w:rPr>
      </w:pPr>
      <w:r>
        <w:rPr>
          <w:rFonts w:ascii="Arial" w:hAnsi="Arial" w:cs="Arial"/>
          <w:sz w:val="20"/>
        </w:rPr>
        <w:t>"It is the ordinary rule of the Supreme Court, as of the other courts of the nation, that their proceedings shall be conducted 'publicly and in open view' (</w:t>
      </w:r>
      <w:r>
        <w:rPr>
          <w:rFonts w:ascii="Arial" w:hAnsi="Arial" w:cs="Arial"/>
          <w:i/>
          <w:iCs/>
          <w:sz w:val="20"/>
        </w:rPr>
        <w:t>Scott v Scott</w:t>
      </w:r>
      <w:r>
        <w:rPr>
          <w:rFonts w:ascii="Arial" w:hAnsi="Arial" w:cs="Arial"/>
          <w:sz w:val="20"/>
        </w:rPr>
        <w:t xml:space="preserve"> [1913] AC 417 at 441).  This rule has the virtue that the proceedings of every court are fully exposed to public and professional scrutiny and criticism without which abuses may flourish undetected.  Further, the public administration of justice tends to maintain confidence in the integrity and independence of the courts.  The fact that courts of law are held openly and not in secret is an essential aspect of their character.  It distinguishes their activities from those of administrative officials, for 'publicity is the authentic hall-mark of judicial as distinct from administrative procedure' (</w:t>
      </w:r>
      <w:r>
        <w:rPr>
          <w:rFonts w:ascii="Arial" w:hAnsi="Arial" w:cs="Arial"/>
          <w:i/>
          <w:iCs/>
          <w:sz w:val="20"/>
        </w:rPr>
        <w:t>McPherson v McPherson</w:t>
      </w:r>
      <w:r>
        <w:rPr>
          <w:rFonts w:ascii="Arial" w:hAnsi="Arial" w:cs="Arial"/>
          <w:sz w:val="20"/>
        </w:rPr>
        <w:t xml:space="preserve"> [1936] AC 177 at 200).  To require a court invariably to sit in closed court is to alter the nature of the court.  Of course there are established exceptions to the general rule that judicial proceedings shall be conducted in public; and the category of exceptions is not closed to the Parliament.  The need to maintain secrecy or confidentiality in the interests of privacy or delicacy may in some cases be thought to render it desirable for a matter, or part of it, to be heard in closed court."</w:t>
      </w:r>
    </w:p>
    <w:p w14:paraId="358C7F89" w14:textId="77777777" w:rsidR="00E54921" w:rsidRDefault="00E54921">
      <w:pPr>
        <w:jc w:val="both"/>
        <w:rPr>
          <w:rFonts w:ascii="Arial" w:hAnsi="Arial" w:cs="Arial"/>
          <w:sz w:val="20"/>
        </w:rPr>
      </w:pPr>
    </w:p>
    <w:p w14:paraId="6A05807C" w14:textId="69C3C47A" w:rsidR="00277B85" w:rsidRPr="00B46EF1" w:rsidRDefault="00277B85">
      <w:pPr>
        <w:jc w:val="both"/>
        <w:rPr>
          <w:rFonts w:ascii="Arial" w:hAnsi="Arial" w:cs="Arial"/>
          <w:color w:val="000000"/>
          <w:sz w:val="20"/>
        </w:rPr>
      </w:pPr>
      <w:r>
        <w:rPr>
          <w:rFonts w:ascii="Arial" w:hAnsi="Arial" w:cs="Arial"/>
          <w:sz w:val="20"/>
        </w:rPr>
        <w:t xml:space="preserve">Similar statements of principle are to be found in numerous other cases, including </w:t>
      </w:r>
      <w:r>
        <w:rPr>
          <w:rFonts w:ascii="Arial" w:hAnsi="Arial" w:cs="Arial"/>
          <w:i/>
          <w:sz w:val="20"/>
        </w:rPr>
        <w:t>Dickason v Dickason</w:t>
      </w:r>
      <w:r>
        <w:rPr>
          <w:rFonts w:ascii="Arial" w:hAnsi="Arial" w:cs="Arial"/>
          <w:sz w:val="20"/>
        </w:rPr>
        <w:t xml:space="preserve"> (1913) 17 CLR 50, </w:t>
      </w:r>
      <w:r>
        <w:rPr>
          <w:rFonts w:ascii="Arial" w:hAnsi="Arial" w:cs="Arial"/>
          <w:i/>
          <w:sz w:val="20"/>
        </w:rPr>
        <w:t xml:space="preserve">David Syme &amp; Co Ltd v General Motors Holden’s Ltd </w:t>
      </w:r>
      <w:r>
        <w:rPr>
          <w:rFonts w:ascii="Arial" w:hAnsi="Arial" w:cs="Arial"/>
          <w:sz w:val="20"/>
        </w:rPr>
        <w:t>[1984] 2</w:t>
      </w:r>
      <w:r w:rsidR="006D0140">
        <w:rPr>
          <w:rFonts w:ascii="Arial" w:hAnsi="Arial" w:cs="Arial"/>
          <w:sz w:val="20"/>
        </w:rPr>
        <w:t> </w:t>
      </w:r>
      <w:r>
        <w:rPr>
          <w:rFonts w:ascii="Arial" w:hAnsi="Arial" w:cs="Arial"/>
          <w:sz w:val="20"/>
        </w:rPr>
        <w:t xml:space="preserve">N.S.W.L.R. 294 per Street CJ at 299, Hutley AP at 307 &amp; Samuels JA at 310, </w:t>
      </w:r>
      <w:proofErr w:type="spellStart"/>
      <w:r>
        <w:rPr>
          <w:rFonts w:ascii="Arial" w:hAnsi="Arial" w:cs="Arial"/>
          <w:i/>
          <w:sz w:val="20"/>
        </w:rPr>
        <w:t>Raybos</w:t>
      </w:r>
      <w:proofErr w:type="spellEnd"/>
      <w:r>
        <w:rPr>
          <w:rFonts w:ascii="Arial" w:hAnsi="Arial" w:cs="Arial"/>
          <w:i/>
          <w:sz w:val="20"/>
        </w:rPr>
        <w:t xml:space="preserve"> Australia Pty Ltd v Jones</w:t>
      </w:r>
      <w:r>
        <w:rPr>
          <w:rFonts w:ascii="Arial" w:hAnsi="Arial" w:cs="Arial"/>
          <w:sz w:val="20"/>
        </w:rPr>
        <w:t xml:space="preserve"> [1985] 2 NSWLR 47 per Kirby P at 50-53, </w:t>
      </w:r>
      <w:r>
        <w:rPr>
          <w:rFonts w:ascii="Arial" w:hAnsi="Arial" w:cs="Arial"/>
          <w:i/>
          <w:sz w:val="20"/>
        </w:rPr>
        <w:t>John Fairfax &amp; Sons Ltd v Police Tribunal of New South Wales</w:t>
      </w:r>
      <w:r>
        <w:rPr>
          <w:rFonts w:ascii="Arial" w:hAnsi="Arial" w:cs="Arial"/>
          <w:sz w:val="20"/>
        </w:rPr>
        <w:t xml:space="preserve"> (1986) 5 N.S.W.L.R. 465 per McHugh JA at 476</w:t>
      </w:r>
      <w:r w:rsidR="00510651">
        <w:rPr>
          <w:rFonts w:ascii="Arial" w:hAnsi="Arial" w:cs="Arial"/>
          <w:sz w:val="20"/>
        </w:rPr>
        <w:t xml:space="preserve">; </w:t>
      </w:r>
      <w:r>
        <w:rPr>
          <w:rFonts w:ascii="Arial" w:hAnsi="Arial" w:cs="Arial"/>
          <w:i/>
          <w:iCs/>
          <w:sz w:val="20"/>
        </w:rPr>
        <w:t>Jarvie v Magistrates' Court of Victoria</w:t>
      </w:r>
      <w:r>
        <w:rPr>
          <w:rFonts w:ascii="Arial" w:hAnsi="Arial" w:cs="Arial"/>
          <w:sz w:val="20"/>
        </w:rPr>
        <w:t xml:space="preserve"> [1995] 1 VR 84</w:t>
      </w:r>
      <w:r w:rsidR="00510651">
        <w:rPr>
          <w:rFonts w:ascii="Arial" w:hAnsi="Arial" w:cs="Arial"/>
          <w:sz w:val="20"/>
        </w:rPr>
        <w:t xml:space="preserve"> per Brooking J; </w:t>
      </w:r>
      <w:r w:rsidR="00510651" w:rsidRPr="00510651">
        <w:rPr>
          <w:rFonts w:ascii="Arial" w:hAnsi="Arial" w:cs="Arial"/>
          <w:i/>
          <w:sz w:val="20"/>
        </w:rPr>
        <w:t>Herald &amp; Weekly Times Ltd v Medical Practitioners Board</w:t>
      </w:r>
      <w:r w:rsidR="00510651">
        <w:rPr>
          <w:rFonts w:ascii="Arial" w:hAnsi="Arial" w:cs="Arial"/>
          <w:i/>
          <w:sz w:val="20"/>
        </w:rPr>
        <w:t xml:space="preserve"> of Victoria</w:t>
      </w:r>
      <w:r w:rsidR="00510651">
        <w:rPr>
          <w:rFonts w:ascii="Arial" w:hAnsi="Arial" w:cs="Arial"/>
          <w:sz w:val="20"/>
        </w:rPr>
        <w:t xml:space="preserve"> [1999] 1 V</w:t>
      </w:r>
      <w:r w:rsidR="004248AC">
        <w:rPr>
          <w:rFonts w:ascii="Arial" w:hAnsi="Arial" w:cs="Arial"/>
          <w:sz w:val="20"/>
        </w:rPr>
        <w:t xml:space="preserve">R 267 at 278-292 per Hedigan J; </w:t>
      </w:r>
      <w:r w:rsidR="004248AC" w:rsidRPr="004248AC">
        <w:rPr>
          <w:rFonts w:ascii="Arial" w:hAnsi="Arial" w:cs="Arial"/>
          <w:i/>
          <w:sz w:val="20"/>
        </w:rPr>
        <w:t>The Queen v G</w:t>
      </w:r>
      <w:r w:rsidR="004248AC">
        <w:rPr>
          <w:rFonts w:ascii="Arial" w:hAnsi="Arial" w:cs="Arial"/>
          <w:sz w:val="20"/>
        </w:rPr>
        <w:t xml:space="preserve"> [2007] VSC 503 [Edited Version</w:t>
      </w:r>
      <w:r w:rsidR="006D0140">
        <w:rPr>
          <w:rFonts w:ascii="Arial" w:hAnsi="Arial" w:cs="Arial"/>
          <w:sz w:val="20"/>
        </w:rPr>
        <w:t xml:space="preserve">] </w:t>
      </w:r>
      <w:proofErr w:type="spellStart"/>
      <w:r w:rsidR="006D0140" w:rsidRPr="00B46EF1">
        <w:rPr>
          <w:rFonts w:ascii="Arial" w:hAnsi="Arial" w:cs="Arial"/>
          <w:color w:val="000000"/>
          <w:sz w:val="20"/>
        </w:rPr>
        <w:t>esp</w:t>
      </w:r>
      <w:proofErr w:type="spellEnd"/>
      <w:r w:rsidR="006D0140" w:rsidRPr="00B46EF1">
        <w:rPr>
          <w:rFonts w:ascii="Arial" w:hAnsi="Arial" w:cs="Arial"/>
          <w:color w:val="000000"/>
          <w:sz w:val="20"/>
        </w:rPr>
        <w:t xml:space="preserve"> at [14]-[16] per Whelan J; </w:t>
      </w:r>
      <w:r w:rsidR="006D0140" w:rsidRPr="00B46EF1">
        <w:rPr>
          <w:rFonts w:ascii="Arial" w:hAnsi="Arial" w:cs="Arial"/>
          <w:i/>
          <w:color w:val="000000"/>
          <w:sz w:val="20"/>
        </w:rPr>
        <w:t>Russo v Russo</w:t>
      </w:r>
      <w:r w:rsidR="006D0140" w:rsidRPr="00B46EF1">
        <w:rPr>
          <w:rFonts w:ascii="Arial" w:hAnsi="Arial" w:cs="Arial"/>
          <w:color w:val="000000"/>
          <w:sz w:val="20"/>
        </w:rPr>
        <w:t xml:space="preserve"> [2010] VSC 98 at [9]-[16] &amp; [25] per Croft J</w:t>
      </w:r>
      <w:r w:rsidR="0081147C">
        <w:rPr>
          <w:rFonts w:ascii="Arial" w:hAnsi="Arial" w:cs="Arial"/>
          <w:color w:val="000000"/>
          <w:sz w:val="20"/>
        </w:rPr>
        <w:t xml:space="preserve">; </w:t>
      </w:r>
      <w:r w:rsidR="0081147C" w:rsidRPr="0081147C">
        <w:rPr>
          <w:rFonts w:ascii="Arial" w:hAnsi="Arial" w:cs="Arial"/>
          <w:i/>
          <w:iCs/>
          <w:sz w:val="20"/>
        </w:rPr>
        <w:t>Melco Resorts (Macau) Ltd v Wu (No 2)</w:t>
      </w:r>
      <w:r w:rsidR="0081147C" w:rsidRPr="0081147C">
        <w:rPr>
          <w:rFonts w:ascii="Arial" w:hAnsi="Arial" w:cs="Arial"/>
          <w:sz w:val="20"/>
        </w:rPr>
        <w:t xml:space="preserve"> </w:t>
      </w:r>
      <w:r w:rsidR="0081147C">
        <w:rPr>
          <w:rFonts w:ascii="Arial" w:hAnsi="Arial" w:cs="Arial"/>
          <w:sz w:val="20"/>
        </w:rPr>
        <w:t xml:space="preserve">[2025] VSC 479 at [26]-[46] </w:t>
      </w:r>
      <w:r w:rsidR="0081147C">
        <w:rPr>
          <w:rFonts w:ascii="Arial" w:hAnsi="Arial" w:cs="Arial"/>
          <w:color w:val="000000"/>
          <w:sz w:val="20"/>
        </w:rPr>
        <w:t>per Connock J</w:t>
      </w:r>
      <w:r w:rsidR="006D0140" w:rsidRPr="00B46EF1">
        <w:rPr>
          <w:rFonts w:ascii="Arial" w:hAnsi="Arial" w:cs="Arial"/>
          <w:color w:val="000000"/>
          <w:sz w:val="20"/>
        </w:rPr>
        <w:t>.</w:t>
      </w:r>
    </w:p>
    <w:p w14:paraId="701F0D74" w14:textId="77777777" w:rsidR="00277B85" w:rsidRDefault="00277B85">
      <w:pPr>
        <w:jc w:val="both"/>
        <w:rPr>
          <w:rFonts w:ascii="Arial" w:hAnsi="Arial" w:cs="Arial"/>
          <w:sz w:val="20"/>
        </w:rPr>
      </w:pPr>
    </w:p>
    <w:p w14:paraId="7254175E" w14:textId="101D0EFE" w:rsidR="00277B85" w:rsidRDefault="00277B85">
      <w:pPr>
        <w:jc w:val="both"/>
        <w:rPr>
          <w:rFonts w:ascii="Arial" w:hAnsi="Arial" w:cs="Arial"/>
          <w:sz w:val="20"/>
        </w:rPr>
      </w:pPr>
      <w:r>
        <w:rPr>
          <w:rFonts w:ascii="Arial" w:hAnsi="Arial" w:cs="Arial"/>
          <w:sz w:val="20"/>
        </w:rPr>
        <w:t xml:space="preserve">When the </w:t>
      </w:r>
      <w:r w:rsidRPr="005161F3">
        <w:rPr>
          <w:rFonts w:ascii="Arial" w:hAnsi="Arial" w:cs="Arial"/>
          <w:i/>
          <w:iCs/>
          <w:sz w:val="20"/>
        </w:rPr>
        <w:t xml:space="preserve">Family Law Act </w:t>
      </w:r>
      <w:r w:rsidR="005161F3" w:rsidRPr="005161F3">
        <w:rPr>
          <w:rFonts w:ascii="Arial" w:hAnsi="Arial" w:cs="Arial"/>
          <w:i/>
          <w:iCs/>
          <w:sz w:val="20"/>
        </w:rPr>
        <w:t>1975</w:t>
      </w:r>
      <w:r w:rsidR="005161F3">
        <w:rPr>
          <w:rFonts w:ascii="Arial" w:hAnsi="Arial" w:cs="Arial"/>
          <w:sz w:val="20"/>
        </w:rPr>
        <w:t xml:space="preserve"> </w:t>
      </w:r>
      <w:r w:rsidRPr="005161F3">
        <w:rPr>
          <w:rFonts w:ascii="Arial" w:hAnsi="Arial" w:cs="Arial"/>
          <w:sz w:val="20"/>
        </w:rPr>
        <w:t>(</w:t>
      </w:r>
      <w:proofErr w:type="spellStart"/>
      <w:r w:rsidRPr="005161F3">
        <w:rPr>
          <w:rFonts w:ascii="Arial" w:hAnsi="Arial" w:cs="Arial"/>
          <w:sz w:val="20"/>
        </w:rPr>
        <w:t>Cth</w:t>
      </w:r>
      <w:proofErr w:type="spellEnd"/>
      <w:r w:rsidRPr="005161F3">
        <w:rPr>
          <w:rFonts w:ascii="Arial" w:hAnsi="Arial" w:cs="Arial"/>
          <w:sz w:val="20"/>
        </w:rPr>
        <w:t>)</w:t>
      </w:r>
      <w:r>
        <w:rPr>
          <w:rFonts w:ascii="Arial" w:hAnsi="Arial" w:cs="Arial"/>
          <w:sz w:val="20"/>
        </w:rPr>
        <w:t xml:space="preserve"> commenced in 1975, it provided that cases would be heard in closed court and also prevented publication of any details of the cases.  This was to preserve the privacy of </w:t>
      </w:r>
      <w:r w:rsidR="009958D2">
        <w:rPr>
          <w:rFonts w:ascii="Arial" w:hAnsi="Arial" w:cs="Arial"/>
          <w:sz w:val="20"/>
        </w:rPr>
        <w:t xml:space="preserve">the </w:t>
      </w:r>
      <w:r>
        <w:rPr>
          <w:rFonts w:ascii="Arial" w:hAnsi="Arial" w:cs="Arial"/>
          <w:sz w:val="20"/>
        </w:rPr>
        <w:t>people involved, including the children, and to prevent reporting in the media of sensationalised stories about peoples' private lives.  Following wide-spread criticism, the provision for closed Family Court hearings was repealed in 1983 and the prohibition on publication was substantially modified, so that now it only prohibits publication of anything which identifies people involved in the case.</w:t>
      </w:r>
    </w:p>
    <w:bookmarkEnd w:id="438"/>
    <w:p w14:paraId="1F1177A6" w14:textId="045DD96A" w:rsidR="005619BF" w:rsidRDefault="005619BF" w:rsidP="006461A4">
      <w:pPr>
        <w:widowControl w:val="0"/>
        <w:jc w:val="both"/>
        <w:rPr>
          <w:rFonts w:ascii="Arial" w:hAnsi="Arial" w:cs="Arial"/>
          <w:sz w:val="20"/>
        </w:rPr>
      </w:pPr>
    </w:p>
    <w:p w14:paraId="2102BE23" w14:textId="0D210B53" w:rsidR="009536D4" w:rsidRDefault="006461A4" w:rsidP="006461A4">
      <w:pPr>
        <w:widowControl w:val="0"/>
        <w:jc w:val="both"/>
        <w:rPr>
          <w:rFonts w:ascii="Arial" w:hAnsi="Arial" w:cs="Arial"/>
          <w:sz w:val="20"/>
        </w:rPr>
      </w:pPr>
      <w:r>
        <w:rPr>
          <w:rFonts w:ascii="Arial" w:hAnsi="Arial" w:cs="Arial"/>
          <w:sz w:val="20"/>
        </w:rPr>
        <w:t xml:space="preserve">In </w:t>
      </w:r>
      <w:r w:rsidRPr="00016A6C">
        <w:rPr>
          <w:rFonts w:ascii="Arial" w:hAnsi="Arial" w:cs="Arial"/>
          <w:b/>
          <w:bCs/>
          <w:i/>
          <w:iCs/>
          <w:sz w:val="20"/>
        </w:rPr>
        <w:t>Ramsay Alec (a pseudonym) v The King</w:t>
      </w:r>
      <w:r w:rsidRPr="00016A6C">
        <w:rPr>
          <w:rFonts w:ascii="Arial" w:hAnsi="Arial" w:cs="Arial"/>
          <w:b/>
          <w:bCs/>
          <w:sz w:val="20"/>
        </w:rPr>
        <w:t xml:space="preserve"> [2023] VSCA 208</w:t>
      </w:r>
      <w:r>
        <w:rPr>
          <w:rFonts w:ascii="Arial" w:hAnsi="Arial" w:cs="Arial"/>
          <w:sz w:val="20"/>
        </w:rPr>
        <w:t xml:space="preserve"> – a case in which the principles of open justice</w:t>
      </w:r>
      <w:r w:rsidR="00D55BDF">
        <w:rPr>
          <w:rFonts w:ascii="Arial" w:hAnsi="Arial" w:cs="Arial"/>
          <w:sz w:val="20"/>
        </w:rPr>
        <w:t>, procedural fairness</w:t>
      </w:r>
      <w:r>
        <w:rPr>
          <w:rFonts w:ascii="Arial" w:hAnsi="Arial" w:cs="Arial"/>
          <w:sz w:val="20"/>
        </w:rPr>
        <w:t xml:space="preserve"> and apprehension of judicial bias coexisted – the Court of Appeal allowed an appeal, set aside a conviction for incest and associated offences in</w:t>
      </w:r>
      <w:r w:rsidR="005D4536">
        <w:rPr>
          <w:rFonts w:ascii="Arial" w:hAnsi="Arial" w:cs="Arial"/>
          <w:sz w:val="20"/>
        </w:rPr>
        <w:t xml:space="preserve"> which</w:t>
      </w:r>
      <w:r>
        <w:rPr>
          <w:rFonts w:ascii="Arial" w:hAnsi="Arial" w:cs="Arial"/>
          <w:sz w:val="20"/>
        </w:rPr>
        <w:t xml:space="preserve"> the appellant’s stepson TB </w:t>
      </w:r>
      <w:r w:rsidR="005D4536">
        <w:rPr>
          <w:rFonts w:ascii="Arial" w:hAnsi="Arial" w:cs="Arial"/>
          <w:sz w:val="20"/>
        </w:rPr>
        <w:t xml:space="preserve">was the complainant </w:t>
      </w:r>
      <w:r>
        <w:rPr>
          <w:rFonts w:ascii="Arial" w:hAnsi="Arial" w:cs="Arial"/>
          <w:sz w:val="20"/>
        </w:rPr>
        <w:t xml:space="preserve">and ordered a new trial. At a ground rules hearing on the day before </w:t>
      </w:r>
      <w:r w:rsidR="009536D4">
        <w:rPr>
          <w:rFonts w:ascii="Arial" w:hAnsi="Arial" w:cs="Arial"/>
          <w:sz w:val="20"/>
        </w:rPr>
        <w:t xml:space="preserve">TB gave evidence at a special hearing, </w:t>
      </w:r>
      <w:r>
        <w:rPr>
          <w:rFonts w:ascii="Arial" w:hAnsi="Arial" w:cs="Arial"/>
          <w:sz w:val="20"/>
        </w:rPr>
        <w:t xml:space="preserve">the judge was told by the intermediary that the complainant – with whom both counsel had met – “would be one of the most anxious young men that I’ve come across in my time of doing this work” and said that if it was possible for the judge “to have a brief chat with him” before he gave evidence “that would be ideal”.  </w:t>
      </w:r>
      <w:r w:rsidR="005D4536">
        <w:rPr>
          <w:rFonts w:ascii="Arial" w:hAnsi="Arial" w:cs="Arial"/>
          <w:sz w:val="20"/>
        </w:rPr>
        <w:t>The judge did meet privately with the child complainant, no objections to the meeting having been raised by counsel.  No record was made of the meeting although in the special hearing the judge articulate</w:t>
      </w:r>
      <w:r w:rsidR="009378B4">
        <w:rPr>
          <w:rFonts w:ascii="Arial" w:hAnsi="Arial" w:cs="Arial"/>
          <w:sz w:val="20"/>
        </w:rPr>
        <w:t>d</w:t>
      </w:r>
      <w:r w:rsidR="005D4536">
        <w:rPr>
          <w:rFonts w:ascii="Arial" w:hAnsi="Arial" w:cs="Arial"/>
          <w:sz w:val="20"/>
        </w:rPr>
        <w:t xml:space="preserve"> some, but not all, of the conversation he had with TB.</w:t>
      </w:r>
      <w:r w:rsidR="009536D4">
        <w:rPr>
          <w:rFonts w:ascii="Arial" w:hAnsi="Arial" w:cs="Arial"/>
          <w:sz w:val="20"/>
        </w:rPr>
        <w:t xml:space="preserve"> The</w:t>
      </w:r>
      <w:r w:rsidR="00520020">
        <w:rPr>
          <w:rFonts w:ascii="Arial" w:hAnsi="Arial" w:cs="Arial"/>
          <w:sz w:val="20"/>
        </w:rPr>
        <w:t> </w:t>
      </w:r>
      <w:r w:rsidR="009536D4">
        <w:rPr>
          <w:rFonts w:ascii="Arial" w:hAnsi="Arial" w:cs="Arial"/>
          <w:sz w:val="20"/>
        </w:rPr>
        <w:t xml:space="preserve">Court of Appeal </w:t>
      </w:r>
      <w:r w:rsidR="00B72F2B">
        <w:rPr>
          <w:rFonts w:ascii="Arial" w:hAnsi="Arial" w:cs="Arial"/>
          <w:sz w:val="20"/>
        </w:rPr>
        <w:t xml:space="preserve">(Priest, Walker &amp; Taylor JJA) </w:t>
      </w:r>
      <w:r w:rsidR="009536D4">
        <w:rPr>
          <w:rFonts w:ascii="Arial" w:hAnsi="Arial" w:cs="Arial"/>
          <w:sz w:val="20"/>
        </w:rPr>
        <w:t>held that–</w:t>
      </w:r>
    </w:p>
    <w:p w14:paraId="50E07FB8" w14:textId="1A1D54B0" w:rsidR="009536D4" w:rsidRDefault="009536D4" w:rsidP="009536D4">
      <w:pPr>
        <w:pStyle w:val="ListParagraph"/>
        <w:widowControl w:val="0"/>
        <w:numPr>
          <w:ilvl w:val="0"/>
          <w:numId w:val="41"/>
        </w:numPr>
        <w:ind w:left="357" w:hanging="357"/>
        <w:jc w:val="both"/>
        <w:rPr>
          <w:rFonts w:ascii="Arial" w:hAnsi="Arial" w:cs="Arial"/>
          <w:sz w:val="20"/>
        </w:rPr>
      </w:pPr>
      <w:r>
        <w:rPr>
          <w:rFonts w:ascii="Arial" w:hAnsi="Arial" w:cs="Arial"/>
          <w:sz w:val="20"/>
        </w:rPr>
        <w:t>the process by which TB came to give evidence at the special hearing was tainted;</w:t>
      </w:r>
    </w:p>
    <w:p w14:paraId="731A8EE9" w14:textId="2F762183" w:rsidR="009536D4" w:rsidRDefault="009536D4" w:rsidP="009536D4">
      <w:pPr>
        <w:pStyle w:val="ListParagraph"/>
        <w:widowControl w:val="0"/>
        <w:numPr>
          <w:ilvl w:val="0"/>
          <w:numId w:val="41"/>
        </w:numPr>
        <w:ind w:left="357" w:hanging="357"/>
        <w:jc w:val="both"/>
        <w:rPr>
          <w:rFonts w:ascii="Arial" w:hAnsi="Arial" w:cs="Arial"/>
          <w:sz w:val="20"/>
        </w:rPr>
      </w:pPr>
      <w:r>
        <w:rPr>
          <w:rFonts w:ascii="Arial" w:hAnsi="Arial" w:cs="Arial"/>
          <w:sz w:val="20"/>
        </w:rPr>
        <w:t>the p</w:t>
      </w:r>
      <w:r w:rsidRPr="006461A4">
        <w:rPr>
          <w:rFonts w:ascii="Arial" w:hAnsi="Arial" w:cs="Arial"/>
          <w:sz w:val="20"/>
        </w:rPr>
        <w:t>rinciple of open justice requires court proceedings to be open to scrutiny</w:t>
      </w:r>
      <w:r w:rsidR="00FB4A40">
        <w:rPr>
          <w:rFonts w:ascii="Arial" w:hAnsi="Arial" w:cs="Arial"/>
          <w:sz w:val="20"/>
        </w:rPr>
        <w:t>; and</w:t>
      </w:r>
    </w:p>
    <w:p w14:paraId="0EDBDCBE" w14:textId="0045D9F7" w:rsidR="009536D4" w:rsidRPr="009536D4" w:rsidRDefault="00FB4A40" w:rsidP="009536D4">
      <w:pPr>
        <w:pStyle w:val="ListParagraph"/>
        <w:widowControl w:val="0"/>
        <w:numPr>
          <w:ilvl w:val="0"/>
          <w:numId w:val="41"/>
        </w:numPr>
        <w:ind w:left="357" w:hanging="357"/>
        <w:jc w:val="both"/>
        <w:rPr>
          <w:rFonts w:ascii="Arial" w:hAnsi="Arial" w:cs="Arial"/>
          <w:sz w:val="20"/>
        </w:rPr>
      </w:pPr>
      <w:r>
        <w:rPr>
          <w:rFonts w:ascii="Arial" w:hAnsi="Arial" w:cs="Arial"/>
          <w:sz w:val="20"/>
        </w:rPr>
        <w:t>the m</w:t>
      </w:r>
      <w:r w:rsidR="009536D4" w:rsidRPr="006461A4">
        <w:rPr>
          <w:rFonts w:ascii="Arial" w:hAnsi="Arial" w:cs="Arial"/>
          <w:sz w:val="20"/>
        </w:rPr>
        <w:t xml:space="preserve">eeting occasioned </w:t>
      </w:r>
      <w:r>
        <w:rPr>
          <w:rFonts w:ascii="Arial" w:hAnsi="Arial" w:cs="Arial"/>
          <w:sz w:val="20"/>
        </w:rPr>
        <w:t xml:space="preserve">a </w:t>
      </w:r>
      <w:r w:rsidR="009536D4" w:rsidRPr="006461A4">
        <w:rPr>
          <w:rFonts w:ascii="Arial" w:hAnsi="Arial" w:cs="Arial"/>
          <w:sz w:val="20"/>
        </w:rPr>
        <w:t>substantial miscarriage of justice</w:t>
      </w:r>
      <w:r>
        <w:rPr>
          <w:rFonts w:ascii="Arial" w:hAnsi="Arial" w:cs="Arial"/>
          <w:sz w:val="20"/>
        </w:rPr>
        <w:t xml:space="preserve"> and had given rise to a</w:t>
      </w:r>
      <w:r w:rsidR="001C7A54">
        <w:rPr>
          <w:rFonts w:ascii="Arial" w:hAnsi="Arial" w:cs="Arial"/>
          <w:sz w:val="20"/>
        </w:rPr>
        <w:t xml:space="preserve"> reasonable</w:t>
      </w:r>
      <w:r>
        <w:rPr>
          <w:rFonts w:ascii="Arial" w:hAnsi="Arial" w:cs="Arial"/>
          <w:sz w:val="20"/>
        </w:rPr>
        <w:t xml:space="preserve"> </w:t>
      </w:r>
      <w:r>
        <w:rPr>
          <w:rFonts w:ascii="Arial" w:hAnsi="Arial" w:cs="Arial"/>
          <w:sz w:val="20"/>
        </w:rPr>
        <w:lastRenderedPageBreak/>
        <w:t>apprehension of partiality.</w:t>
      </w:r>
    </w:p>
    <w:p w14:paraId="6E8AA88D" w14:textId="0D8DB9DA" w:rsidR="00FB4A40" w:rsidRDefault="00FB4A40" w:rsidP="00AA15AD">
      <w:pPr>
        <w:widowControl w:val="0"/>
        <w:spacing w:before="120"/>
        <w:jc w:val="both"/>
        <w:rPr>
          <w:rFonts w:ascii="Arial" w:hAnsi="Arial" w:cs="Arial"/>
          <w:sz w:val="20"/>
        </w:rPr>
      </w:pPr>
      <w:r>
        <w:rPr>
          <w:rFonts w:ascii="Arial" w:hAnsi="Arial" w:cs="Arial"/>
          <w:sz w:val="20"/>
        </w:rPr>
        <w:t>The Court of Appeal said at [21]:</w:t>
      </w:r>
    </w:p>
    <w:p w14:paraId="5BCC57D5" w14:textId="1DB3062C" w:rsidR="00FB4A40" w:rsidRDefault="00FB4A40" w:rsidP="00FB4A40">
      <w:pPr>
        <w:spacing w:before="60"/>
        <w:ind w:left="567" w:right="567"/>
        <w:jc w:val="both"/>
        <w:rPr>
          <w:rFonts w:ascii="Arial" w:hAnsi="Arial" w:cs="Arial"/>
          <w:sz w:val="20"/>
        </w:rPr>
      </w:pPr>
      <w:r>
        <w:rPr>
          <w:rFonts w:ascii="Arial" w:hAnsi="Arial" w:cs="Arial"/>
          <w:sz w:val="20"/>
        </w:rPr>
        <w:t>“</w:t>
      </w:r>
      <w:r w:rsidRPr="00FB4A40">
        <w:rPr>
          <w:rFonts w:ascii="Arial" w:hAnsi="Arial" w:cs="Arial"/>
          <w:sz w:val="20"/>
          <w:szCs w:val="20"/>
        </w:rPr>
        <w:t xml:space="preserve">Almost a century ago, Lord Hewart LCJ, in </w:t>
      </w:r>
      <w:r w:rsidRPr="00FB4A40">
        <w:rPr>
          <w:rFonts w:ascii="Arial" w:hAnsi="Arial" w:cs="Arial"/>
          <w:i/>
          <w:iCs/>
          <w:sz w:val="20"/>
          <w:szCs w:val="20"/>
        </w:rPr>
        <w:t>R v Sussex Justices; Ex parte McCarth</w:t>
      </w:r>
      <w:r>
        <w:rPr>
          <w:rFonts w:ascii="Arial" w:hAnsi="Arial" w:cs="Arial"/>
          <w:i/>
          <w:iCs/>
          <w:sz w:val="20"/>
          <w:szCs w:val="20"/>
        </w:rPr>
        <w:t>y</w:t>
      </w:r>
      <w:r w:rsidRPr="00FB4A40">
        <w:rPr>
          <w:rFonts w:ascii="Arial" w:hAnsi="Arial" w:cs="Arial"/>
          <w:sz w:val="20"/>
          <w:szCs w:val="20"/>
        </w:rPr>
        <w:t xml:space="preserve"> </w:t>
      </w:r>
      <w:r w:rsidRPr="00BF24E8">
        <w:rPr>
          <w:rFonts w:ascii="Arial" w:hAnsi="Arial" w:cs="Arial"/>
          <w:sz w:val="20"/>
          <w:szCs w:val="20"/>
        </w:rPr>
        <w:t>[1924] 1 KB 256, 259</w:t>
      </w:r>
      <w:r w:rsidR="00BF24E8">
        <w:rPr>
          <w:rFonts w:ascii="Arial" w:hAnsi="Arial" w:cs="Arial"/>
          <w:sz w:val="20"/>
          <w:szCs w:val="20"/>
        </w:rPr>
        <w:t>,</w:t>
      </w:r>
      <w:r w:rsidRPr="00BF24E8">
        <w:rPr>
          <w:rFonts w:ascii="Arial" w:hAnsi="Arial" w:cs="Arial"/>
          <w:sz w:val="20"/>
          <w:szCs w:val="20"/>
        </w:rPr>
        <w:t xml:space="preserve"> </w:t>
      </w:r>
      <w:r w:rsidRPr="00FB4A40">
        <w:rPr>
          <w:rFonts w:ascii="Arial" w:hAnsi="Arial" w:cs="Arial"/>
          <w:sz w:val="20"/>
          <w:szCs w:val="20"/>
        </w:rPr>
        <w:t>declared that it ‘is of fundamental importance that justice should not only be done, but should manifestly and undoubtedly be seen to be done.’</w:t>
      </w:r>
      <w:r>
        <w:rPr>
          <w:rFonts w:ascii="Arial" w:hAnsi="Arial" w:cs="Arial"/>
          <w:sz w:val="20"/>
          <w:szCs w:val="20"/>
        </w:rPr>
        <w:t>”</w:t>
      </w:r>
    </w:p>
    <w:p w14:paraId="043DFE66" w14:textId="1D01A070" w:rsidR="00FB4A40" w:rsidRDefault="00BF24E8" w:rsidP="00BF24E8">
      <w:pPr>
        <w:widowControl w:val="0"/>
        <w:spacing w:before="120"/>
        <w:jc w:val="both"/>
        <w:rPr>
          <w:rFonts w:ascii="Arial" w:hAnsi="Arial" w:cs="Arial"/>
          <w:sz w:val="20"/>
        </w:rPr>
      </w:pPr>
      <w:r>
        <w:rPr>
          <w:rFonts w:ascii="Arial" w:hAnsi="Arial" w:cs="Arial"/>
          <w:sz w:val="20"/>
        </w:rPr>
        <w:t>Their Honours continued at [23], [27]-[30] &amp; [32]:</w:t>
      </w:r>
    </w:p>
    <w:p w14:paraId="79A88B61" w14:textId="50AD486A" w:rsidR="00FB4A40" w:rsidRDefault="009536D4" w:rsidP="00B72F2B">
      <w:pPr>
        <w:spacing w:before="80"/>
        <w:ind w:left="567" w:right="567"/>
        <w:jc w:val="both"/>
        <w:rPr>
          <w:rFonts w:ascii="Arial" w:hAnsi="Arial" w:cs="Arial"/>
          <w:sz w:val="20"/>
          <w:szCs w:val="20"/>
        </w:rPr>
      </w:pPr>
      <w:r>
        <w:rPr>
          <w:rFonts w:ascii="Arial" w:hAnsi="Arial" w:cs="Arial"/>
          <w:sz w:val="20"/>
          <w:szCs w:val="20"/>
        </w:rPr>
        <w:t xml:space="preserve">[23] </w:t>
      </w:r>
      <w:r w:rsidRPr="00FB4A40">
        <w:rPr>
          <w:rFonts w:ascii="Arial" w:hAnsi="Arial" w:cs="Arial"/>
          <w:sz w:val="20"/>
          <w:szCs w:val="20"/>
        </w:rPr>
        <w:t>“It cannot be doubted that, in deciding to meet privately with TB</w:t>
      </w:r>
      <w:r w:rsidR="00BF24E8">
        <w:rPr>
          <w:rFonts w:ascii="Arial" w:hAnsi="Arial" w:cs="Arial"/>
          <w:sz w:val="20"/>
          <w:szCs w:val="20"/>
        </w:rPr>
        <w:t xml:space="preserve"> [albeit </w:t>
      </w:r>
      <w:r w:rsidR="001C7A54">
        <w:rPr>
          <w:rFonts w:ascii="Arial" w:hAnsi="Arial" w:cs="Arial"/>
          <w:sz w:val="20"/>
          <w:szCs w:val="20"/>
        </w:rPr>
        <w:t xml:space="preserve">apparently </w:t>
      </w:r>
      <w:r w:rsidR="00BF24E8">
        <w:rPr>
          <w:rFonts w:ascii="Arial" w:hAnsi="Arial" w:cs="Arial"/>
          <w:sz w:val="20"/>
          <w:szCs w:val="20"/>
        </w:rPr>
        <w:t>in the presence of the intermediary]</w:t>
      </w:r>
      <w:r w:rsidRPr="00FB4A40">
        <w:rPr>
          <w:rFonts w:ascii="Arial" w:hAnsi="Arial" w:cs="Arial"/>
          <w:sz w:val="20"/>
          <w:szCs w:val="20"/>
        </w:rPr>
        <w:t xml:space="preserve">, the judge in the present case was also motivated by consideration for a youthful witness. But as was the case in </w:t>
      </w:r>
      <w:r w:rsidR="00FB4A40" w:rsidRPr="00FB4A40">
        <w:rPr>
          <w:rFonts w:ascii="Arial" w:hAnsi="Arial" w:cs="Arial"/>
          <w:i/>
          <w:iCs/>
          <w:sz w:val="20"/>
          <w:szCs w:val="20"/>
        </w:rPr>
        <w:t xml:space="preserve">R v </w:t>
      </w:r>
      <w:r w:rsidRPr="00FB4A40">
        <w:rPr>
          <w:rFonts w:ascii="Arial" w:hAnsi="Arial" w:cs="Arial"/>
          <w:i/>
          <w:iCs/>
          <w:sz w:val="20"/>
          <w:szCs w:val="20"/>
        </w:rPr>
        <w:t>Dunne</w:t>
      </w:r>
      <w:r w:rsidRPr="00FB4A40">
        <w:rPr>
          <w:rFonts w:ascii="Arial" w:hAnsi="Arial" w:cs="Arial"/>
          <w:sz w:val="20"/>
          <w:szCs w:val="20"/>
        </w:rPr>
        <w:t>, ‘something was said to or by this witness which was not in the hearing or presence of the jury or of the accused’</w:t>
      </w:r>
      <w:r w:rsidR="001C7A54">
        <w:rPr>
          <w:rFonts w:ascii="Arial" w:hAnsi="Arial" w:cs="Arial"/>
          <w:sz w:val="20"/>
          <w:szCs w:val="20"/>
        </w:rPr>
        <w:t xml:space="preserve">: see </w:t>
      </w:r>
      <w:r w:rsidR="001C7A54" w:rsidRPr="00FB4A40">
        <w:rPr>
          <w:rFonts w:ascii="Arial" w:hAnsi="Arial" w:cs="Arial"/>
          <w:sz w:val="20"/>
          <w:szCs w:val="20"/>
        </w:rPr>
        <w:t>(1929) 21 Cr App R 176</w:t>
      </w:r>
      <w:r w:rsidR="001C7A54">
        <w:rPr>
          <w:rFonts w:ascii="Arial" w:hAnsi="Arial" w:cs="Arial"/>
          <w:sz w:val="20"/>
          <w:szCs w:val="20"/>
        </w:rPr>
        <w:t>, 178</w:t>
      </w:r>
      <w:r w:rsidRPr="00FB4A40">
        <w:rPr>
          <w:rFonts w:ascii="Arial" w:hAnsi="Arial" w:cs="Arial"/>
          <w:sz w:val="20"/>
          <w:szCs w:val="20"/>
        </w:rPr>
        <w:t>.”</w:t>
      </w:r>
    </w:p>
    <w:p w14:paraId="323B66A2" w14:textId="68741B1A" w:rsidR="00BF24E8" w:rsidRDefault="00BF24E8" w:rsidP="00B72F2B">
      <w:pPr>
        <w:spacing w:before="80"/>
        <w:ind w:left="567" w:right="567"/>
        <w:jc w:val="both"/>
        <w:rPr>
          <w:rFonts w:ascii="Arial" w:hAnsi="Arial" w:cs="Arial"/>
          <w:sz w:val="20"/>
          <w:szCs w:val="20"/>
        </w:rPr>
      </w:pPr>
      <w:r>
        <w:rPr>
          <w:rFonts w:ascii="Arial" w:hAnsi="Arial" w:cs="Arial"/>
          <w:sz w:val="20"/>
          <w:szCs w:val="20"/>
        </w:rPr>
        <w:t xml:space="preserve">[27] </w:t>
      </w:r>
      <w:r w:rsidR="001C7A54">
        <w:rPr>
          <w:rFonts w:ascii="Arial" w:hAnsi="Arial" w:cs="Arial"/>
          <w:sz w:val="20"/>
          <w:szCs w:val="20"/>
        </w:rPr>
        <w:t>“</w:t>
      </w:r>
      <w:r w:rsidRPr="006461A4">
        <w:rPr>
          <w:rFonts w:ascii="Arial" w:hAnsi="Arial" w:cs="Arial"/>
          <w:sz w:val="20"/>
          <w:szCs w:val="20"/>
        </w:rPr>
        <w:t>Senior counsel for the applicant accepted that ‘the judge … was concerned that [TB] needed to have his anxiety ameliorated’. That did not justify a private meeting. Counsel submitted that the judge could have invited the complainant into the courtroom in an informal manner prior to the hearing; he could have come down off the bench; he could have talked to the complainant in the presence of counsel; and he could have removed his robes if he wanted to make the complainant feel more comfortable. But he ‘should not have met the complainant in the absence of the parties’.</w:t>
      </w:r>
      <w:r>
        <w:rPr>
          <w:rFonts w:ascii="Arial" w:hAnsi="Arial" w:cs="Arial"/>
          <w:sz w:val="20"/>
          <w:szCs w:val="20"/>
        </w:rPr>
        <w:t>”</w:t>
      </w:r>
    </w:p>
    <w:p w14:paraId="45D1B59B" w14:textId="77393B6F" w:rsidR="00BF24E8" w:rsidRDefault="00BF24E8" w:rsidP="00B72F2B">
      <w:pPr>
        <w:spacing w:before="80"/>
        <w:ind w:left="567" w:right="567"/>
        <w:jc w:val="both"/>
        <w:rPr>
          <w:rFonts w:ascii="Arial" w:hAnsi="Arial" w:cs="Arial"/>
          <w:sz w:val="20"/>
          <w:szCs w:val="20"/>
        </w:rPr>
      </w:pPr>
      <w:r>
        <w:rPr>
          <w:rFonts w:ascii="Arial" w:hAnsi="Arial" w:cs="Arial"/>
          <w:sz w:val="20"/>
          <w:szCs w:val="20"/>
        </w:rPr>
        <w:t>[28] “</w:t>
      </w:r>
      <w:r w:rsidRPr="006461A4">
        <w:rPr>
          <w:rFonts w:ascii="Arial" w:hAnsi="Arial" w:cs="Arial"/>
          <w:sz w:val="20"/>
          <w:szCs w:val="20"/>
        </w:rPr>
        <w:t>That the administration of justice must not take place behind closed doors is axiomatic. The principle of open justice requires court proceedings to be held in public; or, in cases where exceptions to that general rule are tolerated — such as in cases of alleged sexual offending — to be otherwise open to scrutiny. Self-evidently, open justice promotes the rule of law and militates against the erosion of public confidence in the administration of justice. Open justice promotes the fair conduct of curial proceedings and the impartiality of judges. When justice is administered in private, the fairness of the process, and the impartiality of the judge, are brought into question.</w:t>
      </w:r>
      <w:r>
        <w:rPr>
          <w:rFonts w:ascii="Arial" w:hAnsi="Arial" w:cs="Arial"/>
          <w:sz w:val="20"/>
          <w:szCs w:val="20"/>
        </w:rPr>
        <w:t>”</w:t>
      </w:r>
    </w:p>
    <w:p w14:paraId="223ADC2E" w14:textId="7FE5D0D8" w:rsidR="00BF24E8" w:rsidRDefault="00BF24E8" w:rsidP="00B72F2B">
      <w:pPr>
        <w:spacing w:before="80"/>
        <w:ind w:left="567" w:right="567"/>
        <w:jc w:val="both"/>
        <w:rPr>
          <w:rFonts w:ascii="Arial" w:hAnsi="Arial" w:cs="Arial"/>
          <w:sz w:val="20"/>
          <w:szCs w:val="20"/>
        </w:rPr>
      </w:pPr>
      <w:r>
        <w:rPr>
          <w:rFonts w:ascii="Arial" w:hAnsi="Arial" w:cs="Arial"/>
          <w:sz w:val="20"/>
          <w:szCs w:val="20"/>
        </w:rPr>
        <w:t xml:space="preserve">[29] </w:t>
      </w:r>
      <w:r w:rsidR="001C7A54">
        <w:rPr>
          <w:rFonts w:ascii="Arial" w:hAnsi="Arial" w:cs="Arial"/>
          <w:sz w:val="20"/>
          <w:szCs w:val="20"/>
        </w:rPr>
        <w:t>“</w:t>
      </w:r>
      <w:r w:rsidRPr="006461A4">
        <w:rPr>
          <w:rFonts w:ascii="Arial" w:hAnsi="Arial" w:cs="Arial"/>
          <w:sz w:val="20"/>
          <w:szCs w:val="20"/>
        </w:rPr>
        <w:t xml:space="preserve">As Mason J observed in </w:t>
      </w:r>
      <w:r w:rsidRPr="001C7A54">
        <w:rPr>
          <w:rFonts w:ascii="Arial" w:hAnsi="Arial" w:cs="Arial"/>
          <w:i/>
          <w:iCs/>
          <w:sz w:val="20"/>
          <w:szCs w:val="20"/>
        </w:rPr>
        <w:t>Re JRL; Ex parte CJL</w:t>
      </w:r>
      <w:r>
        <w:rPr>
          <w:rFonts w:ascii="Arial" w:hAnsi="Arial" w:cs="Arial"/>
          <w:sz w:val="20"/>
          <w:szCs w:val="20"/>
        </w:rPr>
        <w:t xml:space="preserve"> </w:t>
      </w:r>
      <w:r w:rsidR="001C7A54">
        <w:rPr>
          <w:rFonts w:ascii="Arial" w:hAnsi="Arial" w:cs="Arial"/>
          <w:sz w:val="20"/>
          <w:szCs w:val="20"/>
        </w:rPr>
        <w:t>(1986) 161 CLR 342, 350</w:t>
      </w:r>
      <w:r w:rsidRPr="006461A4">
        <w:rPr>
          <w:rFonts w:ascii="Arial" w:hAnsi="Arial" w:cs="Arial"/>
          <w:sz w:val="20"/>
          <w:szCs w:val="20"/>
        </w:rPr>
        <w:t xml:space="preserve">: </w:t>
      </w:r>
    </w:p>
    <w:p w14:paraId="5D3A57B6" w14:textId="1E3DC0A1" w:rsidR="00BF24E8" w:rsidRPr="00BF24E8" w:rsidRDefault="001C7A54" w:rsidP="00BF24E8">
      <w:pPr>
        <w:spacing w:before="60"/>
        <w:ind w:left="1021" w:right="1021"/>
        <w:jc w:val="both"/>
        <w:rPr>
          <w:rFonts w:ascii="Arial" w:hAnsi="Arial" w:cs="Arial"/>
          <w:sz w:val="18"/>
          <w:szCs w:val="22"/>
        </w:rPr>
      </w:pPr>
      <w:r>
        <w:rPr>
          <w:rFonts w:ascii="Arial" w:hAnsi="Arial" w:cs="Arial"/>
          <w:sz w:val="18"/>
          <w:szCs w:val="18"/>
        </w:rPr>
        <w:t>‘</w:t>
      </w:r>
      <w:r w:rsidR="00BF24E8" w:rsidRPr="00BF24E8">
        <w:rPr>
          <w:rFonts w:ascii="Arial" w:hAnsi="Arial" w:cs="Arial"/>
          <w:sz w:val="18"/>
          <w:szCs w:val="18"/>
        </w:rPr>
        <w:t>A central element in the system of justice administered by our courts is that it should be fair and this means that it must be open, impartial and even-handed. It is for this reason that one of the cardinal principles of the law is that a judge tries the case before him on the evidence and arguments presented before him in open court by the parties or their legal representatives and by reference to those matters alone, unless Parliament otherwise provides. It would be inconsistent with basic notions of fairness that a judge should take into account, or even receive, secret or private representations on behalf of a party or from a stranger with reference to a case which he has to decide.</w:t>
      </w:r>
      <w:r>
        <w:rPr>
          <w:rFonts w:ascii="Arial" w:hAnsi="Arial" w:cs="Arial"/>
          <w:sz w:val="18"/>
          <w:szCs w:val="18"/>
        </w:rPr>
        <w:t>’</w:t>
      </w:r>
    </w:p>
    <w:p w14:paraId="17A00972" w14:textId="2E89DEF0" w:rsidR="00BF24E8" w:rsidRDefault="00BF24E8" w:rsidP="00BF24E8">
      <w:pPr>
        <w:spacing w:before="60"/>
        <w:ind w:left="567" w:right="567"/>
        <w:jc w:val="both"/>
        <w:rPr>
          <w:rFonts w:ascii="Arial" w:hAnsi="Arial" w:cs="Arial"/>
          <w:sz w:val="20"/>
          <w:szCs w:val="20"/>
        </w:rPr>
      </w:pPr>
      <w:r>
        <w:rPr>
          <w:rFonts w:ascii="Arial" w:hAnsi="Arial" w:cs="Arial"/>
          <w:sz w:val="20"/>
          <w:szCs w:val="20"/>
        </w:rPr>
        <w:t xml:space="preserve">[30] </w:t>
      </w:r>
      <w:r w:rsidRPr="006461A4">
        <w:rPr>
          <w:rFonts w:ascii="Arial" w:hAnsi="Arial" w:cs="Arial"/>
          <w:sz w:val="20"/>
          <w:szCs w:val="20"/>
        </w:rPr>
        <w:t>Mason J also cited with approval</w:t>
      </w:r>
      <w:r w:rsidR="001C7A54">
        <w:rPr>
          <w:rFonts w:ascii="Arial" w:hAnsi="Arial" w:cs="Arial"/>
          <w:sz w:val="20"/>
          <w:szCs w:val="20"/>
        </w:rPr>
        <w:t xml:space="preserve"> at 350-1</w:t>
      </w:r>
      <w:r w:rsidRPr="006461A4">
        <w:rPr>
          <w:rFonts w:ascii="Arial" w:hAnsi="Arial" w:cs="Arial"/>
          <w:sz w:val="20"/>
          <w:szCs w:val="20"/>
        </w:rPr>
        <w:t xml:space="preserve"> the following observations of McInerney J in </w:t>
      </w:r>
      <w:r w:rsidRPr="00BF24E8">
        <w:rPr>
          <w:rFonts w:ascii="Arial" w:hAnsi="Arial" w:cs="Arial"/>
          <w:i/>
          <w:iCs/>
          <w:sz w:val="20"/>
          <w:szCs w:val="20"/>
        </w:rPr>
        <w:t>R v Magistrates’ Court at Lilydale; Ex parte Ciccone</w:t>
      </w:r>
      <w:r w:rsidRPr="00BF24E8">
        <w:rPr>
          <w:rFonts w:ascii="Arial" w:hAnsi="Arial" w:cs="Arial"/>
          <w:sz w:val="20"/>
          <w:szCs w:val="20"/>
        </w:rPr>
        <w:t xml:space="preserve"> </w:t>
      </w:r>
      <w:r w:rsidR="001C7A54">
        <w:rPr>
          <w:rFonts w:ascii="Arial" w:hAnsi="Arial" w:cs="Arial"/>
          <w:sz w:val="20"/>
          <w:szCs w:val="20"/>
        </w:rPr>
        <w:t>[1973] VR 122, 127</w:t>
      </w:r>
      <w:r w:rsidRPr="006461A4">
        <w:rPr>
          <w:rFonts w:ascii="Arial" w:hAnsi="Arial" w:cs="Arial"/>
          <w:sz w:val="20"/>
          <w:szCs w:val="20"/>
        </w:rPr>
        <w:t>:</w:t>
      </w:r>
    </w:p>
    <w:p w14:paraId="3970F2F1" w14:textId="30728CC7" w:rsidR="00BF24E8" w:rsidRPr="00BF24E8" w:rsidRDefault="001C7A54" w:rsidP="00BF24E8">
      <w:pPr>
        <w:spacing w:before="60"/>
        <w:ind w:left="1021" w:right="1021"/>
        <w:jc w:val="both"/>
        <w:rPr>
          <w:rFonts w:ascii="Arial" w:hAnsi="Arial" w:cs="Arial"/>
          <w:sz w:val="18"/>
          <w:szCs w:val="22"/>
        </w:rPr>
      </w:pPr>
      <w:r>
        <w:rPr>
          <w:rFonts w:ascii="Arial" w:hAnsi="Arial" w:cs="Arial"/>
          <w:sz w:val="18"/>
          <w:szCs w:val="18"/>
        </w:rPr>
        <w:t>‘</w:t>
      </w:r>
      <w:r w:rsidR="00BF24E8" w:rsidRPr="00BF24E8">
        <w:rPr>
          <w:rFonts w:ascii="Arial" w:hAnsi="Arial" w:cs="Arial"/>
          <w:sz w:val="18"/>
          <w:szCs w:val="18"/>
        </w:rPr>
        <w:t>The sound instinct of the legal profession – judges and practitioners alike – has always been that, save in the most exceptional cases, there should be no communication or association between the judge and one of the parties (or the legal advisers or witnesses of such a party), otherwise than in the presence of or with the previous knowledge and consent of the other party. Once the case is under way, or about to get under way, the judicial officer keeps aloof from the parties (and from their legal advisers and witnesses) and neither he nor they should so act as to expose the judicial officer to a suspicion of having had communications with one party behind the back of or without the previous</w:t>
      </w:r>
      <w:r>
        <w:rPr>
          <w:rFonts w:ascii="Arial" w:hAnsi="Arial" w:cs="Arial"/>
          <w:sz w:val="18"/>
          <w:szCs w:val="18"/>
        </w:rPr>
        <w:t xml:space="preserve"> knowledge and consent of the other party.  For if something is done which forms a reasonable basis for such suspicion, confidence in the impartiality of the judicial officer is undermined.’</w:t>
      </w:r>
    </w:p>
    <w:p w14:paraId="3C5E5EE2" w14:textId="133574CF" w:rsidR="001C7A54" w:rsidRDefault="001C7A54" w:rsidP="00BF24E8">
      <w:pPr>
        <w:spacing w:before="60"/>
        <w:ind w:left="567" w:right="567"/>
        <w:jc w:val="both"/>
        <w:rPr>
          <w:rFonts w:ascii="Arial" w:hAnsi="Arial" w:cs="Arial"/>
          <w:sz w:val="20"/>
          <w:szCs w:val="20"/>
        </w:rPr>
      </w:pPr>
      <w:r w:rsidRPr="006461A4">
        <w:rPr>
          <w:rFonts w:ascii="Arial" w:hAnsi="Arial" w:cs="Arial"/>
          <w:sz w:val="20"/>
          <w:szCs w:val="20"/>
        </w:rPr>
        <w:t xml:space="preserve">See also </w:t>
      </w:r>
      <w:proofErr w:type="spellStart"/>
      <w:r w:rsidRPr="00B72F2B">
        <w:rPr>
          <w:rFonts w:ascii="Arial" w:hAnsi="Arial" w:cs="Arial"/>
          <w:i/>
          <w:iCs/>
          <w:sz w:val="20"/>
          <w:szCs w:val="20"/>
        </w:rPr>
        <w:t>Charisteas</w:t>
      </w:r>
      <w:proofErr w:type="spellEnd"/>
      <w:r w:rsidRPr="00B72F2B">
        <w:rPr>
          <w:rFonts w:ascii="Arial" w:hAnsi="Arial" w:cs="Arial"/>
          <w:i/>
          <w:iCs/>
          <w:sz w:val="20"/>
          <w:szCs w:val="20"/>
        </w:rPr>
        <w:t xml:space="preserve"> v </w:t>
      </w:r>
      <w:proofErr w:type="spellStart"/>
      <w:r w:rsidRPr="00B72F2B">
        <w:rPr>
          <w:rFonts w:ascii="Arial" w:hAnsi="Arial" w:cs="Arial"/>
          <w:i/>
          <w:iCs/>
          <w:sz w:val="20"/>
          <w:szCs w:val="20"/>
        </w:rPr>
        <w:t>Charisteas</w:t>
      </w:r>
      <w:proofErr w:type="spellEnd"/>
      <w:r w:rsidRPr="006461A4">
        <w:rPr>
          <w:rFonts w:ascii="Arial" w:hAnsi="Arial" w:cs="Arial"/>
          <w:sz w:val="20"/>
          <w:szCs w:val="20"/>
        </w:rPr>
        <w:t xml:space="preserve"> (2021) 273 CLR 289, 297 [13]; </w:t>
      </w:r>
      <w:r w:rsidRPr="00B72F2B">
        <w:rPr>
          <w:rFonts w:ascii="Arial" w:hAnsi="Arial" w:cs="Arial"/>
          <w:i/>
          <w:iCs/>
          <w:sz w:val="20"/>
          <w:szCs w:val="20"/>
        </w:rPr>
        <w:t>Assistant Commissioner Condon v Pompano Pty Ltd</w:t>
      </w:r>
      <w:r w:rsidRPr="006461A4">
        <w:rPr>
          <w:rFonts w:ascii="Arial" w:hAnsi="Arial" w:cs="Arial"/>
          <w:sz w:val="20"/>
          <w:szCs w:val="20"/>
        </w:rPr>
        <w:t xml:space="preserve"> (2013) 252 CLR 38, 107 [186]</w:t>
      </w:r>
      <w:r w:rsidR="00B72F2B">
        <w:rPr>
          <w:rFonts w:ascii="Arial" w:hAnsi="Arial" w:cs="Arial"/>
          <w:sz w:val="20"/>
          <w:szCs w:val="20"/>
        </w:rPr>
        <w:t>.”</w:t>
      </w:r>
    </w:p>
    <w:p w14:paraId="2F5E18CE" w14:textId="7C1CAEB3" w:rsidR="00BF24E8" w:rsidRDefault="00BF24E8" w:rsidP="00B72F2B">
      <w:pPr>
        <w:spacing w:before="80"/>
        <w:ind w:left="567" w:right="567"/>
        <w:jc w:val="both"/>
        <w:rPr>
          <w:rFonts w:ascii="Arial" w:hAnsi="Arial" w:cs="Arial"/>
          <w:sz w:val="20"/>
          <w:szCs w:val="20"/>
        </w:rPr>
      </w:pPr>
      <w:r>
        <w:rPr>
          <w:rFonts w:ascii="Arial" w:hAnsi="Arial" w:cs="Arial"/>
          <w:sz w:val="20"/>
          <w:szCs w:val="20"/>
        </w:rPr>
        <w:t>[32] “</w:t>
      </w:r>
      <w:r w:rsidRPr="006461A4">
        <w:rPr>
          <w:rFonts w:ascii="Arial" w:hAnsi="Arial" w:cs="Arial"/>
          <w:sz w:val="20"/>
          <w:szCs w:val="20"/>
        </w:rPr>
        <w:t>There is no evidence in the present case that TB said anything to the judge that in fact had the capacity to compromise the judge’s conduct of the case. But that is not to the point. It is the suspicion of partiality which is aroused by the judge meeting privately with a witness which is important.</w:t>
      </w:r>
      <w:r>
        <w:rPr>
          <w:rFonts w:ascii="Arial" w:hAnsi="Arial" w:cs="Arial"/>
          <w:sz w:val="20"/>
          <w:szCs w:val="20"/>
        </w:rPr>
        <w:t>”</w:t>
      </w:r>
    </w:p>
    <w:p w14:paraId="736715F7" w14:textId="7E9561CE" w:rsidR="00B72F2B" w:rsidRDefault="00B72F2B" w:rsidP="00B72F2B">
      <w:pPr>
        <w:spacing w:before="80"/>
        <w:ind w:left="567" w:right="567"/>
        <w:jc w:val="both"/>
        <w:rPr>
          <w:rFonts w:ascii="Arial" w:hAnsi="Arial" w:cs="Arial"/>
          <w:sz w:val="20"/>
          <w:szCs w:val="20"/>
        </w:rPr>
      </w:pPr>
      <w:r>
        <w:rPr>
          <w:rFonts w:ascii="Arial" w:hAnsi="Arial" w:cs="Arial"/>
          <w:sz w:val="20"/>
          <w:szCs w:val="20"/>
        </w:rPr>
        <w:t>[33] “</w:t>
      </w:r>
      <w:r w:rsidRPr="006461A4">
        <w:rPr>
          <w:rFonts w:ascii="Arial" w:hAnsi="Arial" w:cs="Arial"/>
          <w:sz w:val="20"/>
          <w:szCs w:val="20"/>
        </w:rPr>
        <w:t xml:space="preserve">We note that some of the authorities appear to contemplate that a judge may meet privately with a party, their legal adviser or a witness ‘with the previous knowledge and consent of the other party’. There will undoubtedly be circumstances where that is so; a judge attending a function at which counsel for a party is attending, with the knowledge and consent of the other party, provides an example of such circumstances. But we do not consider that the ‘previous knowledge and consent’ of the applicant in this case is such as </w:t>
      </w:r>
      <w:r w:rsidRPr="006461A4">
        <w:rPr>
          <w:rFonts w:ascii="Arial" w:hAnsi="Arial" w:cs="Arial"/>
          <w:sz w:val="20"/>
          <w:szCs w:val="20"/>
        </w:rPr>
        <w:lastRenderedPageBreak/>
        <w:t>to mean that there is no apprehension of partiality raised by the judge meeting privately with the principal witness for the prosecution.</w:t>
      </w:r>
      <w:r>
        <w:rPr>
          <w:rFonts w:ascii="Arial" w:hAnsi="Arial" w:cs="Arial"/>
          <w:sz w:val="20"/>
          <w:szCs w:val="20"/>
        </w:rPr>
        <w:t>”</w:t>
      </w:r>
    </w:p>
    <w:p w14:paraId="1E7CC9F6" w14:textId="2757920A" w:rsidR="006461A4" w:rsidRDefault="006461A4" w:rsidP="006461A4">
      <w:pPr>
        <w:widowControl w:val="0"/>
        <w:jc w:val="both"/>
        <w:rPr>
          <w:rFonts w:ascii="Arial" w:hAnsi="Arial" w:cs="Arial"/>
          <w:sz w:val="20"/>
        </w:rPr>
      </w:pPr>
      <w:bookmarkStart w:id="439" w:name="_Hlk152332694"/>
    </w:p>
    <w:p w14:paraId="658A5F33" w14:textId="46945673" w:rsidR="00AA15AD" w:rsidRPr="00A3571D" w:rsidRDefault="00AA15AD" w:rsidP="006461A4">
      <w:pPr>
        <w:widowControl w:val="0"/>
        <w:jc w:val="both"/>
        <w:rPr>
          <w:rFonts w:ascii="Arial" w:hAnsi="Arial" w:cs="Arial"/>
          <w:sz w:val="20"/>
          <w:szCs w:val="20"/>
        </w:rPr>
      </w:pPr>
      <w:r>
        <w:rPr>
          <w:rFonts w:ascii="Arial" w:hAnsi="Arial" w:cs="Arial"/>
          <w:sz w:val="20"/>
        </w:rPr>
        <w:t xml:space="preserve">In </w:t>
      </w:r>
      <w:bookmarkStart w:id="440" w:name="_Hlk152333029"/>
      <w:r w:rsidRPr="00016A6C">
        <w:rPr>
          <w:rFonts w:ascii="Arial" w:hAnsi="Arial" w:cs="Arial"/>
          <w:b/>
          <w:bCs/>
          <w:i/>
          <w:iCs/>
          <w:sz w:val="20"/>
        </w:rPr>
        <w:t>DPP v Smith</w:t>
      </w:r>
      <w:r w:rsidRPr="00016A6C">
        <w:rPr>
          <w:rFonts w:ascii="Arial" w:hAnsi="Arial" w:cs="Arial"/>
          <w:b/>
          <w:bCs/>
          <w:sz w:val="20"/>
        </w:rPr>
        <w:t xml:space="preserve"> [2023] VSCA 293</w:t>
      </w:r>
      <w:bookmarkEnd w:id="440"/>
      <w:r>
        <w:rPr>
          <w:rFonts w:ascii="Arial" w:hAnsi="Arial" w:cs="Arial"/>
          <w:sz w:val="20"/>
        </w:rPr>
        <w:t xml:space="preserve"> the judge </w:t>
      </w:r>
      <w:r w:rsidR="006E4A3F">
        <w:rPr>
          <w:rFonts w:ascii="Arial" w:hAnsi="Arial" w:cs="Arial"/>
          <w:sz w:val="20"/>
        </w:rPr>
        <w:t xml:space="preserve">had </w:t>
      </w:r>
      <w:r>
        <w:rPr>
          <w:rFonts w:ascii="Arial" w:hAnsi="Arial" w:cs="Arial"/>
          <w:sz w:val="20"/>
        </w:rPr>
        <w:t xml:space="preserve">met privately with a child complainant in the </w:t>
      </w:r>
      <w:r w:rsidR="00A42763">
        <w:rPr>
          <w:rFonts w:ascii="Arial" w:hAnsi="Arial" w:cs="Arial"/>
          <w:sz w:val="20"/>
        </w:rPr>
        <w:t xml:space="preserve">presence of </w:t>
      </w:r>
      <w:r w:rsidR="0051799D">
        <w:rPr>
          <w:rFonts w:ascii="Arial" w:hAnsi="Arial" w:cs="Arial"/>
          <w:sz w:val="20"/>
        </w:rPr>
        <w:t>counsel for both the accused and the prosecution</w:t>
      </w:r>
      <w:r w:rsidR="00116847">
        <w:rPr>
          <w:rFonts w:ascii="Arial" w:hAnsi="Arial" w:cs="Arial"/>
          <w:sz w:val="20"/>
        </w:rPr>
        <w:t xml:space="preserve"> and </w:t>
      </w:r>
      <w:r w:rsidR="00116847" w:rsidRPr="00116847">
        <w:rPr>
          <w:rFonts w:ascii="Arial" w:hAnsi="Arial" w:cs="Arial"/>
          <w:sz w:val="20"/>
        </w:rPr>
        <w:t>an instructing solicitor for the prosecution</w:t>
      </w:r>
      <w:r w:rsidR="00116847">
        <w:rPr>
          <w:rFonts w:ascii="Arial" w:hAnsi="Arial" w:cs="Arial"/>
          <w:sz w:val="20"/>
        </w:rPr>
        <w:t xml:space="preserve">. </w:t>
      </w:r>
      <w:r>
        <w:rPr>
          <w:rFonts w:ascii="Arial" w:hAnsi="Arial" w:cs="Arial"/>
          <w:sz w:val="20"/>
        </w:rPr>
        <w:t>The</w:t>
      </w:r>
      <w:r w:rsidR="006E4A3F">
        <w:rPr>
          <w:rFonts w:ascii="Arial" w:hAnsi="Arial" w:cs="Arial"/>
          <w:sz w:val="20"/>
        </w:rPr>
        <w:t> </w:t>
      </w:r>
      <w:r>
        <w:rPr>
          <w:rFonts w:ascii="Arial" w:hAnsi="Arial" w:cs="Arial"/>
          <w:sz w:val="20"/>
        </w:rPr>
        <w:t>meeting was not recorded</w:t>
      </w:r>
      <w:r w:rsidR="002871E6">
        <w:rPr>
          <w:rFonts w:ascii="Arial" w:hAnsi="Arial" w:cs="Arial"/>
          <w:sz w:val="20"/>
        </w:rPr>
        <w:t xml:space="preserve"> and the accused was not present</w:t>
      </w:r>
      <w:r>
        <w:rPr>
          <w:rFonts w:ascii="Arial" w:hAnsi="Arial" w:cs="Arial"/>
          <w:sz w:val="20"/>
        </w:rPr>
        <w:t xml:space="preserve">.  There had been no objections from counsel to the meeting. </w:t>
      </w:r>
      <w:r w:rsidR="00D55BDF">
        <w:rPr>
          <w:rFonts w:ascii="Arial" w:hAnsi="Arial" w:cs="Arial"/>
          <w:sz w:val="20"/>
        </w:rPr>
        <w:t xml:space="preserve">Indeed, such a meeting was commonplace in County Court trials, it being approved in the “Multi-jurisdictional Court Guidelines for Ground Rules and the Intermediary Program”.  </w:t>
      </w:r>
      <w:r>
        <w:rPr>
          <w:rFonts w:ascii="Arial" w:hAnsi="Arial" w:cs="Arial"/>
          <w:sz w:val="20"/>
        </w:rPr>
        <w:t xml:space="preserve">The Court of Appeal (Emerton P, Priest &amp; Macaulay JJA) held that the meeting </w:t>
      </w:r>
      <w:r w:rsidRPr="00A3571D">
        <w:rPr>
          <w:rFonts w:ascii="Arial" w:hAnsi="Arial" w:cs="Arial"/>
          <w:sz w:val="20"/>
          <w:szCs w:val="20"/>
        </w:rPr>
        <w:t>represented a fundamental irregularity in the trial process</w:t>
      </w:r>
      <w:r w:rsidR="00A3571D" w:rsidRPr="00A3571D">
        <w:rPr>
          <w:rFonts w:ascii="Arial" w:hAnsi="Arial" w:cs="Arial"/>
          <w:sz w:val="20"/>
          <w:szCs w:val="20"/>
        </w:rPr>
        <w:t xml:space="preserve"> and that the only remedy was for the evidence of the complainant to be taken at a further special hearing conducted before a different judge</w:t>
      </w:r>
      <w:r w:rsidRPr="00A3571D">
        <w:rPr>
          <w:rFonts w:ascii="Arial" w:hAnsi="Arial" w:cs="Arial"/>
          <w:sz w:val="20"/>
          <w:szCs w:val="20"/>
        </w:rPr>
        <w:t>.</w:t>
      </w:r>
    </w:p>
    <w:p w14:paraId="655757EB" w14:textId="25532B48" w:rsidR="00AA15AD" w:rsidRDefault="00AA15AD" w:rsidP="00AA15AD">
      <w:pPr>
        <w:widowControl w:val="0"/>
        <w:spacing w:before="120"/>
        <w:jc w:val="both"/>
        <w:rPr>
          <w:rFonts w:ascii="Arial" w:hAnsi="Arial" w:cs="Arial"/>
          <w:sz w:val="20"/>
        </w:rPr>
      </w:pPr>
      <w:r>
        <w:rPr>
          <w:rFonts w:ascii="Arial" w:hAnsi="Arial" w:cs="Arial"/>
          <w:sz w:val="20"/>
        </w:rPr>
        <w:t>At [4]-[</w:t>
      </w:r>
      <w:r w:rsidR="00306354">
        <w:rPr>
          <w:rFonts w:ascii="Arial" w:hAnsi="Arial" w:cs="Arial"/>
          <w:sz w:val="20"/>
        </w:rPr>
        <w:t>7</w:t>
      </w:r>
      <w:r>
        <w:rPr>
          <w:rFonts w:ascii="Arial" w:hAnsi="Arial" w:cs="Arial"/>
          <w:sz w:val="20"/>
        </w:rPr>
        <w:t>] &amp; [10] Emerton P said:</w:t>
      </w:r>
    </w:p>
    <w:p w14:paraId="2CEFB5A3" w14:textId="2A45160B" w:rsidR="00AA15AD" w:rsidRDefault="00AA15AD" w:rsidP="00AA15AD">
      <w:pPr>
        <w:spacing w:before="80"/>
        <w:ind w:left="567" w:right="567"/>
        <w:jc w:val="both"/>
        <w:rPr>
          <w:rFonts w:ascii="Arial" w:hAnsi="Arial" w:cs="Arial"/>
          <w:sz w:val="20"/>
          <w:szCs w:val="20"/>
        </w:rPr>
      </w:pPr>
      <w:r>
        <w:rPr>
          <w:rFonts w:ascii="Arial" w:hAnsi="Arial" w:cs="Arial"/>
          <w:sz w:val="20"/>
          <w:szCs w:val="20"/>
        </w:rPr>
        <w:t xml:space="preserve">[4] “In submissions before us, there was no challenge to the Court’s reasoning in </w:t>
      </w:r>
      <w:r w:rsidRPr="006461A4">
        <w:rPr>
          <w:rFonts w:ascii="Arial" w:hAnsi="Arial" w:cs="Arial"/>
          <w:i/>
          <w:iCs/>
          <w:sz w:val="20"/>
        </w:rPr>
        <w:t>Ramsay Alec (a pseudonym) v The King</w:t>
      </w:r>
      <w:r>
        <w:rPr>
          <w:rFonts w:ascii="Arial" w:hAnsi="Arial" w:cs="Arial"/>
          <w:sz w:val="20"/>
        </w:rPr>
        <w:t xml:space="preserve"> [2023] VSCA 208</w:t>
      </w:r>
      <w:r>
        <w:rPr>
          <w:rFonts w:ascii="Arial" w:hAnsi="Arial" w:cs="Arial"/>
          <w:sz w:val="20"/>
          <w:szCs w:val="20"/>
        </w:rPr>
        <w:t xml:space="preserve">.  </w:t>
      </w:r>
      <w:r w:rsidRPr="00AA15AD">
        <w:rPr>
          <w:rFonts w:ascii="Arial" w:hAnsi="Arial" w:cs="Arial"/>
          <w:sz w:val="20"/>
          <w:szCs w:val="20"/>
        </w:rPr>
        <w:t>The question in this case is, in substance, whether the presence of counsel at the meeting with the witness makes any difference.</w:t>
      </w:r>
    </w:p>
    <w:p w14:paraId="0D1AD290" w14:textId="77777777" w:rsidR="00AA15AD" w:rsidRDefault="00AA15AD" w:rsidP="00AA15AD">
      <w:pPr>
        <w:spacing w:before="80"/>
        <w:ind w:left="567" w:right="567"/>
        <w:jc w:val="both"/>
        <w:rPr>
          <w:rFonts w:ascii="Arial" w:hAnsi="Arial" w:cs="Arial"/>
          <w:sz w:val="20"/>
          <w:szCs w:val="20"/>
        </w:rPr>
      </w:pPr>
      <w:r>
        <w:rPr>
          <w:rFonts w:ascii="Arial" w:hAnsi="Arial" w:cs="Arial"/>
          <w:sz w:val="20"/>
          <w:szCs w:val="20"/>
        </w:rPr>
        <w:t>[</w:t>
      </w:r>
      <w:r w:rsidRPr="00AA15AD">
        <w:rPr>
          <w:rFonts w:ascii="Arial" w:hAnsi="Arial" w:cs="Arial"/>
          <w:sz w:val="20"/>
          <w:szCs w:val="20"/>
        </w:rPr>
        <w:t>5</w:t>
      </w:r>
      <w:r>
        <w:rPr>
          <w:rFonts w:ascii="Arial" w:hAnsi="Arial" w:cs="Arial"/>
          <w:sz w:val="20"/>
          <w:szCs w:val="20"/>
        </w:rPr>
        <w:t>]</w:t>
      </w:r>
      <w:r w:rsidRPr="00AA15AD">
        <w:rPr>
          <w:rFonts w:ascii="Arial" w:hAnsi="Arial" w:cs="Arial"/>
          <w:sz w:val="20"/>
          <w:szCs w:val="20"/>
        </w:rPr>
        <w:t xml:space="preserve"> For the reasons given by Priest JA, I am not persuaded that the presence of counsel at the out-of-court meeting between judge and witness means that the reasoning and the principles articulated in </w:t>
      </w:r>
      <w:r w:rsidRPr="00AA15AD">
        <w:rPr>
          <w:rFonts w:ascii="Arial" w:hAnsi="Arial" w:cs="Arial"/>
          <w:i/>
          <w:iCs/>
          <w:sz w:val="20"/>
          <w:szCs w:val="20"/>
        </w:rPr>
        <w:t>Alec</w:t>
      </w:r>
      <w:r w:rsidRPr="00AA15AD">
        <w:rPr>
          <w:rFonts w:ascii="Arial" w:hAnsi="Arial" w:cs="Arial"/>
          <w:sz w:val="20"/>
          <w:szCs w:val="20"/>
        </w:rPr>
        <w:t xml:space="preserve"> do not apply.</w:t>
      </w:r>
    </w:p>
    <w:p w14:paraId="514B6875" w14:textId="3979F84B" w:rsidR="00AA15AD" w:rsidRDefault="00AA15AD" w:rsidP="00AA15AD">
      <w:pPr>
        <w:spacing w:before="80"/>
        <w:ind w:left="567" w:right="567"/>
        <w:jc w:val="both"/>
        <w:rPr>
          <w:rFonts w:ascii="Arial" w:hAnsi="Arial" w:cs="Arial"/>
          <w:sz w:val="20"/>
          <w:szCs w:val="20"/>
        </w:rPr>
      </w:pPr>
      <w:r>
        <w:rPr>
          <w:rFonts w:ascii="Arial" w:hAnsi="Arial" w:cs="Arial"/>
          <w:sz w:val="20"/>
          <w:szCs w:val="20"/>
        </w:rPr>
        <w:t>[</w:t>
      </w:r>
      <w:r w:rsidRPr="00AA15AD">
        <w:rPr>
          <w:rFonts w:ascii="Arial" w:hAnsi="Arial" w:cs="Arial"/>
          <w:sz w:val="20"/>
          <w:szCs w:val="20"/>
        </w:rPr>
        <w:t>6</w:t>
      </w:r>
      <w:r>
        <w:rPr>
          <w:rFonts w:ascii="Arial" w:hAnsi="Arial" w:cs="Arial"/>
          <w:sz w:val="20"/>
          <w:szCs w:val="20"/>
        </w:rPr>
        <w:t>]</w:t>
      </w:r>
      <w:r w:rsidRPr="00AA15AD">
        <w:rPr>
          <w:rFonts w:ascii="Arial" w:hAnsi="Arial" w:cs="Arial"/>
          <w:sz w:val="20"/>
          <w:szCs w:val="20"/>
        </w:rPr>
        <w:t xml:space="preserve"> It is a central tenet of the administration of criminal justice in this State that proceedings be conducted in open court and in the presence of the accused. The principle of open justice is reinforced by s 24(1) of the </w:t>
      </w:r>
      <w:r w:rsidRPr="00AA15AD">
        <w:rPr>
          <w:rFonts w:ascii="Arial" w:hAnsi="Arial" w:cs="Arial"/>
          <w:i/>
          <w:iCs/>
          <w:sz w:val="20"/>
          <w:szCs w:val="20"/>
        </w:rPr>
        <w:t>Charter of Human Rights and Responsibilities Act 2006</w:t>
      </w:r>
      <w:r w:rsidRPr="00AA15AD">
        <w:rPr>
          <w:rFonts w:ascii="Arial" w:hAnsi="Arial" w:cs="Arial"/>
          <w:sz w:val="20"/>
          <w:szCs w:val="20"/>
        </w:rPr>
        <w:t>, which provides that ‘[a] person charged with a criminal offence … has the right to have the charge … decided by a competent, independent and impartial court or tribunal after a fair and public hearing’.</w:t>
      </w:r>
      <w:r>
        <w:rPr>
          <w:rFonts w:ascii="Arial" w:hAnsi="Arial" w:cs="Arial"/>
          <w:sz w:val="20"/>
          <w:szCs w:val="20"/>
        </w:rPr>
        <w:t xml:space="preserve"> </w:t>
      </w:r>
      <w:r w:rsidRPr="00AA15AD">
        <w:rPr>
          <w:rFonts w:ascii="Arial" w:hAnsi="Arial" w:cs="Arial"/>
          <w:sz w:val="20"/>
          <w:szCs w:val="20"/>
        </w:rPr>
        <w:t xml:space="preserve"> The introduction of a statutory regime directed to ensuring that vulnerable witnesses are supported so as to be in a position to give their best evidence should not be taken to impinge on the principle of open justice unless a departure is permitted or endorsed by express statutory language or by clear implication from the language of the statute.</w:t>
      </w:r>
    </w:p>
    <w:p w14:paraId="17372DBD" w14:textId="6D39FAE8" w:rsidR="00306354" w:rsidRDefault="00306354" w:rsidP="00AA15AD">
      <w:pPr>
        <w:spacing w:before="80"/>
        <w:ind w:left="567" w:right="567"/>
        <w:jc w:val="both"/>
        <w:rPr>
          <w:rFonts w:ascii="Arial" w:hAnsi="Arial" w:cs="Arial"/>
          <w:sz w:val="20"/>
          <w:szCs w:val="20"/>
        </w:rPr>
      </w:pPr>
      <w:r>
        <w:rPr>
          <w:rFonts w:ascii="Arial" w:hAnsi="Arial" w:cs="Arial"/>
          <w:sz w:val="20"/>
          <w:szCs w:val="20"/>
        </w:rPr>
        <w:t xml:space="preserve">[7] </w:t>
      </w:r>
      <w:r w:rsidRPr="00306354">
        <w:rPr>
          <w:rFonts w:ascii="Arial" w:hAnsi="Arial" w:cs="Arial"/>
          <w:sz w:val="20"/>
          <w:szCs w:val="20"/>
        </w:rPr>
        <w:t xml:space="preserve">In this case, the complainant is a child, who is to be supported by an intermediary when giving evidence. There was a ‘ground rules hearing’ to enable orders to be made governing the questioning of the complainant at the special hearing which subsequently took place. The complainant had reported to the intermediary that she had ‘anxiety at a level higher than the baseline’ when thinking about giving evidence and that meeting new people was a particular trigger for increased anxiety. The judge sought to alleviate that anxiety by briefly meeting with the complainant to say ‘hello’. While the judge’s desire to ease the witness’s anxiety was understandable, and conformed with one of the measures suggested in the </w:t>
      </w:r>
      <w:r w:rsidRPr="00306354">
        <w:rPr>
          <w:rFonts w:ascii="Arial" w:hAnsi="Arial" w:cs="Arial"/>
          <w:i/>
          <w:iCs/>
          <w:sz w:val="20"/>
          <w:szCs w:val="20"/>
        </w:rPr>
        <w:t>Multi-Jurisdictional Court Guide for the Intermediary Pilot Program: Intermediaries and Ground Rules Hearing</w:t>
      </w:r>
      <w:r w:rsidRPr="00306354">
        <w:rPr>
          <w:rFonts w:ascii="Arial" w:hAnsi="Arial" w:cs="Arial"/>
          <w:sz w:val="20"/>
          <w:szCs w:val="20"/>
        </w:rPr>
        <w:t>, it was not, in my opinion, allowed. Apart from other issues — such as the lack of facilities to record what was said or done — the meeting necessarily took place in the absence of the accused. The accused had no choice but to stay away.</w:t>
      </w:r>
    </w:p>
    <w:p w14:paraId="2C77301E" w14:textId="2EB0E459" w:rsidR="00AA15AD" w:rsidRDefault="00AA15AD" w:rsidP="00AA15AD">
      <w:pPr>
        <w:spacing w:before="80"/>
        <w:ind w:left="567" w:right="567"/>
        <w:jc w:val="both"/>
        <w:rPr>
          <w:rFonts w:ascii="Arial" w:hAnsi="Arial" w:cs="Arial"/>
          <w:sz w:val="20"/>
          <w:szCs w:val="20"/>
        </w:rPr>
      </w:pPr>
      <w:r>
        <w:rPr>
          <w:rFonts w:ascii="Arial" w:hAnsi="Arial" w:cs="Arial"/>
          <w:sz w:val="20"/>
          <w:szCs w:val="20"/>
        </w:rPr>
        <w:t>…</w:t>
      </w:r>
    </w:p>
    <w:p w14:paraId="5334F09D" w14:textId="636ED549" w:rsidR="00AA15AD" w:rsidRPr="00AA15AD" w:rsidRDefault="00AA15AD" w:rsidP="00AA15AD">
      <w:pPr>
        <w:spacing w:before="80"/>
        <w:ind w:left="567" w:right="567"/>
        <w:jc w:val="both"/>
        <w:rPr>
          <w:rFonts w:ascii="Arial" w:hAnsi="Arial" w:cs="Arial"/>
          <w:sz w:val="20"/>
          <w:szCs w:val="20"/>
        </w:rPr>
      </w:pPr>
      <w:r w:rsidRPr="00AA15AD">
        <w:rPr>
          <w:rFonts w:ascii="Arial" w:hAnsi="Arial" w:cs="Arial"/>
          <w:sz w:val="20"/>
          <w:szCs w:val="20"/>
        </w:rPr>
        <w:t>[10] In my view, the CPA cannot be construed so as to permit a judge to leave the confines of the courtroom to speak privately to a witness, no matter how briefly and benignly, in the absence of the accused</w:t>
      </w:r>
      <w:r>
        <w:rPr>
          <w:rFonts w:ascii="Arial" w:hAnsi="Arial" w:cs="Arial"/>
          <w:sz w:val="20"/>
          <w:szCs w:val="20"/>
        </w:rPr>
        <w:t>.”</w:t>
      </w:r>
    </w:p>
    <w:p w14:paraId="0EA0EFAC" w14:textId="06BC7E3D" w:rsidR="00AA15AD" w:rsidRDefault="00AA15AD" w:rsidP="00AA15AD">
      <w:pPr>
        <w:widowControl w:val="0"/>
        <w:spacing w:before="120"/>
        <w:jc w:val="both"/>
        <w:rPr>
          <w:rFonts w:ascii="Arial" w:hAnsi="Arial" w:cs="Arial"/>
          <w:sz w:val="20"/>
        </w:rPr>
      </w:pPr>
      <w:r>
        <w:rPr>
          <w:rFonts w:ascii="Arial" w:hAnsi="Arial" w:cs="Arial"/>
          <w:sz w:val="20"/>
        </w:rPr>
        <w:t>At [</w:t>
      </w:r>
      <w:r w:rsidR="00866492">
        <w:rPr>
          <w:rFonts w:ascii="Arial" w:hAnsi="Arial" w:cs="Arial"/>
          <w:sz w:val="20"/>
        </w:rPr>
        <w:t>32</w:t>
      </w:r>
      <w:r>
        <w:rPr>
          <w:rFonts w:ascii="Arial" w:hAnsi="Arial" w:cs="Arial"/>
          <w:sz w:val="20"/>
        </w:rPr>
        <w:t>]</w:t>
      </w:r>
      <w:r w:rsidR="00866492">
        <w:rPr>
          <w:rFonts w:ascii="Arial" w:hAnsi="Arial" w:cs="Arial"/>
          <w:sz w:val="20"/>
        </w:rPr>
        <w:t>-[34]</w:t>
      </w:r>
      <w:r w:rsidR="009909EA">
        <w:rPr>
          <w:rFonts w:ascii="Arial" w:hAnsi="Arial" w:cs="Arial"/>
          <w:sz w:val="20"/>
        </w:rPr>
        <w:t>, [40]</w:t>
      </w:r>
      <w:r>
        <w:rPr>
          <w:rFonts w:ascii="Arial" w:hAnsi="Arial" w:cs="Arial"/>
          <w:sz w:val="20"/>
        </w:rPr>
        <w:t xml:space="preserve"> </w:t>
      </w:r>
      <w:r w:rsidR="00866492">
        <w:rPr>
          <w:rFonts w:ascii="Arial" w:hAnsi="Arial" w:cs="Arial"/>
          <w:sz w:val="20"/>
        </w:rPr>
        <w:t xml:space="preserve">&amp; [54] </w:t>
      </w:r>
      <w:r>
        <w:rPr>
          <w:rFonts w:ascii="Arial" w:hAnsi="Arial" w:cs="Arial"/>
          <w:sz w:val="20"/>
        </w:rPr>
        <w:t>Priest JA said:</w:t>
      </w:r>
    </w:p>
    <w:p w14:paraId="4E54B698" w14:textId="77777777" w:rsidR="00866492" w:rsidRDefault="00AA15AD" w:rsidP="00AA15AD">
      <w:pPr>
        <w:spacing w:before="80"/>
        <w:ind w:left="567" w:right="567"/>
        <w:jc w:val="both"/>
        <w:rPr>
          <w:rFonts w:ascii="Arial" w:hAnsi="Arial" w:cs="Arial"/>
          <w:sz w:val="20"/>
          <w:szCs w:val="20"/>
        </w:rPr>
      </w:pPr>
      <w:r>
        <w:rPr>
          <w:rFonts w:ascii="Arial" w:hAnsi="Arial" w:cs="Arial"/>
          <w:sz w:val="20"/>
          <w:szCs w:val="20"/>
        </w:rPr>
        <w:t>[</w:t>
      </w:r>
      <w:r w:rsidR="00866492">
        <w:rPr>
          <w:rFonts w:ascii="Arial" w:hAnsi="Arial" w:cs="Arial"/>
          <w:sz w:val="20"/>
          <w:szCs w:val="20"/>
        </w:rPr>
        <w:t>32</w:t>
      </w:r>
      <w:r>
        <w:rPr>
          <w:rFonts w:ascii="Arial" w:hAnsi="Arial" w:cs="Arial"/>
          <w:sz w:val="20"/>
          <w:szCs w:val="20"/>
        </w:rPr>
        <w:t>] “</w:t>
      </w:r>
      <w:r w:rsidR="00866492">
        <w:rPr>
          <w:rFonts w:ascii="Arial" w:hAnsi="Arial" w:cs="Arial"/>
          <w:sz w:val="20"/>
          <w:szCs w:val="20"/>
        </w:rPr>
        <w:t>…[O]</w:t>
      </w:r>
      <w:proofErr w:type="spellStart"/>
      <w:r w:rsidR="00866492" w:rsidRPr="00BA76DB">
        <w:rPr>
          <w:rFonts w:ascii="Arial" w:hAnsi="Arial" w:cs="Arial"/>
          <w:sz w:val="20"/>
          <w:szCs w:val="20"/>
        </w:rPr>
        <w:t>ne</w:t>
      </w:r>
      <w:proofErr w:type="spellEnd"/>
      <w:r w:rsidR="00866492" w:rsidRPr="00BA76DB">
        <w:rPr>
          <w:rFonts w:ascii="Arial" w:hAnsi="Arial" w:cs="Arial"/>
          <w:sz w:val="20"/>
          <w:szCs w:val="20"/>
        </w:rPr>
        <w:t xml:space="preserve"> of the central elements of the system of criminal justice administered by this State’s courts — that it must be open, impartial and even-handed</w:t>
      </w:r>
      <w:r w:rsidR="00866492">
        <w:rPr>
          <w:rFonts w:ascii="Arial" w:hAnsi="Arial" w:cs="Arial"/>
          <w:sz w:val="20"/>
          <w:szCs w:val="20"/>
        </w:rPr>
        <w:t xml:space="preserve"> {</w:t>
      </w:r>
      <w:r w:rsidR="00866492" w:rsidRPr="00866492">
        <w:rPr>
          <w:rFonts w:ascii="Arial" w:hAnsi="Arial" w:cs="Arial"/>
          <w:i/>
          <w:iCs/>
          <w:sz w:val="20"/>
          <w:szCs w:val="20"/>
        </w:rPr>
        <w:t>Re JRL; Ex parte CJL</w:t>
      </w:r>
      <w:r w:rsidR="00866492">
        <w:rPr>
          <w:rFonts w:ascii="Arial" w:hAnsi="Arial" w:cs="Arial"/>
          <w:sz w:val="20"/>
          <w:szCs w:val="20"/>
        </w:rPr>
        <w:t xml:space="preserve"> (1986) 161 CLR 342, 350; </w:t>
      </w:r>
      <w:r w:rsidR="00866492" w:rsidRPr="00866492">
        <w:rPr>
          <w:rFonts w:ascii="Arial" w:hAnsi="Arial" w:cs="Arial"/>
          <w:i/>
          <w:iCs/>
          <w:sz w:val="20"/>
          <w:szCs w:val="20"/>
        </w:rPr>
        <w:t>Alec</w:t>
      </w:r>
      <w:r w:rsidR="00866492">
        <w:rPr>
          <w:rFonts w:ascii="Arial" w:hAnsi="Arial" w:cs="Arial"/>
          <w:sz w:val="20"/>
          <w:szCs w:val="20"/>
        </w:rPr>
        <w:t xml:space="preserve"> at [29]}</w:t>
      </w:r>
      <w:r w:rsidR="00866492" w:rsidRPr="00BA76DB">
        <w:rPr>
          <w:rFonts w:ascii="Arial" w:hAnsi="Arial" w:cs="Arial"/>
          <w:sz w:val="20"/>
          <w:szCs w:val="20"/>
        </w:rPr>
        <w:t xml:space="preserve"> finds recognition in s 24(1) of the </w:t>
      </w:r>
      <w:r w:rsidR="00866492" w:rsidRPr="00866492">
        <w:rPr>
          <w:rFonts w:ascii="Arial" w:hAnsi="Arial" w:cs="Arial"/>
          <w:i/>
          <w:iCs/>
          <w:sz w:val="20"/>
          <w:szCs w:val="20"/>
        </w:rPr>
        <w:t>Charter of Human Rights and Responsibilities Act 2006</w:t>
      </w:r>
      <w:r w:rsidR="00866492" w:rsidRPr="00BA76DB">
        <w:rPr>
          <w:rFonts w:ascii="Arial" w:hAnsi="Arial" w:cs="Arial"/>
          <w:sz w:val="20"/>
          <w:szCs w:val="20"/>
        </w:rPr>
        <w:t>: ‘A</w:t>
      </w:r>
      <w:r w:rsidR="00866492">
        <w:rPr>
          <w:rFonts w:ascii="Arial" w:hAnsi="Arial" w:cs="Arial"/>
          <w:sz w:val="20"/>
          <w:szCs w:val="20"/>
        </w:rPr>
        <w:t xml:space="preserve"> </w:t>
      </w:r>
      <w:r w:rsidR="00866492" w:rsidRPr="00BA76DB">
        <w:rPr>
          <w:rFonts w:ascii="Arial" w:hAnsi="Arial" w:cs="Arial"/>
          <w:sz w:val="20"/>
          <w:szCs w:val="20"/>
        </w:rPr>
        <w:t>person charged with a criminal offence … has the right to have the charge … decided by a competent, independent and impartial court or tribunal after a fair and public hearing’.</w:t>
      </w:r>
    </w:p>
    <w:p w14:paraId="4ECE08BB" w14:textId="0E307ED9" w:rsidR="00AA15AD" w:rsidRDefault="00866492" w:rsidP="00AA15AD">
      <w:pPr>
        <w:spacing w:before="80"/>
        <w:ind w:left="567" w:right="567"/>
        <w:jc w:val="both"/>
        <w:rPr>
          <w:rFonts w:ascii="Arial" w:hAnsi="Arial" w:cs="Arial"/>
          <w:sz w:val="20"/>
          <w:szCs w:val="20"/>
        </w:rPr>
      </w:pPr>
      <w:r>
        <w:rPr>
          <w:rFonts w:ascii="Arial" w:hAnsi="Arial" w:cs="Arial"/>
          <w:sz w:val="20"/>
          <w:szCs w:val="20"/>
        </w:rPr>
        <w:t>[</w:t>
      </w:r>
      <w:r w:rsidRPr="00BA76DB">
        <w:rPr>
          <w:rFonts w:ascii="Arial" w:hAnsi="Arial" w:cs="Arial"/>
          <w:sz w:val="20"/>
          <w:szCs w:val="20"/>
        </w:rPr>
        <w:t>33</w:t>
      </w:r>
      <w:r>
        <w:rPr>
          <w:rFonts w:ascii="Arial" w:hAnsi="Arial" w:cs="Arial"/>
          <w:sz w:val="20"/>
          <w:szCs w:val="20"/>
        </w:rPr>
        <w:t>]</w:t>
      </w:r>
      <w:r w:rsidRPr="00BA76DB">
        <w:rPr>
          <w:rFonts w:ascii="Arial" w:hAnsi="Arial" w:cs="Arial"/>
          <w:sz w:val="20"/>
          <w:szCs w:val="20"/>
        </w:rPr>
        <w:t xml:space="preserve"> Although limited exceptions have been recognised, the principle of open justice — which requires criminal proceedings to take place in public — is an essential characteristic of criminal justice in this State. And importantly, the confined categories of cases in which the principle of open justice will succumb to modification will not lightly be extended. So</w:t>
      </w:r>
      <w:r w:rsidR="00306354">
        <w:rPr>
          <w:rFonts w:ascii="Arial" w:hAnsi="Arial" w:cs="Arial"/>
          <w:sz w:val="20"/>
          <w:szCs w:val="20"/>
        </w:rPr>
        <w:t> </w:t>
      </w:r>
      <w:r w:rsidRPr="00BA76DB">
        <w:rPr>
          <w:rFonts w:ascii="Arial" w:hAnsi="Arial" w:cs="Arial"/>
          <w:sz w:val="20"/>
          <w:szCs w:val="20"/>
        </w:rPr>
        <w:t xml:space="preserve">much was made clear by French CJ in </w:t>
      </w:r>
      <w:r w:rsidRPr="00866492">
        <w:rPr>
          <w:rFonts w:ascii="Arial" w:hAnsi="Arial" w:cs="Arial"/>
          <w:i/>
          <w:iCs/>
          <w:sz w:val="20"/>
          <w:szCs w:val="20"/>
        </w:rPr>
        <w:t>Hogan v Hinch</w:t>
      </w:r>
      <w:r>
        <w:rPr>
          <w:rFonts w:ascii="Arial" w:hAnsi="Arial" w:cs="Arial"/>
          <w:sz w:val="20"/>
          <w:szCs w:val="20"/>
        </w:rPr>
        <w:t xml:space="preserve"> (2011) 243 CLR 506, 530-2 at [20]</w:t>
      </w:r>
      <w:r>
        <w:rPr>
          <w:rFonts w:ascii="Arial" w:hAnsi="Arial" w:cs="Arial"/>
          <w:sz w:val="20"/>
          <w:szCs w:val="20"/>
        </w:rPr>
        <w:noBreakHyphen/>
        <w:t xml:space="preserve">[21]. See also </w:t>
      </w:r>
      <w:r w:rsidRPr="00866492">
        <w:rPr>
          <w:rFonts w:ascii="Arial" w:hAnsi="Arial" w:cs="Arial"/>
          <w:i/>
          <w:iCs/>
          <w:sz w:val="20"/>
          <w:szCs w:val="20"/>
        </w:rPr>
        <w:t>WEQ (a pseudonym) v Medical Board of Australia</w:t>
      </w:r>
      <w:r w:rsidRPr="00866492">
        <w:rPr>
          <w:rFonts w:ascii="Arial" w:hAnsi="Arial" w:cs="Arial"/>
          <w:sz w:val="20"/>
          <w:szCs w:val="20"/>
        </w:rPr>
        <w:t xml:space="preserve"> (2021) 69 VR 1, 15 </w:t>
      </w:r>
      <w:r w:rsidRPr="00866492">
        <w:rPr>
          <w:rFonts w:ascii="Arial" w:hAnsi="Arial" w:cs="Arial"/>
          <w:sz w:val="20"/>
          <w:szCs w:val="20"/>
        </w:rPr>
        <w:lastRenderedPageBreak/>
        <w:t xml:space="preserve">[59]; </w:t>
      </w:r>
      <w:r w:rsidRPr="00866492">
        <w:rPr>
          <w:rFonts w:ascii="Arial" w:hAnsi="Arial" w:cs="Arial"/>
          <w:i/>
          <w:iCs/>
          <w:sz w:val="20"/>
          <w:szCs w:val="20"/>
        </w:rPr>
        <w:t>John Fairfax &amp; Sons Ltd v Police Tribunal (NSW)</w:t>
      </w:r>
      <w:r w:rsidRPr="00866492">
        <w:rPr>
          <w:rFonts w:ascii="Arial" w:hAnsi="Arial" w:cs="Arial"/>
          <w:sz w:val="20"/>
          <w:szCs w:val="20"/>
        </w:rPr>
        <w:t xml:space="preserve"> (1986) 5 NSWLR 465; </w:t>
      </w:r>
      <w:r w:rsidRPr="00866492">
        <w:rPr>
          <w:rFonts w:ascii="Arial" w:hAnsi="Arial" w:cs="Arial"/>
          <w:i/>
          <w:iCs/>
          <w:sz w:val="20"/>
          <w:szCs w:val="20"/>
        </w:rPr>
        <w:t>Russell v Russell</w:t>
      </w:r>
      <w:r w:rsidRPr="00866492">
        <w:rPr>
          <w:rFonts w:ascii="Arial" w:hAnsi="Arial" w:cs="Arial"/>
          <w:sz w:val="20"/>
          <w:szCs w:val="20"/>
        </w:rPr>
        <w:t xml:space="preserve"> (1976) 134 CLR 495; </w:t>
      </w:r>
      <w:r w:rsidRPr="00866492">
        <w:rPr>
          <w:rFonts w:ascii="Arial" w:hAnsi="Arial" w:cs="Arial"/>
          <w:i/>
          <w:iCs/>
          <w:sz w:val="20"/>
          <w:szCs w:val="20"/>
        </w:rPr>
        <w:t>Dickason v Dickason</w:t>
      </w:r>
      <w:r w:rsidRPr="00866492">
        <w:rPr>
          <w:rFonts w:ascii="Arial" w:hAnsi="Arial" w:cs="Arial"/>
          <w:sz w:val="20"/>
          <w:szCs w:val="20"/>
        </w:rPr>
        <w:t xml:space="preserve"> (1913) 17 CLR 50.</w:t>
      </w:r>
    </w:p>
    <w:p w14:paraId="5ECD3BF7" w14:textId="21C13B67" w:rsidR="00866492" w:rsidRPr="00866492" w:rsidRDefault="00866492" w:rsidP="00866492">
      <w:pPr>
        <w:spacing w:before="80"/>
        <w:ind w:left="567" w:right="567"/>
        <w:jc w:val="both"/>
        <w:rPr>
          <w:rFonts w:ascii="Arial" w:hAnsi="Arial" w:cs="Arial"/>
          <w:sz w:val="16"/>
          <w:szCs w:val="16"/>
        </w:rPr>
      </w:pPr>
      <w:r>
        <w:rPr>
          <w:rFonts w:ascii="Arial" w:hAnsi="Arial" w:cs="Arial"/>
          <w:sz w:val="20"/>
          <w:szCs w:val="20"/>
        </w:rPr>
        <w:t xml:space="preserve">[34] </w:t>
      </w:r>
      <w:r w:rsidRPr="00866492">
        <w:rPr>
          <w:rFonts w:ascii="Arial" w:hAnsi="Arial" w:cs="Arial"/>
          <w:sz w:val="20"/>
          <w:szCs w:val="20"/>
        </w:rPr>
        <w:t xml:space="preserve">To a large extent, the manner in which criminal proceedings are conducted in this State is prescribed by the </w:t>
      </w:r>
      <w:r w:rsidRPr="00866492">
        <w:rPr>
          <w:rFonts w:ascii="Arial" w:hAnsi="Arial" w:cs="Arial"/>
          <w:i/>
          <w:iCs/>
          <w:sz w:val="20"/>
          <w:szCs w:val="20"/>
        </w:rPr>
        <w:t>Criminal Procedure Act 2009</w:t>
      </w:r>
      <w:r w:rsidRPr="00866492">
        <w:rPr>
          <w:rFonts w:ascii="Arial" w:hAnsi="Arial" w:cs="Arial"/>
          <w:sz w:val="20"/>
          <w:szCs w:val="20"/>
        </w:rPr>
        <w:t xml:space="preserve">. As </w:t>
      </w:r>
      <w:r w:rsidR="00306354">
        <w:rPr>
          <w:rFonts w:ascii="Arial" w:hAnsi="Arial" w:cs="Arial"/>
          <w:sz w:val="20"/>
          <w:szCs w:val="20"/>
        </w:rPr>
        <w:t xml:space="preserve">s.32 of </w:t>
      </w:r>
      <w:r w:rsidRPr="00866492">
        <w:rPr>
          <w:rFonts w:ascii="Arial" w:hAnsi="Arial" w:cs="Arial"/>
          <w:sz w:val="20"/>
          <w:szCs w:val="20"/>
        </w:rPr>
        <w:t>the Charter makes plain, so far as it is possible to do so consistently with their purpose, the provisions of the CPA must be interpreted in a way that is compatible with human rights, including the accused’s right to have the charges decided by a competent, independent and impartial court or tribunal after a fair and public hearing. Plainly, the principle of open justice is ingrained.</w:t>
      </w:r>
    </w:p>
    <w:p w14:paraId="5447E80E" w14:textId="14EE0881" w:rsidR="00866492" w:rsidRDefault="00306354" w:rsidP="00AA15AD">
      <w:pPr>
        <w:spacing w:before="80"/>
        <w:ind w:left="567" w:right="567"/>
        <w:jc w:val="both"/>
        <w:rPr>
          <w:rFonts w:ascii="Arial" w:hAnsi="Arial" w:cs="Arial"/>
          <w:sz w:val="20"/>
          <w:szCs w:val="20"/>
        </w:rPr>
      </w:pPr>
      <w:r>
        <w:rPr>
          <w:rFonts w:ascii="Arial" w:hAnsi="Arial" w:cs="Arial"/>
          <w:sz w:val="20"/>
          <w:szCs w:val="20"/>
        </w:rPr>
        <w:t>…</w:t>
      </w:r>
    </w:p>
    <w:p w14:paraId="6817688E" w14:textId="1066BE61" w:rsidR="009909EA" w:rsidRDefault="009909EA" w:rsidP="00AA15AD">
      <w:pPr>
        <w:spacing w:before="80"/>
        <w:ind w:left="567" w:right="567"/>
        <w:jc w:val="both"/>
        <w:rPr>
          <w:rFonts w:ascii="Arial" w:hAnsi="Arial" w:cs="Arial"/>
          <w:sz w:val="20"/>
          <w:szCs w:val="20"/>
        </w:rPr>
      </w:pPr>
      <w:r>
        <w:rPr>
          <w:rFonts w:ascii="Arial" w:hAnsi="Arial" w:cs="Arial"/>
          <w:sz w:val="20"/>
          <w:szCs w:val="20"/>
        </w:rPr>
        <w:t xml:space="preserve">[40] </w:t>
      </w:r>
      <w:r w:rsidRPr="009909EA">
        <w:rPr>
          <w:rFonts w:ascii="Arial" w:hAnsi="Arial" w:cs="Arial"/>
          <w:sz w:val="20"/>
          <w:szCs w:val="20"/>
        </w:rPr>
        <w:t>Nothing in s 389E, however, authorises — either directly or by necessary implication — a private meeting between a trial judge (whether or not accompanied by counsel) and a witness outside the courtroom.</w:t>
      </w:r>
    </w:p>
    <w:p w14:paraId="7AE383CA" w14:textId="1CF3FE6C" w:rsidR="009909EA" w:rsidRDefault="009909EA" w:rsidP="00AA15AD">
      <w:pPr>
        <w:spacing w:before="80"/>
        <w:ind w:left="567" w:right="567"/>
        <w:jc w:val="both"/>
        <w:rPr>
          <w:rFonts w:ascii="Arial" w:hAnsi="Arial" w:cs="Arial"/>
          <w:sz w:val="20"/>
          <w:szCs w:val="20"/>
        </w:rPr>
      </w:pPr>
      <w:r>
        <w:rPr>
          <w:rFonts w:ascii="Arial" w:hAnsi="Arial" w:cs="Arial"/>
          <w:sz w:val="20"/>
          <w:szCs w:val="20"/>
        </w:rPr>
        <w:t>…</w:t>
      </w:r>
    </w:p>
    <w:p w14:paraId="03B181D5" w14:textId="3194EDF7" w:rsidR="00306354" w:rsidRPr="00866492" w:rsidRDefault="00306354" w:rsidP="00306354">
      <w:pPr>
        <w:spacing w:before="80"/>
        <w:ind w:left="567" w:right="567"/>
        <w:jc w:val="both"/>
        <w:rPr>
          <w:rFonts w:ascii="Arial" w:hAnsi="Arial" w:cs="Arial"/>
          <w:sz w:val="16"/>
          <w:szCs w:val="16"/>
        </w:rPr>
      </w:pPr>
      <w:r>
        <w:rPr>
          <w:rFonts w:ascii="Arial" w:hAnsi="Arial" w:cs="Arial"/>
          <w:sz w:val="20"/>
          <w:szCs w:val="20"/>
        </w:rPr>
        <w:t xml:space="preserve">[54] </w:t>
      </w:r>
      <w:r w:rsidRPr="00306354">
        <w:rPr>
          <w:rFonts w:ascii="Arial" w:hAnsi="Arial" w:cs="Arial"/>
          <w:sz w:val="20"/>
          <w:szCs w:val="20"/>
        </w:rPr>
        <w:t>In my view, it is anathema to the principle of open justice that a judge could have a non</w:t>
      </w:r>
      <w:r>
        <w:rPr>
          <w:rFonts w:ascii="Arial" w:hAnsi="Arial" w:cs="Arial"/>
          <w:sz w:val="20"/>
          <w:szCs w:val="20"/>
        </w:rPr>
        <w:t>-</w:t>
      </w:r>
      <w:r w:rsidRPr="00306354">
        <w:rPr>
          <w:rFonts w:ascii="Arial" w:hAnsi="Arial" w:cs="Arial"/>
          <w:sz w:val="20"/>
          <w:szCs w:val="20"/>
        </w:rPr>
        <w:t>public communication with a witness in the course of a criminal proceeding, particularly a witness whose evidence is central to the prosecution case. Apart from recognised common law or statutory exceptions — which generally owe their existence to the necessity to secure the proper administration of justice in particular situations — no aspect of the administration of criminal justice in this State should ever take place in a private setting</w:t>
      </w:r>
      <w:r>
        <w:rPr>
          <w:rFonts w:ascii="Arial" w:hAnsi="Arial" w:cs="Arial"/>
          <w:sz w:val="20"/>
          <w:szCs w:val="20"/>
        </w:rPr>
        <w:t xml:space="preserve">: see </w:t>
      </w:r>
      <w:r w:rsidRPr="00306354">
        <w:rPr>
          <w:rFonts w:ascii="Arial" w:hAnsi="Arial" w:cs="Arial"/>
          <w:i/>
          <w:iCs/>
          <w:sz w:val="20"/>
          <w:szCs w:val="20"/>
        </w:rPr>
        <w:t>Alec</w:t>
      </w:r>
      <w:r>
        <w:rPr>
          <w:rFonts w:ascii="Arial" w:hAnsi="Arial" w:cs="Arial"/>
          <w:sz w:val="20"/>
          <w:szCs w:val="20"/>
        </w:rPr>
        <w:t xml:space="preserve"> at [32].”</w:t>
      </w:r>
    </w:p>
    <w:p w14:paraId="45FD2C52" w14:textId="34EA1E34" w:rsidR="00306354" w:rsidRPr="002F1E7F" w:rsidRDefault="00306354" w:rsidP="008F7E29">
      <w:pPr>
        <w:widowControl w:val="0"/>
        <w:tabs>
          <w:tab w:val="left" w:pos="2219"/>
        </w:tabs>
        <w:jc w:val="both"/>
        <w:rPr>
          <w:rFonts w:ascii="Arial" w:hAnsi="Arial" w:cs="Arial"/>
          <w:sz w:val="20"/>
        </w:rPr>
      </w:pPr>
      <w:bookmarkStart w:id="441" w:name="_2.7.1_Section_523"/>
      <w:bookmarkEnd w:id="441"/>
    </w:p>
    <w:p w14:paraId="1B246332" w14:textId="47BC2E3E" w:rsidR="00351DB0" w:rsidRDefault="002F1E7F" w:rsidP="006461A4">
      <w:pPr>
        <w:widowControl w:val="0"/>
        <w:jc w:val="both"/>
        <w:rPr>
          <w:rFonts w:ascii="Arial" w:hAnsi="Arial" w:cs="Arial"/>
          <w:sz w:val="20"/>
        </w:rPr>
      </w:pPr>
      <w:r>
        <w:rPr>
          <w:rFonts w:ascii="Arial" w:hAnsi="Arial" w:cs="Arial"/>
          <w:sz w:val="20"/>
        </w:rPr>
        <w:t xml:space="preserve">The DPP was granted special leave to appeal by the High Court.  The appeal was allowed by all 5 judges and the order made by the Court of Appeal </w:t>
      </w:r>
      <w:r w:rsidR="008F7E29">
        <w:rPr>
          <w:rFonts w:ascii="Arial" w:hAnsi="Arial" w:cs="Arial"/>
          <w:sz w:val="20"/>
        </w:rPr>
        <w:t xml:space="preserve">in </w:t>
      </w:r>
      <w:r>
        <w:rPr>
          <w:rFonts w:ascii="Arial" w:hAnsi="Arial" w:cs="Arial"/>
          <w:i/>
          <w:iCs/>
          <w:sz w:val="20"/>
        </w:rPr>
        <w:t>DPP</w:t>
      </w:r>
      <w:r w:rsidRPr="006461A4">
        <w:rPr>
          <w:rFonts w:ascii="Arial" w:hAnsi="Arial" w:cs="Arial"/>
          <w:i/>
          <w:iCs/>
          <w:sz w:val="20"/>
        </w:rPr>
        <w:t xml:space="preserve"> v </w:t>
      </w:r>
      <w:r>
        <w:rPr>
          <w:rFonts w:ascii="Arial" w:hAnsi="Arial" w:cs="Arial"/>
          <w:i/>
          <w:iCs/>
          <w:sz w:val="20"/>
        </w:rPr>
        <w:t>Smith</w:t>
      </w:r>
      <w:r>
        <w:rPr>
          <w:rFonts w:ascii="Arial" w:hAnsi="Arial" w:cs="Arial"/>
          <w:sz w:val="20"/>
        </w:rPr>
        <w:t xml:space="preserve"> [2023] VSCA 293 was set aside: see </w:t>
      </w:r>
      <w:r w:rsidRPr="00016A6C">
        <w:rPr>
          <w:rFonts w:ascii="Arial" w:hAnsi="Arial" w:cs="Arial"/>
          <w:b/>
          <w:bCs/>
          <w:i/>
          <w:iCs/>
          <w:sz w:val="20"/>
        </w:rPr>
        <w:t>DPP v Smith</w:t>
      </w:r>
      <w:r w:rsidRPr="00016A6C">
        <w:rPr>
          <w:rFonts w:ascii="Arial" w:hAnsi="Arial" w:cs="Arial"/>
          <w:b/>
          <w:bCs/>
          <w:sz w:val="20"/>
        </w:rPr>
        <w:t xml:space="preserve"> [2024] HCA 32</w:t>
      </w:r>
      <w:r>
        <w:rPr>
          <w:rFonts w:ascii="Arial" w:hAnsi="Arial" w:cs="Arial"/>
          <w:sz w:val="20"/>
        </w:rPr>
        <w:t xml:space="preserve">. </w:t>
      </w:r>
      <w:r w:rsidR="00351DB0">
        <w:rPr>
          <w:rFonts w:ascii="Arial" w:hAnsi="Arial" w:cs="Arial"/>
          <w:sz w:val="20"/>
        </w:rPr>
        <w:t xml:space="preserve">The plurality (Gageler CJ, Gleeson, Jagot &amp; Beech-Jones JJ) and Edelman J </w:t>
      </w:r>
      <w:r w:rsidR="00EA3F46">
        <w:rPr>
          <w:rFonts w:ascii="Arial" w:hAnsi="Arial" w:cs="Arial"/>
          <w:sz w:val="20"/>
        </w:rPr>
        <w:t>both concluded</w:t>
      </w:r>
      <w:r w:rsidR="00351DB0">
        <w:rPr>
          <w:rFonts w:ascii="Arial" w:hAnsi="Arial" w:cs="Arial"/>
          <w:sz w:val="20"/>
        </w:rPr>
        <w:t xml:space="preserve"> that the decision of the Court of Appeal in </w:t>
      </w:r>
      <w:r w:rsidR="00351DB0" w:rsidRPr="006461A4">
        <w:rPr>
          <w:rFonts w:ascii="Arial" w:hAnsi="Arial" w:cs="Arial"/>
          <w:i/>
          <w:iCs/>
          <w:sz w:val="20"/>
        </w:rPr>
        <w:t>Ramsay Alec (a pseudonym) v The King</w:t>
      </w:r>
      <w:r w:rsidR="00351DB0">
        <w:rPr>
          <w:rFonts w:ascii="Arial" w:hAnsi="Arial" w:cs="Arial"/>
          <w:sz w:val="20"/>
        </w:rPr>
        <w:t xml:space="preserve"> [2023] VSCA 208 was correct.  </w:t>
      </w:r>
      <w:r w:rsidR="008A0767">
        <w:rPr>
          <w:rFonts w:ascii="Arial" w:hAnsi="Arial" w:cs="Arial"/>
          <w:sz w:val="20"/>
        </w:rPr>
        <w:t>See i</w:t>
      </w:r>
      <w:r w:rsidR="00351DB0">
        <w:rPr>
          <w:rFonts w:ascii="Arial" w:hAnsi="Arial" w:cs="Arial"/>
          <w:sz w:val="20"/>
        </w:rPr>
        <w:t>n particular</w:t>
      </w:r>
      <w:r w:rsidR="008A0767">
        <w:rPr>
          <w:rFonts w:ascii="Arial" w:hAnsi="Arial" w:cs="Arial"/>
          <w:sz w:val="20"/>
        </w:rPr>
        <w:t>:</w:t>
      </w:r>
    </w:p>
    <w:p w14:paraId="66B0F091" w14:textId="31108B47" w:rsidR="008A0767" w:rsidRDefault="00EA3F46" w:rsidP="006264A9">
      <w:pPr>
        <w:pStyle w:val="ListParagraph"/>
        <w:widowControl w:val="0"/>
        <w:numPr>
          <w:ilvl w:val="0"/>
          <w:numId w:val="52"/>
        </w:numPr>
        <w:spacing w:before="60"/>
        <w:ind w:left="357" w:right="567" w:hanging="357"/>
        <w:jc w:val="both"/>
        <w:rPr>
          <w:rFonts w:ascii="Arial" w:hAnsi="Arial" w:cs="Arial"/>
          <w:sz w:val="20"/>
        </w:rPr>
      </w:pPr>
      <w:r>
        <w:rPr>
          <w:rFonts w:ascii="Arial" w:hAnsi="Arial" w:cs="Arial"/>
          <w:sz w:val="20"/>
        </w:rPr>
        <w:t xml:space="preserve">Paragraphs </w:t>
      </w:r>
      <w:r w:rsidR="008A0767">
        <w:rPr>
          <w:rFonts w:ascii="Arial" w:hAnsi="Arial" w:cs="Arial"/>
          <w:sz w:val="20"/>
        </w:rPr>
        <w:t>[75]</w:t>
      </w:r>
      <w:r>
        <w:rPr>
          <w:rFonts w:ascii="Arial" w:hAnsi="Arial" w:cs="Arial"/>
          <w:sz w:val="20"/>
        </w:rPr>
        <w:t>, [84]</w:t>
      </w:r>
      <w:r w:rsidR="008A0767">
        <w:rPr>
          <w:rFonts w:ascii="Arial" w:hAnsi="Arial" w:cs="Arial"/>
          <w:sz w:val="20"/>
        </w:rPr>
        <w:t xml:space="preserve"> &amp; [8</w:t>
      </w:r>
      <w:r>
        <w:rPr>
          <w:rFonts w:ascii="Arial" w:hAnsi="Arial" w:cs="Arial"/>
          <w:sz w:val="20"/>
        </w:rPr>
        <w:t>5</w:t>
      </w:r>
      <w:r w:rsidR="008A0767">
        <w:rPr>
          <w:rFonts w:ascii="Arial" w:hAnsi="Arial" w:cs="Arial"/>
          <w:sz w:val="20"/>
        </w:rPr>
        <w:t xml:space="preserve">] </w:t>
      </w:r>
      <w:r>
        <w:rPr>
          <w:rFonts w:ascii="Arial" w:hAnsi="Arial" w:cs="Arial"/>
          <w:sz w:val="20"/>
        </w:rPr>
        <w:t xml:space="preserve">where </w:t>
      </w:r>
      <w:r w:rsidR="008A0767">
        <w:rPr>
          <w:rFonts w:ascii="Arial" w:hAnsi="Arial" w:cs="Arial"/>
          <w:sz w:val="20"/>
        </w:rPr>
        <w:t>the plurality said:</w:t>
      </w:r>
    </w:p>
    <w:p w14:paraId="01FC6806" w14:textId="518250DD" w:rsidR="008A0767" w:rsidRPr="00FA5744" w:rsidRDefault="00EA3F46" w:rsidP="00EA3F46">
      <w:pPr>
        <w:widowControl w:val="0"/>
        <w:spacing w:before="60"/>
        <w:ind w:left="811" w:right="357" w:hanging="454"/>
        <w:jc w:val="both"/>
        <w:rPr>
          <w:rFonts w:ascii="Arial" w:hAnsi="Arial" w:cs="Arial"/>
          <w:sz w:val="20"/>
          <w:szCs w:val="20"/>
        </w:rPr>
      </w:pPr>
      <w:r w:rsidRPr="00FA5744">
        <w:rPr>
          <w:rFonts w:ascii="Arial" w:hAnsi="Arial" w:cs="Arial"/>
          <w:sz w:val="20"/>
          <w:szCs w:val="20"/>
        </w:rPr>
        <w:t>[75]</w:t>
      </w:r>
      <w:r w:rsidRPr="00FA5744">
        <w:rPr>
          <w:rFonts w:ascii="Arial" w:hAnsi="Arial" w:cs="Arial"/>
          <w:sz w:val="20"/>
          <w:szCs w:val="20"/>
        </w:rPr>
        <w:tab/>
      </w:r>
      <w:r w:rsidR="008A0767" w:rsidRPr="00FA5744">
        <w:rPr>
          <w:rFonts w:ascii="Arial" w:hAnsi="Arial" w:cs="Arial"/>
          <w:sz w:val="20"/>
          <w:szCs w:val="20"/>
        </w:rPr>
        <w:t xml:space="preserve">“The problem in </w:t>
      </w:r>
      <w:r w:rsidR="008A0767" w:rsidRPr="00FA5744">
        <w:rPr>
          <w:rFonts w:ascii="Arial" w:hAnsi="Arial" w:cs="Arial"/>
          <w:i/>
          <w:iCs/>
          <w:sz w:val="20"/>
          <w:szCs w:val="20"/>
        </w:rPr>
        <w:t>Alec</w:t>
      </w:r>
      <w:r w:rsidR="008A0767" w:rsidRPr="00FA5744">
        <w:rPr>
          <w:rFonts w:ascii="Arial" w:hAnsi="Arial" w:cs="Arial"/>
          <w:sz w:val="20"/>
          <w:szCs w:val="20"/>
        </w:rPr>
        <w:t xml:space="preserve"> was not a lack of power to arrange and attend such a meeting under s.389E(1) [of the </w:t>
      </w:r>
      <w:r w:rsidR="008A0767" w:rsidRPr="00FA5744">
        <w:rPr>
          <w:rFonts w:ascii="Arial" w:hAnsi="Arial" w:cs="Arial"/>
          <w:i/>
          <w:iCs/>
          <w:sz w:val="20"/>
          <w:szCs w:val="20"/>
        </w:rPr>
        <w:t>Criminal Procedure Act 2009</w:t>
      </w:r>
      <w:r w:rsidR="008A0767" w:rsidRPr="00FA5744">
        <w:rPr>
          <w:rFonts w:ascii="Arial" w:hAnsi="Arial" w:cs="Arial"/>
          <w:sz w:val="20"/>
          <w:szCs w:val="20"/>
        </w:rPr>
        <w:t>]; it was that the judge attended a meeting with the complainant privately (that is, in the presence of the intermediary but without counsel for the prosecution and the accused).”</w:t>
      </w:r>
    </w:p>
    <w:p w14:paraId="7959624A" w14:textId="1946D81E" w:rsidR="008A0767" w:rsidRPr="00FA5744" w:rsidRDefault="00EA3F46" w:rsidP="00EA3F46">
      <w:pPr>
        <w:widowControl w:val="0"/>
        <w:spacing w:before="60"/>
        <w:ind w:left="811" w:right="357" w:hanging="454"/>
        <w:jc w:val="both"/>
        <w:rPr>
          <w:rFonts w:ascii="Arial" w:hAnsi="Arial" w:cs="Arial"/>
          <w:sz w:val="20"/>
          <w:szCs w:val="20"/>
        </w:rPr>
      </w:pPr>
      <w:r w:rsidRPr="00FA5744">
        <w:rPr>
          <w:rFonts w:ascii="Arial" w:hAnsi="Arial" w:cs="Arial"/>
          <w:sz w:val="20"/>
          <w:szCs w:val="20"/>
        </w:rPr>
        <w:t>[84]</w:t>
      </w:r>
      <w:r w:rsidRPr="00FA5744">
        <w:rPr>
          <w:rFonts w:ascii="Arial" w:hAnsi="Arial" w:cs="Arial"/>
          <w:sz w:val="20"/>
          <w:szCs w:val="20"/>
        </w:rPr>
        <w:tab/>
      </w:r>
      <w:r w:rsidR="008A0767" w:rsidRPr="00FA5744">
        <w:rPr>
          <w:rFonts w:ascii="Arial" w:hAnsi="Arial" w:cs="Arial"/>
          <w:sz w:val="20"/>
          <w:szCs w:val="20"/>
        </w:rPr>
        <w:t xml:space="preserve">“The reasoning in </w:t>
      </w:r>
      <w:r w:rsidR="008A0767" w:rsidRPr="00FA5744">
        <w:rPr>
          <w:rFonts w:ascii="Arial" w:hAnsi="Arial" w:cs="Arial"/>
          <w:i/>
          <w:iCs/>
          <w:sz w:val="20"/>
          <w:szCs w:val="20"/>
        </w:rPr>
        <w:t>Alec</w:t>
      </w:r>
      <w:r w:rsidR="008A0767" w:rsidRPr="00FA5744">
        <w:rPr>
          <w:rFonts w:ascii="Arial" w:hAnsi="Arial" w:cs="Arial"/>
          <w:sz w:val="20"/>
          <w:szCs w:val="20"/>
        </w:rPr>
        <w:t xml:space="preserve"> also correctly stated the principle of open justice in the circumstances of that case. In </w:t>
      </w:r>
      <w:r w:rsidR="008A0767" w:rsidRPr="00FA5744">
        <w:rPr>
          <w:rFonts w:ascii="Arial" w:hAnsi="Arial" w:cs="Arial"/>
          <w:i/>
          <w:iCs/>
          <w:sz w:val="20"/>
          <w:szCs w:val="20"/>
        </w:rPr>
        <w:t>Alec</w:t>
      </w:r>
      <w:r w:rsidR="008A0767" w:rsidRPr="00FA5744">
        <w:rPr>
          <w:rFonts w:ascii="Arial" w:hAnsi="Arial" w:cs="Arial"/>
          <w:sz w:val="20"/>
          <w:szCs w:val="20"/>
        </w:rPr>
        <w:t xml:space="preserve">, the Court of Appeal recognised the importance of the principle </w:t>
      </w:r>
      <w:r w:rsidR="009274E4" w:rsidRPr="00FA5744">
        <w:rPr>
          <w:rFonts w:ascii="Arial" w:hAnsi="Arial" w:cs="Arial"/>
          <w:sz w:val="20"/>
          <w:szCs w:val="20"/>
        </w:rPr>
        <w:t>to the proper administration of justice because ‘[w]hen justice is administered in private, the fairness of the process, and the impartiality of the judge are brought into question.’”</w:t>
      </w:r>
    </w:p>
    <w:p w14:paraId="4224DB84" w14:textId="2EA2623B" w:rsidR="00EA3F46" w:rsidRPr="00FA5744" w:rsidRDefault="00EA3F46" w:rsidP="00EA3F46">
      <w:pPr>
        <w:widowControl w:val="0"/>
        <w:spacing w:before="60"/>
        <w:ind w:left="811" w:right="357" w:hanging="454"/>
        <w:jc w:val="both"/>
        <w:rPr>
          <w:rFonts w:ascii="Arial" w:hAnsi="Arial" w:cs="Arial"/>
          <w:sz w:val="20"/>
          <w:szCs w:val="20"/>
        </w:rPr>
      </w:pPr>
      <w:r w:rsidRPr="00FA5744">
        <w:rPr>
          <w:rFonts w:ascii="Arial" w:hAnsi="Arial" w:cs="Arial"/>
          <w:sz w:val="20"/>
          <w:szCs w:val="20"/>
        </w:rPr>
        <w:t>[85]</w:t>
      </w:r>
      <w:r w:rsidRPr="00FA5744">
        <w:rPr>
          <w:rFonts w:ascii="Arial" w:hAnsi="Arial" w:cs="Arial"/>
          <w:sz w:val="20"/>
          <w:szCs w:val="20"/>
        </w:rPr>
        <w:tab/>
        <w:t xml:space="preserve">“There is no free-standing principle of open justice relied upon in </w:t>
      </w:r>
      <w:r w:rsidRPr="00FA5744">
        <w:rPr>
          <w:rFonts w:ascii="Arial" w:hAnsi="Arial" w:cs="Arial"/>
          <w:i/>
          <w:iCs/>
          <w:sz w:val="20"/>
          <w:szCs w:val="20"/>
        </w:rPr>
        <w:t>Alec</w:t>
      </w:r>
      <w:r w:rsidRPr="00FA5744">
        <w:rPr>
          <w:rFonts w:ascii="Arial" w:hAnsi="Arial" w:cs="Arial"/>
          <w:sz w:val="20"/>
          <w:szCs w:val="20"/>
        </w:rPr>
        <w:t xml:space="preserve">.  </w:t>
      </w:r>
      <w:r w:rsidRPr="00FA5744">
        <w:rPr>
          <w:rFonts w:ascii="Arial" w:hAnsi="Arial" w:cs="Arial"/>
          <w:i/>
          <w:iCs/>
          <w:sz w:val="20"/>
          <w:szCs w:val="20"/>
        </w:rPr>
        <w:t>Alec</w:t>
      </w:r>
      <w:r w:rsidRPr="00FA5744">
        <w:rPr>
          <w:rFonts w:ascii="Arial" w:hAnsi="Arial" w:cs="Arial"/>
          <w:sz w:val="20"/>
          <w:szCs w:val="20"/>
        </w:rPr>
        <w:t xml:space="preserve"> is an orthodox decision that, on the facts of the case, there was a miscarriage of justice requiring the conviction to be set aside because the meeting between the judge and the complainant in private gave rise to a reasonable apprehension of bias.”</w:t>
      </w:r>
    </w:p>
    <w:p w14:paraId="29D63BF2" w14:textId="5821F41D" w:rsidR="009274E4" w:rsidRDefault="009274E4" w:rsidP="006264A9">
      <w:pPr>
        <w:pStyle w:val="ListParagraph"/>
        <w:widowControl w:val="0"/>
        <w:numPr>
          <w:ilvl w:val="0"/>
          <w:numId w:val="52"/>
        </w:numPr>
        <w:spacing w:before="60"/>
        <w:ind w:left="357" w:right="567" w:hanging="357"/>
        <w:jc w:val="both"/>
        <w:rPr>
          <w:rFonts w:ascii="Arial" w:hAnsi="Arial" w:cs="Arial"/>
          <w:sz w:val="20"/>
        </w:rPr>
      </w:pPr>
      <w:r>
        <w:rPr>
          <w:rFonts w:ascii="Arial" w:hAnsi="Arial" w:cs="Arial"/>
          <w:sz w:val="20"/>
        </w:rPr>
        <w:t xml:space="preserve">And </w:t>
      </w:r>
      <w:r w:rsidR="00EA3F46">
        <w:rPr>
          <w:rFonts w:ascii="Arial" w:hAnsi="Arial" w:cs="Arial"/>
          <w:sz w:val="20"/>
        </w:rPr>
        <w:t>paragraph</w:t>
      </w:r>
      <w:r>
        <w:rPr>
          <w:rFonts w:ascii="Arial" w:hAnsi="Arial" w:cs="Arial"/>
          <w:sz w:val="20"/>
        </w:rPr>
        <w:t xml:space="preserve"> [104] </w:t>
      </w:r>
      <w:r w:rsidR="00EA3F46">
        <w:rPr>
          <w:rFonts w:ascii="Arial" w:hAnsi="Arial" w:cs="Arial"/>
          <w:sz w:val="20"/>
        </w:rPr>
        <w:t xml:space="preserve">where </w:t>
      </w:r>
      <w:r>
        <w:rPr>
          <w:rFonts w:ascii="Arial" w:hAnsi="Arial" w:cs="Arial"/>
          <w:sz w:val="20"/>
        </w:rPr>
        <w:t>Edelman J said:</w:t>
      </w:r>
    </w:p>
    <w:p w14:paraId="59850761" w14:textId="0B8EEE91" w:rsidR="00351DB0" w:rsidRPr="00FA5744" w:rsidRDefault="009274E4" w:rsidP="009274E4">
      <w:pPr>
        <w:spacing w:before="60"/>
        <w:ind w:left="357" w:right="357"/>
        <w:jc w:val="both"/>
        <w:rPr>
          <w:rFonts w:ascii="Arial" w:hAnsi="Arial" w:cs="Arial"/>
          <w:sz w:val="20"/>
          <w:szCs w:val="20"/>
        </w:rPr>
      </w:pPr>
      <w:r w:rsidRPr="00FA5744">
        <w:rPr>
          <w:rFonts w:ascii="Arial" w:hAnsi="Arial" w:cs="Arial"/>
          <w:sz w:val="20"/>
        </w:rPr>
        <w:t>“</w:t>
      </w:r>
      <w:r w:rsidRPr="009274E4">
        <w:rPr>
          <w:rFonts w:ascii="Arial" w:hAnsi="Arial" w:cs="Arial"/>
          <w:sz w:val="20"/>
        </w:rPr>
        <w:t xml:space="preserve">In both </w:t>
      </w:r>
      <w:r w:rsidRPr="009274E4">
        <w:rPr>
          <w:rFonts w:ascii="Arial" w:hAnsi="Arial" w:cs="Arial"/>
          <w:i/>
          <w:iCs/>
          <w:sz w:val="20"/>
        </w:rPr>
        <w:t xml:space="preserve">Alec (a pseudonym) v The King </w:t>
      </w:r>
      <w:r w:rsidRPr="009274E4">
        <w:rPr>
          <w:rFonts w:ascii="Arial" w:hAnsi="Arial" w:cs="Arial"/>
          <w:sz w:val="20"/>
        </w:rPr>
        <w:t>and this proceeding the Court of Appeal was correct that the directions to hold private meetings with the complainants were irregular, particularly as the directions were made, and the private hearings were attended, by the judges who then presided over the special hearings.</w:t>
      </w:r>
      <w:r w:rsidRPr="00FA5744">
        <w:rPr>
          <w:rFonts w:ascii="Arial" w:hAnsi="Arial" w:cs="Arial"/>
          <w:sz w:val="20"/>
        </w:rPr>
        <w:t>”</w:t>
      </w:r>
    </w:p>
    <w:p w14:paraId="7E17169F" w14:textId="77777777" w:rsidR="00351DB0" w:rsidRPr="00B13691" w:rsidRDefault="00351DB0" w:rsidP="006461A4">
      <w:pPr>
        <w:widowControl w:val="0"/>
        <w:jc w:val="both"/>
        <w:rPr>
          <w:rFonts w:ascii="Arial" w:hAnsi="Arial" w:cs="Arial"/>
          <w:sz w:val="18"/>
          <w:szCs w:val="22"/>
        </w:rPr>
      </w:pPr>
    </w:p>
    <w:p w14:paraId="4BD3B950" w14:textId="4145C3E9" w:rsidR="00EA3F46" w:rsidRPr="002F1E7F" w:rsidRDefault="00EA3F46" w:rsidP="00EA3F46">
      <w:pPr>
        <w:widowControl w:val="0"/>
        <w:jc w:val="both"/>
        <w:rPr>
          <w:rFonts w:ascii="Arial" w:hAnsi="Arial" w:cs="Arial"/>
          <w:sz w:val="20"/>
        </w:rPr>
      </w:pPr>
      <w:r>
        <w:rPr>
          <w:rFonts w:ascii="Arial" w:hAnsi="Arial" w:cs="Arial"/>
          <w:sz w:val="20"/>
        </w:rPr>
        <w:t xml:space="preserve">However, in most other respects there was significant disparity between the </w:t>
      </w:r>
      <w:r w:rsidR="00B13691">
        <w:rPr>
          <w:rFonts w:ascii="Arial" w:hAnsi="Arial" w:cs="Arial"/>
          <w:sz w:val="20"/>
        </w:rPr>
        <w:t xml:space="preserve">reasoning in the </w:t>
      </w:r>
      <w:r>
        <w:rPr>
          <w:rFonts w:ascii="Arial" w:hAnsi="Arial" w:cs="Arial"/>
          <w:sz w:val="20"/>
        </w:rPr>
        <w:t>two judgments which led to significant disparity between the answers given to the four reserved questions of law:</w:t>
      </w:r>
    </w:p>
    <w:p w14:paraId="14791ABE" w14:textId="77777777" w:rsidR="00EA3F46" w:rsidRPr="00B13691" w:rsidRDefault="00EA3F46" w:rsidP="00EA3F46">
      <w:pPr>
        <w:widowControl w:val="0"/>
        <w:jc w:val="both"/>
        <w:rPr>
          <w:rFonts w:ascii="Arial" w:hAnsi="Arial" w:cs="Arial"/>
          <w:sz w:val="18"/>
          <w:szCs w:val="22"/>
        </w:rPr>
      </w:pPr>
    </w:p>
    <w:tbl>
      <w:tblPr>
        <w:tblStyle w:val="TableGrid"/>
        <w:tblW w:w="9066" w:type="dxa"/>
        <w:tblLook w:val="04A0" w:firstRow="1" w:lastRow="0" w:firstColumn="1" w:lastColumn="0" w:noHBand="0" w:noVBand="1"/>
      </w:tblPr>
      <w:tblGrid>
        <w:gridCol w:w="2455"/>
        <w:gridCol w:w="4723"/>
        <w:gridCol w:w="1888"/>
      </w:tblGrid>
      <w:tr w:rsidR="00EA3F46" w:rsidRPr="008F7E29" w14:paraId="43B78A80" w14:textId="77777777" w:rsidTr="00B13691">
        <w:tc>
          <w:tcPr>
            <w:tcW w:w="2455" w:type="dxa"/>
            <w:tcBorders>
              <w:bottom w:val="single" w:sz="8" w:space="0" w:color="auto"/>
            </w:tcBorders>
            <w:shd w:val="clear" w:color="auto" w:fill="000000" w:themeFill="text1"/>
          </w:tcPr>
          <w:p w14:paraId="050394FD" w14:textId="77777777" w:rsidR="00EA3F46" w:rsidRPr="008F7E29" w:rsidRDefault="00EA3F46" w:rsidP="006E4A3F">
            <w:pPr>
              <w:keepNext/>
              <w:keepLines/>
              <w:jc w:val="center"/>
              <w:rPr>
                <w:rFonts w:ascii="Arial" w:hAnsi="Arial" w:cs="Arial"/>
                <w:b/>
                <w:bCs/>
                <w:sz w:val="20"/>
              </w:rPr>
            </w:pPr>
            <w:r>
              <w:rPr>
                <w:rFonts w:ascii="Arial" w:hAnsi="Arial" w:cs="Arial"/>
                <w:b/>
                <w:bCs/>
                <w:sz w:val="20"/>
              </w:rPr>
              <w:t>PLURALITY</w:t>
            </w:r>
          </w:p>
        </w:tc>
        <w:tc>
          <w:tcPr>
            <w:tcW w:w="4723" w:type="dxa"/>
            <w:shd w:val="clear" w:color="auto" w:fill="000000" w:themeFill="text1"/>
          </w:tcPr>
          <w:p w14:paraId="75775698" w14:textId="77777777" w:rsidR="00EA3F46" w:rsidRPr="008F7E29" w:rsidRDefault="00EA3F46" w:rsidP="006E4A3F">
            <w:pPr>
              <w:keepNext/>
              <w:keepLines/>
              <w:jc w:val="center"/>
              <w:rPr>
                <w:rFonts w:ascii="Arial" w:hAnsi="Arial" w:cs="Arial"/>
                <w:b/>
                <w:bCs/>
                <w:sz w:val="20"/>
              </w:rPr>
            </w:pPr>
            <w:r>
              <w:rPr>
                <w:rFonts w:ascii="Arial" w:hAnsi="Arial" w:cs="Arial"/>
                <w:b/>
                <w:bCs/>
                <w:sz w:val="20"/>
              </w:rPr>
              <w:t>RESERVED QUESTION</w:t>
            </w:r>
          </w:p>
        </w:tc>
        <w:tc>
          <w:tcPr>
            <w:tcW w:w="1888" w:type="dxa"/>
            <w:tcBorders>
              <w:bottom w:val="single" w:sz="8" w:space="0" w:color="auto"/>
            </w:tcBorders>
            <w:shd w:val="clear" w:color="auto" w:fill="000000" w:themeFill="text1"/>
          </w:tcPr>
          <w:p w14:paraId="7E41F742" w14:textId="77777777" w:rsidR="00EA3F46" w:rsidRPr="008F7E29" w:rsidRDefault="00EA3F46" w:rsidP="006E4A3F">
            <w:pPr>
              <w:keepNext/>
              <w:keepLines/>
              <w:jc w:val="center"/>
              <w:rPr>
                <w:rFonts w:ascii="Arial" w:hAnsi="Arial" w:cs="Arial"/>
                <w:b/>
                <w:bCs/>
                <w:sz w:val="20"/>
              </w:rPr>
            </w:pPr>
            <w:r w:rsidRPr="008F7E29">
              <w:rPr>
                <w:rFonts w:ascii="Arial" w:hAnsi="Arial" w:cs="Arial"/>
                <w:b/>
                <w:bCs/>
                <w:sz w:val="20"/>
              </w:rPr>
              <w:t>EDELMAN J</w:t>
            </w:r>
          </w:p>
        </w:tc>
      </w:tr>
      <w:tr w:rsidR="00EA3F46" w14:paraId="74F2A35A" w14:textId="77777777" w:rsidTr="00016A6C">
        <w:tc>
          <w:tcPr>
            <w:tcW w:w="2455" w:type="dxa"/>
            <w:tcBorders>
              <w:top w:val="single" w:sz="8" w:space="0" w:color="auto"/>
              <w:left w:val="single" w:sz="8" w:space="0" w:color="auto"/>
              <w:bottom w:val="single" w:sz="8" w:space="0" w:color="auto"/>
              <w:right w:val="single" w:sz="8" w:space="0" w:color="auto"/>
            </w:tcBorders>
            <w:shd w:val="clear" w:color="auto" w:fill="DDDDDD"/>
          </w:tcPr>
          <w:p w14:paraId="73491D26" w14:textId="77777777" w:rsidR="00EA3F46" w:rsidRDefault="00EA3F46" w:rsidP="006E4A3F">
            <w:pPr>
              <w:keepNext/>
              <w:keepLines/>
              <w:jc w:val="both"/>
              <w:rPr>
                <w:rFonts w:ascii="Arial" w:hAnsi="Arial" w:cs="Arial"/>
                <w:sz w:val="20"/>
              </w:rPr>
            </w:pPr>
            <w:r>
              <w:rPr>
                <w:rFonts w:ascii="Arial" w:hAnsi="Arial" w:cs="Arial"/>
                <w:sz w:val="20"/>
              </w:rPr>
              <w:t>Unnecessary to answer as the question does not arise in the proceeding.</w:t>
            </w:r>
          </w:p>
        </w:tc>
        <w:tc>
          <w:tcPr>
            <w:tcW w:w="4723" w:type="dxa"/>
            <w:tcBorders>
              <w:left w:val="single" w:sz="8" w:space="0" w:color="auto"/>
              <w:bottom w:val="single" w:sz="8" w:space="0" w:color="auto"/>
              <w:right w:val="single" w:sz="8" w:space="0" w:color="auto"/>
            </w:tcBorders>
            <w:shd w:val="clear" w:color="auto" w:fill="DDDDDD"/>
          </w:tcPr>
          <w:p w14:paraId="56F0340A" w14:textId="77777777" w:rsidR="00EA3F46" w:rsidRPr="008F7E29" w:rsidRDefault="00EA3F46" w:rsidP="006264A9">
            <w:pPr>
              <w:pStyle w:val="ListParagraph"/>
              <w:keepNext/>
              <w:keepLines/>
              <w:numPr>
                <w:ilvl w:val="0"/>
                <w:numId w:val="51"/>
              </w:numPr>
              <w:ind w:left="357" w:hanging="357"/>
              <w:jc w:val="both"/>
              <w:rPr>
                <w:rFonts w:ascii="Arial" w:hAnsi="Arial" w:cs="Arial"/>
                <w:sz w:val="20"/>
              </w:rPr>
            </w:pPr>
            <w:r>
              <w:rPr>
                <w:rFonts w:ascii="Arial" w:hAnsi="Arial" w:cs="Arial"/>
                <w:sz w:val="20"/>
              </w:rPr>
              <w:t xml:space="preserve">Did the meeting infringe the principles of open justice as identified in </w:t>
            </w:r>
            <w:r w:rsidRPr="008F7E29">
              <w:rPr>
                <w:rFonts w:ascii="Arial" w:hAnsi="Arial" w:cs="Arial"/>
                <w:i/>
                <w:iCs/>
                <w:sz w:val="20"/>
              </w:rPr>
              <w:t>Alec (a pseudonym) v The King</w:t>
            </w:r>
            <w:r>
              <w:rPr>
                <w:rFonts w:ascii="Arial" w:hAnsi="Arial" w:cs="Arial"/>
                <w:sz w:val="20"/>
              </w:rPr>
              <w:t xml:space="preserve"> [2023] VSCA 208?</w:t>
            </w:r>
          </w:p>
        </w:tc>
        <w:tc>
          <w:tcPr>
            <w:tcW w:w="1888" w:type="dxa"/>
            <w:tcBorders>
              <w:top w:val="single" w:sz="8" w:space="0" w:color="auto"/>
              <w:left w:val="single" w:sz="8" w:space="0" w:color="auto"/>
              <w:bottom w:val="single" w:sz="8" w:space="0" w:color="auto"/>
              <w:right w:val="single" w:sz="8" w:space="0" w:color="auto"/>
            </w:tcBorders>
            <w:shd w:val="clear" w:color="auto" w:fill="DDDDDD"/>
          </w:tcPr>
          <w:p w14:paraId="58093993" w14:textId="77777777" w:rsidR="00EA3F46" w:rsidRDefault="00EA3F46" w:rsidP="006E4A3F">
            <w:pPr>
              <w:keepNext/>
              <w:keepLines/>
              <w:jc w:val="center"/>
              <w:rPr>
                <w:rFonts w:ascii="Arial" w:hAnsi="Arial" w:cs="Arial"/>
                <w:sz w:val="20"/>
              </w:rPr>
            </w:pPr>
            <w:r>
              <w:rPr>
                <w:rFonts w:ascii="Arial" w:hAnsi="Arial" w:cs="Arial"/>
                <w:sz w:val="20"/>
              </w:rPr>
              <w:t>Yes</w:t>
            </w:r>
          </w:p>
        </w:tc>
      </w:tr>
      <w:tr w:rsidR="00EA3F46" w14:paraId="61CD8CC7" w14:textId="77777777" w:rsidTr="00016A6C">
        <w:tc>
          <w:tcPr>
            <w:tcW w:w="2455" w:type="dxa"/>
            <w:tcBorders>
              <w:top w:val="single" w:sz="8" w:space="0" w:color="auto"/>
              <w:left w:val="single" w:sz="8" w:space="0" w:color="auto"/>
              <w:bottom w:val="single" w:sz="8" w:space="0" w:color="auto"/>
              <w:right w:val="single" w:sz="8" w:space="0" w:color="auto"/>
            </w:tcBorders>
          </w:tcPr>
          <w:p w14:paraId="1B71A391" w14:textId="77777777" w:rsidR="00EA3F46" w:rsidRDefault="00EA3F46" w:rsidP="004D143B">
            <w:pPr>
              <w:widowControl w:val="0"/>
              <w:jc w:val="both"/>
              <w:rPr>
                <w:rFonts w:ascii="Arial" w:hAnsi="Arial" w:cs="Arial"/>
                <w:sz w:val="20"/>
              </w:rPr>
            </w:pPr>
            <w:r>
              <w:rPr>
                <w:rFonts w:ascii="Arial" w:hAnsi="Arial" w:cs="Arial"/>
                <w:sz w:val="20"/>
              </w:rPr>
              <w:t>Unnecessary to answer as the question does not arise in the proceeding.</w:t>
            </w:r>
          </w:p>
        </w:tc>
        <w:tc>
          <w:tcPr>
            <w:tcW w:w="4723" w:type="dxa"/>
            <w:tcBorders>
              <w:top w:val="single" w:sz="8" w:space="0" w:color="auto"/>
              <w:left w:val="single" w:sz="8" w:space="0" w:color="auto"/>
              <w:bottom w:val="single" w:sz="8" w:space="0" w:color="auto"/>
              <w:right w:val="single" w:sz="8" w:space="0" w:color="auto"/>
            </w:tcBorders>
          </w:tcPr>
          <w:p w14:paraId="719CAC7E" w14:textId="77777777" w:rsidR="00EA3F46" w:rsidRPr="008F7E29" w:rsidRDefault="00EA3F46" w:rsidP="006264A9">
            <w:pPr>
              <w:pStyle w:val="ListParagraph"/>
              <w:widowControl w:val="0"/>
              <w:numPr>
                <w:ilvl w:val="0"/>
                <w:numId w:val="51"/>
              </w:numPr>
              <w:ind w:left="357" w:hanging="357"/>
              <w:jc w:val="both"/>
              <w:rPr>
                <w:rFonts w:ascii="Arial" w:hAnsi="Arial" w:cs="Arial"/>
                <w:sz w:val="20"/>
              </w:rPr>
            </w:pPr>
            <w:r>
              <w:rPr>
                <w:rFonts w:ascii="Arial" w:hAnsi="Arial" w:cs="Arial"/>
                <w:sz w:val="20"/>
              </w:rPr>
              <w:t>Did the meeting bring the impartiality of the presiding judge into question?</w:t>
            </w:r>
          </w:p>
        </w:tc>
        <w:tc>
          <w:tcPr>
            <w:tcW w:w="1888" w:type="dxa"/>
            <w:tcBorders>
              <w:top w:val="single" w:sz="8" w:space="0" w:color="auto"/>
              <w:left w:val="single" w:sz="8" w:space="0" w:color="auto"/>
              <w:bottom w:val="single" w:sz="8" w:space="0" w:color="auto"/>
              <w:right w:val="single" w:sz="8" w:space="0" w:color="auto"/>
            </w:tcBorders>
          </w:tcPr>
          <w:p w14:paraId="22924E2B" w14:textId="77777777" w:rsidR="00EA3F46" w:rsidRDefault="00EA3F46" w:rsidP="004D143B">
            <w:pPr>
              <w:widowControl w:val="0"/>
              <w:jc w:val="center"/>
              <w:rPr>
                <w:rFonts w:ascii="Arial" w:hAnsi="Arial" w:cs="Arial"/>
                <w:sz w:val="20"/>
              </w:rPr>
            </w:pPr>
            <w:r>
              <w:rPr>
                <w:rFonts w:ascii="Arial" w:hAnsi="Arial" w:cs="Arial"/>
                <w:sz w:val="20"/>
              </w:rPr>
              <w:t>Unnecessary to answer</w:t>
            </w:r>
          </w:p>
        </w:tc>
      </w:tr>
      <w:tr w:rsidR="002D165C" w:rsidRPr="008F7E29" w14:paraId="03127B1C" w14:textId="77777777" w:rsidTr="001806F3">
        <w:tc>
          <w:tcPr>
            <w:tcW w:w="2455" w:type="dxa"/>
            <w:tcBorders>
              <w:bottom w:val="single" w:sz="8" w:space="0" w:color="auto"/>
            </w:tcBorders>
            <w:shd w:val="clear" w:color="auto" w:fill="000000" w:themeFill="text1"/>
          </w:tcPr>
          <w:p w14:paraId="2C7E38C3" w14:textId="77777777" w:rsidR="002D165C" w:rsidRPr="008F7E29" w:rsidRDefault="002D165C" w:rsidP="001806F3">
            <w:pPr>
              <w:keepNext/>
              <w:keepLines/>
              <w:jc w:val="center"/>
              <w:rPr>
                <w:rFonts w:ascii="Arial" w:hAnsi="Arial" w:cs="Arial"/>
                <w:b/>
                <w:bCs/>
                <w:sz w:val="20"/>
              </w:rPr>
            </w:pPr>
            <w:r>
              <w:rPr>
                <w:rFonts w:ascii="Arial" w:hAnsi="Arial" w:cs="Arial"/>
                <w:b/>
                <w:bCs/>
                <w:sz w:val="20"/>
              </w:rPr>
              <w:lastRenderedPageBreak/>
              <w:t>PLURALITY</w:t>
            </w:r>
          </w:p>
        </w:tc>
        <w:tc>
          <w:tcPr>
            <w:tcW w:w="4723" w:type="dxa"/>
            <w:shd w:val="clear" w:color="auto" w:fill="000000" w:themeFill="text1"/>
          </w:tcPr>
          <w:p w14:paraId="015450E8" w14:textId="77777777" w:rsidR="002D165C" w:rsidRPr="008F7E29" w:rsidRDefault="002D165C" w:rsidP="001806F3">
            <w:pPr>
              <w:keepNext/>
              <w:keepLines/>
              <w:jc w:val="center"/>
              <w:rPr>
                <w:rFonts w:ascii="Arial" w:hAnsi="Arial" w:cs="Arial"/>
                <w:b/>
                <w:bCs/>
                <w:sz w:val="20"/>
              </w:rPr>
            </w:pPr>
            <w:r>
              <w:rPr>
                <w:rFonts w:ascii="Arial" w:hAnsi="Arial" w:cs="Arial"/>
                <w:b/>
                <w:bCs/>
                <w:sz w:val="20"/>
              </w:rPr>
              <w:t>RESERVED QUESTION</w:t>
            </w:r>
          </w:p>
        </w:tc>
        <w:tc>
          <w:tcPr>
            <w:tcW w:w="1888" w:type="dxa"/>
            <w:tcBorders>
              <w:bottom w:val="single" w:sz="8" w:space="0" w:color="auto"/>
            </w:tcBorders>
            <w:shd w:val="clear" w:color="auto" w:fill="000000" w:themeFill="text1"/>
          </w:tcPr>
          <w:p w14:paraId="1AB09360" w14:textId="77777777" w:rsidR="002D165C" w:rsidRPr="008F7E29" w:rsidRDefault="002D165C" w:rsidP="001806F3">
            <w:pPr>
              <w:keepNext/>
              <w:keepLines/>
              <w:jc w:val="center"/>
              <w:rPr>
                <w:rFonts w:ascii="Arial" w:hAnsi="Arial" w:cs="Arial"/>
                <w:b/>
                <w:bCs/>
                <w:sz w:val="20"/>
              </w:rPr>
            </w:pPr>
            <w:r w:rsidRPr="008F7E29">
              <w:rPr>
                <w:rFonts w:ascii="Arial" w:hAnsi="Arial" w:cs="Arial"/>
                <w:b/>
                <w:bCs/>
                <w:sz w:val="20"/>
              </w:rPr>
              <w:t>EDELMAN J</w:t>
            </w:r>
          </w:p>
        </w:tc>
      </w:tr>
      <w:tr w:rsidR="00EA3F46" w:rsidRPr="00151CEA" w14:paraId="09836832" w14:textId="77777777" w:rsidTr="00016A6C">
        <w:tc>
          <w:tcPr>
            <w:tcW w:w="2455" w:type="dxa"/>
            <w:tcBorders>
              <w:top w:val="single" w:sz="8" w:space="0" w:color="auto"/>
              <w:left w:val="single" w:sz="8" w:space="0" w:color="auto"/>
              <w:bottom w:val="single" w:sz="8" w:space="0" w:color="auto"/>
              <w:right w:val="single" w:sz="8" w:space="0" w:color="auto"/>
            </w:tcBorders>
            <w:shd w:val="clear" w:color="auto" w:fill="DDDDDD"/>
          </w:tcPr>
          <w:p w14:paraId="259EA13C" w14:textId="77777777" w:rsidR="00EA3F46" w:rsidRPr="00151CEA" w:rsidRDefault="00EA3F46" w:rsidP="002D165C">
            <w:pPr>
              <w:keepNext/>
              <w:keepLines/>
              <w:jc w:val="center"/>
              <w:rPr>
                <w:rFonts w:ascii="Arial" w:hAnsi="Arial" w:cs="Arial"/>
                <w:b/>
                <w:bCs/>
                <w:sz w:val="20"/>
              </w:rPr>
            </w:pPr>
            <w:r w:rsidRPr="00151CEA">
              <w:rPr>
                <w:rFonts w:ascii="Arial" w:hAnsi="Arial" w:cs="Arial"/>
                <w:b/>
                <w:bCs/>
                <w:sz w:val="20"/>
              </w:rPr>
              <w:t>No</w:t>
            </w:r>
          </w:p>
        </w:tc>
        <w:tc>
          <w:tcPr>
            <w:tcW w:w="4723" w:type="dxa"/>
            <w:tcBorders>
              <w:top w:val="single" w:sz="8" w:space="0" w:color="auto"/>
              <w:left w:val="single" w:sz="8" w:space="0" w:color="auto"/>
              <w:bottom w:val="single" w:sz="8" w:space="0" w:color="auto"/>
              <w:right w:val="single" w:sz="8" w:space="0" w:color="auto"/>
            </w:tcBorders>
            <w:shd w:val="clear" w:color="auto" w:fill="DDDDDD"/>
          </w:tcPr>
          <w:p w14:paraId="519C46B3" w14:textId="77777777" w:rsidR="00EA3F46" w:rsidRPr="00151CEA" w:rsidRDefault="00EA3F46" w:rsidP="006264A9">
            <w:pPr>
              <w:pStyle w:val="ListParagraph"/>
              <w:widowControl w:val="0"/>
              <w:numPr>
                <w:ilvl w:val="0"/>
                <w:numId w:val="51"/>
              </w:numPr>
              <w:ind w:left="357" w:hanging="357"/>
              <w:jc w:val="both"/>
              <w:rPr>
                <w:rFonts w:ascii="Arial" w:hAnsi="Arial" w:cs="Arial"/>
                <w:b/>
                <w:bCs/>
                <w:sz w:val="20"/>
              </w:rPr>
            </w:pPr>
            <w:r w:rsidRPr="00151CEA">
              <w:rPr>
                <w:rFonts w:ascii="Arial" w:hAnsi="Arial" w:cs="Arial"/>
                <w:b/>
                <w:bCs/>
                <w:sz w:val="20"/>
              </w:rPr>
              <w:t>Did the occurrence of the meeting represent a fundamental irregularity in the trial process, such as to constitute a serious departure from accepted trial processes?</w:t>
            </w:r>
          </w:p>
        </w:tc>
        <w:tc>
          <w:tcPr>
            <w:tcW w:w="1888" w:type="dxa"/>
            <w:tcBorders>
              <w:top w:val="single" w:sz="8" w:space="0" w:color="auto"/>
              <w:left w:val="single" w:sz="8" w:space="0" w:color="auto"/>
              <w:bottom w:val="single" w:sz="8" w:space="0" w:color="auto"/>
              <w:right w:val="single" w:sz="8" w:space="0" w:color="auto"/>
            </w:tcBorders>
            <w:shd w:val="clear" w:color="auto" w:fill="DDDDDD"/>
          </w:tcPr>
          <w:p w14:paraId="73511AF0" w14:textId="77777777" w:rsidR="00EA3F46" w:rsidRPr="00151CEA" w:rsidRDefault="00EA3F46" w:rsidP="004D143B">
            <w:pPr>
              <w:widowControl w:val="0"/>
              <w:jc w:val="center"/>
              <w:rPr>
                <w:rFonts w:ascii="Arial" w:hAnsi="Arial" w:cs="Arial"/>
                <w:b/>
                <w:bCs/>
                <w:sz w:val="20"/>
              </w:rPr>
            </w:pPr>
            <w:r w:rsidRPr="00151CEA">
              <w:rPr>
                <w:rFonts w:ascii="Arial" w:hAnsi="Arial" w:cs="Arial"/>
                <w:b/>
                <w:bCs/>
                <w:sz w:val="20"/>
              </w:rPr>
              <w:t>No</w:t>
            </w:r>
          </w:p>
        </w:tc>
      </w:tr>
      <w:tr w:rsidR="00016A6C" w14:paraId="148AF8EB" w14:textId="77777777" w:rsidTr="00016A6C">
        <w:tc>
          <w:tcPr>
            <w:tcW w:w="2455" w:type="dxa"/>
            <w:tcBorders>
              <w:top w:val="single" w:sz="8" w:space="0" w:color="auto"/>
              <w:left w:val="single" w:sz="8" w:space="0" w:color="auto"/>
              <w:bottom w:val="single" w:sz="8" w:space="0" w:color="auto"/>
              <w:right w:val="single" w:sz="8" w:space="0" w:color="auto"/>
            </w:tcBorders>
          </w:tcPr>
          <w:p w14:paraId="7366BC60" w14:textId="77777777" w:rsidR="00B13691" w:rsidRDefault="00B13691" w:rsidP="004D143B">
            <w:pPr>
              <w:widowControl w:val="0"/>
              <w:jc w:val="both"/>
              <w:rPr>
                <w:rFonts w:ascii="Arial" w:hAnsi="Arial" w:cs="Arial"/>
                <w:sz w:val="20"/>
              </w:rPr>
            </w:pPr>
            <w:r>
              <w:rPr>
                <w:rFonts w:ascii="Arial" w:hAnsi="Arial" w:cs="Arial"/>
                <w:sz w:val="20"/>
              </w:rPr>
              <w:t>Unnecessary to answer as the question does not arise in the proceeding.</w:t>
            </w:r>
          </w:p>
        </w:tc>
        <w:tc>
          <w:tcPr>
            <w:tcW w:w="4723" w:type="dxa"/>
            <w:tcBorders>
              <w:top w:val="single" w:sz="8" w:space="0" w:color="auto"/>
              <w:left w:val="single" w:sz="8" w:space="0" w:color="auto"/>
              <w:bottom w:val="single" w:sz="8" w:space="0" w:color="auto"/>
              <w:right w:val="single" w:sz="8" w:space="0" w:color="auto"/>
            </w:tcBorders>
          </w:tcPr>
          <w:p w14:paraId="4755AB55" w14:textId="77777777" w:rsidR="00B13691" w:rsidRPr="008F7E29" w:rsidRDefault="00B13691" w:rsidP="006264A9">
            <w:pPr>
              <w:pStyle w:val="ListParagraph"/>
              <w:widowControl w:val="0"/>
              <w:numPr>
                <w:ilvl w:val="0"/>
                <w:numId w:val="51"/>
              </w:numPr>
              <w:ind w:left="357" w:hanging="357"/>
              <w:jc w:val="both"/>
              <w:rPr>
                <w:rFonts w:ascii="Arial" w:hAnsi="Arial" w:cs="Arial"/>
                <w:sz w:val="20"/>
              </w:rPr>
            </w:pPr>
            <w:r>
              <w:rPr>
                <w:rFonts w:ascii="Arial" w:hAnsi="Arial" w:cs="Arial"/>
                <w:sz w:val="20"/>
              </w:rPr>
              <w:t>If the answer to questions 1, 2 and/or 3 is in the affirmative, is the only remedy for the evidence of the complainant to be taken at a further special hearing conducted before a different judge?</w:t>
            </w:r>
          </w:p>
        </w:tc>
        <w:tc>
          <w:tcPr>
            <w:tcW w:w="1888" w:type="dxa"/>
            <w:tcBorders>
              <w:top w:val="single" w:sz="8" w:space="0" w:color="auto"/>
              <w:left w:val="single" w:sz="8" w:space="0" w:color="auto"/>
              <w:bottom w:val="single" w:sz="8" w:space="0" w:color="auto"/>
              <w:right w:val="single" w:sz="8" w:space="0" w:color="auto"/>
            </w:tcBorders>
          </w:tcPr>
          <w:p w14:paraId="3C9AAA7B" w14:textId="77777777" w:rsidR="00B13691" w:rsidRDefault="00B13691" w:rsidP="004D143B">
            <w:pPr>
              <w:widowControl w:val="0"/>
              <w:jc w:val="center"/>
              <w:rPr>
                <w:rFonts w:ascii="Arial" w:hAnsi="Arial" w:cs="Arial"/>
                <w:sz w:val="20"/>
              </w:rPr>
            </w:pPr>
            <w:r>
              <w:rPr>
                <w:rFonts w:ascii="Arial" w:hAnsi="Arial" w:cs="Arial"/>
                <w:sz w:val="20"/>
              </w:rPr>
              <w:t>No</w:t>
            </w:r>
          </w:p>
        </w:tc>
      </w:tr>
    </w:tbl>
    <w:p w14:paraId="016BB48A" w14:textId="77777777" w:rsidR="00B13691" w:rsidRDefault="00B13691" w:rsidP="00B13691">
      <w:pPr>
        <w:widowControl w:val="0"/>
        <w:jc w:val="both"/>
        <w:rPr>
          <w:rFonts w:ascii="Arial" w:hAnsi="Arial" w:cs="Arial"/>
          <w:sz w:val="20"/>
        </w:rPr>
      </w:pPr>
    </w:p>
    <w:p w14:paraId="1BF9D2B9" w14:textId="2F1F3E06" w:rsidR="00B13691" w:rsidRDefault="00B13691" w:rsidP="00B13691">
      <w:pPr>
        <w:widowControl w:val="0"/>
        <w:jc w:val="both"/>
        <w:rPr>
          <w:rFonts w:ascii="Arial" w:hAnsi="Arial" w:cs="Arial"/>
          <w:sz w:val="16"/>
          <w:szCs w:val="20"/>
        </w:rPr>
      </w:pPr>
      <w:r>
        <w:rPr>
          <w:rFonts w:ascii="Arial" w:hAnsi="Arial" w:cs="Arial"/>
          <w:sz w:val="20"/>
        </w:rPr>
        <w:t xml:space="preserve">The basis of the significant disparity between the reasoning in the two judgments </w:t>
      </w:r>
      <w:r w:rsidR="00016A6C">
        <w:rPr>
          <w:rFonts w:ascii="Arial" w:hAnsi="Arial" w:cs="Arial"/>
          <w:sz w:val="20"/>
        </w:rPr>
        <w:t>is their opposing</w:t>
      </w:r>
      <w:r>
        <w:rPr>
          <w:rFonts w:ascii="Arial" w:hAnsi="Arial" w:cs="Arial"/>
          <w:sz w:val="20"/>
        </w:rPr>
        <w:t xml:space="preserve"> views of the operation of s.389E(1) of the </w:t>
      </w:r>
      <w:r w:rsidRPr="0085189E">
        <w:rPr>
          <w:rFonts w:ascii="Arial" w:hAnsi="Arial" w:cs="Arial"/>
          <w:i/>
          <w:iCs/>
          <w:sz w:val="20"/>
        </w:rPr>
        <w:t>Criminal Procedure Act</w:t>
      </w:r>
      <w:r>
        <w:rPr>
          <w:rFonts w:ascii="Arial" w:hAnsi="Arial" w:cs="Arial"/>
          <w:sz w:val="20"/>
        </w:rPr>
        <w:t xml:space="preserve"> </w:t>
      </w:r>
      <w:r w:rsidRPr="00B13691">
        <w:rPr>
          <w:rFonts w:ascii="Arial" w:hAnsi="Arial" w:cs="Arial"/>
          <w:i/>
          <w:iCs/>
          <w:sz w:val="20"/>
        </w:rPr>
        <w:t>2009</w:t>
      </w:r>
      <w:r>
        <w:rPr>
          <w:rFonts w:ascii="Arial" w:hAnsi="Arial" w:cs="Arial"/>
          <w:sz w:val="20"/>
        </w:rPr>
        <w:t xml:space="preserve"> (Vic).  Under the heading “</w:t>
      </w:r>
      <w:r w:rsidRPr="0051799D">
        <w:rPr>
          <w:rFonts w:ascii="Arial" w:hAnsi="Arial" w:cs="Arial"/>
          <w:b/>
          <w:bCs/>
          <w:sz w:val="20"/>
        </w:rPr>
        <w:t>Directions which may be given at ground rules hearings</w:t>
      </w:r>
      <w:r>
        <w:rPr>
          <w:rFonts w:ascii="Arial" w:hAnsi="Arial" w:cs="Arial"/>
          <w:sz w:val="20"/>
        </w:rPr>
        <w:t>”, s.389E provides as follows:</w:t>
      </w:r>
    </w:p>
    <w:p w14:paraId="5A15CCB6" w14:textId="77777777" w:rsidR="00B13691" w:rsidRPr="0051799D" w:rsidRDefault="00B13691" w:rsidP="00B13691">
      <w:pPr>
        <w:pStyle w:val="DraftHeading2"/>
        <w:tabs>
          <w:tab w:val="right" w:pos="1247"/>
        </w:tabs>
        <w:spacing w:before="60"/>
        <w:ind w:left="908" w:right="454" w:hanging="454"/>
        <w:jc w:val="both"/>
        <w:rPr>
          <w:rFonts w:ascii="Arial" w:hAnsi="Arial" w:cs="Arial"/>
          <w:sz w:val="20"/>
          <w:szCs w:val="20"/>
        </w:rPr>
      </w:pPr>
      <w:r w:rsidRPr="0051799D">
        <w:rPr>
          <w:rFonts w:ascii="Arial" w:hAnsi="Arial" w:cs="Arial"/>
          <w:sz w:val="20"/>
          <w:szCs w:val="20"/>
        </w:rPr>
        <w:t>(1)</w:t>
      </w:r>
      <w:r w:rsidRPr="0051799D">
        <w:rPr>
          <w:rFonts w:ascii="Arial" w:hAnsi="Arial" w:cs="Arial"/>
          <w:sz w:val="20"/>
          <w:szCs w:val="20"/>
        </w:rPr>
        <w:tab/>
        <w:t>At a ground rules hearing, the court may make or vary any direction for the fair and efficient conduct of the proceeding.</w:t>
      </w:r>
    </w:p>
    <w:p w14:paraId="115B4EBB" w14:textId="77777777" w:rsidR="00B13691" w:rsidRPr="0051799D" w:rsidRDefault="00B13691" w:rsidP="00B13691">
      <w:pPr>
        <w:pStyle w:val="DraftHeading2"/>
        <w:tabs>
          <w:tab w:val="right" w:pos="1247"/>
        </w:tabs>
        <w:spacing w:before="60"/>
        <w:ind w:left="908" w:right="454" w:hanging="454"/>
        <w:jc w:val="both"/>
        <w:rPr>
          <w:rFonts w:ascii="Arial" w:hAnsi="Arial" w:cs="Arial"/>
          <w:sz w:val="20"/>
          <w:szCs w:val="20"/>
        </w:rPr>
      </w:pPr>
      <w:r w:rsidRPr="0051799D">
        <w:rPr>
          <w:rFonts w:ascii="Arial" w:hAnsi="Arial" w:cs="Arial"/>
          <w:sz w:val="20"/>
          <w:szCs w:val="20"/>
        </w:rPr>
        <w:t>(2)</w:t>
      </w:r>
      <w:r w:rsidRPr="0051799D">
        <w:rPr>
          <w:rFonts w:ascii="Arial" w:hAnsi="Arial" w:cs="Arial"/>
          <w:sz w:val="20"/>
          <w:szCs w:val="20"/>
        </w:rPr>
        <w:tab/>
        <w:t>Without limiting subsection (1), the court may give one or more of the following directions—</w:t>
      </w:r>
    </w:p>
    <w:p w14:paraId="76E8073D" w14:textId="4DCF402C" w:rsidR="00B13691" w:rsidRPr="0051799D" w:rsidRDefault="00B13691" w:rsidP="00B13691">
      <w:pPr>
        <w:pStyle w:val="DraftHeading3"/>
        <w:tabs>
          <w:tab w:val="right" w:pos="1757"/>
        </w:tabs>
        <w:spacing w:before="0"/>
        <w:ind w:left="1361" w:right="454" w:hanging="454"/>
        <w:jc w:val="both"/>
        <w:rPr>
          <w:rFonts w:ascii="Arial" w:hAnsi="Arial" w:cs="Arial"/>
          <w:sz w:val="20"/>
          <w:szCs w:val="16"/>
        </w:rPr>
      </w:pPr>
      <w:r w:rsidRPr="0051799D">
        <w:rPr>
          <w:rFonts w:ascii="Arial" w:hAnsi="Arial" w:cs="Arial"/>
          <w:sz w:val="20"/>
          <w:szCs w:val="16"/>
        </w:rPr>
        <w:t>(a)</w:t>
      </w:r>
      <w:r w:rsidRPr="0051799D">
        <w:rPr>
          <w:rFonts w:ascii="Arial" w:hAnsi="Arial" w:cs="Arial"/>
          <w:sz w:val="20"/>
          <w:szCs w:val="16"/>
        </w:rPr>
        <w:tab/>
        <w:t>a direction about the manner of questioning a</w:t>
      </w:r>
      <w:r w:rsidR="00520020">
        <w:rPr>
          <w:rFonts w:ascii="Arial" w:hAnsi="Arial" w:cs="Arial"/>
          <w:sz w:val="20"/>
          <w:szCs w:val="16"/>
        </w:rPr>
        <w:t xml:space="preserve"> </w:t>
      </w:r>
      <w:r w:rsidRPr="0051799D">
        <w:rPr>
          <w:rFonts w:ascii="Arial" w:hAnsi="Arial" w:cs="Arial"/>
          <w:sz w:val="20"/>
          <w:szCs w:val="16"/>
        </w:rPr>
        <w:t>witness;</w:t>
      </w:r>
    </w:p>
    <w:p w14:paraId="3E6AAEEA" w14:textId="77777777" w:rsidR="00B13691" w:rsidRPr="0051799D" w:rsidRDefault="00B13691" w:rsidP="00B13691">
      <w:pPr>
        <w:pStyle w:val="DraftHeading3"/>
        <w:tabs>
          <w:tab w:val="right" w:pos="1757"/>
        </w:tabs>
        <w:spacing w:before="0"/>
        <w:ind w:left="1361" w:right="454" w:hanging="454"/>
        <w:jc w:val="both"/>
        <w:rPr>
          <w:rFonts w:ascii="Arial" w:hAnsi="Arial" w:cs="Arial"/>
          <w:sz w:val="20"/>
          <w:szCs w:val="16"/>
        </w:rPr>
      </w:pPr>
      <w:r w:rsidRPr="0051799D">
        <w:rPr>
          <w:rFonts w:ascii="Arial" w:hAnsi="Arial" w:cs="Arial"/>
          <w:sz w:val="20"/>
          <w:szCs w:val="16"/>
        </w:rPr>
        <w:t>(b)</w:t>
      </w:r>
      <w:r w:rsidRPr="0051799D">
        <w:rPr>
          <w:rFonts w:ascii="Arial" w:hAnsi="Arial" w:cs="Arial"/>
          <w:sz w:val="20"/>
          <w:szCs w:val="16"/>
        </w:rPr>
        <w:tab/>
        <w:t>a direction about the duration of questioning a witness;</w:t>
      </w:r>
    </w:p>
    <w:p w14:paraId="1DC5154F" w14:textId="77777777" w:rsidR="00B13691" w:rsidRPr="0051799D" w:rsidRDefault="00B13691" w:rsidP="00B13691">
      <w:pPr>
        <w:pStyle w:val="DraftHeading3"/>
        <w:tabs>
          <w:tab w:val="right" w:pos="1757"/>
        </w:tabs>
        <w:spacing w:before="0"/>
        <w:ind w:left="1361" w:right="454" w:hanging="454"/>
        <w:jc w:val="both"/>
        <w:rPr>
          <w:rFonts w:ascii="Arial" w:hAnsi="Arial" w:cs="Arial"/>
          <w:sz w:val="20"/>
          <w:szCs w:val="16"/>
        </w:rPr>
      </w:pPr>
      <w:r w:rsidRPr="0051799D">
        <w:rPr>
          <w:rFonts w:ascii="Arial" w:hAnsi="Arial" w:cs="Arial"/>
          <w:sz w:val="20"/>
          <w:szCs w:val="16"/>
        </w:rPr>
        <w:t>(c)</w:t>
      </w:r>
      <w:r w:rsidRPr="0051799D">
        <w:rPr>
          <w:rFonts w:ascii="Arial" w:hAnsi="Arial" w:cs="Arial"/>
          <w:sz w:val="20"/>
          <w:szCs w:val="16"/>
        </w:rPr>
        <w:tab/>
        <w:t>a direction about the questions that may or may not be put to a witness;</w:t>
      </w:r>
    </w:p>
    <w:p w14:paraId="2CCF4A6C" w14:textId="77777777" w:rsidR="00B13691" w:rsidRPr="0051799D" w:rsidRDefault="00B13691" w:rsidP="00B13691">
      <w:pPr>
        <w:pStyle w:val="DraftHeading3"/>
        <w:tabs>
          <w:tab w:val="right" w:pos="1757"/>
        </w:tabs>
        <w:spacing w:before="0"/>
        <w:ind w:left="1361" w:right="454" w:hanging="454"/>
        <w:jc w:val="both"/>
        <w:rPr>
          <w:rFonts w:ascii="Arial" w:hAnsi="Arial" w:cs="Arial"/>
          <w:sz w:val="20"/>
          <w:szCs w:val="16"/>
        </w:rPr>
      </w:pPr>
      <w:r w:rsidRPr="0051799D">
        <w:rPr>
          <w:rFonts w:ascii="Arial" w:hAnsi="Arial" w:cs="Arial"/>
          <w:sz w:val="20"/>
          <w:szCs w:val="16"/>
        </w:rPr>
        <w:t>(d)</w:t>
      </w:r>
      <w:r w:rsidRPr="0051799D">
        <w:rPr>
          <w:rFonts w:ascii="Arial" w:hAnsi="Arial" w:cs="Arial"/>
          <w:sz w:val="20"/>
          <w:szCs w:val="16"/>
        </w:rPr>
        <w:tab/>
        <w:t>if there is more than one accused, a direction about the allocation among the accused of the topics about which a witness may be asked;</w:t>
      </w:r>
    </w:p>
    <w:p w14:paraId="2766D918" w14:textId="77777777" w:rsidR="00B13691" w:rsidRPr="0051799D" w:rsidRDefault="00B13691" w:rsidP="00B13691">
      <w:pPr>
        <w:pStyle w:val="DraftHeading3"/>
        <w:tabs>
          <w:tab w:val="right" w:pos="1757"/>
        </w:tabs>
        <w:spacing w:before="0"/>
        <w:ind w:left="1361" w:right="454" w:hanging="454"/>
        <w:jc w:val="both"/>
        <w:rPr>
          <w:rFonts w:ascii="Arial" w:hAnsi="Arial" w:cs="Arial"/>
          <w:sz w:val="20"/>
          <w:szCs w:val="16"/>
        </w:rPr>
      </w:pPr>
      <w:r w:rsidRPr="0051799D">
        <w:rPr>
          <w:rFonts w:ascii="Arial" w:hAnsi="Arial" w:cs="Arial"/>
          <w:sz w:val="20"/>
          <w:szCs w:val="16"/>
        </w:rPr>
        <w:t>(e)</w:t>
      </w:r>
      <w:r w:rsidRPr="0051799D">
        <w:rPr>
          <w:rFonts w:ascii="Arial" w:hAnsi="Arial" w:cs="Arial"/>
          <w:sz w:val="20"/>
          <w:szCs w:val="16"/>
        </w:rPr>
        <w:tab/>
        <w:t>a direction about the use of models, plans, body maps or similar aids to help communicate a question or an answer;</w:t>
      </w:r>
    </w:p>
    <w:p w14:paraId="2FA3289D" w14:textId="77777777" w:rsidR="00B13691" w:rsidRPr="0051799D" w:rsidRDefault="00B13691" w:rsidP="00B13691">
      <w:pPr>
        <w:pStyle w:val="DraftHeading3"/>
        <w:tabs>
          <w:tab w:val="right" w:pos="1757"/>
        </w:tabs>
        <w:spacing w:before="0"/>
        <w:ind w:left="1361" w:right="454" w:hanging="454"/>
        <w:jc w:val="both"/>
        <w:rPr>
          <w:rFonts w:ascii="Arial" w:hAnsi="Arial" w:cs="Arial"/>
          <w:sz w:val="20"/>
          <w:szCs w:val="16"/>
        </w:rPr>
      </w:pPr>
      <w:r w:rsidRPr="0051799D">
        <w:rPr>
          <w:rFonts w:ascii="Arial" w:hAnsi="Arial" w:cs="Arial"/>
          <w:sz w:val="20"/>
          <w:szCs w:val="16"/>
        </w:rPr>
        <w:t>(f)</w:t>
      </w:r>
      <w:r w:rsidRPr="0051799D">
        <w:rPr>
          <w:rFonts w:ascii="Arial" w:hAnsi="Arial" w:cs="Arial"/>
          <w:sz w:val="20"/>
          <w:szCs w:val="16"/>
        </w:rPr>
        <w:tab/>
        <w:t>a direction that if a party intends to lead evidence that contradicts or challenges the evidence of a witness or that otherwise discredits a witness, the party is not obliged to put that evidence in its entirety to the witness in cross-examination.</w:t>
      </w:r>
    </w:p>
    <w:p w14:paraId="2159E009" w14:textId="77777777" w:rsidR="00B13691" w:rsidRPr="0051799D" w:rsidRDefault="00B13691" w:rsidP="00B13691">
      <w:pPr>
        <w:widowControl w:val="0"/>
        <w:jc w:val="both"/>
        <w:rPr>
          <w:rFonts w:ascii="Arial" w:hAnsi="Arial" w:cs="Arial"/>
          <w:sz w:val="20"/>
        </w:rPr>
      </w:pPr>
    </w:p>
    <w:p w14:paraId="11713AC6" w14:textId="4C7A3D3E" w:rsidR="009274E4" w:rsidRPr="009274E4" w:rsidRDefault="009909EA" w:rsidP="009274E4">
      <w:pPr>
        <w:widowControl w:val="0"/>
        <w:jc w:val="both"/>
        <w:rPr>
          <w:rFonts w:ascii="Arial" w:hAnsi="Arial" w:cs="Arial"/>
          <w:sz w:val="20"/>
        </w:rPr>
      </w:pPr>
      <w:r>
        <w:rPr>
          <w:rFonts w:ascii="Arial" w:hAnsi="Arial" w:cs="Arial"/>
          <w:sz w:val="20"/>
        </w:rPr>
        <w:t xml:space="preserve">Contrary to the reasoning at [40] of Priest JA (with whom Emerton P &amp; Macaulay JA agreed) that s.389E did not authorise </w:t>
      </w:r>
      <w:r w:rsidR="006E4A3F">
        <w:rPr>
          <w:rFonts w:ascii="Arial" w:hAnsi="Arial" w:cs="Arial"/>
          <w:sz w:val="20"/>
        </w:rPr>
        <w:t xml:space="preserve">– </w:t>
      </w:r>
      <w:r w:rsidR="00BA1E1D">
        <w:rPr>
          <w:rFonts w:ascii="Arial" w:hAnsi="Arial" w:cs="Arial"/>
          <w:sz w:val="20"/>
        </w:rPr>
        <w:t>“</w:t>
      </w:r>
      <w:r w:rsidR="006E4A3F">
        <w:rPr>
          <w:rFonts w:ascii="Arial" w:hAnsi="Arial" w:cs="Arial"/>
          <w:sz w:val="20"/>
        </w:rPr>
        <w:t xml:space="preserve">either directly or by necessary implication – a private </w:t>
      </w:r>
      <w:r>
        <w:rPr>
          <w:rFonts w:ascii="Arial" w:hAnsi="Arial" w:cs="Arial"/>
          <w:sz w:val="20"/>
        </w:rPr>
        <w:t>meeting</w:t>
      </w:r>
      <w:r w:rsidR="006E4A3F">
        <w:rPr>
          <w:rFonts w:ascii="Arial" w:hAnsi="Arial" w:cs="Arial"/>
          <w:sz w:val="20"/>
        </w:rPr>
        <w:t xml:space="preserve"> between a trial judge (whether or not accompanied by counsel) and a witness outside the courtroom</w:t>
      </w:r>
      <w:r w:rsidR="00BA1E1D">
        <w:rPr>
          <w:rFonts w:ascii="Arial" w:hAnsi="Arial" w:cs="Arial"/>
          <w:sz w:val="20"/>
        </w:rPr>
        <w:t>”, the plurality said at [2]:</w:t>
      </w:r>
    </w:p>
    <w:p w14:paraId="607E6813" w14:textId="77777777" w:rsidR="00BA1E1D" w:rsidRPr="0051799D" w:rsidRDefault="00BA1E1D" w:rsidP="00BA1E1D">
      <w:pPr>
        <w:widowControl w:val="0"/>
        <w:spacing w:before="60"/>
        <w:ind w:left="454" w:right="454"/>
        <w:jc w:val="both"/>
        <w:rPr>
          <w:rFonts w:ascii="Arial" w:hAnsi="Arial" w:cs="Arial"/>
          <w:sz w:val="20"/>
        </w:rPr>
      </w:pPr>
      <w:r>
        <w:rPr>
          <w:rFonts w:ascii="Arial" w:hAnsi="Arial" w:cs="Arial"/>
          <w:sz w:val="20"/>
        </w:rPr>
        <w:t>“</w:t>
      </w:r>
      <w:r w:rsidRPr="0051799D">
        <w:rPr>
          <w:rFonts w:ascii="Arial" w:hAnsi="Arial" w:cs="Arial"/>
          <w:sz w:val="20"/>
        </w:rPr>
        <w:t>The appeal must be allowed. As will be explained, the meeting was authorised under s</w:t>
      </w:r>
      <w:r>
        <w:rPr>
          <w:rFonts w:ascii="Arial" w:hAnsi="Arial" w:cs="Arial"/>
          <w:sz w:val="20"/>
        </w:rPr>
        <w:t> </w:t>
      </w:r>
      <w:r w:rsidRPr="0051799D">
        <w:rPr>
          <w:rFonts w:ascii="Arial" w:hAnsi="Arial" w:cs="Arial"/>
          <w:sz w:val="20"/>
        </w:rPr>
        <w:t xml:space="preserve">389E(1) of the </w:t>
      </w:r>
      <w:r w:rsidRPr="0051799D">
        <w:rPr>
          <w:rFonts w:ascii="Arial" w:hAnsi="Arial" w:cs="Arial"/>
          <w:i/>
          <w:iCs/>
          <w:sz w:val="20"/>
        </w:rPr>
        <w:t xml:space="preserve">Criminal Procedure Act </w:t>
      </w:r>
      <w:r w:rsidRPr="0051799D">
        <w:rPr>
          <w:rFonts w:ascii="Arial" w:hAnsi="Arial" w:cs="Arial"/>
          <w:sz w:val="20"/>
        </w:rPr>
        <w:t>and did not give rise to any fundamental irregularity in the criminal proceeding. Although the meeting created a risk of an irregularity because of what could have occurred at the meeting, no such irregularity in fact occurred.</w:t>
      </w:r>
      <w:r>
        <w:rPr>
          <w:rFonts w:ascii="Arial" w:hAnsi="Arial" w:cs="Arial"/>
          <w:sz w:val="20"/>
        </w:rPr>
        <w:t>”</w:t>
      </w:r>
    </w:p>
    <w:p w14:paraId="6C6B89E0" w14:textId="77777777" w:rsidR="00BA1E1D" w:rsidRDefault="00BA1E1D" w:rsidP="00BA1E1D">
      <w:pPr>
        <w:widowControl w:val="0"/>
        <w:jc w:val="both"/>
        <w:rPr>
          <w:rFonts w:ascii="Arial" w:hAnsi="Arial" w:cs="Arial"/>
          <w:sz w:val="20"/>
        </w:rPr>
      </w:pPr>
    </w:p>
    <w:p w14:paraId="1D27BFF8" w14:textId="0D8F8C48" w:rsidR="00BA1E1D" w:rsidRDefault="00BA1E1D" w:rsidP="00BA1E1D">
      <w:pPr>
        <w:widowControl w:val="0"/>
        <w:jc w:val="both"/>
        <w:rPr>
          <w:rFonts w:ascii="Arial" w:hAnsi="Arial" w:cs="Arial"/>
          <w:sz w:val="20"/>
        </w:rPr>
      </w:pPr>
      <w:r>
        <w:rPr>
          <w:rFonts w:ascii="Arial" w:hAnsi="Arial" w:cs="Arial"/>
          <w:sz w:val="20"/>
        </w:rPr>
        <w:t xml:space="preserve">The plurality held at [59] &amp; [67]-[68] that the meeting did not contravene the relevant provisions of the </w:t>
      </w:r>
      <w:r w:rsidRPr="00BA1E1D">
        <w:rPr>
          <w:rFonts w:ascii="Arial" w:hAnsi="Arial" w:cs="Arial"/>
          <w:i/>
          <w:iCs/>
          <w:sz w:val="20"/>
        </w:rPr>
        <w:t>Charter of Human Rights and Responsibilities Act 2006</w:t>
      </w:r>
      <w:r>
        <w:rPr>
          <w:rFonts w:ascii="Arial" w:hAnsi="Arial" w:cs="Arial"/>
          <w:sz w:val="20"/>
        </w:rPr>
        <w:t xml:space="preserve"> (Vic):</w:t>
      </w:r>
    </w:p>
    <w:p w14:paraId="5AEEB3D1" w14:textId="690660A6" w:rsidR="00BA1E1D" w:rsidRDefault="00BA1E1D" w:rsidP="00BA1E1D">
      <w:pPr>
        <w:widowControl w:val="0"/>
        <w:spacing w:before="60"/>
        <w:ind w:left="454" w:right="454"/>
        <w:jc w:val="both"/>
        <w:rPr>
          <w:rFonts w:ascii="Arial" w:hAnsi="Arial" w:cs="Arial"/>
          <w:sz w:val="20"/>
        </w:rPr>
      </w:pPr>
      <w:r>
        <w:rPr>
          <w:rFonts w:ascii="Arial" w:hAnsi="Arial" w:cs="Arial"/>
          <w:sz w:val="20"/>
        </w:rPr>
        <w:t xml:space="preserve">[59] “The relevant right that a person charged with a criminal offence has under s.24(1) of the Charter is to have the charge against them </w:t>
      </w:r>
      <w:r w:rsidR="00016A6C">
        <w:rPr>
          <w:rFonts w:ascii="Arial" w:hAnsi="Arial" w:cs="Arial"/>
          <w:sz w:val="20"/>
        </w:rPr>
        <w:t>‘</w:t>
      </w:r>
      <w:r>
        <w:rPr>
          <w:rFonts w:ascii="Arial" w:hAnsi="Arial" w:cs="Arial"/>
          <w:sz w:val="20"/>
        </w:rPr>
        <w:t>decided…after a fair and public hearing</w:t>
      </w:r>
      <w:r w:rsidR="00016A6C">
        <w:rPr>
          <w:rFonts w:ascii="Arial" w:hAnsi="Arial" w:cs="Arial"/>
          <w:sz w:val="20"/>
        </w:rPr>
        <w:t>’</w:t>
      </w:r>
      <w:r>
        <w:rPr>
          <w:rFonts w:ascii="Arial" w:hAnsi="Arial" w:cs="Arial"/>
          <w:sz w:val="20"/>
        </w:rPr>
        <w:t xml:space="preserve">.  For the reasons below, the meeting between the complainant, the judge and counsel, which occurred prior to the direction made under s.389E(1) of the </w:t>
      </w:r>
      <w:r w:rsidRPr="0051799D">
        <w:rPr>
          <w:rFonts w:ascii="Arial" w:hAnsi="Arial" w:cs="Arial"/>
          <w:i/>
          <w:iCs/>
          <w:sz w:val="20"/>
        </w:rPr>
        <w:t>Criminal Procedure Ac</w:t>
      </w:r>
      <w:r>
        <w:rPr>
          <w:rFonts w:ascii="Arial" w:hAnsi="Arial" w:cs="Arial"/>
          <w:i/>
          <w:iCs/>
          <w:sz w:val="20"/>
        </w:rPr>
        <w:t>t</w:t>
      </w:r>
      <w:r w:rsidRPr="00BA1E1D">
        <w:rPr>
          <w:rFonts w:ascii="Arial" w:hAnsi="Arial" w:cs="Arial"/>
          <w:sz w:val="20"/>
        </w:rPr>
        <w:t xml:space="preserve">, was not </w:t>
      </w:r>
      <w:r>
        <w:rPr>
          <w:rFonts w:ascii="Arial" w:hAnsi="Arial" w:cs="Arial"/>
          <w:sz w:val="20"/>
        </w:rPr>
        <w:t>itself a ‘hearing’ and nothing that occurred at the meeting was required to occur in a ‘hearing’ in order to be compatible with the right protected by the Charter.”</w:t>
      </w:r>
    </w:p>
    <w:p w14:paraId="1E692DF0" w14:textId="1892A2BA" w:rsidR="00BA1E1D" w:rsidRDefault="00BA1E1D" w:rsidP="00BA1E1D">
      <w:pPr>
        <w:widowControl w:val="0"/>
        <w:spacing w:before="60"/>
        <w:ind w:left="454" w:right="454"/>
        <w:jc w:val="both"/>
        <w:rPr>
          <w:rFonts w:ascii="Arial" w:hAnsi="Arial" w:cs="Arial"/>
          <w:sz w:val="20"/>
        </w:rPr>
      </w:pPr>
      <w:r>
        <w:rPr>
          <w:rFonts w:ascii="Arial" w:hAnsi="Arial" w:cs="Arial"/>
          <w:sz w:val="20"/>
        </w:rPr>
        <w:t xml:space="preserve">[67] “In this case, the direction to hold the meeting made at the ground rules hearing was an exercise of judicial power as it determined that the meeting should be held in order to facilitate the </w:t>
      </w:r>
      <w:r w:rsidR="00752441">
        <w:rPr>
          <w:rFonts w:ascii="Arial" w:hAnsi="Arial" w:cs="Arial"/>
          <w:sz w:val="20"/>
        </w:rPr>
        <w:t>complainant giving evidence at the special hearing.  But it was not proposed that, at the meeting, any judicial power be exercised, and, in fact, no judicial power was exercised.  As such, and contrary to the submissions for the accused, the meeting itself, in contrast to the ground rules hearing, did not have ‘the hallmarks of a hearing’.  No exercise of judicial power of any kind was proposed, or sought, or occurred.  At most, the meeting was preliminary to the proposed exercise of judicial power in the special hearing to be held on the day after the meeting.”</w:t>
      </w:r>
    </w:p>
    <w:p w14:paraId="7485FF2B" w14:textId="7258D123" w:rsidR="00752441" w:rsidRPr="00752441" w:rsidRDefault="00752441" w:rsidP="00752441">
      <w:pPr>
        <w:widowControl w:val="0"/>
        <w:spacing w:before="60"/>
        <w:ind w:left="454" w:right="454"/>
        <w:jc w:val="both"/>
        <w:rPr>
          <w:rFonts w:ascii="Arial" w:hAnsi="Arial" w:cs="Arial"/>
          <w:sz w:val="20"/>
        </w:rPr>
      </w:pPr>
      <w:r>
        <w:rPr>
          <w:rFonts w:ascii="Arial" w:hAnsi="Arial" w:cs="Arial"/>
          <w:sz w:val="20"/>
        </w:rPr>
        <w:t xml:space="preserve">[68] “It would be wrong to construe ‘hearing’ in s.24(1) of the Charter to mean only the ‘trial’ of an accused.  But it would also be wrong to construe s.24(1) as if ‘hearing’ refers to every circumstance involving the exercise of any power, administrative or judicial, which a court might be called upon to exercise in a criminal proceeding. </w:t>
      </w:r>
      <w:r w:rsidRPr="00752441">
        <w:rPr>
          <w:rFonts w:ascii="Arial" w:hAnsi="Arial" w:cs="Arial"/>
          <w:sz w:val="20"/>
        </w:rPr>
        <w:t xml:space="preserve">In conducting (in contrast to directing the holding of) the meeting, the court was not exercising jurisdiction. It was performing a non-judicial function preliminary to the exercise of jurisdiction in holding the </w:t>
      </w:r>
      <w:r w:rsidRPr="00752441">
        <w:rPr>
          <w:rFonts w:ascii="Arial" w:hAnsi="Arial" w:cs="Arial"/>
          <w:sz w:val="20"/>
        </w:rPr>
        <w:lastRenderedPageBreak/>
        <w:t xml:space="preserve">special hearing. Given the carefully calibrated scheme of the </w:t>
      </w:r>
      <w:r w:rsidRPr="00752441">
        <w:rPr>
          <w:rFonts w:ascii="Arial" w:hAnsi="Arial" w:cs="Arial"/>
          <w:i/>
          <w:iCs/>
          <w:sz w:val="20"/>
        </w:rPr>
        <w:t>Criminal Procedure Act</w:t>
      </w:r>
      <w:r w:rsidRPr="00752441">
        <w:rPr>
          <w:rFonts w:ascii="Arial" w:hAnsi="Arial" w:cs="Arial"/>
          <w:sz w:val="20"/>
        </w:rPr>
        <w:t>, there is no basis to construe s 389E(1) more narrowly than its language permits by reason of (non-existent) incompatibility with s 24(1) of the Charter. Section 24(1) of the Charter accordingly furnishes no basis for construing s 389E(1) to exclude power to direct the holding of the meeting.</w:t>
      </w:r>
      <w:r w:rsidR="00DE545C">
        <w:rPr>
          <w:rFonts w:ascii="Arial" w:hAnsi="Arial" w:cs="Arial"/>
          <w:sz w:val="20"/>
        </w:rPr>
        <w:t>”</w:t>
      </w:r>
    </w:p>
    <w:p w14:paraId="2422C63A" w14:textId="77777777" w:rsidR="00BA1E1D" w:rsidRDefault="00BA1E1D" w:rsidP="00BA1E1D">
      <w:pPr>
        <w:widowControl w:val="0"/>
        <w:jc w:val="both"/>
        <w:rPr>
          <w:rFonts w:ascii="Arial" w:hAnsi="Arial" w:cs="Arial"/>
          <w:sz w:val="20"/>
        </w:rPr>
      </w:pPr>
    </w:p>
    <w:p w14:paraId="031A058A" w14:textId="75CF06FE" w:rsidR="00116847" w:rsidRDefault="00DE545C" w:rsidP="00116847">
      <w:pPr>
        <w:widowControl w:val="0"/>
        <w:jc w:val="both"/>
        <w:rPr>
          <w:rFonts w:ascii="Arial" w:hAnsi="Arial" w:cs="Arial"/>
          <w:sz w:val="20"/>
        </w:rPr>
      </w:pPr>
      <w:r>
        <w:rPr>
          <w:rFonts w:ascii="Arial" w:hAnsi="Arial" w:cs="Arial"/>
          <w:sz w:val="20"/>
        </w:rPr>
        <w:t xml:space="preserve">The plurality also </w:t>
      </w:r>
      <w:r w:rsidR="002534D3">
        <w:rPr>
          <w:rFonts w:ascii="Arial" w:hAnsi="Arial" w:cs="Arial"/>
          <w:sz w:val="20"/>
        </w:rPr>
        <w:t>state</w:t>
      </w:r>
      <w:r>
        <w:rPr>
          <w:rFonts w:ascii="Arial" w:hAnsi="Arial" w:cs="Arial"/>
          <w:sz w:val="20"/>
        </w:rPr>
        <w:t>d at [82]-[83] &amp; [91]:</w:t>
      </w:r>
    </w:p>
    <w:p w14:paraId="1DAEB482" w14:textId="25484567" w:rsidR="00DE545C" w:rsidRDefault="00DE545C" w:rsidP="00DE545C">
      <w:pPr>
        <w:widowControl w:val="0"/>
        <w:spacing w:before="60"/>
        <w:ind w:left="454" w:right="454"/>
        <w:jc w:val="both"/>
        <w:rPr>
          <w:rFonts w:ascii="Arial" w:hAnsi="Arial" w:cs="Arial"/>
          <w:sz w:val="20"/>
        </w:rPr>
      </w:pPr>
      <w:r>
        <w:rPr>
          <w:rFonts w:ascii="Arial" w:hAnsi="Arial" w:cs="Arial"/>
          <w:sz w:val="20"/>
        </w:rPr>
        <w:t>[82] “…[N]o authority is to be understood as imposing an absolute rule that an accused must be present throughout their trial to avoid a miscarriage of justice (let alone throughout every administrative or judicial step in a criminal proceeding</w:t>
      </w:r>
      <w:r w:rsidR="004B36F9">
        <w:rPr>
          <w:rFonts w:ascii="Arial" w:hAnsi="Arial" w:cs="Arial"/>
          <w:sz w:val="20"/>
        </w:rPr>
        <w:t>)</w:t>
      </w:r>
      <w:r>
        <w:rPr>
          <w:rFonts w:ascii="Arial" w:hAnsi="Arial" w:cs="Arial"/>
          <w:sz w:val="20"/>
        </w:rPr>
        <w:t xml:space="preserve">.  Even at common law, there are exceptions to this rule: e.g. </w:t>
      </w:r>
      <w:r w:rsidRPr="00DE545C">
        <w:rPr>
          <w:rFonts w:ascii="Arial" w:hAnsi="Arial" w:cs="Arial"/>
          <w:i/>
          <w:iCs/>
          <w:sz w:val="20"/>
        </w:rPr>
        <w:t>R v Gee</w:t>
      </w:r>
      <w:r>
        <w:rPr>
          <w:rFonts w:ascii="Arial" w:hAnsi="Arial" w:cs="Arial"/>
          <w:sz w:val="20"/>
        </w:rPr>
        <w:t xml:space="preserve"> (2012) 113 SASR 372 at 388 [61]-[62]; </w:t>
      </w:r>
      <w:r w:rsidRPr="00DE545C">
        <w:rPr>
          <w:rFonts w:ascii="Arial" w:hAnsi="Arial" w:cs="Arial"/>
          <w:i/>
          <w:iCs/>
          <w:sz w:val="20"/>
        </w:rPr>
        <w:t>R v Chute [No 4]</w:t>
      </w:r>
      <w:r>
        <w:rPr>
          <w:rFonts w:ascii="Arial" w:hAnsi="Arial" w:cs="Arial"/>
          <w:sz w:val="20"/>
        </w:rPr>
        <w:t xml:space="preserve"> (2018) 337 FLR 222 at 243-244 [81]-[82] and the cases cited therein…”</w:t>
      </w:r>
    </w:p>
    <w:p w14:paraId="12ECB607" w14:textId="15714521" w:rsidR="00DE545C" w:rsidRDefault="00DE545C" w:rsidP="00DE545C">
      <w:pPr>
        <w:widowControl w:val="0"/>
        <w:spacing w:before="60"/>
        <w:ind w:left="454" w:right="454"/>
        <w:jc w:val="both"/>
        <w:rPr>
          <w:rFonts w:ascii="Arial" w:hAnsi="Arial" w:cs="Arial"/>
          <w:sz w:val="20"/>
        </w:rPr>
      </w:pPr>
      <w:r>
        <w:rPr>
          <w:rFonts w:ascii="Arial" w:hAnsi="Arial" w:cs="Arial"/>
          <w:sz w:val="20"/>
        </w:rPr>
        <w:t xml:space="preserve">[83] “…The Court of Appeal was wrong to conclude that s.389E(1) of the </w:t>
      </w:r>
      <w:r w:rsidRPr="002534D3">
        <w:rPr>
          <w:rFonts w:ascii="Arial" w:hAnsi="Arial" w:cs="Arial"/>
          <w:i/>
          <w:iCs/>
          <w:sz w:val="20"/>
        </w:rPr>
        <w:t>Criminal Procedure Act</w:t>
      </w:r>
      <w:r>
        <w:rPr>
          <w:rFonts w:ascii="Arial" w:hAnsi="Arial" w:cs="Arial"/>
          <w:sz w:val="20"/>
        </w:rPr>
        <w:t xml:space="preserve"> does not authorise the direction of ‘a private meeting between a trial judge </w:t>
      </w:r>
      <w:r w:rsidR="002534D3">
        <w:rPr>
          <w:rFonts w:ascii="Arial" w:hAnsi="Arial" w:cs="Arial"/>
          <w:sz w:val="20"/>
        </w:rPr>
        <w:t xml:space="preserve">(whether or not accompanied by counsel) and a witness outside the courtroom’.  </w:t>
      </w:r>
      <w:r w:rsidR="002534D3" w:rsidRPr="002534D3">
        <w:rPr>
          <w:rFonts w:ascii="Arial" w:hAnsi="Arial" w:cs="Arial"/>
          <w:i/>
          <w:iCs/>
          <w:sz w:val="20"/>
        </w:rPr>
        <w:t>Alec</w:t>
      </w:r>
      <w:r w:rsidR="002534D3">
        <w:rPr>
          <w:rFonts w:ascii="Arial" w:hAnsi="Arial" w:cs="Arial"/>
          <w:sz w:val="20"/>
        </w:rPr>
        <w:t xml:space="preserve"> does not support that statement.  </w:t>
      </w:r>
      <w:r w:rsidR="002534D3" w:rsidRPr="002534D3">
        <w:rPr>
          <w:rFonts w:ascii="Arial" w:hAnsi="Arial" w:cs="Arial"/>
          <w:b/>
          <w:bCs/>
          <w:sz w:val="20"/>
        </w:rPr>
        <w:t>The issue is not lack of power, but</w:t>
      </w:r>
      <w:r w:rsidR="002534D3">
        <w:rPr>
          <w:rFonts w:ascii="Arial" w:hAnsi="Arial" w:cs="Arial"/>
          <w:sz w:val="20"/>
        </w:rPr>
        <w:t xml:space="preserve"> (as the reasoning in </w:t>
      </w:r>
      <w:r w:rsidR="002534D3" w:rsidRPr="002534D3">
        <w:rPr>
          <w:rFonts w:ascii="Arial" w:hAnsi="Arial" w:cs="Arial"/>
          <w:i/>
          <w:iCs/>
          <w:sz w:val="20"/>
        </w:rPr>
        <w:t>Alec</w:t>
      </w:r>
      <w:r w:rsidR="002534D3">
        <w:rPr>
          <w:rFonts w:ascii="Arial" w:hAnsi="Arial" w:cs="Arial"/>
          <w:sz w:val="20"/>
        </w:rPr>
        <w:t xml:space="preserve"> correctly exposes at [32]-[38]) </w:t>
      </w:r>
      <w:r w:rsidR="002534D3" w:rsidRPr="002534D3">
        <w:rPr>
          <w:rFonts w:ascii="Arial" w:hAnsi="Arial" w:cs="Arial"/>
          <w:b/>
          <w:bCs/>
          <w:sz w:val="20"/>
        </w:rPr>
        <w:t>the apprehension of bias that ordinarily would arise if a judge met a witness in the absence of legal representatives for all parties.</w:t>
      </w:r>
      <w:r w:rsidR="002534D3">
        <w:rPr>
          <w:rFonts w:ascii="Arial" w:hAnsi="Arial" w:cs="Arial"/>
          <w:sz w:val="20"/>
        </w:rPr>
        <w:t>” [emphasis added]</w:t>
      </w:r>
    </w:p>
    <w:p w14:paraId="72389F65" w14:textId="419216C8" w:rsidR="002534D3" w:rsidRDefault="002534D3" w:rsidP="00DE545C">
      <w:pPr>
        <w:widowControl w:val="0"/>
        <w:spacing w:before="60"/>
        <w:ind w:left="454" w:right="454"/>
        <w:jc w:val="both"/>
        <w:rPr>
          <w:rFonts w:ascii="Arial" w:hAnsi="Arial" w:cs="Arial"/>
          <w:sz w:val="20"/>
        </w:rPr>
      </w:pPr>
      <w:r>
        <w:rPr>
          <w:rFonts w:ascii="Arial" w:hAnsi="Arial" w:cs="Arial"/>
          <w:sz w:val="20"/>
        </w:rPr>
        <w:t>[91] “Neither the occurrence of the meeting (in the unchallengeable circumstances in which and as it occurred) nor the admission into evidence at the trial of the accused of the recording of the special hearing constituted or would constitute a fundamental irregularity in the trial process.  This is because, in the circumstances in which and as the meeting occurred, it cannot be concluded that ‘a fair-minded lay observer might reasonably apprehend that the judge might not b</w:t>
      </w:r>
      <w:r w:rsidR="004B36F9">
        <w:rPr>
          <w:rFonts w:ascii="Arial" w:hAnsi="Arial" w:cs="Arial"/>
          <w:sz w:val="20"/>
        </w:rPr>
        <w:t>r</w:t>
      </w:r>
      <w:r>
        <w:rPr>
          <w:rFonts w:ascii="Arial" w:hAnsi="Arial" w:cs="Arial"/>
          <w:sz w:val="20"/>
        </w:rPr>
        <w:t xml:space="preserve">ing an impartial mind to the resolution of the question the judge is required to decide’: </w:t>
      </w:r>
      <w:proofErr w:type="spellStart"/>
      <w:r w:rsidRPr="002534D3">
        <w:rPr>
          <w:rFonts w:ascii="Arial" w:hAnsi="Arial" w:cs="Arial"/>
          <w:i/>
          <w:iCs/>
          <w:sz w:val="20"/>
        </w:rPr>
        <w:t>Charisteas</w:t>
      </w:r>
      <w:proofErr w:type="spellEnd"/>
      <w:r w:rsidRPr="002534D3">
        <w:rPr>
          <w:rFonts w:ascii="Arial" w:hAnsi="Arial" w:cs="Arial"/>
          <w:i/>
          <w:iCs/>
          <w:sz w:val="20"/>
        </w:rPr>
        <w:t xml:space="preserve"> v </w:t>
      </w:r>
      <w:proofErr w:type="spellStart"/>
      <w:r w:rsidRPr="002534D3">
        <w:rPr>
          <w:rFonts w:ascii="Arial" w:hAnsi="Arial" w:cs="Arial"/>
          <w:i/>
          <w:iCs/>
          <w:sz w:val="20"/>
        </w:rPr>
        <w:t>Charisteas</w:t>
      </w:r>
      <w:proofErr w:type="spellEnd"/>
      <w:r>
        <w:rPr>
          <w:rFonts w:ascii="Arial" w:hAnsi="Arial" w:cs="Arial"/>
          <w:sz w:val="20"/>
        </w:rPr>
        <w:t xml:space="preserve"> (2021) 273 CLR 289 at 296 [11], applying </w:t>
      </w:r>
      <w:r w:rsidRPr="002534D3">
        <w:rPr>
          <w:rFonts w:ascii="Arial" w:hAnsi="Arial" w:cs="Arial"/>
          <w:i/>
          <w:iCs/>
          <w:sz w:val="20"/>
        </w:rPr>
        <w:t>Ebner v Official Trustee in Bankruptcy</w:t>
      </w:r>
      <w:r>
        <w:rPr>
          <w:rFonts w:ascii="Arial" w:hAnsi="Arial" w:cs="Arial"/>
          <w:sz w:val="20"/>
        </w:rPr>
        <w:t xml:space="preserve"> (2000) 205 CLR 337.”</w:t>
      </w:r>
    </w:p>
    <w:p w14:paraId="63D86756" w14:textId="77777777" w:rsidR="00351DB0" w:rsidRDefault="00351DB0" w:rsidP="006461A4">
      <w:pPr>
        <w:widowControl w:val="0"/>
        <w:jc w:val="both"/>
        <w:rPr>
          <w:rFonts w:ascii="Arial" w:hAnsi="Arial" w:cs="Arial"/>
          <w:sz w:val="20"/>
        </w:rPr>
      </w:pPr>
    </w:p>
    <w:p w14:paraId="175FDE8F" w14:textId="1DF47E9B" w:rsidR="00DE545C" w:rsidRDefault="002534D3" w:rsidP="006461A4">
      <w:pPr>
        <w:widowControl w:val="0"/>
        <w:jc w:val="both"/>
        <w:rPr>
          <w:rFonts w:ascii="Arial" w:hAnsi="Arial" w:cs="Arial"/>
          <w:sz w:val="20"/>
        </w:rPr>
      </w:pPr>
      <w:r>
        <w:rPr>
          <w:rFonts w:ascii="Arial" w:hAnsi="Arial" w:cs="Arial"/>
          <w:sz w:val="20"/>
        </w:rPr>
        <w:t xml:space="preserve">By contrast, at [104]-[106] Edelman took a totally different view of the </w:t>
      </w:r>
      <w:r w:rsidR="00E25C2E">
        <w:rPr>
          <w:rFonts w:ascii="Arial" w:hAnsi="Arial" w:cs="Arial"/>
          <w:sz w:val="20"/>
        </w:rPr>
        <w:t xml:space="preserve">width of the </w:t>
      </w:r>
      <w:r>
        <w:rPr>
          <w:rFonts w:ascii="Arial" w:hAnsi="Arial" w:cs="Arial"/>
          <w:sz w:val="20"/>
        </w:rPr>
        <w:t xml:space="preserve">power conferred by s.389E(1) of the </w:t>
      </w:r>
      <w:r w:rsidRPr="002534D3">
        <w:rPr>
          <w:rFonts w:ascii="Arial" w:hAnsi="Arial" w:cs="Arial"/>
          <w:i/>
          <w:iCs/>
          <w:sz w:val="20"/>
        </w:rPr>
        <w:t>Criminal Procedure Act 2009</w:t>
      </w:r>
      <w:r>
        <w:rPr>
          <w:rFonts w:ascii="Arial" w:hAnsi="Arial" w:cs="Arial"/>
          <w:sz w:val="20"/>
        </w:rPr>
        <w:t>:</w:t>
      </w:r>
    </w:p>
    <w:p w14:paraId="6A696387" w14:textId="1A7B235E" w:rsidR="00E25C2E" w:rsidRDefault="00E25C2E" w:rsidP="00E25C2E">
      <w:pPr>
        <w:widowControl w:val="0"/>
        <w:spacing w:before="60"/>
        <w:ind w:left="454" w:right="454"/>
        <w:jc w:val="both"/>
        <w:rPr>
          <w:rFonts w:ascii="Arial" w:hAnsi="Arial" w:cs="Arial"/>
          <w:sz w:val="20"/>
        </w:rPr>
      </w:pPr>
      <w:r>
        <w:rPr>
          <w:rFonts w:ascii="Arial" w:hAnsi="Arial" w:cs="Arial"/>
          <w:sz w:val="20"/>
        </w:rPr>
        <w:t>[104] “</w:t>
      </w:r>
      <w:r w:rsidRPr="00E25C2E">
        <w:rPr>
          <w:rFonts w:ascii="Arial" w:hAnsi="Arial" w:cs="Arial"/>
          <w:sz w:val="20"/>
        </w:rPr>
        <w:t xml:space="preserve">The private meeting from which the accused was excluded was a well-intentioned attempt to address an understandable concern with the discomfort of a nervous child complainant before the difficult experience of giving evidence. But there were other ways of addressing this concern. In both </w:t>
      </w:r>
      <w:r w:rsidRPr="00E25C2E">
        <w:rPr>
          <w:rFonts w:ascii="Arial" w:hAnsi="Arial" w:cs="Arial"/>
          <w:i/>
          <w:iCs/>
          <w:sz w:val="20"/>
        </w:rPr>
        <w:t xml:space="preserve">Alec (a pseudonym) v The King </w:t>
      </w:r>
      <w:r w:rsidRPr="00E25C2E">
        <w:rPr>
          <w:rFonts w:ascii="Arial" w:hAnsi="Arial" w:cs="Arial"/>
          <w:sz w:val="20"/>
        </w:rPr>
        <w:t xml:space="preserve">and this proceeding the Court of Appeal was correct that the directions to hold private meetings with the complainants were irregular, particularly as the directions were made, and the private hearings were attended, by the judges who then presided over the special hearings. </w:t>
      </w:r>
      <w:r w:rsidRPr="00E25C2E">
        <w:rPr>
          <w:rFonts w:ascii="Arial" w:hAnsi="Arial" w:cs="Arial"/>
          <w:b/>
          <w:bCs/>
          <w:sz w:val="20"/>
        </w:rPr>
        <w:t>In neither case did the directions fall within the power under s 389E(1) to make directions ‘for the fair and efficient conduct of the proceeding’.</w:t>
      </w:r>
      <w:r w:rsidRPr="00E25C2E">
        <w:rPr>
          <w:rFonts w:ascii="Arial" w:hAnsi="Arial" w:cs="Arial"/>
          <w:sz w:val="20"/>
        </w:rPr>
        <w:t xml:space="preserve"> To the contrary, in both cases the meetings caused inefficiency and had the potential to undermine the fairness ideals of the system of criminal justice. This conclusion is powerfully reinforced by the </w:t>
      </w:r>
      <w:r w:rsidRPr="00E25C2E">
        <w:rPr>
          <w:rFonts w:ascii="Arial" w:hAnsi="Arial" w:cs="Arial"/>
          <w:i/>
          <w:iCs/>
          <w:sz w:val="20"/>
        </w:rPr>
        <w:t xml:space="preserve">Charter of Human Rights and Responsibilities Act 2006 </w:t>
      </w:r>
      <w:r w:rsidRPr="00E25C2E">
        <w:rPr>
          <w:rFonts w:ascii="Arial" w:hAnsi="Arial" w:cs="Arial"/>
          <w:sz w:val="20"/>
        </w:rPr>
        <w:t>(Vic)</w:t>
      </w:r>
      <w:r>
        <w:rPr>
          <w:rFonts w:ascii="Arial" w:hAnsi="Arial" w:cs="Arial"/>
          <w:sz w:val="20"/>
        </w:rPr>
        <w:t>.” [emphasis added]</w:t>
      </w:r>
    </w:p>
    <w:p w14:paraId="55E9211B" w14:textId="37331F64" w:rsidR="00E25C2E" w:rsidRDefault="00E25C2E" w:rsidP="00E25C2E">
      <w:pPr>
        <w:widowControl w:val="0"/>
        <w:spacing w:before="60"/>
        <w:ind w:left="454" w:right="454"/>
        <w:jc w:val="both"/>
        <w:rPr>
          <w:rFonts w:ascii="Arial" w:hAnsi="Arial" w:cs="Arial"/>
          <w:sz w:val="20"/>
        </w:rPr>
      </w:pPr>
      <w:r>
        <w:rPr>
          <w:rFonts w:ascii="Arial" w:hAnsi="Arial" w:cs="Arial"/>
          <w:sz w:val="20"/>
        </w:rPr>
        <w:t xml:space="preserve">[105] </w:t>
      </w:r>
      <w:r w:rsidRPr="00E25C2E">
        <w:rPr>
          <w:rFonts w:ascii="Arial" w:hAnsi="Arial" w:cs="Arial"/>
          <w:sz w:val="20"/>
        </w:rPr>
        <w:t>In the present proceeding, what would have happened if the complainant had said something at the private meeting which was relevant to a fact in issue at the trial? If the precise content of that statement were disputed by the complainant, could counsel for the accused have given evidence about it at the trial?</w:t>
      </w:r>
      <w:r>
        <w:rPr>
          <w:rFonts w:ascii="Arial" w:hAnsi="Arial" w:cs="Arial"/>
          <w:sz w:val="20"/>
        </w:rPr>
        <w:t xml:space="preserve"> See s.43 </w:t>
      </w:r>
      <w:r w:rsidRPr="00E25C2E">
        <w:rPr>
          <w:rFonts w:ascii="Arial" w:hAnsi="Arial" w:cs="Arial"/>
          <w:i/>
          <w:iCs/>
          <w:sz w:val="20"/>
        </w:rPr>
        <w:t>Evidence Act 2008</w:t>
      </w:r>
      <w:r>
        <w:rPr>
          <w:rFonts w:ascii="Arial" w:hAnsi="Arial" w:cs="Arial"/>
          <w:sz w:val="20"/>
        </w:rPr>
        <w:t xml:space="preserve"> (Vic). </w:t>
      </w:r>
      <w:r w:rsidRPr="00E25C2E">
        <w:rPr>
          <w:rFonts w:ascii="Arial" w:hAnsi="Arial" w:cs="Arial"/>
          <w:sz w:val="20"/>
        </w:rPr>
        <w:t>Would the accused then have been required to obtain new counsel? Could the judge have referred to their recollection of the statement? What would have happened if comments or conduct by the judge at the private meeting were considered by counsel for the accused as demonstrating an apprehension of bias? Who could have given evidence and been cross-examined on the appeal if the judge refused an</w:t>
      </w:r>
      <w:r>
        <w:rPr>
          <w:rFonts w:ascii="Arial" w:hAnsi="Arial" w:cs="Arial"/>
          <w:sz w:val="20"/>
        </w:rPr>
        <w:t xml:space="preserve"> application for recusal but the judge’s factual account of the comments or conduct at the private meeting was disputed or said to be incomplete?</w:t>
      </w:r>
    </w:p>
    <w:p w14:paraId="48A77E93" w14:textId="0CAC8699" w:rsidR="00E25C2E" w:rsidRDefault="00E25C2E" w:rsidP="00E25C2E">
      <w:pPr>
        <w:widowControl w:val="0"/>
        <w:spacing w:before="60"/>
        <w:ind w:left="454" w:right="454"/>
        <w:jc w:val="both"/>
        <w:rPr>
          <w:rFonts w:ascii="Arial" w:hAnsi="Arial" w:cs="Arial"/>
          <w:sz w:val="20"/>
        </w:rPr>
      </w:pPr>
      <w:r>
        <w:rPr>
          <w:rFonts w:ascii="Arial" w:hAnsi="Arial" w:cs="Arial"/>
          <w:sz w:val="20"/>
        </w:rPr>
        <w:t xml:space="preserve">[106] </w:t>
      </w:r>
      <w:r w:rsidRPr="00E25C2E">
        <w:rPr>
          <w:rFonts w:ascii="Arial" w:hAnsi="Arial" w:cs="Arial"/>
          <w:sz w:val="20"/>
        </w:rPr>
        <w:t>Ultimately, however, in the circumstances of this case, the private meeting, whilst irregular, did not amount to a fundamental irregularity. For the reasons below, the Court of Appeal was correct to answer the questions reserved to the effect that the private meeting was irregular but was not correct to conclude that the private meeting was a fundamental irregularity which required the evidence of the complainant to be retaken at another special hearing before a different judge. Although my conclusion differs from the Court of Appeal in part, my conclusion is heavily dependent upon the limited facts before this Court; I</w:t>
      </w:r>
      <w:r>
        <w:rPr>
          <w:rFonts w:ascii="Arial" w:hAnsi="Arial" w:cs="Arial"/>
          <w:sz w:val="20"/>
        </w:rPr>
        <w:t> </w:t>
      </w:r>
      <w:r w:rsidRPr="00E25C2E">
        <w:rPr>
          <w:rFonts w:ascii="Arial" w:hAnsi="Arial" w:cs="Arial"/>
          <w:sz w:val="20"/>
        </w:rPr>
        <w:t>acknowledge the real force in the reasoning of the Court of Appeal and the grave dangers of private meetings in advance of trial that are attended by a judge and a prosecution witness.</w:t>
      </w:r>
      <w:r>
        <w:rPr>
          <w:rFonts w:ascii="Arial" w:hAnsi="Arial" w:cs="Arial"/>
          <w:sz w:val="20"/>
        </w:rPr>
        <w:t>”</w:t>
      </w:r>
    </w:p>
    <w:p w14:paraId="4D1B40AC" w14:textId="77777777" w:rsidR="00DE545C" w:rsidRDefault="00DE545C" w:rsidP="006461A4">
      <w:pPr>
        <w:widowControl w:val="0"/>
        <w:jc w:val="both"/>
        <w:rPr>
          <w:rFonts w:ascii="Arial" w:hAnsi="Arial" w:cs="Arial"/>
          <w:sz w:val="20"/>
        </w:rPr>
      </w:pPr>
    </w:p>
    <w:p w14:paraId="25FCCE00" w14:textId="48C15C89" w:rsidR="0085189E" w:rsidRDefault="00E25C2E" w:rsidP="0085189E">
      <w:pPr>
        <w:widowControl w:val="0"/>
        <w:jc w:val="both"/>
        <w:rPr>
          <w:rFonts w:ascii="Arial" w:hAnsi="Arial" w:cs="Arial"/>
          <w:sz w:val="20"/>
        </w:rPr>
      </w:pPr>
      <w:r>
        <w:rPr>
          <w:rFonts w:ascii="Arial" w:hAnsi="Arial" w:cs="Arial"/>
          <w:sz w:val="20"/>
        </w:rPr>
        <w:lastRenderedPageBreak/>
        <w:t>Ultimately, in his concluding paragraph Edelman J summarised the essential disparity between the two High Court judgments as follows:</w:t>
      </w:r>
    </w:p>
    <w:p w14:paraId="08F86CCA" w14:textId="60129CBD" w:rsidR="00E25C2E" w:rsidRDefault="00E25C2E" w:rsidP="00E25C2E">
      <w:pPr>
        <w:widowControl w:val="0"/>
        <w:spacing w:before="60"/>
        <w:ind w:left="454" w:right="454"/>
        <w:jc w:val="both"/>
        <w:rPr>
          <w:rFonts w:ascii="Arial" w:hAnsi="Arial" w:cs="Arial"/>
          <w:sz w:val="20"/>
        </w:rPr>
      </w:pPr>
      <w:r>
        <w:rPr>
          <w:rFonts w:ascii="Arial" w:hAnsi="Arial" w:cs="Arial"/>
          <w:sz w:val="20"/>
        </w:rPr>
        <w:t xml:space="preserve">[167] </w:t>
      </w:r>
      <w:r w:rsidR="008B3398">
        <w:rPr>
          <w:rFonts w:ascii="Arial" w:hAnsi="Arial" w:cs="Arial"/>
          <w:sz w:val="20"/>
        </w:rPr>
        <w:t>“</w:t>
      </w:r>
      <w:r w:rsidRPr="0085189E">
        <w:rPr>
          <w:rFonts w:ascii="Arial" w:hAnsi="Arial" w:cs="Arial"/>
          <w:sz w:val="20"/>
        </w:rPr>
        <w:t>The most crucial point of difference in my reasoning from that of the majority is that I</w:t>
      </w:r>
      <w:r w:rsidR="008B3398">
        <w:rPr>
          <w:rFonts w:ascii="Arial" w:hAnsi="Arial" w:cs="Arial"/>
          <w:sz w:val="20"/>
        </w:rPr>
        <w:t> </w:t>
      </w:r>
      <w:r w:rsidRPr="0085189E">
        <w:rPr>
          <w:rFonts w:ascii="Arial" w:hAnsi="Arial" w:cs="Arial"/>
          <w:sz w:val="20"/>
        </w:rPr>
        <w:t xml:space="preserve">do not accept that s 389E(1) of the </w:t>
      </w:r>
      <w:r w:rsidRPr="0085189E">
        <w:rPr>
          <w:rFonts w:ascii="Arial" w:hAnsi="Arial" w:cs="Arial"/>
          <w:i/>
          <w:iCs/>
          <w:sz w:val="20"/>
        </w:rPr>
        <w:t xml:space="preserve">Criminal Procedure Act </w:t>
      </w:r>
      <w:r w:rsidRPr="0085189E">
        <w:rPr>
          <w:rFonts w:ascii="Arial" w:hAnsi="Arial" w:cs="Arial"/>
          <w:sz w:val="20"/>
        </w:rPr>
        <w:t>empowered the court to direct that a private meeting take place between the judge, counsel and a witness, in the absence of the accused. The reasoning of the majority has the effect that, unless and until it is amended, s</w:t>
      </w:r>
      <w:r w:rsidR="008B3398">
        <w:rPr>
          <w:rFonts w:ascii="Arial" w:hAnsi="Arial" w:cs="Arial"/>
          <w:sz w:val="20"/>
        </w:rPr>
        <w:t> </w:t>
      </w:r>
      <w:r w:rsidRPr="0085189E">
        <w:rPr>
          <w:rFonts w:ascii="Arial" w:hAnsi="Arial" w:cs="Arial"/>
          <w:sz w:val="20"/>
        </w:rPr>
        <w:t xml:space="preserve">389E(1) of the </w:t>
      </w:r>
      <w:r w:rsidRPr="0085189E">
        <w:rPr>
          <w:rFonts w:ascii="Arial" w:hAnsi="Arial" w:cs="Arial"/>
          <w:i/>
          <w:iCs/>
          <w:sz w:val="20"/>
        </w:rPr>
        <w:t xml:space="preserve">Criminal Procedure Act </w:t>
      </w:r>
      <w:r w:rsidRPr="0085189E">
        <w:rPr>
          <w:rFonts w:ascii="Arial" w:hAnsi="Arial" w:cs="Arial"/>
          <w:sz w:val="20"/>
        </w:rPr>
        <w:t>will confer a discretion upon the Victorian judiciary to give directions for private meetings between a judge and a witness but excluding the accused, at least where those private meetings are also attended by counsel. Whether it would be wise for such directions to be given is another question.</w:t>
      </w:r>
      <w:r w:rsidR="008B3398">
        <w:rPr>
          <w:rFonts w:ascii="Arial" w:hAnsi="Arial" w:cs="Arial"/>
          <w:sz w:val="20"/>
        </w:rPr>
        <w:t>”</w:t>
      </w:r>
    </w:p>
    <w:p w14:paraId="5CC648DC" w14:textId="77777777" w:rsidR="0085189E" w:rsidRPr="002F1E7F" w:rsidRDefault="0085189E" w:rsidP="006461A4">
      <w:pPr>
        <w:widowControl w:val="0"/>
        <w:jc w:val="both"/>
        <w:rPr>
          <w:rFonts w:ascii="Arial" w:hAnsi="Arial" w:cs="Arial"/>
          <w:sz w:val="20"/>
        </w:rPr>
      </w:pPr>
    </w:p>
    <w:p w14:paraId="7C27D093" w14:textId="27565338" w:rsidR="005619BF" w:rsidRDefault="005619BF" w:rsidP="005619BF">
      <w:pPr>
        <w:pStyle w:val="Heading3"/>
        <w:keepNext/>
        <w:keepLines/>
        <w:spacing w:after="120" w:line="240" w:lineRule="auto"/>
        <w:rPr>
          <w:rFonts w:ascii="Arial" w:hAnsi="Arial" w:cs="Arial"/>
          <w:b/>
          <w:bCs/>
          <w:sz w:val="20"/>
        </w:rPr>
      </w:pPr>
      <w:bookmarkStart w:id="442" w:name="_2.7.1_Section_523_1"/>
      <w:bookmarkEnd w:id="439"/>
      <w:bookmarkEnd w:id="442"/>
      <w:r>
        <w:rPr>
          <w:rFonts w:ascii="Arial" w:hAnsi="Arial" w:cs="Arial"/>
          <w:b/>
          <w:bCs/>
          <w:sz w:val="20"/>
        </w:rPr>
        <w:t>2.7.1</w:t>
      </w:r>
      <w:r>
        <w:rPr>
          <w:rFonts w:ascii="Arial" w:hAnsi="Arial" w:cs="Arial"/>
          <w:b/>
          <w:bCs/>
          <w:sz w:val="20"/>
        </w:rPr>
        <w:tab/>
      </w:r>
      <w:bookmarkStart w:id="443" w:name="_Hlk147328009"/>
      <w:r>
        <w:rPr>
          <w:rFonts w:ascii="Arial" w:hAnsi="Arial" w:cs="Arial"/>
          <w:b/>
          <w:bCs/>
          <w:sz w:val="20"/>
        </w:rPr>
        <w:t>Section 523 of the CYFA</w:t>
      </w:r>
      <w:r w:rsidR="00455703">
        <w:rPr>
          <w:rFonts w:ascii="Arial" w:hAnsi="Arial" w:cs="Arial"/>
          <w:b/>
          <w:bCs/>
          <w:sz w:val="20"/>
        </w:rPr>
        <w:t xml:space="preserve"> and sections 8A &amp; 8B of the </w:t>
      </w:r>
      <w:r w:rsidR="00455703" w:rsidRPr="004C64DA">
        <w:rPr>
          <w:rFonts w:ascii="Arial" w:hAnsi="Arial" w:cs="Arial"/>
          <w:b/>
          <w:bCs/>
          <w:sz w:val="20"/>
        </w:rPr>
        <w:t>Open Courts Act 2013</w:t>
      </w:r>
      <w:bookmarkEnd w:id="443"/>
    </w:p>
    <w:p w14:paraId="1E799D3A" w14:textId="2C8C8372" w:rsidR="006545C9" w:rsidRDefault="00277B85" w:rsidP="00E54921">
      <w:pPr>
        <w:jc w:val="both"/>
        <w:rPr>
          <w:rFonts w:ascii="Arial" w:hAnsi="Arial" w:cs="Arial"/>
          <w:sz w:val="20"/>
        </w:rPr>
      </w:pPr>
      <w:r>
        <w:rPr>
          <w:rFonts w:ascii="Arial" w:hAnsi="Arial" w:cs="Arial"/>
          <w:sz w:val="20"/>
        </w:rPr>
        <w:t xml:space="preserve">Prior to the commencement of the </w:t>
      </w:r>
      <w:r w:rsidRPr="005161F3">
        <w:rPr>
          <w:rFonts w:ascii="Arial" w:hAnsi="Arial" w:cs="Arial"/>
          <w:i/>
          <w:iCs/>
          <w:sz w:val="20"/>
        </w:rPr>
        <w:t>Children and Young Persons Act 1989</w:t>
      </w:r>
      <w:r w:rsidR="006027E2">
        <w:rPr>
          <w:rFonts w:ascii="Arial" w:hAnsi="Arial" w:cs="Arial"/>
          <w:sz w:val="20"/>
        </w:rPr>
        <w:t xml:space="preserve"> </w:t>
      </w:r>
      <w:r w:rsidR="006027E2">
        <w:rPr>
          <w:rFonts w:ascii="Arial" w:hAnsi="Arial" w:cs="Arial"/>
          <w:color w:val="000000"/>
          <w:sz w:val="20"/>
        </w:rPr>
        <w:t>['CYPA']</w:t>
      </w:r>
      <w:r>
        <w:rPr>
          <w:rFonts w:ascii="Arial" w:hAnsi="Arial" w:cs="Arial"/>
          <w:sz w:val="20"/>
        </w:rPr>
        <w:t xml:space="preserve">, proceedings in the Children's Court were closed to the public.  Without leave of the Court, the only persons who could attend were the child, a parent or guardian of the child, the child's legal representative and representatives of various service providers.  That was changed </w:t>
      </w:r>
      <w:r w:rsidR="00DA0C37">
        <w:rPr>
          <w:rFonts w:ascii="Arial" w:hAnsi="Arial" w:cs="Arial"/>
          <w:sz w:val="20"/>
        </w:rPr>
        <w:t xml:space="preserve">in 1991 </w:t>
      </w:r>
      <w:r>
        <w:rPr>
          <w:rFonts w:ascii="Arial" w:hAnsi="Arial" w:cs="Arial"/>
          <w:sz w:val="20"/>
        </w:rPr>
        <w:t xml:space="preserve">by s.19 of the </w:t>
      </w:r>
      <w:r w:rsidR="006027E2">
        <w:rPr>
          <w:rFonts w:ascii="Arial" w:hAnsi="Arial" w:cs="Arial"/>
          <w:sz w:val="20"/>
        </w:rPr>
        <w:t>CYPA</w:t>
      </w:r>
      <w:r w:rsidR="00D52216">
        <w:rPr>
          <w:rFonts w:ascii="Arial" w:hAnsi="Arial" w:cs="Arial"/>
          <w:sz w:val="20"/>
        </w:rPr>
        <w:t xml:space="preserve"> and the change has been continued by </w:t>
      </w:r>
      <w:r w:rsidR="00DA0C37">
        <w:rPr>
          <w:rFonts w:ascii="Arial" w:hAnsi="Arial" w:cs="Arial"/>
          <w:sz w:val="20"/>
        </w:rPr>
        <w:t>s</w:t>
      </w:r>
      <w:r w:rsidR="00D52216">
        <w:rPr>
          <w:rFonts w:ascii="Arial" w:hAnsi="Arial" w:cs="Arial"/>
          <w:sz w:val="20"/>
        </w:rPr>
        <w:t>.</w:t>
      </w:r>
      <w:r w:rsidR="00DA0C37">
        <w:rPr>
          <w:rFonts w:ascii="Arial" w:hAnsi="Arial" w:cs="Arial"/>
          <w:sz w:val="20"/>
        </w:rPr>
        <w:t>523</w:t>
      </w:r>
      <w:r w:rsidR="00D52216">
        <w:rPr>
          <w:rFonts w:ascii="Arial" w:hAnsi="Arial" w:cs="Arial"/>
          <w:sz w:val="20"/>
        </w:rPr>
        <w:t xml:space="preserve"> of the CYFA</w:t>
      </w:r>
      <w:r w:rsidR="006545C9">
        <w:rPr>
          <w:rFonts w:ascii="Arial" w:hAnsi="Arial" w:cs="Arial"/>
          <w:sz w:val="20"/>
        </w:rPr>
        <w:t>.  However, this section is subject to s.527A which makes evidence of anything said or done in a judicial resolution conference inadmissible unless the Court otherwise orders, having regard to the interests of justice and fairness.</w:t>
      </w:r>
    </w:p>
    <w:p w14:paraId="3A917D6E" w14:textId="77777777" w:rsidR="006545C9" w:rsidRDefault="006545C9" w:rsidP="00E54921">
      <w:pPr>
        <w:jc w:val="both"/>
        <w:rPr>
          <w:rFonts w:ascii="Arial" w:hAnsi="Arial" w:cs="Arial"/>
          <w:sz w:val="20"/>
        </w:rPr>
      </w:pPr>
    </w:p>
    <w:p w14:paraId="7A85CA1C" w14:textId="0C592BEA" w:rsidR="00E26721" w:rsidRDefault="00ED4465" w:rsidP="00E54921">
      <w:pPr>
        <w:jc w:val="both"/>
        <w:rPr>
          <w:rFonts w:ascii="Arial" w:hAnsi="Arial" w:cs="Arial"/>
          <w:sz w:val="20"/>
        </w:rPr>
      </w:pPr>
      <w:r>
        <w:rPr>
          <w:rFonts w:ascii="Arial" w:hAnsi="Arial" w:cs="Arial"/>
          <w:sz w:val="20"/>
        </w:rPr>
        <w:t>Underpinned by</w:t>
      </w:r>
      <w:r w:rsidR="00E54921">
        <w:rPr>
          <w:rFonts w:ascii="Arial" w:hAnsi="Arial" w:cs="Arial"/>
          <w:sz w:val="20"/>
        </w:rPr>
        <w:t xml:space="preserve"> the same sorts of reasons as led to the opening of Family Courts, </w:t>
      </w:r>
      <w:r>
        <w:rPr>
          <w:rFonts w:ascii="Arial" w:hAnsi="Arial" w:cs="Arial"/>
          <w:sz w:val="20"/>
        </w:rPr>
        <w:t xml:space="preserve">ss.523(1) &amp; 523(2) of the CYFA require </w:t>
      </w:r>
      <w:r w:rsidR="00E54921">
        <w:rPr>
          <w:rFonts w:ascii="Arial" w:hAnsi="Arial" w:cs="Arial"/>
          <w:sz w:val="20"/>
        </w:rPr>
        <w:t>all proceedings in the Children's Court t</w:t>
      </w:r>
      <w:r>
        <w:rPr>
          <w:rFonts w:ascii="Arial" w:hAnsi="Arial" w:cs="Arial"/>
          <w:sz w:val="20"/>
        </w:rPr>
        <w:t>o</w:t>
      </w:r>
      <w:r w:rsidR="00E54921">
        <w:rPr>
          <w:rFonts w:ascii="Arial" w:hAnsi="Arial" w:cs="Arial"/>
          <w:sz w:val="20"/>
        </w:rPr>
        <w:t xml:space="preserve"> b</w:t>
      </w:r>
      <w:r w:rsidR="00CD5BD3">
        <w:rPr>
          <w:rFonts w:ascii="Arial" w:hAnsi="Arial" w:cs="Arial"/>
          <w:sz w:val="20"/>
        </w:rPr>
        <w:t xml:space="preserve">e </w:t>
      </w:r>
      <w:r w:rsidR="00E54921">
        <w:rPr>
          <w:rFonts w:ascii="Arial" w:hAnsi="Arial" w:cs="Arial"/>
          <w:sz w:val="20"/>
        </w:rPr>
        <w:t>conducted in open court unless the Court</w:t>
      </w:r>
      <w:r w:rsidR="00E26721">
        <w:rPr>
          <w:rFonts w:ascii="Arial" w:hAnsi="Arial" w:cs="Arial"/>
          <w:sz w:val="20"/>
        </w:rPr>
        <w:t xml:space="preserve">, on the application of a party or of any </w:t>
      </w:r>
      <w:r w:rsidR="00061E5B">
        <w:rPr>
          <w:rFonts w:ascii="Arial" w:hAnsi="Arial" w:cs="Arial"/>
          <w:sz w:val="20"/>
        </w:rPr>
        <w:t xml:space="preserve">other </w:t>
      </w:r>
      <w:r w:rsidR="00E26721">
        <w:rPr>
          <w:rFonts w:ascii="Arial" w:hAnsi="Arial" w:cs="Arial"/>
          <w:sz w:val="20"/>
        </w:rPr>
        <w:t>person who has a direct interest in the proceeding or without any such application, orders that</w:t>
      </w:r>
      <w:r w:rsidR="00741721">
        <w:rPr>
          <w:rFonts w:ascii="Arial" w:hAnsi="Arial" w:cs="Arial"/>
          <w:sz w:val="20"/>
        </w:rPr>
        <w:t>–</w:t>
      </w:r>
    </w:p>
    <w:p w14:paraId="79A79C9D" w14:textId="77777777" w:rsidR="00E54921" w:rsidRDefault="00E54921" w:rsidP="0073729A">
      <w:pPr>
        <w:numPr>
          <w:ilvl w:val="0"/>
          <w:numId w:val="10"/>
        </w:numPr>
        <w:tabs>
          <w:tab w:val="clear" w:pos="717"/>
        </w:tabs>
        <w:ind w:left="357" w:hanging="357"/>
        <w:jc w:val="both"/>
        <w:rPr>
          <w:rFonts w:ascii="Arial" w:hAnsi="Arial" w:cs="Arial"/>
          <w:sz w:val="20"/>
        </w:rPr>
      </w:pPr>
      <w:r>
        <w:rPr>
          <w:rFonts w:ascii="Arial" w:hAnsi="Arial" w:cs="Arial"/>
          <w:sz w:val="20"/>
        </w:rPr>
        <w:t>the whole or any part of a proceeding be heard in closed court; or</w:t>
      </w:r>
    </w:p>
    <w:p w14:paraId="2E302A66" w14:textId="77777777" w:rsidR="00E54921" w:rsidRDefault="00E54921" w:rsidP="0073729A">
      <w:pPr>
        <w:numPr>
          <w:ilvl w:val="0"/>
          <w:numId w:val="10"/>
        </w:numPr>
        <w:tabs>
          <w:tab w:val="clear" w:pos="717"/>
        </w:tabs>
        <w:ind w:left="357" w:hanging="357"/>
        <w:jc w:val="both"/>
        <w:rPr>
          <w:rFonts w:ascii="Arial" w:hAnsi="Arial" w:cs="Arial"/>
          <w:sz w:val="20"/>
        </w:rPr>
      </w:pPr>
      <w:r>
        <w:rPr>
          <w:rFonts w:ascii="Arial" w:hAnsi="Arial" w:cs="Arial"/>
          <w:sz w:val="20"/>
        </w:rPr>
        <w:t>only persons or classes of persons specified by it may be present during the whole or any part of a proceeding.</w:t>
      </w:r>
    </w:p>
    <w:p w14:paraId="08D74C2C" w14:textId="2882C09F" w:rsidR="00E54921" w:rsidRDefault="00100D3D" w:rsidP="00E54921">
      <w:pPr>
        <w:jc w:val="both"/>
        <w:rPr>
          <w:rFonts w:ascii="Arial" w:hAnsi="Arial" w:cs="Arial"/>
          <w:sz w:val="20"/>
        </w:rPr>
      </w:pPr>
      <w:r>
        <w:rPr>
          <w:rFonts w:ascii="Arial" w:hAnsi="Arial" w:cs="Arial"/>
          <w:sz w:val="20"/>
        </w:rPr>
        <w:t xml:space="preserve">See also </w:t>
      </w:r>
      <w:r w:rsidR="00E54921">
        <w:rPr>
          <w:rFonts w:ascii="Arial" w:hAnsi="Arial" w:cs="Arial"/>
          <w:sz w:val="20"/>
        </w:rPr>
        <w:t xml:space="preserve">s.125(1) </w:t>
      </w:r>
      <w:r>
        <w:rPr>
          <w:rFonts w:ascii="Arial" w:hAnsi="Arial" w:cs="Arial"/>
          <w:sz w:val="20"/>
        </w:rPr>
        <w:t xml:space="preserve">of the </w:t>
      </w:r>
      <w:r w:rsidR="00E54921" w:rsidRPr="005161F3">
        <w:rPr>
          <w:rFonts w:ascii="Arial" w:hAnsi="Arial" w:cs="Arial"/>
          <w:i/>
          <w:iCs/>
          <w:sz w:val="20"/>
        </w:rPr>
        <w:t>Magistrates’ Court Act 1989</w:t>
      </w:r>
      <w:r w:rsidR="00E54921">
        <w:rPr>
          <w:rFonts w:ascii="Arial" w:hAnsi="Arial" w:cs="Arial"/>
          <w:sz w:val="20"/>
        </w:rPr>
        <w:t xml:space="preserve">.  </w:t>
      </w:r>
      <w:smartTag w:uri="urn:schemas-microsoft-com:office:smarttags" w:element="State">
        <w:smartTag w:uri="urn:schemas-microsoft-com:office:smarttags" w:element="place">
          <w:r w:rsidR="00E54921">
            <w:rPr>
              <w:rFonts w:ascii="Arial" w:hAnsi="Arial" w:cs="Arial"/>
              <w:sz w:val="20"/>
            </w:rPr>
            <w:t>Victoria</w:t>
          </w:r>
        </w:smartTag>
      </w:smartTag>
      <w:r w:rsidR="00E54921">
        <w:rPr>
          <w:rFonts w:ascii="Arial" w:hAnsi="Arial" w:cs="Arial"/>
          <w:sz w:val="20"/>
        </w:rPr>
        <w:t xml:space="preserve"> is comparatively unusual in this respect.  In many other jurisdictions, including </w:t>
      </w:r>
      <w:smartTag w:uri="urn:schemas-microsoft-com:office:smarttags" w:element="country-region">
        <w:r w:rsidR="00E54921">
          <w:rPr>
            <w:rFonts w:ascii="Arial" w:hAnsi="Arial" w:cs="Arial"/>
            <w:sz w:val="20"/>
          </w:rPr>
          <w:t>China</w:t>
        </w:r>
      </w:smartTag>
      <w:r w:rsidR="00E54921">
        <w:rPr>
          <w:rFonts w:ascii="Arial" w:hAnsi="Arial" w:cs="Arial"/>
          <w:sz w:val="20"/>
        </w:rPr>
        <w:t xml:space="preserve"> </w:t>
      </w:r>
      <w:r w:rsidR="00C6041D">
        <w:rPr>
          <w:rFonts w:ascii="Arial" w:hAnsi="Arial" w:cs="Arial"/>
          <w:sz w:val="20"/>
        </w:rPr>
        <w:t>and</w:t>
      </w:r>
      <w:r w:rsidR="00E54921">
        <w:rPr>
          <w:rFonts w:ascii="Arial" w:hAnsi="Arial" w:cs="Arial"/>
          <w:sz w:val="20"/>
        </w:rPr>
        <w:t xml:space="preserve"> </w:t>
      </w:r>
      <w:smartTag w:uri="urn:schemas-microsoft-com:office:smarttags" w:element="country-region">
        <w:smartTag w:uri="urn:schemas-microsoft-com:office:smarttags" w:element="place">
          <w:r w:rsidR="00E54921">
            <w:rPr>
              <w:rFonts w:ascii="Arial" w:hAnsi="Arial" w:cs="Arial"/>
              <w:sz w:val="20"/>
            </w:rPr>
            <w:t>England</w:t>
          </w:r>
        </w:smartTag>
      </w:smartTag>
      <w:r w:rsidR="00E54921">
        <w:rPr>
          <w:rFonts w:ascii="Arial" w:hAnsi="Arial" w:cs="Arial"/>
          <w:sz w:val="20"/>
        </w:rPr>
        <w:t>, children's court proceedings are closed to the public.</w:t>
      </w:r>
    </w:p>
    <w:p w14:paraId="4691E18A" w14:textId="2FFE3B30" w:rsidR="0020769F" w:rsidRDefault="0020769F" w:rsidP="00E54921">
      <w:pPr>
        <w:jc w:val="both"/>
        <w:rPr>
          <w:rFonts w:ascii="Arial" w:hAnsi="Arial" w:cs="Arial"/>
          <w:sz w:val="20"/>
        </w:rPr>
      </w:pPr>
    </w:p>
    <w:p w14:paraId="36DF4838" w14:textId="5391357E" w:rsidR="00123E94" w:rsidRPr="00455703" w:rsidRDefault="00123E94" w:rsidP="00123E94">
      <w:pPr>
        <w:jc w:val="both"/>
        <w:rPr>
          <w:rFonts w:ascii="Arial" w:hAnsi="Arial" w:cs="Arial"/>
          <w:sz w:val="20"/>
        </w:rPr>
      </w:pPr>
      <w:r>
        <w:rPr>
          <w:rFonts w:ascii="Arial" w:hAnsi="Arial" w:cs="Arial"/>
          <w:sz w:val="20"/>
        </w:rPr>
        <w:t xml:space="preserve">Although s.523 of the CYFA remains </w:t>
      </w:r>
      <w:r w:rsidR="00CE2851">
        <w:rPr>
          <w:rFonts w:ascii="Arial" w:hAnsi="Arial" w:cs="Arial"/>
          <w:sz w:val="20"/>
        </w:rPr>
        <w:t>a</w:t>
      </w:r>
      <w:r>
        <w:rPr>
          <w:rFonts w:ascii="Arial" w:hAnsi="Arial" w:cs="Arial"/>
          <w:sz w:val="20"/>
        </w:rPr>
        <w:t xml:space="preserve"> source of power to make a closed court order, </w:t>
      </w:r>
      <w:r w:rsidRPr="00381395">
        <w:rPr>
          <w:rFonts w:ascii="Arial" w:hAnsi="Arial" w:cs="Arial"/>
          <w:color w:val="000000"/>
          <w:sz w:val="20"/>
        </w:rPr>
        <w:t xml:space="preserve">the writer </w:t>
      </w:r>
      <w:r>
        <w:rPr>
          <w:rFonts w:ascii="Arial" w:hAnsi="Arial" w:cs="Arial"/>
          <w:color w:val="000000"/>
          <w:sz w:val="20"/>
        </w:rPr>
        <w:t xml:space="preserve">considers </w:t>
      </w:r>
      <w:r w:rsidRPr="00381395">
        <w:rPr>
          <w:rFonts w:ascii="Arial" w:hAnsi="Arial" w:cs="Arial"/>
          <w:color w:val="000000"/>
          <w:sz w:val="20"/>
        </w:rPr>
        <w:t xml:space="preserve">that s.528(1) of the CYFA makes the provisions of the </w:t>
      </w:r>
      <w:r w:rsidRPr="00455703">
        <w:rPr>
          <w:rFonts w:ascii="Arial" w:hAnsi="Arial" w:cs="Arial"/>
          <w:i/>
          <w:iCs/>
          <w:sz w:val="20"/>
        </w:rPr>
        <w:t>Open Courts Act 2013</w:t>
      </w:r>
      <w:r>
        <w:rPr>
          <w:rFonts w:ascii="Arial" w:hAnsi="Arial" w:cs="Arial"/>
          <w:sz w:val="20"/>
        </w:rPr>
        <w:t xml:space="preserve"> </w:t>
      </w:r>
      <w:r w:rsidR="00CE2851">
        <w:rPr>
          <w:rFonts w:ascii="Arial" w:hAnsi="Arial" w:cs="Arial"/>
          <w:sz w:val="20"/>
        </w:rPr>
        <w:t>(‘</w:t>
      </w:r>
      <w:r>
        <w:rPr>
          <w:rFonts w:ascii="Arial" w:hAnsi="Arial" w:cs="Arial"/>
          <w:sz w:val="20"/>
        </w:rPr>
        <w:t>OCA</w:t>
      </w:r>
      <w:r w:rsidR="00CE2851">
        <w:rPr>
          <w:rFonts w:ascii="Arial" w:hAnsi="Arial" w:cs="Arial"/>
          <w:sz w:val="20"/>
        </w:rPr>
        <w:t>’)</w:t>
      </w:r>
      <w:r w:rsidRPr="00381395">
        <w:rPr>
          <w:rFonts w:ascii="Arial" w:hAnsi="Arial" w:cs="Arial"/>
          <w:color w:val="000000"/>
          <w:sz w:val="20"/>
        </w:rPr>
        <w:t xml:space="preserve"> which invest jurisdiction on the Magistrates’ Court applicable to the Children’s Court</w:t>
      </w:r>
      <w:r w:rsidR="00586426">
        <w:rPr>
          <w:rFonts w:ascii="Arial" w:hAnsi="Arial" w:cs="Arial"/>
          <w:color w:val="000000"/>
          <w:sz w:val="20"/>
        </w:rPr>
        <w:t>, at least</w:t>
      </w:r>
      <w:r>
        <w:rPr>
          <w:rFonts w:ascii="Arial" w:hAnsi="Arial" w:cs="Arial"/>
          <w:color w:val="000000"/>
          <w:sz w:val="20"/>
        </w:rPr>
        <w:t xml:space="preserve"> to the extent that they are not inconsistent with s.523</w:t>
      </w:r>
      <w:r w:rsidRPr="00381395">
        <w:rPr>
          <w:rFonts w:ascii="Arial" w:hAnsi="Arial" w:cs="Arial"/>
          <w:color w:val="000000"/>
          <w:sz w:val="20"/>
        </w:rPr>
        <w:t xml:space="preserve">.  </w:t>
      </w:r>
      <w:r w:rsidR="00CE2851">
        <w:rPr>
          <w:rFonts w:ascii="Arial" w:hAnsi="Arial" w:cs="Arial"/>
          <w:color w:val="000000"/>
          <w:sz w:val="20"/>
        </w:rPr>
        <w:t xml:space="preserve">Although the </w:t>
      </w:r>
      <w:r w:rsidR="00CE2851" w:rsidRPr="00FA1BDE">
        <w:rPr>
          <w:rFonts w:ascii="Arial" w:hAnsi="Arial" w:cs="Arial"/>
          <w:sz w:val="20"/>
        </w:rPr>
        <w:t>OCA</w:t>
      </w:r>
      <w:r w:rsidR="00CE2851">
        <w:rPr>
          <w:rFonts w:ascii="Arial" w:hAnsi="Arial" w:cs="Arial"/>
          <w:sz w:val="20"/>
        </w:rPr>
        <w:t xml:space="preserve"> does not expressly refer to the Children’s Court in its definition of “court or tribunal” in s.3, a</w:t>
      </w:r>
      <w:r>
        <w:rPr>
          <w:rFonts w:ascii="Arial" w:hAnsi="Arial" w:cs="Arial"/>
          <w:color w:val="000000"/>
          <w:sz w:val="20"/>
        </w:rPr>
        <w:t xml:space="preserve"> </w:t>
      </w:r>
      <w:r w:rsidRPr="00381395">
        <w:rPr>
          <w:rFonts w:ascii="Arial" w:hAnsi="Arial" w:cs="Arial"/>
          <w:color w:val="000000"/>
          <w:sz w:val="20"/>
        </w:rPr>
        <w:t xml:space="preserve">Director of Criminal Law Policy of the Department of Justice </w:t>
      </w:r>
      <w:r>
        <w:rPr>
          <w:rFonts w:ascii="Arial" w:hAnsi="Arial" w:cs="Arial"/>
          <w:color w:val="000000"/>
          <w:sz w:val="20"/>
        </w:rPr>
        <w:t xml:space="preserve">and Community Safety </w:t>
      </w:r>
      <w:r w:rsidRPr="00381395">
        <w:rPr>
          <w:rFonts w:ascii="Arial" w:hAnsi="Arial" w:cs="Arial"/>
          <w:color w:val="000000"/>
          <w:sz w:val="20"/>
        </w:rPr>
        <w:t>has advised the Principal Registrar of the Children’s Court that</w:t>
      </w:r>
      <w:r w:rsidR="00CE2851">
        <w:rPr>
          <w:rFonts w:ascii="Arial" w:hAnsi="Arial" w:cs="Arial"/>
          <w:color w:val="000000"/>
          <w:sz w:val="20"/>
        </w:rPr>
        <w:t>–</w:t>
      </w:r>
    </w:p>
    <w:p w14:paraId="2EE26788" w14:textId="77777777" w:rsidR="00123E94" w:rsidRPr="00381395" w:rsidRDefault="00123E94" w:rsidP="00123E94">
      <w:pPr>
        <w:spacing w:before="60"/>
        <w:ind w:left="567" w:right="567"/>
        <w:jc w:val="both"/>
        <w:rPr>
          <w:rFonts w:ascii="Arial" w:hAnsi="Arial" w:cs="Arial"/>
          <w:color w:val="000000"/>
          <w:sz w:val="20"/>
        </w:rPr>
      </w:pPr>
      <w:r w:rsidRPr="00381395">
        <w:rPr>
          <w:rFonts w:ascii="Arial" w:hAnsi="Arial" w:cs="Arial"/>
          <w:color w:val="000000"/>
          <w:sz w:val="20"/>
        </w:rPr>
        <w:t>“</w:t>
      </w:r>
      <w:r w:rsidRPr="00381395">
        <w:rPr>
          <w:rFonts w:ascii="Helv" w:hAnsi="Helv" w:cs="Helv"/>
          <w:color w:val="000000"/>
          <w:sz w:val="20"/>
          <w:szCs w:val="20"/>
          <w:lang w:eastAsia="en-AU"/>
        </w:rPr>
        <w:t>The Children's Court was considered as the [OCA] was drafted…[I]n so far as the Children's Court can exercise the powers of the Magistrates' Court under s.528(1), it retains the power to make any order that the Magistrates Court can make.  There was certainly no intention for the OCA to be interpreted as narrowing s.528(1) of the CYFA.</w:t>
      </w:r>
      <w:r w:rsidRPr="00381395">
        <w:rPr>
          <w:rFonts w:ascii="Arial" w:hAnsi="Arial" w:cs="Arial"/>
          <w:color w:val="000000"/>
          <w:sz w:val="20"/>
        </w:rPr>
        <w:t>”</w:t>
      </w:r>
    </w:p>
    <w:p w14:paraId="07388A73" w14:textId="77777777" w:rsidR="006478B8" w:rsidRDefault="006478B8" w:rsidP="006478B8">
      <w:pPr>
        <w:jc w:val="both"/>
        <w:rPr>
          <w:rFonts w:ascii="Arial" w:hAnsi="Arial" w:cs="Arial"/>
          <w:sz w:val="20"/>
        </w:rPr>
      </w:pPr>
    </w:p>
    <w:p w14:paraId="327222BA" w14:textId="4A35A645" w:rsidR="00455703" w:rsidRPr="00241DE8" w:rsidRDefault="00CD5BD3" w:rsidP="006478B8">
      <w:pPr>
        <w:jc w:val="both"/>
        <w:rPr>
          <w:rFonts w:ascii="Arial" w:hAnsi="Arial" w:cs="Arial"/>
          <w:sz w:val="20"/>
        </w:rPr>
      </w:pPr>
      <w:r>
        <w:rPr>
          <w:rFonts w:ascii="Arial" w:hAnsi="Arial" w:cs="Arial"/>
          <w:sz w:val="20"/>
        </w:rPr>
        <w:t xml:space="preserve">However, </w:t>
      </w:r>
      <w:r w:rsidR="00061E5B">
        <w:rPr>
          <w:rFonts w:ascii="Arial" w:hAnsi="Arial" w:cs="Arial"/>
          <w:sz w:val="20"/>
        </w:rPr>
        <w:t>s.523 of the CYFA has effect</w:t>
      </w:r>
      <w:r w:rsidR="00455703">
        <w:rPr>
          <w:rFonts w:ascii="Arial" w:hAnsi="Arial" w:cs="Arial"/>
          <w:sz w:val="20"/>
        </w:rPr>
        <w:t>ively</w:t>
      </w:r>
      <w:r w:rsidR="00061E5B">
        <w:rPr>
          <w:rFonts w:ascii="Arial" w:hAnsi="Arial" w:cs="Arial"/>
          <w:sz w:val="20"/>
        </w:rPr>
        <w:t xml:space="preserve"> been modified by </w:t>
      </w:r>
      <w:r w:rsidR="00DD00B7">
        <w:rPr>
          <w:rFonts w:ascii="Arial" w:hAnsi="Arial" w:cs="Arial"/>
          <w:sz w:val="20"/>
        </w:rPr>
        <w:t xml:space="preserve">COVID and post-COVID </w:t>
      </w:r>
      <w:r w:rsidR="00061E5B">
        <w:rPr>
          <w:rFonts w:ascii="Arial" w:hAnsi="Arial" w:cs="Arial"/>
          <w:sz w:val="20"/>
        </w:rPr>
        <w:t>amendments</w:t>
      </w:r>
      <w:r w:rsidR="00455703">
        <w:rPr>
          <w:rFonts w:ascii="Arial" w:hAnsi="Arial" w:cs="Arial"/>
          <w:sz w:val="20"/>
        </w:rPr>
        <w:t xml:space="preserve"> to the OCA.  </w:t>
      </w:r>
      <w:r w:rsidR="00241DE8">
        <w:rPr>
          <w:rFonts w:ascii="Arial" w:hAnsi="Arial" w:cs="Arial"/>
          <w:sz w:val="20"/>
        </w:rPr>
        <w:t>The relevant amendments involve the insertion of s</w:t>
      </w:r>
      <w:r w:rsidR="00F3742D">
        <w:rPr>
          <w:rFonts w:ascii="Arial" w:hAnsi="Arial" w:cs="Arial"/>
          <w:sz w:val="20"/>
        </w:rPr>
        <w:t>.</w:t>
      </w:r>
      <w:r w:rsidR="00241DE8">
        <w:rPr>
          <w:rFonts w:ascii="Arial" w:hAnsi="Arial" w:cs="Arial"/>
          <w:sz w:val="20"/>
        </w:rPr>
        <w:t>8A &amp; s.8B into the</w:t>
      </w:r>
      <w:r w:rsidR="006478B8">
        <w:rPr>
          <w:rFonts w:ascii="Arial" w:hAnsi="Arial" w:cs="Arial"/>
          <w:sz w:val="20"/>
        </w:rPr>
        <w:t xml:space="preserve"> OCA</w:t>
      </w:r>
      <w:r w:rsidR="00241DE8">
        <w:rPr>
          <w:rFonts w:ascii="Arial" w:hAnsi="Arial" w:cs="Arial"/>
          <w:i/>
          <w:iCs/>
          <w:sz w:val="20"/>
        </w:rPr>
        <w:t xml:space="preserve"> </w:t>
      </w:r>
      <w:r w:rsidR="00241DE8" w:rsidRPr="00241DE8">
        <w:rPr>
          <w:rFonts w:ascii="Arial" w:hAnsi="Arial" w:cs="Arial"/>
          <w:sz w:val="20"/>
        </w:rPr>
        <w:t>and the subsequent amendment of s.8B.  So far as is relevant to the Children’s Court these sections provide:</w:t>
      </w:r>
    </w:p>
    <w:p w14:paraId="40D5C665" w14:textId="5F5330EE" w:rsidR="00241DE8" w:rsidRPr="00437452" w:rsidRDefault="0019667E" w:rsidP="00241DE8">
      <w:pPr>
        <w:pStyle w:val="DraftHeading2"/>
        <w:tabs>
          <w:tab w:val="right" w:pos="1247"/>
        </w:tabs>
        <w:spacing w:before="60"/>
        <w:ind w:left="1021" w:right="567" w:hanging="454"/>
        <w:jc w:val="both"/>
        <w:rPr>
          <w:rFonts w:ascii="Arial" w:hAnsi="Arial" w:cs="Arial"/>
          <w:b/>
          <w:bCs/>
          <w:sz w:val="20"/>
          <w:szCs w:val="16"/>
        </w:rPr>
      </w:pPr>
      <w:r>
        <w:rPr>
          <w:rFonts w:ascii="Arial" w:hAnsi="Arial" w:cs="Arial"/>
          <w:b/>
          <w:bCs/>
          <w:sz w:val="20"/>
          <w:szCs w:val="16"/>
        </w:rPr>
        <w:t>“</w:t>
      </w:r>
      <w:r w:rsidR="00241DE8">
        <w:rPr>
          <w:rFonts w:ascii="Arial" w:hAnsi="Arial" w:cs="Arial"/>
          <w:b/>
          <w:bCs/>
          <w:sz w:val="20"/>
          <w:szCs w:val="16"/>
        </w:rPr>
        <w:t>8A</w:t>
      </w:r>
      <w:r w:rsidR="00241DE8" w:rsidRPr="001C508D">
        <w:rPr>
          <w:rFonts w:ascii="Arial" w:hAnsi="Arial" w:cs="Arial"/>
          <w:b/>
          <w:bCs/>
          <w:sz w:val="20"/>
          <w:szCs w:val="16"/>
        </w:rPr>
        <w:tab/>
      </w:r>
      <w:r w:rsidR="00241DE8">
        <w:rPr>
          <w:rFonts w:ascii="Arial" w:hAnsi="Arial" w:cs="Arial"/>
          <w:b/>
          <w:bCs/>
          <w:sz w:val="20"/>
        </w:rPr>
        <w:t>Handing down and delivering judgments by electronic communication does not contravene rules of law relating to open justice</w:t>
      </w:r>
    </w:p>
    <w:p w14:paraId="6428DCAB" w14:textId="1BAAD356" w:rsidR="00241DE8" w:rsidRDefault="00241DE8" w:rsidP="00DB526A">
      <w:pPr>
        <w:pStyle w:val="DraftHeading2"/>
        <w:numPr>
          <w:ilvl w:val="5"/>
          <w:numId w:val="42"/>
        </w:numPr>
        <w:tabs>
          <w:tab w:val="right" w:pos="1247"/>
        </w:tabs>
        <w:adjustRightInd w:val="0"/>
        <w:spacing w:before="60"/>
        <w:ind w:left="1021" w:right="567" w:hanging="454"/>
        <w:jc w:val="both"/>
        <w:textAlignment w:val="baseline"/>
        <w:rPr>
          <w:rFonts w:ascii="Arial" w:hAnsi="Arial" w:cs="Arial"/>
          <w:sz w:val="20"/>
          <w:szCs w:val="16"/>
        </w:rPr>
      </w:pPr>
      <w:r>
        <w:rPr>
          <w:rFonts w:ascii="Arial" w:hAnsi="Arial" w:cs="Arial"/>
          <w:sz w:val="20"/>
          <w:szCs w:val="16"/>
        </w:rPr>
        <w:t>A court or tribunal does not contravene any rule of law relating to open justice if, instead of handing down or delivering judgment in a court room or hearing room that is open to the public, the court or tribunal</w:t>
      </w:r>
      <w:r w:rsidRPr="00237AC3">
        <w:rPr>
          <w:rFonts w:ascii="Arial" w:hAnsi="Arial" w:cs="Arial"/>
          <w:sz w:val="20"/>
          <w:szCs w:val="16"/>
        </w:rPr>
        <w:t>—</w:t>
      </w:r>
    </w:p>
    <w:p w14:paraId="1135B659" w14:textId="3650C9CC" w:rsidR="00FD5E9E" w:rsidRPr="00483341" w:rsidRDefault="00FD5E9E" w:rsidP="00FD5E9E">
      <w:pPr>
        <w:pStyle w:val="DraftHeading3"/>
        <w:tabs>
          <w:tab w:val="right" w:pos="1758"/>
        </w:tabs>
        <w:spacing w:before="0"/>
        <w:ind w:left="1475" w:right="567" w:hanging="454"/>
        <w:jc w:val="both"/>
        <w:rPr>
          <w:rFonts w:ascii="Arial" w:hAnsi="Arial" w:cs="Arial"/>
          <w:sz w:val="20"/>
          <w:szCs w:val="16"/>
        </w:rPr>
      </w:pPr>
      <w:r w:rsidRPr="00483341">
        <w:rPr>
          <w:rFonts w:ascii="Arial" w:hAnsi="Arial" w:cs="Arial"/>
          <w:sz w:val="20"/>
          <w:szCs w:val="16"/>
        </w:rPr>
        <w:t>(a)</w:t>
      </w:r>
      <w:r w:rsidRPr="00483341">
        <w:rPr>
          <w:rFonts w:ascii="Arial" w:hAnsi="Arial" w:cs="Arial"/>
          <w:sz w:val="20"/>
          <w:szCs w:val="16"/>
        </w:rPr>
        <w:tab/>
      </w:r>
      <w:r>
        <w:rPr>
          <w:rFonts w:ascii="Arial" w:hAnsi="Arial" w:cs="Arial"/>
          <w:sz w:val="20"/>
          <w:szCs w:val="16"/>
        </w:rPr>
        <w:t>gives the parties notice that the judgment is to be handed down or delivered as described in paragraphs (b) and (c); and</w:t>
      </w:r>
    </w:p>
    <w:p w14:paraId="490AF613" w14:textId="41BE20D7" w:rsidR="00FD5E9E" w:rsidRPr="00483341" w:rsidRDefault="00FD5E9E" w:rsidP="00FD5E9E">
      <w:pPr>
        <w:pStyle w:val="DraftHeading3"/>
        <w:tabs>
          <w:tab w:val="right" w:pos="1758"/>
        </w:tabs>
        <w:spacing w:before="0"/>
        <w:ind w:left="1475" w:right="567" w:hanging="454"/>
        <w:jc w:val="both"/>
        <w:rPr>
          <w:rFonts w:ascii="Arial" w:hAnsi="Arial" w:cs="Arial"/>
          <w:sz w:val="20"/>
          <w:szCs w:val="16"/>
        </w:rPr>
      </w:pPr>
      <w:r w:rsidRPr="00483341">
        <w:rPr>
          <w:rFonts w:ascii="Arial" w:hAnsi="Arial" w:cs="Arial"/>
          <w:sz w:val="20"/>
          <w:szCs w:val="16"/>
        </w:rPr>
        <w:t>(b)</w:t>
      </w:r>
      <w:r w:rsidRPr="00483341">
        <w:rPr>
          <w:rFonts w:ascii="Arial" w:hAnsi="Arial" w:cs="Arial"/>
          <w:sz w:val="20"/>
          <w:szCs w:val="16"/>
        </w:rPr>
        <w:tab/>
      </w:r>
      <w:r>
        <w:rPr>
          <w:rFonts w:ascii="Arial" w:hAnsi="Arial" w:cs="Arial"/>
          <w:sz w:val="20"/>
          <w:szCs w:val="16"/>
        </w:rPr>
        <w:t>sends the judgment to the parties by electronic communication; and</w:t>
      </w:r>
    </w:p>
    <w:p w14:paraId="40A18DC3" w14:textId="0B56F617" w:rsidR="00FD5E9E" w:rsidRDefault="00FD5E9E" w:rsidP="00FD5E9E">
      <w:pPr>
        <w:pStyle w:val="DraftHeading3"/>
        <w:tabs>
          <w:tab w:val="right" w:pos="1758"/>
        </w:tabs>
        <w:spacing w:before="0"/>
        <w:ind w:left="1475" w:right="567" w:hanging="454"/>
        <w:jc w:val="both"/>
        <w:rPr>
          <w:rFonts w:ascii="Arial" w:hAnsi="Arial" w:cs="Arial"/>
          <w:sz w:val="20"/>
          <w:szCs w:val="16"/>
        </w:rPr>
      </w:pPr>
      <w:r>
        <w:rPr>
          <w:rFonts w:ascii="Arial" w:hAnsi="Arial" w:cs="Arial"/>
          <w:sz w:val="20"/>
          <w:szCs w:val="16"/>
        </w:rPr>
        <w:t>(c)</w:t>
      </w:r>
      <w:r>
        <w:rPr>
          <w:rFonts w:ascii="Arial" w:hAnsi="Arial" w:cs="Arial"/>
          <w:sz w:val="20"/>
          <w:szCs w:val="16"/>
        </w:rPr>
        <w:tab/>
        <w:t>makes the judgment available to</w:t>
      </w:r>
      <w:r w:rsidRPr="00237AC3">
        <w:rPr>
          <w:rFonts w:ascii="Arial" w:hAnsi="Arial" w:cs="Arial"/>
          <w:sz w:val="20"/>
          <w:szCs w:val="16"/>
        </w:rPr>
        <w:t>—</w:t>
      </w:r>
    </w:p>
    <w:p w14:paraId="3B7F2FAB" w14:textId="4540998F" w:rsidR="00FD5E9E" w:rsidRDefault="00FD5E9E" w:rsidP="00FD5E9E">
      <w:pPr>
        <w:pStyle w:val="ListParagraph"/>
        <w:numPr>
          <w:ilvl w:val="4"/>
          <w:numId w:val="43"/>
        </w:numPr>
        <w:ind w:left="1928" w:hanging="454"/>
        <w:jc w:val="both"/>
        <w:rPr>
          <w:rFonts w:ascii="Arial" w:hAnsi="Arial" w:cs="Arial"/>
          <w:sz w:val="20"/>
        </w:rPr>
      </w:pPr>
      <w:r>
        <w:rPr>
          <w:rFonts w:ascii="Arial" w:hAnsi="Arial" w:cs="Arial"/>
          <w:sz w:val="20"/>
        </w:rPr>
        <w:t>the public generally; or</w:t>
      </w:r>
    </w:p>
    <w:p w14:paraId="468AEF66" w14:textId="46819037" w:rsidR="00FD5E9E" w:rsidRDefault="00FD5E9E" w:rsidP="00FD5E9E">
      <w:pPr>
        <w:pStyle w:val="ListParagraph"/>
        <w:numPr>
          <w:ilvl w:val="4"/>
          <w:numId w:val="43"/>
        </w:numPr>
        <w:ind w:left="1928" w:hanging="454"/>
        <w:jc w:val="both"/>
        <w:rPr>
          <w:rFonts w:ascii="Arial" w:hAnsi="Arial" w:cs="Arial"/>
          <w:sz w:val="20"/>
        </w:rPr>
      </w:pPr>
      <w:r>
        <w:rPr>
          <w:rFonts w:ascii="Arial" w:hAnsi="Arial" w:cs="Arial"/>
          <w:sz w:val="20"/>
        </w:rPr>
        <w:t>a member of the public on request.</w:t>
      </w:r>
    </w:p>
    <w:p w14:paraId="0EA66D02" w14:textId="7F70258F" w:rsidR="00241DE8" w:rsidRPr="001C508D" w:rsidRDefault="00241DE8" w:rsidP="00241DE8">
      <w:pPr>
        <w:pStyle w:val="ListParagraph"/>
        <w:numPr>
          <w:ilvl w:val="5"/>
          <w:numId w:val="42"/>
        </w:numPr>
        <w:spacing w:before="60"/>
        <w:ind w:left="1015" w:right="567" w:hanging="448"/>
        <w:jc w:val="both"/>
        <w:rPr>
          <w:rFonts w:ascii="Arial" w:hAnsi="Arial" w:cs="Arial"/>
          <w:sz w:val="20"/>
        </w:rPr>
      </w:pPr>
      <w:r>
        <w:rPr>
          <w:rFonts w:ascii="Arial" w:hAnsi="Arial" w:cs="Arial"/>
          <w:sz w:val="20"/>
        </w:rPr>
        <w:t>Nothing in subsection (1) permits the publication of information in connection with a proceeding if the publication is contrary to a prohibition or restriction imposed by or under this Act or any other Act.</w:t>
      </w:r>
    </w:p>
    <w:p w14:paraId="21B093E2" w14:textId="66976FD9" w:rsidR="00241DE8" w:rsidRPr="001C508D" w:rsidRDefault="00241DE8" w:rsidP="00306354">
      <w:pPr>
        <w:pStyle w:val="ListParagraph"/>
        <w:numPr>
          <w:ilvl w:val="5"/>
          <w:numId w:val="42"/>
        </w:numPr>
        <w:spacing w:before="60"/>
        <w:ind w:left="1015" w:right="567" w:hanging="448"/>
        <w:jc w:val="both"/>
        <w:rPr>
          <w:rFonts w:ascii="Arial" w:hAnsi="Arial" w:cs="Arial"/>
          <w:sz w:val="20"/>
        </w:rPr>
      </w:pPr>
      <w:r>
        <w:rPr>
          <w:rFonts w:ascii="Arial" w:hAnsi="Arial" w:cs="Arial"/>
          <w:sz w:val="20"/>
        </w:rPr>
        <w:t>In this section</w:t>
      </w:r>
      <w:r w:rsidRPr="00483341">
        <w:rPr>
          <w:rFonts w:ascii="Arial" w:hAnsi="Arial" w:cs="Arial"/>
          <w:sz w:val="20"/>
          <w:szCs w:val="16"/>
        </w:rPr>
        <w:t>—</w:t>
      </w:r>
    </w:p>
    <w:p w14:paraId="645D2366" w14:textId="26848999" w:rsidR="00241DE8" w:rsidRDefault="00241DE8" w:rsidP="00AA15AD">
      <w:pPr>
        <w:pStyle w:val="DraftHeading3"/>
        <w:tabs>
          <w:tab w:val="right" w:pos="1758"/>
        </w:tabs>
        <w:spacing w:before="0"/>
        <w:ind w:left="1475" w:right="567" w:hanging="454"/>
        <w:jc w:val="both"/>
        <w:rPr>
          <w:rFonts w:ascii="Arial" w:hAnsi="Arial" w:cs="Arial"/>
          <w:sz w:val="20"/>
          <w:szCs w:val="16"/>
        </w:rPr>
      </w:pPr>
      <w:r w:rsidRPr="00241DE8">
        <w:rPr>
          <w:rFonts w:ascii="Arial" w:hAnsi="Arial" w:cs="Arial"/>
          <w:b/>
          <w:bCs/>
          <w:i/>
          <w:iCs/>
          <w:sz w:val="20"/>
          <w:szCs w:val="16"/>
        </w:rPr>
        <w:lastRenderedPageBreak/>
        <w:t>judgment</w:t>
      </w:r>
      <w:r>
        <w:rPr>
          <w:rFonts w:ascii="Arial" w:hAnsi="Arial" w:cs="Arial"/>
          <w:sz w:val="20"/>
          <w:szCs w:val="16"/>
        </w:rPr>
        <w:t xml:space="preserve"> includes the following</w:t>
      </w:r>
      <w:r w:rsidRPr="00483341">
        <w:rPr>
          <w:rFonts w:ascii="Arial" w:hAnsi="Arial" w:cs="Arial"/>
          <w:sz w:val="20"/>
          <w:szCs w:val="16"/>
        </w:rPr>
        <w:t>—</w:t>
      </w:r>
    </w:p>
    <w:p w14:paraId="0E261ABF" w14:textId="7D5DA007" w:rsidR="00241DE8" w:rsidRPr="00483341" w:rsidRDefault="00241DE8" w:rsidP="00241DE8">
      <w:pPr>
        <w:pStyle w:val="DraftHeading3"/>
        <w:tabs>
          <w:tab w:val="right" w:pos="1758"/>
        </w:tabs>
        <w:spacing w:before="0"/>
        <w:ind w:left="1475" w:right="567" w:hanging="454"/>
        <w:jc w:val="both"/>
        <w:rPr>
          <w:rFonts w:ascii="Arial" w:hAnsi="Arial" w:cs="Arial"/>
          <w:sz w:val="20"/>
          <w:szCs w:val="16"/>
        </w:rPr>
      </w:pPr>
      <w:r w:rsidRPr="00483341">
        <w:rPr>
          <w:rFonts w:ascii="Arial" w:hAnsi="Arial" w:cs="Arial"/>
          <w:sz w:val="20"/>
          <w:szCs w:val="16"/>
        </w:rPr>
        <w:t>(a)</w:t>
      </w:r>
      <w:r w:rsidRPr="00483341">
        <w:rPr>
          <w:rFonts w:ascii="Arial" w:hAnsi="Arial" w:cs="Arial"/>
          <w:sz w:val="20"/>
          <w:szCs w:val="16"/>
        </w:rPr>
        <w:tab/>
      </w:r>
      <w:r w:rsidR="00FD5E9E">
        <w:rPr>
          <w:rFonts w:ascii="Arial" w:hAnsi="Arial" w:cs="Arial"/>
          <w:sz w:val="20"/>
          <w:szCs w:val="16"/>
        </w:rPr>
        <w:t>reasons;</w:t>
      </w:r>
    </w:p>
    <w:p w14:paraId="66DCDC76" w14:textId="42D3867B" w:rsidR="00241DE8" w:rsidRDefault="00241DE8" w:rsidP="00241DE8">
      <w:pPr>
        <w:pStyle w:val="DraftHeading3"/>
        <w:tabs>
          <w:tab w:val="right" w:pos="1758"/>
        </w:tabs>
        <w:spacing w:before="0"/>
        <w:ind w:left="1475" w:right="567" w:hanging="454"/>
        <w:jc w:val="both"/>
        <w:rPr>
          <w:rFonts w:ascii="Arial" w:hAnsi="Arial" w:cs="Arial"/>
          <w:sz w:val="20"/>
          <w:szCs w:val="16"/>
        </w:rPr>
      </w:pPr>
      <w:r w:rsidRPr="00483341">
        <w:rPr>
          <w:rFonts w:ascii="Arial" w:hAnsi="Arial" w:cs="Arial"/>
          <w:sz w:val="20"/>
          <w:szCs w:val="16"/>
        </w:rPr>
        <w:t>(b)</w:t>
      </w:r>
      <w:r w:rsidRPr="00483341">
        <w:rPr>
          <w:rFonts w:ascii="Arial" w:hAnsi="Arial" w:cs="Arial"/>
          <w:sz w:val="20"/>
          <w:szCs w:val="16"/>
        </w:rPr>
        <w:tab/>
      </w:r>
      <w:r w:rsidR="00FD5E9E">
        <w:rPr>
          <w:rFonts w:ascii="Arial" w:hAnsi="Arial" w:cs="Arial"/>
          <w:sz w:val="20"/>
          <w:szCs w:val="16"/>
        </w:rPr>
        <w:t>an order (including a final order);</w:t>
      </w:r>
    </w:p>
    <w:p w14:paraId="02C0BC1A" w14:textId="65AE7D58" w:rsidR="00FD5E9E" w:rsidRDefault="00FD5E9E" w:rsidP="00FD5E9E">
      <w:pPr>
        <w:pStyle w:val="DraftHeading3"/>
        <w:tabs>
          <w:tab w:val="right" w:pos="1758"/>
        </w:tabs>
        <w:spacing w:before="0"/>
        <w:ind w:left="1475" w:right="567" w:hanging="454"/>
        <w:jc w:val="both"/>
        <w:rPr>
          <w:rFonts w:ascii="Arial" w:hAnsi="Arial" w:cs="Arial"/>
          <w:sz w:val="20"/>
          <w:szCs w:val="16"/>
        </w:rPr>
      </w:pPr>
      <w:r>
        <w:rPr>
          <w:rFonts w:ascii="Arial" w:hAnsi="Arial" w:cs="Arial"/>
          <w:sz w:val="20"/>
          <w:szCs w:val="16"/>
        </w:rPr>
        <w:t>(c)</w:t>
      </w:r>
      <w:r>
        <w:rPr>
          <w:rFonts w:ascii="Arial" w:hAnsi="Arial" w:cs="Arial"/>
          <w:sz w:val="20"/>
          <w:szCs w:val="16"/>
        </w:rPr>
        <w:tab/>
        <w:t>a ruling;</w:t>
      </w:r>
    </w:p>
    <w:p w14:paraId="4B24EB2F" w14:textId="16689079" w:rsidR="00FD5E9E" w:rsidRDefault="00FD5E9E" w:rsidP="00FD5E9E">
      <w:pPr>
        <w:pStyle w:val="DraftHeading3"/>
        <w:tabs>
          <w:tab w:val="right" w:pos="1758"/>
        </w:tabs>
        <w:spacing w:before="0"/>
        <w:ind w:left="1475" w:right="567" w:hanging="454"/>
        <w:jc w:val="both"/>
        <w:rPr>
          <w:rFonts w:ascii="Arial" w:hAnsi="Arial" w:cs="Arial"/>
          <w:sz w:val="20"/>
          <w:szCs w:val="16"/>
        </w:rPr>
      </w:pPr>
      <w:r>
        <w:rPr>
          <w:rFonts w:ascii="Arial" w:hAnsi="Arial" w:cs="Arial"/>
          <w:sz w:val="20"/>
          <w:szCs w:val="16"/>
        </w:rPr>
        <w:t>(d)</w:t>
      </w:r>
      <w:r>
        <w:rPr>
          <w:rFonts w:ascii="Arial" w:hAnsi="Arial" w:cs="Arial"/>
          <w:sz w:val="20"/>
          <w:szCs w:val="16"/>
        </w:rPr>
        <w:tab/>
        <w:t>a finding;</w:t>
      </w:r>
    </w:p>
    <w:p w14:paraId="737AB404" w14:textId="36145309" w:rsidR="00FD5E9E" w:rsidRDefault="00FD5E9E" w:rsidP="00FD5E9E">
      <w:pPr>
        <w:pStyle w:val="DraftHeading3"/>
        <w:tabs>
          <w:tab w:val="right" w:pos="1758"/>
        </w:tabs>
        <w:spacing w:before="0"/>
        <w:ind w:left="1475" w:right="567" w:hanging="454"/>
        <w:jc w:val="both"/>
        <w:rPr>
          <w:rFonts w:ascii="Arial" w:hAnsi="Arial" w:cs="Arial"/>
          <w:sz w:val="20"/>
          <w:szCs w:val="16"/>
        </w:rPr>
      </w:pPr>
      <w:r>
        <w:rPr>
          <w:rFonts w:ascii="Arial" w:hAnsi="Arial" w:cs="Arial"/>
          <w:sz w:val="20"/>
          <w:szCs w:val="16"/>
        </w:rPr>
        <w:t>(e)</w:t>
      </w:r>
      <w:r>
        <w:rPr>
          <w:rFonts w:ascii="Arial" w:hAnsi="Arial" w:cs="Arial"/>
          <w:sz w:val="20"/>
          <w:szCs w:val="16"/>
        </w:rPr>
        <w:tab/>
        <w:t>a decision;</w:t>
      </w:r>
    </w:p>
    <w:p w14:paraId="4558F15E" w14:textId="217903CA" w:rsidR="00FD5E9E" w:rsidRDefault="00FD5E9E" w:rsidP="00FD5E9E">
      <w:pPr>
        <w:pStyle w:val="DraftHeading3"/>
        <w:tabs>
          <w:tab w:val="right" w:pos="1758"/>
        </w:tabs>
        <w:spacing w:before="0"/>
        <w:ind w:left="1475" w:right="567" w:hanging="454"/>
        <w:jc w:val="both"/>
        <w:rPr>
          <w:rFonts w:ascii="Arial" w:hAnsi="Arial" w:cs="Arial"/>
          <w:sz w:val="20"/>
          <w:szCs w:val="16"/>
        </w:rPr>
      </w:pPr>
      <w:r>
        <w:rPr>
          <w:rFonts w:ascii="Arial" w:hAnsi="Arial" w:cs="Arial"/>
          <w:sz w:val="20"/>
          <w:szCs w:val="16"/>
        </w:rPr>
        <w:t>(f)</w:t>
      </w:r>
      <w:r>
        <w:rPr>
          <w:rFonts w:ascii="Arial" w:hAnsi="Arial" w:cs="Arial"/>
          <w:sz w:val="20"/>
          <w:szCs w:val="16"/>
        </w:rPr>
        <w:tab/>
        <w:t>a determination.</w:t>
      </w:r>
    </w:p>
    <w:p w14:paraId="1394E6A6" w14:textId="293A2DA0" w:rsidR="005D6A31" w:rsidRPr="00437452" w:rsidRDefault="005D6A31" w:rsidP="005D6A31">
      <w:pPr>
        <w:pStyle w:val="DraftHeading2"/>
        <w:tabs>
          <w:tab w:val="right" w:pos="1247"/>
        </w:tabs>
        <w:spacing w:before="60"/>
        <w:ind w:left="1021" w:right="567" w:hanging="454"/>
        <w:jc w:val="both"/>
        <w:rPr>
          <w:rFonts w:ascii="Arial" w:hAnsi="Arial" w:cs="Arial"/>
          <w:b/>
          <w:bCs/>
          <w:sz w:val="20"/>
          <w:szCs w:val="16"/>
        </w:rPr>
      </w:pPr>
      <w:r>
        <w:rPr>
          <w:rFonts w:ascii="Arial" w:hAnsi="Arial" w:cs="Arial"/>
          <w:b/>
          <w:bCs/>
          <w:sz w:val="20"/>
          <w:szCs w:val="16"/>
        </w:rPr>
        <w:t>8B</w:t>
      </w:r>
      <w:r w:rsidRPr="001C508D">
        <w:rPr>
          <w:rFonts w:ascii="Arial" w:hAnsi="Arial" w:cs="Arial"/>
          <w:b/>
          <w:bCs/>
          <w:sz w:val="20"/>
          <w:szCs w:val="16"/>
        </w:rPr>
        <w:tab/>
      </w:r>
      <w:r>
        <w:rPr>
          <w:rFonts w:ascii="Arial" w:hAnsi="Arial" w:cs="Arial"/>
          <w:b/>
          <w:bCs/>
          <w:sz w:val="20"/>
          <w:szCs w:val="16"/>
        </w:rPr>
        <w:t xml:space="preserve">Certain measures in relation to proceeding or hearing do </w:t>
      </w:r>
      <w:r>
        <w:rPr>
          <w:rFonts w:ascii="Arial" w:hAnsi="Arial" w:cs="Arial"/>
          <w:b/>
          <w:bCs/>
          <w:sz w:val="20"/>
        </w:rPr>
        <w:t>not contravene rules of law relating to open justice</w:t>
      </w:r>
    </w:p>
    <w:p w14:paraId="52612201" w14:textId="14586503" w:rsidR="005D6A31" w:rsidRDefault="005D6A31" w:rsidP="00DB526A">
      <w:pPr>
        <w:pStyle w:val="DraftHeading2"/>
        <w:numPr>
          <w:ilvl w:val="5"/>
          <w:numId w:val="43"/>
        </w:numPr>
        <w:tabs>
          <w:tab w:val="right" w:pos="1247"/>
        </w:tabs>
        <w:adjustRightInd w:val="0"/>
        <w:spacing w:before="60"/>
        <w:ind w:left="1021" w:right="567" w:hanging="454"/>
        <w:jc w:val="both"/>
        <w:textAlignment w:val="baseline"/>
        <w:rPr>
          <w:rFonts w:ascii="Arial" w:hAnsi="Arial" w:cs="Arial"/>
          <w:sz w:val="20"/>
          <w:szCs w:val="16"/>
        </w:rPr>
      </w:pPr>
      <w:r>
        <w:rPr>
          <w:rFonts w:ascii="Arial" w:hAnsi="Arial" w:cs="Arial"/>
          <w:sz w:val="20"/>
          <w:szCs w:val="16"/>
        </w:rPr>
        <w:t>A court or tribunal does not contravene any rule of law relating to open justice if, instead of holding a proceeding or hearing in a court room or hearing room that is physically open to the public, the court or tribunal</w:t>
      </w:r>
      <w:r w:rsidR="00DB526A">
        <w:rPr>
          <w:rFonts w:ascii="Arial" w:hAnsi="Arial" w:cs="Arial"/>
          <w:sz w:val="20"/>
          <w:szCs w:val="16"/>
        </w:rPr>
        <w:t xml:space="preserve"> does whichever of the following things the court or tribunal is satisfied it is in the interests of justice to do</w:t>
      </w:r>
      <w:r w:rsidRPr="00237AC3">
        <w:rPr>
          <w:rFonts w:ascii="Arial" w:hAnsi="Arial" w:cs="Arial"/>
          <w:sz w:val="20"/>
          <w:szCs w:val="16"/>
        </w:rPr>
        <w:t>—</w:t>
      </w:r>
    </w:p>
    <w:p w14:paraId="25C69CD1" w14:textId="417F5869" w:rsidR="00DB526A" w:rsidRDefault="00DB526A" w:rsidP="00DB526A">
      <w:pPr>
        <w:pStyle w:val="DraftHeading3"/>
        <w:numPr>
          <w:ilvl w:val="6"/>
          <w:numId w:val="43"/>
        </w:numPr>
        <w:tabs>
          <w:tab w:val="right" w:pos="1758"/>
        </w:tabs>
        <w:spacing w:before="0"/>
        <w:ind w:left="1480" w:right="567" w:hanging="459"/>
        <w:jc w:val="both"/>
        <w:rPr>
          <w:rFonts w:ascii="Arial" w:hAnsi="Arial" w:cs="Arial"/>
          <w:sz w:val="20"/>
          <w:szCs w:val="16"/>
        </w:rPr>
      </w:pPr>
      <w:r>
        <w:rPr>
          <w:rFonts w:ascii="Arial" w:hAnsi="Arial" w:cs="Arial"/>
          <w:sz w:val="20"/>
          <w:szCs w:val="16"/>
        </w:rPr>
        <w:t>arranging or providing a contemporaneous audio or audio visual broadcast of the proceeding or hearing to</w:t>
      </w:r>
      <w:r w:rsidRPr="00237AC3">
        <w:rPr>
          <w:rFonts w:ascii="Arial" w:hAnsi="Arial" w:cs="Arial"/>
          <w:sz w:val="20"/>
          <w:szCs w:val="16"/>
        </w:rPr>
        <w:t>—</w:t>
      </w:r>
    </w:p>
    <w:p w14:paraId="3E074C31" w14:textId="77777777" w:rsidR="00DB526A" w:rsidRDefault="00DB526A" w:rsidP="00DB526A">
      <w:pPr>
        <w:pStyle w:val="ListParagraph"/>
        <w:numPr>
          <w:ilvl w:val="0"/>
          <w:numId w:val="44"/>
        </w:numPr>
        <w:ind w:left="1928" w:hanging="454"/>
        <w:jc w:val="both"/>
        <w:rPr>
          <w:rFonts w:ascii="Arial" w:hAnsi="Arial" w:cs="Arial"/>
          <w:sz w:val="20"/>
        </w:rPr>
      </w:pPr>
      <w:r w:rsidRPr="00DB526A">
        <w:rPr>
          <w:rFonts w:ascii="Arial" w:hAnsi="Arial" w:cs="Arial"/>
          <w:sz w:val="20"/>
        </w:rPr>
        <w:t>the public generally; or</w:t>
      </w:r>
    </w:p>
    <w:p w14:paraId="3902CC5E" w14:textId="77777777" w:rsidR="00DB526A" w:rsidRPr="00DB526A" w:rsidRDefault="00DB526A" w:rsidP="00DB526A">
      <w:pPr>
        <w:pStyle w:val="ListParagraph"/>
        <w:numPr>
          <w:ilvl w:val="0"/>
          <w:numId w:val="44"/>
        </w:numPr>
        <w:ind w:left="1928" w:hanging="454"/>
        <w:jc w:val="both"/>
        <w:rPr>
          <w:rFonts w:ascii="Arial" w:hAnsi="Arial" w:cs="Arial"/>
          <w:sz w:val="20"/>
        </w:rPr>
      </w:pPr>
      <w:r>
        <w:rPr>
          <w:rFonts w:ascii="Arial" w:hAnsi="Arial" w:cs="Arial"/>
          <w:sz w:val="20"/>
        </w:rPr>
        <w:t>a member of the public on request.</w:t>
      </w:r>
    </w:p>
    <w:p w14:paraId="2113F894" w14:textId="0A9F9928" w:rsidR="005D6A31" w:rsidRPr="00483341" w:rsidRDefault="005D6A31" w:rsidP="005D6A31">
      <w:pPr>
        <w:pStyle w:val="DraftHeading3"/>
        <w:tabs>
          <w:tab w:val="right" w:pos="1758"/>
        </w:tabs>
        <w:spacing w:before="0"/>
        <w:ind w:left="1475" w:right="567" w:hanging="454"/>
        <w:jc w:val="both"/>
        <w:rPr>
          <w:rFonts w:ascii="Arial" w:hAnsi="Arial" w:cs="Arial"/>
          <w:sz w:val="20"/>
          <w:szCs w:val="16"/>
        </w:rPr>
      </w:pPr>
      <w:r w:rsidRPr="00483341">
        <w:rPr>
          <w:rFonts w:ascii="Arial" w:hAnsi="Arial" w:cs="Arial"/>
          <w:sz w:val="20"/>
          <w:szCs w:val="16"/>
        </w:rPr>
        <w:t>(b)</w:t>
      </w:r>
      <w:r w:rsidRPr="00483341">
        <w:rPr>
          <w:rFonts w:ascii="Arial" w:hAnsi="Arial" w:cs="Arial"/>
          <w:sz w:val="20"/>
          <w:szCs w:val="16"/>
        </w:rPr>
        <w:tab/>
      </w:r>
      <w:r w:rsidR="00DB526A">
        <w:rPr>
          <w:rFonts w:ascii="Arial" w:hAnsi="Arial" w:cs="Arial"/>
          <w:sz w:val="20"/>
          <w:szCs w:val="16"/>
        </w:rPr>
        <w:t>arranging or providing an audio or audio visual recording of the proceeding within a reasonable time after the conclusion of the proceeding or hearing to</w:t>
      </w:r>
      <w:r w:rsidR="00DB526A" w:rsidRPr="00237AC3">
        <w:rPr>
          <w:rFonts w:ascii="Arial" w:hAnsi="Arial" w:cs="Arial"/>
          <w:sz w:val="20"/>
          <w:szCs w:val="16"/>
        </w:rPr>
        <w:t>—</w:t>
      </w:r>
    </w:p>
    <w:p w14:paraId="671AE116" w14:textId="177AC911" w:rsidR="005D6A31" w:rsidRPr="00DB526A" w:rsidRDefault="005D6A31" w:rsidP="00DB526A">
      <w:pPr>
        <w:pStyle w:val="ListParagraph"/>
        <w:numPr>
          <w:ilvl w:val="0"/>
          <w:numId w:val="45"/>
        </w:numPr>
        <w:ind w:left="1928" w:hanging="454"/>
        <w:jc w:val="both"/>
        <w:rPr>
          <w:rFonts w:ascii="Arial" w:hAnsi="Arial" w:cs="Arial"/>
          <w:sz w:val="20"/>
        </w:rPr>
      </w:pPr>
      <w:r w:rsidRPr="00DB526A">
        <w:rPr>
          <w:rFonts w:ascii="Arial" w:hAnsi="Arial" w:cs="Arial"/>
          <w:sz w:val="20"/>
        </w:rPr>
        <w:t>the public generally; or</w:t>
      </w:r>
    </w:p>
    <w:p w14:paraId="487952D1" w14:textId="6E2660A6" w:rsidR="00DB526A" w:rsidRPr="00DB526A" w:rsidRDefault="00DB526A" w:rsidP="00DB526A">
      <w:pPr>
        <w:pStyle w:val="ListParagraph"/>
        <w:numPr>
          <w:ilvl w:val="0"/>
          <w:numId w:val="45"/>
        </w:numPr>
        <w:ind w:left="1928" w:hanging="454"/>
        <w:jc w:val="both"/>
        <w:rPr>
          <w:rFonts w:ascii="Arial" w:hAnsi="Arial" w:cs="Arial"/>
          <w:sz w:val="20"/>
        </w:rPr>
      </w:pPr>
      <w:r>
        <w:rPr>
          <w:rFonts w:ascii="Arial" w:hAnsi="Arial" w:cs="Arial"/>
          <w:sz w:val="20"/>
        </w:rPr>
        <w:t>a member of the public on request.</w:t>
      </w:r>
    </w:p>
    <w:p w14:paraId="75EC40A4" w14:textId="4721DB15" w:rsidR="00DB526A" w:rsidRPr="00DB526A" w:rsidRDefault="00DB526A" w:rsidP="00DB526A">
      <w:pPr>
        <w:pStyle w:val="DraftHeading2"/>
        <w:numPr>
          <w:ilvl w:val="5"/>
          <w:numId w:val="43"/>
        </w:numPr>
        <w:tabs>
          <w:tab w:val="right" w:pos="1247"/>
        </w:tabs>
        <w:adjustRightInd w:val="0"/>
        <w:spacing w:before="60"/>
        <w:ind w:left="1021" w:right="567" w:hanging="454"/>
        <w:jc w:val="both"/>
        <w:textAlignment w:val="baseline"/>
        <w:rPr>
          <w:rFonts w:ascii="Arial" w:hAnsi="Arial" w:cs="Arial"/>
          <w:sz w:val="20"/>
          <w:szCs w:val="16"/>
        </w:rPr>
      </w:pPr>
      <w:r>
        <w:rPr>
          <w:rFonts w:ascii="Arial" w:hAnsi="Arial" w:cs="Arial"/>
          <w:sz w:val="20"/>
        </w:rPr>
        <w:t>A court or tribunal may determine what means or access or combination of means of access under subsection (1) is or are more appropriate in all the circumstances.</w:t>
      </w:r>
    </w:p>
    <w:p w14:paraId="78DE9D86" w14:textId="5D524D85" w:rsidR="00DB526A" w:rsidRDefault="00DB526A" w:rsidP="00DB526A">
      <w:pPr>
        <w:pStyle w:val="DraftHeading2"/>
        <w:numPr>
          <w:ilvl w:val="5"/>
          <w:numId w:val="43"/>
        </w:numPr>
        <w:tabs>
          <w:tab w:val="right" w:pos="1247"/>
        </w:tabs>
        <w:adjustRightInd w:val="0"/>
        <w:spacing w:before="60"/>
        <w:ind w:left="1021" w:right="567" w:hanging="454"/>
        <w:jc w:val="both"/>
        <w:textAlignment w:val="baseline"/>
        <w:rPr>
          <w:rFonts w:ascii="Arial" w:hAnsi="Arial" w:cs="Arial"/>
          <w:sz w:val="20"/>
          <w:szCs w:val="16"/>
        </w:rPr>
      </w:pPr>
      <w:r>
        <w:rPr>
          <w:rFonts w:ascii="Arial" w:hAnsi="Arial" w:cs="Arial"/>
          <w:sz w:val="20"/>
        </w:rPr>
        <w:t xml:space="preserve">No fee </w:t>
      </w:r>
      <w:r w:rsidR="0019667E">
        <w:rPr>
          <w:rFonts w:ascii="Arial" w:hAnsi="Arial" w:cs="Arial"/>
          <w:sz w:val="20"/>
        </w:rPr>
        <w:t>is payable for a contemporaneous audio or audio visual broadcast under subsection (1)(a) [or] an audio or audio visual recording of a proceeding or hearing under subsection (1)(b)…by a person to whom it is provided.</w:t>
      </w:r>
    </w:p>
    <w:p w14:paraId="6283B194" w14:textId="79309357" w:rsidR="005D6A31" w:rsidRPr="001C508D" w:rsidRDefault="0019667E" w:rsidP="005D6A31">
      <w:pPr>
        <w:pStyle w:val="ListParagraph"/>
        <w:numPr>
          <w:ilvl w:val="5"/>
          <w:numId w:val="42"/>
        </w:numPr>
        <w:spacing w:before="60"/>
        <w:ind w:left="1015" w:right="567" w:hanging="448"/>
        <w:jc w:val="both"/>
        <w:rPr>
          <w:rFonts w:ascii="Arial" w:hAnsi="Arial" w:cs="Arial"/>
          <w:sz w:val="20"/>
        </w:rPr>
      </w:pPr>
      <w:r>
        <w:rPr>
          <w:rFonts w:ascii="Arial" w:hAnsi="Arial" w:cs="Arial"/>
          <w:sz w:val="20"/>
        </w:rPr>
        <w:t xml:space="preserve">Subsection (3) applies despite any Act (other than the </w:t>
      </w:r>
      <w:r w:rsidRPr="0019667E">
        <w:rPr>
          <w:rFonts w:ascii="Arial" w:hAnsi="Arial" w:cs="Arial"/>
          <w:i/>
          <w:iCs/>
          <w:sz w:val="20"/>
        </w:rPr>
        <w:t>Charter of Human Rights and Responsibilities Act 2006</w:t>
      </w:r>
      <w:r>
        <w:rPr>
          <w:rFonts w:ascii="Arial" w:hAnsi="Arial" w:cs="Arial"/>
          <w:sz w:val="20"/>
        </w:rPr>
        <w:t>) or any regulation which fixes a fee for the provision of any broadcast [or] recording…”</w:t>
      </w:r>
    </w:p>
    <w:p w14:paraId="49121F95" w14:textId="77777777" w:rsidR="00CD5BD3" w:rsidRDefault="00CD5BD3" w:rsidP="00E54921">
      <w:pPr>
        <w:jc w:val="both"/>
        <w:rPr>
          <w:rFonts w:ascii="Arial" w:hAnsi="Arial" w:cs="Arial"/>
          <w:sz w:val="20"/>
        </w:rPr>
      </w:pPr>
    </w:p>
    <w:p w14:paraId="57528054" w14:textId="1D252614" w:rsidR="0020769F" w:rsidRDefault="0020769F" w:rsidP="0020769F">
      <w:pPr>
        <w:jc w:val="both"/>
        <w:rPr>
          <w:rFonts w:ascii="Arial" w:hAnsi="Arial" w:cs="Arial"/>
          <w:color w:val="000000"/>
          <w:sz w:val="20"/>
        </w:rPr>
      </w:pPr>
      <w:r>
        <w:rPr>
          <w:rFonts w:ascii="Arial" w:hAnsi="Arial" w:cs="Arial"/>
          <w:sz w:val="20"/>
        </w:rPr>
        <w:t xml:space="preserve">So far as the presence in Court of an accused is concerned, the Court of Appeal in </w:t>
      </w:r>
      <w:proofErr w:type="spellStart"/>
      <w:r w:rsidRPr="0020769F">
        <w:rPr>
          <w:rFonts w:ascii="Arial" w:hAnsi="Arial" w:cs="Arial"/>
          <w:i/>
          <w:iCs/>
          <w:color w:val="000000"/>
          <w:sz w:val="20"/>
          <w:szCs w:val="20"/>
        </w:rPr>
        <w:t>Mareangareu</w:t>
      </w:r>
      <w:proofErr w:type="spellEnd"/>
      <w:r w:rsidRPr="0020769F">
        <w:rPr>
          <w:rFonts w:ascii="Arial" w:hAnsi="Arial" w:cs="Arial"/>
          <w:i/>
          <w:iCs/>
          <w:color w:val="000000"/>
          <w:sz w:val="20"/>
          <w:szCs w:val="20"/>
        </w:rPr>
        <w:t xml:space="preserve"> v The Queen</w:t>
      </w:r>
      <w:r w:rsidRPr="0020769F">
        <w:rPr>
          <w:rFonts w:ascii="Arial" w:hAnsi="Arial" w:cs="Arial"/>
          <w:color w:val="000000"/>
          <w:sz w:val="20"/>
          <w:szCs w:val="20"/>
        </w:rPr>
        <w:t xml:space="preserve"> [2019] VSCA 101 </w:t>
      </w:r>
      <w:r>
        <w:rPr>
          <w:rFonts w:ascii="Arial" w:hAnsi="Arial" w:cs="Arial"/>
          <w:color w:val="000000"/>
          <w:sz w:val="20"/>
          <w:szCs w:val="20"/>
        </w:rPr>
        <w:t xml:space="preserve">said </w:t>
      </w:r>
      <w:r w:rsidRPr="0020769F">
        <w:rPr>
          <w:rFonts w:ascii="Arial" w:hAnsi="Arial" w:cs="Arial"/>
          <w:color w:val="000000"/>
          <w:sz w:val="20"/>
          <w:szCs w:val="20"/>
        </w:rPr>
        <w:t>at [59]</w:t>
      </w:r>
      <w:r>
        <w:rPr>
          <w:rFonts w:ascii="Arial" w:hAnsi="Arial" w:cs="Arial"/>
          <w:color w:val="000000"/>
          <w:sz w:val="20"/>
          <w:szCs w:val="20"/>
        </w:rPr>
        <w:t>: “</w:t>
      </w:r>
      <w:r w:rsidRPr="0020769F">
        <w:rPr>
          <w:rFonts w:ascii="Arial" w:hAnsi="Arial" w:cs="Arial"/>
          <w:sz w:val="20"/>
        </w:rPr>
        <w:t xml:space="preserve">It is a fundamental principle that, unless there is some disentitling conduct or waiver, all aspects of a trial for an indictable offence must be conducted in the presence of the accused.  See </w:t>
      </w:r>
      <w:r w:rsidRPr="0020769F">
        <w:rPr>
          <w:rFonts w:ascii="Arial" w:hAnsi="Arial" w:cs="Arial"/>
          <w:i/>
          <w:iCs/>
          <w:sz w:val="20"/>
        </w:rPr>
        <w:t>Lawrence v The King</w:t>
      </w:r>
      <w:r w:rsidRPr="0020769F">
        <w:rPr>
          <w:rFonts w:ascii="Arial" w:hAnsi="Arial" w:cs="Arial"/>
          <w:sz w:val="20"/>
        </w:rPr>
        <w:t xml:space="preserve"> [1933] AC 699, 708; </w:t>
      </w:r>
      <w:r w:rsidRPr="0020769F">
        <w:rPr>
          <w:rFonts w:ascii="Arial" w:hAnsi="Arial" w:cs="Arial"/>
          <w:i/>
          <w:iCs/>
          <w:sz w:val="20"/>
        </w:rPr>
        <w:t>R v Abrahams</w:t>
      </w:r>
      <w:r w:rsidRPr="0020769F">
        <w:rPr>
          <w:rFonts w:ascii="Arial" w:hAnsi="Arial" w:cs="Arial"/>
          <w:sz w:val="20"/>
        </w:rPr>
        <w:t xml:space="preserve"> (1895) 21 VLR 343, 347</w:t>
      </w:r>
      <w:r w:rsidR="000843B5">
        <w:rPr>
          <w:rFonts w:ascii="Arial" w:hAnsi="Arial" w:cs="Arial"/>
          <w:sz w:val="20"/>
        </w:rPr>
        <w:noBreakHyphen/>
      </w:r>
      <w:r w:rsidRPr="0020769F">
        <w:rPr>
          <w:rFonts w:ascii="Arial" w:hAnsi="Arial" w:cs="Arial"/>
          <w:sz w:val="20"/>
        </w:rPr>
        <w:t xml:space="preserve">8; </w:t>
      </w:r>
      <w:r w:rsidRPr="0020769F">
        <w:rPr>
          <w:rFonts w:ascii="Arial" w:hAnsi="Arial" w:cs="Arial"/>
          <w:i/>
          <w:iCs/>
          <w:sz w:val="20"/>
        </w:rPr>
        <w:t>R v Vernell</w:t>
      </w:r>
      <w:r w:rsidRPr="0020769F">
        <w:rPr>
          <w:rFonts w:ascii="Arial" w:hAnsi="Arial" w:cs="Arial"/>
          <w:sz w:val="20"/>
        </w:rPr>
        <w:t xml:space="preserve"> [1953] VLR 590, 596; </w:t>
      </w:r>
      <w:r w:rsidRPr="0020769F">
        <w:rPr>
          <w:rFonts w:ascii="Arial" w:hAnsi="Arial" w:cs="Arial"/>
          <w:i/>
          <w:iCs/>
          <w:sz w:val="20"/>
        </w:rPr>
        <w:t>R v Jones</w:t>
      </w:r>
      <w:r w:rsidRPr="0020769F">
        <w:rPr>
          <w:rFonts w:ascii="Arial" w:hAnsi="Arial" w:cs="Arial"/>
          <w:sz w:val="20"/>
        </w:rPr>
        <w:t xml:space="preserve"> (1998) 72 SASR 281, 294–5.</w:t>
      </w:r>
      <w:r>
        <w:rPr>
          <w:rFonts w:ascii="Arial" w:hAnsi="Arial" w:cs="Arial"/>
          <w:sz w:val="20"/>
        </w:rPr>
        <w:t>”</w:t>
      </w:r>
      <w:r w:rsidR="00301518">
        <w:rPr>
          <w:rFonts w:ascii="Arial" w:hAnsi="Arial" w:cs="Arial"/>
          <w:sz w:val="20"/>
        </w:rPr>
        <w:t xml:space="preserve">  </w:t>
      </w:r>
      <w:r w:rsidR="00301518" w:rsidRPr="00381395">
        <w:rPr>
          <w:rFonts w:ascii="Arial" w:hAnsi="Arial" w:cs="Arial"/>
          <w:color w:val="000000"/>
          <w:sz w:val="20"/>
        </w:rPr>
        <w:t xml:space="preserve">However, the accused may be present </w:t>
      </w:r>
      <w:r w:rsidR="009C3E12" w:rsidRPr="00381395">
        <w:rPr>
          <w:rFonts w:ascii="Arial" w:hAnsi="Arial" w:cs="Arial"/>
          <w:color w:val="000000"/>
          <w:sz w:val="20"/>
        </w:rPr>
        <w:t xml:space="preserve">in Court </w:t>
      </w:r>
      <w:r w:rsidR="00301518" w:rsidRPr="00381395">
        <w:rPr>
          <w:rFonts w:ascii="Arial" w:hAnsi="Arial" w:cs="Arial"/>
          <w:color w:val="000000"/>
          <w:sz w:val="20"/>
        </w:rPr>
        <w:t xml:space="preserve">by audio visual link or audio link in circumstances falling within </w:t>
      </w:r>
      <w:r w:rsidR="00DB7436" w:rsidRPr="00381395">
        <w:rPr>
          <w:rFonts w:ascii="Arial" w:hAnsi="Arial" w:cs="Arial"/>
          <w:color w:val="000000"/>
          <w:sz w:val="20"/>
        </w:rPr>
        <w:t>Division 3 of Part IIA</w:t>
      </w:r>
      <w:r w:rsidR="00301518" w:rsidRPr="00381395">
        <w:rPr>
          <w:rFonts w:ascii="Arial" w:hAnsi="Arial" w:cs="Arial"/>
          <w:color w:val="000000"/>
          <w:sz w:val="20"/>
        </w:rPr>
        <w:t xml:space="preserve"> of the </w:t>
      </w:r>
      <w:r w:rsidR="00301518" w:rsidRPr="005161F3">
        <w:rPr>
          <w:rFonts w:ascii="Arial" w:hAnsi="Arial" w:cs="Arial"/>
          <w:i/>
          <w:iCs/>
          <w:color w:val="000000"/>
          <w:sz w:val="20"/>
        </w:rPr>
        <w:t>Evidence (Miscellaneous Provisions) Act 1958</w:t>
      </w:r>
      <w:r w:rsidR="00301518" w:rsidRPr="00381395">
        <w:rPr>
          <w:rFonts w:ascii="Arial" w:hAnsi="Arial" w:cs="Arial"/>
          <w:color w:val="000000"/>
          <w:sz w:val="20"/>
        </w:rPr>
        <w:t>.</w:t>
      </w:r>
      <w:r w:rsidR="00B27B6D">
        <w:rPr>
          <w:rFonts w:ascii="Arial" w:hAnsi="Arial" w:cs="Arial"/>
          <w:color w:val="000000"/>
          <w:sz w:val="20"/>
        </w:rPr>
        <w:t xml:space="preserve">  In </w:t>
      </w:r>
      <w:r w:rsidR="00B27B6D" w:rsidRPr="00B27B6D">
        <w:rPr>
          <w:rFonts w:ascii="Arial" w:hAnsi="Arial" w:cs="Arial"/>
          <w:i/>
          <w:iCs/>
          <w:color w:val="000000"/>
          <w:sz w:val="20"/>
        </w:rPr>
        <w:t>Caulfield (a pseudonym) v The King</w:t>
      </w:r>
      <w:r w:rsidR="00B27B6D">
        <w:rPr>
          <w:rFonts w:ascii="Arial" w:hAnsi="Arial" w:cs="Arial"/>
          <w:color w:val="000000"/>
          <w:sz w:val="20"/>
        </w:rPr>
        <w:t xml:space="preserve"> [2023] VSCA 76 the accused was in prison but connected to the courtroom by an audio visual link.  As the judge was reading her sentencing reasons, the connection with the prison was lost.  Rather than immediately adjourning the Court to allow the connection to be re-established, the judge took the opportunity to speak directly to persons in court who had provided victim impact statements.  At [36]</w:t>
      </w:r>
      <w:r w:rsidR="00B27B6D">
        <w:rPr>
          <w:rFonts w:ascii="Arial" w:hAnsi="Arial" w:cs="Arial"/>
          <w:color w:val="000000"/>
          <w:sz w:val="20"/>
        </w:rPr>
        <w:noBreakHyphen/>
        <w:t xml:space="preserve">[42] the Court of Appeal (Beach, Niall &amp; Kaye JJA) held that </w:t>
      </w:r>
      <w:r w:rsidR="00C203EB">
        <w:rPr>
          <w:rFonts w:ascii="Arial" w:hAnsi="Arial" w:cs="Arial"/>
          <w:color w:val="000000"/>
          <w:sz w:val="20"/>
        </w:rPr>
        <w:t>“</w:t>
      </w:r>
      <w:r w:rsidR="00B27B6D">
        <w:rPr>
          <w:rFonts w:ascii="Arial" w:hAnsi="Arial" w:cs="Arial"/>
          <w:color w:val="000000"/>
          <w:sz w:val="20"/>
        </w:rPr>
        <w:t>the remarks</w:t>
      </w:r>
      <w:r w:rsidR="00C203EB">
        <w:rPr>
          <w:rFonts w:ascii="Arial" w:hAnsi="Arial" w:cs="Arial"/>
          <w:color w:val="000000"/>
          <w:sz w:val="20"/>
        </w:rPr>
        <w:t xml:space="preserve"> made by the judge in the absence of the applicant should not have been made” and enunciated some cardinal principles as to why.  However, although leave to appeal was granted, the appeal was ultimately dismissed on the basis that no lesser sentence was appropriate.</w:t>
      </w:r>
    </w:p>
    <w:p w14:paraId="1311F142" w14:textId="77777777" w:rsidR="00E54921" w:rsidRDefault="00E54921" w:rsidP="00E54921">
      <w:pPr>
        <w:jc w:val="both"/>
        <w:rPr>
          <w:rFonts w:ascii="Arial" w:hAnsi="Arial" w:cs="Arial"/>
          <w:sz w:val="20"/>
        </w:rPr>
      </w:pPr>
    </w:p>
    <w:p w14:paraId="3261232E" w14:textId="19FA65AE" w:rsidR="00FA0D0B" w:rsidRDefault="00FA0D0B" w:rsidP="00FA0D0B">
      <w:pPr>
        <w:pStyle w:val="Heading3"/>
        <w:keepNext/>
        <w:keepLines/>
        <w:spacing w:after="120" w:line="240" w:lineRule="auto"/>
        <w:rPr>
          <w:rFonts w:ascii="Arial" w:hAnsi="Arial" w:cs="Arial"/>
          <w:b/>
          <w:bCs/>
          <w:sz w:val="20"/>
        </w:rPr>
      </w:pPr>
      <w:bookmarkStart w:id="444" w:name="_2.7.2_Sections_28"/>
      <w:bookmarkEnd w:id="444"/>
      <w:r>
        <w:rPr>
          <w:rFonts w:ascii="Arial" w:hAnsi="Arial" w:cs="Arial"/>
          <w:b/>
          <w:bCs/>
          <w:sz w:val="20"/>
        </w:rPr>
        <w:t>2.7.2</w:t>
      </w:r>
      <w:r>
        <w:rPr>
          <w:rFonts w:ascii="Arial" w:hAnsi="Arial" w:cs="Arial"/>
          <w:b/>
          <w:bCs/>
          <w:sz w:val="20"/>
        </w:rPr>
        <w:tab/>
      </w:r>
      <w:r w:rsidR="00755FF0">
        <w:rPr>
          <w:rFonts w:ascii="Arial" w:hAnsi="Arial" w:cs="Arial"/>
          <w:b/>
          <w:bCs/>
          <w:sz w:val="20"/>
        </w:rPr>
        <w:t>Sections 28</w:t>
      </w:r>
      <w:r w:rsidR="00586426">
        <w:rPr>
          <w:rFonts w:ascii="Arial" w:hAnsi="Arial" w:cs="Arial"/>
          <w:b/>
          <w:bCs/>
          <w:sz w:val="20"/>
        </w:rPr>
        <w:t>-</w:t>
      </w:r>
      <w:r w:rsidR="00755FF0">
        <w:rPr>
          <w:rFonts w:ascii="Arial" w:hAnsi="Arial" w:cs="Arial"/>
          <w:b/>
          <w:bCs/>
          <w:sz w:val="20"/>
        </w:rPr>
        <w:t xml:space="preserve">30 </w:t>
      </w:r>
      <w:r w:rsidRPr="004C64DA">
        <w:rPr>
          <w:rFonts w:ascii="Arial" w:hAnsi="Arial" w:cs="Arial"/>
          <w:b/>
          <w:bCs/>
          <w:sz w:val="20"/>
        </w:rPr>
        <w:t>Open Courts Act 2013</w:t>
      </w:r>
      <w:r w:rsidR="00586426">
        <w:rPr>
          <w:rFonts w:ascii="Arial" w:hAnsi="Arial" w:cs="Arial"/>
          <w:b/>
          <w:bCs/>
          <w:i/>
          <w:iCs/>
          <w:sz w:val="20"/>
        </w:rPr>
        <w:t xml:space="preserve"> </w:t>
      </w:r>
      <w:r w:rsidR="00586426" w:rsidRPr="00586426">
        <w:rPr>
          <w:rFonts w:ascii="Arial" w:hAnsi="Arial" w:cs="Arial"/>
          <w:b/>
          <w:bCs/>
          <w:sz w:val="20"/>
        </w:rPr>
        <w:t>and section 93.2</w:t>
      </w:r>
      <w:r w:rsidR="00586426">
        <w:rPr>
          <w:rFonts w:ascii="Arial" w:hAnsi="Arial" w:cs="Arial"/>
          <w:b/>
          <w:bCs/>
          <w:i/>
          <w:iCs/>
          <w:sz w:val="20"/>
        </w:rPr>
        <w:t xml:space="preserve"> </w:t>
      </w:r>
      <w:r w:rsidR="00586426" w:rsidRPr="004C64DA">
        <w:rPr>
          <w:rFonts w:ascii="Arial" w:hAnsi="Arial" w:cs="Arial"/>
          <w:b/>
          <w:bCs/>
          <w:sz w:val="20"/>
        </w:rPr>
        <w:t>Criminal Code Act 1995</w:t>
      </w:r>
      <w:r w:rsidR="00586426">
        <w:rPr>
          <w:rFonts w:ascii="Arial" w:hAnsi="Arial" w:cs="Arial"/>
          <w:b/>
          <w:bCs/>
          <w:i/>
          <w:iCs/>
          <w:sz w:val="20"/>
        </w:rPr>
        <w:t xml:space="preserve"> </w:t>
      </w:r>
      <w:r w:rsidR="00586426" w:rsidRPr="00586426">
        <w:rPr>
          <w:rFonts w:ascii="Arial" w:hAnsi="Arial" w:cs="Arial"/>
          <w:b/>
          <w:bCs/>
          <w:sz w:val="20"/>
        </w:rPr>
        <w:t>(</w:t>
      </w:r>
      <w:proofErr w:type="spellStart"/>
      <w:r w:rsidR="00586426" w:rsidRPr="00586426">
        <w:rPr>
          <w:rFonts w:ascii="Arial" w:hAnsi="Arial" w:cs="Arial"/>
          <w:b/>
          <w:bCs/>
          <w:sz w:val="20"/>
        </w:rPr>
        <w:t>Cth</w:t>
      </w:r>
      <w:proofErr w:type="spellEnd"/>
      <w:r w:rsidR="00586426" w:rsidRPr="00586426">
        <w:rPr>
          <w:rFonts w:ascii="Arial" w:hAnsi="Arial" w:cs="Arial"/>
          <w:b/>
          <w:bCs/>
          <w:sz w:val="20"/>
        </w:rPr>
        <w:t>)</w:t>
      </w:r>
    </w:p>
    <w:p w14:paraId="5960A088" w14:textId="0AE7FE21" w:rsidR="00FA1BDE" w:rsidRPr="00FA1BDE" w:rsidRDefault="00D620A8" w:rsidP="00DB7436">
      <w:pPr>
        <w:jc w:val="both"/>
        <w:rPr>
          <w:rFonts w:ascii="Arial" w:hAnsi="Arial" w:cs="Arial"/>
          <w:sz w:val="20"/>
        </w:rPr>
      </w:pPr>
      <w:r w:rsidRPr="00FA1BDE">
        <w:rPr>
          <w:rFonts w:ascii="Arial" w:hAnsi="Arial" w:cs="Arial"/>
          <w:sz w:val="20"/>
        </w:rPr>
        <w:t xml:space="preserve">In order “to strengthen and promote the principle of open justice”, </w:t>
      </w:r>
      <w:r w:rsidR="00DA3C4D">
        <w:rPr>
          <w:rFonts w:ascii="Arial" w:hAnsi="Arial" w:cs="Arial"/>
          <w:sz w:val="20"/>
        </w:rPr>
        <w:t xml:space="preserve">the OCA </w:t>
      </w:r>
      <w:r w:rsidR="000F3B10">
        <w:rPr>
          <w:rFonts w:ascii="Arial" w:hAnsi="Arial" w:cs="Arial"/>
          <w:sz w:val="20"/>
        </w:rPr>
        <w:t xml:space="preserve">originally </w:t>
      </w:r>
      <w:r w:rsidR="00EC151A" w:rsidRPr="00FA1BDE">
        <w:rPr>
          <w:rFonts w:ascii="Arial" w:hAnsi="Arial" w:cs="Arial"/>
          <w:sz w:val="20"/>
        </w:rPr>
        <w:t>provide</w:t>
      </w:r>
      <w:r w:rsidR="00FA1BDE" w:rsidRPr="00FA1BDE">
        <w:rPr>
          <w:rFonts w:ascii="Arial" w:hAnsi="Arial" w:cs="Arial"/>
          <w:sz w:val="20"/>
        </w:rPr>
        <w:t>d</w:t>
      </w:r>
      <w:r w:rsidR="00EC151A" w:rsidRPr="00FA1BDE">
        <w:rPr>
          <w:rFonts w:ascii="Arial" w:hAnsi="Arial" w:cs="Arial"/>
          <w:sz w:val="20"/>
        </w:rPr>
        <w:t xml:space="preserve"> in s.28 a presumption in favour of hearing a proceeding in open court.  </w:t>
      </w:r>
      <w:r w:rsidR="00FA1BDE" w:rsidRPr="00FA1BDE">
        <w:rPr>
          <w:rFonts w:ascii="Arial" w:hAnsi="Arial" w:cs="Arial"/>
          <w:color w:val="000000"/>
          <w:sz w:val="20"/>
          <w:szCs w:val="20"/>
          <w:lang w:eastAsia="en-AU"/>
        </w:rPr>
        <w:t>The</w:t>
      </w:r>
      <w:r w:rsidR="00B257F5">
        <w:rPr>
          <w:rFonts w:ascii="Arial" w:hAnsi="Arial" w:cs="Arial"/>
          <w:color w:val="000000"/>
          <w:sz w:val="20"/>
          <w:szCs w:val="20"/>
          <w:lang w:eastAsia="en-AU"/>
        </w:rPr>
        <w:t xml:space="preserve"> </w:t>
      </w:r>
      <w:r w:rsidR="00FA1BDE" w:rsidRPr="00FA1BDE">
        <w:rPr>
          <w:rFonts w:ascii="Arial" w:hAnsi="Arial" w:cs="Arial"/>
          <w:i/>
          <w:iCs/>
          <w:color w:val="000000"/>
          <w:sz w:val="20"/>
          <w:szCs w:val="20"/>
          <w:lang w:eastAsia="en-AU"/>
        </w:rPr>
        <w:t>Open Courts and Other Acts Amendment Act 2019</w:t>
      </w:r>
      <w:r w:rsidR="00FA1BDE">
        <w:rPr>
          <w:rFonts w:ascii="Arial" w:hAnsi="Arial" w:cs="Arial"/>
          <w:color w:val="000000"/>
          <w:sz w:val="20"/>
          <w:szCs w:val="20"/>
          <w:lang w:eastAsia="en-AU"/>
        </w:rPr>
        <w:t xml:space="preserve"> </w:t>
      </w:r>
      <w:r w:rsidR="00FA1BDE" w:rsidRPr="00FA1BDE">
        <w:rPr>
          <w:rFonts w:ascii="Arial" w:hAnsi="Arial" w:cs="Arial"/>
          <w:color w:val="000000"/>
          <w:sz w:val="20"/>
          <w:szCs w:val="20"/>
          <w:lang w:eastAsia="en-AU"/>
        </w:rPr>
        <w:t>replaced the presumption in favour of open courts with an obligation to consider the primacy of the open justice principle, free communication and disclosure of information, and to not make a</w:t>
      </w:r>
      <w:r w:rsidR="00DA3C4D">
        <w:rPr>
          <w:rFonts w:ascii="Arial" w:hAnsi="Arial" w:cs="Arial"/>
          <w:color w:val="000000"/>
          <w:sz w:val="20"/>
          <w:szCs w:val="20"/>
          <w:lang w:eastAsia="en-AU"/>
        </w:rPr>
        <w:t xml:space="preserve"> closed court</w:t>
      </w:r>
      <w:r w:rsidR="00FA1BDE">
        <w:rPr>
          <w:rFonts w:ascii="Arial" w:hAnsi="Arial" w:cs="Arial"/>
          <w:color w:val="000000"/>
          <w:sz w:val="20"/>
          <w:szCs w:val="20"/>
          <w:lang w:eastAsia="en-AU"/>
        </w:rPr>
        <w:t xml:space="preserve"> </w:t>
      </w:r>
      <w:r w:rsidR="00FA1BDE" w:rsidRPr="00FA1BDE">
        <w:rPr>
          <w:rFonts w:ascii="Arial" w:hAnsi="Arial" w:cs="Arial"/>
          <w:color w:val="000000"/>
          <w:sz w:val="20"/>
          <w:szCs w:val="20"/>
          <w:lang w:eastAsia="en-AU"/>
        </w:rPr>
        <w:t>order unless necessary to override that principle. This obligation effectively applies to any closure of the</w:t>
      </w:r>
      <w:r w:rsidR="00DA3C4D">
        <w:rPr>
          <w:rFonts w:ascii="Arial" w:hAnsi="Arial" w:cs="Arial"/>
          <w:color w:val="000000"/>
          <w:sz w:val="20"/>
          <w:szCs w:val="20"/>
          <w:lang w:eastAsia="en-AU"/>
        </w:rPr>
        <w:t xml:space="preserve"> court</w:t>
      </w:r>
      <w:r w:rsidR="00FA1BDE" w:rsidRPr="00FA1BDE">
        <w:rPr>
          <w:rFonts w:ascii="Arial" w:hAnsi="Arial" w:cs="Arial"/>
          <w:color w:val="000000"/>
          <w:sz w:val="20"/>
          <w:szCs w:val="20"/>
          <w:lang w:eastAsia="en-AU"/>
        </w:rPr>
        <w:t>, whether made under the</w:t>
      </w:r>
      <w:r w:rsidR="00B257F5">
        <w:rPr>
          <w:rFonts w:ascii="Arial" w:hAnsi="Arial" w:cs="Arial"/>
          <w:color w:val="000000"/>
          <w:sz w:val="20"/>
          <w:szCs w:val="20"/>
          <w:lang w:eastAsia="en-AU"/>
        </w:rPr>
        <w:t xml:space="preserve"> </w:t>
      </w:r>
      <w:r w:rsidR="00FA1BDE" w:rsidRPr="00FA1BDE">
        <w:rPr>
          <w:rFonts w:ascii="Arial" w:hAnsi="Arial" w:cs="Arial"/>
          <w:i/>
          <w:iCs/>
          <w:color w:val="000000"/>
          <w:sz w:val="20"/>
          <w:szCs w:val="20"/>
          <w:lang w:eastAsia="en-AU"/>
        </w:rPr>
        <w:t>Open Courts Act</w:t>
      </w:r>
      <w:r w:rsidR="00FA1BDE" w:rsidRPr="00FA1BDE">
        <w:rPr>
          <w:rFonts w:ascii="Arial" w:hAnsi="Arial" w:cs="Arial"/>
          <w:color w:val="000000"/>
          <w:sz w:val="20"/>
          <w:szCs w:val="20"/>
          <w:lang w:eastAsia="en-AU"/>
        </w:rPr>
        <w:t>, other legislation, or at common law.</w:t>
      </w:r>
      <w:r w:rsidR="000425F8">
        <w:rPr>
          <w:rFonts w:ascii="Arial" w:hAnsi="Arial" w:cs="Arial"/>
          <w:color w:val="000000"/>
          <w:sz w:val="20"/>
          <w:szCs w:val="20"/>
          <w:lang w:eastAsia="en-AU"/>
        </w:rPr>
        <w:t xml:space="preserve">  Section 29 of the OCA provides that the common law powers to make closed court orders remain unaffected by the OCA.</w:t>
      </w:r>
    </w:p>
    <w:p w14:paraId="47641782" w14:textId="77777777" w:rsidR="00FA1BDE" w:rsidRDefault="00FA1BDE" w:rsidP="00DB7436">
      <w:pPr>
        <w:jc w:val="both"/>
        <w:rPr>
          <w:rFonts w:ascii="Arial" w:hAnsi="Arial" w:cs="Arial"/>
          <w:sz w:val="20"/>
        </w:rPr>
      </w:pPr>
    </w:p>
    <w:p w14:paraId="0F1F7022" w14:textId="77777777" w:rsidR="005619BF" w:rsidRDefault="00DB7436" w:rsidP="00E54921">
      <w:pPr>
        <w:jc w:val="both"/>
        <w:rPr>
          <w:rFonts w:ascii="Arial" w:hAnsi="Arial" w:cs="Arial"/>
          <w:sz w:val="20"/>
        </w:rPr>
      </w:pPr>
      <w:r>
        <w:rPr>
          <w:rFonts w:ascii="Arial" w:hAnsi="Arial" w:cs="Arial"/>
          <w:sz w:val="20"/>
        </w:rPr>
        <w:t>Hence</w:t>
      </w:r>
      <w:r w:rsidR="00EC151A">
        <w:rPr>
          <w:rFonts w:ascii="Arial" w:hAnsi="Arial" w:cs="Arial"/>
          <w:sz w:val="20"/>
        </w:rPr>
        <w:t>, in deciding whether or not a Children’s Court hearing should be closed in whole or part under s.523 of the CYFA</w:t>
      </w:r>
      <w:r w:rsidR="00D620A8">
        <w:rPr>
          <w:rFonts w:ascii="Arial" w:hAnsi="Arial" w:cs="Arial"/>
          <w:sz w:val="20"/>
        </w:rPr>
        <w:t xml:space="preserve">, the </w:t>
      </w:r>
      <w:r w:rsidR="00C71C2E">
        <w:rPr>
          <w:rFonts w:ascii="Arial" w:hAnsi="Arial" w:cs="Arial"/>
          <w:sz w:val="20"/>
        </w:rPr>
        <w:t xml:space="preserve">provisions of </w:t>
      </w:r>
      <w:r w:rsidR="00D620A8">
        <w:rPr>
          <w:rFonts w:ascii="Arial" w:hAnsi="Arial" w:cs="Arial"/>
          <w:sz w:val="20"/>
        </w:rPr>
        <w:t xml:space="preserve">s.30(2) of the </w:t>
      </w:r>
      <w:r w:rsidR="00B467EC">
        <w:rPr>
          <w:rFonts w:ascii="Arial" w:hAnsi="Arial" w:cs="Arial"/>
          <w:sz w:val="20"/>
        </w:rPr>
        <w:t>OCA</w:t>
      </w:r>
      <w:r w:rsidR="00D620A8">
        <w:rPr>
          <w:rFonts w:ascii="Arial" w:hAnsi="Arial" w:cs="Arial"/>
          <w:sz w:val="20"/>
        </w:rPr>
        <w:t xml:space="preserve"> </w:t>
      </w:r>
      <w:r w:rsidR="00480F1C">
        <w:rPr>
          <w:rFonts w:ascii="Arial" w:hAnsi="Arial" w:cs="Arial"/>
          <w:sz w:val="20"/>
        </w:rPr>
        <w:t xml:space="preserve">[replacing s.126(1) of the </w:t>
      </w:r>
      <w:r w:rsidR="00480F1C" w:rsidRPr="005161F3">
        <w:rPr>
          <w:rFonts w:ascii="Arial" w:hAnsi="Arial" w:cs="Arial"/>
          <w:i/>
          <w:iCs/>
          <w:sz w:val="20"/>
        </w:rPr>
        <w:t>Magistrates’ Court Act 1989</w:t>
      </w:r>
      <w:r w:rsidR="00480F1C">
        <w:rPr>
          <w:rFonts w:ascii="Arial" w:hAnsi="Arial" w:cs="Arial"/>
          <w:sz w:val="20"/>
        </w:rPr>
        <w:t xml:space="preserve">] </w:t>
      </w:r>
      <w:r>
        <w:rPr>
          <w:rFonts w:ascii="Arial" w:hAnsi="Arial" w:cs="Arial"/>
          <w:sz w:val="20"/>
        </w:rPr>
        <w:t xml:space="preserve">are relevant </w:t>
      </w:r>
      <w:r w:rsidR="00480F1C">
        <w:rPr>
          <w:rFonts w:ascii="Arial" w:hAnsi="Arial" w:cs="Arial"/>
          <w:sz w:val="20"/>
        </w:rPr>
        <w:t xml:space="preserve">by </w:t>
      </w:r>
      <w:r w:rsidR="00245E02">
        <w:rPr>
          <w:rFonts w:ascii="Arial" w:hAnsi="Arial" w:cs="Arial"/>
          <w:sz w:val="20"/>
        </w:rPr>
        <w:t xml:space="preserve">virtue of s.528(1) </w:t>
      </w:r>
      <w:r w:rsidR="00480F1C">
        <w:rPr>
          <w:rFonts w:ascii="Arial" w:hAnsi="Arial" w:cs="Arial"/>
          <w:sz w:val="20"/>
        </w:rPr>
        <w:t xml:space="preserve">of the CYFA.  </w:t>
      </w:r>
      <w:r w:rsidR="00D620A8">
        <w:rPr>
          <w:rFonts w:ascii="Arial" w:hAnsi="Arial" w:cs="Arial"/>
          <w:sz w:val="20"/>
        </w:rPr>
        <w:t xml:space="preserve">Insofar as it is relevant, s.30(2) </w:t>
      </w:r>
      <w:r w:rsidR="00480F1C">
        <w:rPr>
          <w:rFonts w:ascii="Arial" w:hAnsi="Arial" w:cs="Arial"/>
          <w:sz w:val="20"/>
        </w:rPr>
        <w:t xml:space="preserve">of the </w:t>
      </w:r>
      <w:r w:rsidR="00B467EC">
        <w:rPr>
          <w:rFonts w:ascii="Arial" w:hAnsi="Arial" w:cs="Arial"/>
          <w:sz w:val="20"/>
        </w:rPr>
        <w:t xml:space="preserve">OCA </w:t>
      </w:r>
      <w:r w:rsidR="00D620A8">
        <w:rPr>
          <w:rFonts w:ascii="Arial" w:hAnsi="Arial" w:cs="Arial"/>
          <w:sz w:val="20"/>
        </w:rPr>
        <w:t>provides:</w:t>
      </w:r>
    </w:p>
    <w:p w14:paraId="441D7323" w14:textId="5C9495F6" w:rsidR="00D620A8" w:rsidRDefault="00D620A8" w:rsidP="00D620A8">
      <w:pPr>
        <w:tabs>
          <w:tab w:val="left" w:pos="567"/>
        </w:tabs>
        <w:spacing w:before="60"/>
        <w:ind w:left="567" w:right="567"/>
        <w:jc w:val="both"/>
        <w:rPr>
          <w:rFonts w:ascii="Arial" w:hAnsi="Arial" w:cs="Arial"/>
          <w:sz w:val="20"/>
        </w:rPr>
      </w:pPr>
      <w:r>
        <w:rPr>
          <w:rFonts w:ascii="Arial" w:hAnsi="Arial" w:cs="Arial"/>
          <w:sz w:val="20"/>
        </w:rPr>
        <w:lastRenderedPageBreak/>
        <w:t>“A court…may make a closed court order if satisfied as to one or more of the following grounds</w:t>
      </w:r>
      <w:r w:rsidR="00741721">
        <w:rPr>
          <w:rFonts w:ascii="Arial" w:hAnsi="Arial" w:cs="Arial"/>
          <w:sz w:val="20"/>
        </w:rPr>
        <w:t>:</w:t>
      </w:r>
    </w:p>
    <w:p w14:paraId="38D6D4B1" w14:textId="77777777" w:rsidR="005619BF" w:rsidRDefault="00C71C2E" w:rsidP="0073729A">
      <w:pPr>
        <w:numPr>
          <w:ilvl w:val="0"/>
          <w:numId w:val="12"/>
        </w:numPr>
        <w:tabs>
          <w:tab w:val="left" w:pos="567"/>
          <w:tab w:val="left" w:pos="1134"/>
        </w:tabs>
        <w:ind w:left="924" w:right="567" w:hanging="357"/>
        <w:jc w:val="both"/>
        <w:rPr>
          <w:rFonts w:ascii="Arial" w:hAnsi="Arial" w:cs="Arial"/>
          <w:sz w:val="20"/>
        </w:rPr>
      </w:pPr>
      <w:r>
        <w:rPr>
          <w:rFonts w:ascii="Arial" w:hAnsi="Arial" w:cs="Arial"/>
          <w:sz w:val="20"/>
        </w:rPr>
        <w:t>the order is necessary to prevent a real and substantial risk of prejudice to the proper administration of justice that cannot be prevented by other reasonably available means;</w:t>
      </w:r>
    </w:p>
    <w:p w14:paraId="24AA4F03" w14:textId="77777777" w:rsidR="00C71C2E" w:rsidRDefault="00C71C2E" w:rsidP="0073729A">
      <w:pPr>
        <w:numPr>
          <w:ilvl w:val="0"/>
          <w:numId w:val="12"/>
        </w:numPr>
        <w:tabs>
          <w:tab w:val="left" w:pos="567"/>
          <w:tab w:val="left" w:pos="1134"/>
        </w:tabs>
        <w:ind w:left="924" w:right="567" w:hanging="357"/>
        <w:jc w:val="both"/>
        <w:rPr>
          <w:rFonts w:ascii="Arial" w:hAnsi="Arial" w:cs="Arial"/>
          <w:sz w:val="20"/>
        </w:rPr>
      </w:pPr>
      <w:r>
        <w:rPr>
          <w:rFonts w:ascii="Arial" w:hAnsi="Arial" w:cs="Arial"/>
          <w:sz w:val="20"/>
        </w:rPr>
        <w:t>the order is necessary to prevent prejudice to the interests of the Commonwealth or a State or Territory in relation to national or international security;</w:t>
      </w:r>
    </w:p>
    <w:p w14:paraId="34A5EF39" w14:textId="77777777" w:rsidR="00C71C2E" w:rsidRDefault="00C71C2E" w:rsidP="0073729A">
      <w:pPr>
        <w:numPr>
          <w:ilvl w:val="0"/>
          <w:numId w:val="12"/>
        </w:numPr>
        <w:tabs>
          <w:tab w:val="left" w:pos="567"/>
          <w:tab w:val="left" w:pos="1134"/>
        </w:tabs>
        <w:ind w:left="924" w:right="567" w:hanging="357"/>
        <w:jc w:val="both"/>
        <w:rPr>
          <w:rFonts w:ascii="Arial" w:hAnsi="Arial" w:cs="Arial"/>
          <w:sz w:val="20"/>
        </w:rPr>
      </w:pPr>
      <w:r>
        <w:rPr>
          <w:rFonts w:ascii="Arial" w:hAnsi="Arial" w:cs="Arial"/>
          <w:sz w:val="20"/>
        </w:rPr>
        <w:t>the order is necessary to protect the safety of any person;</w:t>
      </w:r>
    </w:p>
    <w:p w14:paraId="5CD71BF9" w14:textId="77777777" w:rsidR="00C71C2E" w:rsidRDefault="00C71C2E" w:rsidP="0073729A">
      <w:pPr>
        <w:numPr>
          <w:ilvl w:val="0"/>
          <w:numId w:val="12"/>
        </w:numPr>
        <w:tabs>
          <w:tab w:val="left" w:pos="567"/>
          <w:tab w:val="left" w:pos="1134"/>
        </w:tabs>
        <w:ind w:left="924" w:right="567" w:hanging="357"/>
        <w:jc w:val="both"/>
        <w:rPr>
          <w:rFonts w:ascii="Arial" w:hAnsi="Arial" w:cs="Arial"/>
          <w:sz w:val="20"/>
        </w:rPr>
      </w:pPr>
      <w:r>
        <w:rPr>
          <w:rFonts w:ascii="Arial" w:hAnsi="Arial" w:cs="Arial"/>
          <w:sz w:val="20"/>
        </w:rPr>
        <w:t>the order is necessary to avoid causing undue distress or embarrassment to a complainant or witness in any criminal proceeding involving a sexual offence or a family violence offence;</w:t>
      </w:r>
    </w:p>
    <w:p w14:paraId="4358F720" w14:textId="77777777" w:rsidR="00C71C2E" w:rsidRDefault="00C71C2E" w:rsidP="0073729A">
      <w:pPr>
        <w:numPr>
          <w:ilvl w:val="0"/>
          <w:numId w:val="12"/>
        </w:numPr>
        <w:tabs>
          <w:tab w:val="left" w:pos="567"/>
          <w:tab w:val="left" w:pos="1134"/>
        </w:tabs>
        <w:ind w:left="924" w:right="567" w:hanging="357"/>
        <w:jc w:val="both"/>
        <w:rPr>
          <w:rFonts w:ascii="Arial" w:hAnsi="Arial" w:cs="Arial"/>
          <w:sz w:val="20"/>
        </w:rPr>
      </w:pPr>
      <w:r>
        <w:rPr>
          <w:rFonts w:ascii="Arial" w:hAnsi="Arial" w:cs="Arial"/>
          <w:sz w:val="20"/>
        </w:rPr>
        <w:t>the order is necessary to avoid causing undue distress or embarrassment to a child who is a witness in any criminal proceeding…”</w:t>
      </w:r>
    </w:p>
    <w:p w14:paraId="470D4E08" w14:textId="77777777" w:rsidR="00711205" w:rsidRDefault="00480F1C" w:rsidP="00143EF9">
      <w:pPr>
        <w:spacing w:before="80"/>
        <w:jc w:val="both"/>
        <w:rPr>
          <w:rFonts w:ascii="Arial" w:hAnsi="Arial" w:cs="Arial"/>
          <w:sz w:val="20"/>
        </w:rPr>
      </w:pPr>
      <w:r>
        <w:rPr>
          <w:rFonts w:ascii="Arial" w:hAnsi="Arial" w:cs="Arial"/>
          <w:sz w:val="20"/>
        </w:rPr>
        <w:t xml:space="preserve">However, in the writer’s view these five circumstances do not comprise a complete list </w:t>
      </w:r>
      <w:r w:rsidR="00C65F2C">
        <w:rPr>
          <w:rFonts w:ascii="Arial" w:hAnsi="Arial" w:cs="Arial"/>
          <w:sz w:val="20"/>
        </w:rPr>
        <w:t>of</w:t>
      </w:r>
      <w:r w:rsidR="006112FE">
        <w:rPr>
          <w:rFonts w:ascii="Arial" w:hAnsi="Arial" w:cs="Arial"/>
          <w:sz w:val="20"/>
        </w:rPr>
        <w:t xml:space="preserve"> </w:t>
      </w:r>
      <w:r w:rsidR="00C65F2C">
        <w:rPr>
          <w:rFonts w:ascii="Arial" w:hAnsi="Arial" w:cs="Arial"/>
          <w:sz w:val="20"/>
        </w:rPr>
        <w:t>pre</w:t>
      </w:r>
      <w:r w:rsidR="00245E02">
        <w:rPr>
          <w:rFonts w:ascii="Arial" w:hAnsi="Arial" w:cs="Arial"/>
          <w:sz w:val="20"/>
        </w:rPr>
        <w:noBreakHyphen/>
      </w:r>
      <w:r w:rsidR="00C65F2C">
        <w:rPr>
          <w:rFonts w:ascii="Arial" w:hAnsi="Arial" w:cs="Arial"/>
          <w:sz w:val="20"/>
        </w:rPr>
        <w:t xml:space="preserve">conditions to the making of </w:t>
      </w:r>
      <w:r>
        <w:rPr>
          <w:rFonts w:ascii="Arial" w:hAnsi="Arial" w:cs="Arial"/>
          <w:sz w:val="20"/>
        </w:rPr>
        <w:t>a Chil</w:t>
      </w:r>
      <w:r w:rsidR="00245E02">
        <w:rPr>
          <w:rFonts w:ascii="Arial" w:hAnsi="Arial" w:cs="Arial"/>
          <w:sz w:val="20"/>
        </w:rPr>
        <w:t>dren’s Court closed court order under s.523 of the CYFA.</w:t>
      </w:r>
    </w:p>
    <w:p w14:paraId="647766B7" w14:textId="1702F3DD" w:rsidR="00FE6808" w:rsidRDefault="00FE6808" w:rsidP="00255605">
      <w:pPr>
        <w:jc w:val="both"/>
        <w:rPr>
          <w:rFonts w:ascii="Arial" w:hAnsi="Arial" w:cs="Arial"/>
          <w:sz w:val="20"/>
        </w:rPr>
      </w:pPr>
    </w:p>
    <w:p w14:paraId="10804FFB" w14:textId="493C842A" w:rsidR="00586426" w:rsidRDefault="00586426" w:rsidP="00255605">
      <w:pPr>
        <w:jc w:val="both"/>
        <w:rPr>
          <w:rFonts w:ascii="Arial" w:hAnsi="Arial" w:cs="Arial"/>
          <w:sz w:val="20"/>
        </w:rPr>
      </w:pPr>
      <w:r>
        <w:rPr>
          <w:rFonts w:ascii="Arial" w:hAnsi="Arial" w:cs="Arial"/>
          <w:sz w:val="20"/>
        </w:rPr>
        <w:t xml:space="preserve">Section 93.2 of the </w:t>
      </w:r>
      <w:r w:rsidRPr="00586426">
        <w:rPr>
          <w:rFonts w:ascii="Arial" w:hAnsi="Arial" w:cs="Arial"/>
          <w:i/>
          <w:iCs/>
          <w:sz w:val="20"/>
        </w:rPr>
        <w:t xml:space="preserve">Criminal Code Act 1995 </w:t>
      </w:r>
      <w:r w:rsidRPr="00586426">
        <w:rPr>
          <w:rFonts w:ascii="Arial" w:hAnsi="Arial" w:cs="Arial"/>
          <w:sz w:val="20"/>
        </w:rPr>
        <w:t>(</w:t>
      </w:r>
      <w:proofErr w:type="spellStart"/>
      <w:r w:rsidRPr="00586426">
        <w:rPr>
          <w:rFonts w:ascii="Arial" w:hAnsi="Arial" w:cs="Arial"/>
          <w:sz w:val="20"/>
        </w:rPr>
        <w:t>Cth</w:t>
      </w:r>
      <w:proofErr w:type="spellEnd"/>
      <w:r w:rsidRPr="00586426">
        <w:rPr>
          <w:rFonts w:ascii="Arial" w:hAnsi="Arial" w:cs="Arial"/>
          <w:sz w:val="20"/>
        </w:rPr>
        <w:t>)</w:t>
      </w:r>
      <w:r>
        <w:rPr>
          <w:rFonts w:ascii="Arial" w:hAnsi="Arial" w:cs="Arial"/>
          <w:sz w:val="20"/>
        </w:rPr>
        <w:t xml:space="preserve"> provides a court exercising federal jurisdiction with both a closed court power and a suppression order power in circumstances where </w:t>
      </w:r>
      <w:r w:rsidR="00BA7858">
        <w:rPr>
          <w:rFonts w:ascii="Arial" w:hAnsi="Arial" w:cs="Arial"/>
          <w:sz w:val="20"/>
        </w:rPr>
        <w:t>the exercise of the power is in the interests of Australia’s national security:</w:t>
      </w:r>
    </w:p>
    <w:p w14:paraId="61DEE98E" w14:textId="7C49B376" w:rsidR="00586426" w:rsidRDefault="00586426" w:rsidP="00586426">
      <w:pPr>
        <w:tabs>
          <w:tab w:val="left" w:pos="567"/>
        </w:tabs>
        <w:spacing w:before="60"/>
        <w:ind w:left="567" w:right="567"/>
        <w:jc w:val="both"/>
        <w:rPr>
          <w:rFonts w:ascii="Arial" w:hAnsi="Arial" w:cs="Arial"/>
          <w:sz w:val="20"/>
        </w:rPr>
      </w:pPr>
      <w:bookmarkStart w:id="445" w:name="_Toc189835443"/>
      <w:r w:rsidRPr="00586426">
        <w:rPr>
          <w:rFonts w:ascii="Arial" w:hAnsi="Arial" w:cs="Arial"/>
          <w:b/>
          <w:sz w:val="20"/>
        </w:rPr>
        <w:t>93.2 Hearing in camera etc.</w:t>
      </w:r>
      <w:bookmarkEnd w:id="445"/>
    </w:p>
    <w:p w14:paraId="4BB4AFC4" w14:textId="23FA1E89" w:rsidR="00586426" w:rsidRDefault="00586426" w:rsidP="00BA7858">
      <w:pPr>
        <w:tabs>
          <w:tab w:val="left" w:pos="567"/>
        </w:tabs>
        <w:spacing w:before="60"/>
        <w:ind w:left="1021" w:right="567" w:hanging="454"/>
        <w:jc w:val="both"/>
        <w:rPr>
          <w:rFonts w:ascii="Arial" w:hAnsi="Arial" w:cs="Arial"/>
          <w:sz w:val="20"/>
        </w:rPr>
      </w:pPr>
      <w:r w:rsidRPr="00586426">
        <w:rPr>
          <w:rFonts w:ascii="Arial" w:hAnsi="Arial" w:cs="Arial"/>
          <w:sz w:val="20"/>
        </w:rPr>
        <w:t>(1)</w:t>
      </w:r>
      <w:r w:rsidRPr="00586426">
        <w:rPr>
          <w:rFonts w:ascii="Arial" w:hAnsi="Arial" w:cs="Arial"/>
          <w:sz w:val="20"/>
        </w:rPr>
        <w:tab/>
        <w:t>This section applies to a hearing of an application or other proceedings before a federal court, a court exercising federal jurisdiction or a court of a Territory, whether under this Act or otherwise.</w:t>
      </w:r>
    </w:p>
    <w:p w14:paraId="2E893E86" w14:textId="2A488716" w:rsidR="00586426" w:rsidRDefault="00586426" w:rsidP="00BA7858">
      <w:pPr>
        <w:tabs>
          <w:tab w:val="left" w:pos="567"/>
        </w:tabs>
        <w:spacing w:before="60"/>
        <w:ind w:left="1021" w:right="567" w:hanging="454"/>
        <w:jc w:val="both"/>
        <w:rPr>
          <w:rFonts w:ascii="Arial" w:hAnsi="Arial" w:cs="Arial"/>
          <w:sz w:val="20"/>
        </w:rPr>
      </w:pPr>
      <w:r w:rsidRPr="00586426">
        <w:rPr>
          <w:rFonts w:ascii="Arial" w:hAnsi="Arial" w:cs="Arial"/>
          <w:sz w:val="20"/>
        </w:rPr>
        <w:t>(2)</w:t>
      </w:r>
      <w:r w:rsidRPr="00586426">
        <w:rPr>
          <w:rFonts w:ascii="Arial" w:hAnsi="Arial" w:cs="Arial"/>
          <w:sz w:val="20"/>
        </w:rPr>
        <w:tab/>
        <w:t>At any time before or during the hearing, the judge or magistrate, or other person presiding or competent to preside over the proceedings, may, if satisfied that it is in the interests of Australia’s national security:</w:t>
      </w:r>
    </w:p>
    <w:p w14:paraId="10E94ED0" w14:textId="2EEF18A3" w:rsidR="00586426" w:rsidRPr="00586426" w:rsidRDefault="00586426" w:rsidP="00BA7858">
      <w:pPr>
        <w:ind w:left="1475" w:right="567" w:hanging="454"/>
        <w:jc w:val="both"/>
        <w:rPr>
          <w:rFonts w:ascii="Arial" w:hAnsi="Arial" w:cs="Arial"/>
          <w:sz w:val="20"/>
        </w:rPr>
      </w:pPr>
      <w:r w:rsidRPr="00586426">
        <w:rPr>
          <w:rFonts w:ascii="Arial" w:hAnsi="Arial" w:cs="Arial"/>
          <w:sz w:val="20"/>
        </w:rPr>
        <w:t>(a)</w:t>
      </w:r>
      <w:r w:rsidRPr="00586426">
        <w:rPr>
          <w:rFonts w:ascii="Arial" w:hAnsi="Arial" w:cs="Arial"/>
          <w:sz w:val="20"/>
        </w:rPr>
        <w:tab/>
        <w:t>order that some or all of the members of the public be excluded during the whole or a part of the hearing; or</w:t>
      </w:r>
    </w:p>
    <w:p w14:paraId="61813D81" w14:textId="68BF243A" w:rsidR="00586426" w:rsidRPr="00586426" w:rsidRDefault="00586426" w:rsidP="00BA7858">
      <w:pPr>
        <w:ind w:left="1475" w:right="567" w:hanging="454"/>
        <w:jc w:val="both"/>
        <w:rPr>
          <w:rFonts w:ascii="Arial" w:hAnsi="Arial" w:cs="Arial"/>
          <w:sz w:val="20"/>
        </w:rPr>
      </w:pPr>
      <w:r w:rsidRPr="00586426">
        <w:rPr>
          <w:rFonts w:ascii="Arial" w:hAnsi="Arial" w:cs="Arial"/>
          <w:sz w:val="20"/>
        </w:rPr>
        <w:t>(b)</w:t>
      </w:r>
      <w:r w:rsidRPr="00586426">
        <w:rPr>
          <w:rFonts w:ascii="Arial" w:hAnsi="Arial" w:cs="Arial"/>
          <w:sz w:val="20"/>
        </w:rPr>
        <w:tab/>
        <w:t>order that no report of the whole or a specified part of, or relating to, the application or proceedings be published; or</w:t>
      </w:r>
    </w:p>
    <w:p w14:paraId="362163B1" w14:textId="07DDB6BE" w:rsidR="00586426" w:rsidRPr="00586426" w:rsidRDefault="00586426" w:rsidP="00BA7858">
      <w:pPr>
        <w:ind w:left="1475" w:right="567" w:hanging="454"/>
        <w:jc w:val="both"/>
        <w:rPr>
          <w:rFonts w:ascii="Arial" w:hAnsi="Arial" w:cs="Arial"/>
          <w:sz w:val="20"/>
        </w:rPr>
      </w:pPr>
      <w:r w:rsidRPr="00586426">
        <w:rPr>
          <w:rFonts w:ascii="Arial" w:hAnsi="Arial" w:cs="Arial"/>
          <w:sz w:val="20"/>
        </w:rPr>
        <w:t>(c)</w:t>
      </w:r>
      <w:r w:rsidRPr="00586426">
        <w:rPr>
          <w:rFonts w:ascii="Arial" w:hAnsi="Arial" w:cs="Arial"/>
          <w:sz w:val="20"/>
        </w:rPr>
        <w:tab/>
        <w:t>make such order and give such directions as he or she thinks necessary for ensuring that no person, without the approval of the court, has access (whether before, during or after the hearing) to any affidavit, exhibit, information or other document used in the application or the proceedings that is on the file in the court or in the records of the court.</w:t>
      </w:r>
    </w:p>
    <w:p w14:paraId="3FC70147" w14:textId="77777777" w:rsidR="00BA7858" w:rsidRDefault="00586426" w:rsidP="00BA7858">
      <w:pPr>
        <w:tabs>
          <w:tab w:val="left" w:pos="567"/>
        </w:tabs>
        <w:spacing w:before="60"/>
        <w:ind w:left="1021" w:right="567" w:hanging="454"/>
        <w:jc w:val="both"/>
        <w:rPr>
          <w:rFonts w:ascii="Arial" w:hAnsi="Arial" w:cs="Arial"/>
          <w:sz w:val="20"/>
        </w:rPr>
      </w:pPr>
      <w:r w:rsidRPr="00586426">
        <w:rPr>
          <w:rFonts w:ascii="Arial" w:hAnsi="Arial" w:cs="Arial"/>
          <w:sz w:val="20"/>
        </w:rPr>
        <w:t>(3)</w:t>
      </w:r>
      <w:r w:rsidRPr="00586426">
        <w:rPr>
          <w:rFonts w:ascii="Arial" w:hAnsi="Arial" w:cs="Arial"/>
          <w:sz w:val="20"/>
        </w:rPr>
        <w:tab/>
        <w:t>A person commits an offence if the person contravenes an order made or direction given under this section.</w:t>
      </w:r>
    </w:p>
    <w:p w14:paraId="53107BB5" w14:textId="77777777" w:rsidR="00586426" w:rsidRPr="00586426" w:rsidRDefault="00586426" w:rsidP="00BA7858">
      <w:pPr>
        <w:spacing w:before="120"/>
        <w:ind w:left="1021" w:right="567"/>
        <w:jc w:val="both"/>
        <w:rPr>
          <w:rFonts w:ascii="Arial" w:hAnsi="Arial" w:cs="Arial"/>
          <w:sz w:val="20"/>
        </w:rPr>
      </w:pPr>
      <w:r w:rsidRPr="00586426">
        <w:rPr>
          <w:rFonts w:ascii="Arial" w:hAnsi="Arial" w:cs="Arial"/>
          <w:sz w:val="20"/>
        </w:rPr>
        <w:t>Penalty:</w:t>
      </w:r>
      <w:r w:rsidRPr="00586426">
        <w:rPr>
          <w:rFonts w:ascii="Arial" w:hAnsi="Arial" w:cs="Arial"/>
          <w:sz w:val="20"/>
        </w:rPr>
        <w:tab/>
        <w:t>Imprisonment for 5 years.</w:t>
      </w:r>
    </w:p>
    <w:p w14:paraId="153B921C" w14:textId="7C80495D" w:rsidR="00586426" w:rsidRDefault="00BA7858" w:rsidP="00BA7858">
      <w:pPr>
        <w:spacing w:before="120"/>
        <w:jc w:val="both"/>
        <w:rPr>
          <w:rFonts w:ascii="Arial" w:hAnsi="Arial" w:cs="Arial"/>
          <w:sz w:val="20"/>
        </w:rPr>
      </w:pPr>
      <w:r>
        <w:rPr>
          <w:rFonts w:ascii="Arial" w:hAnsi="Arial" w:cs="Arial"/>
          <w:sz w:val="20"/>
        </w:rPr>
        <w:t xml:space="preserve">See also </w:t>
      </w:r>
      <w:r w:rsidRPr="00BA7858">
        <w:rPr>
          <w:rFonts w:ascii="Arial" w:hAnsi="Arial" w:cs="Arial"/>
          <w:b/>
          <w:bCs/>
          <w:sz w:val="20"/>
          <w:shd w:val="clear" w:color="auto" w:fill="C5E0B3" w:themeFill="accent6" w:themeFillTint="66"/>
        </w:rPr>
        <w:t>section 2.8.2</w:t>
      </w:r>
      <w:r>
        <w:rPr>
          <w:rFonts w:ascii="Arial" w:hAnsi="Arial" w:cs="Arial"/>
          <w:sz w:val="20"/>
        </w:rPr>
        <w:t xml:space="preserve"> below.</w:t>
      </w:r>
    </w:p>
    <w:p w14:paraId="68849441" w14:textId="77777777" w:rsidR="00586426" w:rsidRDefault="00586426" w:rsidP="00255605">
      <w:pPr>
        <w:jc w:val="both"/>
        <w:rPr>
          <w:rFonts w:ascii="Arial" w:hAnsi="Arial" w:cs="Arial"/>
          <w:sz w:val="20"/>
        </w:rPr>
      </w:pPr>
    </w:p>
    <w:p w14:paraId="67522A97" w14:textId="6CEF444B" w:rsidR="00FA1BDE" w:rsidRDefault="000425F8" w:rsidP="00C203EB">
      <w:pPr>
        <w:jc w:val="both"/>
        <w:rPr>
          <w:rFonts w:ascii="Arial" w:hAnsi="Arial" w:cs="Arial"/>
          <w:sz w:val="20"/>
        </w:rPr>
      </w:pPr>
      <w:r>
        <w:rPr>
          <w:rFonts w:ascii="Arial" w:hAnsi="Arial" w:cs="Arial"/>
          <w:sz w:val="20"/>
        </w:rPr>
        <w:t>It is important to note that closed court orders</w:t>
      </w:r>
      <w:r w:rsidR="00741721">
        <w:rPr>
          <w:rFonts w:ascii="Arial" w:hAnsi="Arial" w:cs="Arial"/>
          <w:sz w:val="20"/>
        </w:rPr>
        <w:t>:</w:t>
      </w:r>
    </w:p>
    <w:p w14:paraId="33B0D8FD" w14:textId="1C3B10C6" w:rsidR="000425F8" w:rsidRDefault="000425F8" w:rsidP="000425F8">
      <w:pPr>
        <w:numPr>
          <w:ilvl w:val="0"/>
          <w:numId w:val="1"/>
        </w:numPr>
        <w:tabs>
          <w:tab w:val="num" w:pos="723"/>
        </w:tabs>
        <w:jc w:val="both"/>
        <w:rPr>
          <w:rFonts w:ascii="Arial" w:hAnsi="Arial" w:cs="Arial"/>
          <w:sz w:val="20"/>
        </w:rPr>
      </w:pPr>
      <w:r>
        <w:rPr>
          <w:rFonts w:ascii="Arial" w:hAnsi="Arial" w:cs="Arial"/>
          <w:sz w:val="20"/>
        </w:rPr>
        <w:t>are not suppression orders; they do not directly suppress material or fall within the definition of ‘suppression order’ in s.3 of the OCA and hence are not subject to the general provisions applicable to suppression orders in Part 2 of the OCA;</w:t>
      </w:r>
    </w:p>
    <w:p w14:paraId="6CE65FD0" w14:textId="77777777" w:rsidR="005E2B86" w:rsidRPr="005E2B86" w:rsidRDefault="000425F8" w:rsidP="000425F8">
      <w:pPr>
        <w:numPr>
          <w:ilvl w:val="0"/>
          <w:numId w:val="1"/>
        </w:numPr>
        <w:tabs>
          <w:tab w:val="num" w:pos="723"/>
        </w:tabs>
        <w:jc w:val="both"/>
        <w:rPr>
          <w:rFonts w:ascii="Arial" w:hAnsi="Arial" w:cs="Arial"/>
          <w:sz w:val="20"/>
        </w:rPr>
      </w:pPr>
      <w:r>
        <w:rPr>
          <w:rFonts w:ascii="Arial" w:hAnsi="Arial" w:cs="Arial"/>
          <w:sz w:val="20"/>
        </w:rPr>
        <w:t xml:space="preserve">are one of the most </w:t>
      </w:r>
      <w:r w:rsidRPr="000425F8">
        <w:rPr>
          <w:rFonts w:ascii="Arial" w:hAnsi="Arial" w:cs="Arial"/>
          <w:color w:val="000000"/>
          <w:sz w:val="20"/>
          <w:szCs w:val="20"/>
          <w:lang w:eastAsia="en-AU"/>
        </w:rPr>
        <w:t>severe encroachments on the open justice principle</w:t>
      </w:r>
      <w:r>
        <w:rPr>
          <w:rFonts w:ascii="Arial" w:hAnsi="Arial" w:cs="Arial"/>
          <w:color w:val="000000"/>
          <w:sz w:val="20"/>
          <w:szCs w:val="20"/>
          <w:lang w:eastAsia="en-AU"/>
        </w:rPr>
        <w:t>, involving as they do a prohibition on the attendance of the public or certain members thereof against the general rule that justice must be administered in open court</w:t>
      </w:r>
      <w:r w:rsidR="005E2B86">
        <w:rPr>
          <w:rFonts w:ascii="Arial" w:hAnsi="Arial" w:cs="Arial"/>
          <w:color w:val="000000"/>
          <w:sz w:val="20"/>
          <w:szCs w:val="20"/>
          <w:lang w:eastAsia="en-AU"/>
        </w:rPr>
        <w:t>;</w:t>
      </w:r>
    </w:p>
    <w:p w14:paraId="38647DC8" w14:textId="6873F725" w:rsidR="005E2B86" w:rsidRPr="005E2B86" w:rsidRDefault="005E2B86" w:rsidP="000425F8">
      <w:pPr>
        <w:numPr>
          <w:ilvl w:val="0"/>
          <w:numId w:val="1"/>
        </w:numPr>
        <w:tabs>
          <w:tab w:val="num" w:pos="723"/>
        </w:tabs>
        <w:jc w:val="both"/>
        <w:rPr>
          <w:rFonts w:ascii="Arial" w:hAnsi="Arial" w:cs="Arial"/>
          <w:sz w:val="20"/>
        </w:rPr>
      </w:pPr>
      <w:r>
        <w:rPr>
          <w:rFonts w:ascii="Arial" w:hAnsi="Arial" w:cs="Arial"/>
          <w:color w:val="000000"/>
          <w:sz w:val="20"/>
          <w:szCs w:val="20"/>
          <w:lang w:eastAsia="en-AU"/>
        </w:rPr>
        <w:t xml:space="preserve">are </w:t>
      </w:r>
      <w:r w:rsidRPr="005E2B86">
        <w:rPr>
          <w:rFonts w:ascii="Arial" w:hAnsi="Arial" w:cs="Arial"/>
          <w:color w:val="000000"/>
          <w:sz w:val="20"/>
          <w:szCs w:val="20"/>
          <w:lang w:eastAsia="en-AU"/>
        </w:rPr>
        <w:t>not a bar to the publication of reports on the proceedings and do not justify withholding publication of the</w:t>
      </w:r>
      <w:r>
        <w:rPr>
          <w:rFonts w:ascii="Arial" w:hAnsi="Arial" w:cs="Arial"/>
          <w:color w:val="000000"/>
          <w:sz w:val="20"/>
          <w:szCs w:val="20"/>
          <w:lang w:eastAsia="en-AU"/>
        </w:rPr>
        <w:t xml:space="preserve"> court</w:t>
      </w:r>
      <w:r w:rsidRPr="005E2B86">
        <w:rPr>
          <w:rFonts w:ascii="Arial" w:hAnsi="Arial" w:cs="Arial"/>
          <w:color w:val="000000"/>
          <w:sz w:val="20"/>
          <w:szCs w:val="20"/>
          <w:lang w:eastAsia="en-AU"/>
        </w:rPr>
        <w:t>’s judgment and orders</w:t>
      </w:r>
      <w:r>
        <w:rPr>
          <w:rFonts w:ascii="Arial" w:hAnsi="Arial" w:cs="Arial"/>
          <w:color w:val="000000"/>
          <w:sz w:val="20"/>
          <w:szCs w:val="20"/>
          <w:lang w:eastAsia="en-AU"/>
        </w:rPr>
        <w:t>; courts and tribunals should always seek to publish an a</w:t>
      </w:r>
      <w:r w:rsidRPr="005E2B86">
        <w:rPr>
          <w:rFonts w:ascii="Arial" w:hAnsi="Arial" w:cs="Arial"/>
          <w:color w:val="000000"/>
          <w:sz w:val="20"/>
          <w:szCs w:val="20"/>
          <w:lang w:eastAsia="en-AU"/>
        </w:rPr>
        <w:t>ppropriately formulated statement of reasons, conveying an adequate account of the litigation and the reasons underlying its orders:</w:t>
      </w:r>
      <w:r>
        <w:rPr>
          <w:rFonts w:ascii="Arial" w:hAnsi="Arial" w:cs="Arial"/>
          <w:color w:val="000000"/>
          <w:sz w:val="20"/>
          <w:szCs w:val="20"/>
          <w:lang w:eastAsia="en-AU"/>
        </w:rPr>
        <w:t xml:space="preserve"> </w:t>
      </w:r>
      <w:r w:rsidRPr="005E2B86">
        <w:rPr>
          <w:rFonts w:ascii="Arial" w:hAnsi="Arial" w:cs="Arial"/>
          <w:i/>
          <w:iCs/>
          <w:color w:val="000000"/>
          <w:sz w:val="20"/>
          <w:szCs w:val="20"/>
          <w:lang w:eastAsia="en-AU"/>
        </w:rPr>
        <w:t>David Syme &amp; Co Ltd v General Motors-Holden’s Ltd </w:t>
      </w:r>
      <w:r w:rsidRPr="005E2B86">
        <w:rPr>
          <w:rFonts w:ascii="Arial" w:hAnsi="Arial" w:cs="Arial"/>
          <w:color w:val="000000"/>
          <w:sz w:val="20"/>
          <w:szCs w:val="20"/>
          <w:lang w:eastAsia="en-AU"/>
        </w:rPr>
        <w:t>[1984] 2 NSWLR 294</w:t>
      </w:r>
      <w:r>
        <w:rPr>
          <w:rFonts w:ascii="Arial" w:hAnsi="Arial" w:cs="Arial"/>
          <w:color w:val="000000"/>
          <w:sz w:val="20"/>
          <w:szCs w:val="20"/>
          <w:lang w:eastAsia="en-AU"/>
        </w:rPr>
        <w:t xml:space="preserve">; </w:t>
      </w:r>
      <w:r>
        <w:rPr>
          <w:rFonts w:ascii="Tahoma" w:hAnsi="Tahoma" w:cs="Tahoma"/>
          <w:color w:val="000000"/>
          <w:sz w:val="20"/>
          <w:szCs w:val="20"/>
          <w:lang w:eastAsia="en-AU"/>
        </w:rPr>
        <w:t>redaction of reports of proceedings may allow the judgment and orders to be published without causing prejudice where a court has been closed.</w:t>
      </w:r>
    </w:p>
    <w:p w14:paraId="5F8566F5" w14:textId="4D1DF8FE" w:rsidR="00FA1BDE" w:rsidRDefault="00FA1BDE" w:rsidP="00255605">
      <w:pPr>
        <w:jc w:val="both"/>
        <w:rPr>
          <w:rFonts w:ascii="Arial" w:hAnsi="Arial" w:cs="Arial"/>
          <w:sz w:val="20"/>
        </w:rPr>
      </w:pPr>
    </w:p>
    <w:p w14:paraId="11E6142C" w14:textId="10C3FA0A" w:rsidR="003F4BE5" w:rsidRDefault="003F4BE5" w:rsidP="00255605">
      <w:pPr>
        <w:jc w:val="both"/>
        <w:rPr>
          <w:rFonts w:ascii="Arial" w:hAnsi="Arial" w:cs="Arial"/>
          <w:color w:val="000000"/>
          <w:sz w:val="20"/>
          <w:szCs w:val="20"/>
          <w:lang w:eastAsia="en-AU"/>
        </w:rPr>
      </w:pPr>
      <w:r>
        <w:rPr>
          <w:rFonts w:ascii="Arial" w:hAnsi="Arial" w:cs="Arial"/>
          <w:sz w:val="20"/>
        </w:rPr>
        <w:t xml:space="preserve">Closed court orders are often seen as an order of last resort.  Section 30(2)(a) of the OCA provides that a closed court order must be necessary to </w:t>
      </w:r>
      <w:r w:rsidRPr="000425F8">
        <w:rPr>
          <w:rFonts w:ascii="Arial" w:hAnsi="Arial" w:cs="Arial"/>
          <w:color w:val="000000"/>
          <w:sz w:val="20"/>
          <w:szCs w:val="20"/>
          <w:lang w:eastAsia="en-AU"/>
        </w:rPr>
        <w:t xml:space="preserve">prevent a real and substantial risk of prejudice to the administration of justice </w:t>
      </w:r>
      <w:r>
        <w:rPr>
          <w:rFonts w:ascii="Arial" w:hAnsi="Arial" w:cs="Arial"/>
          <w:color w:val="000000"/>
          <w:sz w:val="20"/>
          <w:szCs w:val="20"/>
          <w:lang w:eastAsia="en-AU"/>
        </w:rPr>
        <w:t>“</w:t>
      </w:r>
      <w:r w:rsidRPr="000425F8">
        <w:rPr>
          <w:rFonts w:ascii="Arial" w:hAnsi="Arial" w:cs="Arial"/>
          <w:color w:val="000000"/>
          <w:sz w:val="20"/>
          <w:szCs w:val="20"/>
          <w:lang w:eastAsia="en-AU"/>
        </w:rPr>
        <w:t>that cannot be prevented by other reasonably available means</w:t>
      </w:r>
      <w:r>
        <w:rPr>
          <w:rFonts w:ascii="Arial" w:hAnsi="Arial" w:cs="Arial"/>
          <w:color w:val="000000"/>
          <w:sz w:val="20"/>
          <w:szCs w:val="20"/>
          <w:lang w:eastAsia="en-AU"/>
        </w:rPr>
        <w:t>”</w:t>
      </w:r>
      <w:r w:rsidRPr="000425F8">
        <w:rPr>
          <w:rFonts w:ascii="Arial" w:hAnsi="Arial" w:cs="Arial"/>
          <w:color w:val="000000"/>
          <w:sz w:val="20"/>
          <w:szCs w:val="20"/>
          <w:lang w:eastAsia="en-AU"/>
        </w:rPr>
        <w:t xml:space="preserve">, such as </w:t>
      </w:r>
      <w:r>
        <w:rPr>
          <w:rFonts w:ascii="Arial" w:hAnsi="Arial" w:cs="Arial"/>
          <w:color w:val="000000"/>
          <w:sz w:val="20"/>
          <w:szCs w:val="20"/>
          <w:lang w:eastAsia="en-AU"/>
        </w:rPr>
        <w:t>“</w:t>
      </w:r>
      <w:r w:rsidRPr="000425F8">
        <w:rPr>
          <w:rFonts w:ascii="Arial" w:hAnsi="Arial" w:cs="Arial"/>
          <w:color w:val="000000"/>
          <w:sz w:val="20"/>
          <w:szCs w:val="20"/>
          <w:lang w:eastAsia="en-AU"/>
        </w:rPr>
        <w:t>making a proceeding suppression order</w:t>
      </w:r>
      <w:r>
        <w:rPr>
          <w:rFonts w:ascii="Arial" w:hAnsi="Arial" w:cs="Arial"/>
          <w:color w:val="000000"/>
          <w:sz w:val="20"/>
          <w:szCs w:val="20"/>
          <w:lang w:eastAsia="en-AU"/>
        </w:rPr>
        <w:t>”</w:t>
      </w:r>
      <w:r w:rsidRPr="000425F8">
        <w:rPr>
          <w:rFonts w:ascii="Arial" w:hAnsi="Arial" w:cs="Arial"/>
          <w:color w:val="000000"/>
          <w:sz w:val="20"/>
          <w:szCs w:val="20"/>
          <w:lang w:eastAsia="en-AU"/>
        </w:rPr>
        <w:t>. The implication is that proceeding suppression orders impinge less significantly on the open justice principle.</w:t>
      </w:r>
    </w:p>
    <w:p w14:paraId="1A1C7635" w14:textId="50EF7F22" w:rsidR="003F4BE5" w:rsidRDefault="003F4BE5" w:rsidP="00255605">
      <w:pPr>
        <w:jc w:val="both"/>
        <w:rPr>
          <w:rFonts w:ascii="Arial" w:hAnsi="Arial" w:cs="Arial"/>
          <w:color w:val="000000"/>
          <w:sz w:val="20"/>
          <w:szCs w:val="20"/>
          <w:lang w:eastAsia="en-AU"/>
        </w:rPr>
      </w:pPr>
    </w:p>
    <w:p w14:paraId="68DD405D" w14:textId="4B95B8B2" w:rsidR="00C62ADD" w:rsidRDefault="000E416F" w:rsidP="00255605">
      <w:pPr>
        <w:jc w:val="both"/>
        <w:rPr>
          <w:rFonts w:ascii="Arial" w:hAnsi="Arial" w:cs="Arial"/>
          <w:color w:val="000000"/>
          <w:sz w:val="20"/>
          <w:szCs w:val="20"/>
          <w:lang w:eastAsia="en-AU"/>
        </w:rPr>
      </w:pPr>
      <w:r>
        <w:rPr>
          <w:rFonts w:ascii="Arial" w:hAnsi="Arial" w:cs="Arial"/>
          <w:color w:val="000000"/>
          <w:sz w:val="20"/>
          <w:szCs w:val="20"/>
          <w:lang w:eastAsia="en-AU"/>
        </w:rPr>
        <w:lastRenderedPageBreak/>
        <w:t>In</w:t>
      </w:r>
      <w:r w:rsidR="00C62ADD">
        <w:rPr>
          <w:rFonts w:ascii="Arial" w:hAnsi="Arial" w:cs="Arial"/>
          <w:color w:val="000000"/>
          <w:sz w:val="20"/>
          <w:szCs w:val="20"/>
          <w:lang w:eastAsia="en-AU"/>
        </w:rPr>
        <w:t xml:space="preserve"> </w:t>
      </w:r>
      <w:r>
        <w:rPr>
          <w:rFonts w:ascii="Arial" w:hAnsi="Arial" w:cs="Arial"/>
          <w:color w:val="000000"/>
          <w:sz w:val="20"/>
          <w:szCs w:val="20"/>
          <w:lang w:eastAsia="en-AU"/>
        </w:rPr>
        <w:t xml:space="preserve">granting a closed court order in </w:t>
      </w:r>
      <w:r w:rsidRPr="000E416F">
        <w:rPr>
          <w:rFonts w:ascii="Arial" w:hAnsi="Arial" w:cs="Arial"/>
          <w:i/>
          <w:iCs/>
          <w:color w:val="000000"/>
          <w:sz w:val="20"/>
          <w:szCs w:val="20"/>
          <w:lang w:eastAsia="en-AU"/>
        </w:rPr>
        <w:t>A1 v B (pseudonyms) (Ruling No 1)</w:t>
      </w:r>
      <w:r>
        <w:rPr>
          <w:rFonts w:ascii="Arial" w:hAnsi="Arial" w:cs="Arial"/>
          <w:color w:val="000000"/>
          <w:sz w:val="20"/>
          <w:szCs w:val="20"/>
          <w:lang w:eastAsia="en-AU"/>
        </w:rPr>
        <w:t xml:space="preserve"> [2025] VSC 435 Delaney J said at [37]:</w:t>
      </w:r>
    </w:p>
    <w:p w14:paraId="6CB4FF29" w14:textId="0886C979" w:rsidR="000E416F" w:rsidRPr="007C64AE" w:rsidRDefault="000E416F" w:rsidP="000E416F">
      <w:pPr>
        <w:spacing w:before="80"/>
        <w:ind w:left="567" w:right="567"/>
        <w:jc w:val="both"/>
        <w:rPr>
          <w:rFonts w:ascii="Arial" w:hAnsi="Arial" w:cs="Arial"/>
          <w:color w:val="000000"/>
          <w:sz w:val="20"/>
        </w:rPr>
      </w:pPr>
      <w:r>
        <w:rPr>
          <w:rFonts w:ascii="Arial" w:hAnsi="Arial" w:cs="Arial"/>
          <w:color w:val="000000"/>
          <w:sz w:val="20"/>
        </w:rPr>
        <w:t>“</w:t>
      </w:r>
      <w:r w:rsidRPr="000E416F">
        <w:rPr>
          <w:rFonts w:ascii="Arial" w:hAnsi="Arial" w:cs="Arial"/>
          <w:color w:val="000000"/>
          <w:sz w:val="20"/>
        </w:rPr>
        <w:t xml:space="preserve">Having heard submissions in support of the application and having given consideration to the passage from </w:t>
      </w:r>
      <w:r w:rsidRPr="000E416F">
        <w:rPr>
          <w:rFonts w:ascii="Arial" w:hAnsi="Arial" w:cs="Arial"/>
          <w:i/>
          <w:iCs/>
          <w:color w:val="000000"/>
          <w:sz w:val="20"/>
        </w:rPr>
        <w:t>John Fairfax &amp; Sons Ltd v Police Tribunal of New South Wales</w:t>
      </w:r>
      <w:r w:rsidRPr="000E416F">
        <w:rPr>
          <w:rFonts w:ascii="Arial" w:hAnsi="Arial" w:cs="Arial"/>
          <w:color w:val="000000"/>
          <w:sz w:val="20"/>
        </w:rPr>
        <w:t xml:space="preserve"> (1986) 5</w:t>
      </w:r>
      <w:r>
        <w:rPr>
          <w:rFonts w:ascii="Arial" w:hAnsi="Arial" w:cs="Arial"/>
          <w:color w:val="000000"/>
          <w:sz w:val="20"/>
        </w:rPr>
        <w:t> </w:t>
      </w:r>
      <w:r w:rsidRPr="000E416F">
        <w:rPr>
          <w:rFonts w:ascii="Arial" w:hAnsi="Arial" w:cs="Arial"/>
          <w:color w:val="000000"/>
          <w:sz w:val="20"/>
        </w:rPr>
        <w:t xml:space="preserve">NSWLR 465, 476G–477B to which Elliott J referred in </w:t>
      </w:r>
      <w:r w:rsidRPr="000E416F">
        <w:rPr>
          <w:rFonts w:ascii="Arial" w:hAnsi="Arial" w:cs="Arial"/>
          <w:i/>
          <w:iCs/>
          <w:color w:val="000000"/>
          <w:sz w:val="20"/>
        </w:rPr>
        <w:t>Re WD (No 2)</w:t>
      </w:r>
      <w:r w:rsidRPr="000E416F">
        <w:rPr>
          <w:rFonts w:ascii="Arial" w:hAnsi="Arial" w:cs="Arial"/>
          <w:color w:val="000000"/>
          <w:sz w:val="20"/>
        </w:rPr>
        <w:t xml:space="preserve"> (2023) 72 VR 589; [2023] VSC 790 [59]</w:t>
      </w:r>
      <w:r>
        <w:rPr>
          <w:rFonts w:ascii="Arial" w:hAnsi="Arial" w:cs="Arial"/>
          <w:color w:val="000000"/>
          <w:sz w:val="20"/>
        </w:rPr>
        <w:t>,</w:t>
      </w:r>
      <w:r w:rsidRPr="000E416F">
        <w:rPr>
          <w:rFonts w:ascii="Arial" w:hAnsi="Arial" w:cs="Arial"/>
          <w:color w:val="000000"/>
          <w:sz w:val="20"/>
        </w:rPr>
        <w:t xml:space="preserve"> I am comfortably satisfied that a closed Court order pursuant to s 30 of the OCA was and remains necessary to prevent a real and substantial risk of prejudice to the proper administration of justice that cannot be prevented by other reasonably available means</w:t>
      </w:r>
      <w:r>
        <w:rPr>
          <w:rFonts w:ascii="Arial" w:hAnsi="Arial" w:cs="Arial"/>
          <w:color w:val="000000"/>
          <w:sz w:val="20"/>
        </w:rPr>
        <w:t>…”</w:t>
      </w:r>
    </w:p>
    <w:p w14:paraId="05269325" w14:textId="77777777" w:rsidR="000E416F" w:rsidRDefault="000E416F" w:rsidP="00255605">
      <w:pPr>
        <w:jc w:val="both"/>
        <w:rPr>
          <w:rFonts w:ascii="Arial" w:hAnsi="Arial" w:cs="Arial"/>
          <w:color w:val="000000"/>
          <w:sz w:val="20"/>
          <w:szCs w:val="20"/>
          <w:lang w:eastAsia="en-AU"/>
        </w:rPr>
      </w:pPr>
    </w:p>
    <w:p w14:paraId="0EED17D1" w14:textId="4B20D612" w:rsidR="003F4BE5" w:rsidRDefault="003F4BE5" w:rsidP="00255605">
      <w:pPr>
        <w:jc w:val="both"/>
        <w:rPr>
          <w:rFonts w:ascii="Arial" w:hAnsi="Arial" w:cs="Arial"/>
          <w:color w:val="000000"/>
          <w:sz w:val="20"/>
          <w:szCs w:val="20"/>
          <w:lang w:eastAsia="en-AU"/>
        </w:rPr>
      </w:pPr>
      <w:r>
        <w:rPr>
          <w:rFonts w:ascii="Arial" w:hAnsi="Arial" w:cs="Arial"/>
          <w:color w:val="000000"/>
          <w:sz w:val="20"/>
          <w:szCs w:val="20"/>
          <w:lang w:eastAsia="en-AU"/>
        </w:rPr>
        <w:t>Courts have confirmed the desirability of addressing the relevant concern without issuing a closed court order.  For example:</w:t>
      </w:r>
    </w:p>
    <w:p w14:paraId="45C15C70" w14:textId="29D9F85D" w:rsidR="003F4BE5" w:rsidRPr="003F4BE5" w:rsidRDefault="003F4BE5" w:rsidP="00255605">
      <w:pPr>
        <w:jc w:val="both"/>
        <w:rPr>
          <w:rFonts w:ascii="Arial" w:hAnsi="Arial" w:cs="Arial"/>
          <w:sz w:val="12"/>
          <w:szCs w:val="16"/>
        </w:rPr>
      </w:pPr>
    </w:p>
    <w:p w14:paraId="3B202043" w14:textId="583819EF" w:rsidR="003F4BE5" w:rsidRDefault="003F4BE5" w:rsidP="003F4BE5">
      <w:pPr>
        <w:numPr>
          <w:ilvl w:val="0"/>
          <w:numId w:val="1"/>
        </w:numPr>
        <w:tabs>
          <w:tab w:val="num" w:pos="723"/>
        </w:tabs>
        <w:jc w:val="both"/>
        <w:rPr>
          <w:rFonts w:ascii="Arial" w:hAnsi="Arial" w:cs="Arial"/>
          <w:sz w:val="20"/>
        </w:rPr>
      </w:pPr>
      <w:r>
        <w:rPr>
          <w:rFonts w:ascii="Arial" w:hAnsi="Arial" w:cs="Arial"/>
          <w:sz w:val="20"/>
        </w:rPr>
        <w:t xml:space="preserve">In </w:t>
      </w:r>
      <w:r w:rsidRPr="003F4BE5">
        <w:rPr>
          <w:rFonts w:ascii="Arial" w:hAnsi="Arial" w:cs="Arial"/>
          <w:i/>
          <w:iCs/>
          <w:sz w:val="20"/>
        </w:rPr>
        <w:t>ABC v D1</w:t>
      </w:r>
      <w:r>
        <w:rPr>
          <w:rFonts w:ascii="Arial" w:hAnsi="Arial" w:cs="Arial"/>
          <w:sz w:val="20"/>
        </w:rPr>
        <w:t xml:space="preserve"> [2007] VSC 480 J Forrest J noted at [36]:</w:t>
      </w:r>
    </w:p>
    <w:p w14:paraId="2A19CED2" w14:textId="2CAC9F53" w:rsidR="003F4BE5" w:rsidRDefault="003F4BE5" w:rsidP="003F4BE5">
      <w:pPr>
        <w:spacing w:before="60"/>
        <w:ind w:left="720" w:right="567"/>
        <w:jc w:val="both"/>
        <w:rPr>
          <w:rFonts w:ascii="Arial" w:hAnsi="Arial" w:cs="Arial"/>
          <w:sz w:val="20"/>
        </w:rPr>
      </w:pPr>
      <w:r>
        <w:rPr>
          <w:rFonts w:ascii="Arial" w:hAnsi="Arial" w:cs="Arial"/>
          <w:color w:val="000000"/>
          <w:sz w:val="20"/>
          <w:szCs w:val="20"/>
          <w:lang w:eastAsia="en-AU"/>
        </w:rPr>
        <w:t>“</w:t>
      </w:r>
      <w:r w:rsidRPr="000425F8">
        <w:rPr>
          <w:rFonts w:ascii="Arial" w:hAnsi="Arial" w:cs="Arial"/>
          <w:color w:val="000000"/>
          <w:sz w:val="20"/>
          <w:szCs w:val="20"/>
          <w:lang w:eastAsia="en-AU"/>
        </w:rPr>
        <w:t>The nature of the order which is sought to be made is germane to the ultimate disposition of a suppression application. The closing of the </w:t>
      </w:r>
      <w:r>
        <w:rPr>
          <w:rFonts w:ascii="Arial" w:hAnsi="Arial" w:cs="Arial"/>
          <w:color w:val="000000"/>
          <w:sz w:val="20"/>
          <w:szCs w:val="20"/>
          <w:lang w:eastAsia="en-AU"/>
        </w:rPr>
        <w:t>Court</w:t>
      </w:r>
      <w:r w:rsidRPr="000425F8">
        <w:rPr>
          <w:rFonts w:ascii="Arial" w:hAnsi="Arial" w:cs="Arial"/>
          <w:color w:val="000000"/>
          <w:sz w:val="20"/>
          <w:szCs w:val="20"/>
          <w:lang w:eastAsia="en-AU"/>
        </w:rPr>
        <w:t> for the whole of a proceeding is a serious matter indeed; on the other hand, suppressing the names of certain witnesses but permitting the evidence at the hearing to be reported will require different considerations.</w:t>
      </w:r>
      <w:r>
        <w:rPr>
          <w:rFonts w:ascii="Arial" w:hAnsi="Arial" w:cs="Arial"/>
          <w:color w:val="000000"/>
          <w:sz w:val="20"/>
          <w:szCs w:val="20"/>
          <w:lang w:eastAsia="en-AU"/>
        </w:rPr>
        <w:t>”</w:t>
      </w:r>
    </w:p>
    <w:p w14:paraId="47370CB0" w14:textId="762885B5" w:rsidR="003F4BE5" w:rsidRDefault="003F4BE5" w:rsidP="003F4BE5">
      <w:pPr>
        <w:jc w:val="both"/>
        <w:rPr>
          <w:rFonts w:ascii="Arial" w:hAnsi="Arial" w:cs="Arial"/>
          <w:sz w:val="12"/>
          <w:szCs w:val="16"/>
        </w:rPr>
      </w:pPr>
    </w:p>
    <w:p w14:paraId="43C6BEED" w14:textId="2A6996E2" w:rsidR="003F4BE5" w:rsidRPr="003F4BE5" w:rsidRDefault="003F4BE5" w:rsidP="003F4BE5">
      <w:pPr>
        <w:numPr>
          <w:ilvl w:val="0"/>
          <w:numId w:val="1"/>
        </w:numPr>
        <w:tabs>
          <w:tab w:val="num" w:pos="723"/>
        </w:tabs>
        <w:jc w:val="both"/>
        <w:rPr>
          <w:rFonts w:ascii="Arial" w:hAnsi="Arial" w:cs="Arial"/>
          <w:i/>
          <w:iCs/>
          <w:sz w:val="20"/>
        </w:rPr>
      </w:pPr>
      <w:r w:rsidRPr="000425F8">
        <w:rPr>
          <w:rFonts w:ascii="Arial" w:hAnsi="Arial" w:cs="Arial"/>
          <w:color w:val="000000"/>
          <w:sz w:val="20"/>
          <w:szCs w:val="20"/>
          <w:lang w:eastAsia="en-AU"/>
        </w:rPr>
        <w:t>In</w:t>
      </w:r>
      <w:r w:rsidR="000F3B10">
        <w:rPr>
          <w:rFonts w:ascii="Arial" w:hAnsi="Arial" w:cs="Arial"/>
          <w:color w:val="000000"/>
          <w:sz w:val="20"/>
          <w:szCs w:val="20"/>
          <w:lang w:eastAsia="en-AU"/>
        </w:rPr>
        <w:t xml:space="preserve"> </w:t>
      </w:r>
      <w:r w:rsidRPr="000425F8">
        <w:rPr>
          <w:rFonts w:ascii="Arial" w:hAnsi="Arial" w:cs="Arial"/>
          <w:i/>
          <w:iCs/>
          <w:color w:val="000000"/>
          <w:sz w:val="20"/>
          <w:szCs w:val="20"/>
          <w:lang w:eastAsia="en-AU"/>
        </w:rPr>
        <w:t>XY v Board of Examiners </w:t>
      </w:r>
      <w:r w:rsidRPr="000425F8">
        <w:rPr>
          <w:rFonts w:ascii="Arial" w:hAnsi="Arial" w:cs="Arial"/>
          <w:color w:val="000000"/>
          <w:sz w:val="20"/>
          <w:szCs w:val="20"/>
          <w:lang w:eastAsia="en-AU"/>
        </w:rPr>
        <w:t xml:space="preserve">[2003] VSC 196 Cummins J </w:t>
      </w:r>
      <w:r>
        <w:rPr>
          <w:rFonts w:ascii="Arial" w:hAnsi="Arial" w:cs="Arial"/>
          <w:color w:val="000000"/>
          <w:sz w:val="20"/>
          <w:szCs w:val="20"/>
          <w:lang w:eastAsia="en-AU"/>
        </w:rPr>
        <w:t>said</w:t>
      </w:r>
      <w:r w:rsidRPr="000425F8">
        <w:rPr>
          <w:rFonts w:ascii="Arial" w:hAnsi="Arial" w:cs="Arial"/>
          <w:color w:val="000000"/>
          <w:sz w:val="20"/>
          <w:szCs w:val="20"/>
          <w:lang w:eastAsia="en-AU"/>
        </w:rPr>
        <w:t xml:space="preserve"> at [11] that </w:t>
      </w:r>
      <w:r>
        <w:rPr>
          <w:rFonts w:ascii="Arial" w:hAnsi="Arial" w:cs="Arial"/>
          <w:color w:val="000000"/>
          <w:sz w:val="20"/>
          <w:szCs w:val="20"/>
          <w:lang w:eastAsia="en-AU"/>
        </w:rPr>
        <w:t>“</w:t>
      </w:r>
      <w:r w:rsidRPr="000425F8">
        <w:rPr>
          <w:rFonts w:ascii="Arial" w:hAnsi="Arial" w:cs="Arial"/>
          <w:color w:val="000000"/>
          <w:sz w:val="20"/>
          <w:szCs w:val="20"/>
          <w:lang w:eastAsia="en-AU"/>
        </w:rPr>
        <w:t>there are a number of steps short of closure of the</w:t>
      </w:r>
      <w:r>
        <w:rPr>
          <w:rFonts w:ascii="Arial" w:hAnsi="Arial" w:cs="Arial"/>
          <w:color w:val="000000"/>
          <w:sz w:val="20"/>
          <w:szCs w:val="20"/>
          <w:lang w:eastAsia="en-AU"/>
        </w:rPr>
        <w:t xml:space="preserve"> Court </w:t>
      </w:r>
      <w:r w:rsidRPr="000425F8">
        <w:rPr>
          <w:rFonts w:ascii="Arial" w:hAnsi="Arial" w:cs="Arial"/>
          <w:color w:val="000000"/>
          <w:sz w:val="20"/>
          <w:szCs w:val="20"/>
          <w:lang w:eastAsia="en-AU"/>
        </w:rPr>
        <w:t>or prohibition of the whole of the proceedings which can meet a number of [the applicant’s] concerns, including use of pseudonyms, prohibition of publication of names and other matters of sensitivity</w:t>
      </w:r>
      <w:r>
        <w:rPr>
          <w:rFonts w:ascii="Arial" w:hAnsi="Arial" w:cs="Arial"/>
          <w:color w:val="000000"/>
          <w:sz w:val="20"/>
          <w:szCs w:val="20"/>
          <w:lang w:eastAsia="en-AU"/>
        </w:rPr>
        <w:t>”</w:t>
      </w:r>
      <w:r w:rsidRPr="000425F8">
        <w:rPr>
          <w:rFonts w:ascii="Arial" w:hAnsi="Arial" w:cs="Arial"/>
          <w:color w:val="000000"/>
          <w:sz w:val="20"/>
          <w:szCs w:val="20"/>
          <w:lang w:eastAsia="en-AU"/>
        </w:rPr>
        <w:t>.</w:t>
      </w:r>
    </w:p>
    <w:p w14:paraId="0B9E6AAA" w14:textId="7514E458" w:rsidR="003F4BE5" w:rsidRDefault="003F4BE5" w:rsidP="005E2B86">
      <w:pPr>
        <w:tabs>
          <w:tab w:val="left" w:pos="5198"/>
        </w:tabs>
        <w:rPr>
          <w:rFonts w:ascii="Arial" w:hAnsi="Arial" w:cs="Arial"/>
          <w:sz w:val="12"/>
          <w:szCs w:val="16"/>
        </w:rPr>
      </w:pPr>
    </w:p>
    <w:p w14:paraId="2AC0CA3A" w14:textId="7D51A187" w:rsidR="003F4BE5" w:rsidRPr="003F4BE5" w:rsidRDefault="003F4BE5" w:rsidP="005E2B86">
      <w:pPr>
        <w:numPr>
          <w:ilvl w:val="0"/>
          <w:numId w:val="1"/>
        </w:numPr>
        <w:tabs>
          <w:tab w:val="num" w:pos="723"/>
        </w:tabs>
        <w:jc w:val="both"/>
        <w:rPr>
          <w:rFonts w:ascii="Arial" w:hAnsi="Arial" w:cs="Arial"/>
          <w:i/>
          <w:iCs/>
          <w:sz w:val="20"/>
        </w:rPr>
      </w:pPr>
      <w:r w:rsidRPr="000425F8">
        <w:rPr>
          <w:rFonts w:ascii="Arial" w:hAnsi="Arial" w:cs="Arial"/>
          <w:color w:val="000000"/>
          <w:sz w:val="20"/>
          <w:szCs w:val="20"/>
          <w:lang w:eastAsia="en-AU"/>
        </w:rPr>
        <w:t>In</w:t>
      </w:r>
      <w:r w:rsidR="000F3B10">
        <w:rPr>
          <w:rFonts w:ascii="Arial" w:hAnsi="Arial" w:cs="Arial"/>
          <w:color w:val="000000"/>
          <w:sz w:val="20"/>
          <w:szCs w:val="20"/>
          <w:lang w:eastAsia="en-AU"/>
        </w:rPr>
        <w:t xml:space="preserve"> </w:t>
      </w:r>
      <w:r w:rsidRPr="000425F8">
        <w:rPr>
          <w:rFonts w:ascii="Arial" w:hAnsi="Arial" w:cs="Arial"/>
          <w:i/>
          <w:iCs/>
          <w:color w:val="000000"/>
          <w:sz w:val="20"/>
          <w:szCs w:val="20"/>
          <w:lang w:eastAsia="en-AU"/>
        </w:rPr>
        <w:t>Ami Australia Holdings Pty Ltd v Fairfax Media Publications Pty Ltd</w:t>
      </w:r>
      <w:r w:rsidRPr="000425F8">
        <w:rPr>
          <w:rFonts w:ascii="Arial" w:hAnsi="Arial" w:cs="Arial"/>
          <w:color w:val="000000"/>
          <w:sz w:val="20"/>
          <w:szCs w:val="20"/>
          <w:lang w:eastAsia="en-AU"/>
        </w:rPr>
        <w:t> [2009] NSWSC 1290, Brereton J hesitantly</w:t>
      </w:r>
      <w:r>
        <w:rPr>
          <w:rFonts w:ascii="Arial" w:hAnsi="Arial" w:cs="Arial"/>
          <w:color w:val="000000"/>
          <w:sz w:val="20"/>
          <w:szCs w:val="20"/>
          <w:lang w:eastAsia="en-AU"/>
        </w:rPr>
        <w:t xml:space="preserve"> closed </w:t>
      </w:r>
      <w:r w:rsidRPr="000425F8">
        <w:rPr>
          <w:rFonts w:ascii="Arial" w:hAnsi="Arial" w:cs="Arial"/>
          <w:color w:val="000000"/>
          <w:sz w:val="20"/>
          <w:szCs w:val="20"/>
          <w:lang w:eastAsia="en-AU"/>
        </w:rPr>
        <w:t>the</w:t>
      </w:r>
      <w:r>
        <w:rPr>
          <w:rFonts w:ascii="Arial" w:hAnsi="Arial" w:cs="Arial"/>
          <w:color w:val="000000"/>
          <w:sz w:val="20"/>
          <w:szCs w:val="20"/>
          <w:lang w:eastAsia="en-AU"/>
        </w:rPr>
        <w:t xml:space="preserve"> court </w:t>
      </w:r>
      <w:r w:rsidRPr="000425F8">
        <w:rPr>
          <w:rFonts w:ascii="Arial" w:hAnsi="Arial" w:cs="Arial"/>
          <w:color w:val="000000"/>
          <w:sz w:val="20"/>
          <w:szCs w:val="20"/>
          <w:lang w:eastAsia="en-AU"/>
        </w:rPr>
        <w:t>after anxious consideration of other options at [6]-[7]:</w:t>
      </w:r>
    </w:p>
    <w:p w14:paraId="37E370B7" w14:textId="0E34B29F" w:rsidR="003F4BE5" w:rsidRDefault="003F4BE5" w:rsidP="003F4BE5">
      <w:pPr>
        <w:spacing w:before="60"/>
        <w:ind w:left="720" w:right="567"/>
        <w:jc w:val="both"/>
        <w:rPr>
          <w:rFonts w:ascii="Arial" w:hAnsi="Arial" w:cs="Arial"/>
          <w:color w:val="000000"/>
          <w:sz w:val="20"/>
          <w:szCs w:val="20"/>
          <w:lang w:eastAsia="en-AU"/>
        </w:rPr>
      </w:pPr>
      <w:r>
        <w:rPr>
          <w:rFonts w:ascii="Arial" w:hAnsi="Arial" w:cs="Arial"/>
          <w:sz w:val="20"/>
        </w:rPr>
        <w:t>“</w:t>
      </w:r>
      <w:r w:rsidRPr="000425F8">
        <w:rPr>
          <w:rFonts w:ascii="Arial" w:hAnsi="Arial" w:cs="Arial"/>
          <w:color w:val="000000"/>
          <w:sz w:val="20"/>
          <w:szCs w:val="20"/>
          <w:lang w:eastAsia="en-AU"/>
        </w:rPr>
        <w:t>I have considered whether, short of conducting proceedings in</w:t>
      </w:r>
      <w:r w:rsidR="005E2B86">
        <w:rPr>
          <w:rFonts w:ascii="Arial" w:hAnsi="Arial" w:cs="Arial"/>
          <w:color w:val="000000"/>
          <w:sz w:val="20"/>
          <w:szCs w:val="20"/>
          <w:lang w:eastAsia="en-AU"/>
        </w:rPr>
        <w:t xml:space="preserve"> closed court</w:t>
      </w:r>
      <w:r w:rsidRPr="000425F8">
        <w:rPr>
          <w:rFonts w:ascii="Arial" w:hAnsi="Arial" w:cs="Arial"/>
          <w:color w:val="000000"/>
          <w:sz w:val="20"/>
          <w:szCs w:val="20"/>
          <w:lang w:eastAsia="en-AU"/>
        </w:rPr>
        <w:t>, some other mechanism — such as a non-publication order could be put in place — which might permit the</w:t>
      </w:r>
      <w:r>
        <w:rPr>
          <w:rFonts w:ascii="Arial" w:hAnsi="Arial" w:cs="Arial"/>
          <w:color w:val="000000"/>
          <w:sz w:val="20"/>
          <w:szCs w:val="20"/>
          <w:lang w:eastAsia="en-AU"/>
        </w:rPr>
        <w:t xml:space="preserve"> court </w:t>
      </w:r>
      <w:r w:rsidRPr="000425F8">
        <w:rPr>
          <w:rFonts w:ascii="Arial" w:hAnsi="Arial" w:cs="Arial"/>
          <w:color w:val="000000"/>
          <w:sz w:val="20"/>
          <w:szCs w:val="20"/>
          <w:lang w:eastAsia="en-AU"/>
        </w:rPr>
        <w:t>to remain open while at the same time preventing or prohibiting publication of the imputations. But it seems to me that, given that if the</w:t>
      </w:r>
      <w:r>
        <w:rPr>
          <w:rFonts w:ascii="Arial" w:hAnsi="Arial" w:cs="Arial"/>
          <w:color w:val="000000"/>
          <w:sz w:val="20"/>
          <w:szCs w:val="20"/>
          <w:lang w:eastAsia="en-AU"/>
        </w:rPr>
        <w:t xml:space="preserve"> court </w:t>
      </w:r>
      <w:r w:rsidRPr="000425F8">
        <w:rPr>
          <w:rFonts w:ascii="Arial" w:hAnsi="Arial" w:cs="Arial"/>
          <w:color w:val="000000"/>
          <w:sz w:val="20"/>
          <w:szCs w:val="20"/>
          <w:lang w:eastAsia="en-AU"/>
        </w:rPr>
        <w:t>were open it would be open to all, and the</w:t>
      </w:r>
      <w:r>
        <w:rPr>
          <w:rFonts w:ascii="Arial" w:hAnsi="Arial" w:cs="Arial"/>
          <w:color w:val="000000"/>
          <w:sz w:val="20"/>
          <w:szCs w:val="20"/>
          <w:lang w:eastAsia="en-AU"/>
        </w:rPr>
        <w:t xml:space="preserve"> court </w:t>
      </w:r>
      <w:r w:rsidRPr="000425F8">
        <w:rPr>
          <w:rFonts w:ascii="Arial" w:hAnsi="Arial" w:cs="Arial"/>
          <w:color w:val="000000"/>
          <w:sz w:val="20"/>
          <w:szCs w:val="20"/>
          <w:lang w:eastAsia="en-AU"/>
        </w:rPr>
        <w:t>would not be in a position to be able to identify and control who might enter and who might have notice of any non-publication order, that would not be a satisfactory solution. It also seems to me that requiring counsel, witnesses and the</w:t>
      </w:r>
      <w:r>
        <w:rPr>
          <w:rFonts w:ascii="Arial" w:hAnsi="Arial" w:cs="Arial"/>
          <w:color w:val="000000"/>
          <w:sz w:val="20"/>
          <w:szCs w:val="20"/>
          <w:lang w:eastAsia="en-AU"/>
        </w:rPr>
        <w:t xml:space="preserve"> court </w:t>
      </w:r>
      <w:r w:rsidRPr="000425F8">
        <w:rPr>
          <w:rFonts w:ascii="Arial" w:hAnsi="Arial" w:cs="Arial"/>
          <w:color w:val="000000"/>
          <w:sz w:val="20"/>
          <w:szCs w:val="20"/>
          <w:lang w:eastAsia="en-AU"/>
        </w:rPr>
        <w:t>to use veiled speech during the hearing would not be in the interests of justice. In effect, such a course would still seek to conceal from the public what was at the heart of the proceedings, while going through the pretence of conducting them in open </w:t>
      </w:r>
      <w:r>
        <w:rPr>
          <w:rFonts w:ascii="Arial" w:hAnsi="Arial" w:cs="Arial"/>
          <w:color w:val="000000"/>
          <w:sz w:val="20"/>
          <w:szCs w:val="20"/>
          <w:lang w:eastAsia="en-AU"/>
        </w:rPr>
        <w:t>court</w:t>
      </w:r>
      <w:r w:rsidRPr="000425F8">
        <w:rPr>
          <w:rFonts w:ascii="Arial" w:hAnsi="Arial" w:cs="Arial"/>
          <w:color w:val="000000"/>
          <w:sz w:val="20"/>
          <w:szCs w:val="20"/>
          <w:lang w:eastAsia="en-AU"/>
        </w:rPr>
        <w:t>, while at the same time imposing additional difficulties on the conduct of the proceedings.</w:t>
      </w:r>
    </w:p>
    <w:p w14:paraId="16B54120" w14:textId="597B48E6" w:rsidR="005E2B86" w:rsidRDefault="005E2B86" w:rsidP="003F4BE5">
      <w:pPr>
        <w:spacing w:before="60"/>
        <w:ind w:left="720" w:right="567"/>
        <w:jc w:val="both"/>
        <w:rPr>
          <w:rFonts w:ascii="Arial" w:hAnsi="Arial" w:cs="Arial"/>
          <w:sz w:val="20"/>
        </w:rPr>
      </w:pPr>
      <w:r w:rsidRPr="000425F8">
        <w:rPr>
          <w:rFonts w:ascii="Arial" w:hAnsi="Arial" w:cs="Arial"/>
          <w:color w:val="000000"/>
          <w:sz w:val="20"/>
          <w:szCs w:val="20"/>
          <w:lang w:eastAsia="en-AU"/>
        </w:rPr>
        <w:t>As grave a step as it is — and it is one that I embark upon with considerable hesitation — it seems to me that the fundamental point is that the relief sought in the proceedings would be rendered futile if the proceedings were not conducted in a</w:t>
      </w:r>
      <w:r>
        <w:rPr>
          <w:rFonts w:ascii="Arial" w:hAnsi="Arial" w:cs="Arial"/>
          <w:color w:val="000000"/>
          <w:sz w:val="20"/>
          <w:szCs w:val="20"/>
          <w:lang w:eastAsia="en-AU"/>
        </w:rPr>
        <w:t xml:space="preserve"> closed court</w:t>
      </w:r>
      <w:r w:rsidRPr="000425F8">
        <w:rPr>
          <w:rFonts w:ascii="Arial" w:hAnsi="Arial" w:cs="Arial"/>
          <w:color w:val="000000"/>
          <w:sz w:val="20"/>
          <w:szCs w:val="20"/>
          <w:lang w:eastAsia="en-AU"/>
        </w:rPr>
        <w:t>…</w:t>
      </w:r>
      <w:r>
        <w:rPr>
          <w:rFonts w:ascii="Arial" w:hAnsi="Arial" w:cs="Arial"/>
          <w:color w:val="000000"/>
          <w:sz w:val="20"/>
          <w:szCs w:val="20"/>
          <w:lang w:eastAsia="en-AU"/>
        </w:rPr>
        <w:t>”</w:t>
      </w:r>
    </w:p>
    <w:p w14:paraId="0B467C79" w14:textId="55483707" w:rsidR="00FA1BDE" w:rsidRDefault="00FA1BDE" w:rsidP="005E2B86">
      <w:pPr>
        <w:shd w:val="clear" w:color="auto" w:fill="FFFFFF"/>
        <w:textAlignment w:val="baseline"/>
        <w:rPr>
          <w:rFonts w:ascii="Arial" w:hAnsi="Arial" w:cs="Arial"/>
          <w:color w:val="000000"/>
          <w:sz w:val="20"/>
          <w:szCs w:val="20"/>
          <w:lang w:eastAsia="en-AU"/>
        </w:rPr>
      </w:pPr>
    </w:p>
    <w:p w14:paraId="2A21DF1D" w14:textId="7E8AA889" w:rsidR="00FA1BDE" w:rsidRDefault="00FA1BDE" w:rsidP="005E2B86">
      <w:pPr>
        <w:shd w:val="clear" w:color="auto" w:fill="FFFFFF"/>
        <w:jc w:val="both"/>
        <w:textAlignment w:val="baseline"/>
        <w:rPr>
          <w:rFonts w:ascii="Arial" w:hAnsi="Arial" w:cs="Arial"/>
          <w:color w:val="000000"/>
          <w:sz w:val="20"/>
          <w:szCs w:val="20"/>
          <w:lang w:eastAsia="en-AU"/>
        </w:rPr>
      </w:pPr>
      <w:r w:rsidRPr="000425F8">
        <w:rPr>
          <w:rFonts w:ascii="Arial" w:hAnsi="Arial" w:cs="Arial"/>
          <w:color w:val="000000"/>
          <w:sz w:val="20"/>
          <w:szCs w:val="20"/>
          <w:lang w:eastAsia="en-AU"/>
        </w:rPr>
        <w:t>Nevertheless, a</w:t>
      </w:r>
      <w:r w:rsidR="005E2B86">
        <w:rPr>
          <w:rFonts w:ascii="Arial" w:hAnsi="Arial" w:cs="Arial"/>
          <w:color w:val="000000"/>
          <w:sz w:val="20"/>
          <w:szCs w:val="20"/>
          <w:lang w:eastAsia="en-AU"/>
        </w:rPr>
        <w:t xml:space="preserve"> closed court </w:t>
      </w:r>
      <w:r w:rsidRPr="000425F8">
        <w:rPr>
          <w:rFonts w:ascii="Arial" w:hAnsi="Arial" w:cs="Arial"/>
          <w:color w:val="000000"/>
          <w:sz w:val="20"/>
          <w:szCs w:val="20"/>
          <w:lang w:eastAsia="en-AU"/>
        </w:rPr>
        <w:t>order may be preferable in proceedings where an open</w:t>
      </w:r>
      <w:r w:rsidR="005E2B86">
        <w:rPr>
          <w:rFonts w:ascii="Arial" w:hAnsi="Arial" w:cs="Arial"/>
          <w:color w:val="000000"/>
          <w:sz w:val="20"/>
          <w:szCs w:val="20"/>
          <w:lang w:eastAsia="en-AU"/>
        </w:rPr>
        <w:t xml:space="preserve"> court </w:t>
      </w:r>
      <w:r w:rsidRPr="000425F8">
        <w:rPr>
          <w:rFonts w:ascii="Arial" w:hAnsi="Arial" w:cs="Arial"/>
          <w:color w:val="000000"/>
          <w:sz w:val="20"/>
          <w:szCs w:val="20"/>
          <w:lang w:eastAsia="en-AU"/>
        </w:rPr>
        <w:t>would create an unacceptable risk that sensitive or confidential information would be disclosed. In</w:t>
      </w:r>
      <w:r w:rsidR="000F3B10">
        <w:rPr>
          <w:rFonts w:ascii="Arial" w:hAnsi="Arial" w:cs="Arial"/>
          <w:color w:val="000000"/>
          <w:sz w:val="20"/>
          <w:szCs w:val="20"/>
          <w:lang w:eastAsia="en-AU"/>
        </w:rPr>
        <w:t xml:space="preserve"> </w:t>
      </w:r>
      <w:r w:rsidRPr="000425F8">
        <w:rPr>
          <w:rFonts w:ascii="Arial" w:hAnsi="Arial" w:cs="Arial"/>
          <w:i/>
          <w:iCs/>
          <w:color w:val="000000"/>
          <w:sz w:val="20"/>
          <w:szCs w:val="20"/>
          <w:lang w:eastAsia="en-AU"/>
        </w:rPr>
        <w:t>R v Lodhi</w:t>
      </w:r>
      <w:r w:rsidR="00CD02A3">
        <w:rPr>
          <w:rFonts w:ascii="Arial" w:hAnsi="Arial" w:cs="Arial"/>
          <w:color w:val="000000"/>
          <w:sz w:val="20"/>
          <w:szCs w:val="20"/>
          <w:lang w:eastAsia="en-AU"/>
        </w:rPr>
        <w:t xml:space="preserve"> </w:t>
      </w:r>
      <w:r w:rsidRPr="000425F8">
        <w:rPr>
          <w:rFonts w:ascii="Arial" w:hAnsi="Arial" w:cs="Arial"/>
          <w:color w:val="000000"/>
          <w:sz w:val="20"/>
          <w:szCs w:val="20"/>
          <w:lang w:eastAsia="en-AU"/>
        </w:rPr>
        <w:t xml:space="preserve">(2006) 199 FLR 270, Whealy J thought at [31] that non-publication orders could be made </w:t>
      </w:r>
      <w:r w:rsidR="005E2B86">
        <w:rPr>
          <w:rFonts w:ascii="Arial" w:hAnsi="Arial" w:cs="Arial"/>
          <w:color w:val="000000"/>
          <w:sz w:val="20"/>
          <w:szCs w:val="20"/>
          <w:lang w:eastAsia="en-AU"/>
        </w:rPr>
        <w:t>“</w:t>
      </w:r>
      <w:r w:rsidRPr="000425F8">
        <w:rPr>
          <w:rFonts w:ascii="Arial" w:hAnsi="Arial" w:cs="Arial"/>
          <w:color w:val="000000"/>
          <w:sz w:val="20"/>
          <w:szCs w:val="20"/>
          <w:lang w:eastAsia="en-AU"/>
        </w:rPr>
        <w:t>as such problems emerge</w:t>
      </w:r>
      <w:r w:rsidR="005E2B86">
        <w:rPr>
          <w:rFonts w:ascii="Arial" w:hAnsi="Arial" w:cs="Arial"/>
          <w:color w:val="000000"/>
          <w:sz w:val="20"/>
          <w:szCs w:val="20"/>
          <w:lang w:eastAsia="en-AU"/>
        </w:rPr>
        <w:t>”</w:t>
      </w:r>
      <w:r w:rsidRPr="000425F8">
        <w:rPr>
          <w:rFonts w:ascii="Arial" w:hAnsi="Arial" w:cs="Arial"/>
          <w:color w:val="000000"/>
          <w:sz w:val="20"/>
          <w:szCs w:val="20"/>
          <w:lang w:eastAsia="en-AU"/>
        </w:rPr>
        <w:t xml:space="preserve">, but </w:t>
      </w:r>
      <w:r w:rsidR="005E2B86">
        <w:rPr>
          <w:rFonts w:ascii="Arial" w:hAnsi="Arial" w:cs="Arial"/>
          <w:color w:val="000000"/>
          <w:sz w:val="20"/>
          <w:szCs w:val="20"/>
          <w:lang w:eastAsia="en-AU"/>
        </w:rPr>
        <w:t>“</w:t>
      </w:r>
      <w:r w:rsidRPr="000425F8">
        <w:rPr>
          <w:rFonts w:ascii="Arial" w:hAnsi="Arial" w:cs="Arial"/>
          <w:color w:val="000000"/>
          <w:sz w:val="20"/>
          <w:szCs w:val="20"/>
          <w:lang w:eastAsia="en-AU"/>
        </w:rPr>
        <w:t>that would be to run the real risk that the damage would have been done</w:t>
      </w:r>
      <w:r w:rsidR="005E2B86">
        <w:rPr>
          <w:rFonts w:ascii="Arial" w:hAnsi="Arial" w:cs="Arial"/>
          <w:color w:val="000000"/>
          <w:sz w:val="20"/>
          <w:szCs w:val="20"/>
          <w:lang w:eastAsia="en-AU"/>
        </w:rPr>
        <w:t>”</w:t>
      </w:r>
      <w:r w:rsidRPr="000425F8">
        <w:rPr>
          <w:rFonts w:ascii="Arial" w:hAnsi="Arial" w:cs="Arial"/>
          <w:color w:val="000000"/>
          <w:sz w:val="20"/>
          <w:szCs w:val="20"/>
          <w:lang w:eastAsia="en-AU"/>
        </w:rPr>
        <w:t xml:space="preserve"> which would be </w:t>
      </w:r>
      <w:r w:rsidR="005E2B86">
        <w:rPr>
          <w:rFonts w:ascii="Arial" w:hAnsi="Arial" w:cs="Arial"/>
          <w:color w:val="000000"/>
          <w:sz w:val="20"/>
          <w:szCs w:val="20"/>
          <w:lang w:eastAsia="en-AU"/>
        </w:rPr>
        <w:t>“</w:t>
      </w:r>
      <w:r w:rsidRPr="000425F8">
        <w:rPr>
          <w:rFonts w:ascii="Arial" w:hAnsi="Arial" w:cs="Arial"/>
          <w:color w:val="000000"/>
          <w:sz w:val="20"/>
          <w:szCs w:val="20"/>
          <w:lang w:eastAsia="en-AU"/>
        </w:rPr>
        <w:t>plainly so if the inadvertence were to occur in open</w:t>
      </w:r>
      <w:r w:rsidR="005E2B86">
        <w:rPr>
          <w:rFonts w:ascii="Arial" w:hAnsi="Arial" w:cs="Arial"/>
          <w:color w:val="000000"/>
          <w:sz w:val="20"/>
          <w:szCs w:val="20"/>
          <w:lang w:eastAsia="en-AU"/>
        </w:rPr>
        <w:t xml:space="preserve"> court</w:t>
      </w:r>
      <w:r w:rsidR="00C203EB">
        <w:rPr>
          <w:rFonts w:ascii="Arial" w:hAnsi="Arial" w:cs="Arial"/>
          <w:color w:val="000000"/>
          <w:sz w:val="20"/>
          <w:szCs w:val="20"/>
          <w:lang w:eastAsia="en-AU"/>
        </w:rPr>
        <w:t>”</w:t>
      </w:r>
      <w:r w:rsidR="005E2B86">
        <w:rPr>
          <w:rFonts w:ascii="Arial" w:hAnsi="Arial" w:cs="Arial"/>
          <w:color w:val="000000"/>
          <w:sz w:val="20"/>
          <w:szCs w:val="20"/>
          <w:lang w:eastAsia="en-AU"/>
        </w:rPr>
        <w:t>.</w:t>
      </w:r>
    </w:p>
    <w:p w14:paraId="6CAFDE85" w14:textId="31F8775F" w:rsidR="005E2B86" w:rsidRDefault="005E2B86" w:rsidP="005E2B86">
      <w:pPr>
        <w:shd w:val="clear" w:color="auto" w:fill="FFFFFF"/>
        <w:jc w:val="both"/>
        <w:textAlignment w:val="baseline"/>
        <w:rPr>
          <w:rFonts w:ascii="Arial" w:hAnsi="Arial" w:cs="Arial"/>
          <w:color w:val="000000"/>
          <w:sz w:val="20"/>
          <w:szCs w:val="20"/>
          <w:lang w:eastAsia="en-AU"/>
        </w:rPr>
      </w:pPr>
    </w:p>
    <w:p w14:paraId="1FFE2F51" w14:textId="4AF41A67" w:rsidR="005247FC" w:rsidRDefault="005247FC" w:rsidP="005247FC">
      <w:pPr>
        <w:pStyle w:val="ListParagraph"/>
        <w:ind w:left="0"/>
        <w:jc w:val="both"/>
        <w:rPr>
          <w:rFonts w:ascii="Arial" w:hAnsi="Arial" w:cs="Arial"/>
          <w:color w:val="000000"/>
          <w:sz w:val="20"/>
        </w:rPr>
      </w:pPr>
      <w:r>
        <w:rPr>
          <w:rFonts w:ascii="Arial" w:hAnsi="Arial" w:cs="Arial"/>
          <w:color w:val="000000"/>
          <w:sz w:val="20"/>
        </w:rPr>
        <w:t xml:space="preserve">See also </w:t>
      </w:r>
      <w:r w:rsidRPr="001C455F">
        <w:rPr>
          <w:rFonts w:ascii="Arial" w:hAnsi="Arial" w:cs="Arial"/>
          <w:i/>
          <w:iCs/>
          <w:color w:val="000000"/>
          <w:sz w:val="20"/>
        </w:rPr>
        <w:t>Secretary Department of Families, Fairness and Housing v WD</w:t>
      </w:r>
      <w:r w:rsidRPr="001C455F">
        <w:rPr>
          <w:rFonts w:ascii="Arial" w:hAnsi="Arial" w:cs="Arial"/>
          <w:color w:val="000000"/>
          <w:sz w:val="20"/>
        </w:rPr>
        <w:t xml:space="preserve"> [2025] VSC 537 </w:t>
      </w:r>
      <w:r>
        <w:rPr>
          <w:rFonts w:ascii="Arial" w:hAnsi="Arial" w:cs="Arial"/>
          <w:color w:val="000000"/>
          <w:sz w:val="20"/>
        </w:rPr>
        <w:t>where Elliott J dismissed an application by DFFH for further hearings to be conducted in closed court.</w:t>
      </w:r>
    </w:p>
    <w:p w14:paraId="677C20AB" w14:textId="77777777" w:rsidR="005247FC" w:rsidRDefault="005247FC" w:rsidP="005E2B86">
      <w:pPr>
        <w:shd w:val="clear" w:color="auto" w:fill="FFFFFF"/>
        <w:jc w:val="both"/>
        <w:textAlignment w:val="baseline"/>
        <w:rPr>
          <w:rFonts w:ascii="Arial" w:hAnsi="Arial" w:cs="Arial"/>
          <w:color w:val="000000"/>
          <w:sz w:val="20"/>
          <w:szCs w:val="20"/>
          <w:lang w:eastAsia="en-AU"/>
        </w:rPr>
      </w:pPr>
    </w:p>
    <w:p w14:paraId="53AC6434" w14:textId="77777777" w:rsidR="00FE6808" w:rsidRPr="007C64AE" w:rsidRDefault="00FE6808" w:rsidP="00FE6808">
      <w:pPr>
        <w:pStyle w:val="Heading3"/>
        <w:keepNext/>
        <w:keepLines/>
        <w:spacing w:after="120" w:line="240" w:lineRule="auto"/>
        <w:rPr>
          <w:rFonts w:ascii="Arial" w:hAnsi="Arial" w:cs="Arial"/>
          <w:b/>
          <w:bCs/>
          <w:color w:val="000000"/>
          <w:sz w:val="20"/>
        </w:rPr>
      </w:pPr>
      <w:bookmarkStart w:id="446" w:name="_2.7.3_Pseudonym_orders"/>
      <w:bookmarkEnd w:id="446"/>
      <w:r w:rsidRPr="007C64AE">
        <w:rPr>
          <w:rFonts w:ascii="Arial" w:hAnsi="Arial" w:cs="Arial"/>
          <w:b/>
          <w:bCs/>
          <w:color w:val="000000"/>
          <w:sz w:val="20"/>
        </w:rPr>
        <w:t>2.7.3</w:t>
      </w:r>
      <w:r w:rsidRPr="007C64AE">
        <w:rPr>
          <w:rFonts w:ascii="Arial" w:hAnsi="Arial" w:cs="Arial"/>
          <w:b/>
          <w:bCs/>
          <w:color w:val="000000"/>
          <w:sz w:val="20"/>
        </w:rPr>
        <w:tab/>
        <w:t>Pseudonym orders</w:t>
      </w:r>
    </w:p>
    <w:p w14:paraId="178D040C" w14:textId="77777777" w:rsidR="00FE6808" w:rsidRPr="007C64AE" w:rsidRDefault="00FE6808" w:rsidP="00542042">
      <w:pPr>
        <w:pStyle w:val="BodySectionSub"/>
        <w:ind w:left="0"/>
        <w:jc w:val="both"/>
        <w:rPr>
          <w:rFonts w:ascii="Arial" w:hAnsi="Arial" w:cs="Arial"/>
          <w:color w:val="000000"/>
          <w:sz w:val="20"/>
        </w:rPr>
      </w:pPr>
      <w:r w:rsidRPr="007C64AE">
        <w:rPr>
          <w:rFonts w:ascii="Arial" w:hAnsi="Arial" w:cs="Arial"/>
          <w:color w:val="000000"/>
          <w:sz w:val="20"/>
        </w:rPr>
        <w:t xml:space="preserve">Section 7(d) of the </w:t>
      </w:r>
      <w:r w:rsidRPr="005161F3">
        <w:rPr>
          <w:rFonts w:ascii="Arial" w:hAnsi="Arial" w:cs="Arial"/>
          <w:i/>
          <w:iCs/>
          <w:color w:val="000000"/>
          <w:sz w:val="20"/>
        </w:rPr>
        <w:t>Open Courts Act 2013</w:t>
      </w:r>
      <w:r w:rsidRPr="007C64AE">
        <w:rPr>
          <w:rFonts w:ascii="Arial" w:hAnsi="Arial" w:cs="Arial"/>
          <w:color w:val="000000"/>
          <w:sz w:val="20"/>
        </w:rPr>
        <w:t xml:space="preserve"> provides that that Act does not limit or otherwise affect</w:t>
      </w:r>
      <w:r w:rsidR="00542042" w:rsidRPr="007C64AE">
        <w:rPr>
          <w:rFonts w:ascii="Arial" w:hAnsi="Arial" w:cs="Arial"/>
          <w:color w:val="000000"/>
          <w:sz w:val="20"/>
        </w:rPr>
        <w:t xml:space="preserve"> the making of an order or decision by a court or tribunal that</w:t>
      </w:r>
      <w:r w:rsidRPr="007C64AE">
        <w:rPr>
          <w:rFonts w:ascii="Arial" w:hAnsi="Arial" w:cs="Arial"/>
          <w:color w:val="000000"/>
          <w:sz w:val="20"/>
        </w:rPr>
        <w:t>—</w:t>
      </w:r>
    </w:p>
    <w:p w14:paraId="17E0FC14" w14:textId="77777777" w:rsidR="00542042" w:rsidRPr="007C64AE" w:rsidRDefault="00542042" w:rsidP="00131752">
      <w:pPr>
        <w:numPr>
          <w:ilvl w:val="0"/>
          <w:numId w:val="14"/>
        </w:numPr>
        <w:tabs>
          <w:tab w:val="left" w:pos="567"/>
          <w:tab w:val="left" w:pos="1134"/>
        </w:tabs>
        <w:ind w:left="357" w:hanging="357"/>
        <w:jc w:val="both"/>
        <w:rPr>
          <w:rFonts w:ascii="Arial" w:hAnsi="Arial" w:cs="Arial"/>
          <w:color w:val="000000"/>
          <w:sz w:val="20"/>
        </w:rPr>
      </w:pPr>
      <w:r w:rsidRPr="007C64AE">
        <w:rPr>
          <w:rFonts w:ascii="Arial" w:hAnsi="Arial" w:cs="Arial"/>
          <w:color w:val="000000"/>
          <w:sz w:val="20"/>
        </w:rPr>
        <w:t>conceals the identity of a person by restricting the way the person is referred to in open court;</w:t>
      </w:r>
    </w:p>
    <w:p w14:paraId="2D335C31" w14:textId="77777777" w:rsidR="00542042" w:rsidRPr="007C64AE" w:rsidRDefault="00542042" w:rsidP="00131752">
      <w:pPr>
        <w:numPr>
          <w:ilvl w:val="0"/>
          <w:numId w:val="14"/>
        </w:numPr>
        <w:tabs>
          <w:tab w:val="left" w:pos="567"/>
          <w:tab w:val="left" w:pos="1134"/>
        </w:tabs>
        <w:ind w:left="357" w:hanging="357"/>
        <w:jc w:val="both"/>
        <w:rPr>
          <w:rFonts w:ascii="Arial" w:hAnsi="Arial" w:cs="Arial"/>
          <w:color w:val="000000"/>
          <w:sz w:val="20"/>
        </w:rPr>
      </w:pPr>
      <w:r w:rsidRPr="007C64AE">
        <w:rPr>
          <w:rFonts w:ascii="Arial" w:hAnsi="Arial" w:cs="Arial"/>
          <w:color w:val="000000"/>
          <w:sz w:val="20"/>
        </w:rPr>
        <w:t>restricts the way an event or thing may be referred to in open court;</w:t>
      </w:r>
    </w:p>
    <w:p w14:paraId="26647DDF" w14:textId="77777777" w:rsidR="00542042" w:rsidRPr="007C64AE" w:rsidRDefault="00542042" w:rsidP="00131752">
      <w:pPr>
        <w:numPr>
          <w:ilvl w:val="0"/>
          <w:numId w:val="14"/>
        </w:numPr>
        <w:tabs>
          <w:tab w:val="left" w:pos="567"/>
          <w:tab w:val="left" w:pos="1134"/>
        </w:tabs>
        <w:ind w:left="357" w:hanging="357"/>
        <w:jc w:val="both"/>
        <w:rPr>
          <w:rFonts w:ascii="Arial" w:hAnsi="Arial" w:cs="Arial"/>
          <w:color w:val="000000"/>
          <w:sz w:val="20"/>
        </w:rPr>
      </w:pPr>
      <w:r w:rsidRPr="007C64AE">
        <w:rPr>
          <w:rFonts w:ascii="Arial" w:hAnsi="Arial" w:cs="Arial"/>
          <w:color w:val="000000"/>
          <w:sz w:val="20"/>
        </w:rPr>
        <w:t>prohibits or restricts access to a court or tribunal file.</w:t>
      </w:r>
    </w:p>
    <w:p w14:paraId="783DA515" w14:textId="77777777" w:rsidR="00480F1C" w:rsidRPr="007C64AE" w:rsidRDefault="00480F1C" w:rsidP="00E41D05">
      <w:pPr>
        <w:jc w:val="both"/>
        <w:rPr>
          <w:rFonts w:ascii="Arial" w:hAnsi="Arial" w:cs="Arial"/>
          <w:color w:val="000000"/>
          <w:sz w:val="20"/>
        </w:rPr>
      </w:pPr>
    </w:p>
    <w:p w14:paraId="6FF304FF" w14:textId="1B8356D7" w:rsidR="00542042" w:rsidRPr="007C64AE" w:rsidRDefault="006E0E0C" w:rsidP="00E41D05">
      <w:pPr>
        <w:jc w:val="both"/>
        <w:rPr>
          <w:rFonts w:ascii="Arial" w:hAnsi="Arial" w:cs="Arial"/>
          <w:color w:val="000000"/>
          <w:sz w:val="20"/>
        </w:rPr>
      </w:pPr>
      <w:r w:rsidRPr="007C64AE">
        <w:rPr>
          <w:rFonts w:ascii="Arial" w:hAnsi="Arial" w:cs="Arial"/>
          <w:color w:val="000000"/>
          <w:sz w:val="20"/>
        </w:rPr>
        <w:t xml:space="preserve">As Dixon J noted in </w:t>
      </w:r>
      <w:r w:rsidRPr="007C64AE">
        <w:rPr>
          <w:rFonts w:ascii="Arial" w:hAnsi="Arial" w:cs="Arial"/>
          <w:i/>
          <w:color w:val="000000"/>
          <w:sz w:val="20"/>
        </w:rPr>
        <w:t>AS v Minister for Immigration and Border Protection</w:t>
      </w:r>
      <w:r w:rsidRPr="007C64AE">
        <w:rPr>
          <w:rFonts w:ascii="Arial" w:hAnsi="Arial" w:cs="Arial"/>
          <w:color w:val="000000"/>
          <w:sz w:val="20"/>
        </w:rPr>
        <w:t xml:space="preserve"> [2014] VSC 486 at [3], s</w:t>
      </w:r>
      <w:r w:rsidR="00542042" w:rsidRPr="007C64AE">
        <w:rPr>
          <w:rFonts w:ascii="Arial" w:hAnsi="Arial" w:cs="Arial"/>
          <w:color w:val="000000"/>
          <w:sz w:val="20"/>
        </w:rPr>
        <w:t xml:space="preserve">uch orders – known as pseudonym orders – differ from other restrictions </w:t>
      </w:r>
      <w:r w:rsidRPr="007C64AE">
        <w:rPr>
          <w:rFonts w:ascii="Arial" w:hAnsi="Arial" w:cs="Arial"/>
          <w:color w:val="000000"/>
          <w:sz w:val="20"/>
        </w:rPr>
        <w:t xml:space="preserve">on open justice, such as suppression orders and closed court orders.  In </w:t>
      </w:r>
      <w:r w:rsidR="00ED6BFF" w:rsidRPr="007C64AE">
        <w:rPr>
          <w:rFonts w:ascii="Arial" w:hAnsi="Arial" w:cs="Arial"/>
          <w:color w:val="000000"/>
          <w:sz w:val="20"/>
        </w:rPr>
        <w:t xml:space="preserve">that case the litigation guardian for a 6 year old asylum </w:t>
      </w:r>
      <w:r w:rsidR="00ED6BFF" w:rsidRPr="007C64AE">
        <w:rPr>
          <w:rFonts w:ascii="Arial" w:hAnsi="Arial" w:cs="Arial"/>
          <w:color w:val="000000"/>
          <w:sz w:val="20"/>
        </w:rPr>
        <w:lastRenderedPageBreak/>
        <w:t xml:space="preserve">seeker living in detention in </w:t>
      </w:r>
      <w:smartTag w:uri="urn:schemas-microsoft-com:office:smarttags" w:element="place">
        <w:r w:rsidR="00ED6BFF" w:rsidRPr="007C64AE">
          <w:rPr>
            <w:rFonts w:ascii="Arial" w:hAnsi="Arial" w:cs="Arial"/>
            <w:color w:val="000000"/>
            <w:sz w:val="20"/>
          </w:rPr>
          <w:t>Christmas Island</w:t>
        </w:r>
      </w:smartTag>
      <w:r w:rsidR="00ED6BFF" w:rsidRPr="007C64AE">
        <w:rPr>
          <w:rFonts w:ascii="Arial" w:hAnsi="Arial" w:cs="Arial"/>
          <w:color w:val="000000"/>
          <w:sz w:val="20"/>
        </w:rPr>
        <w:t xml:space="preserve"> </w:t>
      </w:r>
      <w:r w:rsidR="009762E3" w:rsidRPr="007C64AE">
        <w:rPr>
          <w:rFonts w:ascii="Arial" w:hAnsi="Arial" w:cs="Arial"/>
          <w:color w:val="000000"/>
          <w:sz w:val="20"/>
        </w:rPr>
        <w:t xml:space="preserve">and proposing to issue proceedings on behalf of AS for damages for psychological harm </w:t>
      </w:r>
      <w:r w:rsidR="00ED6BFF" w:rsidRPr="007C64AE">
        <w:rPr>
          <w:rFonts w:ascii="Arial" w:hAnsi="Arial" w:cs="Arial"/>
          <w:color w:val="000000"/>
          <w:sz w:val="20"/>
        </w:rPr>
        <w:t xml:space="preserve">had sought a suppression order.  Dixon J did not make a proceeding suppression order but made a pseudonym order that the plaintiff only be referred to by the pseudonym AS and that all documents filed in the proceeding only refer to the plaintiff as </w:t>
      </w:r>
      <w:proofErr w:type="spellStart"/>
      <w:r w:rsidR="00ED6BFF" w:rsidRPr="007C64AE">
        <w:rPr>
          <w:rFonts w:ascii="Arial" w:hAnsi="Arial" w:cs="Arial"/>
          <w:color w:val="000000"/>
          <w:sz w:val="20"/>
        </w:rPr>
        <w:t>AS</w:t>
      </w:r>
      <w:proofErr w:type="spellEnd"/>
      <w:r w:rsidR="00ED6BFF" w:rsidRPr="007C64AE">
        <w:rPr>
          <w:rFonts w:ascii="Arial" w:hAnsi="Arial" w:cs="Arial"/>
          <w:color w:val="000000"/>
          <w:sz w:val="20"/>
        </w:rPr>
        <w:t xml:space="preserve">.  At [7] his Honour referred to and applied the </w:t>
      </w:r>
      <w:r w:rsidR="003C46A1" w:rsidRPr="007C64AE">
        <w:rPr>
          <w:rFonts w:ascii="Arial" w:hAnsi="Arial" w:cs="Arial"/>
          <w:color w:val="000000"/>
          <w:sz w:val="20"/>
        </w:rPr>
        <w:t xml:space="preserve">following </w:t>
      </w:r>
      <w:r w:rsidR="00ED6BFF" w:rsidRPr="007C64AE">
        <w:rPr>
          <w:rFonts w:ascii="Arial" w:hAnsi="Arial" w:cs="Arial"/>
          <w:color w:val="000000"/>
          <w:sz w:val="20"/>
        </w:rPr>
        <w:t xml:space="preserve">principles </w:t>
      </w:r>
      <w:r w:rsidR="003C46A1" w:rsidRPr="007C64AE">
        <w:rPr>
          <w:rFonts w:ascii="Arial" w:hAnsi="Arial" w:cs="Arial"/>
          <w:color w:val="000000"/>
          <w:sz w:val="20"/>
        </w:rPr>
        <w:t>applicable</w:t>
      </w:r>
      <w:r w:rsidR="00ED6BFF" w:rsidRPr="007C64AE">
        <w:rPr>
          <w:rFonts w:ascii="Arial" w:hAnsi="Arial" w:cs="Arial"/>
          <w:color w:val="000000"/>
          <w:sz w:val="20"/>
        </w:rPr>
        <w:t xml:space="preserve"> in making ps</w:t>
      </w:r>
      <w:r w:rsidR="007412B0">
        <w:rPr>
          <w:rFonts w:ascii="Arial" w:hAnsi="Arial" w:cs="Arial"/>
          <w:color w:val="000000"/>
          <w:sz w:val="20"/>
        </w:rPr>
        <w:t>eu</w:t>
      </w:r>
      <w:r w:rsidR="00ED6BFF" w:rsidRPr="007C64AE">
        <w:rPr>
          <w:rFonts w:ascii="Arial" w:hAnsi="Arial" w:cs="Arial"/>
          <w:color w:val="000000"/>
          <w:sz w:val="20"/>
        </w:rPr>
        <w:t xml:space="preserve">donym orders </w:t>
      </w:r>
      <w:r w:rsidR="003C46A1" w:rsidRPr="007C64AE">
        <w:rPr>
          <w:rFonts w:ascii="Arial" w:hAnsi="Arial" w:cs="Arial"/>
          <w:color w:val="000000"/>
          <w:sz w:val="20"/>
        </w:rPr>
        <w:t>as distill</w:t>
      </w:r>
      <w:r w:rsidR="003C46A1" w:rsidRPr="007C64AE">
        <w:rPr>
          <w:rFonts w:ascii="Arial" w:hAnsi="Arial" w:cs="Arial"/>
          <w:color w:val="000000"/>
          <w:sz w:val="20"/>
          <w:szCs w:val="20"/>
        </w:rPr>
        <w:t xml:space="preserve">ed by </w:t>
      </w:r>
      <w:r w:rsidR="00C23119">
        <w:rPr>
          <w:rFonts w:ascii="Arial" w:hAnsi="Arial" w:cs="Arial"/>
          <w:color w:val="000000"/>
          <w:sz w:val="20"/>
          <w:szCs w:val="20"/>
        </w:rPr>
        <w:t>J</w:t>
      </w:r>
      <w:r w:rsidR="005F6151">
        <w:rPr>
          <w:rFonts w:ascii="Arial" w:hAnsi="Arial" w:cs="Arial"/>
          <w:color w:val="000000"/>
          <w:sz w:val="20"/>
          <w:szCs w:val="20"/>
        </w:rPr>
        <w:t> </w:t>
      </w:r>
      <w:r w:rsidR="003C46A1" w:rsidRPr="007C64AE">
        <w:rPr>
          <w:rFonts w:ascii="Arial" w:hAnsi="Arial" w:cs="Arial"/>
          <w:color w:val="000000"/>
          <w:sz w:val="20"/>
          <w:szCs w:val="20"/>
        </w:rPr>
        <w:t xml:space="preserve">Forrest J in </w:t>
      </w:r>
      <w:r w:rsidR="003C46A1" w:rsidRPr="007C64AE">
        <w:rPr>
          <w:rFonts w:ascii="Arial" w:hAnsi="Arial" w:cs="Arial"/>
          <w:i/>
          <w:color w:val="000000"/>
          <w:sz w:val="20"/>
          <w:szCs w:val="20"/>
        </w:rPr>
        <w:t>ABC v D1 and Others; Ex Parte The Herald Sun &amp; Weekly Times Limited</w:t>
      </w:r>
      <w:r w:rsidR="006177B4">
        <w:rPr>
          <w:rFonts w:ascii="Arial" w:hAnsi="Arial" w:cs="Arial"/>
          <w:color w:val="000000"/>
          <w:sz w:val="20"/>
        </w:rPr>
        <w:t xml:space="preserve"> </w:t>
      </w:r>
      <w:r w:rsidR="003C46A1" w:rsidRPr="007C64AE">
        <w:rPr>
          <w:rFonts w:ascii="Arial" w:hAnsi="Arial" w:cs="Arial"/>
          <w:color w:val="000000"/>
          <w:sz w:val="20"/>
        </w:rPr>
        <w:t>[2007] VSC 480</w:t>
      </w:r>
      <w:r w:rsidR="005601AA">
        <w:rPr>
          <w:rFonts w:ascii="Arial" w:hAnsi="Arial" w:cs="Arial"/>
          <w:color w:val="000000"/>
          <w:sz w:val="20"/>
        </w:rPr>
        <w:t xml:space="preserve"> at</w:t>
      </w:r>
      <w:r w:rsidR="00492279">
        <w:rPr>
          <w:rFonts w:ascii="Arial" w:hAnsi="Arial" w:cs="Arial"/>
          <w:color w:val="000000"/>
          <w:sz w:val="20"/>
        </w:rPr>
        <w:t xml:space="preserve"> [64]-[71]</w:t>
      </w:r>
      <w:r w:rsidR="003C46A1" w:rsidRPr="007C64AE">
        <w:rPr>
          <w:rFonts w:ascii="Arial" w:hAnsi="Arial" w:cs="Arial"/>
          <w:color w:val="000000"/>
          <w:sz w:val="20"/>
        </w:rPr>
        <w:t>:</w:t>
      </w:r>
    </w:p>
    <w:p w14:paraId="591399E7" w14:textId="77777777" w:rsidR="003C46A1" w:rsidRPr="007C64AE" w:rsidRDefault="003C46A1" w:rsidP="00CA061D">
      <w:pPr>
        <w:spacing w:before="80"/>
        <w:ind w:left="567" w:right="567"/>
        <w:jc w:val="both"/>
        <w:rPr>
          <w:rFonts w:ascii="Arial" w:hAnsi="Arial" w:cs="Arial"/>
          <w:color w:val="000000"/>
          <w:sz w:val="20"/>
        </w:rPr>
      </w:pPr>
      <w:r w:rsidRPr="007C64AE">
        <w:rPr>
          <w:rFonts w:ascii="Arial" w:hAnsi="Arial" w:cs="Arial"/>
          <w:color w:val="000000"/>
          <w:sz w:val="20"/>
        </w:rPr>
        <w:t>“</w:t>
      </w:r>
      <w:r w:rsidRPr="00492279">
        <w:rPr>
          <w:rFonts w:ascii="Arial" w:hAnsi="Arial" w:cs="Arial"/>
          <w:color w:val="000000"/>
          <w:sz w:val="20"/>
          <w:u w:val="single"/>
        </w:rPr>
        <w:t>First</w:t>
      </w:r>
      <w:r w:rsidR="00492279">
        <w:rPr>
          <w:rFonts w:ascii="Arial" w:hAnsi="Arial" w:cs="Arial"/>
          <w:color w:val="000000"/>
          <w:sz w:val="20"/>
        </w:rPr>
        <w:t xml:space="preserve">, </w:t>
      </w:r>
      <w:r w:rsidRPr="007C64AE">
        <w:rPr>
          <w:rFonts w:ascii="Arial" w:hAnsi="Arial" w:cs="Arial"/>
          <w:color w:val="000000"/>
          <w:sz w:val="20"/>
        </w:rPr>
        <w:t>that the principal rule is that judicial hearings should take place in open court</w:t>
      </w:r>
      <w:r w:rsidR="00492279">
        <w:rPr>
          <w:rFonts w:ascii="Arial" w:hAnsi="Arial" w:cs="Arial"/>
          <w:color w:val="000000"/>
          <w:sz w:val="20"/>
        </w:rPr>
        <w:t>:</w:t>
      </w:r>
      <w:r w:rsidRPr="007C64AE">
        <w:rPr>
          <w:rFonts w:ascii="Arial" w:hAnsi="Arial" w:cs="Arial"/>
          <w:color w:val="000000"/>
          <w:sz w:val="20"/>
        </w:rPr>
        <w:t xml:space="preserve"> publicly and in open view, with no restriction on reporting.  This is a fundamental precept underpinning the administration of justice.</w:t>
      </w:r>
    </w:p>
    <w:p w14:paraId="60042914" w14:textId="77777777" w:rsidR="003C46A1" w:rsidRPr="007C64AE" w:rsidRDefault="003C46A1" w:rsidP="00CA061D">
      <w:pPr>
        <w:spacing w:before="80"/>
        <w:ind w:left="567" w:right="567"/>
        <w:jc w:val="both"/>
        <w:rPr>
          <w:rFonts w:ascii="Arial" w:hAnsi="Arial" w:cs="Arial"/>
          <w:color w:val="000000"/>
          <w:sz w:val="20"/>
        </w:rPr>
      </w:pPr>
      <w:r w:rsidRPr="00492279">
        <w:rPr>
          <w:rFonts w:ascii="Arial" w:hAnsi="Arial" w:cs="Arial"/>
          <w:color w:val="000000"/>
          <w:sz w:val="20"/>
          <w:u w:val="single"/>
        </w:rPr>
        <w:t>Second</w:t>
      </w:r>
      <w:r w:rsidRPr="007C64AE">
        <w:rPr>
          <w:rFonts w:ascii="Arial" w:hAnsi="Arial" w:cs="Arial"/>
          <w:color w:val="000000"/>
          <w:sz w:val="20"/>
        </w:rPr>
        <w:t>, that in certain circumstances the administration of justice requires a qualification of the general rule.  There will be circumstances where modifications of the general rule are necessarily made to ensure that the administration of justice is not frustrated.  These exceptions are many and varied and cannot be prescriptively identified.</w:t>
      </w:r>
    </w:p>
    <w:p w14:paraId="1AA8CF44" w14:textId="77777777" w:rsidR="003C46A1" w:rsidRPr="007C64AE" w:rsidRDefault="003C46A1" w:rsidP="00CA061D">
      <w:pPr>
        <w:spacing w:before="80"/>
        <w:ind w:left="567" w:right="567"/>
        <w:jc w:val="both"/>
        <w:rPr>
          <w:rFonts w:ascii="Arial" w:hAnsi="Arial" w:cs="Arial"/>
          <w:color w:val="000000"/>
          <w:sz w:val="20"/>
        </w:rPr>
      </w:pPr>
      <w:r w:rsidRPr="00492279">
        <w:rPr>
          <w:rFonts w:ascii="Arial" w:hAnsi="Arial" w:cs="Arial"/>
          <w:color w:val="000000"/>
          <w:sz w:val="20"/>
          <w:u w:val="single"/>
        </w:rPr>
        <w:t>Third</w:t>
      </w:r>
      <w:r w:rsidRPr="007C64AE">
        <w:rPr>
          <w:rFonts w:ascii="Arial" w:hAnsi="Arial" w:cs="Arial"/>
          <w:color w:val="000000"/>
          <w:sz w:val="20"/>
        </w:rPr>
        <w:t>, that the test to be applied by the court in making the pseudonym order is, to use the words of the statute, where it is necessary to do so in order not to prejudice the administration of justice.</w:t>
      </w:r>
    </w:p>
    <w:p w14:paraId="592425DD" w14:textId="77777777" w:rsidR="003C46A1" w:rsidRPr="007C64AE" w:rsidRDefault="003C46A1" w:rsidP="00CA061D">
      <w:pPr>
        <w:spacing w:before="80"/>
        <w:ind w:left="567" w:right="567"/>
        <w:jc w:val="both"/>
        <w:rPr>
          <w:rFonts w:ascii="Arial" w:hAnsi="Arial" w:cs="Arial"/>
          <w:color w:val="000000"/>
          <w:sz w:val="20"/>
        </w:rPr>
      </w:pPr>
      <w:r w:rsidRPr="00492279">
        <w:rPr>
          <w:rFonts w:ascii="Arial" w:hAnsi="Arial" w:cs="Arial"/>
          <w:color w:val="000000"/>
          <w:sz w:val="20"/>
          <w:u w:val="single"/>
        </w:rPr>
        <w:t>Fourth</w:t>
      </w:r>
      <w:r w:rsidRPr="007C64AE">
        <w:rPr>
          <w:rFonts w:ascii="Arial" w:hAnsi="Arial" w:cs="Arial"/>
          <w:color w:val="000000"/>
          <w:sz w:val="20"/>
        </w:rPr>
        <w:t>, that a court, in determining whether to make a pseudonym order, is entitled to take into account the individual considerations affecting the person seeking the order</w:t>
      </w:r>
      <w:r w:rsidR="00492279">
        <w:rPr>
          <w:rFonts w:ascii="Arial" w:hAnsi="Arial" w:cs="Arial"/>
          <w:color w:val="000000"/>
          <w:sz w:val="20"/>
        </w:rPr>
        <w:t xml:space="preserve"> and </w:t>
      </w:r>
      <w:r w:rsidRPr="007C64AE">
        <w:rPr>
          <w:rFonts w:ascii="Arial" w:hAnsi="Arial" w:cs="Arial"/>
          <w:color w:val="000000"/>
          <w:sz w:val="20"/>
        </w:rPr>
        <w:t>balance those against the principal rule of open justice in determining whether the administration of justice warrants the making of the order.  Relevant to these individual considerations is whether there is a real risk of the party or witness suffering psychological harm as a result of publication of his or her name or the names of other parties.  Also relevant is the real risk of a party not proceeding with an action in the event that he or she or another person is identified.</w:t>
      </w:r>
    </w:p>
    <w:p w14:paraId="5ACD7809" w14:textId="77777777" w:rsidR="003C46A1" w:rsidRPr="007C64AE" w:rsidRDefault="003C46A1" w:rsidP="00CA061D">
      <w:pPr>
        <w:spacing w:before="80"/>
        <w:ind w:left="567" w:right="567"/>
        <w:jc w:val="both"/>
        <w:rPr>
          <w:rFonts w:ascii="Arial" w:hAnsi="Arial" w:cs="Arial"/>
          <w:color w:val="000000"/>
          <w:sz w:val="20"/>
        </w:rPr>
      </w:pPr>
      <w:r w:rsidRPr="00492279">
        <w:rPr>
          <w:rFonts w:ascii="Arial" w:hAnsi="Arial" w:cs="Arial"/>
          <w:color w:val="000000"/>
          <w:sz w:val="20"/>
          <w:u w:val="single"/>
        </w:rPr>
        <w:t>Fifth</w:t>
      </w:r>
      <w:r w:rsidRPr="007C64AE">
        <w:rPr>
          <w:rFonts w:ascii="Arial" w:hAnsi="Arial" w:cs="Arial"/>
          <w:color w:val="000000"/>
          <w:sz w:val="20"/>
        </w:rPr>
        <w:t>, that in certain circumstances, particularly those involving sexual assaults, it may be appropriate not only to suppress the name of the plaintiff but also to suppress the name of the defendant or defendants.</w:t>
      </w:r>
    </w:p>
    <w:p w14:paraId="1782C890" w14:textId="77777777" w:rsidR="003C46A1" w:rsidRPr="007C64AE" w:rsidRDefault="003C46A1" w:rsidP="00CA061D">
      <w:pPr>
        <w:spacing w:before="80"/>
        <w:ind w:left="567" w:right="567"/>
        <w:jc w:val="both"/>
        <w:rPr>
          <w:rFonts w:ascii="Arial" w:hAnsi="Arial" w:cs="Arial"/>
          <w:color w:val="000000"/>
          <w:sz w:val="20"/>
        </w:rPr>
      </w:pPr>
      <w:r w:rsidRPr="00492279">
        <w:rPr>
          <w:rFonts w:ascii="Arial" w:hAnsi="Arial" w:cs="Arial"/>
          <w:color w:val="000000"/>
          <w:sz w:val="20"/>
          <w:u w:val="single"/>
        </w:rPr>
        <w:t>Sixth</w:t>
      </w:r>
      <w:r w:rsidRPr="007C64AE">
        <w:rPr>
          <w:rFonts w:ascii="Arial" w:hAnsi="Arial" w:cs="Arial"/>
          <w:color w:val="000000"/>
          <w:sz w:val="20"/>
        </w:rPr>
        <w:t>, that in determining whether to make such an order, a court is entitled to take into account the fact that there will still be a reporting of the proceeding and that the hearing itself will be conducted in open court, subject to the restrictions imposed by the pseudonym order.</w:t>
      </w:r>
    </w:p>
    <w:p w14:paraId="0F55073E" w14:textId="77777777" w:rsidR="003C46A1" w:rsidRPr="007C64AE" w:rsidRDefault="003C46A1" w:rsidP="00CA061D">
      <w:pPr>
        <w:spacing w:before="80"/>
        <w:ind w:left="567" w:right="567"/>
        <w:jc w:val="both"/>
        <w:rPr>
          <w:rFonts w:ascii="Arial" w:hAnsi="Arial" w:cs="Arial"/>
          <w:color w:val="000000"/>
          <w:sz w:val="20"/>
        </w:rPr>
      </w:pPr>
      <w:r w:rsidRPr="00492279">
        <w:rPr>
          <w:rFonts w:ascii="Arial" w:hAnsi="Arial" w:cs="Arial"/>
          <w:color w:val="000000"/>
          <w:sz w:val="20"/>
          <w:u w:val="single"/>
        </w:rPr>
        <w:t>Seventh</w:t>
      </w:r>
      <w:r w:rsidRPr="007C64AE">
        <w:rPr>
          <w:rFonts w:ascii="Arial" w:hAnsi="Arial" w:cs="Arial"/>
          <w:color w:val="000000"/>
          <w:sz w:val="20"/>
        </w:rPr>
        <w:t>, in determining whether it is necessary to make such an order, usually the proofs must be cogent and will not be satisfied by mere belief on the part of a party that the order is necessary.  However, in certain cases a court can</w:t>
      </w:r>
      <w:r w:rsidR="00492279">
        <w:rPr>
          <w:rFonts w:ascii="Arial" w:hAnsi="Arial" w:cs="Arial"/>
          <w:color w:val="000000"/>
          <w:sz w:val="20"/>
        </w:rPr>
        <w:t>,</w:t>
      </w:r>
      <w:r w:rsidRPr="007C64AE">
        <w:rPr>
          <w:rFonts w:ascii="Arial" w:hAnsi="Arial" w:cs="Arial"/>
          <w:color w:val="000000"/>
          <w:sz w:val="20"/>
        </w:rPr>
        <w:t xml:space="preserve"> in a practical sense, act on its own experience and draw appropriate inferences.”</w:t>
      </w:r>
    </w:p>
    <w:p w14:paraId="4C03A193" w14:textId="77777777" w:rsidR="003C46A1" w:rsidRPr="007C64AE" w:rsidRDefault="003C46A1" w:rsidP="003C46A1">
      <w:pPr>
        <w:jc w:val="both"/>
        <w:rPr>
          <w:rFonts w:ascii="Arial" w:hAnsi="Arial" w:cs="Arial"/>
          <w:color w:val="000000"/>
          <w:sz w:val="20"/>
        </w:rPr>
      </w:pPr>
    </w:p>
    <w:p w14:paraId="425A6C41" w14:textId="5A3DBA1D" w:rsidR="00C23119" w:rsidRDefault="003C46A1" w:rsidP="003C46A1">
      <w:pPr>
        <w:jc w:val="both"/>
        <w:rPr>
          <w:rFonts w:ascii="Arial" w:hAnsi="Arial" w:cs="Arial"/>
          <w:color w:val="000000"/>
          <w:sz w:val="20"/>
        </w:rPr>
      </w:pPr>
      <w:r w:rsidRPr="007C64AE">
        <w:rPr>
          <w:rFonts w:ascii="Arial" w:hAnsi="Arial" w:cs="Arial"/>
          <w:color w:val="000000"/>
          <w:sz w:val="20"/>
        </w:rPr>
        <w:t>As Dixon J also noted at [9], the fourth point identified by For</w:t>
      </w:r>
      <w:r w:rsidR="005A6305">
        <w:rPr>
          <w:rFonts w:ascii="Arial" w:hAnsi="Arial" w:cs="Arial"/>
          <w:color w:val="000000"/>
          <w:sz w:val="20"/>
        </w:rPr>
        <w:t>r</w:t>
      </w:r>
      <w:r w:rsidRPr="007C64AE">
        <w:rPr>
          <w:rFonts w:ascii="Arial" w:hAnsi="Arial" w:cs="Arial"/>
          <w:color w:val="000000"/>
          <w:sz w:val="20"/>
        </w:rPr>
        <w:t>est J</w:t>
      </w:r>
      <w:r w:rsidR="005A6305">
        <w:rPr>
          <w:rFonts w:ascii="Arial" w:hAnsi="Arial" w:cs="Arial"/>
          <w:color w:val="000000"/>
          <w:sz w:val="20"/>
        </w:rPr>
        <w:t xml:space="preserve"> – </w:t>
      </w:r>
      <w:r w:rsidRPr="007C64AE">
        <w:rPr>
          <w:rFonts w:ascii="Arial" w:hAnsi="Arial" w:cs="Arial"/>
          <w:color w:val="000000"/>
          <w:sz w:val="20"/>
        </w:rPr>
        <w:t>that</w:t>
      </w:r>
      <w:r w:rsidR="005A6305">
        <w:rPr>
          <w:rFonts w:ascii="Arial" w:hAnsi="Arial" w:cs="Arial"/>
          <w:color w:val="000000"/>
          <w:sz w:val="20"/>
        </w:rPr>
        <w:t xml:space="preserve"> </w:t>
      </w:r>
      <w:r w:rsidRPr="007C64AE">
        <w:rPr>
          <w:rFonts w:ascii="Arial" w:hAnsi="Arial" w:cs="Arial"/>
          <w:color w:val="000000"/>
          <w:sz w:val="20"/>
        </w:rPr>
        <w:t xml:space="preserve">genuinely held fears of psychological harm upon disclosure of identity will be a relevant factor for the court’s consideration </w:t>
      </w:r>
      <w:r w:rsidR="005A6305">
        <w:rPr>
          <w:rFonts w:ascii="Arial" w:hAnsi="Arial" w:cs="Arial"/>
          <w:color w:val="000000"/>
          <w:sz w:val="20"/>
        </w:rPr>
        <w:t xml:space="preserve">– </w:t>
      </w:r>
      <w:r w:rsidRPr="007C64AE">
        <w:rPr>
          <w:rFonts w:ascii="Arial" w:hAnsi="Arial" w:cs="Arial"/>
          <w:color w:val="000000"/>
          <w:sz w:val="20"/>
        </w:rPr>
        <w:t>is</w:t>
      </w:r>
      <w:r w:rsidR="005A6305">
        <w:rPr>
          <w:rFonts w:ascii="Arial" w:hAnsi="Arial" w:cs="Arial"/>
          <w:color w:val="000000"/>
          <w:sz w:val="20"/>
        </w:rPr>
        <w:t xml:space="preserve"> </w:t>
      </w:r>
      <w:r w:rsidRPr="007C64AE">
        <w:rPr>
          <w:rFonts w:ascii="Arial" w:hAnsi="Arial" w:cs="Arial"/>
          <w:color w:val="000000"/>
          <w:sz w:val="20"/>
        </w:rPr>
        <w:t xml:space="preserve">illustrated by </w:t>
      </w:r>
      <w:r w:rsidRPr="007C64AE">
        <w:rPr>
          <w:rFonts w:ascii="Arial" w:hAnsi="Arial" w:cs="Arial"/>
          <w:i/>
          <w:color w:val="000000"/>
          <w:sz w:val="20"/>
        </w:rPr>
        <w:t>TTT &amp; JJJ v The State of Victoria</w:t>
      </w:r>
      <w:r w:rsidR="00C23119">
        <w:rPr>
          <w:rFonts w:ascii="Arial" w:hAnsi="Arial" w:cs="Arial"/>
          <w:color w:val="000000"/>
          <w:sz w:val="20"/>
        </w:rPr>
        <w:t xml:space="preserve"> [2013] VSC 162 at [18] per Cavanough J</w:t>
      </w:r>
      <w:r w:rsidR="005C2F21">
        <w:rPr>
          <w:rFonts w:ascii="Arial" w:hAnsi="Arial" w:cs="Arial"/>
          <w:color w:val="000000"/>
          <w:sz w:val="20"/>
        </w:rPr>
        <w:t xml:space="preserve"> and </w:t>
      </w:r>
      <w:r w:rsidR="005C2F21" w:rsidRPr="00C373E8">
        <w:rPr>
          <w:rFonts w:ascii="Arial" w:hAnsi="Arial" w:cs="Arial"/>
          <w:i/>
          <w:iCs/>
          <w:sz w:val="20"/>
        </w:rPr>
        <w:t>Director of Public Prosecutions v EN</w:t>
      </w:r>
      <w:r w:rsidR="005C2F21">
        <w:rPr>
          <w:rFonts w:ascii="Arial" w:hAnsi="Arial" w:cs="Arial"/>
          <w:sz w:val="20"/>
        </w:rPr>
        <w:t xml:space="preserve"> [2023] VSC 724 at [50] per Elliott J.</w:t>
      </w:r>
    </w:p>
    <w:p w14:paraId="21F7CA03" w14:textId="77777777" w:rsidR="00C23119" w:rsidRDefault="00C23119" w:rsidP="003C46A1">
      <w:pPr>
        <w:jc w:val="both"/>
        <w:rPr>
          <w:rFonts w:ascii="Arial" w:hAnsi="Arial" w:cs="Arial"/>
          <w:color w:val="000000"/>
          <w:sz w:val="20"/>
        </w:rPr>
      </w:pPr>
    </w:p>
    <w:p w14:paraId="3A0DAB1C" w14:textId="26B0EFBC" w:rsidR="00C23119" w:rsidRDefault="00C23119" w:rsidP="00CD02A3">
      <w:pPr>
        <w:jc w:val="both"/>
        <w:rPr>
          <w:rFonts w:ascii="Arial" w:hAnsi="Arial" w:cs="Arial"/>
          <w:color w:val="000000"/>
          <w:sz w:val="20"/>
        </w:rPr>
      </w:pPr>
      <w:r>
        <w:rPr>
          <w:rFonts w:ascii="Arial" w:hAnsi="Arial" w:cs="Arial"/>
          <w:color w:val="000000"/>
          <w:sz w:val="20"/>
        </w:rPr>
        <w:t xml:space="preserve">In making a pseudonym order in </w:t>
      </w:r>
      <w:r w:rsidRPr="00C23119">
        <w:rPr>
          <w:rFonts w:ascii="Arial" w:hAnsi="Arial" w:cs="Arial"/>
          <w:i/>
          <w:color w:val="000000"/>
          <w:sz w:val="20"/>
        </w:rPr>
        <w:t>XYZ v State of Victoria &amp; Anor</w:t>
      </w:r>
      <w:r>
        <w:rPr>
          <w:rFonts w:ascii="Arial" w:hAnsi="Arial" w:cs="Arial"/>
          <w:color w:val="000000"/>
          <w:sz w:val="20"/>
        </w:rPr>
        <w:t xml:space="preserve"> [2016] VSC 339, T Forrest J approved and applied the principles espoused by J Forrest J in </w:t>
      </w:r>
      <w:r w:rsidRPr="007C64AE">
        <w:rPr>
          <w:rFonts w:ascii="Arial" w:hAnsi="Arial" w:cs="Arial"/>
          <w:i/>
          <w:color w:val="000000"/>
          <w:sz w:val="20"/>
          <w:szCs w:val="20"/>
        </w:rPr>
        <w:t>ABC v D1 and Others; Ex Parte The Herald Sun &amp; Weekly Times Limited</w:t>
      </w:r>
      <w:r>
        <w:rPr>
          <w:rFonts w:ascii="Arial" w:hAnsi="Arial" w:cs="Arial"/>
          <w:color w:val="000000"/>
          <w:sz w:val="20"/>
        </w:rPr>
        <w:t xml:space="preserve"> [2007] VSC 480 and by Cavanough J in </w:t>
      </w:r>
      <w:r w:rsidRPr="007C64AE">
        <w:rPr>
          <w:rFonts w:ascii="Arial" w:hAnsi="Arial" w:cs="Arial"/>
          <w:i/>
          <w:color w:val="000000"/>
          <w:sz w:val="20"/>
        </w:rPr>
        <w:t>TTT &amp; JJJ v The State of Victoria</w:t>
      </w:r>
      <w:r>
        <w:rPr>
          <w:rFonts w:ascii="Arial" w:hAnsi="Arial" w:cs="Arial"/>
          <w:color w:val="000000"/>
          <w:sz w:val="20"/>
        </w:rPr>
        <w:t xml:space="preserve"> [2013] VSC 162 and added at [17]</w:t>
      </w:r>
      <w:r w:rsidR="00C4650B">
        <w:rPr>
          <w:rFonts w:ascii="Arial" w:hAnsi="Arial" w:cs="Arial"/>
          <w:color w:val="000000"/>
          <w:sz w:val="20"/>
        </w:rPr>
        <w:t>-</w:t>
      </w:r>
      <w:r w:rsidR="00D057EA">
        <w:rPr>
          <w:rFonts w:ascii="Arial" w:hAnsi="Arial" w:cs="Arial"/>
          <w:color w:val="000000"/>
          <w:sz w:val="20"/>
        </w:rPr>
        <w:t xml:space="preserve">[19] </w:t>
      </w:r>
      <w:r w:rsidR="007F5545">
        <w:rPr>
          <w:rFonts w:ascii="Arial" w:hAnsi="Arial" w:cs="Arial"/>
          <w:color w:val="000000"/>
          <w:sz w:val="20"/>
        </w:rPr>
        <w:t>(emphasis mine)</w:t>
      </w:r>
      <w:r>
        <w:rPr>
          <w:rFonts w:ascii="Arial" w:hAnsi="Arial" w:cs="Arial"/>
          <w:color w:val="000000"/>
          <w:sz w:val="20"/>
        </w:rPr>
        <w:t>:</w:t>
      </w:r>
    </w:p>
    <w:p w14:paraId="07EEF224" w14:textId="77777777" w:rsidR="00340322" w:rsidRDefault="00D057EA" w:rsidP="00D057EA">
      <w:pPr>
        <w:spacing w:before="80"/>
        <w:ind w:left="567" w:right="567"/>
        <w:jc w:val="both"/>
        <w:rPr>
          <w:rFonts w:ascii="Arial" w:hAnsi="Arial" w:cs="Arial"/>
          <w:color w:val="000000"/>
          <w:sz w:val="20"/>
        </w:rPr>
      </w:pPr>
      <w:r>
        <w:rPr>
          <w:rFonts w:ascii="Arial" w:hAnsi="Arial" w:cs="Arial"/>
          <w:color w:val="000000"/>
          <w:sz w:val="20"/>
        </w:rPr>
        <w:t xml:space="preserve">[17] </w:t>
      </w:r>
      <w:r w:rsidR="00C23119">
        <w:rPr>
          <w:rFonts w:ascii="Arial" w:hAnsi="Arial" w:cs="Arial"/>
          <w:color w:val="000000"/>
          <w:sz w:val="20"/>
        </w:rPr>
        <w:t xml:space="preserve">“The </w:t>
      </w:r>
      <w:r w:rsidR="00C23119" w:rsidRPr="00C23119">
        <w:rPr>
          <w:rFonts w:ascii="Arial" w:hAnsi="Arial" w:cs="Arial"/>
          <w:i/>
          <w:color w:val="000000"/>
          <w:sz w:val="20"/>
        </w:rPr>
        <w:t>Open Courts Act</w:t>
      </w:r>
      <w:r w:rsidR="00C23119">
        <w:rPr>
          <w:rFonts w:ascii="Arial" w:hAnsi="Arial" w:cs="Arial"/>
          <w:color w:val="000000"/>
          <w:sz w:val="20"/>
        </w:rPr>
        <w:t xml:space="preserve"> recognises that a pseudonym order differs from other restrictions on open justice, such as suppression orders and closed court orders.  When a proceeding suppression order is made under s.17 of the </w:t>
      </w:r>
      <w:r w:rsidR="00C23119" w:rsidRPr="00C23119">
        <w:rPr>
          <w:rFonts w:ascii="Arial" w:hAnsi="Arial" w:cs="Arial"/>
          <w:i/>
          <w:color w:val="000000"/>
          <w:sz w:val="20"/>
        </w:rPr>
        <w:t>Open Courts Act</w:t>
      </w:r>
      <w:r w:rsidR="00C23119">
        <w:rPr>
          <w:rFonts w:ascii="Arial" w:hAnsi="Arial" w:cs="Arial"/>
          <w:color w:val="000000"/>
          <w:sz w:val="20"/>
        </w:rPr>
        <w:t xml:space="preserve">, it is necessary to comply with Part 3 of that Act.  The order I propose to make will not constitute a proceeding suppression order.  There will be no effect on the public nature of the proceedings and the ability of the media to fully report on proceedings will only be restricted on the issue of the identity of the proposed plaintiff and other individuals involved: see the comments in </w:t>
      </w:r>
      <w:r w:rsidR="00C23119" w:rsidRPr="007F5545">
        <w:rPr>
          <w:rFonts w:ascii="Arial" w:hAnsi="Arial" w:cs="Arial"/>
          <w:i/>
          <w:color w:val="000000"/>
          <w:sz w:val="20"/>
        </w:rPr>
        <w:t>X v Sydney Children’s Hospitals Special</w:t>
      </w:r>
      <w:r w:rsidR="007F5545" w:rsidRPr="007F5545">
        <w:rPr>
          <w:rFonts w:ascii="Arial" w:hAnsi="Arial" w:cs="Arial"/>
          <w:i/>
          <w:color w:val="000000"/>
          <w:sz w:val="20"/>
        </w:rPr>
        <w:t>i</w:t>
      </w:r>
      <w:r w:rsidR="00C23119" w:rsidRPr="007F5545">
        <w:rPr>
          <w:rFonts w:ascii="Arial" w:hAnsi="Arial" w:cs="Arial"/>
          <w:i/>
          <w:color w:val="000000"/>
          <w:sz w:val="20"/>
        </w:rPr>
        <w:t>ty Network</w:t>
      </w:r>
      <w:r w:rsidR="00C23119">
        <w:rPr>
          <w:rFonts w:ascii="Arial" w:hAnsi="Arial" w:cs="Arial"/>
          <w:color w:val="000000"/>
          <w:sz w:val="20"/>
        </w:rPr>
        <w:t xml:space="preserve"> </w:t>
      </w:r>
      <w:r w:rsidR="007F5545">
        <w:rPr>
          <w:rFonts w:ascii="Arial" w:hAnsi="Arial" w:cs="Arial"/>
          <w:color w:val="000000"/>
          <w:sz w:val="20"/>
        </w:rPr>
        <w:t xml:space="preserve">[2011] NSWSC 1272 [15] and </w:t>
      </w:r>
      <w:r w:rsidR="007F5545" w:rsidRPr="007F5545">
        <w:rPr>
          <w:rFonts w:ascii="Arial" w:hAnsi="Arial" w:cs="Arial"/>
          <w:i/>
          <w:color w:val="000000"/>
          <w:sz w:val="20"/>
        </w:rPr>
        <w:t>Witness v Marsden &amp; Anor</w:t>
      </w:r>
      <w:r w:rsidR="007F5545">
        <w:rPr>
          <w:rFonts w:ascii="Arial" w:hAnsi="Arial" w:cs="Arial"/>
          <w:color w:val="000000"/>
          <w:sz w:val="20"/>
        </w:rPr>
        <w:t xml:space="preserve"> (2000) 49 NSWLR 429.</w:t>
      </w:r>
      <w:r w:rsidR="00B3128C">
        <w:rPr>
          <w:rFonts w:ascii="Arial" w:hAnsi="Arial" w:cs="Arial"/>
          <w:color w:val="000000"/>
          <w:sz w:val="20"/>
        </w:rPr>
        <w:t xml:space="preserve">  The </w:t>
      </w:r>
      <w:r w:rsidR="007F5545">
        <w:rPr>
          <w:rFonts w:ascii="Arial" w:hAnsi="Arial" w:cs="Arial"/>
          <w:color w:val="000000"/>
          <w:sz w:val="20"/>
        </w:rPr>
        <w:t>order will not directly restrain conduct by publication, although a potential liability in contempt may arise on breach of the order [</w:t>
      </w:r>
      <w:r w:rsidR="007F5545" w:rsidRPr="007F5545">
        <w:rPr>
          <w:rFonts w:ascii="Arial" w:hAnsi="Arial" w:cs="Arial"/>
          <w:i/>
          <w:color w:val="000000"/>
          <w:sz w:val="20"/>
        </w:rPr>
        <w:t>AAA v BBB</w:t>
      </w:r>
      <w:r w:rsidR="007F5545">
        <w:rPr>
          <w:rFonts w:ascii="Arial" w:hAnsi="Arial" w:cs="Arial"/>
          <w:color w:val="000000"/>
          <w:sz w:val="20"/>
        </w:rPr>
        <w:t xml:space="preserve"> (unreported, Supreme Court of Victoria, Ashley J, 26/08/1994, 6</w:t>
      </w:r>
      <w:r w:rsidR="00B3128C">
        <w:rPr>
          <w:rFonts w:ascii="Arial" w:hAnsi="Arial" w:cs="Arial"/>
          <w:color w:val="000000"/>
          <w:sz w:val="20"/>
        </w:rPr>
        <w:noBreakHyphen/>
      </w:r>
      <w:r w:rsidR="007F5545">
        <w:rPr>
          <w:rFonts w:ascii="Arial" w:hAnsi="Arial" w:cs="Arial"/>
          <w:color w:val="000000"/>
          <w:sz w:val="20"/>
        </w:rPr>
        <w:t xml:space="preserve">7; </w:t>
      </w:r>
      <w:r w:rsidR="005601AA" w:rsidRPr="005601AA">
        <w:rPr>
          <w:rFonts w:ascii="Arial" w:hAnsi="Arial" w:cs="Arial"/>
          <w:i/>
          <w:color w:val="000000"/>
          <w:sz w:val="20"/>
        </w:rPr>
        <w:t>R v Savvas, Stevens &amp; Peisley</w:t>
      </w:r>
      <w:r w:rsidR="005601AA">
        <w:rPr>
          <w:rFonts w:ascii="Arial" w:hAnsi="Arial" w:cs="Arial"/>
          <w:color w:val="000000"/>
          <w:sz w:val="20"/>
        </w:rPr>
        <w:t xml:space="preserve"> (1989) 43 A Crim R 331; </w:t>
      </w:r>
      <w:r w:rsidR="005601AA" w:rsidRPr="005601AA">
        <w:rPr>
          <w:rFonts w:ascii="Arial" w:hAnsi="Arial" w:cs="Arial"/>
          <w:i/>
          <w:color w:val="000000"/>
          <w:sz w:val="20"/>
        </w:rPr>
        <w:t>Attorney-General for NSW v Mayas Pty Ltd</w:t>
      </w:r>
      <w:r w:rsidR="005601AA">
        <w:rPr>
          <w:rFonts w:ascii="Arial" w:hAnsi="Arial" w:cs="Arial"/>
          <w:color w:val="000000"/>
          <w:sz w:val="20"/>
        </w:rPr>
        <w:t xml:space="preserve"> (1988) 14 NSWLR 342,355</w:t>
      </w:r>
      <w:r w:rsidR="007F5545">
        <w:rPr>
          <w:rFonts w:ascii="Arial" w:hAnsi="Arial" w:cs="Arial"/>
          <w:color w:val="000000"/>
          <w:sz w:val="20"/>
        </w:rPr>
        <w:t xml:space="preserve">], but </w:t>
      </w:r>
      <w:r w:rsidR="007F5545" w:rsidRPr="007F5545">
        <w:rPr>
          <w:rFonts w:ascii="Arial" w:hAnsi="Arial" w:cs="Arial"/>
          <w:b/>
          <w:color w:val="000000"/>
          <w:sz w:val="20"/>
        </w:rPr>
        <w:t xml:space="preserve">no need arises for media proprietors to be heard in </w:t>
      </w:r>
      <w:r w:rsidR="007F5545" w:rsidRPr="007F5545">
        <w:rPr>
          <w:rFonts w:ascii="Arial" w:hAnsi="Arial" w:cs="Arial"/>
          <w:b/>
          <w:color w:val="000000"/>
          <w:sz w:val="20"/>
        </w:rPr>
        <w:lastRenderedPageBreak/>
        <w:t>respect of either the making or the revocation of the order.</w:t>
      </w:r>
      <w:r w:rsidR="007F5545">
        <w:rPr>
          <w:rFonts w:ascii="Arial" w:hAnsi="Arial" w:cs="Arial"/>
          <w:color w:val="000000"/>
          <w:sz w:val="20"/>
        </w:rPr>
        <w:t xml:space="preserve">  My order will be subject to any further order.</w:t>
      </w:r>
    </w:p>
    <w:p w14:paraId="2E726B9E" w14:textId="492EFCBA" w:rsidR="00802BEB" w:rsidRDefault="00340322" w:rsidP="00D057EA">
      <w:pPr>
        <w:spacing w:before="80"/>
        <w:ind w:left="567" w:right="567"/>
        <w:jc w:val="both"/>
        <w:rPr>
          <w:rFonts w:ascii="Arial" w:hAnsi="Arial" w:cs="Arial"/>
          <w:sz w:val="20"/>
          <w:szCs w:val="20"/>
        </w:rPr>
      </w:pPr>
      <w:r w:rsidRPr="00205731">
        <w:rPr>
          <w:rFonts w:ascii="Arial" w:hAnsi="Arial" w:cs="Arial"/>
          <w:color w:val="000000"/>
          <w:sz w:val="20"/>
          <w:szCs w:val="20"/>
        </w:rPr>
        <w:t xml:space="preserve">[18] At common law, the power to make pseudonym orders is well established: </w:t>
      </w:r>
      <w:r w:rsidR="00205731" w:rsidRPr="00205731">
        <w:rPr>
          <w:rFonts w:ascii="Arial" w:eastAsia="Book Antiqua" w:hAnsi="Arial" w:cs="Arial"/>
          <w:i/>
          <w:sz w:val="20"/>
          <w:szCs w:val="20"/>
        </w:rPr>
        <w:t>Witness v Marsden &amp; Anor</w:t>
      </w:r>
      <w:r w:rsidR="00205731" w:rsidRPr="00205731">
        <w:rPr>
          <w:rFonts w:ascii="Arial" w:hAnsi="Arial" w:cs="Arial"/>
          <w:sz w:val="20"/>
          <w:szCs w:val="20"/>
        </w:rPr>
        <w:t xml:space="preserve"> (2000) 49 NSWLR 429; </w:t>
      </w:r>
      <w:r w:rsidR="00205731" w:rsidRPr="00205731">
        <w:rPr>
          <w:rFonts w:ascii="Arial" w:eastAsia="Book Antiqua" w:hAnsi="Arial" w:cs="Arial"/>
          <w:i/>
          <w:sz w:val="20"/>
          <w:szCs w:val="20"/>
        </w:rPr>
        <w:t xml:space="preserve">R v Smith </w:t>
      </w:r>
      <w:r w:rsidR="00205731" w:rsidRPr="00205731">
        <w:rPr>
          <w:rFonts w:ascii="Arial" w:hAnsi="Arial" w:cs="Arial"/>
          <w:sz w:val="20"/>
          <w:szCs w:val="20"/>
        </w:rPr>
        <w:t xml:space="preserve">(1996) 86 A Crim R 308; </w:t>
      </w:r>
      <w:proofErr w:type="spellStart"/>
      <w:r w:rsidR="00205731" w:rsidRPr="00205731">
        <w:rPr>
          <w:rFonts w:ascii="Arial" w:eastAsia="Book Antiqua" w:hAnsi="Arial" w:cs="Arial"/>
          <w:i/>
          <w:sz w:val="20"/>
          <w:szCs w:val="20"/>
        </w:rPr>
        <w:t>Raybos</w:t>
      </w:r>
      <w:proofErr w:type="spellEnd"/>
      <w:r w:rsidR="00205731" w:rsidRPr="00205731">
        <w:rPr>
          <w:rFonts w:ascii="Arial" w:eastAsia="Book Antiqua" w:hAnsi="Arial" w:cs="Arial"/>
          <w:i/>
          <w:sz w:val="20"/>
          <w:szCs w:val="20"/>
        </w:rPr>
        <w:t xml:space="preserve"> Australia Pty Ltd v Jones</w:t>
      </w:r>
      <w:r w:rsidR="00205731" w:rsidRPr="00205731">
        <w:rPr>
          <w:rFonts w:ascii="Arial" w:hAnsi="Arial" w:cs="Arial"/>
          <w:sz w:val="20"/>
          <w:szCs w:val="20"/>
        </w:rPr>
        <w:t xml:space="preserve"> (1985) 2 NSWLR 47; </w:t>
      </w:r>
      <w:r w:rsidR="00205731" w:rsidRPr="00205731">
        <w:rPr>
          <w:rFonts w:ascii="Arial" w:eastAsia="Book Antiqua" w:hAnsi="Arial" w:cs="Arial"/>
          <w:i/>
          <w:sz w:val="20"/>
          <w:szCs w:val="20"/>
        </w:rPr>
        <w:t xml:space="preserve">John Fairfax Group Pty Ltd (receivers and managers </w:t>
      </w:r>
      <w:proofErr w:type="spellStart"/>
      <w:r w:rsidR="00205731" w:rsidRPr="00205731">
        <w:rPr>
          <w:rFonts w:ascii="Arial" w:eastAsia="Book Antiqua" w:hAnsi="Arial" w:cs="Arial"/>
          <w:i/>
          <w:sz w:val="20"/>
          <w:szCs w:val="20"/>
        </w:rPr>
        <w:t>apptd</w:t>
      </w:r>
      <w:proofErr w:type="spellEnd"/>
      <w:r w:rsidR="00205731" w:rsidRPr="00205731">
        <w:rPr>
          <w:rFonts w:ascii="Arial" w:eastAsia="Book Antiqua" w:hAnsi="Arial" w:cs="Arial"/>
          <w:i/>
          <w:sz w:val="20"/>
          <w:szCs w:val="20"/>
        </w:rPr>
        <w:t>) &amp; Anor v Local Court of NSW &amp; Ors</w:t>
      </w:r>
      <w:r w:rsidR="00205731" w:rsidRPr="00205731">
        <w:rPr>
          <w:rFonts w:ascii="Arial" w:hAnsi="Arial" w:cs="Arial"/>
          <w:sz w:val="20"/>
          <w:szCs w:val="20"/>
        </w:rPr>
        <w:t xml:space="preserve"> (1991) 26 NSWLR 131.</w:t>
      </w:r>
      <w:r w:rsidR="00205731">
        <w:rPr>
          <w:rFonts w:ascii="Arial" w:hAnsi="Arial" w:cs="Arial"/>
          <w:sz w:val="20"/>
          <w:szCs w:val="20"/>
        </w:rPr>
        <w:t xml:space="preserve">  One category of case</w:t>
      </w:r>
      <w:r w:rsidR="00BF4B80">
        <w:rPr>
          <w:rFonts w:ascii="Arial" w:hAnsi="Arial" w:cs="Arial"/>
          <w:sz w:val="20"/>
          <w:szCs w:val="20"/>
        </w:rPr>
        <w:t xml:space="preserve"> in which suppression, closed court and pseudonym orders are generally made to pr</w:t>
      </w:r>
      <w:r w:rsidR="00070668">
        <w:rPr>
          <w:rFonts w:ascii="Arial" w:hAnsi="Arial" w:cs="Arial"/>
          <w:sz w:val="20"/>
          <w:szCs w:val="20"/>
        </w:rPr>
        <w:t xml:space="preserve">event prejudice to the administration of justice are those where it is desirable </w:t>
      </w:r>
      <w:r w:rsidR="00977BB2">
        <w:rPr>
          <w:rFonts w:ascii="Arial" w:hAnsi="Arial" w:cs="Arial"/>
          <w:sz w:val="20"/>
          <w:szCs w:val="20"/>
        </w:rPr>
        <w:t xml:space="preserve">to protect </w:t>
      </w:r>
      <w:r w:rsidR="00977BB2" w:rsidRPr="00C2530F">
        <w:rPr>
          <w:rFonts w:ascii="Arial" w:hAnsi="Arial" w:cs="Arial"/>
          <w:sz w:val="20"/>
          <w:szCs w:val="20"/>
        </w:rPr>
        <w:t xml:space="preserve">the safety of persons who are to be litigants or witnesses in those proceedings: </w:t>
      </w:r>
      <w:r w:rsidR="00C2530F" w:rsidRPr="00C2530F">
        <w:rPr>
          <w:rFonts w:ascii="Arial" w:eastAsia="Book Antiqua" w:hAnsi="Arial" w:cs="Arial"/>
          <w:i/>
          <w:sz w:val="20"/>
          <w:szCs w:val="20"/>
        </w:rPr>
        <w:t xml:space="preserve">XG v Medical Practitioners Board of Victoria </w:t>
      </w:r>
      <w:r w:rsidR="00C2530F" w:rsidRPr="00C2530F">
        <w:rPr>
          <w:rFonts w:ascii="Arial" w:hAnsi="Arial" w:cs="Arial"/>
          <w:sz w:val="20"/>
          <w:szCs w:val="20"/>
        </w:rPr>
        <w:t xml:space="preserve">[2010] VSC 79; </w:t>
      </w:r>
      <w:r w:rsidR="00C2530F" w:rsidRPr="00C2530F">
        <w:rPr>
          <w:rFonts w:ascii="Arial" w:eastAsia="Book Antiqua" w:hAnsi="Arial" w:cs="Arial"/>
          <w:i/>
          <w:sz w:val="20"/>
          <w:szCs w:val="20"/>
        </w:rPr>
        <w:t xml:space="preserve">The Age Co Ltd &amp; Ors v Magistrates’ Court of Victoria &amp; Ors </w:t>
      </w:r>
      <w:r w:rsidR="00C2530F" w:rsidRPr="00C2530F">
        <w:rPr>
          <w:rFonts w:ascii="Arial" w:hAnsi="Arial" w:cs="Arial"/>
          <w:sz w:val="20"/>
          <w:szCs w:val="20"/>
        </w:rPr>
        <w:t>[2004] VSC 10;</w:t>
      </w:r>
      <w:r w:rsidR="00C2530F" w:rsidRPr="00C2530F">
        <w:rPr>
          <w:rFonts w:ascii="Arial" w:eastAsia="Book Antiqua" w:hAnsi="Arial" w:cs="Arial"/>
          <w:i/>
          <w:sz w:val="20"/>
          <w:szCs w:val="20"/>
        </w:rPr>
        <w:t xml:space="preserve"> Victorian Lawyers RPA Ltd v ‘X’ </w:t>
      </w:r>
      <w:r w:rsidR="00C2530F" w:rsidRPr="00C2530F">
        <w:rPr>
          <w:rFonts w:ascii="Arial" w:hAnsi="Arial" w:cs="Arial"/>
          <w:sz w:val="20"/>
          <w:szCs w:val="20"/>
        </w:rPr>
        <w:t xml:space="preserve">[2001] VSC 432; </w:t>
      </w:r>
      <w:r w:rsidR="00C2530F" w:rsidRPr="00C2530F">
        <w:rPr>
          <w:rFonts w:ascii="Arial" w:eastAsia="Book Antiqua" w:hAnsi="Arial" w:cs="Arial"/>
          <w:i/>
          <w:sz w:val="20"/>
          <w:szCs w:val="20"/>
        </w:rPr>
        <w:t>Witness v Marsden &amp; Anor</w:t>
      </w:r>
      <w:r w:rsidR="00C2530F" w:rsidRPr="00C2530F">
        <w:rPr>
          <w:rFonts w:ascii="Arial" w:hAnsi="Arial" w:cs="Arial"/>
          <w:sz w:val="20"/>
          <w:szCs w:val="20"/>
        </w:rPr>
        <w:t xml:space="preserve"> (2000) 49 NSWLR 429; </w:t>
      </w:r>
      <w:r w:rsidR="00C2530F" w:rsidRPr="00C2530F">
        <w:rPr>
          <w:rFonts w:ascii="Arial" w:eastAsia="Book Antiqua" w:hAnsi="Arial" w:cs="Arial"/>
          <w:i/>
          <w:sz w:val="20"/>
          <w:szCs w:val="20"/>
        </w:rPr>
        <w:t>R v Savvas, Stevens &amp; Peisley</w:t>
      </w:r>
      <w:r w:rsidR="00C2530F" w:rsidRPr="00C2530F">
        <w:rPr>
          <w:rFonts w:ascii="Arial" w:hAnsi="Arial" w:cs="Arial"/>
          <w:sz w:val="20"/>
          <w:szCs w:val="20"/>
        </w:rPr>
        <w:t xml:space="preserve"> (1989) 43 A Crim R 331.</w:t>
      </w:r>
      <w:r w:rsidR="0060767C">
        <w:rPr>
          <w:rFonts w:ascii="Arial" w:hAnsi="Arial" w:cs="Arial"/>
          <w:sz w:val="20"/>
          <w:szCs w:val="20"/>
        </w:rPr>
        <w:t xml:space="preserve">  In </w:t>
      </w:r>
      <w:r w:rsidR="0060767C" w:rsidRPr="0048396A">
        <w:rPr>
          <w:rFonts w:ascii="Arial" w:hAnsi="Arial" w:cs="Arial"/>
          <w:i/>
          <w:iCs/>
          <w:sz w:val="20"/>
          <w:szCs w:val="20"/>
        </w:rPr>
        <w:t>BK v ADB</w:t>
      </w:r>
      <w:r w:rsidR="0060767C">
        <w:rPr>
          <w:rFonts w:ascii="Arial" w:hAnsi="Arial" w:cs="Arial"/>
          <w:sz w:val="20"/>
          <w:szCs w:val="20"/>
        </w:rPr>
        <w:t xml:space="preserve"> [2003] VSC 129 at [10] Nettle J accepted that pseudonym orders may be made in</w:t>
      </w:r>
      <w:r w:rsidR="001477AD">
        <w:rPr>
          <w:rFonts w:ascii="Arial" w:hAnsi="Arial" w:cs="Arial"/>
          <w:color w:val="000000"/>
          <w:sz w:val="20"/>
        </w:rPr>
        <w:t>–</w:t>
      </w:r>
    </w:p>
    <w:p w14:paraId="00995A00" w14:textId="5F5E1743" w:rsidR="00442FB5" w:rsidRPr="0048396A" w:rsidRDefault="001477AD" w:rsidP="00442FB5">
      <w:pPr>
        <w:spacing w:before="80"/>
        <w:ind w:left="1021" w:right="1021"/>
        <w:jc w:val="both"/>
        <w:rPr>
          <w:rFonts w:ascii="Arial" w:hAnsi="Arial" w:cs="Arial"/>
          <w:sz w:val="18"/>
          <w:szCs w:val="18"/>
        </w:rPr>
      </w:pPr>
      <w:r w:rsidRPr="0048396A">
        <w:rPr>
          <w:rFonts w:ascii="Arial" w:hAnsi="Arial" w:cs="Arial"/>
          <w:sz w:val="18"/>
          <w:szCs w:val="18"/>
        </w:rPr>
        <w:t xml:space="preserve">a case where disclosure of the identity </w:t>
      </w:r>
      <w:r w:rsidR="0048396A">
        <w:rPr>
          <w:rFonts w:ascii="Arial" w:hAnsi="Arial" w:cs="Arial"/>
          <w:sz w:val="18"/>
          <w:szCs w:val="18"/>
        </w:rPr>
        <w:t>of the plaintiffs might be sufficient to deflect the plaintiffs from prosecuting their case; which is to say they might</w:t>
      </w:r>
      <w:r w:rsidR="00522070">
        <w:rPr>
          <w:rFonts w:ascii="Arial" w:hAnsi="Arial" w:cs="Arial"/>
          <w:sz w:val="18"/>
          <w:szCs w:val="18"/>
        </w:rPr>
        <w:t xml:space="preserve"> reasonably be deterred from bringing proceedings unless public disclosure of their identities could be prevented.</w:t>
      </w:r>
    </w:p>
    <w:p w14:paraId="1D2DF9D1" w14:textId="77777777" w:rsidR="00B72EE4" w:rsidRDefault="00802BEB" w:rsidP="00D057EA">
      <w:pPr>
        <w:spacing w:before="80"/>
        <w:ind w:left="567" w:right="567"/>
        <w:jc w:val="both"/>
        <w:rPr>
          <w:rFonts w:ascii="Arial" w:hAnsi="Arial" w:cs="Arial"/>
          <w:color w:val="000000"/>
          <w:sz w:val="20"/>
        </w:rPr>
      </w:pPr>
      <w:r>
        <w:rPr>
          <w:rFonts w:ascii="Arial" w:hAnsi="Arial" w:cs="Arial"/>
          <w:color w:val="000000"/>
          <w:sz w:val="20"/>
        </w:rPr>
        <w:t>[19] At common law, pseudonym orders in particu</w:t>
      </w:r>
      <w:r w:rsidR="00B72EE4">
        <w:rPr>
          <w:rFonts w:ascii="Arial" w:hAnsi="Arial" w:cs="Arial"/>
          <w:color w:val="000000"/>
          <w:sz w:val="20"/>
        </w:rPr>
        <w:t>lar have been made in the following categories of cases:</w:t>
      </w:r>
    </w:p>
    <w:p w14:paraId="357DB645" w14:textId="6C74A8BD" w:rsidR="00920460" w:rsidRPr="00FC26ED" w:rsidRDefault="00B72EE4" w:rsidP="00920460">
      <w:pPr>
        <w:ind w:left="924" w:right="567" w:hanging="357"/>
        <w:jc w:val="both"/>
        <w:rPr>
          <w:rFonts w:ascii="Arial" w:hAnsi="Arial" w:cs="Arial"/>
          <w:color w:val="000000"/>
          <w:sz w:val="20"/>
          <w:szCs w:val="20"/>
        </w:rPr>
      </w:pPr>
      <w:r w:rsidRPr="00FC26ED">
        <w:rPr>
          <w:rFonts w:ascii="Arial" w:hAnsi="Arial" w:cs="Arial"/>
          <w:color w:val="000000"/>
          <w:sz w:val="20"/>
          <w:szCs w:val="20"/>
        </w:rPr>
        <w:t>(a)</w:t>
      </w:r>
      <w:r w:rsidRPr="00FC26ED">
        <w:rPr>
          <w:rFonts w:ascii="Arial" w:hAnsi="Arial" w:cs="Arial"/>
          <w:color w:val="000000"/>
          <w:sz w:val="20"/>
          <w:szCs w:val="20"/>
        </w:rPr>
        <w:tab/>
      </w:r>
      <w:r w:rsidR="00920460" w:rsidRPr="00FC26ED">
        <w:rPr>
          <w:rFonts w:ascii="Arial" w:hAnsi="Arial" w:cs="Arial"/>
          <w:color w:val="000000"/>
          <w:sz w:val="20"/>
          <w:szCs w:val="20"/>
        </w:rPr>
        <w:t xml:space="preserve">when the plaintiff would reasonably be deterred from bringing proceedings without a pseudonym order: see </w:t>
      </w:r>
      <w:r w:rsidR="00FC26ED" w:rsidRPr="00FC26ED">
        <w:rPr>
          <w:rFonts w:ascii="Arial" w:hAnsi="Arial" w:cs="Arial"/>
          <w:color w:val="000000"/>
          <w:sz w:val="20"/>
          <w:szCs w:val="20"/>
        </w:rPr>
        <w:t xml:space="preserve">also </w:t>
      </w:r>
      <w:r w:rsidR="00FC26ED" w:rsidRPr="00FC26ED">
        <w:rPr>
          <w:rFonts w:ascii="Arial" w:eastAsia="Book Antiqua" w:hAnsi="Arial" w:cs="Arial"/>
          <w:i/>
          <w:sz w:val="20"/>
          <w:szCs w:val="20"/>
        </w:rPr>
        <w:t>ANN v ABC &amp; XYZ (No 1)</w:t>
      </w:r>
      <w:r w:rsidR="00FC26ED" w:rsidRPr="00FC26ED">
        <w:rPr>
          <w:rFonts w:ascii="Arial" w:hAnsi="Arial" w:cs="Arial"/>
          <w:sz w:val="20"/>
          <w:szCs w:val="20"/>
        </w:rPr>
        <w:t xml:space="preserve"> [2006] VSC 348; </w:t>
      </w:r>
      <w:r w:rsidR="00FC26ED" w:rsidRPr="00FC26ED">
        <w:rPr>
          <w:rFonts w:ascii="Arial" w:eastAsia="Book Antiqua" w:hAnsi="Arial" w:cs="Arial"/>
          <w:i/>
          <w:sz w:val="20"/>
          <w:szCs w:val="20"/>
        </w:rPr>
        <w:t>A v Peters</w:t>
      </w:r>
      <w:r w:rsidR="00FC26ED" w:rsidRPr="00FC26ED">
        <w:rPr>
          <w:rFonts w:ascii="Arial" w:hAnsi="Arial" w:cs="Arial"/>
          <w:sz w:val="20"/>
          <w:szCs w:val="20"/>
        </w:rPr>
        <w:t xml:space="preserve"> [2011] VSC 478; </w:t>
      </w:r>
      <w:r w:rsidR="00FC26ED" w:rsidRPr="00FC26ED">
        <w:rPr>
          <w:rFonts w:ascii="Arial" w:eastAsia="Book Antiqua" w:hAnsi="Arial" w:cs="Arial"/>
          <w:i/>
          <w:sz w:val="20"/>
          <w:szCs w:val="20"/>
        </w:rPr>
        <w:t>National Australia Bank Ltd v KRDV</w:t>
      </w:r>
      <w:r w:rsidR="00FC26ED" w:rsidRPr="00FC26ED">
        <w:rPr>
          <w:rFonts w:ascii="Arial" w:hAnsi="Arial" w:cs="Arial"/>
          <w:sz w:val="20"/>
          <w:szCs w:val="20"/>
        </w:rPr>
        <w:t xml:space="preserve"> (2012) 292 ALR 639; </w:t>
      </w:r>
      <w:r w:rsidR="00FC26ED" w:rsidRPr="00FC26ED">
        <w:rPr>
          <w:rFonts w:ascii="Arial" w:eastAsia="Book Antiqua" w:hAnsi="Arial" w:cs="Arial"/>
          <w:i/>
          <w:sz w:val="20"/>
          <w:szCs w:val="20"/>
        </w:rPr>
        <w:t>ABB (by her litigation guardian ABC) v D1</w:t>
      </w:r>
      <w:r w:rsidR="00FC26ED" w:rsidRPr="00FC26ED">
        <w:rPr>
          <w:rFonts w:ascii="Arial" w:hAnsi="Arial" w:cs="Arial"/>
          <w:sz w:val="20"/>
          <w:szCs w:val="20"/>
        </w:rPr>
        <w:t xml:space="preserve"> [2013] VSC 81; </w:t>
      </w:r>
      <w:r w:rsidR="00FC26ED" w:rsidRPr="00FC26ED">
        <w:rPr>
          <w:rFonts w:ascii="Arial" w:eastAsia="Book Antiqua" w:hAnsi="Arial" w:cs="Arial"/>
          <w:i/>
          <w:sz w:val="20"/>
          <w:szCs w:val="20"/>
        </w:rPr>
        <w:t xml:space="preserve">TTT &amp; JJJ </w:t>
      </w:r>
      <w:r w:rsidR="00FC26ED" w:rsidRPr="00FC26ED">
        <w:rPr>
          <w:rFonts w:ascii="Arial" w:hAnsi="Arial" w:cs="Arial"/>
          <w:sz w:val="20"/>
          <w:szCs w:val="20"/>
        </w:rPr>
        <w:t xml:space="preserve">v </w:t>
      </w:r>
      <w:r w:rsidR="00FC26ED" w:rsidRPr="00FC26ED">
        <w:rPr>
          <w:rFonts w:ascii="Arial" w:eastAsia="Book Antiqua" w:hAnsi="Arial" w:cs="Arial"/>
          <w:i/>
          <w:sz w:val="20"/>
          <w:szCs w:val="20"/>
        </w:rPr>
        <w:t>State of Victoria</w:t>
      </w:r>
      <w:r w:rsidR="00FC26ED" w:rsidRPr="00FC26ED">
        <w:rPr>
          <w:rFonts w:ascii="Arial" w:hAnsi="Arial" w:cs="Arial"/>
          <w:sz w:val="20"/>
          <w:szCs w:val="20"/>
        </w:rPr>
        <w:t xml:space="preserve"> [2013] VSC 162</w:t>
      </w:r>
      <w:r w:rsidR="008D06DB">
        <w:rPr>
          <w:rFonts w:ascii="Arial" w:hAnsi="Arial" w:cs="Arial"/>
          <w:sz w:val="20"/>
          <w:szCs w:val="20"/>
        </w:rPr>
        <w:t>;</w:t>
      </w:r>
    </w:p>
    <w:p w14:paraId="36438351" w14:textId="1796544E" w:rsidR="007F5545" w:rsidRDefault="00920460" w:rsidP="00920460">
      <w:pPr>
        <w:ind w:left="924" w:right="567" w:hanging="357"/>
        <w:jc w:val="both"/>
        <w:rPr>
          <w:rFonts w:ascii="Arial" w:hAnsi="Arial" w:cs="Arial"/>
          <w:color w:val="000000"/>
          <w:sz w:val="20"/>
        </w:rPr>
      </w:pPr>
      <w:r>
        <w:rPr>
          <w:rFonts w:ascii="Arial" w:hAnsi="Arial" w:cs="Arial"/>
          <w:color w:val="000000"/>
          <w:sz w:val="20"/>
        </w:rPr>
        <w:t>(b)</w:t>
      </w:r>
      <w:r>
        <w:rPr>
          <w:rFonts w:ascii="Arial" w:hAnsi="Arial" w:cs="Arial"/>
          <w:color w:val="000000"/>
          <w:sz w:val="20"/>
        </w:rPr>
        <w:tab/>
      </w:r>
      <w:r w:rsidR="006E4458">
        <w:rPr>
          <w:rFonts w:ascii="Arial" w:hAnsi="Arial" w:cs="Arial"/>
          <w:color w:val="000000"/>
          <w:sz w:val="20"/>
        </w:rPr>
        <w:t>when the defendant would reasonably be deterred from defending proceedings without a pseudonym order</w:t>
      </w:r>
      <w:r w:rsidR="00960F57">
        <w:rPr>
          <w:rFonts w:ascii="Arial" w:hAnsi="Arial" w:cs="Arial"/>
          <w:color w:val="000000"/>
          <w:sz w:val="20"/>
        </w:rPr>
        <w:t>;</w:t>
      </w:r>
    </w:p>
    <w:p w14:paraId="1A5059EB" w14:textId="0A4C45F4" w:rsidR="00960F57" w:rsidRDefault="00960F57" w:rsidP="00920460">
      <w:pPr>
        <w:ind w:left="924" w:right="567" w:hanging="357"/>
        <w:jc w:val="both"/>
        <w:rPr>
          <w:rFonts w:ascii="Arial" w:hAnsi="Arial" w:cs="Arial"/>
          <w:color w:val="000000"/>
          <w:sz w:val="20"/>
        </w:rPr>
      </w:pPr>
      <w:r>
        <w:rPr>
          <w:rFonts w:ascii="Arial" w:hAnsi="Arial" w:cs="Arial"/>
          <w:color w:val="000000"/>
          <w:sz w:val="20"/>
        </w:rPr>
        <w:t>(c)</w:t>
      </w:r>
      <w:r>
        <w:rPr>
          <w:rFonts w:ascii="Arial" w:hAnsi="Arial" w:cs="Arial"/>
          <w:color w:val="000000"/>
          <w:sz w:val="20"/>
        </w:rPr>
        <w:tab/>
        <w:t>cases involving sexual offences; and</w:t>
      </w:r>
    </w:p>
    <w:p w14:paraId="2DE4BA6C" w14:textId="0E6FCDA0" w:rsidR="00960F57" w:rsidRPr="007C64AE" w:rsidRDefault="00960F57" w:rsidP="00920460">
      <w:pPr>
        <w:ind w:left="924" w:right="567" w:hanging="357"/>
        <w:jc w:val="both"/>
        <w:rPr>
          <w:rFonts w:ascii="Arial" w:hAnsi="Arial" w:cs="Arial"/>
          <w:color w:val="000000"/>
          <w:sz w:val="20"/>
        </w:rPr>
      </w:pPr>
      <w:r>
        <w:rPr>
          <w:rFonts w:ascii="Arial" w:hAnsi="Arial" w:cs="Arial"/>
          <w:color w:val="000000"/>
          <w:sz w:val="20"/>
        </w:rPr>
        <w:t>(d)</w:t>
      </w:r>
      <w:r>
        <w:rPr>
          <w:rFonts w:ascii="Arial" w:hAnsi="Arial" w:cs="Arial"/>
          <w:color w:val="000000"/>
          <w:sz w:val="20"/>
        </w:rPr>
        <w:tab/>
        <w:t>cases involving children.”</w:t>
      </w:r>
    </w:p>
    <w:p w14:paraId="57119BE8" w14:textId="2F8A2D49" w:rsidR="00CA061D" w:rsidRDefault="00CA061D" w:rsidP="00061E5B">
      <w:pPr>
        <w:jc w:val="both"/>
        <w:rPr>
          <w:rFonts w:ascii="Arial" w:hAnsi="Arial" w:cs="Arial"/>
          <w:sz w:val="20"/>
        </w:rPr>
      </w:pPr>
    </w:p>
    <w:p w14:paraId="62F818B8" w14:textId="28452976" w:rsidR="00747E35" w:rsidRDefault="00747E35" w:rsidP="00061E5B">
      <w:pPr>
        <w:jc w:val="both"/>
        <w:rPr>
          <w:rFonts w:ascii="Arial" w:hAnsi="Arial" w:cs="Arial"/>
          <w:sz w:val="20"/>
        </w:rPr>
      </w:pPr>
      <w:r>
        <w:rPr>
          <w:rFonts w:ascii="Arial" w:hAnsi="Arial" w:cs="Arial"/>
          <w:sz w:val="20"/>
        </w:rPr>
        <w:t xml:space="preserve">In </w:t>
      </w:r>
      <w:r w:rsidRPr="00EB4495">
        <w:rPr>
          <w:rFonts w:ascii="Arial" w:hAnsi="Arial" w:cs="Arial"/>
          <w:i/>
          <w:iCs/>
          <w:sz w:val="20"/>
          <w:szCs w:val="20"/>
        </w:rPr>
        <w:t>Mokbel v The King</w:t>
      </w:r>
      <w:r>
        <w:rPr>
          <w:rFonts w:ascii="Arial" w:hAnsi="Arial" w:cs="Arial"/>
          <w:sz w:val="20"/>
          <w:szCs w:val="20"/>
        </w:rPr>
        <w:t xml:space="preserve"> [2023] VSCA 114 the Chief Commissioner of Police sought that 8 of 11 individuals be allocated fresh pseudonyms differing from those used in the Royal Commission into the Management of Police Informants</w:t>
      </w:r>
      <w:r w:rsidR="005A6305">
        <w:rPr>
          <w:rFonts w:ascii="Arial" w:hAnsi="Arial" w:cs="Arial"/>
          <w:sz w:val="20"/>
          <w:szCs w:val="20"/>
        </w:rPr>
        <w:t>.</w:t>
      </w:r>
      <w:r>
        <w:rPr>
          <w:rFonts w:ascii="Arial" w:hAnsi="Arial" w:cs="Arial"/>
          <w:sz w:val="20"/>
          <w:szCs w:val="20"/>
        </w:rPr>
        <w:t xml:space="preserve">  In refusing that application McCann JR discussed at [11]-[12] the </w:t>
      </w:r>
      <w:r w:rsidR="00C3300E">
        <w:rPr>
          <w:rFonts w:ascii="Arial" w:hAnsi="Arial" w:cs="Arial"/>
          <w:sz w:val="20"/>
          <w:szCs w:val="20"/>
        </w:rPr>
        <w:t>relevant law in relation to the making of pseudonym orders:</w:t>
      </w:r>
    </w:p>
    <w:p w14:paraId="5204E04F" w14:textId="00546731" w:rsidR="00C3300E" w:rsidRDefault="00C3300E" w:rsidP="00C3300E">
      <w:pPr>
        <w:spacing w:before="80"/>
        <w:ind w:left="567" w:right="567"/>
        <w:jc w:val="both"/>
        <w:rPr>
          <w:rFonts w:ascii="Arial" w:hAnsi="Arial" w:cs="Arial"/>
          <w:sz w:val="20"/>
          <w:szCs w:val="20"/>
        </w:rPr>
      </w:pPr>
      <w:r>
        <w:rPr>
          <w:rFonts w:ascii="Arial" w:hAnsi="Arial" w:cs="Arial"/>
          <w:color w:val="000000"/>
          <w:sz w:val="20"/>
        </w:rPr>
        <w:t>“Section 7(d) of t</w:t>
      </w:r>
      <w:r w:rsidRPr="00C3300E">
        <w:rPr>
          <w:rFonts w:ascii="Arial" w:hAnsi="Arial" w:cs="Arial"/>
          <w:sz w:val="20"/>
          <w:szCs w:val="20"/>
        </w:rPr>
        <w:t>he Open Courts Act 2013 does not limit or otherwise affect the making of an order concealing the identity of a person.</w:t>
      </w:r>
      <w:r>
        <w:rPr>
          <w:rFonts w:ascii="Arial" w:hAnsi="Arial" w:cs="Arial"/>
          <w:sz w:val="20"/>
          <w:szCs w:val="20"/>
        </w:rPr>
        <w:t xml:space="preserve">  </w:t>
      </w:r>
      <w:r w:rsidRPr="00C3300E">
        <w:rPr>
          <w:rFonts w:ascii="Arial" w:hAnsi="Arial" w:cs="Arial"/>
          <w:sz w:val="20"/>
          <w:szCs w:val="20"/>
        </w:rPr>
        <w:t xml:space="preserve">The power to make a pseudonym order is in the Court’s inherent jurisdiction. </w:t>
      </w:r>
      <w:r w:rsidR="005A6305">
        <w:rPr>
          <w:rFonts w:ascii="Arial" w:hAnsi="Arial" w:cs="Arial"/>
          <w:sz w:val="20"/>
          <w:szCs w:val="20"/>
        </w:rPr>
        <w:t xml:space="preserve"> </w:t>
      </w:r>
      <w:r w:rsidRPr="00C3300E">
        <w:rPr>
          <w:rFonts w:ascii="Arial" w:hAnsi="Arial" w:cs="Arial"/>
          <w:sz w:val="20"/>
          <w:szCs w:val="20"/>
        </w:rPr>
        <w:t>Before the Court will make such an order it needs to be satisfied that there is ‘a proper foundation which establishes that if the orders are not made, the administration of justice will be prejudiced’</w:t>
      </w:r>
      <w:r w:rsidR="00A751BE">
        <w:rPr>
          <w:rFonts w:ascii="Arial" w:hAnsi="Arial" w:cs="Arial"/>
          <w:sz w:val="20"/>
          <w:szCs w:val="20"/>
        </w:rPr>
        <w:t xml:space="preserve">: see </w:t>
      </w:r>
      <w:r w:rsidR="00A751BE" w:rsidRPr="00A751BE">
        <w:rPr>
          <w:rFonts w:ascii="Arial" w:hAnsi="Arial" w:cs="Arial"/>
          <w:i/>
          <w:iCs/>
          <w:sz w:val="20"/>
          <w:szCs w:val="20"/>
        </w:rPr>
        <w:t>Secretary Department of Justice and Regulation v Zhong (No 2)</w:t>
      </w:r>
      <w:r w:rsidR="00A751BE" w:rsidRPr="00C3300E">
        <w:rPr>
          <w:rFonts w:ascii="Arial" w:hAnsi="Arial" w:cs="Arial"/>
          <w:sz w:val="20"/>
          <w:szCs w:val="20"/>
        </w:rPr>
        <w:t xml:space="preserve"> [2017] VSCA 19</w:t>
      </w:r>
      <w:r w:rsidR="00A751BE">
        <w:rPr>
          <w:rFonts w:ascii="Arial" w:hAnsi="Arial" w:cs="Arial"/>
          <w:sz w:val="20"/>
          <w:szCs w:val="20"/>
        </w:rPr>
        <w:t xml:space="preserve"> at</w:t>
      </w:r>
      <w:r w:rsidR="00A751BE" w:rsidRPr="00C3300E">
        <w:rPr>
          <w:rFonts w:ascii="Arial" w:hAnsi="Arial" w:cs="Arial"/>
          <w:sz w:val="20"/>
          <w:szCs w:val="20"/>
        </w:rPr>
        <w:t xml:space="preserve"> [8].</w:t>
      </w:r>
      <w:r w:rsidR="00A751BE">
        <w:rPr>
          <w:rFonts w:ascii="Arial" w:hAnsi="Arial" w:cs="Arial"/>
          <w:sz w:val="20"/>
          <w:szCs w:val="20"/>
        </w:rPr>
        <w:t xml:space="preserve">  </w:t>
      </w:r>
      <w:r w:rsidR="00A751BE" w:rsidRPr="00C3300E">
        <w:rPr>
          <w:rFonts w:ascii="Arial" w:hAnsi="Arial" w:cs="Arial"/>
          <w:sz w:val="20"/>
          <w:szCs w:val="20"/>
        </w:rPr>
        <w:t>There must be ‘a demonstrable justification’ based on cogent evidence not merely an assertion based on expressed belief or opinion</w:t>
      </w:r>
      <w:r w:rsidR="00A751BE">
        <w:rPr>
          <w:rFonts w:ascii="Arial" w:hAnsi="Arial" w:cs="Arial"/>
          <w:sz w:val="20"/>
          <w:szCs w:val="20"/>
        </w:rPr>
        <w:t xml:space="preserve">: see </w:t>
      </w:r>
      <w:r w:rsidR="00A751BE" w:rsidRPr="00A751BE">
        <w:rPr>
          <w:rFonts w:ascii="Arial" w:hAnsi="Arial" w:cs="Arial"/>
          <w:i/>
          <w:iCs/>
          <w:sz w:val="20"/>
          <w:szCs w:val="20"/>
        </w:rPr>
        <w:t>PQR v Secretary, Department of Justice and Regulation (No 1)</w:t>
      </w:r>
      <w:r w:rsidR="00A751BE" w:rsidRPr="00C3300E">
        <w:rPr>
          <w:rFonts w:ascii="Arial" w:hAnsi="Arial" w:cs="Arial"/>
          <w:sz w:val="20"/>
          <w:szCs w:val="20"/>
        </w:rPr>
        <w:t xml:space="preserve"> [2017] VSCA 513 </w:t>
      </w:r>
      <w:r w:rsidR="00A751BE">
        <w:rPr>
          <w:rFonts w:ascii="Arial" w:hAnsi="Arial" w:cs="Arial"/>
          <w:sz w:val="20"/>
          <w:szCs w:val="20"/>
        </w:rPr>
        <w:t xml:space="preserve">at </w:t>
      </w:r>
      <w:r w:rsidR="00A751BE" w:rsidRPr="00C3300E">
        <w:rPr>
          <w:rFonts w:ascii="Arial" w:hAnsi="Arial" w:cs="Arial"/>
          <w:sz w:val="20"/>
          <w:szCs w:val="20"/>
        </w:rPr>
        <w:t xml:space="preserve">[73]; </w:t>
      </w:r>
      <w:r w:rsidR="00A751BE" w:rsidRPr="00A751BE">
        <w:rPr>
          <w:rFonts w:ascii="Arial" w:hAnsi="Arial" w:cs="Arial"/>
          <w:i/>
          <w:iCs/>
          <w:sz w:val="20"/>
          <w:szCs w:val="20"/>
        </w:rPr>
        <w:t>Zhong (No 2)</w:t>
      </w:r>
      <w:r w:rsidR="00A751BE" w:rsidRPr="00C3300E">
        <w:rPr>
          <w:rFonts w:ascii="Arial" w:hAnsi="Arial" w:cs="Arial"/>
          <w:sz w:val="20"/>
          <w:szCs w:val="20"/>
        </w:rPr>
        <w:t xml:space="preserve"> [2017] VSCA 19 </w:t>
      </w:r>
      <w:r w:rsidR="00A751BE">
        <w:rPr>
          <w:rFonts w:ascii="Arial" w:hAnsi="Arial" w:cs="Arial"/>
          <w:sz w:val="20"/>
          <w:szCs w:val="20"/>
        </w:rPr>
        <w:t xml:space="preserve">at </w:t>
      </w:r>
      <w:r w:rsidR="00A751BE" w:rsidRPr="00C3300E">
        <w:rPr>
          <w:rFonts w:ascii="Arial" w:hAnsi="Arial" w:cs="Arial"/>
          <w:sz w:val="20"/>
          <w:szCs w:val="20"/>
        </w:rPr>
        <w:t xml:space="preserve">[4] quoting </w:t>
      </w:r>
      <w:r w:rsidR="00A751BE" w:rsidRPr="00A751BE">
        <w:rPr>
          <w:rFonts w:ascii="Arial" w:hAnsi="Arial" w:cs="Arial"/>
          <w:i/>
          <w:iCs/>
          <w:sz w:val="20"/>
          <w:szCs w:val="20"/>
        </w:rPr>
        <w:t>ABC v D1; Ex parte The Herald &amp; Weekly Times Limited</w:t>
      </w:r>
      <w:r w:rsidR="00A751BE" w:rsidRPr="00C3300E">
        <w:rPr>
          <w:rFonts w:ascii="Arial" w:hAnsi="Arial" w:cs="Arial"/>
          <w:sz w:val="20"/>
          <w:szCs w:val="20"/>
        </w:rPr>
        <w:t xml:space="preserve"> [2007] VSC 480 </w:t>
      </w:r>
      <w:r w:rsidR="00A751BE">
        <w:rPr>
          <w:rFonts w:ascii="Arial" w:hAnsi="Arial" w:cs="Arial"/>
          <w:sz w:val="20"/>
          <w:szCs w:val="20"/>
        </w:rPr>
        <w:t xml:space="preserve">at </w:t>
      </w:r>
      <w:r w:rsidR="00A751BE" w:rsidRPr="00C3300E">
        <w:rPr>
          <w:rFonts w:ascii="Arial" w:hAnsi="Arial" w:cs="Arial"/>
          <w:sz w:val="20"/>
          <w:szCs w:val="20"/>
        </w:rPr>
        <w:t>[65]–[71].</w:t>
      </w:r>
    </w:p>
    <w:p w14:paraId="294F2B82" w14:textId="410775AD" w:rsidR="00A751BE" w:rsidRDefault="00A751BE" w:rsidP="00C3300E">
      <w:pPr>
        <w:spacing w:before="80"/>
        <w:ind w:left="567" w:right="567"/>
        <w:jc w:val="both"/>
        <w:rPr>
          <w:rFonts w:ascii="Arial" w:hAnsi="Arial" w:cs="Arial"/>
          <w:color w:val="000000"/>
          <w:sz w:val="20"/>
        </w:rPr>
      </w:pPr>
      <w:r w:rsidRPr="00C3300E">
        <w:rPr>
          <w:rFonts w:ascii="Arial" w:hAnsi="Arial" w:cs="Arial"/>
          <w:sz w:val="20"/>
          <w:szCs w:val="20"/>
        </w:rPr>
        <w:t>The categories of risk are not closed. The exceptions to the principle of open justice are many and varied and cannot be prescriptively identified</w:t>
      </w:r>
      <w:r>
        <w:rPr>
          <w:rFonts w:ascii="Arial" w:hAnsi="Arial" w:cs="Arial"/>
          <w:sz w:val="20"/>
          <w:szCs w:val="20"/>
        </w:rPr>
        <w:t xml:space="preserve">: </w:t>
      </w:r>
      <w:r w:rsidRPr="00A751BE">
        <w:rPr>
          <w:rFonts w:ascii="Arial" w:hAnsi="Arial" w:cs="Arial"/>
          <w:i/>
          <w:iCs/>
          <w:sz w:val="20"/>
          <w:szCs w:val="20"/>
        </w:rPr>
        <w:t>Zhong (No 2)</w:t>
      </w:r>
      <w:r w:rsidRPr="00C3300E">
        <w:rPr>
          <w:rFonts w:ascii="Arial" w:hAnsi="Arial" w:cs="Arial"/>
          <w:sz w:val="20"/>
          <w:szCs w:val="20"/>
        </w:rPr>
        <w:t xml:space="preserve"> </w:t>
      </w:r>
      <w:r>
        <w:rPr>
          <w:rFonts w:ascii="Arial" w:hAnsi="Arial" w:cs="Arial"/>
          <w:sz w:val="20"/>
          <w:szCs w:val="20"/>
        </w:rPr>
        <w:t xml:space="preserve">at </w:t>
      </w:r>
      <w:r w:rsidRPr="00C3300E">
        <w:rPr>
          <w:rFonts w:ascii="Arial" w:hAnsi="Arial" w:cs="Arial"/>
          <w:sz w:val="20"/>
          <w:szCs w:val="20"/>
        </w:rPr>
        <w:t>[4]. The test is whether it is necessary to make an order to prevent the frustration of the administration of justice</w:t>
      </w:r>
      <w:r>
        <w:rPr>
          <w:rFonts w:ascii="Arial" w:hAnsi="Arial" w:cs="Arial"/>
          <w:sz w:val="20"/>
          <w:szCs w:val="20"/>
        </w:rPr>
        <w:t xml:space="preserve">: see e.g. </w:t>
      </w:r>
      <w:r w:rsidRPr="00A751BE">
        <w:rPr>
          <w:rFonts w:ascii="Arial" w:hAnsi="Arial" w:cs="Arial"/>
          <w:i/>
          <w:iCs/>
          <w:sz w:val="20"/>
          <w:szCs w:val="20"/>
        </w:rPr>
        <w:t>ESB v Victoria</w:t>
      </w:r>
      <w:r w:rsidRPr="00C3300E">
        <w:rPr>
          <w:rFonts w:ascii="Arial" w:hAnsi="Arial" w:cs="Arial"/>
          <w:sz w:val="20"/>
          <w:szCs w:val="20"/>
        </w:rPr>
        <w:t xml:space="preserve"> [2010] VSC 479 </w:t>
      </w:r>
      <w:r>
        <w:rPr>
          <w:rFonts w:ascii="Arial" w:hAnsi="Arial" w:cs="Arial"/>
          <w:sz w:val="20"/>
          <w:szCs w:val="20"/>
        </w:rPr>
        <w:t xml:space="preserve">at </w:t>
      </w:r>
      <w:r w:rsidRPr="00C3300E">
        <w:rPr>
          <w:rFonts w:ascii="Arial" w:hAnsi="Arial" w:cs="Arial"/>
          <w:sz w:val="20"/>
          <w:szCs w:val="20"/>
        </w:rPr>
        <w:t xml:space="preserve">[12]; </w:t>
      </w:r>
      <w:r w:rsidRPr="00A751BE">
        <w:rPr>
          <w:rFonts w:ascii="Arial" w:hAnsi="Arial" w:cs="Arial"/>
          <w:i/>
          <w:iCs/>
          <w:sz w:val="20"/>
          <w:szCs w:val="20"/>
        </w:rPr>
        <w:t>AX &amp; Anor v Stern &amp; Anor</w:t>
      </w:r>
      <w:r w:rsidRPr="00C3300E">
        <w:rPr>
          <w:rFonts w:ascii="Arial" w:hAnsi="Arial" w:cs="Arial"/>
          <w:sz w:val="20"/>
          <w:szCs w:val="20"/>
        </w:rPr>
        <w:t xml:space="preserve"> [2008] VSC 400 at [12]; </w:t>
      </w:r>
      <w:r w:rsidRPr="00A751BE">
        <w:rPr>
          <w:rFonts w:ascii="Arial" w:hAnsi="Arial" w:cs="Arial"/>
          <w:i/>
          <w:iCs/>
          <w:sz w:val="20"/>
          <w:szCs w:val="20"/>
        </w:rPr>
        <w:t>ABC v D1</w:t>
      </w:r>
      <w:r w:rsidRPr="00C3300E">
        <w:rPr>
          <w:rFonts w:ascii="Arial" w:hAnsi="Arial" w:cs="Arial"/>
          <w:sz w:val="20"/>
          <w:szCs w:val="20"/>
        </w:rPr>
        <w:t xml:space="preserve"> [2007] VSC 480 </w:t>
      </w:r>
      <w:r>
        <w:rPr>
          <w:rFonts w:ascii="Arial" w:hAnsi="Arial" w:cs="Arial"/>
          <w:sz w:val="20"/>
          <w:szCs w:val="20"/>
        </w:rPr>
        <w:t xml:space="preserve">at </w:t>
      </w:r>
      <w:r w:rsidRPr="00C3300E">
        <w:rPr>
          <w:rFonts w:ascii="Arial" w:hAnsi="Arial" w:cs="Arial"/>
          <w:sz w:val="20"/>
          <w:szCs w:val="20"/>
        </w:rPr>
        <w:t>[42]–[60]. It follows that the issues for consideration are what is the risk and is the order is necessary.</w:t>
      </w:r>
      <w:r>
        <w:rPr>
          <w:rFonts w:ascii="Arial" w:hAnsi="Arial" w:cs="Arial"/>
          <w:sz w:val="20"/>
          <w:szCs w:val="20"/>
        </w:rPr>
        <w:t>”</w:t>
      </w:r>
    </w:p>
    <w:p w14:paraId="35FCDC60" w14:textId="1E316948" w:rsidR="00747E35" w:rsidRPr="005A6305" w:rsidRDefault="005A6305" w:rsidP="00A751BE">
      <w:pPr>
        <w:spacing w:before="80"/>
        <w:jc w:val="both"/>
        <w:rPr>
          <w:rFonts w:ascii="Arial" w:hAnsi="Arial" w:cs="Arial"/>
          <w:sz w:val="20"/>
          <w:szCs w:val="20"/>
        </w:rPr>
      </w:pPr>
      <w:r>
        <w:rPr>
          <w:rFonts w:ascii="Arial" w:hAnsi="Arial" w:cs="Arial"/>
          <w:sz w:val="20"/>
          <w:szCs w:val="20"/>
        </w:rPr>
        <w:t>Based on this legal analysis, h</w:t>
      </w:r>
      <w:r w:rsidR="00A751BE" w:rsidRPr="005A6305">
        <w:rPr>
          <w:rFonts w:ascii="Arial" w:hAnsi="Arial" w:cs="Arial"/>
          <w:sz w:val="20"/>
          <w:szCs w:val="20"/>
        </w:rPr>
        <w:t xml:space="preserve">er Honour concluded at </w:t>
      </w:r>
      <w:r w:rsidRPr="005A6305">
        <w:rPr>
          <w:rFonts w:ascii="Arial" w:hAnsi="Arial" w:cs="Arial"/>
          <w:sz w:val="20"/>
          <w:szCs w:val="20"/>
        </w:rPr>
        <w:t>[19]</w:t>
      </w:r>
      <w:r>
        <w:rPr>
          <w:rFonts w:ascii="Arial" w:hAnsi="Arial" w:cs="Arial"/>
          <w:sz w:val="20"/>
          <w:szCs w:val="20"/>
        </w:rPr>
        <w:t xml:space="preserve"> that risk will not be materially increased by using the already allocated pseudonyms and that orders for fresh </w:t>
      </w:r>
      <w:r w:rsidRPr="005A6305">
        <w:rPr>
          <w:rFonts w:ascii="Arial" w:hAnsi="Arial" w:cs="Arial"/>
          <w:sz w:val="20"/>
          <w:szCs w:val="20"/>
        </w:rPr>
        <w:t>pseudonyms are not necessary.</w:t>
      </w:r>
    </w:p>
    <w:p w14:paraId="32C1DEFC" w14:textId="41C45559" w:rsidR="00747E35" w:rsidRDefault="00747E35" w:rsidP="00061E5B">
      <w:pPr>
        <w:jc w:val="both"/>
        <w:rPr>
          <w:rFonts w:ascii="Arial" w:hAnsi="Arial" w:cs="Arial"/>
          <w:sz w:val="20"/>
        </w:rPr>
      </w:pPr>
    </w:p>
    <w:p w14:paraId="4329C4DC" w14:textId="22DC34C4" w:rsidR="002823A2" w:rsidRDefault="002823A2" w:rsidP="00061E5B">
      <w:pPr>
        <w:jc w:val="both"/>
        <w:rPr>
          <w:rFonts w:ascii="Arial" w:hAnsi="Arial" w:cs="Arial"/>
          <w:sz w:val="20"/>
        </w:rPr>
      </w:pPr>
      <w:r>
        <w:rPr>
          <w:rFonts w:ascii="Arial" w:hAnsi="Arial" w:cs="Arial"/>
          <w:sz w:val="20"/>
        </w:rPr>
        <w:t xml:space="preserve">In </w:t>
      </w:r>
      <w:r w:rsidR="003948EE">
        <w:rPr>
          <w:rFonts w:ascii="Arial" w:hAnsi="Arial" w:cs="Arial"/>
          <w:i/>
          <w:iCs/>
          <w:sz w:val="20"/>
          <w:szCs w:val="20"/>
        </w:rPr>
        <w:t>Marshall</w:t>
      </w:r>
      <w:r w:rsidRPr="005B346D">
        <w:rPr>
          <w:rFonts w:ascii="Arial" w:hAnsi="Arial" w:cs="Arial"/>
          <w:i/>
          <w:iCs/>
          <w:sz w:val="20"/>
          <w:szCs w:val="20"/>
        </w:rPr>
        <w:t xml:space="preserve"> v Independent Broad-based Anti-corruption Commission</w:t>
      </w:r>
      <w:r w:rsidRPr="005B346D">
        <w:rPr>
          <w:rFonts w:ascii="Arial" w:hAnsi="Arial" w:cs="Arial"/>
          <w:sz w:val="20"/>
          <w:szCs w:val="20"/>
        </w:rPr>
        <w:t xml:space="preserve"> </w:t>
      </w:r>
      <w:r>
        <w:rPr>
          <w:rFonts w:ascii="Arial" w:hAnsi="Arial" w:cs="Arial"/>
          <w:sz w:val="20"/>
          <w:szCs w:val="20"/>
        </w:rPr>
        <w:t>[2026] VSC 299</w:t>
      </w:r>
      <w:r w:rsidR="009E1306">
        <w:rPr>
          <w:rFonts w:ascii="Arial" w:hAnsi="Arial" w:cs="Arial"/>
          <w:sz w:val="20"/>
          <w:szCs w:val="20"/>
        </w:rPr>
        <w:t xml:space="preserve"> – in </w:t>
      </w:r>
      <w:r w:rsidR="009E1306">
        <w:rPr>
          <w:rFonts w:ascii="Arial" w:hAnsi="Arial" w:cs="Arial"/>
          <w:sz w:val="20"/>
        </w:rPr>
        <w:t>refusing the plaintiffs’ application for pseudonym orders – Harris J said at [20] &amp; [38]:</w:t>
      </w:r>
    </w:p>
    <w:p w14:paraId="763BE1A9" w14:textId="4B6C6AB8" w:rsidR="009E1306" w:rsidRPr="009E1306" w:rsidRDefault="009E1306" w:rsidP="009E1306">
      <w:pPr>
        <w:spacing w:before="60"/>
        <w:ind w:left="567" w:right="567"/>
        <w:jc w:val="both"/>
        <w:rPr>
          <w:rFonts w:ascii="Arial" w:hAnsi="Arial" w:cs="Arial"/>
          <w:sz w:val="20"/>
          <w:szCs w:val="20"/>
        </w:rPr>
      </w:pPr>
      <w:r>
        <w:rPr>
          <w:rFonts w:ascii="Arial" w:hAnsi="Arial" w:cs="Arial"/>
          <w:color w:val="000000"/>
          <w:sz w:val="20"/>
        </w:rPr>
        <w:t>[20] “</w:t>
      </w:r>
      <w:r w:rsidRPr="009E1306">
        <w:rPr>
          <w:rFonts w:ascii="Arial" w:hAnsi="Arial" w:cs="Arial"/>
          <w:sz w:val="20"/>
          <w:szCs w:val="20"/>
        </w:rPr>
        <w:t>It is clear that Court may also make pseudonym orders in the exercise of the inherent powers of the Court where it is necessary to avoid prejudice to the administration of justice</w:t>
      </w:r>
      <w:r>
        <w:rPr>
          <w:rFonts w:ascii="Arial" w:hAnsi="Arial" w:cs="Arial"/>
          <w:sz w:val="20"/>
          <w:szCs w:val="20"/>
        </w:rPr>
        <w:t xml:space="preserve">: </w:t>
      </w:r>
      <w:r w:rsidRPr="009E1306">
        <w:rPr>
          <w:rFonts w:ascii="Arial" w:eastAsia="Book Antiqua" w:hAnsi="Arial" w:cs="Arial"/>
          <w:bCs/>
          <w:i/>
          <w:sz w:val="20"/>
          <w:szCs w:val="20"/>
        </w:rPr>
        <w:t>ABC v D1</w:t>
      </w:r>
      <w:r w:rsidRPr="009E1306">
        <w:rPr>
          <w:rFonts w:ascii="Arial" w:hAnsi="Arial" w:cs="Arial"/>
          <w:bCs/>
          <w:sz w:val="20"/>
          <w:szCs w:val="20"/>
        </w:rPr>
        <w:t>;</w:t>
      </w:r>
      <w:r w:rsidRPr="009E1306">
        <w:rPr>
          <w:rFonts w:ascii="Arial" w:eastAsia="Book Antiqua" w:hAnsi="Arial" w:cs="Arial"/>
          <w:bCs/>
          <w:i/>
          <w:sz w:val="20"/>
          <w:szCs w:val="20"/>
        </w:rPr>
        <w:t xml:space="preserve"> Ex parte The Herald &amp; Weekly Times Limited</w:t>
      </w:r>
      <w:r w:rsidRPr="009E1306">
        <w:rPr>
          <w:rFonts w:ascii="Arial" w:hAnsi="Arial" w:cs="Arial"/>
          <w:bCs/>
          <w:sz w:val="20"/>
          <w:szCs w:val="20"/>
        </w:rPr>
        <w:t xml:space="preserve"> [2007] VSC 480 [4], cited in </w:t>
      </w:r>
      <w:r w:rsidRPr="009E1306">
        <w:rPr>
          <w:rFonts w:ascii="Arial" w:eastAsia="Book Antiqua" w:hAnsi="Arial" w:cs="Arial"/>
          <w:bCs/>
          <w:i/>
          <w:sz w:val="20"/>
          <w:szCs w:val="20"/>
        </w:rPr>
        <w:t xml:space="preserve">Secretary, Department of Justice and Regulation v Zhong (No 2) </w:t>
      </w:r>
      <w:r w:rsidRPr="009E1306">
        <w:rPr>
          <w:rFonts w:ascii="Arial" w:hAnsi="Arial" w:cs="Arial"/>
          <w:bCs/>
          <w:sz w:val="20"/>
          <w:szCs w:val="20"/>
        </w:rPr>
        <w:t>[2017] VSCA 19, [6]</w:t>
      </w:r>
      <w:r>
        <w:rPr>
          <w:rFonts w:ascii="Arial" w:hAnsi="Arial" w:cs="Arial"/>
          <w:bCs/>
          <w:sz w:val="20"/>
          <w:szCs w:val="20"/>
        </w:rPr>
        <w:t>.</w:t>
      </w:r>
      <w:r w:rsidRPr="009E1306">
        <w:rPr>
          <w:rFonts w:ascii="Arial" w:hAnsi="Arial" w:cs="Arial"/>
          <w:bCs/>
          <w:sz w:val="20"/>
          <w:szCs w:val="20"/>
        </w:rPr>
        <w:t xml:space="preserve"> The</w:t>
      </w:r>
      <w:r w:rsidRPr="009E1306">
        <w:rPr>
          <w:rFonts w:ascii="Arial" w:hAnsi="Arial" w:cs="Arial"/>
          <w:sz w:val="20"/>
          <w:szCs w:val="20"/>
        </w:rPr>
        <w:t xml:space="preserve"> making of a pseudonym order is not governed by the </w:t>
      </w:r>
      <w:r w:rsidRPr="009E1306">
        <w:rPr>
          <w:rFonts w:ascii="Arial" w:eastAsia="Book Antiqua" w:hAnsi="Arial" w:cs="Arial"/>
          <w:i/>
          <w:sz w:val="20"/>
          <w:szCs w:val="20"/>
        </w:rPr>
        <w:t>Open Courts Act</w:t>
      </w:r>
      <w:r w:rsidRPr="009E1306">
        <w:rPr>
          <w:rFonts w:ascii="Arial" w:hAnsi="Arial" w:cs="Arial"/>
          <w:sz w:val="20"/>
          <w:szCs w:val="20"/>
        </w:rPr>
        <w:t xml:space="preserve">. It is not a suppression order; it de-identifies a party </w:t>
      </w:r>
      <w:r w:rsidRPr="009E1306">
        <w:rPr>
          <w:rFonts w:ascii="Arial" w:eastAsia="Book Antiqua" w:hAnsi="Arial" w:cs="Arial"/>
          <w:sz w:val="20"/>
          <w:szCs w:val="20"/>
        </w:rPr>
        <w:t xml:space="preserve">but does not ‘prohibit or restrict the </w:t>
      </w:r>
      <w:r w:rsidRPr="009E1306">
        <w:rPr>
          <w:rFonts w:ascii="Arial" w:hAnsi="Arial" w:cs="Arial"/>
          <w:sz w:val="20"/>
          <w:szCs w:val="20"/>
        </w:rPr>
        <w:t xml:space="preserve">publication or </w:t>
      </w:r>
      <w:r w:rsidRPr="009E1306">
        <w:rPr>
          <w:rFonts w:ascii="Arial" w:hAnsi="Arial" w:cs="Arial"/>
          <w:sz w:val="20"/>
          <w:szCs w:val="20"/>
        </w:rPr>
        <w:lastRenderedPageBreak/>
        <w:t>other disclosure of information in connection with the proceeding</w:t>
      </w:r>
      <w:r w:rsidRPr="009E1306">
        <w:rPr>
          <w:rFonts w:ascii="Arial" w:eastAsia="Book Antiqua" w:hAnsi="Arial" w:cs="Arial"/>
          <w:sz w:val="20"/>
          <w:szCs w:val="20"/>
        </w:rPr>
        <w:t>’</w:t>
      </w:r>
      <w:r>
        <w:rPr>
          <w:rFonts w:ascii="Arial" w:eastAsia="Book Antiqua" w:hAnsi="Arial" w:cs="Arial"/>
          <w:sz w:val="20"/>
          <w:szCs w:val="20"/>
        </w:rPr>
        <w:t xml:space="preserve">: </w:t>
      </w:r>
      <w:r w:rsidRPr="009E1306">
        <w:rPr>
          <w:rFonts w:ascii="Arial" w:hAnsi="Arial" w:cs="Arial"/>
          <w:sz w:val="20"/>
          <w:szCs w:val="20"/>
        </w:rPr>
        <w:t>Within the meaning of s</w:t>
      </w:r>
      <w:r>
        <w:rPr>
          <w:rFonts w:ascii="Arial" w:hAnsi="Arial" w:cs="Arial"/>
          <w:sz w:val="20"/>
          <w:szCs w:val="20"/>
        </w:rPr>
        <w:t> </w:t>
      </w:r>
      <w:r w:rsidRPr="009E1306">
        <w:rPr>
          <w:rFonts w:ascii="Arial" w:hAnsi="Arial" w:cs="Arial"/>
          <w:sz w:val="20"/>
          <w:szCs w:val="20"/>
        </w:rPr>
        <w:t xml:space="preserve">7(a) of the </w:t>
      </w:r>
      <w:r w:rsidRPr="009E1306">
        <w:rPr>
          <w:rFonts w:ascii="Arial" w:eastAsia="Book Antiqua" w:hAnsi="Arial" w:cs="Arial"/>
          <w:i/>
          <w:sz w:val="20"/>
          <w:szCs w:val="20"/>
        </w:rPr>
        <w:t>Open Courts Act</w:t>
      </w:r>
      <w:r w:rsidRPr="009E1306">
        <w:rPr>
          <w:rFonts w:ascii="Arial" w:hAnsi="Arial" w:cs="Arial"/>
          <w:sz w:val="20"/>
          <w:szCs w:val="20"/>
        </w:rPr>
        <w:t xml:space="preserve">. See also </w:t>
      </w:r>
      <w:r w:rsidRPr="009E1306">
        <w:rPr>
          <w:rFonts w:ascii="Arial" w:eastAsia="Book Antiqua" w:hAnsi="Arial" w:cs="Arial"/>
          <w:i/>
          <w:sz w:val="20"/>
          <w:szCs w:val="20"/>
        </w:rPr>
        <w:t xml:space="preserve">Zhong </w:t>
      </w:r>
      <w:r w:rsidRPr="009E1306">
        <w:rPr>
          <w:rFonts w:ascii="Arial" w:hAnsi="Arial" w:cs="Arial"/>
          <w:sz w:val="20"/>
          <w:szCs w:val="20"/>
        </w:rPr>
        <w:t xml:space="preserve">at [3] and </w:t>
      </w:r>
      <w:r w:rsidRPr="009E1306">
        <w:rPr>
          <w:rFonts w:ascii="Arial" w:eastAsia="Book Antiqua" w:hAnsi="Arial" w:cs="Arial"/>
          <w:i/>
          <w:sz w:val="20"/>
          <w:szCs w:val="20"/>
        </w:rPr>
        <w:t>PQR</w:t>
      </w:r>
      <w:r w:rsidRPr="009E1306">
        <w:rPr>
          <w:rFonts w:ascii="Arial" w:hAnsi="Arial" w:cs="Arial"/>
          <w:sz w:val="20"/>
          <w:szCs w:val="20"/>
        </w:rPr>
        <w:t xml:space="preserve">, 54 [24]. </w:t>
      </w:r>
      <w:r>
        <w:rPr>
          <w:rFonts w:ascii="Arial" w:hAnsi="Arial" w:cs="Arial"/>
          <w:sz w:val="20"/>
          <w:szCs w:val="20"/>
        </w:rPr>
        <w:t xml:space="preserve">Section </w:t>
      </w:r>
      <w:r w:rsidRPr="009E1306">
        <w:rPr>
          <w:rFonts w:ascii="Arial" w:hAnsi="Arial" w:cs="Arial"/>
          <w:sz w:val="20"/>
          <w:szCs w:val="20"/>
        </w:rPr>
        <w:t>7(d)(i)</w:t>
      </w:r>
      <w:r>
        <w:rPr>
          <w:rFonts w:ascii="Arial" w:hAnsi="Arial" w:cs="Arial"/>
          <w:sz w:val="20"/>
          <w:szCs w:val="20"/>
        </w:rPr>
        <w:t xml:space="preserve"> of t</w:t>
      </w:r>
      <w:r w:rsidRPr="009E1306">
        <w:rPr>
          <w:rFonts w:ascii="Arial" w:hAnsi="Arial" w:cs="Arial"/>
          <w:sz w:val="20"/>
          <w:szCs w:val="20"/>
        </w:rPr>
        <w:t xml:space="preserve">he </w:t>
      </w:r>
      <w:r w:rsidRPr="009E1306">
        <w:rPr>
          <w:rFonts w:ascii="Arial" w:eastAsia="Book Antiqua" w:hAnsi="Arial" w:cs="Arial"/>
          <w:i/>
          <w:sz w:val="20"/>
          <w:szCs w:val="20"/>
        </w:rPr>
        <w:t>Open Courts Act</w:t>
      </w:r>
      <w:r w:rsidRPr="009E1306">
        <w:rPr>
          <w:rFonts w:ascii="Arial" w:hAnsi="Arial" w:cs="Arial"/>
          <w:sz w:val="20"/>
          <w:szCs w:val="20"/>
        </w:rPr>
        <w:t xml:space="preserve"> specifically provides that it does not limit or otherwise affect </w:t>
      </w:r>
      <w:r w:rsidRPr="009E1306">
        <w:rPr>
          <w:rFonts w:ascii="Arial" w:eastAsia="Book Antiqua" w:hAnsi="Arial" w:cs="Arial"/>
          <w:sz w:val="20"/>
          <w:szCs w:val="20"/>
        </w:rPr>
        <w:t xml:space="preserve">‘the </w:t>
      </w:r>
      <w:r w:rsidRPr="009E1306">
        <w:rPr>
          <w:rFonts w:ascii="Arial" w:hAnsi="Arial" w:cs="Arial"/>
          <w:sz w:val="20"/>
          <w:szCs w:val="20"/>
        </w:rPr>
        <w:t xml:space="preserve">making of an order or decision by a court or tribunal that </w:t>
      </w:r>
      <w:r w:rsidRPr="009E1306">
        <w:rPr>
          <w:rFonts w:ascii="Arial" w:eastAsia="Book Antiqua" w:hAnsi="Arial" w:cs="Arial"/>
          <w:sz w:val="20"/>
          <w:szCs w:val="20"/>
        </w:rPr>
        <w:t xml:space="preserve">… conceals the </w:t>
      </w:r>
      <w:r w:rsidRPr="009E1306">
        <w:rPr>
          <w:rFonts w:ascii="Arial" w:hAnsi="Arial" w:cs="Arial"/>
          <w:sz w:val="20"/>
          <w:szCs w:val="20"/>
        </w:rPr>
        <w:t xml:space="preserve">identity of a person by restricting the way </w:t>
      </w:r>
      <w:r w:rsidRPr="009E1306">
        <w:rPr>
          <w:rFonts w:ascii="Arial" w:eastAsia="Book Antiqua" w:hAnsi="Arial" w:cs="Arial"/>
          <w:sz w:val="20"/>
          <w:szCs w:val="20"/>
        </w:rPr>
        <w:t>the person is referred to in open court’.</w:t>
      </w:r>
      <w:r w:rsidRPr="009E1306">
        <w:rPr>
          <w:rFonts w:ascii="Arial" w:hAnsi="Arial" w:cs="Arial"/>
          <w:sz w:val="20"/>
          <w:szCs w:val="20"/>
        </w:rPr>
        <w:t xml:space="preserve"> It remains relevant, however, for the Court when considering whether a pseudonym order should be made to have regard to the primacy given by the </w:t>
      </w:r>
      <w:r w:rsidRPr="009E1306">
        <w:rPr>
          <w:rFonts w:ascii="Arial" w:eastAsia="Book Antiqua" w:hAnsi="Arial" w:cs="Arial"/>
          <w:i/>
          <w:sz w:val="20"/>
          <w:szCs w:val="20"/>
        </w:rPr>
        <w:t>Open Courts Act</w:t>
      </w:r>
      <w:r w:rsidRPr="009E1306">
        <w:rPr>
          <w:rFonts w:ascii="Arial" w:hAnsi="Arial" w:cs="Arial"/>
          <w:sz w:val="20"/>
          <w:szCs w:val="20"/>
        </w:rPr>
        <w:t xml:space="preserve"> to the principle of open justice, in s 4(1):</w:t>
      </w:r>
    </w:p>
    <w:p w14:paraId="229DDA08" w14:textId="389FEBD3" w:rsidR="009E1306" w:rsidRPr="009E1306" w:rsidRDefault="009E1306" w:rsidP="009E1306">
      <w:pPr>
        <w:spacing w:before="60"/>
        <w:ind w:left="1021" w:right="1021"/>
        <w:jc w:val="both"/>
        <w:rPr>
          <w:rFonts w:ascii="Arial" w:hAnsi="Arial" w:cs="Arial"/>
          <w:color w:val="000000"/>
          <w:sz w:val="18"/>
          <w:szCs w:val="22"/>
        </w:rPr>
      </w:pPr>
      <w:r w:rsidRPr="009E1306">
        <w:rPr>
          <w:rFonts w:ascii="Arial" w:hAnsi="Arial" w:cs="Arial"/>
          <w:sz w:val="18"/>
          <w:szCs w:val="18"/>
        </w:rPr>
        <w:t>A court or tribunal is to have regard to the primacy of the principle of open justice and the free communication and disclosure of information in determining whether to make a suppression order</w:t>
      </w:r>
      <w:r>
        <w:rPr>
          <w:rFonts w:ascii="Arial" w:hAnsi="Arial" w:cs="Arial"/>
          <w:sz w:val="18"/>
          <w:szCs w:val="18"/>
        </w:rPr>
        <w:t>.”</w:t>
      </w:r>
    </w:p>
    <w:p w14:paraId="57824CC6" w14:textId="7C3A7DA5" w:rsidR="002823A2" w:rsidRPr="009E1306" w:rsidRDefault="009E1306" w:rsidP="009E1306">
      <w:pPr>
        <w:spacing w:before="60"/>
        <w:ind w:left="567" w:right="567"/>
        <w:jc w:val="both"/>
        <w:rPr>
          <w:rFonts w:ascii="Arial" w:hAnsi="Arial" w:cs="Arial"/>
          <w:sz w:val="20"/>
          <w:szCs w:val="20"/>
        </w:rPr>
      </w:pPr>
      <w:r>
        <w:rPr>
          <w:rFonts w:ascii="Arial" w:hAnsi="Arial" w:cs="Arial"/>
          <w:sz w:val="20"/>
          <w:szCs w:val="20"/>
        </w:rPr>
        <w:t>[38] “</w:t>
      </w:r>
      <w:r w:rsidR="002823A2" w:rsidRPr="009E1306">
        <w:rPr>
          <w:rFonts w:ascii="Arial" w:hAnsi="Arial" w:cs="Arial"/>
          <w:sz w:val="20"/>
          <w:szCs w:val="20"/>
        </w:rPr>
        <w:t>For these reasons, I did not consider that the plaintiffs had established sufficient reason to limit the principles of open justice by making the pseudonym orders, in addition to the file confidentiality and closed court orders that I will make, and I refuse that application.</w:t>
      </w:r>
      <w:r>
        <w:rPr>
          <w:rFonts w:ascii="Arial" w:hAnsi="Arial" w:cs="Arial"/>
          <w:sz w:val="20"/>
          <w:szCs w:val="20"/>
        </w:rPr>
        <w:t>”</w:t>
      </w:r>
    </w:p>
    <w:p w14:paraId="0FBC629A" w14:textId="61252742" w:rsidR="002823A2" w:rsidRDefault="006F421C" w:rsidP="008E6784">
      <w:pPr>
        <w:spacing w:before="60"/>
        <w:jc w:val="both"/>
        <w:rPr>
          <w:rFonts w:ascii="Arial" w:hAnsi="Arial" w:cs="Arial"/>
          <w:sz w:val="20"/>
          <w:szCs w:val="20"/>
        </w:rPr>
      </w:pPr>
      <w:r>
        <w:rPr>
          <w:rFonts w:ascii="Arial" w:hAnsi="Arial" w:cs="Arial"/>
          <w:sz w:val="20"/>
          <w:szCs w:val="20"/>
        </w:rPr>
        <w:t xml:space="preserve">In </w:t>
      </w:r>
      <w:r w:rsidRPr="008E6784">
        <w:rPr>
          <w:rFonts w:ascii="Arial" w:hAnsi="Arial" w:cs="Arial"/>
          <w:i/>
          <w:iCs/>
          <w:sz w:val="20"/>
          <w:szCs w:val="20"/>
        </w:rPr>
        <w:t>XY (a pseudonym) v IBAC</w:t>
      </w:r>
      <w:r w:rsidRPr="008E6784">
        <w:rPr>
          <w:rFonts w:ascii="Arial" w:hAnsi="Arial" w:cs="Arial"/>
          <w:sz w:val="20"/>
          <w:szCs w:val="20"/>
        </w:rPr>
        <w:t xml:space="preserve"> [2026] VSCA 139</w:t>
      </w:r>
      <w:r>
        <w:rPr>
          <w:rFonts w:ascii="Arial" w:hAnsi="Arial" w:cs="Arial"/>
          <w:sz w:val="20"/>
          <w:szCs w:val="20"/>
        </w:rPr>
        <w:t xml:space="preserve"> the Court of Appeal refused </w:t>
      </w:r>
      <w:r w:rsidR="008E6784">
        <w:rPr>
          <w:rFonts w:ascii="Arial" w:hAnsi="Arial" w:cs="Arial"/>
          <w:sz w:val="20"/>
          <w:szCs w:val="20"/>
        </w:rPr>
        <w:t xml:space="preserve">leave to appeal </w:t>
      </w:r>
      <w:r>
        <w:rPr>
          <w:rFonts w:ascii="Arial" w:hAnsi="Arial" w:cs="Arial"/>
          <w:sz w:val="20"/>
          <w:szCs w:val="20"/>
        </w:rPr>
        <w:t>from the refusal of Harris J to make pseudonym orders in [2026] VSC 299, holding</w:t>
      </w:r>
      <w:r w:rsidR="008E6784">
        <w:rPr>
          <w:rFonts w:ascii="Arial" w:hAnsi="Arial" w:cs="Arial"/>
          <w:sz w:val="20"/>
          <w:szCs w:val="20"/>
        </w:rPr>
        <w:t xml:space="preserve"> that:</w:t>
      </w:r>
    </w:p>
    <w:p w14:paraId="442B9EF8" w14:textId="51A756D6" w:rsidR="008E6784" w:rsidRDefault="008E6784" w:rsidP="008E6784">
      <w:pPr>
        <w:pStyle w:val="ListParagraph"/>
        <w:numPr>
          <w:ilvl w:val="0"/>
          <w:numId w:val="58"/>
        </w:numPr>
        <w:ind w:left="357" w:hanging="357"/>
        <w:jc w:val="both"/>
        <w:rPr>
          <w:rFonts w:ascii="Arial" w:hAnsi="Arial" w:cs="Arial"/>
          <w:sz w:val="20"/>
        </w:rPr>
      </w:pPr>
      <w:r>
        <w:rPr>
          <w:rFonts w:ascii="Arial" w:hAnsi="Arial" w:cs="Arial"/>
          <w:sz w:val="20"/>
        </w:rPr>
        <w:t xml:space="preserve">the decision whether to make a pseudonym order involved an exercise of judicial discretion and accordingly the principles established in </w:t>
      </w:r>
      <w:r w:rsidRPr="008E6784">
        <w:rPr>
          <w:rFonts w:ascii="Arial" w:hAnsi="Arial" w:cs="Arial"/>
          <w:i/>
          <w:iCs/>
          <w:sz w:val="20"/>
        </w:rPr>
        <w:t>House v The</w:t>
      </w:r>
      <w:r>
        <w:rPr>
          <w:rFonts w:ascii="Arial" w:hAnsi="Arial" w:cs="Arial"/>
          <w:sz w:val="20"/>
        </w:rPr>
        <w:t xml:space="preserve"> King </w:t>
      </w:r>
      <w:r w:rsidRPr="008E6784">
        <w:rPr>
          <w:rFonts w:ascii="Arial" w:hAnsi="Arial" w:cs="Arial"/>
          <w:sz w:val="20"/>
        </w:rPr>
        <w:t>(1936) 55 CLR 499</w:t>
      </w:r>
      <w:r>
        <w:rPr>
          <w:rFonts w:ascii="Arial" w:hAnsi="Arial" w:cs="Arial"/>
          <w:sz w:val="20"/>
        </w:rPr>
        <w:t xml:space="preserve"> apply; and</w:t>
      </w:r>
    </w:p>
    <w:p w14:paraId="74C43B7B" w14:textId="43C6E22C" w:rsidR="008E6784" w:rsidRDefault="008E6784" w:rsidP="008E6784">
      <w:pPr>
        <w:pStyle w:val="ListParagraph"/>
        <w:numPr>
          <w:ilvl w:val="0"/>
          <w:numId w:val="58"/>
        </w:numPr>
        <w:ind w:left="357" w:hanging="357"/>
        <w:jc w:val="both"/>
        <w:rPr>
          <w:rFonts w:ascii="Arial" w:hAnsi="Arial" w:cs="Arial"/>
          <w:sz w:val="20"/>
        </w:rPr>
      </w:pPr>
      <w:r>
        <w:rPr>
          <w:rFonts w:ascii="Arial" w:hAnsi="Arial" w:cs="Arial"/>
          <w:sz w:val="20"/>
        </w:rPr>
        <w:t>a pseudonym order was not necessary to avoid prejudice to the administration of justice.</w:t>
      </w:r>
    </w:p>
    <w:p w14:paraId="78639B65" w14:textId="662238D5" w:rsidR="008E6784" w:rsidRPr="008E6784" w:rsidRDefault="008E6784" w:rsidP="00903D53">
      <w:pPr>
        <w:spacing w:before="60"/>
        <w:jc w:val="both"/>
        <w:rPr>
          <w:rFonts w:ascii="Arial" w:hAnsi="Arial" w:cs="Arial"/>
          <w:sz w:val="20"/>
        </w:rPr>
      </w:pPr>
      <w:r>
        <w:rPr>
          <w:rFonts w:ascii="Arial" w:hAnsi="Arial" w:cs="Arial"/>
          <w:sz w:val="20"/>
        </w:rPr>
        <w:t>At [18]-[19] Niall CJ, Beach JA &amp; Gray AJA said:</w:t>
      </w:r>
    </w:p>
    <w:p w14:paraId="7F54E20A" w14:textId="3BAD3C15" w:rsidR="00903D53" w:rsidRDefault="008E6784" w:rsidP="00903D53">
      <w:pPr>
        <w:spacing w:before="60"/>
        <w:ind w:left="567" w:right="567"/>
        <w:jc w:val="both"/>
        <w:rPr>
          <w:rFonts w:ascii="Arial" w:hAnsi="Arial" w:cs="Arial"/>
          <w:sz w:val="20"/>
        </w:rPr>
      </w:pPr>
      <w:r>
        <w:rPr>
          <w:rFonts w:ascii="Arial" w:hAnsi="Arial" w:cs="Arial"/>
          <w:sz w:val="20"/>
          <w:szCs w:val="20"/>
        </w:rPr>
        <w:t>[18] “…</w:t>
      </w:r>
      <w:r w:rsidRPr="008E6784">
        <w:rPr>
          <w:rFonts w:ascii="Arial" w:hAnsi="Arial" w:cs="Arial"/>
          <w:sz w:val="20"/>
        </w:rPr>
        <w:t xml:space="preserve">Although to say the Court has a power to make </w:t>
      </w:r>
      <w:r w:rsidR="00903D53">
        <w:rPr>
          <w:rFonts w:ascii="Arial" w:hAnsi="Arial" w:cs="Arial"/>
          <w:sz w:val="20"/>
        </w:rPr>
        <w:t>[a pseudonym]</w:t>
      </w:r>
      <w:r w:rsidRPr="008E6784">
        <w:rPr>
          <w:rFonts w:ascii="Arial" w:hAnsi="Arial" w:cs="Arial"/>
          <w:sz w:val="20"/>
        </w:rPr>
        <w:t xml:space="preserve"> order is not inaccurate, describing the power in that way risks overlooking its true source and character. As the judge explained, that power is not statutory but arises as an incident of the inherent jurisdiction or inherent powers of the Court</w:t>
      </w:r>
      <w:r w:rsidR="00903D53">
        <w:rPr>
          <w:rFonts w:ascii="Arial" w:hAnsi="Arial" w:cs="Arial"/>
          <w:sz w:val="20"/>
        </w:rPr>
        <w:t xml:space="preserve">: </w:t>
      </w:r>
      <w:r w:rsidR="00903D53" w:rsidRPr="00903D53">
        <w:rPr>
          <w:rFonts w:ascii="Arial" w:hAnsi="Arial" w:cs="Arial"/>
          <w:i/>
          <w:iCs/>
          <w:sz w:val="20"/>
        </w:rPr>
        <w:t>PT Bayan Resources TBK v BCBC Singapore Pte Ltd</w:t>
      </w:r>
      <w:r w:rsidR="00903D53" w:rsidRPr="008E6784">
        <w:rPr>
          <w:rFonts w:ascii="Arial" w:hAnsi="Arial" w:cs="Arial"/>
          <w:sz w:val="20"/>
        </w:rPr>
        <w:t xml:space="preserve"> (2015) 258 CLR 1, 17 [37]</w:t>
      </w:r>
      <w:r w:rsidRPr="008E6784">
        <w:rPr>
          <w:rFonts w:ascii="Arial" w:hAnsi="Arial" w:cs="Arial"/>
          <w:sz w:val="20"/>
        </w:rPr>
        <w:t>.</w:t>
      </w:r>
      <w:r w:rsidR="00903D53">
        <w:rPr>
          <w:rFonts w:ascii="Arial" w:hAnsi="Arial" w:cs="Arial"/>
          <w:sz w:val="20"/>
        </w:rPr>
        <w:t xml:space="preserve"> </w:t>
      </w:r>
      <w:r w:rsidRPr="008E6784">
        <w:rPr>
          <w:rFonts w:ascii="Arial" w:hAnsi="Arial" w:cs="Arial"/>
          <w:sz w:val="20"/>
        </w:rPr>
        <w:t>The Court does not have an inherent power to protect the reputation of parties nor to ameliorate the inevitable consequences that flow from having proceedings in open court as ends in themselves. Mere embarrassment, distress or invasion of privacy is insufficient to warrant the making of a pseudonym order</w:t>
      </w:r>
      <w:r w:rsidR="00903D53">
        <w:rPr>
          <w:rFonts w:ascii="Arial" w:hAnsi="Arial" w:cs="Arial"/>
          <w:sz w:val="20"/>
        </w:rPr>
        <w:t xml:space="preserve">: </w:t>
      </w:r>
      <w:r w:rsidR="00903D53" w:rsidRPr="00903D53">
        <w:rPr>
          <w:rFonts w:ascii="Arial" w:hAnsi="Arial" w:cs="Arial"/>
          <w:i/>
          <w:iCs/>
          <w:sz w:val="20"/>
        </w:rPr>
        <w:t>Secretary, Department of Justice and Regulation v Zhong [No 2]</w:t>
      </w:r>
      <w:r w:rsidR="00903D53" w:rsidRPr="00903D53">
        <w:rPr>
          <w:rFonts w:ascii="Arial" w:hAnsi="Arial" w:cs="Arial"/>
          <w:sz w:val="20"/>
        </w:rPr>
        <w:t xml:space="preserve"> [2017] VSCA 19, [8]</w:t>
      </w:r>
      <w:r w:rsidR="006F421C">
        <w:rPr>
          <w:rFonts w:ascii="Arial" w:hAnsi="Arial" w:cs="Arial"/>
          <w:sz w:val="20"/>
        </w:rPr>
        <w:t>-</w:t>
      </w:r>
      <w:r w:rsidR="00903D53" w:rsidRPr="00903D53">
        <w:rPr>
          <w:rFonts w:ascii="Arial" w:hAnsi="Arial" w:cs="Arial"/>
          <w:sz w:val="20"/>
        </w:rPr>
        <w:t xml:space="preserve">[9]; </w:t>
      </w:r>
      <w:r w:rsidR="00903D53" w:rsidRPr="00903D53">
        <w:rPr>
          <w:rFonts w:ascii="Arial" w:hAnsi="Arial" w:cs="Arial"/>
          <w:i/>
          <w:iCs/>
          <w:sz w:val="20"/>
        </w:rPr>
        <w:t>John Fairfax Group v Local Court of NSW</w:t>
      </w:r>
      <w:r w:rsidR="00903D53" w:rsidRPr="00903D53">
        <w:rPr>
          <w:rFonts w:ascii="Arial" w:hAnsi="Arial" w:cs="Arial"/>
          <w:sz w:val="20"/>
        </w:rPr>
        <w:t xml:space="preserve"> (1991) 26 NSWLR 131, 142– 3</w:t>
      </w:r>
      <w:r w:rsidR="00903D53">
        <w:rPr>
          <w:rFonts w:ascii="Arial" w:hAnsi="Arial" w:cs="Arial"/>
          <w:sz w:val="20"/>
        </w:rPr>
        <w:t>.</w:t>
      </w:r>
    </w:p>
    <w:p w14:paraId="4087FF57" w14:textId="5F5FC8A7" w:rsidR="008E6784" w:rsidRPr="00903D53" w:rsidRDefault="00903D53" w:rsidP="00903D53">
      <w:pPr>
        <w:spacing w:before="60"/>
        <w:ind w:left="567" w:right="567"/>
        <w:jc w:val="both"/>
        <w:rPr>
          <w:rFonts w:ascii="Arial" w:hAnsi="Arial" w:cs="Arial"/>
          <w:sz w:val="20"/>
          <w:szCs w:val="20"/>
        </w:rPr>
      </w:pPr>
      <w:r>
        <w:rPr>
          <w:rFonts w:ascii="Arial" w:hAnsi="Arial" w:cs="Arial"/>
          <w:sz w:val="20"/>
        </w:rPr>
        <w:t>[</w:t>
      </w:r>
      <w:r w:rsidR="008E6784" w:rsidRPr="008E6784">
        <w:rPr>
          <w:rFonts w:ascii="Arial" w:hAnsi="Arial" w:cs="Arial"/>
          <w:sz w:val="20"/>
        </w:rPr>
        <w:t>19</w:t>
      </w:r>
      <w:r>
        <w:rPr>
          <w:rFonts w:ascii="Arial" w:hAnsi="Arial" w:cs="Arial"/>
          <w:sz w:val="20"/>
        </w:rPr>
        <w:t>]</w:t>
      </w:r>
      <w:r w:rsidR="008E6784" w:rsidRPr="008E6784">
        <w:rPr>
          <w:rFonts w:ascii="Arial" w:hAnsi="Arial" w:cs="Arial"/>
          <w:sz w:val="20"/>
        </w:rPr>
        <w:t xml:space="preserve"> Rather, the inherent powers are those powers that are necessary for the administration of justice and the proper exercise of the court’s jurisdiction. It includes the power to make such orders as that Court may determine to be appropriate ‘to prevent the abuse or frustration of its process in relation to matters coming within its jurisdiction’</w:t>
      </w:r>
      <w:r>
        <w:rPr>
          <w:rFonts w:ascii="Arial" w:hAnsi="Arial" w:cs="Arial"/>
          <w:sz w:val="20"/>
        </w:rPr>
        <w:t xml:space="preserve">: </w:t>
      </w:r>
      <w:r w:rsidRPr="00903D53">
        <w:rPr>
          <w:rFonts w:ascii="Arial" w:hAnsi="Arial" w:cs="Arial"/>
          <w:i/>
          <w:iCs/>
          <w:sz w:val="20"/>
        </w:rPr>
        <w:t>PT Bayan</w:t>
      </w:r>
      <w:r w:rsidRPr="00903D53">
        <w:rPr>
          <w:rFonts w:ascii="Arial" w:hAnsi="Arial" w:cs="Arial"/>
          <w:sz w:val="20"/>
        </w:rPr>
        <w:t xml:space="preserve"> (2015) 258 CLR 1, 19 [43]; [2015] HCA 36, citing </w:t>
      </w:r>
      <w:r w:rsidRPr="00903D53">
        <w:rPr>
          <w:rFonts w:ascii="Arial" w:hAnsi="Arial" w:cs="Arial"/>
          <w:i/>
          <w:iCs/>
          <w:sz w:val="20"/>
        </w:rPr>
        <w:t>Jackson v Sterling Industries Ltd</w:t>
      </w:r>
      <w:r w:rsidRPr="00903D53">
        <w:rPr>
          <w:rFonts w:ascii="Arial" w:hAnsi="Arial" w:cs="Arial"/>
          <w:sz w:val="20"/>
        </w:rPr>
        <w:t xml:space="preserve"> (1987) 162 CLR 612, 623</w:t>
      </w:r>
      <w:r>
        <w:rPr>
          <w:rFonts w:ascii="Arial" w:hAnsi="Arial" w:cs="Arial"/>
          <w:sz w:val="20"/>
        </w:rPr>
        <w:t xml:space="preserve">. </w:t>
      </w:r>
      <w:r w:rsidR="008E6784" w:rsidRPr="008E6784">
        <w:rPr>
          <w:rFonts w:ascii="Arial" w:hAnsi="Arial" w:cs="Arial"/>
          <w:sz w:val="20"/>
        </w:rPr>
        <w:t>Injury to the interests of a party or non-party may be related to an interference with the administration of justice but they remain conceptually distinct.</w:t>
      </w:r>
      <w:r>
        <w:rPr>
          <w:rFonts w:ascii="Arial" w:hAnsi="Arial" w:cs="Arial"/>
          <w:sz w:val="20"/>
        </w:rPr>
        <w:t>”</w:t>
      </w:r>
    </w:p>
    <w:p w14:paraId="1E641389" w14:textId="77777777" w:rsidR="008E6784" w:rsidRPr="009E1306" w:rsidRDefault="008E6784" w:rsidP="00061E5B">
      <w:pPr>
        <w:jc w:val="both"/>
        <w:rPr>
          <w:rFonts w:ascii="Arial" w:hAnsi="Arial" w:cs="Arial"/>
          <w:sz w:val="20"/>
        </w:rPr>
      </w:pPr>
    </w:p>
    <w:p w14:paraId="7C8F11CC" w14:textId="1087A7B3" w:rsidR="003740C2" w:rsidRDefault="00E11477" w:rsidP="005C2F21">
      <w:pPr>
        <w:jc w:val="both"/>
        <w:rPr>
          <w:rFonts w:ascii="Arial" w:hAnsi="Arial" w:cs="Arial"/>
          <w:sz w:val="20"/>
          <w:szCs w:val="20"/>
        </w:rPr>
      </w:pPr>
      <w:r w:rsidRPr="007412B0">
        <w:rPr>
          <w:rFonts w:ascii="Arial" w:hAnsi="Arial" w:cs="Arial"/>
          <w:sz w:val="20"/>
          <w:szCs w:val="20"/>
        </w:rPr>
        <w:t xml:space="preserve">See also </w:t>
      </w:r>
      <w:r w:rsidR="00635F5B" w:rsidRPr="00635F5B">
        <w:rPr>
          <w:rFonts w:ascii="Arial" w:hAnsi="Arial" w:cs="Arial"/>
          <w:i/>
          <w:iCs/>
          <w:sz w:val="20"/>
          <w:szCs w:val="20"/>
        </w:rPr>
        <w:t>ABC-1 &amp; ABC-2 v Ring &amp; Ring</w:t>
      </w:r>
      <w:r w:rsidR="00635F5B">
        <w:rPr>
          <w:rFonts w:ascii="Arial" w:hAnsi="Arial" w:cs="Arial"/>
          <w:sz w:val="20"/>
          <w:szCs w:val="20"/>
        </w:rPr>
        <w:t xml:space="preserve"> [2014] VSC 5; </w:t>
      </w:r>
      <w:proofErr w:type="spellStart"/>
      <w:r w:rsidRPr="007412B0">
        <w:rPr>
          <w:rFonts w:ascii="Arial" w:hAnsi="Arial" w:cs="Arial"/>
          <w:i/>
          <w:sz w:val="20"/>
          <w:szCs w:val="20"/>
        </w:rPr>
        <w:t>Giurina</w:t>
      </w:r>
      <w:proofErr w:type="spellEnd"/>
      <w:r w:rsidRPr="007412B0">
        <w:rPr>
          <w:rFonts w:ascii="Arial" w:hAnsi="Arial" w:cs="Arial"/>
          <w:i/>
          <w:sz w:val="20"/>
          <w:szCs w:val="20"/>
        </w:rPr>
        <w:t xml:space="preserve"> v Giurina</w:t>
      </w:r>
      <w:r w:rsidRPr="007412B0">
        <w:rPr>
          <w:rFonts w:ascii="Arial" w:hAnsi="Arial" w:cs="Arial"/>
          <w:sz w:val="20"/>
          <w:szCs w:val="20"/>
        </w:rPr>
        <w:t xml:space="preserve"> [2018] VSC 599 at [24]-[32]</w:t>
      </w:r>
      <w:r w:rsidR="00FD01FF" w:rsidRPr="007412B0">
        <w:rPr>
          <w:rFonts w:ascii="Arial" w:hAnsi="Arial" w:cs="Arial"/>
          <w:sz w:val="20"/>
          <w:szCs w:val="20"/>
        </w:rPr>
        <w:t xml:space="preserve">; </w:t>
      </w:r>
      <w:r w:rsidR="00FD01FF" w:rsidRPr="007412B0">
        <w:rPr>
          <w:rFonts w:ascii="Arial" w:hAnsi="Arial" w:cs="Arial"/>
          <w:i/>
          <w:sz w:val="20"/>
          <w:szCs w:val="20"/>
        </w:rPr>
        <w:t>XBA (ex parte)</w:t>
      </w:r>
      <w:r w:rsidR="00FD01FF" w:rsidRPr="007412B0">
        <w:rPr>
          <w:rFonts w:ascii="Arial" w:hAnsi="Arial" w:cs="Arial"/>
          <w:sz w:val="20"/>
          <w:szCs w:val="20"/>
        </w:rPr>
        <w:t xml:space="preserve"> [2019] VSC 49 at [4]-[17]</w:t>
      </w:r>
      <w:r w:rsidR="00B1319F" w:rsidRPr="007412B0">
        <w:rPr>
          <w:rFonts w:ascii="Arial" w:hAnsi="Arial" w:cs="Arial"/>
          <w:sz w:val="20"/>
          <w:szCs w:val="20"/>
        </w:rPr>
        <w:t xml:space="preserve">; </w:t>
      </w:r>
      <w:r w:rsidR="00B1319F" w:rsidRPr="007412B0">
        <w:rPr>
          <w:rFonts w:ascii="Arial" w:hAnsi="Arial" w:cs="Arial"/>
          <w:i/>
          <w:color w:val="000000"/>
          <w:sz w:val="20"/>
          <w:szCs w:val="20"/>
        </w:rPr>
        <w:t>GHJ v Secretary to the Department of Justice and Community Safety</w:t>
      </w:r>
      <w:r w:rsidR="00B1319F" w:rsidRPr="007412B0">
        <w:rPr>
          <w:rFonts w:ascii="Arial" w:hAnsi="Arial" w:cs="Arial"/>
          <w:color w:val="000000"/>
          <w:sz w:val="20"/>
          <w:szCs w:val="20"/>
        </w:rPr>
        <w:t xml:space="preserve"> [2019] VSC 89</w:t>
      </w:r>
      <w:r w:rsidR="007412B0" w:rsidRPr="007412B0">
        <w:rPr>
          <w:rFonts w:ascii="Arial" w:hAnsi="Arial" w:cs="Arial"/>
          <w:color w:val="000000"/>
          <w:sz w:val="20"/>
          <w:szCs w:val="20"/>
        </w:rPr>
        <w:t xml:space="preserve">; </w:t>
      </w:r>
      <w:r w:rsidR="007412B0" w:rsidRPr="007412B0">
        <w:rPr>
          <w:rFonts w:ascii="Arial" w:hAnsi="Arial" w:cs="Arial"/>
          <w:i/>
          <w:iCs/>
          <w:color w:val="000000"/>
          <w:sz w:val="20"/>
          <w:szCs w:val="20"/>
        </w:rPr>
        <w:t>Jane Doe v XYZ</w:t>
      </w:r>
      <w:r w:rsidR="007412B0">
        <w:rPr>
          <w:rFonts w:ascii="Arial" w:hAnsi="Arial" w:cs="Arial"/>
          <w:color w:val="000000"/>
          <w:sz w:val="20"/>
          <w:szCs w:val="20"/>
        </w:rPr>
        <w:t xml:space="preserve"> [2019] VSC 176 at [9]; </w:t>
      </w:r>
      <w:r w:rsidR="007412B0" w:rsidRPr="007412B0">
        <w:rPr>
          <w:rFonts w:ascii="Arial" w:hAnsi="Arial" w:cs="Arial"/>
          <w:i/>
          <w:iCs/>
          <w:sz w:val="20"/>
          <w:szCs w:val="20"/>
        </w:rPr>
        <w:t>IJW v Swinburne University of Technology</w:t>
      </w:r>
      <w:r w:rsidR="007412B0" w:rsidRPr="007412B0">
        <w:rPr>
          <w:rFonts w:ascii="Arial" w:hAnsi="Arial" w:cs="Arial"/>
          <w:sz w:val="20"/>
          <w:szCs w:val="20"/>
        </w:rPr>
        <w:t xml:space="preserve"> [2021] VSC 846</w:t>
      </w:r>
      <w:r w:rsidR="007412B0">
        <w:rPr>
          <w:rFonts w:ascii="Arial" w:hAnsi="Arial" w:cs="Arial"/>
          <w:sz w:val="20"/>
          <w:szCs w:val="20"/>
        </w:rPr>
        <w:t xml:space="preserve"> at [31]-[42]</w:t>
      </w:r>
      <w:r w:rsidR="00E93486">
        <w:rPr>
          <w:rFonts w:ascii="Arial" w:hAnsi="Arial" w:cs="Arial"/>
          <w:sz w:val="20"/>
          <w:szCs w:val="20"/>
        </w:rPr>
        <w:t xml:space="preserve">; </w:t>
      </w:r>
      <w:r w:rsidR="00E93486" w:rsidRPr="00E93486">
        <w:rPr>
          <w:rFonts w:ascii="Arial" w:hAnsi="Arial" w:cs="Arial"/>
          <w:i/>
          <w:iCs/>
          <w:sz w:val="20"/>
          <w:szCs w:val="20"/>
        </w:rPr>
        <w:t>Karam v The Queen (Ruling No.2)</w:t>
      </w:r>
      <w:r w:rsidR="00E93486">
        <w:rPr>
          <w:rFonts w:ascii="Arial" w:hAnsi="Arial" w:cs="Arial"/>
          <w:sz w:val="20"/>
          <w:szCs w:val="20"/>
        </w:rPr>
        <w:t xml:space="preserve"> [2022] VSC 168</w:t>
      </w:r>
      <w:r w:rsidR="00EB4495">
        <w:rPr>
          <w:rFonts w:ascii="Arial" w:hAnsi="Arial" w:cs="Arial"/>
          <w:sz w:val="20"/>
          <w:szCs w:val="20"/>
        </w:rPr>
        <w:t>;</w:t>
      </w:r>
      <w:bookmarkStart w:id="447" w:name="_Hlk135822849"/>
      <w:r w:rsidR="00747E35">
        <w:rPr>
          <w:rFonts w:ascii="Arial" w:hAnsi="Arial" w:cs="Arial"/>
          <w:sz w:val="20"/>
          <w:szCs w:val="20"/>
        </w:rPr>
        <w:t>, esp. at [10]-[11]</w:t>
      </w:r>
      <w:r w:rsidR="009A1773">
        <w:rPr>
          <w:rFonts w:ascii="Arial" w:hAnsi="Arial" w:cs="Arial"/>
          <w:sz w:val="20"/>
          <w:szCs w:val="20"/>
        </w:rPr>
        <w:t xml:space="preserve">; </w:t>
      </w:r>
      <w:r w:rsidR="009A1773" w:rsidRPr="009A1773">
        <w:rPr>
          <w:rFonts w:ascii="Arial" w:hAnsi="Arial" w:cs="Arial"/>
          <w:i/>
          <w:iCs/>
          <w:sz w:val="20"/>
          <w:szCs w:val="20"/>
        </w:rPr>
        <w:t>Taylor v State of Victoria</w:t>
      </w:r>
      <w:r w:rsidR="009A1773">
        <w:rPr>
          <w:rFonts w:ascii="Arial" w:hAnsi="Arial" w:cs="Arial"/>
          <w:sz w:val="20"/>
          <w:szCs w:val="20"/>
        </w:rPr>
        <w:t xml:space="preserve"> [2023] VSC 320 at [9]-[27]</w:t>
      </w:r>
      <w:bookmarkEnd w:id="447"/>
      <w:r w:rsidR="009521F6">
        <w:rPr>
          <w:rFonts w:ascii="Arial" w:hAnsi="Arial" w:cs="Arial"/>
          <w:sz w:val="20"/>
          <w:szCs w:val="20"/>
        </w:rPr>
        <w:t xml:space="preserve">; </w:t>
      </w:r>
      <w:r w:rsidR="009521F6" w:rsidRPr="009521F6">
        <w:rPr>
          <w:rFonts w:ascii="Arial" w:hAnsi="Arial" w:cs="Arial"/>
          <w:i/>
          <w:iCs/>
          <w:sz w:val="20"/>
          <w:szCs w:val="20"/>
        </w:rPr>
        <w:t>Legal Services Commissioner v JXL</w:t>
      </w:r>
      <w:r w:rsidR="009521F6">
        <w:rPr>
          <w:rFonts w:ascii="Arial" w:hAnsi="Arial" w:cs="Arial"/>
          <w:sz w:val="20"/>
          <w:szCs w:val="20"/>
        </w:rPr>
        <w:t xml:space="preserve"> [2023] QSC 283 at [33]-[3</w:t>
      </w:r>
      <w:r w:rsidR="00491B07">
        <w:rPr>
          <w:rFonts w:ascii="Arial" w:hAnsi="Arial" w:cs="Arial"/>
          <w:sz w:val="20"/>
          <w:szCs w:val="20"/>
        </w:rPr>
        <w:t>6</w:t>
      </w:r>
      <w:r w:rsidR="009521F6">
        <w:rPr>
          <w:rFonts w:ascii="Arial" w:hAnsi="Arial" w:cs="Arial"/>
          <w:sz w:val="20"/>
          <w:szCs w:val="20"/>
        </w:rPr>
        <w:t>], [41]-[43] &amp; [54]-[66]</w:t>
      </w:r>
      <w:r w:rsidR="002275C3">
        <w:rPr>
          <w:rFonts w:ascii="Arial" w:hAnsi="Arial" w:cs="Arial"/>
          <w:sz w:val="20"/>
          <w:szCs w:val="20"/>
        </w:rPr>
        <w:t xml:space="preserve">; </w:t>
      </w:r>
      <w:bookmarkStart w:id="448" w:name="_Hlk158617881"/>
      <w:r w:rsidR="002275C3" w:rsidRPr="002275C3">
        <w:rPr>
          <w:rFonts w:ascii="Arial" w:hAnsi="Arial" w:cs="Arial"/>
          <w:i/>
          <w:iCs/>
          <w:sz w:val="20"/>
          <w:szCs w:val="20"/>
        </w:rPr>
        <w:t>Re Mokbel (Ruling No 1)</w:t>
      </w:r>
      <w:r w:rsidR="002275C3">
        <w:rPr>
          <w:rFonts w:ascii="Arial" w:hAnsi="Arial" w:cs="Arial"/>
          <w:sz w:val="20"/>
          <w:szCs w:val="20"/>
        </w:rPr>
        <w:t xml:space="preserve"> [2024] VSC 26 at [36]-[42]</w:t>
      </w:r>
      <w:r w:rsidR="004F293B">
        <w:rPr>
          <w:rFonts w:ascii="Arial" w:hAnsi="Arial" w:cs="Arial"/>
          <w:sz w:val="20"/>
          <w:szCs w:val="20"/>
        </w:rPr>
        <w:t xml:space="preserve">; </w:t>
      </w:r>
      <w:r w:rsidR="004F293B" w:rsidRPr="002559FB">
        <w:rPr>
          <w:rFonts w:ascii="Arial" w:hAnsi="Arial" w:cs="Arial"/>
          <w:i/>
          <w:iCs/>
          <w:sz w:val="20"/>
          <w:szCs w:val="20"/>
        </w:rPr>
        <w:t>Attorney-General v Temssah</w:t>
      </w:r>
      <w:r w:rsidR="004F293B" w:rsidRPr="002559FB">
        <w:rPr>
          <w:rFonts w:ascii="Arial" w:hAnsi="Arial" w:cs="Arial"/>
          <w:sz w:val="20"/>
          <w:szCs w:val="20"/>
        </w:rPr>
        <w:t xml:space="preserve"> [2024] VSC 172 at [</w:t>
      </w:r>
      <w:r w:rsidR="004F293B">
        <w:rPr>
          <w:rFonts w:ascii="Arial" w:hAnsi="Arial" w:cs="Arial"/>
          <w:sz w:val="20"/>
          <w:szCs w:val="20"/>
        </w:rPr>
        <w:t>33</w:t>
      </w:r>
      <w:r w:rsidR="004F293B" w:rsidRPr="002559FB">
        <w:rPr>
          <w:rFonts w:ascii="Arial" w:hAnsi="Arial" w:cs="Arial"/>
          <w:sz w:val="20"/>
          <w:szCs w:val="20"/>
        </w:rPr>
        <w:t>]-[</w:t>
      </w:r>
      <w:r w:rsidR="004F293B">
        <w:rPr>
          <w:rFonts w:ascii="Arial" w:hAnsi="Arial" w:cs="Arial"/>
          <w:sz w:val="20"/>
          <w:szCs w:val="20"/>
        </w:rPr>
        <w:t>34</w:t>
      </w:r>
      <w:r w:rsidR="004F293B" w:rsidRPr="002559FB">
        <w:rPr>
          <w:rFonts w:ascii="Arial" w:hAnsi="Arial" w:cs="Arial"/>
          <w:sz w:val="20"/>
          <w:szCs w:val="20"/>
        </w:rPr>
        <w:t>]</w:t>
      </w:r>
      <w:r w:rsidR="007910C0">
        <w:rPr>
          <w:rFonts w:ascii="Arial" w:hAnsi="Arial" w:cs="Arial"/>
          <w:sz w:val="20"/>
          <w:szCs w:val="20"/>
        </w:rPr>
        <w:t xml:space="preserve">; </w:t>
      </w:r>
      <w:r w:rsidR="007910C0" w:rsidRPr="00274B54">
        <w:rPr>
          <w:rFonts w:ascii="Arial" w:hAnsi="Arial" w:cs="Arial"/>
          <w:i/>
          <w:iCs/>
          <w:color w:val="000000"/>
          <w:sz w:val="20"/>
          <w:szCs w:val="20"/>
        </w:rPr>
        <w:t>Re Cardwell</w:t>
      </w:r>
      <w:r w:rsidR="007910C0">
        <w:rPr>
          <w:rFonts w:ascii="Arial" w:hAnsi="Arial" w:cs="Arial"/>
          <w:color w:val="000000"/>
          <w:sz w:val="20"/>
          <w:szCs w:val="20"/>
        </w:rPr>
        <w:t xml:space="preserve"> [2024] VSC 263 at [48]-[50]</w:t>
      </w:r>
      <w:r w:rsidR="00B36396">
        <w:rPr>
          <w:rFonts w:ascii="Arial" w:hAnsi="Arial" w:cs="Arial"/>
          <w:color w:val="000000"/>
          <w:sz w:val="20"/>
          <w:szCs w:val="20"/>
        </w:rPr>
        <w:t xml:space="preserve">; </w:t>
      </w:r>
      <w:r w:rsidR="00B36396">
        <w:rPr>
          <w:rFonts w:ascii="Arial" w:hAnsi="Arial" w:cs="Arial"/>
          <w:i/>
          <w:iCs/>
          <w:color w:val="000000"/>
          <w:sz w:val="20"/>
          <w:szCs w:val="20"/>
        </w:rPr>
        <w:t>Di</w:t>
      </w:r>
      <w:r w:rsidR="00B36396" w:rsidRPr="00B36396">
        <w:rPr>
          <w:rFonts w:ascii="Arial" w:hAnsi="Arial" w:cs="Arial"/>
          <w:i/>
          <w:iCs/>
          <w:color w:val="000000"/>
          <w:sz w:val="20"/>
          <w:szCs w:val="20"/>
        </w:rPr>
        <w:t>rector of Public Prosecutions v Murray</w:t>
      </w:r>
      <w:r w:rsidR="00B36396">
        <w:rPr>
          <w:rFonts w:ascii="Arial" w:hAnsi="Arial" w:cs="Arial"/>
          <w:color w:val="000000"/>
          <w:sz w:val="20"/>
          <w:szCs w:val="20"/>
        </w:rPr>
        <w:t xml:space="preserve"> [2025] VSC 275 at [</w:t>
      </w:r>
      <w:r w:rsidR="00E45BF8">
        <w:rPr>
          <w:rFonts w:ascii="Arial" w:hAnsi="Arial" w:cs="Arial"/>
          <w:color w:val="000000"/>
          <w:sz w:val="20"/>
          <w:szCs w:val="20"/>
        </w:rPr>
        <w:t>40</w:t>
      </w:r>
      <w:r w:rsidR="00B36396">
        <w:rPr>
          <w:rFonts w:ascii="Arial" w:hAnsi="Arial" w:cs="Arial"/>
          <w:color w:val="000000"/>
          <w:sz w:val="20"/>
          <w:szCs w:val="20"/>
        </w:rPr>
        <w:t>]-[</w:t>
      </w:r>
      <w:r w:rsidR="00E45BF8">
        <w:rPr>
          <w:rFonts w:ascii="Arial" w:hAnsi="Arial" w:cs="Arial"/>
          <w:color w:val="000000"/>
          <w:sz w:val="20"/>
          <w:szCs w:val="20"/>
        </w:rPr>
        <w:t>43</w:t>
      </w:r>
      <w:r w:rsidR="00B36396">
        <w:rPr>
          <w:rFonts w:ascii="Arial" w:hAnsi="Arial" w:cs="Arial"/>
          <w:color w:val="000000"/>
          <w:sz w:val="20"/>
          <w:szCs w:val="20"/>
        </w:rPr>
        <w:t>]</w:t>
      </w:r>
      <w:r w:rsidR="00E45BF8">
        <w:rPr>
          <w:rFonts w:ascii="Arial" w:hAnsi="Arial" w:cs="Arial"/>
          <w:color w:val="000000"/>
          <w:sz w:val="20"/>
          <w:szCs w:val="20"/>
        </w:rPr>
        <w:t xml:space="preserve"> &amp; [73]-[75]</w:t>
      </w:r>
      <w:bookmarkEnd w:id="448"/>
      <w:r w:rsidR="00A53522">
        <w:rPr>
          <w:rFonts w:ascii="Arial" w:hAnsi="Arial" w:cs="Arial"/>
          <w:color w:val="000000"/>
          <w:sz w:val="20"/>
          <w:szCs w:val="20"/>
        </w:rPr>
        <w:t xml:space="preserve">; </w:t>
      </w:r>
      <w:r w:rsidR="00A53522" w:rsidRPr="00A53522">
        <w:rPr>
          <w:rFonts w:ascii="Arial" w:hAnsi="Arial" w:cs="Arial"/>
          <w:i/>
          <w:iCs/>
          <w:color w:val="000000"/>
          <w:sz w:val="20"/>
          <w:szCs w:val="20"/>
        </w:rPr>
        <w:t>Re BG</w:t>
      </w:r>
      <w:r w:rsidR="00A53522">
        <w:rPr>
          <w:rFonts w:ascii="Arial" w:hAnsi="Arial" w:cs="Arial"/>
          <w:color w:val="000000"/>
          <w:sz w:val="20"/>
          <w:szCs w:val="20"/>
        </w:rPr>
        <w:t xml:space="preserve"> [2026] VSC 153 at [38]-[39]</w:t>
      </w:r>
      <w:r w:rsidR="003740C2">
        <w:rPr>
          <w:rFonts w:ascii="Arial" w:hAnsi="Arial" w:cs="Arial"/>
          <w:color w:val="000000"/>
          <w:sz w:val="20"/>
          <w:szCs w:val="20"/>
        </w:rPr>
        <w:t xml:space="preserve">; </w:t>
      </w:r>
      <w:r w:rsidR="003740C2" w:rsidRPr="003740C2">
        <w:rPr>
          <w:rFonts w:ascii="Arial" w:hAnsi="Arial" w:cs="Arial"/>
          <w:i/>
          <w:iCs/>
          <w:sz w:val="20"/>
          <w:szCs w:val="20"/>
        </w:rPr>
        <w:t>D’Aloia v The King</w:t>
      </w:r>
      <w:r w:rsidR="003740C2">
        <w:rPr>
          <w:rFonts w:ascii="Arial" w:hAnsi="Arial" w:cs="Arial"/>
          <w:sz w:val="20"/>
          <w:szCs w:val="20"/>
        </w:rPr>
        <w:t xml:space="preserve"> </w:t>
      </w:r>
      <w:r w:rsidR="003740C2" w:rsidRPr="003740C2">
        <w:rPr>
          <w:rFonts w:ascii="Arial" w:hAnsi="Arial" w:cs="Arial"/>
          <w:sz w:val="20"/>
          <w:szCs w:val="20"/>
        </w:rPr>
        <w:t>[2026] VSC 290</w:t>
      </w:r>
      <w:r w:rsidR="003740C2">
        <w:rPr>
          <w:rFonts w:ascii="Arial" w:hAnsi="Arial" w:cs="Arial"/>
          <w:sz w:val="20"/>
          <w:szCs w:val="20"/>
        </w:rPr>
        <w:t xml:space="preserve"> at [12]-[18]</w:t>
      </w:r>
      <w:r w:rsidR="00FC6C22">
        <w:rPr>
          <w:rFonts w:ascii="Arial" w:hAnsi="Arial" w:cs="Arial"/>
          <w:sz w:val="20"/>
          <w:szCs w:val="20"/>
        </w:rPr>
        <w:t xml:space="preserve">; </w:t>
      </w:r>
      <w:r w:rsidR="00FC6C22" w:rsidRPr="00FC6C22">
        <w:rPr>
          <w:rFonts w:ascii="Arial" w:hAnsi="Arial" w:cs="Arial"/>
          <w:i/>
          <w:iCs/>
          <w:sz w:val="20"/>
          <w:szCs w:val="20"/>
        </w:rPr>
        <w:t>WEQ v Medical Board of Australia</w:t>
      </w:r>
      <w:r w:rsidR="00FC6C22">
        <w:rPr>
          <w:rFonts w:ascii="Arial" w:hAnsi="Arial" w:cs="Arial"/>
          <w:sz w:val="20"/>
          <w:szCs w:val="20"/>
        </w:rPr>
        <w:t xml:space="preserve"> [2026] VSC 463* at [96]-[99].</w:t>
      </w:r>
    </w:p>
    <w:p w14:paraId="7E2CC3F7" w14:textId="35068F3D" w:rsidR="00EB4495" w:rsidRDefault="00EB4495" w:rsidP="00CE404E">
      <w:pPr>
        <w:jc w:val="both"/>
        <w:rPr>
          <w:rFonts w:ascii="Arial" w:hAnsi="Arial" w:cs="Arial"/>
          <w:sz w:val="20"/>
          <w:szCs w:val="20"/>
        </w:rPr>
      </w:pPr>
    </w:p>
    <w:p w14:paraId="79CE359B" w14:textId="77777777" w:rsidR="00CA061D" w:rsidRDefault="00CA061D" w:rsidP="00CA061D">
      <w:pPr>
        <w:pStyle w:val="Heading3"/>
        <w:keepNext/>
        <w:keepLines/>
        <w:spacing w:after="120" w:line="240" w:lineRule="auto"/>
        <w:rPr>
          <w:rFonts w:ascii="Arial" w:hAnsi="Arial" w:cs="Arial"/>
          <w:b/>
          <w:bCs/>
          <w:sz w:val="20"/>
        </w:rPr>
      </w:pPr>
      <w:bookmarkStart w:id="449" w:name="_2.7.4_Media_applications"/>
      <w:bookmarkEnd w:id="449"/>
      <w:r>
        <w:rPr>
          <w:rFonts w:ascii="Arial" w:hAnsi="Arial" w:cs="Arial"/>
          <w:b/>
          <w:bCs/>
          <w:sz w:val="20"/>
        </w:rPr>
        <w:t>2.7.4</w:t>
      </w:r>
      <w:r>
        <w:rPr>
          <w:rFonts w:ascii="Arial" w:hAnsi="Arial" w:cs="Arial"/>
          <w:b/>
          <w:bCs/>
          <w:sz w:val="20"/>
        </w:rPr>
        <w:tab/>
        <w:t>Media applications for copies of court documents</w:t>
      </w:r>
      <w:r w:rsidR="00F97751">
        <w:rPr>
          <w:rFonts w:ascii="Arial" w:hAnsi="Arial" w:cs="Arial"/>
          <w:b/>
          <w:bCs/>
          <w:sz w:val="20"/>
        </w:rPr>
        <w:t xml:space="preserve"> in Criminal Division cases</w:t>
      </w:r>
    </w:p>
    <w:p w14:paraId="76EB85D9" w14:textId="69B7F41F" w:rsidR="0099635D" w:rsidRDefault="0099635D" w:rsidP="0099635D">
      <w:pPr>
        <w:jc w:val="both"/>
        <w:rPr>
          <w:rFonts w:ascii="Arial" w:hAnsi="Arial" w:cs="Arial"/>
          <w:color w:val="000000"/>
          <w:sz w:val="20"/>
        </w:rPr>
      </w:pPr>
      <w:r>
        <w:rPr>
          <w:rFonts w:ascii="Arial" w:hAnsi="Arial" w:cs="Arial"/>
          <w:color w:val="000000"/>
          <w:sz w:val="20"/>
        </w:rPr>
        <w:t xml:space="preserve">A protocol regarding media access to certain documents in cases in the </w:t>
      </w:r>
      <w:r w:rsidR="00B6304A">
        <w:rPr>
          <w:rFonts w:ascii="Arial" w:hAnsi="Arial" w:cs="Arial"/>
          <w:color w:val="000000"/>
          <w:sz w:val="20"/>
        </w:rPr>
        <w:t xml:space="preserve">Criminal Division of the Children’s Court </w:t>
      </w:r>
      <w:r>
        <w:rPr>
          <w:rFonts w:ascii="Arial" w:hAnsi="Arial" w:cs="Arial"/>
          <w:color w:val="000000"/>
          <w:sz w:val="20"/>
        </w:rPr>
        <w:t>has been developed by the court.  Journalists making applications for access to materials are generally required to file a completed “Application for Access to Material” form which also contains a 6 point undertaking to be given by the journalist in the event that materials are released.  A</w:t>
      </w:r>
      <w:r w:rsidR="00754459">
        <w:rPr>
          <w:rFonts w:ascii="Arial" w:hAnsi="Arial" w:cs="Arial"/>
          <w:color w:val="000000"/>
          <w:sz w:val="20"/>
        </w:rPr>
        <w:t> </w:t>
      </w:r>
      <w:r>
        <w:rPr>
          <w:rFonts w:ascii="Arial" w:hAnsi="Arial" w:cs="Arial"/>
          <w:color w:val="000000"/>
          <w:sz w:val="20"/>
        </w:rPr>
        <w:t>copy of this Application form can be downloaded from the Children’s Court website by tabbing “</w:t>
      </w:r>
      <w:r w:rsidR="009958D2">
        <w:rPr>
          <w:rFonts w:ascii="Arial" w:hAnsi="Arial" w:cs="Arial"/>
          <w:color w:val="000000"/>
          <w:sz w:val="20"/>
        </w:rPr>
        <w:t>Form</w:t>
      </w:r>
      <w:r>
        <w:rPr>
          <w:rFonts w:ascii="Arial" w:hAnsi="Arial" w:cs="Arial"/>
          <w:color w:val="000000"/>
          <w:sz w:val="20"/>
        </w:rPr>
        <w:t xml:space="preserve">s” </w:t>
      </w:r>
      <w:r>
        <w:rPr>
          <w:rFonts w:ascii="Arial" w:hAnsi="Arial" w:cs="Arial"/>
          <w:color w:val="000000"/>
          <w:sz w:val="20"/>
        </w:rPr>
        <w:sym w:font="Wingdings" w:char="F0E8"/>
      </w:r>
      <w:r>
        <w:rPr>
          <w:rFonts w:ascii="Arial" w:hAnsi="Arial" w:cs="Arial"/>
          <w:color w:val="000000"/>
          <w:sz w:val="20"/>
        </w:rPr>
        <w:t xml:space="preserve"> “</w:t>
      </w:r>
      <w:r w:rsidR="009958D2">
        <w:rPr>
          <w:rFonts w:ascii="Arial" w:hAnsi="Arial" w:cs="Arial"/>
          <w:color w:val="000000"/>
          <w:sz w:val="20"/>
        </w:rPr>
        <w:t>General</w:t>
      </w:r>
      <w:r w:rsidR="00384A15">
        <w:rPr>
          <w:rFonts w:ascii="Arial" w:hAnsi="Arial" w:cs="Arial"/>
          <w:color w:val="000000"/>
          <w:sz w:val="20"/>
        </w:rPr>
        <w:t xml:space="preserve"> Forms</w:t>
      </w:r>
      <w:r>
        <w:rPr>
          <w:rFonts w:ascii="Arial" w:hAnsi="Arial" w:cs="Arial"/>
          <w:color w:val="000000"/>
          <w:sz w:val="20"/>
        </w:rPr>
        <w:t xml:space="preserve">” </w:t>
      </w:r>
      <w:r>
        <w:rPr>
          <w:rFonts w:ascii="Arial" w:hAnsi="Arial" w:cs="Arial"/>
          <w:color w:val="000000"/>
          <w:sz w:val="20"/>
        </w:rPr>
        <w:sym w:font="Wingdings" w:char="F0E8"/>
      </w:r>
      <w:r>
        <w:rPr>
          <w:rFonts w:ascii="Arial" w:hAnsi="Arial" w:cs="Arial"/>
          <w:color w:val="000000"/>
          <w:sz w:val="20"/>
        </w:rPr>
        <w:t xml:space="preserve"> “</w:t>
      </w:r>
      <w:r w:rsidR="009958D2">
        <w:rPr>
          <w:rFonts w:ascii="Arial" w:hAnsi="Arial" w:cs="Arial"/>
          <w:color w:val="000000"/>
          <w:sz w:val="20"/>
        </w:rPr>
        <w:t>Application for Access to Material</w:t>
      </w:r>
      <w:r>
        <w:rPr>
          <w:rFonts w:ascii="Arial" w:hAnsi="Arial" w:cs="Arial"/>
          <w:color w:val="000000"/>
          <w:sz w:val="20"/>
        </w:rPr>
        <w:t>”.  Whether or not all or any part of the requested material is released is entirely at the discretion of the presiding judicial officer in each case.</w:t>
      </w:r>
    </w:p>
    <w:p w14:paraId="447AD07D" w14:textId="77777777" w:rsidR="00B6304A" w:rsidRDefault="00B6304A" w:rsidP="00E41D05">
      <w:pPr>
        <w:jc w:val="both"/>
        <w:rPr>
          <w:rFonts w:ascii="Arial" w:hAnsi="Arial" w:cs="Arial"/>
          <w:color w:val="000000"/>
          <w:sz w:val="20"/>
        </w:rPr>
      </w:pPr>
      <w:bookmarkStart w:id="450" w:name="_2.7.5_Media_applications"/>
      <w:bookmarkEnd w:id="450"/>
    </w:p>
    <w:p w14:paraId="369D3296" w14:textId="77777777" w:rsidR="00236EE0" w:rsidRDefault="00236EE0" w:rsidP="009958D2">
      <w:pPr>
        <w:pStyle w:val="Heading3"/>
        <w:keepNext/>
        <w:keepLines/>
        <w:widowControl/>
        <w:spacing w:after="120" w:line="240" w:lineRule="auto"/>
        <w:rPr>
          <w:rFonts w:ascii="Arial" w:hAnsi="Arial" w:cs="Arial"/>
          <w:b/>
          <w:bCs/>
          <w:sz w:val="20"/>
        </w:rPr>
      </w:pPr>
      <w:bookmarkStart w:id="451" w:name="_2.7.5_Media_applications_1"/>
      <w:bookmarkEnd w:id="451"/>
      <w:r>
        <w:rPr>
          <w:rFonts w:ascii="Arial" w:hAnsi="Arial" w:cs="Arial"/>
          <w:b/>
          <w:bCs/>
          <w:sz w:val="20"/>
        </w:rPr>
        <w:lastRenderedPageBreak/>
        <w:t>2.7.5</w:t>
      </w:r>
      <w:r>
        <w:rPr>
          <w:rFonts w:ascii="Arial" w:hAnsi="Arial" w:cs="Arial"/>
          <w:b/>
          <w:bCs/>
          <w:sz w:val="20"/>
        </w:rPr>
        <w:tab/>
        <w:t>Media applications for copies of audio or audiovisual recordings</w:t>
      </w:r>
      <w:r w:rsidR="00D000AA">
        <w:rPr>
          <w:rFonts w:ascii="Arial" w:hAnsi="Arial" w:cs="Arial"/>
          <w:b/>
          <w:bCs/>
          <w:sz w:val="20"/>
        </w:rPr>
        <w:t xml:space="preserve"> of police interviews</w:t>
      </w:r>
    </w:p>
    <w:p w14:paraId="47AA82E7" w14:textId="384397AD" w:rsidR="00B6304A" w:rsidRDefault="00B6304A" w:rsidP="00651719">
      <w:pPr>
        <w:jc w:val="both"/>
        <w:rPr>
          <w:rFonts w:ascii="Arial" w:hAnsi="Arial" w:cs="Arial"/>
          <w:color w:val="000000"/>
          <w:sz w:val="20"/>
        </w:rPr>
      </w:pPr>
      <w:r>
        <w:rPr>
          <w:rFonts w:ascii="Arial" w:hAnsi="Arial" w:cs="Arial"/>
          <w:color w:val="000000"/>
          <w:sz w:val="20"/>
        </w:rPr>
        <w:t>There are specific pro</w:t>
      </w:r>
      <w:r w:rsidR="0028588B">
        <w:rPr>
          <w:rFonts w:ascii="Arial" w:hAnsi="Arial" w:cs="Arial"/>
          <w:color w:val="000000"/>
          <w:sz w:val="20"/>
        </w:rPr>
        <w:t>hibit</w:t>
      </w:r>
      <w:r>
        <w:rPr>
          <w:rFonts w:ascii="Arial" w:hAnsi="Arial" w:cs="Arial"/>
          <w:color w:val="000000"/>
          <w:sz w:val="20"/>
        </w:rPr>
        <w:t xml:space="preserve">ions in the </w:t>
      </w:r>
      <w:r w:rsidRPr="005161F3">
        <w:rPr>
          <w:rFonts w:ascii="Arial" w:hAnsi="Arial" w:cs="Arial"/>
          <w:i/>
          <w:iCs/>
          <w:color w:val="000000"/>
          <w:sz w:val="20"/>
        </w:rPr>
        <w:t>Crimes Act 1958</w:t>
      </w:r>
      <w:r>
        <w:rPr>
          <w:rFonts w:ascii="Arial" w:hAnsi="Arial" w:cs="Arial"/>
          <w:color w:val="000000"/>
          <w:sz w:val="20"/>
        </w:rPr>
        <w:t xml:space="preserve"> in relation to the possession and playing of audio recordings or audiovisual recordings</w:t>
      </w:r>
      <w:r w:rsidR="003325EA">
        <w:rPr>
          <w:rFonts w:ascii="Arial" w:hAnsi="Arial" w:cs="Arial"/>
          <w:color w:val="000000"/>
          <w:sz w:val="20"/>
        </w:rPr>
        <w:t xml:space="preserve"> of police interviews and associated recordings </w:t>
      </w:r>
      <w:r w:rsidR="0028588B">
        <w:rPr>
          <w:rFonts w:ascii="Arial" w:hAnsi="Arial" w:cs="Arial"/>
          <w:color w:val="000000"/>
          <w:sz w:val="20"/>
        </w:rPr>
        <w:t xml:space="preserve">made under ss.464B(5H), 464G or 464H.  </w:t>
      </w:r>
      <w:r>
        <w:rPr>
          <w:rFonts w:ascii="Arial" w:hAnsi="Arial" w:cs="Arial"/>
          <w:color w:val="000000"/>
          <w:sz w:val="20"/>
        </w:rPr>
        <w:t>Section 464JA(2) makes it an offence punishable by level 8 imprisonment for a p</w:t>
      </w:r>
      <w:r w:rsidR="003325EA">
        <w:rPr>
          <w:rFonts w:ascii="Arial" w:hAnsi="Arial" w:cs="Arial"/>
          <w:color w:val="000000"/>
          <w:sz w:val="20"/>
        </w:rPr>
        <w:t xml:space="preserve">erson other than the suspect, </w:t>
      </w:r>
      <w:r>
        <w:rPr>
          <w:rFonts w:ascii="Arial" w:hAnsi="Arial" w:cs="Arial"/>
          <w:color w:val="000000"/>
          <w:sz w:val="20"/>
        </w:rPr>
        <w:t xml:space="preserve">his/her legal representative </w:t>
      </w:r>
      <w:r w:rsidR="003325EA">
        <w:rPr>
          <w:rFonts w:ascii="Arial" w:hAnsi="Arial" w:cs="Arial"/>
          <w:color w:val="000000"/>
          <w:sz w:val="20"/>
        </w:rPr>
        <w:t>and</w:t>
      </w:r>
      <w:r>
        <w:rPr>
          <w:rFonts w:ascii="Arial" w:hAnsi="Arial" w:cs="Arial"/>
          <w:color w:val="000000"/>
          <w:sz w:val="20"/>
        </w:rPr>
        <w:t xml:space="preserve"> an authorized person acting in the course of his or her dut</w:t>
      </w:r>
      <w:r w:rsidR="0028588B">
        <w:rPr>
          <w:rFonts w:ascii="Arial" w:hAnsi="Arial" w:cs="Arial"/>
          <w:color w:val="000000"/>
          <w:sz w:val="20"/>
        </w:rPr>
        <w:t>ies knowingly to possess such a recording.  Section 464JA(3) makes it an offence, also punishable by level 8 imprisonment, to play such a recording except in certain circumstances.  One such circumstance is if “the recording is played by an authorised person acting in the course of his or her duties”.  Eighteen categories of persons are defined in s.464JA(1) as “authorized persons”.  The relevant category for media applications is s.464JA(1)(i): “...a person acting under the direction of a court”</w:t>
      </w:r>
      <w:r w:rsidR="003325EA">
        <w:rPr>
          <w:rFonts w:ascii="Arial" w:hAnsi="Arial" w:cs="Arial"/>
          <w:color w:val="000000"/>
          <w:sz w:val="20"/>
        </w:rPr>
        <w:t>.  This must be</w:t>
      </w:r>
      <w:r w:rsidR="0028588B">
        <w:rPr>
          <w:rFonts w:ascii="Arial" w:hAnsi="Arial" w:cs="Arial"/>
          <w:color w:val="000000"/>
          <w:sz w:val="20"/>
        </w:rPr>
        <w:t xml:space="preserve"> read in conjunction with s.464JB(2): “A court may give directions, with or without conditions, as to the supply, copying, editing, erasure, playing or publishing of [such a] recording.”</w:t>
      </w:r>
    </w:p>
    <w:p w14:paraId="736CACA9" w14:textId="77777777" w:rsidR="0028588B" w:rsidRDefault="0028588B" w:rsidP="00E41D05">
      <w:pPr>
        <w:jc w:val="both"/>
        <w:rPr>
          <w:rFonts w:ascii="Arial" w:hAnsi="Arial" w:cs="Arial"/>
          <w:color w:val="000000"/>
          <w:sz w:val="20"/>
        </w:rPr>
      </w:pPr>
    </w:p>
    <w:p w14:paraId="2B28B9F2" w14:textId="141E9926" w:rsidR="003325EA" w:rsidRDefault="003325EA" w:rsidP="00E41D05">
      <w:pPr>
        <w:jc w:val="both"/>
        <w:rPr>
          <w:rFonts w:ascii="Arial" w:hAnsi="Arial" w:cs="Arial"/>
          <w:color w:val="000000"/>
          <w:sz w:val="20"/>
        </w:rPr>
      </w:pPr>
      <w:r>
        <w:rPr>
          <w:rFonts w:ascii="Arial" w:hAnsi="Arial" w:cs="Arial"/>
          <w:color w:val="000000"/>
          <w:sz w:val="20"/>
        </w:rPr>
        <w:t xml:space="preserve">When Parliament enacted the </w:t>
      </w:r>
      <w:r w:rsidRPr="005161F3">
        <w:rPr>
          <w:rFonts w:ascii="Arial" w:hAnsi="Arial" w:cs="Arial"/>
          <w:i/>
          <w:iCs/>
          <w:color w:val="000000"/>
          <w:sz w:val="20"/>
        </w:rPr>
        <w:t>Open Courts Act 2013</w:t>
      </w:r>
      <w:r>
        <w:rPr>
          <w:rFonts w:ascii="Arial" w:hAnsi="Arial" w:cs="Arial"/>
          <w:color w:val="000000"/>
          <w:sz w:val="20"/>
        </w:rPr>
        <w:t xml:space="preserve"> it chose not to include records of interview in that Act but left the question of their release totally in the hands of the Court under s.464JB(2) of the </w:t>
      </w:r>
      <w:r w:rsidRPr="005161F3">
        <w:rPr>
          <w:rFonts w:ascii="Arial" w:hAnsi="Arial" w:cs="Arial"/>
          <w:i/>
          <w:iCs/>
          <w:color w:val="000000"/>
          <w:sz w:val="20"/>
        </w:rPr>
        <w:t>Crimes Act 1958</w:t>
      </w:r>
      <w:r>
        <w:rPr>
          <w:rFonts w:ascii="Arial" w:hAnsi="Arial" w:cs="Arial"/>
          <w:color w:val="000000"/>
          <w:sz w:val="20"/>
        </w:rPr>
        <w:t xml:space="preserve">: see </w:t>
      </w:r>
      <w:r w:rsidRPr="003325EA">
        <w:rPr>
          <w:rFonts w:ascii="Arial" w:hAnsi="Arial" w:cs="Arial"/>
          <w:i/>
          <w:color w:val="000000"/>
          <w:sz w:val="20"/>
        </w:rPr>
        <w:t>R v Hemming (Ruling 1)</w:t>
      </w:r>
      <w:r>
        <w:rPr>
          <w:rFonts w:ascii="Arial" w:hAnsi="Arial" w:cs="Arial"/>
          <w:color w:val="000000"/>
          <w:sz w:val="20"/>
        </w:rPr>
        <w:t xml:space="preserve"> [2015] VSC 351 </w:t>
      </w:r>
      <w:r w:rsidR="00236EE0">
        <w:rPr>
          <w:rFonts w:ascii="Arial" w:hAnsi="Arial" w:cs="Arial"/>
          <w:color w:val="000000"/>
          <w:sz w:val="20"/>
        </w:rPr>
        <w:t xml:space="preserve">[8] &amp; </w:t>
      </w:r>
      <w:r>
        <w:rPr>
          <w:rFonts w:ascii="Arial" w:hAnsi="Arial" w:cs="Arial"/>
          <w:color w:val="000000"/>
          <w:sz w:val="20"/>
        </w:rPr>
        <w:t xml:space="preserve">[18] per King J.  In </w:t>
      </w:r>
      <w:r w:rsidRPr="003325EA">
        <w:rPr>
          <w:rFonts w:ascii="Arial" w:hAnsi="Arial" w:cs="Arial"/>
          <w:i/>
          <w:color w:val="000000"/>
          <w:sz w:val="20"/>
        </w:rPr>
        <w:t>DPP v Angela Maree Williams (Ruling No.1)</w:t>
      </w:r>
      <w:r>
        <w:rPr>
          <w:rFonts w:ascii="Arial" w:hAnsi="Arial" w:cs="Arial"/>
          <w:color w:val="000000"/>
          <w:sz w:val="20"/>
        </w:rPr>
        <w:t xml:space="preserve"> [2015] VSC 107 –</w:t>
      </w:r>
      <w:r w:rsidR="00155A48">
        <w:rPr>
          <w:rFonts w:ascii="Arial" w:hAnsi="Arial" w:cs="Arial"/>
          <w:color w:val="000000"/>
          <w:sz w:val="20"/>
        </w:rPr>
        <w:t xml:space="preserve"> </w:t>
      </w:r>
      <w:r>
        <w:rPr>
          <w:rFonts w:ascii="Arial" w:hAnsi="Arial" w:cs="Arial"/>
          <w:color w:val="000000"/>
          <w:sz w:val="20"/>
        </w:rPr>
        <w:t xml:space="preserve">a decision approved and applied by </w:t>
      </w:r>
      <w:r w:rsidR="00155A48">
        <w:rPr>
          <w:rFonts w:ascii="Arial" w:hAnsi="Arial" w:cs="Arial"/>
          <w:color w:val="000000"/>
          <w:sz w:val="20"/>
        </w:rPr>
        <w:t xml:space="preserve">both </w:t>
      </w:r>
      <w:r>
        <w:rPr>
          <w:rFonts w:ascii="Arial" w:hAnsi="Arial" w:cs="Arial"/>
          <w:color w:val="000000"/>
          <w:sz w:val="20"/>
        </w:rPr>
        <w:t xml:space="preserve">King J </w:t>
      </w:r>
      <w:r w:rsidR="00155A48">
        <w:rPr>
          <w:rFonts w:ascii="Arial" w:hAnsi="Arial" w:cs="Arial"/>
          <w:color w:val="000000"/>
          <w:sz w:val="20"/>
        </w:rPr>
        <w:t xml:space="preserve">in </w:t>
      </w:r>
      <w:r w:rsidR="00155A48" w:rsidRPr="00155A48">
        <w:rPr>
          <w:rFonts w:ascii="Arial" w:hAnsi="Arial" w:cs="Arial"/>
          <w:i/>
          <w:color w:val="000000"/>
          <w:sz w:val="20"/>
        </w:rPr>
        <w:t>R</w:t>
      </w:r>
      <w:r w:rsidR="00155A48">
        <w:rPr>
          <w:rFonts w:ascii="Arial" w:hAnsi="Arial" w:cs="Arial"/>
          <w:i/>
          <w:color w:val="000000"/>
          <w:sz w:val="20"/>
        </w:rPr>
        <w:t> </w:t>
      </w:r>
      <w:r w:rsidR="00155A48" w:rsidRPr="00155A48">
        <w:rPr>
          <w:rFonts w:ascii="Arial" w:hAnsi="Arial" w:cs="Arial"/>
          <w:i/>
          <w:color w:val="000000"/>
          <w:sz w:val="20"/>
        </w:rPr>
        <w:t>v</w:t>
      </w:r>
      <w:r w:rsidR="00155A48">
        <w:rPr>
          <w:rFonts w:ascii="Arial" w:hAnsi="Arial" w:cs="Arial"/>
          <w:i/>
          <w:color w:val="000000"/>
          <w:sz w:val="20"/>
        </w:rPr>
        <w:t> </w:t>
      </w:r>
      <w:r w:rsidR="00155A48" w:rsidRPr="00155A48">
        <w:rPr>
          <w:rFonts w:ascii="Arial" w:hAnsi="Arial" w:cs="Arial"/>
          <w:i/>
          <w:color w:val="000000"/>
          <w:sz w:val="20"/>
        </w:rPr>
        <w:t>Hemming</w:t>
      </w:r>
      <w:r w:rsidR="00155A48">
        <w:rPr>
          <w:rFonts w:ascii="Arial" w:hAnsi="Arial" w:cs="Arial"/>
          <w:color w:val="000000"/>
          <w:sz w:val="20"/>
        </w:rPr>
        <w:t xml:space="preserve"> and Lasry J in </w:t>
      </w:r>
      <w:r w:rsidR="00155A48" w:rsidRPr="00155A48">
        <w:rPr>
          <w:rFonts w:ascii="Arial" w:hAnsi="Arial" w:cs="Arial"/>
          <w:i/>
          <w:color w:val="000000"/>
          <w:sz w:val="20"/>
        </w:rPr>
        <w:t>R v Reed-Robertson</w:t>
      </w:r>
      <w:r w:rsidR="00155A48">
        <w:rPr>
          <w:rFonts w:ascii="Arial" w:hAnsi="Arial" w:cs="Arial"/>
          <w:color w:val="000000"/>
          <w:sz w:val="20"/>
        </w:rPr>
        <w:t xml:space="preserve"> [2016] VSC 236 [20]-[22] </w:t>
      </w:r>
      <w:r w:rsidR="00236EE0">
        <w:rPr>
          <w:rFonts w:ascii="Arial" w:hAnsi="Arial" w:cs="Arial"/>
          <w:color w:val="000000"/>
          <w:sz w:val="20"/>
        </w:rPr>
        <w:t>–</w:t>
      </w:r>
      <w:r>
        <w:rPr>
          <w:rFonts w:ascii="Arial" w:hAnsi="Arial" w:cs="Arial"/>
          <w:color w:val="000000"/>
          <w:sz w:val="20"/>
        </w:rPr>
        <w:t xml:space="preserve"> </w:t>
      </w:r>
      <w:r w:rsidR="00155A48">
        <w:rPr>
          <w:rFonts w:ascii="Arial" w:hAnsi="Arial" w:cs="Arial"/>
          <w:color w:val="000000"/>
          <w:sz w:val="20"/>
        </w:rPr>
        <w:t xml:space="preserve">Hollingworth J </w:t>
      </w:r>
      <w:r w:rsidR="00236EE0">
        <w:rPr>
          <w:rFonts w:ascii="Arial" w:hAnsi="Arial" w:cs="Arial"/>
          <w:color w:val="000000"/>
          <w:sz w:val="20"/>
        </w:rPr>
        <w:t xml:space="preserve">provided at [11] </w:t>
      </w:r>
      <w:r>
        <w:rPr>
          <w:rFonts w:ascii="Arial" w:hAnsi="Arial" w:cs="Arial"/>
          <w:color w:val="000000"/>
          <w:sz w:val="20"/>
        </w:rPr>
        <w:t>the following non-exhau</w:t>
      </w:r>
      <w:r w:rsidR="00236EE0">
        <w:rPr>
          <w:rFonts w:ascii="Arial" w:hAnsi="Arial" w:cs="Arial"/>
          <w:color w:val="000000"/>
          <w:sz w:val="20"/>
        </w:rPr>
        <w:t>stive list of factors which may be relevant to the exercise of the court’s discretion pursuant to s.464JB:</w:t>
      </w:r>
    </w:p>
    <w:p w14:paraId="547237C7" w14:textId="77777777" w:rsidR="00236EE0" w:rsidRDefault="00236EE0" w:rsidP="002F7CB1">
      <w:pPr>
        <w:tabs>
          <w:tab w:val="left" w:pos="284"/>
        </w:tabs>
        <w:spacing w:before="80"/>
        <w:ind w:left="1134" w:right="567" w:hanging="567"/>
        <w:jc w:val="both"/>
        <w:rPr>
          <w:rFonts w:ascii="Arial" w:hAnsi="Arial" w:cs="Arial"/>
          <w:color w:val="000000"/>
          <w:sz w:val="20"/>
        </w:rPr>
      </w:pPr>
      <w:r>
        <w:rPr>
          <w:rFonts w:ascii="Arial" w:hAnsi="Arial" w:cs="Arial"/>
          <w:color w:val="000000"/>
          <w:sz w:val="20"/>
        </w:rPr>
        <w:t>“(a)</w:t>
      </w:r>
      <w:r>
        <w:rPr>
          <w:rFonts w:ascii="Arial" w:hAnsi="Arial" w:cs="Arial"/>
          <w:color w:val="000000"/>
          <w:sz w:val="20"/>
        </w:rPr>
        <w:tab/>
        <w:t>the privacy of the interviewee, interviewers, and others mentioned in the interview;</w:t>
      </w:r>
    </w:p>
    <w:p w14:paraId="3CD2B658" w14:textId="77777777" w:rsidR="00236EE0" w:rsidRDefault="00236EE0" w:rsidP="00236EE0">
      <w:pPr>
        <w:tabs>
          <w:tab w:val="left" w:pos="284"/>
        </w:tabs>
        <w:spacing w:before="40"/>
        <w:ind w:left="1134" w:right="567" w:hanging="567"/>
        <w:jc w:val="both"/>
        <w:rPr>
          <w:rFonts w:ascii="Arial" w:hAnsi="Arial" w:cs="Arial"/>
          <w:color w:val="000000"/>
          <w:sz w:val="20"/>
        </w:rPr>
      </w:pPr>
      <w:r>
        <w:rPr>
          <w:rFonts w:ascii="Arial" w:hAnsi="Arial" w:cs="Arial"/>
          <w:color w:val="000000"/>
          <w:sz w:val="20"/>
        </w:rPr>
        <w:t>(b)</w:t>
      </w:r>
      <w:r>
        <w:rPr>
          <w:rFonts w:ascii="Arial" w:hAnsi="Arial" w:cs="Arial"/>
          <w:color w:val="000000"/>
          <w:sz w:val="20"/>
        </w:rPr>
        <w:tab/>
        <w:t>whether the interviewee consents to the release;</w:t>
      </w:r>
    </w:p>
    <w:p w14:paraId="7AAA1AC4" w14:textId="77777777" w:rsidR="00236EE0" w:rsidRDefault="00236EE0" w:rsidP="00236EE0">
      <w:pPr>
        <w:tabs>
          <w:tab w:val="left" w:pos="284"/>
        </w:tabs>
        <w:spacing w:before="40"/>
        <w:ind w:left="1134" w:right="567" w:hanging="567"/>
        <w:jc w:val="both"/>
        <w:rPr>
          <w:rFonts w:ascii="Arial" w:hAnsi="Arial" w:cs="Arial"/>
          <w:color w:val="000000"/>
          <w:sz w:val="20"/>
        </w:rPr>
      </w:pPr>
      <w:r>
        <w:rPr>
          <w:rFonts w:ascii="Arial" w:hAnsi="Arial" w:cs="Arial"/>
          <w:color w:val="000000"/>
          <w:sz w:val="20"/>
        </w:rPr>
        <w:t>(c)</w:t>
      </w:r>
      <w:r>
        <w:rPr>
          <w:rFonts w:ascii="Arial" w:hAnsi="Arial" w:cs="Arial"/>
          <w:color w:val="000000"/>
          <w:sz w:val="20"/>
        </w:rPr>
        <w:tab/>
        <w:t>the attitude of other people affected by the interview;</w:t>
      </w:r>
    </w:p>
    <w:p w14:paraId="6AD1D85F" w14:textId="77777777" w:rsidR="00236EE0" w:rsidRDefault="00236EE0" w:rsidP="00236EE0">
      <w:pPr>
        <w:tabs>
          <w:tab w:val="left" w:pos="284"/>
        </w:tabs>
        <w:spacing w:before="40"/>
        <w:ind w:left="1134" w:right="567" w:hanging="567"/>
        <w:jc w:val="both"/>
        <w:rPr>
          <w:rFonts w:ascii="Arial" w:hAnsi="Arial" w:cs="Arial"/>
          <w:color w:val="000000"/>
          <w:sz w:val="20"/>
        </w:rPr>
      </w:pPr>
      <w:r>
        <w:rPr>
          <w:rFonts w:ascii="Arial" w:hAnsi="Arial" w:cs="Arial"/>
          <w:color w:val="000000"/>
          <w:sz w:val="20"/>
        </w:rPr>
        <w:t>(d)</w:t>
      </w:r>
      <w:r>
        <w:rPr>
          <w:rFonts w:ascii="Arial" w:hAnsi="Arial" w:cs="Arial"/>
          <w:color w:val="000000"/>
          <w:sz w:val="20"/>
        </w:rPr>
        <w:tab/>
        <w:t>whether any person (such as victims or children) would be adversely affected by release;</w:t>
      </w:r>
    </w:p>
    <w:p w14:paraId="0F66A86E" w14:textId="77777777" w:rsidR="00236EE0" w:rsidRDefault="00236EE0" w:rsidP="00236EE0">
      <w:pPr>
        <w:tabs>
          <w:tab w:val="left" w:pos="284"/>
        </w:tabs>
        <w:spacing w:before="40"/>
        <w:ind w:left="1134" w:right="567" w:hanging="567"/>
        <w:jc w:val="both"/>
        <w:rPr>
          <w:rFonts w:ascii="Arial" w:hAnsi="Arial" w:cs="Arial"/>
          <w:color w:val="000000"/>
          <w:sz w:val="20"/>
        </w:rPr>
      </w:pPr>
      <w:r>
        <w:rPr>
          <w:rFonts w:ascii="Arial" w:hAnsi="Arial" w:cs="Arial"/>
          <w:color w:val="000000"/>
          <w:sz w:val="20"/>
        </w:rPr>
        <w:t>(e)</w:t>
      </w:r>
      <w:r>
        <w:rPr>
          <w:rFonts w:ascii="Arial" w:hAnsi="Arial" w:cs="Arial"/>
          <w:color w:val="000000"/>
          <w:sz w:val="20"/>
        </w:rPr>
        <w:tab/>
        <w:t>whether the record of interview discloses graphic details of offending;</w:t>
      </w:r>
    </w:p>
    <w:p w14:paraId="7058376F" w14:textId="77777777" w:rsidR="00236EE0" w:rsidRDefault="00236EE0" w:rsidP="00236EE0">
      <w:pPr>
        <w:tabs>
          <w:tab w:val="left" w:pos="284"/>
        </w:tabs>
        <w:spacing w:before="40"/>
        <w:ind w:left="1134" w:right="567" w:hanging="567"/>
        <w:jc w:val="both"/>
        <w:rPr>
          <w:rFonts w:ascii="Arial" w:hAnsi="Arial" w:cs="Arial"/>
          <w:color w:val="000000"/>
          <w:sz w:val="20"/>
        </w:rPr>
      </w:pPr>
      <w:r>
        <w:rPr>
          <w:rFonts w:ascii="Arial" w:hAnsi="Arial" w:cs="Arial"/>
          <w:color w:val="000000"/>
          <w:sz w:val="20"/>
        </w:rPr>
        <w:t>(f)</w:t>
      </w:r>
      <w:r>
        <w:rPr>
          <w:rFonts w:ascii="Arial" w:hAnsi="Arial" w:cs="Arial"/>
          <w:color w:val="000000"/>
          <w:sz w:val="20"/>
        </w:rPr>
        <w:tab/>
        <w:t>whether any criminal investigations or trials are ongoing;</w:t>
      </w:r>
    </w:p>
    <w:p w14:paraId="0353955D" w14:textId="77777777" w:rsidR="00236EE0" w:rsidRDefault="00236EE0" w:rsidP="00236EE0">
      <w:pPr>
        <w:tabs>
          <w:tab w:val="left" w:pos="284"/>
        </w:tabs>
        <w:spacing w:before="40"/>
        <w:ind w:left="1134" w:right="567" w:hanging="567"/>
        <w:jc w:val="both"/>
        <w:rPr>
          <w:rFonts w:ascii="Arial" w:hAnsi="Arial" w:cs="Arial"/>
          <w:color w:val="000000"/>
          <w:sz w:val="20"/>
        </w:rPr>
      </w:pPr>
      <w:r>
        <w:rPr>
          <w:rFonts w:ascii="Arial" w:hAnsi="Arial" w:cs="Arial"/>
          <w:color w:val="000000"/>
          <w:sz w:val="20"/>
        </w:rPr>
        <w:t>(g)</w:t>
      </w:r>
      <w:r>
        <w:rPr>
          <w:rFonts w:ascii="Arial" w:hAnsi="Arial" w:cs="Arial"/>
          <w:color w:val="000000"/>
          <w:sz w:val="20"/>
        </w:rPr>
        <w:tab/>
        <w:t>whether release may undermine the integrity of the criminal justice process;</w:t>
      </w:r>
    </w:p>
    <w:p w14:paraId="3895C3F6" w14:textId="77777777" w:rsidR="00236EE0" w:rsidRDefault="00236EE0" w:rsidP="00236EE0">
      <w:pPr>
        <w:tabs>
          <w:tab w:val="left" w:pos="284"/>
        </w:tabs>
        <w:spacing w:before="40"/>
        <w:ind w:left="1134" w:right="567" w:hanging="567"/>
        <w:jc w:val="both"/>
        <w:rPr>
          <w:rFonts w:ascii="Arial" w:hAnsi="Arial" w:cs="Arial"/>
          <w:color w:val="000000"/>
          <w:sz w:val="20"/>
        </w:rPr>
      </w:pPr>
      <w:r>
        <w:rPr>
          <w:rFonts w:ascii="Arial" w:hAnsi="Arial" w:cs="Arial"/>
          <w:color w:val="000000"/>
          <w:sz w:val="20"/>
        </w:rPr>
        <w:t>(h)</w:t>
      </w:r>
      <w:r>
        <w:rPr>
          <w:rFonts w:ascii="Arial" w:hAnsi="Arial" w:cs="Arial"/>
          <w:color w:val="000000"/>
          <w:sz w:val="20"/>
        </w:rPr>
        <w:tab/>
        <w:t>the level of contemporaneous public interest in the case;</w:t>
      </w:r>
    </w:p>
    <w:p w14:paraId="648B9088" w14:textId="77777777" w:rsidR="00236EE0" w:rsidRDefault="00236EE0" w:rsidP="00236EE0">
      <w:pPr>
        <w:tabs>
          <w:tab w:val="left" w:pos="284"/>
        </w:tabs>
        <w:spacing w:before="40"/>
        <w:ind w:left="1134" w:right="567" w:hanging="567"/>
        <w:jc w:val="both"/>
        <w:rPr>
          <w:rFonts w:ascii="Arial" w:hAnsi="Arial" w:cs="Arial"/>
          <w:color w:val="000000"/>
          <w:sz w:val="20"/>
        </w:rPr>
      </w:pPr>
      <w:r>
        <w:rPr>
          <w:rFonts w:ascii="Arial" w:hAnsi="Arial" w:cs="Arial"/>
          <w:color w:val="000000"/>
          <w:sz w:val="20"/>
        </w:rPr>
        <w:t>(i)</w:t>
      </w:r>
      <w:r>
        <w:rPr>
          <w:rFonts w:ascii="Arial" w:hAnsi="Arial" w:cs="Arial"/>
          <w:color w:val="000000"/>
          <w:sz w:val="20"/>
        </w:rPr>
        <w:tab/>
        <w:t>whether release will enhance the fair and accurate reporting of the case;</w:t>
      </w:r>
    </w:p>
    <w:p w14:paraId="59348BEB" w14:textId="77777777" w:rsidR="00236EE0" w:rsidRDefault="00236EE0" w:rsidP="00236EE0">
      <w:pPr>
        <w:tabs>
          <w:tab w:val="left" w:pos="284"/>
        </w:tabs>
        <w:spacing w:before="40"/>
        <w:ind w:left="1134" w:right="567" w:hanging="567"/>
        <w:jc w:val="both"/>
        <w:rPr>
          <w:rFonts w:ascii="Arial" w:hAnsi="Arial" w:cs="Arial"/>
          <w:color w:val="000000"/>
          <w:sz w:val="20"/>
        </w:rPr>
      </w:pPr>
      <w:r>
        <w:rPr>
          <w:rFonts w:ascii="Arial" w:hAnsi="Arial" w:cs="Arial"/>
          <w:color w:val="000000"/>
          <w:sz w:val="20"/>
        </w:rPr>
        <w:t>(j)</w:t>
      </w:r>
      <w:r>
        <w:rPr>
          <w:rFonts w:ascii="Arial" w:hAnsi="Arial" w:cs="Arial"/>
          <w:color w:val="000000"/>
          <w:sz w:val="20"/>
        </w:rPr>
        <w:tab/>
        <w:t>the principle of open justice (where the record of interview has been played in open court); and</w:t>
      </w:r>
    </w:p>
    <w:p w14:paraId="4FE8A065" w14:textId="77777777" w:rsidR="00236EE0" w:rsidRPr="007C64AE" w:rsidRDefault="00236EE0" w:rsidP="00236EE0">
      <w:pPr>
        <w:tabs>
          <w:tab w:val="left" w:pos="284"/>
        </w:tabs>
        <w:spacing w:before="40"/>
        <w:ind w:left="1134" w:right="567" w:hanging="567"/>
        <w:jc w:val="both"/>
        <w:rPr>
          <w:rFonts w:ascii="Arial" w:hAnsi="Arial" w:cs="Arial"/>
          <w:color w:val="000000"/>
          <w:sz w:val="20"/>
        </w:rPr>
      </w:pPr>
      <w:r>
        <w:rPr>
          <w:rFonts w:ascii="Arial" w:hAnsi="Arial" w:cs="Arial"/>
          <w:color w:val="000000"/>
          <w:sz w:val="20"/>
        </w:rPr>
        <w:t>(k)</w:t>
      </w:r>
      <w:r>
        <w:rPr>
          <w:rFonts w:ascii="Arial" w:hAnsi="Arial" w:cs="Arial"/>
          <w:color w:val="000000"/>
          <w:sz w:val="20"/>
        </w:rPr>
        <w:tab/>
        <w:t>the nature of the proposed publication.”</w:t>
      </w:r>
    </w:p>
    <w:p w14:paraId="2A5E1D5B" w14:textId="77777777" w:rsidR="003325EA" w:rsidRDefault="00155A48" w:rsidP="00155A48">
      <w:pPr>
        <w:spacing w:before="80"/>
        <w:jc w:val="both"/>
        <w:rPr>
          <w:rFonts w:ascii="Arial" w:hAnsi="Arial" w:cs="Arial"/>
          <w:color w:val="000000"/>
          <w:sz w:val="20"/>
        </w:rPr>
      </w:pPr>
      <w:r>
        <w:rPr>
          <w:rFonts w:ascii="Arial" w:hAnsi="Arial" w:cs="Arial"/>
          <w:color w:val="000000"/>
          <w:sz w:val="20"/>
        </w:rPr>
        <w:t>Applying this test ultimately all three applications for release of audiovisual recordings were refused.</w:t>
      </w:r>
    </w:p>
    <w:p w14:paraId="7798FDA7" w14:textId="77777777" w:rsidR="003325EA" w:rsidRDefault="003325EA" w:rsidP="00E41D05">
      <w:pPr>
        <w:jc w:val="both"/>
        <w:rPr>
          <w:rFonts w:ascii="Arial" w:hAnsi="Arial" w:cs="Arial"/>
          <w:color w:val="000000"/>
          <w:sz w:val="20"/>
        </w:rPr>
      </w:pPr>
    </w:p>
    <w:p w14:paraId="1F9E3EF7" w14:textId="5E7DC31E" w:rsidR="00501694" w:rsidRDefault="00501694" w:rsidP="00E41D05">
      <w:pPr>
        <w:jc w:val="both"/>
        <w:rPr>
          <w:rFonts w:ascii="Arial" w:hAnsi="Arial" w:cs="Arial"/>
          <w:color w:val="000000"/>
          <w:sz w:val="20"/>
        </w:rPr>
      </w:pPr>
      <w:r>
        <w:rPr>
          <w:rFonts w:ascii="Arial" w:hAnsi="Arial" w:cs="Arial"/>
          <w:color w:val="000000"/>
          <w:sz w:val="20"/>
        </w:rPr>
        <w:t xml:space="preserve">In </w:t>
      </w:r>
      <w:r w:rsidRPr="00501694">
        <w:rPr>
          <w:rFonts w:ascii="Arial" w:hAnsi="Arial" w:cs="Arial"/>
          <w:i/>
          <w:iCs/>
          <w:color w:val="000000"/>
          <w:sz w:val="20"/>
        </w:rPr>
        <w:t>Re Patterson</w:t>
      </w:r>
      <w:r>
        <w:rPr>
          <w:rFonts w:ascii="Arial" w:hAnsi="Arial" w:cs="Arial"/>
          <w:color w:val="000000"/>
          <w:sz w:val="20"/>
        </w:rPr>
        <w:t xml:space="preserve"> [2025] VSC 478 at the conclusion of the trial of </w:t>
      </w:r>
      <w:r w:rsidR="006142A7">
        <w:rPr>
          <w:rFonts w:ascii="Arial" w:hAnsi="Arial" w:cs="Arial"/>
          <w:color w:val="000000"/>
          <w:sz w:val="20"/>
        </w:rPr>
        <w:t>Ms Patterson</w:t>
      </w:r>
      <w:r>
        <w:rPr>
          <w:rFonts w:ascii="Arial" w:hAnsi="Arial" w:cs="Arial"/>
          <w:color w:val="000000"/>
          <w:sz w:val="20"/>
        </w:rPr>
        <w:t xml:space="preserve"> on 3 charges of murder and 1 charge of attempted murder of relatives by poisoning them with a meal containing death cap mushrooms, the media applied for release of a trial exhibit, namely an edited </w:t>
      </w:r>
      <w:r w:rsidRPr="00501694">
        <w:rPr>
          <w:rFonts w:ascii="Arial" w:hAnsi="Arial" w:cs="Arial"/>
          <w:color w:val="000000"/>
          <w:sz w:val="20"/>
        </w:rPr>
        <w:t xml:space="preserve">audiovisual recording of </w:t>
      </w:r>
      <w:r>
        <w:rPr>
          <w:rFonts w:ascii="Arial" w:hAnsi="Arial" w:cs="Arial"/>
          <w:color w:val="000000"/>
          <w:sz w:val="20"/>
        </w:rPr>
        <w:t>the accused</w:t>
      </w:r>
      <w:r w:rsidRPr="00501694">
        <w:rPr>
          <w:rFonts w:ascii="Arial" w:hAnsi="Arial" w:cs="Arial"/>
          <w:color w:val="000000"/>
          <w:sz w:val="20"/>
        </w:rPr>
        <w:t>’s police interview</w:t>
      </w:r>
      <w:r>
        <w:rPr>
          <w:rFonts w:ascii="Arial" w:hAnsi="Arial" w:cs="Arial"/>
          <w:color w:val="000000"/>
          <w:sz w:val="20"/>
        </w:rPr>
        <w:t xml:space="preserve">. The release was opposed by </w:t>
      </w:r>
      <w:r w:rsidR="006142A7">
        <w:rPr>
          <w:rFonts w:ascii="Arial" w:hAnsi="Arial" w:cs="Arial"/>
          <w:color w:val="000000"/>
          <w:sz w:val="20"/>
        </w:rPr>
        <w:t>Ms Patterson</w:t>
      </w:r>
      <w:r>
        <w:rPr>
          <w:rFonts w:ascii="Arial" w:hAnsi="Arial" w:cs="Arial"/>
          <w:color w:val="000000"/>
          <w:sz w:val="20"/>
        </w:rPr>
        <w:t>. In granting the media application and releasing the recording, albeit with some redactions, Beale J said at [</w:t>
      </w:r>
      <w:r w:rsidR="006142A7">
        <w:rPr>
          <w:rFonts w:ascii="Arial" w:hAnsi="Arial" w:cs="Arial"/>
          <w:color w:val="000000"/>
          <w:sz w:val="20"/>
        </w:rPr>
        <w:t>30</w:t>
      </w:r>
      <w:r>
        <w:rPr>
          <w:rFonts w:ascii="Arial" w:hAnsi="Arial" w:cs="Arial"/>
          <w:color w:val="000000"/>
          <w:sz w:val="20"/>
        </w:rPr>
        <w:t>]-[31]:</w:t>
      </w:r>
    </w:p>
    <w:p w14:paraId="0C9B8B61" w14:textId="28921716" w:rsidR="00501694" w:rsidRDefault="00501694" w:rsidP="00501694">
      <w:pPr>
        <w:spacing w:before="80"/>
        <w:ind w:left="567" w:right="567"/>
        <w:jc w:val="both"/>
        <w:rPr>
          <w:rFonts w:ascii="Arial" w:hAnsi="Arial" w:cs="Arial"/>
          <w:sz w:val="20"/>
          <w:szCs w:val="20"/>
        </w:rPr>
      </w:pPr>
      <w:r>
        <w:rPr>
          <w:rFonts w:ascii="Arial" w:hAnsi="Arial" w:cs="Arial"/>
          <w:sz w:val="20"/>
          <w:szCs w:val="20"/>
        </w:rPr>
        <w:t>[</w:t>
      </w:r>
      <w:r w:rsidR="006142A7">
        <w:rPr>
          <w:rFonts w:ascii="Arial" w:hAnsi="Arial" w:cs="Arial"/>
          <w:sz w:val="20"/>
          <w:szCs w:val="20"/>
        </w:rPr>
        <w:t>30</w:t>
      </w:r>
      <w:r>
        <w:rPr>
          <w:rFonts w:ascii="Arial" w:hAnsi="Arial" w:cs="Arial"/>
          <w:sz w:val="20"/>
          <w:szCs w:val="20"/>
        </w:rPr>
        <w:t xml:space="preserve">] “The importance of [Ms Patterson’s] lies to the </w:t>
      </w:r>
      <w:r w:rsidRPr="00501694">
        <w:rPr>
          <w:rFonts w:ascii="Arial" w:hAnsi="Arial" w:cs="Arial"/>
          <w:sz w:val="20"/>
          <w:szCs w:val="20"/>
        </w:rPr>
        <w:t xml:space="preserve">prosecution case, and the strong contemporaneous public interest in this case, militate strongly in favour of the release and publication of </w:t>
      </w:r>
      <w:r>
        <w:rPr>
          <w:rFonts w:ascii="Arial" w:hAnsi="Arial" w:cs="Arial"/>
          <w:sz w:val="20"/>
          <w:szCs w:val="20"/>
        </w:rPr>
        <w:t>[the recording]</w:t>
      </w:r>
      <w:r w:rsidRPr="00501694">
        <w:rPr>
          <w:rFonts w:ascii="Arial" w:hAnsi="Arial" w:cs="Arial"/>
          <w:sz w:val="20"/>
          <w:szCs w:val="20"/>
        </w:rPr>
        <w:t>, as does the principle of open justice</w:t>
      </w:r>
      <w:r w:rsidRPr="00501694">
        <w:rPr>
          <w:rFonts w:ascii="Arial" w:eastAsia="Book Antiqua" w:hAnsi="Arial" w:cs="Arial"/>
          <w:sz w:val="20"/>
          <w:szCs w:val="20"/>
        </w:rPr>
        <w:t xml:space="preserve">. I also accept the media’s submission </w:t>
      </w:r>
      <w:r w:rsidRPr="00501694">
        <w:rPr>
          <w:rFonts w:ascii="Arial" w:hAnsi="Arial" w:cs="Arial"/>
          <w:sz w:val="20"/>
          <w:szCs w:val="20"/>
        </w:rPr>
        <w:t xml:space="preserve">that it will promote fair and accurate reporting. Rather than having to depend on interpretations of the recording by journalists and commentators, the public will be better placed to make their own assessments of the </w:t>
      </w:r>
      <w:r w:rsidRPr="00501694">
        <w:rPr>
          <w:rFonts w:ascii="Arial" w:eastAsia="Book Antiqua" w:hAnsi="Arial" w:cs="Arial"/>
          <w:sz w:val="20"/>
          <w:szCs w:val="20"/>
        </w:rPr>
        <w:t>significance of Ms Patterson’</w:t>
      </w:r>
      <w:r w:rsidRPr="00501694">
        <w:rPr>
          <w:rFonts w:ascii="Arial" w:hAnsi="Arial" w:cs="Arial"/>
          <w:sz w:val="20"/>
          <w:szCs w:val="20"/>
        </w:rPr>
        <w:t>s answers in the recording, having regard to both the content of her answers and her demeanour.</w:t>
      </w:r>
    </w:p>
    <w:p w14:paraId="1625430C" w14:textId="2BF8E4BC" w:rsidR="006142A7" w:rsidRDefault="00501694" w:rsidP="00501694">
      <w:pPr>
        <w:spacing w:before="80"/>
        <w:ind w:left="567" w:right="567"/>
        <w:jc w:val="both"/>
        <w:rPr>
          <w:rFonts w:ascii="Arial" w:hAnsi="Arial" w:cs="Arial"/>
          <w:sz w:val="20"/>
          <w:szCs w:val="20"/>
        </w:rPr>
      </w:pPr>
      <w:r>
        <w:rPr>
          <w:rFonts w:ascii="Arial" w:hAnsi="Arial" w:cs="Arial"/>
          <w:sz w:val="20"/>
          <w:szCs w:val="20"/>
        </w:rPr>
        <w:t>[3</w:t>
      </w:r>
      <w:r w:rsidR="006142A7">
        <w:rPr>
          <w:rFonts w:ascii="Arial" w:hAnsi="Arial" w:cs="Arial"/>
          <w:sz w:val="20"/>
          <w:szCs w:val="20"/>
        </w:rPr>
        <w:t>1</w:t>
      </w:r>
      <w:r>
        <w:rPr>
          <w:rFonts w:ascii="Arial" w:hAnsi="Arial" w:cs="Arial"/>
          <w:sz w:val="20"/>
          <w:szCs w:val="20"/>
        </w:rPr>
        <w:t xml:space="preserve">] </w:t>
      </w:r>
      <w:r w:rsidRPr="00501694">
        <w:rPr>
          <w:rFonts w:ascii="Arial" w:hAnsi="Arial" w:cs="Arial"/>
          <w:sz w:val="20"/>
          <w:szCs w:val="20"/>
        </w:rPr>
        <w:t>The absence of any graphic details in the recording also supports release/publication.</w:t>
      </w:r>
    </w:p>
    <w:p w14:paraId="0B4CDBD2" w14:textId="04E4C580" w:rsidR="00501694" w:rsidRDefault="006142A7" w:rsidP="00501694">
      <w:pPr>
        <w:spacing w:before="80"/>
        <w:ind w:left="567" w:right="567"/>
        <w:jc w:val="both"/>
        <w:rPr>
          <w:rFonts w:ascii="Arial" w:hAnsi="Arial" w:cs="Arial"/>
          <w:sz w:val="20"/>
          <w:szCs w:val="20"/>
        </w:rPr>
      </w:pPr>
      <w:r>
        <w:rPr>
          <w:rFonts w:ascii="Arial" w:hAnsi="Arial" w:cs="Arial"/>
          <w:sz w:val="20"/>
          <w:szCs w:val="20"/>
        </w:rPr>
        <w:t>[32]</w:t>
      </w:r>
      <w:r w:rsidR="00501694" w:rsidRPr="00501694">
        <w:rPr>
          <w:rFonts w:ascii="Arial" w:hAnsi="Arial" w:cs="Arial"/>
          <w:sz w:val="20"/>
          <w:szCs w:val="20"/>
        </w:rPr>
        <w:t xml:space="preserve"> The victims and victims</w:t>
      </w:r>
      <w:r w:rsidR="00501694" w:rsidRPr="00501694">
        <w:rPr>
          <w:rFonts w:ascii="Arial" w:eastAsia="Book Antiqua" w:hAnsi="Arial" w:cs="Arial"/>
          <w:sz w:val="20"/>
          <w:szCs w:val="20"/>
        </w:rPr>
        <w:t>’</w:t>
      </w:r>
      <w:r w:rsidR="00501694" w:rsidRPr="00501694">
        <w:rPr>
          <w:rFonts w:ascii="Arial" w:hAnsi="Arial" w:cs="Arial"/>
          <w:sz w:val="20"/>
          <w:szCs w:val="20"/>
        </w:rPr>
        <w:t xml:space="preserve"> family do not oppose release and publication. Redactions can </w:t>
      </w:r>
      <w:r w:rsidR="00501694" w:rsidRPr="00501694">
        <w:rPr>
          <w:rFonts w:ascii="Arial" w:eastAsia="Book Antiqua" w:hAnsi="Arial" w:cs="Arial"/>
          <w:sz w:val="20"/>
          <w:szCs w:val="20"/>
        </w:rPr>
        <w:t>be made in the interests of Ms Patterson’s children’s</w:t>
      </w:r>
      <w:r w:rsidR="00501694" w:rsidRPr="00501694">
        <w:rPr>
          <w:rFonts w:ascii="Arial" w:hAnsi="Arial" w:cs="Arial"/>
          <w:sz w:val="20"/>
          <w:szCs w:val="20"/>
        </w:rPr>
        <w:t xml:space="preserve"> privacy. Given all the publicity to date about Ms Patterson and her trial, her privacy will not be significantly affected by release/publication of the recording.</w:t>
      </w:r>
    </w:p>
    <w:p w14:paraId="1E99CFF9" w14:textId="1B2E4D2C" w:rsidR="00501694" w:rsidRPr="006142A7" w:rsidRDefault="006142A7" w:rsidP="006142A7">
      <w:pPr>
        <w:spacing w:before="80"/>
        <w:ind w:left="567" w:right="567"/>
        <w:jc w:val="both"/>
        <w:rPr>
          <w:rFonts w:ascii="Arial" w:hAnsi="Arial" w:cs="Arial"/>
          <w:sz w:val="20"/>
          <w:szCs w:val="20"/>
        </w:rPr>
      </w:pPr>
      <w:r>
        <w:rPr>
          <w:rFonts w:ascii="Arial" w:hAnsi="Arial" w:cs="Arial"/>
          <w:sz w:val="20"/>
          <w:szCs w:val="20"/>
        </w:rPr>
        <w:t xml:space="preserve">[33] </w:t>
      </w:r>
      <w:r w:rsidR="00501694" w:rsidRPr="00501694">
        <w:rPr>
          <w:rFonts w:ascii="Arial" w:hAnsi="Arial" w:cs="Arial"/>
          <w:sz w:val="20"/>
          <w:szCs w:val="20"/>
        </w:rPr>
        <w:t>The above matters in my view outweigh any risk of other suspects being deterred from participating in police interviews because of fear of publication of their int</w:t>
      </w:r>
      <w:r>
        <w:rPr>
          <w:rFonts w:ascii="Arial" w:hAnsi="Arial" w:cs="Arial"/>
          <w:sz w:val="20"/>
          <w:szCs w:val="20"/>
        </w:rPr>
        <w:t>erviews.”</w:t>
      </w:r>
    </w:p>
    <w:p w14:paraId="525C7BC2" w14:textId="77777777" w:rsidR="00501694" w:rsidRDefault="00501694" w:rsidP="00E41D05">
      <w:pPr>
        <w:jc w:val="both"/>
        <w:rPr>
          <w:rFonts w:ascii="Arial" w:hAnsi="Arial" w:cs="Arial"/>
          <w:color w:val="000000"/>
          <w:sz w:val="20"/>
        </w:rPr>
      </w:pPr>
    </w:p>
    <w:p w14:paraId="4347E874" w14:textId="77777777" w:rsidR="0028588B" w:rsidRDefault="00074B0F" w:rsidP="00E41D05">
      <w:pPr>
        <w:jc w:val="both"/>
        <w:rPr>
          <w:rFonts w:ascii="Arial" w:hAnsi="Arial" w:cs="Arial"/>
          <w:color w:val="000000"/>
          <w:sz w:val="20"/>
        </w:rPr>
      </w:pPr>
      <w:r>
        <w:rPr>
          <w:rFonts w:ascii="Arial" w:hAnsi="Arial" w:cs="Arial"/>
          <w:color w:val="000000"/>
          <w:sz w:val="20"/>
        </w:rPr>
        <w:lastRenderedPageBreak/>
        <w:t xml:space="preserve">In the Children’s Court the restriction on publication of proceedings set out in </w:t>
      </w:r>
      <w:r w:rsidR="00155A48">
        <w:rPr>
          <w:rFonts w:ascii="Arial" w:hAnsi="Arial" w:cs="Arial"/>
          <w:color w:val="000000"/>
          <w:sz w:val="20"/>
        </w:rPr>
        <w:t>s.534</w:t>
      </w:r>
      <w:r w:rsidR="00CC2059">
        <w:rPr>
          <w:rFonts w:ascii="Arial" w:hAnsi="Arial" w:cs="Arial"/>
          <w:color w:val="000000"/>
          <w:sz w:val="20"/>
        </w:rPr>
        <w:t xml:space="preserve"> of the CYFA</w:t>
      </w:r>
      <w:r>
        <w:rPr>
          <w:rFonts w:ascii="Arial" w:hAnsi="Arial" w:cs="Arial"/>
          <w:color w:val="000000"/>
          <w:sz w:val="20"/>
        </w:rPr>
        <w:t xml:space="preserve"> – discussed below – creates an additional hurdle for a media applicant seeking copies of audio or audiovisual recordings of police interviews of accused children.</w:t>
      </w:r>
    </w:p>
    <w:p w14:paraId="1E4152AB" w14:textId="77777777" w:rsidR="007C31E4" w:rsidRDefault="007C31E4" w:rsidP="007C31E4">
      <w:pPr>
        <w:jc w:val="both"/>
        <w:rPr>
          <w:rFonts w:ascii="Arial" w:hAnsi="Arial" w:cs="Arial"/>
          <w:sz w:val="20"/>
          <w:szCs w:val="20"/>
        </w:rPr>
      </w:pPr>
    </w:p>
    <w:p w14:paraId="4B0D1DE5" w14:textId="5401E519" w:rsidR="007C31E4" w:rsidRDefault="007C31E4" w:rsidP="007C31E4">
      <w:pPr>
        <w:pStyle w:val="Heading3"/>
        <w:keepNext/>
        <w:keepLines/>
        <w:spacing w:after="120" w:line="240" w:lineRule="auto"/>
        <w:rPr>
          <w:rFonts w:ascii="Arial" w:hAnsi="Arial" w:cs="Arial"/>
          <w:b/>
          <w:bCs/>
          <w:sz w:val="20"/>
        </w:rPr>
      </w:pPr>
      <w:bookmarkStart w:id="452" w:name="_2.7.6_Recording_of"/>
      <w:bookmarkStart w:id="453" w:name="_2.7.6_Court_recording"/>
      <w:bookmarkStart w:id="454" w:name="_Hlk127528524"/>
      <w:bookmarkEnd w:id="452"/>
      <w:bookmarkEnd w:id="453"/>
      <w:r>
        <w:rPr>
          <w:rFonts w:ascii="Arial" w:hAnsi="Arial" w:cs="Arial"/>
          <w:b/>
          <w:bCs/>
          <w:sz w:val="20"/>
        </w:rPr>
        <w:t>2.7.6</w:t>
      </w:r>
      <w:r>
        <w:rPr>
          <w:rFonts w:ascii="Arial" w:hAnsi="Arial" w:cs="Arial"/>
          <w:b/>
          <w:bCs/>
          <w:sz w:val="20"/>
        </w:rPr>
        <w:tab/>
      </w:r>
      <w:r w:rsidR="00F24967">
        <w:rPr>
          <w:rFonts w:ascii="Arial" w:hAnsi="Arial" w:cs="Arial"/>
          <w:b/>
          <w:bCs/>
          <w:sz w:val="20"/>
        </w:rPr>
        <w:t>Court r</w:t>
      </w:r>
      <w:r>
        <w:rPr>
          <w:rFonts w:ascii="Arial" w:hAnsi="Arial" w:cs="Arial"/>
          <w:b/>
          <w:bCs/>
          <w:sz w:val="20"/>
        </w:rPr>
        <w:t>ecording of proceedings in the Children’s Court</w:t>
      </w:r>
    </w:p>
    <w:p w14:paraId="0DBC9121" w14:textId="7C7ACE72" w:rsidR="00BD4B32" w:rsidRPr="00BD4B32" w:rsidRDefault="00BD4B32" w:rsidP="00BD4B32">
      <w:pPr>
        <w:jc w:val="both"/>
        <w:rPr>
          <w:rFonts w:ascii="Arial" w:hAnsi="Arial" w:cs="Arial"/>
          <w:color w:val="000000"/>
          <w:sz w:val="20"/>
        </w:rPr>
      </w:pPr>
      <w:r>
        <w:rPr>
          <w:rFonts w:ascii="Arial" w:hAnsi="Arial" w:cs="Arial"/>
          <w:color w:val="000000"/>
          <w:sz w:val="20"/>
        </w:rPr>
        <w:t xml:space="preserve">All Court proceedings in the Children’s Court are digitally recorded </w:t>
      </w:r>
      <w:r w:rsidR="003C1275">
        <w:rPr>
          <w:rFonts w:ascii="Arial" w:hAnsi="Arial" w:cs="Arial"/>
          <w:color w:val="000000"/>
          <w:sz w:val="20"/>
        </w:rPr>
        <w:t xml:space="preserve">by the Court </w:t>
      </w:r>
      <w:r>
        <w:rPr>
          <w:rFonts w:ascii="Arial" w:hAnsi="Arial" w:cs="Arial"/>
          <w:color w:val="000000"/>
          <w:sz w:val="20"/>
        </w:rPr>
        <w:t xml:space="preserve">in accordance with s.19A </w:t>
      </w:r>
      <w:r w:rsidRPr="009A2F63">
        <w:rPr>
          <w:rFonts w:ascii="Arial" w:hAnsi="Arial" w:cs="Arial"/>
          <w:i/>
          <w:iCs/>
          <w:color w:val="000000"/>
          <w:sz w:val="20"/>
        </w:rPr>
        <w:t>Magistrates’ Court Act 1989</w:t>
      </w:r>
      <w:r>
        <w:rPr>
          <w:rFonts w:ascii="Arial" w:hAnsi="Arial" w:cs="Arial"/>
          <w:color w:val="000000"/>
          <w:sz w:val="20"/>
        </w:rPr>
        <w:t xml:space="preserve"> </w:t>
      </w:r>
      <w:r w:rsidR="00A21DF3">
        <w:rPr>
          <w:rFonts w:ascii="Arial" w:hAnsi="Arial" w:cs="Arial"/>
          <w:color w:val="000000"/>
          <w:sz w:val="20"/>
        </w:rPr>
        <w:t xml:space="preserve">(MCA), </w:t>
      </w:r>
      <w:r>
        <w:rPr>
          <w:rFonts w:ascii="Arial" w:hAnsi="Arial" w:cs="Arial"/>
          <w:color w:val="000000"/>
          <w:sz w:val="20"/>
        </w:rPr>
        <w:t xml:space="preserve">read in conjunction with s.528(2)(a) </w:t>
      </w:r>
      <w:r w:rsidR="00AF502F">
        <w:rPr>
          <w:rFonts w:ascii="Arial" w:hAnsi="Arial" w:cs="Arial"/>
          <w:color w:val="000000"/>
          <w:sz w:val="20"/>
        </w:rPr>
        <w:t xml:space="preserve">of the </w:t>
      </w:r>
      <w:r>
        <w:rPr>
          <w:rFonts w:ascii="Arial" w:hAnsi="Arial" w:cs="Arial"/>
          <w:color w:val="000000"/>
          <w:sz w:val="20"/>
        </w:rPr>
        <w:t>CYFA.  Section</w:t>
      </w:r>
      <w:r w:rsidR="00AF502F">
        <w:rPr>
          <w:rFonts w:ascii="Arial" w:hAnsi="Arial" w:cs="Arial"/>
          <w:color w:val="000000"/>
          <w:sz w:val="20"/>
        </w:rPr>
        <w:t> </w:t>
      </w:r>
      <w:r>
        <w:rPr>
          <w:rFonts w:ascii="Arial" w:hAnsi="Arial" w:cs="Arial"/>
          <w:color w:val="000000"/>
          <w:sz w:val="20"/>
        </w:rPr>
        <w:t>19A provides: “</w:t>
      </w:r>
      <w:r w:rsidRPr="00BD4B32">
        <w:rPr>
          <w:rFonts w:ascii="Arial" w:hAnsi="Arial" w:cs="Arial"/>
          <w:sz w:val="20"/>
          <w:szCs w:val="16"/>
        </w:rPr>
        <w:t>The principal registrar must ensure that all proceedings in the Court are recorded in accordance with the Rules.</w:t>
      </w:r>
      <w:r>
        <w:rPr>
          <w:rFonts w:ascii="Arial" w:hAnsi="Arial" w:cs="Arial"/>
          <w:sz w:val="20"/>
          <w:szCs w:val="16"/>
        </w:rPr>
        <w:t xml:space="preserve">” </w:t>
      </w:r>
      <w:r w:rsidR="003C1275">
        <w:rPr>
          <w:rFonts w:ascii="Arial" w:hAnsi="Arial" w:cs="Arial"/>
          <w:sz w:val="20"/>
          <w:szCs w:val="16"/>
        </w:rPr>
        <w:t xml:space="preserve">However, </w:t>
      </w:r>
      <w:r w:rsidR="00145AC3">
        <w:rPr>
          <w:rFonts w:ascii="Arial" w:hAnsi="Arial" w:cs="Arial"/>
          <w:sz w:val="20"/>
          <w:szCs w:val="16"/>
        </w:rPr>
        <w:t xml:space="preserve">in light of the general confidentiality provisions in s.226 CYFA, </w:t>
      </w:r>
      <w:r w:rsidR="003C1275">
        <w:rPr>
          <w:rFonts w:ascii="Arial" w:hAnsi="Arial" w:cs="Arial"/>
          <w:sz w:val="20"/>
          <w:szCs w:val="16"/>
        </w:rPr>
        <w:t xml:space="preserve">Family Division conciliation conferences are not </w:t>
      </w:r>
      <w:r w:rsidR="00027514">
        <w:rPr>
          <w:rFonts w:ascii="Arial" w:hAnsi="Arial" w:cs="Arial"/>
          <w:sz w:val="20"/>
          <w:szCs w:val="16"/>
        </w:rPr>
        <w:t xml:space="preserve">formally </w:t>
      </w:r>
      <w:r w:rsidR="003C1275">
        <w:rPr>
          <w:rFonts w:ascii="Arial" w:hAnsi="Arial" w:cs="Arial"/>
          <w:sz w:val="20"/>
          <w:szCs w:val="16"/>
        </w:rPr>
        <w:t>recorded.</w:t>
      </w:r>
    </w:p>
    <w:p w14:paraId="19B29823" w14:textId="12FC591C" w:rsidR="00BD4B32" w:rsidRDefault="00BD4B32" w:rsidP="00E41D05">
      <w:pPr>
        <w:jc w:val="both"/>
        <w:rPr>
          <w:rFonts w:ascii="Arial" w:hAnsi="Arial" w:cs="Arial"/>
          <w:color w:val="000000"/>
          <w:sz w:val="20"/>
        </w:rPr>
      </w:pPr>
    </w:p>
    <w:p w14:paraId="75F34F53" w14:textId="1C18FC0E" w:rsidR="001B1190" w:rsidRDefault="001B1190" w:rsidP="00E41D05">
      <w:pPr>
        <w:jc w:val="both"/>
        <w:rPr>
          <w:rFonts w:ascii="Arial" w:hAnsi="Arial" w:cs="Arial"/>
          <w:color w:val="000000"/>
          <w:sz w:val="20"/>
        </w:rPr>
      </w:pPr>
      <w:r>
        <w:rPr>
          <w:rFonts w:ascii="Arial" w:hAnsi="Arial" w:cs="Arial"/>
          <w:color w:val="000000"/>
          <w:sz w:val="20"/>
        </w:rPr>
        <w:t xml:space="preserve">Over the years the Magistrates’ Court has issued </w:t>
      </w:r>
      <w:r w:rsidR="00AF3D07">
        <w:rPr>
          <w:rFonts w:ascii="Arial" w:hAnsi="Arial" w:cs="Arial"/>
          <w:color w:val="000000"/>
          <w:sz w:val="20"/>
        </w:rPr>
        <w:t>4</w:t>
      </w:r>
      <w:r>
        <w:rPr>
          <w:rFonts w:ascii="Arial" w:hAnsi="Arial" w:cs="Arial"/>
          <w:color w:val="000000"/>
          <w:sz w:val="20"/>
        </w:rPr>
        <w:t xml:space="preserve"> Practice Directions on the issue of audio recording of court proceedings. The current Practice Direction – No. 2 of 2023 – has been in operation since 14</w:t>
      </w:r>
      <w:r w:rsidR="00A21DF3">
        <w:rPr>
          <w:rFonts w:ascii="Arial" w:hAnsi="Arial" w:cs="Arial"/>
          <w:color w:val="000000"/>
          <w:sz w:val="20"/>
        </w:rPr>
        <w:t> </w:t>
      </w:r>
      <w:r>
        <w:rPr>
          <w:rFonts w:ascii="Arial" w:hAnsi="Arial" w:cs="Arial"/>
          <w:color w:val="000000"/>
          <w:sz w:val="20"/>
        </w:rPr>
        <w:t>April 2023 and provides:</w:t>
      </w:r>
    </w:p>
    <w:p w14:paraId="67DE512E" w14:textId="5B1C71AF" w:rsidR="001B1190" w:rsidRDefault="001B1190" w:rsidP="001B1190">
      <w:pPr>
        <w:spacing w:before="60"/>
        <w:ind w:left="924" w:right="567" w:hanging="357"/>
        <w:jc w:val="both"/>
        <w:rPr>
          <w:rFonts w:ascii="Arial" w:hAnsi="Arial" w:cs="Arial"/>
          <w:color w:val="000000"/>
          <w:sz w:val="18"/>
          <w:szCs w:val="22"/>
        </w:rPr>
      </w:pPr>
      <w:r w:rsidRPr="001B1190">
        <w:rPr>
          <w:rFonts w:ascii="Arial" w:hAnsi="Arial" w:cs="Arial"/>
          <w:color w:val="000000"/>
          <w:sz w:val="18"/>
          <w:szCs w:val="22"/>
        </w:rPr>
        <w:t>1.</w:t>
      </w:r>
      <w:r w:rsidRPr="001B1190">
        <w:rPr>
          <w:rFonts w:ascii="Arial" w:hAnsi="Arial" w:cs="Arial"/>
          <w:color w:val="000000"/>
          <w:sz w:val="18"/>
          <w:szCs w:val="22"/>
        </w:rPr>
        <w:tab/>
        <w:t>Proceedings before the Magistrates’ Court of Victoria (the Court) are recorded by the Court’s audio recording equipment.</w:t>
      </w:r>
    </w:p>
    <w:p w14:paraId="6D423DC8" w14:textId="51B8F2AC" w:rsidR="001B1190" w:rsidRDefault="001B1190" w:rsidP="001B1190">
      <w:pPr>
        <w:spacing w:before="60"/>
        <w:ind w:left="924" w:right="567" w:hanging="357"/>
        <w:jc w:val="both"/>
        <w:rPr>
          <w:rFonts w:ascii="Arial" w:hAnsi="Arial" w:cs="Arial"/>
          <w:color w:val="000000"/>
          <w:sz w:val="18"/>
          <w:szCs w:val="18"/>
        </w:rPr>
      </w:pPr>
      <w:r>
        <w:rPr>
          <w:rFonts w:ascii="Arial" w:hAnsi="Arial" w:cs="Arial"/>
          <w:color w:val="000000"/>
          <w:sz w:val="18"/>
          <w:szCs w:val="22"/>
        </w:rPr>
        <w:t>2.</w:t>
      </w:r>
      <w:r>
        <w:rPr>
          <w:rFonts w:ascii="Arial" w:hAnsi="Arial" w:cs="Arial"/>
          <w:color w:val="000000"/>
          <w:sz w:val="18"/>
          <w:szCs w:val="22"/>
        </w:rPr>
        <w:tab/>
      </w:r>
      <w:r w:rsidRPr="001B1190">
        <w:rPr>
          <w:rFonts w:ascii="Arial" w:hAnsi="Arial" w:cs="Arial"/>
          <w:color w:val="000000"/>
          <w:sz w:val="18"/>
          <w:szCs w:val="18"/>
        </w:rPr>
        <w:t>Audio recordings of proceedings in the Magistrates’ Court of Victoria are retained for 12 months from the date of hearing.</w:t>
      </w:r>
    </w:p>
    <w:p w14:paraId="3F428A40" w14:textId="3E4B2165" w:rsidR="001B1190" w:rsidRDefault="001B1190" w:rsidP="001B1190">
      <w:pPr>
        <w:spacing w:before="60"/>
        <w:ind w:left="924" w:right="567" w:hanging="357"/>
        <w:jc w:val="both"/>
        <w:rPr>
          <w:rFonts w:ascii="Arial" w:hAnsi="Arial" w:cs="Arial"/>
          <w:color w:val="000000"/>
          <w:sz w:val="18"/>
          <w:szCs w:val="18"/>
        </w:rPr>
      </w:pPr>
      <w:r>
        <w:rPr>
          <w:rFonts w:ascii="Arial" w:hAnsi="Arial" w:cs="Arial"/>
          <w:color w:val="000000"/>
          <w:sz w:val="18"/>
          <w:szCs w:val="18"/>
        </w:rPr>
        <w:t>3.</w:t>
      </w:r>
      <w:r>
        <w:rPr>
          <w:rFonts w:ascii="Arial" w:hAnsi="Arial" w:cs="Arial"/>
          <w:color w:val="000000"/>
          <w:sz w:val="18"/>
          <w:szCs w:val="18"/>
        </w:rPr>
        <w:tab/>
        <w:t xml:space="preserve">Unless the Court determines in any particular matter that a recording should not be released, a copy of a recording may be released to a party to a proceeding or their legal representative upon payment of the applicable fee or approval of application for fee waiver. Release of a recording </w:t>
      </w:r>
      <w:r w:rsidR="00370B71">
        <w:rPr>
          <w:rFonts w:ascii="Arial" w:hAnsi="Arial" w:cs="Arial"/>
          <w:color w:val="000000"/>
          <w:sz w:val="18"/>
          <w:szCs w:val="18"/>
        </w:rPr>
        <w:t>m</w:t>
      </w:r>
      <w:r>
        <w:rPr>
          <w:rFonts w:ascii="Arial" w:hAnsi="Arial" w:cs="Arial"/>
          <w:color w:val="000000"/>
          <w:sz w:val="18"/>
          <w:szCs w:val="18"/>
        </w:rPr>
        <w:t>ay be subject to conditions as determined by the Court.</w:t>
      </w:r>
    </w:p>
    <w:p w14:paraId="53733F60" w14:textId="634D007F" w:rsidR="00A21DF3" w:rsidRDefault="00A21DF3" w:rsidP="001B1190">
      <w:pPr>
        <w:spacing w:before="60"/>
        <w:ind w:left="924" w:right="567" w:hanging="357"/>
        <w:jc w:val="both"/>
        <w:rPr>
          <w:rFonts w:ascii="Arial" w:hAnsi="Arial" w:cs="Arial"/>
          <w:color w:val="000000"/>
          <w:sz w:val="18"/>
          <w:szCs w:val="18"/>
        </w:rPr>
      </w:pPr>
      <w:r>
        <w:rPr>
          <w:rFonts w:ascii="Arial" w:hAnsi="Arial" w:cs="Arial"/>
          <w:color w:val="000000"/>
          <w:sz w:val="18"/>
          <w:szCs w:val="18"/>
        </w:rPr>
        <w:t>4.</w:t>
      </w:r>
      <w:r>
        <w:rPr>
          <w:rFonts w:ascii="Arial" w:hAnsi="Arial" w:cs="Arial"/>
          <w:color w:val="000000"/>
          <w:sz w:val="18"/>
          <w:szCs w:val="18"/>
        </w:rPr>
        <w:tab/>
        <w:t>A copy of a recording may be requested by a non-party to a proceeding. Such request requires approval by the Court.  If approval is granted a copy of the recording may be released upon payment of the applicable fee or approval for fee waiver.  Release of a recording may be subject to conditions as determined by the Court.</w:t>
      </w:r>
    </w:p>
    <w:p w14:paraId="27717E1E" w14:textId="10F5A734" w:rsidR="00276279" w:rsidRDefault="00276279" w:rsidP="001B1190">
      <w:pPr>
        <w:spacing w:before="60"/>
        <w:ind w:left="924" w:right="567" w:hanging="357"/>
        <w:jc w:val="both"/>
        <w:rPr>
          <w:rFonts w:ascii="Arial" w:hAnsi="Arial" w:cs="Arial"/>
          <w:color w:val="000000"/>
          <w:sz w:val="18"/>
          <w:szCs w:val="18"/>
        </w:rPr>
      </w:pPr>
      <w:r>
        <w:rPr>
          <w:rFonts w:ascii="Arial" w:hAnsi="Arial" w:cs="Arial"/>
          <w:color w:val="000000"/>
          <w:sz w:val="18"/>
          <w:szCs w:val="18"/>
        </w:rPr>
        <w:t>5.</w:t>
      </w:r>
      <w:r>
        <w:rPr>
          <w:rFonts w:ascii="Arial" w:hAnsi="Arial" w:cs="Arial"/>
          <w:color w:val="000000"/>
          <w:sz w:val="18"/>
          <w:szCs w:val="18"/>
        </w:rPr>
        <w:tab/>
        <w:t>Where an appeal is lodged to the County Court of Victoria in relation to a Family Violence Intervention Order or Personal Safety Intervention Order, a copy of the recording will be released to the County Court of Victoria without fee.</w:t>
      </w:r>
    </w:p>
    <w:p w14:paraId="44B072B2" w14:textId="4E67D62E" w:rsidR="00276279" w:rsidRPr="001B1190" w:rsidRDefault="00276279" w:rsidP="001B1190">
      <w:pPr>
        <w:spacing w:before="60"/>
        <w:ind w:left="924" w:right="567" w:hanging="357"/>
        <w:jc w:val="both"/>
        <w:rPr>
          <w:rFonts w:ascii="Arial" w:hAnsi="Arial" w:cs="Arial"/>
          <w:color w:val="000000"/>
          <w:sz w:val="18"/>
          <w:szCs w:val="22"/>
        </w:rPr>
      </w:pPr>
      <w:r>
        <w:rPr>
          <w:rFonts w:ascii="Arial" w:hAnsi="Arial" w:cs="Arial"/>
          <w:color w:val="000000"/>
          <w:sz w:val="18"/>
          <w:szCs w:val="18"/>
        </w:rPr>
        <w:t>6.</w:t>
      </w:r>
      <w:r>
        <w:rPr>
          <w:rFonts w:ascii="Arial" w:hAnsi="Arial" w:cs="Arial"/>
          <w:color w:val="000000"/>
          <w:sz w:val="18"/>
          <w:szCs w:val="18"/>
        </w:rPr>
        <w:tab/>
        <w:t xml:space="preserve">Further guidance as to audio recordings is available on the Magistrates’ Court website at </w:t>
      </w:r>
      <w:hyperlink r:id="rId11" w:history="1">
        <w:r w:rsidRPr="00B37281">
          <w:rPr>
            <w:rStyle w:val="Hyperlink"/>
            <w:rFonts w:ascii="Arial" w:hAnsi="Arial" w:cs="Arial"/>
            <w:sz w:val="18"/>
            <w:szCs w:val="18"/>
          </w:rPr>
          <w:t>https://www.mcv.vic.gov.au/going-court/documents-and-recordings</w:t>
        </w:r>
      </w:hyperlink>
      <w:r>
        <w:rPr>
          <w:rFonts w:ascii="Arial" w:hAnsi="Arial" w:cs="Arial"/>
          <w:color w:val="000000"/>
          <w:sz w:val="18"/>
          <w:szCs w:val="18"/>
        </w:rPr>
        <w:t>.</w:t>
      </w:r>
    </w:p>
    <w:p w14:paraId="56FEF85F" w14:textId="0E8B3180" w:rsidR="001B1190" w:rsidRDefault="001B1190" w:rsidP="00E41D05">
      <w:pPr>
        <w:jc w:val="both"/>
        <w:rPr>
          <w:rFonts w:ascii="Arial" w:hAnsi="Arial" w:cs="Arial"/>
          <w:color w:val="000000"/>
          <w:sz w:val="20"/>
        </w:rPr>
      </w:pPr>
    </w:p>
    <w:p w14:paraId="0CF6BEF0" w14:textId="6A1C9C04" w:rsidR="001B1190" w:rsidRDefault="00A21DF3" w:rsidP="00E41D05">
      <w:pPr>
        <w:jc w:val="both"/>
        <w:rPr>
          <w:rFonts w:ascii="Arial" w:hAnsi="Arial" w:cs="Arial"/>
          <w:color w:val="000000"/>
          <w:sz w:val="20"/>
        </w:rPr>
      </w:pPr>
      <w:r>
        <w:rPr>
          <w:rFonts w:ascii="Arial" w:hAnsi="Arial" w:cs="Arial"/>
          <w:color w:val="000000"/>
          <w:sz w:val="20"/>
        </w:rPr>
        <w:t xml:space="preserve">However, there have never been any relevant Rules as contemplated by s.19A. This gives rise to the question whether s.19A </w:t>
      </w:r>
      <w:r w:rsidR="00414A89">
        <w:rPr>
          <w:rFonts w:ascii="Arial" w:hAnsi="Arial" w:cs="Arial"/>
          <w:color w:val="000000"/>
          <w:sz w:val="20"/>
        </w:rPr>
        <w:t>imposes</w:t>
      </w:r>
      <w:r>
        <w:rPr>
          <w:rFonts w:ascii="Arial" w:hAnsi="Arial" w:cs="Arial"/>
          <w:color w:val="000000"/>
          <w:sz w:val="20"/>
        </w:rPr>
        <w:t xml:space="preserve"> any binding </w:t>
      </w:r>
      <w:r w:rsidR="00414A89">
        <w:rPr>
          <w:rFonts w:ascii="Arial" w:hAnsi="Arial" w:cs="Arial"/>
          <w:color w:val="000000"/>
          <w:sz w:val="20"/>
        </w:rPr>
        <w:t>obligation</w:t>
      </w:r>
      <w:r>
        <w:rPr>
          <w:rFonts w:ascii="Arial" w:hAnsi="Arial" w:cs="Arial"/>
          <w:color w:val="000000"/>
          <w:sz w:val="20"/>
        </w:rPr>
        <w:t xml:space="preserve"> on the principal registrar</w:t>
      </w:r>
      <w:r w:rsidR="00292DFB">
        <w:rPr>
          <w:rFonts w:ascii="Arial" w:hAnsi="Arial" w:cs="Arial"/>
          <w:color w:val="000000"/>
          <w:sz w:val="20"/>
        </w:rPr>
        <w:t xml:space="preserve"> in the absence of Rules</w:t>
      </w:r>
      <w:r>
        <w:rPr>
          <w:rFonts w:ascii="Arial" w:hAnsi="Arial" w:cs="Arial"/>
          <w:color w:val="000000"/>
          <w:sz w:val="20"/>
        </w:rPr>
        <w:t xml:space="preserve">. The writer’s preferred </w:t>
      </w:r>
      <w:r w:rsidR="00414A89">
        <w:rPr>
          <w:rFonts w:ascii="Arial" w:hAnsi="Arial" w:cs="Arial"/>
          <w:color w:val="000000"/>
          <w:sz w:val="20"/>
        </w:rPr>
        <w:t>interpretation</w:t>
      </w:r>
      <w:r>
        <w:rPr>
          <w:rFonts w:ascii="Arial" w:hAnsi="Arial" w:cs="Arial"/>
          <w:color w:val="000000"/>
          <w:sz w:val="20"/>
        </w:rPr>
        <w:t xml:space="preserve"> is that in the absence of relevant Rules, the words “in accordance with the Rules” should be </w:t>
      </w:r>
      <w:r w:rsidR="00370B71">
        <w:rPr>
          <w:rFonts w:ascii="Arial" w:hAnsi="Arial" w:cs="Arial"/>
          <w:color w:val="000000"/>
          <w:sz w:val="20"/>
        </w:rPr>
        <w:t xml:space="preserve">regarded as </w:t>
      </w:r>
      <w:r>
        <w:rPr>
          <w:rFonts w:ascii="Arial" w:hAnsi="Arial" w:cs="Arial"/>
          <w:color w:val="000000"/>
          <w:sz w:val="20"/>
        </w:rPr>
        <w:t xml:space="preserve">‘blue-pencilled’ out of s.19A </w:t>
      </w:r>
      <w:r w:rsidR="00370B71">
        <w:rPr>
          <w:rFonts w:ascii="Arial" w:hAnsi="Arial" w:cs="Arial"/>
          <w:color w:val="000000"/>
          <w:sz w:val="20"/>
        </w:rPr>
        <w:t>with</w:t>
      </w:r>
      <w:r>
        <w:rPr>
          <w:rFonts w:ascii="Arial" w:hAnsi="Arial" w:cs="Arial"/>
          <w:color w:val="000000"/>
          <w:sz w:val="20"/>
        </w:rPr>
        <w:t xml:space="preserve"> the </w:t>
      </w:r>
      <w:r w:rsidR="00370B71">
        <w:rPr>
          <w:rFonts w:ascii="Arial" w:hAnsi="Arial" w:cs="Arial"/>
          <w:color w:val="000000"/>
          <w:sz w:val="20"/>
        </w:rPr>
        <w:t xml:space="preserve">truncated </w:t>
      </w:r>
      <w:r>
        <w:rPr>
          <w:rFonts w:ascii="Arial" w:hAnsi="Arial" w:cs="Arial"/>
          <w:color w:val="000000"/>
          <w:sz w:val="20"/>
        </w:rPr>
        <w:t>section continu</w:t>
      </w:r>
      <w:r w:rsidR="00370B71">
        <w:rPr>
          <w:rFonts w:ascii="Arial" w:hAnsi="Arial" w:cs="Arial"/>
          <w:color w:val="000000"/>
          <w:sz w:val="20"/>
        </w:rPr>
        <w:t>ing</w:t>
      </w:r>
      <w:r>
        <w:rPr>
          <w:rFonts w:ascii="Arial" w:hAnsi="Arial" w:cs="Arial"/>
          <w:color w:val="000000"/>
          <w:sz w:val="20"/>
        </w:rPr>
        <w:t xml:space="preserve"> to impose an obligation on the principal registrar to ensure that all proceedings in the Court are recorded.</w:t>
      </w:r>
    </w:p>
    <w:p w14:paraId="10F86FA2" w14:textId="77777777" w:rsidR="001B1190" w:rsidRDefault="001B1190" w:rsidP="00E41D05">
      <w:pPr>
        <w:jc w:val="both"/>
        <w:rPr>
          <w:rFonts w:ascii="Arial" w:hAnsi="Arial" w:cs="Arial"/>
          <w:color w:val="000000"/>
          <w:sz w:val="20"/>
        </w:rPr>
      </w:pPr>
    </w:p>
    <w:p w14:paraId="3D426AAB" w14:textId="2B181794" w:rsidR="002218AB" w:rsidRDefault="00A21DF3" w:rsidP="00872875">
      <w:pPr>
        <w:jc w:val="both"/>
        <w:rPr>
          <w:rFonts w:ascii="Arial" w:hAnsi="Arial" w:cs="Arial"/>
          <w:color w:val="000000"/>
          <w:sz w:val="20"/>
        </w:rPr>
      </w:pPr>
      <w:r>
        <w:rPr>
          <w:rFonts w:ascii="Arial" w:hAnsi="Arial" w:cs="Arial"/>
          <w:color w:val="000000"/>
          <w:sz w:val="20"/>
        </w:rPr>
        <w:t xml:space="preserve">In the Children’s Court </w:t>
      </w:r>
      <w:r w:rsidR="008939E1">
        <w:rPr>
          <w:rFonts w:ascii="Arial" w:hAnsi="Arial" w:cs="Arial"/>
          <w:color w:val="000000"/>
          <w:sz w:val="20"/>
        </w:rPr>
        <w:t>audio</w:t>
      </w:r>
      <w:r w:rsidR="003C1275">
        <w:rPr>
          <w:rFonts w:ascii="Arial" w:hAnsi="Arial" w:cs="Arial"/>
          <w:color w:val="000000"/>
          <w:sz w:val="20"/>
        </w:rPr>
        <w:t xml:space="preserve"> recordings </w:t>
      </w:r>
      <w:r w:rsidR="008939E1">
        <w:rPr>
          <w:rFonts w:ascii="Arial" w:hAnsi="Arial" w:cs="Arial"/>
          <w:color w:val="000000"/>
          <w:sz w:val="20"/>
        </w:rPr>
        <w:t xml:space="preserve">of proceedings </w:t>
      </w:r>
      <w:r w:rsidR="003C1275">
        <w:rPr>
          <w:rFonts w:ascii="Arial" w:hAnsi="Arial" w:cs="Arial"/>
          <w:color w:val="000000"/>
          <w:sz w:val="20"/>
        </w:rPr>
        <w:t xml:space="preserve">are </w:t>
      </w:r>
      <w:r w:rsidR="00AF502F">
        <w:rPr>
          <w:rFonts w:ascii="Arial" w:hAnsi="Arial" w:cs="Arial"/>
          <w:color w:val="000000"/>
          <w:sz w:val="20"/>
        </w:rPr>
        <w:t xml:space="preserve">also </w:t>
      </w:r>
      <w:r w:rsidR="003C1275">
        <w:rPr>
          <w:rFonts w:ascii="Arial" w:hAnsi="Arial" w:cs="Arial"/>
          <w:color w:val="000000"/>
          <w:sz w:val="20"/>
        </w:rPr>
        <w:t xml:space="preserve">generally </w:t>
      </w:r>
      <w:r w:rsidR="00AF502F">
        <w:rPr>
          <w:rFonts w:ascii="Arial" w:hAnsi="Arial" w:cs="Arial"/>
          <w:color w:val="000000"/>
          <w:sz w:val="20"/>
        </w:rPr>
        <w:t>retained</w:t>
      </w:r>
      <w:r w:rsidR="003C1275">
        <w:rPr>
          <w:rFonts w:ascii="Arial" w:hAnsi="Arial" w:cs="Arial"/>
          <w:color w:val="000000"/>
          <w:sz w:val="20"/>
        </w:rPr>
        <w:t xml:space="preserve"> for 12 months from the date of the hearing.</w:t>
      </w:r>
    </w:p>
    <w:p w14:paraId="625E4282" w14:textId="77777777" w:rsidR="002218AB" w:rsidRDefault="002218AB" w:rsidP="00872875">
      <w:pPr>
        <w:jc w:val="both"/>
        <w:rPr>
          <w:rFonts w:ascii="Arial" w:hAnsi="Arial" w:cs="Arial"/>
          <w:color w:val="000000"/>
          <w:sz w:val="20"/>
        </w:rPr>
      </w:pPr>
    </w:p>
    <w:p w14:paraId="5FB62C21" w14:textId="1ADA2B61" w:rsidR="002218AB" w:rsidRDefault="002218AB" w:rsidP="00872875">
      <w:pPr>
        <w:jc w:val="both"/>
        <w:rPr>
          <w:rFonts w:ascii="Arial" w:hAnsi="Arial" w:cs="Arial"/>
          <w:color w:val="000000"/>
          <w:sz w:val="20"/>
        </w:rPr>
      </w:pPr>
      <w:bookmarkStart w:id="455" w:name="_Hlk197499394"/>
      <w:r>
        <w:rPr>
          <w:rFonts w:ascii="Arial" w:hAnsi="Arial" w:cs="Arial"/>
          <w:color w:val="000000"/>
          <w:sz w:val="20"/>
        </w:rPr>
        <w:t xml:space="preserve">In relation to child protection proceedings and </w:t>
      </w:r>
      <w:r w:rsidRPr="002218AB">
        <w:rPr>
          <w:rFonts w:ascii="Arial" w:hAnsi="Arial" w:cs="Arial"/>
          <w:sz w:val="20"/>
          <w:szCs w:val="20"/>
        </w:rPr>
        <w:t xml:space="preserve">proceedings under the </w:t>
      </w:r>
      <w:r w:rsidRPr="002218AB">
        <w:rPr>
          <w:rFonts w:ascii="Arial" w:hAnsi="Arial" w:cs="Arial"/>
          <w:i/>
          <w:iCs/>
          <w:sz w:val="20"/>
          <w:szCs w:val="20"/>
        </w:rPr>
        <w:t>Terrorism (Community Protection) Act 200</w:t>
      </w:r>
      <w:r>
        <w:rPr>
          <w:rFonts w:ascii="Arial" w:hAnsi="Arial" w:cs="Arial"/>
          <w:i/>
          <w:iCs/>
          <w:sz w:val="20"/>
          <w:szCs w:val="20"/>
        </w:rPr>
        <w:t xml:space="preserve">3 </w:t>
      </w:r>
      <w:r w:rsidRPr="002218AB">
        <w:rPr>
          <w:rFonts w:ascii="Arial" w:hAnsi="Arial" w:cs="Arial"/>
          <w:sz w:val="20"/>
          <w:szCs w:val="20"/>
        </w:rPr>
        <w:t>in</w:t>
      </w:r>
      <w:r>
        <w:rPr>
          <w:rFonts w:ascii="Arial" w:hAnsi="Arial" w:cs="Arial"/>
          <w:sz w:val="20"/>
          <w:szCs w:val="20"/>
        </w:rPr>
        <w:t xml:space="preserve"> </w:t>
      </w:r>
      <w:r>
        <w:rPr>
          <w:rFonts w:ascii="Arial" w:hAnsi="Arial" w:cs="Arial"/>
          <w:color w:val="000000"/>
          <w:sz w:val="20"/>
        </w:rPr>
        <w:t>the Family Division of the Children’s Court, paragraphs 18</w:t>
      </w:r>
      <w:r w:rsidR="00AA0002">
        <w:rPr>
          <w:rFonts w:ascii="Arial" w:hAnsi="Arial" w:cs="Arial"/>
          <w:color w:val="000000"/>
          <w:sz w:val="20"/>
        </w:rPr>
        <w:t>-1</w:t>
      </w:r>
      <w:r>
        <w:rPr>
          <w:rFonts w:ascii="Arial" w:hAnsi="Arial" w:cs="Arial"/>
          <w:color w:val="000000"/>
          <w:sz w:val="20"/>
        </w:rPr>
        <w:t xml:space="preserve">9 of </w:t>
      </w:r>
      <w:r w:rsidR="00F77652">
        <w:rPr>
          <w:rFonts w:ascii="Arial" w:hAnsi="Arial" w:cs="Arial"/>
          <w:color w:val="000000"/>
          <w:sz w:val="20"/>
        </w:rPr>
        <w:t xml:space="preserve">the Children’s Court </w:t>
      </w:r>
      <w:r>
        <w:rPr>
          <w:rFonts w:ascii="Arial" w:hAnsi="Arial" w:cs="Arial"/>
          <w:color w:val="000000"/>
          <w:sz w:val="20"/>
        </w:rPr>
        <w:t>Practice Direction No.1 of 202</w:t>
      </w:r>
      <w:r w:rsidR="00AF3D07">
        <w:rPr>
          <w:rFonts w:ascii="Arial" w:hAnsi="Arial" w:cs="Arial"/>
          <w:color w:val="000000"/>
          <w:sz w:val="20"/>
        </w:rPr>
        <w:t>5</w:t>
      </w:r>
      <w:r>
        <w:rPr>
          <w:rFonts w:ascii="Arial" w:hAnsi="Arial" w:cs="Arial"/>
          <w:color w:val="000000"/>
          <w:sz w:val="20"/>
        </w:rPr>
        <w:t xml:space="preserve"> provide:</w:t>
      </w:r>
    </w:p>
    <w:p w14:paraId="20CFBE26" w14:textId="1F7E8591" w:rsidR="002218AB" w:rsidRPr="002218AB" w:rsidRDefault="002218AB" w:rsidP="002218AB">
      <w:pPr>
        <w:spacing w:before="60"/>
        <w:jc w:val="center"/>
        <w:rPr>
          <w:rFonts w:ascii="Arial" w:hAnsi="Arial" w:cs="Arial"/>
          <w:b/>
          <w:bCs/>
          <w:sz w:val="20"/>
          <w:szCs w:val="20"/>
        </w:rPr>
      </w:pPr>
      <w:r w:rsidRPr="002218AB">
        <w:rPr>
          <w:rFonts w:ascii="Arial" w:hAnsi="Arial" w:cs="Arial"/>
          <w:b/>
          <w:bCs/>
          <w:sz w:val="20"/>
          <w:szCs w:val="20"/>
        </w:rPr>
        <w:t>DIGITAL RECORDINGS</w:t>
      </w:r>
    </w:p>
    <w:p w14:paraId="05D18638" w14:textId="46ECF7BE" w:rsidR="002218AB" w:rsidRDefault="002218AB" w:rsidP="00B97DFE">
      <w:pPr>
        <w:spacing w:before="60"/>
        <w:ind w:left="454" w:hanging="454"/>
        <w:jc w:val="both"/>
        <w:rPr>
          <w:rFonts w:ascii="Arial" w:hAnsi="Arial" w:cs="Arial"/>
          <w:sz w:val="20"/>
          <w:szCs w:val="20"/>
        </w:rPr>
      </w:pPr>
      <w:r w:rsidRPr="002218AB">
        <w:rPr>
          <w:rFonts w:ascii="Arial" w:hAnsi="Arial" w:cs="Arial"/>
          <w:sz w:val="20"/>
          <w:szCs w:val="20"/>
        </w:rPr>
        <w:t>18.</w:t>
      </w:r>
      <w:r w:rsidR="00B97DFE">
        <w:rPr>
          <w:rFonts w:ascii="Arial" w:hAnsi="Arial" w:cs="Arial"/>
          <w:sz w:val="20"/>
          <w:szCs w:val="20"/>
        </w:rPr>
        <w:tab/>
      </w:r>
      <w:r w:rsidRPr="002218AB">
        <w:rPr>
          <w:rFonts w:ascii="Arial" w:hAnsi="Arial" w:cs="Arial"/>
          <w:sz w:val="20"/>
          <w:szCs w:val="20"/>
        </w:rPr>
        <w:t>An application by a self-represented party for a copy of a digital recording in a proceeding is to be made by filing a Request for Copy of Audio Recording Form with the relevant Children’s Court Registry.</w:t>
      </w:r>
    </w:p>
    <w:p w14:paraId="26761886" w14:textId="3CDA5BCA" w:rsidR="00B97DFE" w:rsidRDefault="002218AB" w:rsidP="00B97DFE">
      <w:pPr>
        <w:spacing w:before="60"/>
        <w:ind w:left="454" w:hanging="454"/>
        <w:jc w:val="both"/>
        <w:rPr>
          <w:rFonts w:ascii="Arial" w:hAnsi="Arial" w:cs="Arial"/>
          <w:sz w:val="20"/>
          <w:szCs w:val="20"/>
        </w:rPr>
      </w:pPr>
      <w:r w:rsidRPr="002218AB">
        <w:rPr>
          <w:rFonts w:ascii="Arial" w:hAnsi="Arial" w:cs="Arial"/>
          <w:sz w:val="20"/>
          <w:szCs w:val="20"/>
        </w:rPr>
        <w:t>19.</w:t>
      </w:r>
      <w:r w:rsidR="00B97DFE">
        <w:rPr>
          <w:rFonts w:ascii="Arial" w:hAnsi="Arial" w:cs="Arial"/>
          <w:sz w:val="20"/>
          <w:szCs w:val="20"/>
        </w:rPr>
        <w:tab/>
      </w:r>
      <w:r w:rsidRPr="002218AB">
        <w:rPr>
          <w:rFonts w:ascii="Arial" w:hAnsi="Arial" w:cs="Arial"/>
          <w:sz w:val="20"/>
          <w:szCs w:val="20"/>
        </w:rPr>
        <w:t>An application by a represented party for a copy of a digital recording in a proceeding is to be made by the legal practitioner filing the Request for Copy of Audio Recording Form in the CMS portal.</w:t>
      </w:r>
    </w:p>
    <w:p w14:paraId="2E57355B" w14:textId="6B4CC3E4" w:rsidR="002218AB" w:rsidRDefault="008C04D7" w:rsidP="008C04D7">
      <w:pPr>
        <w:spacing w:before="60"/>
        <w:jc w:val="both"/>
        <w:rPr>
          <w:rFonts w:ascii="Arial" w:hAnsi="Arial" w:cs="Arial"/>
          <w:color w:val="000000"/>
          <w:sz w:val="20"/>
        </w:rPr>
      </w:pPr>
      <w:r>
        <w:rPr>
          <w:rFonts w:ascii="Arial" w:hAnsi="Arial" w:cs="Arial"/>
          <w:color w:val="000000"/>
          <w:sz w:val="20"/>
        </w:rPr>
        <w:t xml:space="preserve">Although these paragraphs </w:t>
      </w:r>
      <w:r w:rsidR="003852AB">
        <w:rPr>
          <w:rFonts w:ascii="Arial" w:hAnsi="Arial" w:cs="Arial"/>
          <w:color w:val="000000"/>
          <w:sz w:val="20"/>
        </w:rPr>
        <w:t>could possibly be read narrowly as</w:t>
      </w:r>
      <w:r>
        <w:rPr>
          <w:rFonts w:ascii="Arial" w:hAnsi="Arial" w:cs="Arial"/>
          <w:color w:val="000000"/>
          <w:sz w:val="20"/>
        </w:rPr>
        <w:t xml:space="preserve"> confined to the release of digital recordings to parties to the relevant proceeding, it is clear from paragraph 4 of the Magistrates’ Court Practice Direction No.2 of 2023 that a copy of a recording may be requested by a non-party to a proceeding</w:t>
      </w:r>
      <w:r w:rsidR="00F77652">
        <w:rPr>
          <w:rFonts w:ascii="Arial" w:hAnsi="Arial" w:cs="Arial"/>
          <w:color w:val="000000"/>
          <w:sz w:val="20"/>
        </w:rPr>
        <w:t xml:space="preserve">. </w:t>
      </w:r>
      <w:r w:rsidR="003852AB">
        <w:rPr>
          <w:rFonts w:ascii="Arial" w:hAnsi="Arial" w:cs="Arial"/>
          <w:color w:val="000000"/>
          <w:sz w:val="20"/>
        </w:rPr>
        <w:t xml:space="preserve">Relevant </w:t>
      </w:r>
      <w:r w:rsidR="003852AB" w:rsidRPr="003852AB">
        <w:rPr>
          <w:rFonts w:ascii="Arial" w:hAnsi="Arial" w:cs="Arial"/>
          <w:color w:val="000000"/>
          <w:sz w:val="20"/>
        </w:rPr>
        <w:t>Magistrates’ Court Practice Directions have application in the Children’s Court as a necessary corollary of s.528 of the CYFA</w:t>
      </w:r>
      <w:r w:rsidR="003852AB">
        <w:rPr>
          <w:rFonts w:ascii="Arial" w:hAnsi="Arial" w:cs="Arial"/>
          <w:color w:val="000000"/>
          <w:sz w:val="20"/>
        </w:rPr>
        <w:t xml:space="preserve"> and t</w:t>
      </w:r>
      <w:r w:rsidR="00F77652">
        <w:rPr>
          <w:rFonts w:ascii="Arial" w:hAnsi="Arial" w:cs="Arial"/>
          <w:color w:val="000000"/>
          <w:sz w:val="20"/>
        </w:rPr>
        <w:t xml:space="preserve">he </w:t>
      </w:r>
      <w:r>
        <w:rPr>
          <w:rFonts w:ascii="Arial" w:hAnsi="Arial" w:cs="Arial"/>
          <w:color w:val="000000"/>
          <w:sz w:val="20"/>
        </w:rPr>
        <w:t xml:space="preserve">relevant Request Form provides for </w:t>
      </w:r>
      <w:r w:rsidR="003852AB">
        <w:rPr>
          <w:rFonts w:ascii="Arial" w:hAnsi="Arial" w:cs="Arial"/>
          <w:color w:val="000000"/>
          <w:sz w:val="20"/>
        </w:rPr>
        <w:t>an application by a non-party</w:t>
      </w:r>
      <w:r>
        <w:rPr>
          <w:rFonts w:ascii="Arial" w:hAnsi="Arial" w:cs="Arial"/>
          <w:color w:val="000000"/>
          <w:sz w:val="20"/>
        </w:rPr>
        <w:t>.</w:t>
      </w:r>
    </w:p>
    <w:p w14:paraId="7ACAD24A" w14:textId="77777777" w:rsidR="008C04D7" w:rsidRDefault="008C04D7" w:rsidP="00872875">
      <w:pPr>
        <w:jc w:val="both"/>
        <w:rPr>
          <w:rFonts w:ascii="Arial" w:hAnsi="Arial" w:cs="Arial"/>
          <w:color w:val="000000"/>
          <w:sz w:val="20"/>
        </w:rPr>
      </w:pPr>
    </w:p>
    <w:bookmarkEnd w:id="455"/>
    <w:p w14:paraId="60E3B401" w14:textId="1C3C53E6" w:rsidR="00064AF0" w:rsidRDefault="00872875" w:rsidP="008823B3">
      <w:pPr>
        <w:keepNext/>
        <w:keepLines/>
        <w:jc w:val="both"/>
        <w:rPr>
          <w:rFonts w:ascii="Arial" w:hAnsi="Arial" w:cs="Arial"/>
          <w:color w:val="000000"/>
          <w:sz w:val="20"/>
        </w:rPr>
      </w:pPr>
      <w:r>
        <w:rPr>
          <w:rFonts w:ascii="Arial" w:hAnsi="Arial" w:cs="Arial"/>
          <w:color w:val="000000"/>
          <w:sz w:val="20"/>
        </w:rPr>
        <w:lastRenderedPageBreak/>
        <w:t>To apply for a copy of a digital recording</w:t>
      </w:r>
      <w:r w:rsidR="00ED7BDC">
        <w:rPr>
          <w:rFonts w:ascii="Arial" w:hAnsi="Arial" w:cs="Arial"/>
          <w:color w:val="000000"/>
          <w:sz w:val="20"/>
        </w:rPr>
        <w:t xml:space="preserve"> of a</w:t>
      </w:r>
      <w:r w:rsidR="008C04D7">
        <w:rPr>
          <w:rFonts w:ascii="Arial" w:hAnsi="Arial" w:cs="Arial"/>
          <w:color w:val="000000"/>
          <w:sz w:val="20"/>
        </w:rPr>
        <w:t>ny</w:t>
      </w:r>
      <w:r w:rsidR="00ED7BDC">
        <w:rPr>
          <w:rFonts w:ascii="Arial" w:hAnsi="Arial" w:cs="Arial"/>
          <w:color w:val="000000"/>
          <w:sz w:val="20"/>
        </w:rPr>
        <w:t xml:space="preserve"> </w:t>
      </w:r>
      <w:r w:rsidR="00A21DF3">
        <w:rPr>
          <w:rFonts w:ascii="Arial" w:hAnsi="Arial" w:cs="Arial"/>
          <w:color w:val="000000"/>
          <w:sz w:val="20"/>
        </w:rPr>
        <w:t xml:space="preserve">Children’s </w:t>
      </w:r>
      <w:r w:rsidR="00ED7BDC">
        <w:rPr>
          <w:rFonts w:ascii="Arial" w:hAnsi="Arial" w:cs="Arial"/>
          <w:color w:val="000000"/>
          <w:sz w:val="20"/>
        </w:rPr>
        <w:t>Court proceeding</w:t>
      </w:r>
      <w:r>
        <w:rPr>
          <w:rFonts w:ascii="Arial" w:hAnsi="Arial" w:cs="Arial"/>
          <w:color w:val="000000"/>
          <w:sz w:val="20"/>
        </w:rPr>
        <w:t>, the applicant must</w:t>
      </w:r>
      <w:r w:rsidR="00370B71">
        <w:rPr>
          <w:rFonts w:ascii="Arial" w:hAnsi="Arial" w:cs="Arial"/>
          <w:color w:val="000000"/>
          <w:sz w:val="20"/>
        </w:rPr>
        <w:t>–</w:t>
      </w:r>
    </w:p>
    <w:p w14:paraId="0FB853B0" w14:textId="1D62FD45" w:rsidR="00064AF0" w:rsidRPr="008C04D7" w:rsidRDefault="003C1275" w:rsidP="00102EAA">
      <w:pPr>
        <w:pStyle w:val="ListParagraph"/>
        <w:numPr>
          <w:ilvl w:val="0"/>
          <w:numId w:val="29"/>
        </w:numPr>
        <w:ind w:left="357" w:hanging="357"/>
        <w:jc w:val="both"/>
        <w:rPr>
          <w:rFonts w:ascii="Arial" w:hAnsi="Arial" w:cs="Arial"/>
          <w:color w:val="000000"/>
          <w:sz w:val="20"/>
        </w:rPr>
      </w:pPr>
      <w:r w:rsidRPr="008C04D7">
        <w:rPr>
          <w:rFonts w:ascii="Arial" w:hAnsi="Arial" w:cs="Arial"/>
          <w:color w:val="000000"/>
          <w:sz w:val="20"/>
        </w:rPr>
        <w:t>complet</w:t>
      </w:r>
      <w:r w:rsidR="00872875" w:rsidRPr="008C04D7">
        <w:rPr>
          <w:rFonts w:ascii="Arial" w:hAnsi="Arial" w:cs="Arial"/>
          <w:color w:val="000000"/>
          <w:sz w:val="20"/>
        </w:rPr>
        <w:t>e</w:t>
      </w:r>
      <w:r w:rsidRPr="008C04D7">
        <w:rPr>
          <w:rFonts w:ascii="Arial" w:hAnsi="Arial" w:cs="Arial"/>
          <w:color w:val="000000"/>
          <w:sz w:val="20"/>
        </w:rPr>
        <w:t xml:space="preserve"> a “Request for Copy of Audio Recording” form</w:t>
      </w:r>
      <w:r w:rsidR="008C04D7" w:rsidRPr="008C04D7">
        <w:rPr>
          <w:rFonts w:ascii="Arial" w:hAnsi="Arial" w:cs="Arial"/>
          <w:color w:val="000000"/>
          <w:sz w:val="20"/>
        </w:rPr>
        <w:t xml:space="preserve">; legal practitioners </w:t>
      </w:r>
      <w:r w:rsidR="008939E1">
        <w:rPr>
          <w:rFonts w:ascii="Arial" w:hAnsi="Arial" w:cs="Arial"/>
          <w:color w:val="000000"/>
          <w:sz w:val="20"/>
        </w:rPr>
        <w:t xml:space="preserve">in child protection cases </w:t>
      </w:r>
      <w:r w:rsidR="008C04D7" w:rsidRPr="008C04D7">
        <w:rPr>
          <w:rFonts w:ascii="Arial" w:hAnsi="Arial" w:cs="Arial"/>
          <w:color w:val="000000"/>
          <w:sz w:val="20"/>
        </w:rPr>
        <w:t xml:space="preserve">may file the request form in the CMS portal; other persons may download the form from the Children’s Court website: </w:t>
      </w:r>
      <w:hyperlink r:id="rId12" w:history="1">
        <w:r w:rsidR="00872875" w:rsidRPr="008C04D7">
          <w:rPr>
            <w:rStyle w:val="Hyperlink"/>
            <w:rFonts w:ascii="Arial" w:hAnsi="Arial" w:cs="Arial"/>
            <w:sz w:val="20"/>
          </w:rPr>
          <w:t>https://www.childrenscourt.vic.gov.au/court-forms/general-forms</w:t>
        </w:r>
      </w:hyperlink>
      <w:r w:rsidR="00064AF0" w:rsidRPr="008C04D7">
        <w:rPr>
          <w:rFonts w:ascii="Arial" w:hAnsi="Arial" w:cs="Arial"/>
          <w:color w:val="000000"/>
          <w:sz w:val="20"/>
        </w:rPr>
        <w:t xml:space="preserve">; </w:t>
      </w:r>
      <w:r w:rsidR="00872875" w:rsidRPr="008C04D7">
        <w:rPr>
          <w:rFonts w:ascii="Arial" w:hAnsi="Arial" w:cs="Arial"/>
          <w:color w:val="000000"/>
          <w:sz w:val="20"/>
        </w:rPr>
        <w:t>and</w:t>
      </w:r>
    </w:p>
    <w:p w14:paraId="692A2E77" w14:textId="77777777" w:rsidR="00064AF0" w:rsidRDefault="00872875" w:rsidP="00C23CF0">
      <w:pPr>
        <w:pStyle w:val="ListParagraph"/>
        <w:numPr>
          <w:ilvl w:val="0"/>
          <w:numId w:val="29"/>
        </w:numPr>
        <w:ind w:left="357" w:hanging="357"/>
        <w:jc w:val="both"/>
        <w:rPr>
          <w:rFonts w:ascii="Arial" w:hAnsi="Arial" w:cs="Arial"/>
          <w:color w:val="000000"/>
          <w:sz w:val="20"/>
        </w:rPr>
      </w:pPr>
      <w:r w:rsidRPr="00064AF0">
        <w:rPr>
          <w:rFonts w:ascii="Arial" w:hAnsi="Arial" w:cs="Arial"/>
          <w:color w:val="000000"/>
          <w:sz w:val="20"/>
        </w:rPr>
        <w:t>pay a fee of $55 per day</w:t>
      </w:r>
      <w:r w:rsidR="00AF4AC1" w:rsidRPr="00064AF0">
        <w:rPr>
          <w:rFonts w:ascii="Arial" w:hAnsi="Arial" w:cs="Arial"/>
          <w:color w:val="000000"/>
          <w:sz w:val="20"/>
        </w:rPr>
        <w:t xml:space="preserve"> unless the fee has been waived by the Court</w:t>
      </w:r>
      <w:r w:rsidRPr="00064AF0">
        <w:rPr>
          <w:rFonts w:ascii="Arial" w:hAnsi="Arial" w:cs="Arial"/>
          <w:color w:val="000000"/>
          <w:sz w:val="20"/>
        </w:rPr>
        <w:t>.</w:t>
      </w:r>
    </w:p>
    <w:p w14:paraId="4B0D95CB" w14:textId="2608275B" w:rsidR="008C04D7" w:rsidRDefault="0007780B" w:rsidP="00064AF0">
      <w:pPr>
        <w:jc w:val="both"/>
        <w:rPr>
          <w:rFonts w:ascii="Arial" w:hAnsi="Arial" w:cs="Arial"/>
          <w:color w:val="000000"/>
          <w:sz w:val="20"/>
        </w:rPr>
      </w:pPr>
      <w:r w:rsidRPr="00064AF0">
        <w:rPr>
          <w:rFonts w:ascii="Arial" w:hAnsi="Arial" w:cs="Arial"/>
          <w:color w:val="000000"/>
          <w:sz w:val="20"/>
        </w:rPr>
        <w:t>Applications must be made directly to the venue of the Children’s Court where the proceeding was heard.</w:t>
      </w:r>
    </w:p>
    <w:p w14:paraId="57B999D8" w14:textId="77777777" w:rsidR="008C04D7" w:rsidRDefault="008C04D7" w:rsidP="00064AF0">
      <w:pPr>
        <w:jc w:val="both"/>
        <w:rPr>
          <w:rFonts w:ascii="Arial" w:hAnsi="Arial" w:cs="Arial"/>
          <w:color w:val="000000"/>
          <w:sz w:val="20"/>
        </w:rPr>
      </w:pPr>
    </w:p>
    <w:p w14:paraId="36D722F7" w14:textId="15B2F827" w:rsidR="00276279" w:rsidRDefault="00276279" w:rsidP="00064AF0">
      <w:pPr>
        <w:jc w:val="both"/>
        <w:rPr>
          <w:rFonts w:ascii="Arial" w:hAnsi="Arial" w:cs="Arial"/>
          <w:color w:val="000000"/>
          <w:sz w:val="20"/>
        </w:rPr>
      </w:pPr>
      <w:r>
        <w:rPr>
          <w:rFonts w:ascii="Arial" w:hAnsi="Arial" w:cs="Arial"/>
          <w:color w:val="000000"/>
          <w:sz w:val="20"/>
        </w:rPr>
        <w:t xml:space="preserve">If an applicant can satisfy the Court that </w:t>
      </w:r>
      <w:r w:rsidR="00E16C52">
        <w:rPr>
          <w:rFonts w:ascii="Arial" w:hAnsi="Arial" w:cs="Arial"/>
          <w:color w:val="000000"/>
          <w:sz w:val="20"/>
        </w:rPr>
        <w:t xml:space="preserve">he or she is suffering from financial hardship, the Court has power to waive payment of the daily fee. By way of analogy, in </w:t>
      </w:r>
      <w:proofErr w:type="spellStart"/>
      <w:r w:rsidR="00E16C52" w:rsidRPr="00E16C52">
        <w:rPr>
          <w:rFonts w:ascii="Arial" w:hAnsi="Arial" w:cs="Arial"/>
          <w:i/>
          <w:iCs/>
          <w:color w:val="000000"/>
          <w:sz w:val="20"/>
        </w:rPr>
        <w:t>Hronn</w:t>
      </w:r>
      <w:proofErr w:type="spellEnd"/>
      <w:r w:rsidR="00E16C52" w:rsidRPr="00E16C52">
        <w:rPr>
          <w:rFonts w:ascii="Arial" w:hAnsi="Arial" w:cs="Arial"/>
          <w:i/>
          <w:iCs/>
          <w:color w:val="000000"/>
          <w:sz w:val="20"/>
        </w:rPr>
        <w:t xml:space="preserve"> &amp; Torleif (No 2) </w:t>
      </w:r>
      <w:r w:rsidR="00E16C52">
        <w:rPr>
          <w:rFonts w:ascii="Arial" w:hAnsi="Arial" w:cs="Arial"/>
          <w:color w:val="000000"/>
          <w:sz w:val="20"/>
        </w:rPr>
        <w:t xml:space="preserve">[2025] FedCFamC1F 821 Altobelli J granted </w:t>
      </w:r>
      <w:r w:rsidR="005667AD">
        <w:rPr>
          <w:rFonts w:ascii="Arial" w:hAnsi="Arial" w:cs="Arial"/>
          <w:color w:val="000000"/>
          <w:sz w:val="20"/>
        </w:rPr>
        <w:t xml:space="preserve">the application of the </w:t>
      </w:r>
      <w:r w:rsidR="00E16C52">
        <w:rPr>
          <w:rFonts w:ascii="Arial" w:hAnsi="Arial" w:cs="Arial"/>
          <w:color w:val="000000"/>
          <w:sz w:val="20"/>
        </w:rPr>
        <w:t>appellant</w:t>
      </w:r>
      <w:r w:rsidR="005667AD">
        <w:rPr>
          <w:rFonts w:ascii="Arial" w:hAnsi="Arial" w:cs="Arial"/>
          <w:color w:val="000000"/>
          <w:sz w:val="20"/>
        </w:rPr>
        <w:t xml:space="preserve"> – a</w:t>
      </w:r>
      <w:r w:rsidR="00402E54">
        <w:rPr>
          <w:rFonts w:ascii="Arial" w:hAnsi="Arial" w:cs="Arial"/>
          <w:color w:val="000000"/>
          <w:sz w:val="20"/>
        </w:rPr>
        <w:t xml:space="preserve"> former carer of a</w:t>
      </w:r>
      <w:r w:rsidR="005667AD">
        <w:rPr>
          <w:rFonts w:ascii="Arial" w:hAnsi="Arial" w:cs="Arial"/>
          <w:color w:val="000000"/>
          <w:sz w:val="20"/>
        </w:rPr>
        <w:t xml:space="preserve"> </w:t>
      </w:r>
      <w:r w:rsidR="00402E54">
        <w:rPr>
          <w:rFonts w:ascii="Arial" w:hAnsi="Arial" w:cs="Arial"/>
          <w:color w:val="000000"/>
          <w:sz w:val="20"/>
        </w:rPr>
        <w:t xml:space="preserve">9 year old </w:t>
      </w:r>
      <w:r w:rsidR="005667AD">
        <w:rPr>
          <w:rFonts w:ascii="Arial" w:hAnsi="Arial" w:cs="Arial"/>
          <w:color w:val="000000"/>
          <w:sz w:val="20"/>
        </w:rPr>
        <w:t xml:space="preserve">Aboriginal </w:t>
      </w:r>
      <w:r w:rsidR="00402E54">
        <w:rPr>
          <w:rFonts w:ascii="Arial" w:hAnsi="Arial" w:cs="Arial"/>
          <w:color w:val="000000"/>
          <w:sz w:val="20"/>
        </w:rPr>
        <w:t>child</w:t>
      </w:r>
      <w:r w:rsidR="005667AD">
        <w:rPr>
          <w:rFonts w:ascii="Arial" w:hAnsi="Arial" w:cs="Arial"/>
          <w:color w:val="000000"/>
          <w:sz w:val="20"/>
        </w:rPr>
        <w:t xml:space="preserve"> – to </w:t>
      </w:r>
      <w:r w:rsidR="00E16C52">
        <w:rPr>
          <w:rFonts w:ascii="Arial" w:hAnsi="Arial" w:cs="Arial"/>
          <w:color w:val="000000"/>
          <w:sz w:val="20"/>
        </w:rPr>
        <w:t xml:space="preserve">dispense with the requirement under the </w:t>
      </w:r>
      <w:r w:rsidR="00E16C52" w:rsidRPr="00E16C52">
        <w:rPr>
          <w:rFonts w:ascii="Arial" w:hAnsi="Arial" w:cs="Arial"/>
          <w:i/>
          <w:iCs/>
          <w:color w:val="000000"/>
          <w:sz w:val="20"/>
        </w:rPr>
        <w:t>Federal Circuit and Family Court of Australia (Family Law) Rules 2021</w:t>
      </w:r>
      <w:r w:rsidR="00E16C52">
        <w:rPr>
          <w:rFonts w:ascii="Arial" w:hAnsi="Arial" w:cs="Arial"/>
          <w:color w:val="000000"/>
          <w:sz w:val="20"/>
        </w:rPr>
        <w:t xml:space="preserve"> (</w:t>
      </w:r>
      <w:proofErr w:type="spellStart"/>
      <w:r w:rsidR="00E16C52">
        <w:rPr>
          <w:rFonts w:ascii="Arial" w:hAnsi="Arial" w:cs="Arial"/>
          <w:color w:val="000000"/>
          <w:sz w:val="20"/>
        </w:rPr>
        <w:t>Cth</w:t>
      </w:r>
      <w:proofErr w:type="spellEnd"/>
      <w:r w:rsidR="00E16C52">
        <w:rPr>
          <w:rFonts w:ascii="Arial" w:hAnsi="Arial" w:cs="Arial"/>
          <w:color w:val="000000"/>
          <w:sz w:val="20"/>
        </w:rPr>
        <w:t>) to provide a full transcript of the primary proceedings, stating at [</w:t>
      </w:r>
      <w:r w:rsidR="005667AD">
        <w:rPr>
          <w:rFonts w:ascii="Arial" w:hAnsi="Arial" w:cs="Arial"/>
          <w:color w:val="000000"/>
          <w:sz w:val="20"/>
        </w:rPr>
        <w:t>6</w:t>
      </w:r>
      <w:r w:rsidR="00E16C52">
        <w:rPr>
          <w:rFonts w:ascii="Arial" w:hAnsi="Arial" w:cs="Arial"/>
          <w:color w:val="000000"/>
          <w:sz w:val="20"/>
        </w:rPr>
        <w:t>]-[</w:t>
      </w:r>
      <w:r w:rsidR="005667AD">
        <w:rPr>
          <w:rFonts w:ascii="Arial" w:hAnsi="Arial" w:cs="Arial"/>
          <w:color w:val="000000"/>
          <w:sz w:val="20"/>
        </w:rPr>
        <w:t>7</w:t>
      </w:r>
      <w:r w:rsidR="00E16C52">
        <w:rPr>
          <w:rFonts w:ascii="Arial" w:hAnsi="Arial" w:cs="Arial"/>
          <w:color w:val="000000"/>
          <w:sz w:val="20"/>
        </w:rPr>
        <w:t>]</w:t>
      </w:r>
      <w:r w:rsidR="005667AD">
        <w:rPr>
          <w:rFonts w:ascii="Arial" w:hAnsi="Arial" w:cs="Arial"/>
          <w:color w:val="000000"/>
          <w:sz w:val="20"/>
        </w:rPr>
        <w:t xml:space="preserve"> &amp; [12]</w:t>
      </w:r>
      <w:r w:rsidR="00E16C52">
        <w:rPr>
          <w:rFonts w:ascii="Arial" w:hAnsi="Arial" w:cs="Arial"/>
          <w:color w:val="000000"/>
          <w:sz w:val="20"/>
        </w:rPr>
        <w:t>:</w:t>
      </w:r>
    </w:p>
    <w:p w14:paraId="0FB8BA0B" w14:textId="0621708A" w:rsidR="005667AD" w:rsidRDefault="005667AD" w:rsidP="005667AD">
      <w:pPr>
        <w:spacing w:before="80"/>
        <w:ind w:left="567" w:right="567"/>
        <w:jc w:val="both"/>
        <w:rPr>
          <w:rFonts w:ascii="Arial" w:hAnsi="Arial" w:cs="Arial"/>
          <w:color w:val="000000"/>
          <w:sz w:val="20"/>
        </w:rPr>
      </w:pPr>
      <w:r>
        <w:rPr>
          <w:rFonts w:ascii="Arial" w:hAnsi="Arial" w:cs="Arial"/>
          <w:sz w:val="20"/>
          <w:szCs w:val="20"/>
        </w:rPr>
        <w:t xml:space="preserve">[6] “… </w:t>
      </w:r>
      <w:r w:rsidRPr="00E16C52">
        <w:rPr>
          <w:rFonts w:ascii="Arial" w:hAnsi="Arial" w:cs="Arial"/>
          <w:color w:val="000000"/>
          <w:sz w:val="20"/>
        </w:rPr>
        <w:t>The obligation to provide a transcript from the primary proceedings for use in any appeal falls to the appellant under the</w:t>
      </w:r>
      <w:r>
        <w:rPr>
          <w:rFonts w:ascii="Arial" w:hAnsi="Arial" w:cs="Arial"/>
          <w:color w:val="000000"/>
          <w:sz w:val="20"/>
        </w:rPr>
        <w:t xml:space="preserve"> Rules.</w:t>
      </w:r>
      <w:r w:rsidRPr="00E16C52">
        <w:rPr>
          <w:rFonts w:ascii="Arial" w:hAnsi="Arial" w:cs="Arial"/>
          <w:color w:val="000000"/>
          <w:sz w:val="20"/>
        </w:rPr>
        <w:t xml:space="preserve"> Unless the interest of justice demands, an appellant should neither be relieved of that obligation, nor the financial burden of its acquisition shifted to the Court</w:t>
      </w:r>
      <w:r>
        <w:rPr>
          <w:rFonts w:ascii="Arial" w:hAnsi="Arial" w:cs="Arial"/>
          <w:color w:val="000000"/>
          <w:sz w:val="20"/>
        </w:rPr>
        <w:t xml:space="preserve"> (</w:t>
      </w:r>
      <w:r w:rsidRPr="005667AD">
        <w:rPr>
          <w:rFonts w:ascii="Arial" w:hAnsi="Arial" w:cs="Arial"/>
          <w:i/>
          <w:iCs/>
          <w:color w:val="000000"/>
          <w:sz w:val="20"/>
        </w:rPr>
        <w:t>Sampson &amp; Hartnett</w:t>
      </w:r>
      <w:r>
        <w:rPr>
          <w:rFonts w:ascii="Arial" w:hAnsi="Arial" w:cs="Arial"/>
          <w:color w:val="000000"/>
          <w:sz w:val="20"/>
        </w:rPr>
        <w:t xml:space="preserve"> (2013) FLC 93-542; </w:t>
      </w:r>
      <w:r w:rsidRPr="00E16C52">
        <w:rPr>
          <w:rFonts w:ascii="Arial" w:hAnsi="Arial" w:cs="Arial"/>
          <w:color w:val="000000"/>
          <w:sz w:val="20"/>
        </w:rPr>
        <w:t xml:space="preserve">[2010] </w:t>
      </w:r>
      <w:proofErr w:type="spellStart"/>
      <w:r w:rsidRPr="00E16C52">
        <w:rPr>
          <w:rFonts w:ascii="Arial" w:hAnsi="Arial" w:cs="Arial"/>
          <w:color w:val="000000"/>
          <w:sz w:val="20"/>
        </w:rPr>
        <w:t>FamCAFC</w:t>
      </w:r>
      <w:proofErr w:type="spellEnd"/>
      <w:r w:rsidRPr="00E16C52">
        <w:rPr>
          <w:rFonts w:ascii="Arial" w:hAnsi="Arial" w:cs="Arial"/>
          <w:color w:val="000000"/>
          <w:sz w:val="20"/>
        </w:rPr>
        <w:t xml:space="preserve"> 220</w:t>
      </w:r>
      <w:r>
        <w:rPr>
          <w:rFonts w:ascii="Arial" w:hAnsi="Arial" w:cs="Arial"/>
          <w:color w:val="000000"/>
          <w:sz w:val="20"/>
        </w:rPr>
        <w:t>).</w:t>
      </w:r>
    </w:p>
    <w:p w14:paraId="6E2B55FE" w14:textId="1B9C4565" w:rsidR="005667AD" w:rsidRDefault="005667AD" w:rsidP="005667AD">
      <w:pPr>
        <w:spacing w:before="80"/>
        <w:ind w:left="567" w:right="567"/>
        <w:jc w:val="both"/>
        <w:rPr>
          <w:rFonts w:ascii="Arial" w:hAnsi="Arial" w:cs="Arial"/>
          <w:color w:val="000000"/>
          <w:sz w:val="20"/>
        </w:rPr>
      </w:pPr>
      <w:r>
        <w:rPr>
          <w:rFonts w:ascii="Arial" w:hAnsi="Arial" w:cs="Arial"/>
          <w:sz w:val="20"/>
          <w:szCs w:val="20"/>
        </w:rPr>
        <w:t xml:space="preserve">[7] </w:t>
      </w:r>
      <w:r w:rsidRPr="00E16C52">
        <w:rPr>
          <w:rFonts w:ascii="Arial" w:hAnsi="Arial" w:cs="Arial"/>
          <w:color w:val="000000"/>
          <w:sz w:val="20"/>
        </w:rPr>
        <w:t>Numerous considerations influence any decision about whether such relief should be granted to an appellant, including:</w:t>
      </w:r>
    </w:p>
    <w:p w14:paraId="1EC7E096" w14:textId="7133D716" w:rsidR="005667AD" w:rsidRDefault="005667AD">
      <w:pPr>
        <w:pStyle w:val="ListParagraph"/>
        <w:numPr>
          <w:ilvl w:val="0"/>
          <w:numId w:val="56"/>
        </w:numPr>
        <w:ind w:left="924" w:right="567" w:hanging="357"/>
        <w:jc w:val="both"/>
        <w:rPr>
          <w:rFonts w:ascii="Arial" w:hAnsi="Arial" w:cs="Arial"/>
          <w:color w:val="000000"/>
          <w:sz w:val="20"/>
        </w:rPr>
      </w:pPr>
      <w:r w:rsidRPr="00E16C52">
        <w:rPr>
          <w:rFonts w:ascii="Arial" w:hAnsi="Arial" w:cs="Arial"/>
          <w:color w:val="000000"/>
          <w:sz w:val="20"/>
        </w:rPr>
        <w:t>whether the case is financial or a parenting case;</w:t>
      </w:r>
    </w:p>
    <w:p w14:paraId="6BB0FB2B" w14:textId="268D21D1" w:rsidR="005667AD" w:rsidRDefault="005667AD">
      <w:pPr>
        <w:pStyle w:val="ListParagraph"/>
        <w:numPr>
          <w:ilvl w:val="0"/>
          <w:numId w:val="56"/>
        </w:numPr>
        <w:ind w:left="924" w:right="567" w:hanging="357"/>
        <w:jc w:val="both"/>
        <w:rPr>
          <w:rFonts w:ascii="Arial" w:hAnsi="Arial" w:cs="Arial"/>
          <w:color w:val="000000"/>
          <w:sz w:val="20"/>
        </w:rPr>
      </w:pPr>
      <w:r w:rsidRPr="00E16C52">
        <w:rPr>
          <w:rFonts w:ascii="Arial" w:hAnsi="Arial" w:cs="Arial"/>
          <w:color w:val="000000"/>
          <w:sz w:val="20"/>
        </w:rPr>
        <w:t>whether the whole transcript or part thereof is necessary for the determination of the appeal or a part of the appeal;</w:t>
      </w:r>
    </w:p>
    <w:p w14:paraId="1A14E34C" w14:textId="4A7F64EC" w:rsidR="005667AD" w:rsidRDefault="005667AD">
      <w:pPr>
        <w:pStyle w:val="ListParagraph"/>
        <w:numPr>
          <w:ilvl w:val="0"/>
          <w:numId w:val="56"/>
        </w:numPr>
        <w:ind w:left="924" w:right="567" w:hanging="357"/>
        <w:jc w:val="both"/>
        <w:rPr>
          <w:rFonts w:ascii="Arial" w:hAnsi="Arial" w:cs="Arial"/>
          <w:color w:val="000000"/>
          <w:sz w:val="20"/>
        </w:rPr>
      </w:pPr>
      <w:r w:rsidRPr="00E16C52">
        <w:rPr>
          <w:rFonts w:ascii="Arial" w:hAnsi="Arial" w:cs="Arial"/>
          <w:color w:val="000000"/>
          <w:sz w:val="20"/>
        </w:rPr>
        <w:t>whether the whole transcript or part thereof is necessary for the determination of the appeal or a part of the appeal;</w:t>
      </w:r>
    </w:p>
    <w:p w14:paraId="492EE925" w14:textId="71AFA071" w:rsidR="005667AD" w:rsidRDefault="005667AD">
      <w:pPr>
        <w:pStyle w:val="ListParagraph"/>
        <w:numPr>
          <w:ilvl w:val="0"/>
          <w:numId w:val="56"/>
        </w:numPr>
        <w:ind w:left="924" w:right="567" w:hanging="357"/>
        <w:jc w:val="both"/>
        <w:rPr>
          <w:rFonts w:ascii="Arial" w:hAnsi="Arial" w:cs="Arial"/>
          <w:color w:val="000000"/>
          <w:sz w:val="20"/>
        </w:rPr>
      </w:pPr>
      <w:r w:rsidRPr="00E16C52">
        <w:rPr>
          <w:rFonts w:ascii="Arial" w:hAnsi="Arial" w:cs="Arial"/>
          <w:color w:val="000000"/>
          <w:sz w:val="20"/>
        </w:rPr>
        <w:t>whether the applicant can afford all or part of the cost of the transcript of the primary proceedings;</w:t>
      </w:r>
    </w:p>
    <w:p w14:paraId="30F3D3B1" w14:textId="2380F24B" w:rsidR="005667AD" w:rsidRDefault="005667AD">
      <w:pPr>
        <w:pStyle w:val="ListParagraph"/>
        <w:numPr>
          <w:ilvl w:val="0"/>
          <w:numId w:val="56"/>
        </w:numPr>
        <w:ind w:left="924" w:right="567" w:hanging="357"/>
        <w:jc w:val="both"/>
        <w:rPr>
          <w:rFonts w:ascii="Arial" w:hAnsi="Arial" w:cs="Arial"/>
          <w:color w:val="000000"/>
          <w:sz w:val="20"/>
        </w:rPr>
      </w:pPr>
      <w:r w:rsidRPr="00E16C52">
        <w:rPr>
          <w:rFonts w:ascii="Arial" w:hAnsi="Arial" w:cs="Arial"/>
          <w:color w:val="000000"/>
          <w:sz w:val="20"/>
        </w:rPr>
        <w:t>the proportionality of the cost of the transcript to the appellant’s anticipated costs in relation to the whole appeal, including the preparation of the appeal books (if so ordered); and</w:t>
      </w:r>
    </w:p>
    <w:p w14:paraId="2173FC1B" w14:textId="742E50B0" w:rsidR="005667AD" w:rsidRDefault="005667AD">
      <w:pPr>
        <w:pStyle w:val="ListParagraph"/>
        <w:numPr>
          <w:ilvl w:val="0"/>
          <w:numId w:val="56"/>
        </w:numPr>
        <w:ind w:left="924" w:right="567" w:hanging="357"/>
        <w:jc w:val="both"/>
        <w:rPr>
          <w:rFonts w:ascii="Arial" w:hAnsi="Arial" w:cs="Arial"/>
          <w:color w:val="000000"/>
          <w:sz w:val="20"/>
        </w:rPr>
      </w:pPr>
      <w:r w:rsidRPr="00E16C52">
        <w:rPr>
          <w:rFonts w:ascii="Arial" w:hAnsi="Arial" w:cs="Arial"/>
          <w:color w:val="000000"/>
          <w:sz w:val="20"/>
        </w:rPr>
        <w:t>the prima facie merits of the appeal.</w:t>
      </w:r>
    </w:p>
    <w:p w14:paraId="68D394FF" w14:textId="63863B22" w:rsidR="005667AD" w:rsidRPr="005667AD" w:rsidRDefault="005667AD" w:rsidP="005667AD">
      <w:pPr>
        <w:spacing w:before="80"/>
        <w:ind w:left="567" w:right="567"/>
        <w:jc w:val="both"/>
        <w:rPr>
          <w:rFonts w:ascii="Arial" w:hAnsi="Arial" w:cs="Arial"/>
          <w:color w:val="000000"/>
          <w:sz w:val="20"/>
        </w:rPr>
      </w:pPr>
      <w:r>
        <w:rPr>
          <w:rFonts w:ascii="Arial" w:hAnsi="Arial" w:cs="Arial"/>
          <w:color w:val="000000"/>
          <w:sz w:val="20"/>
        </w:rPr>
        <w:t>…</w:t>
      </w:r>
    </w:p>
    <w:p w14:paraId="1F9D9F4D" w14:textId="5ABF552F" w:rsidR="00E16C52" w:rsidRPr="00E16C52" w:rsidRDefault="005667AD" w:rsidP="005667AD">
      <w:pPr>
        <w:spacing w:before="80"/>
        <w:ind w:left="567" w:right="567"/>
        <w:jc w:val="both"/>
        <w:rPr>
          <w:rFonts w:ascii="Arial" w:hAnsi="Arial" w:cs="Arial"/>
          <w:color w:val="000000"/>
          <w:sz w:val="20"/>
        </w:rPr>
      </w:pPr>
      <w:r>
        <w:rPr>
          <w:rFonts w:ascii="Arial" w:hAnsi="Arial" w:cs="Arial"/>
          <w:color w:val="000000"/>
          <w:sz w:val="20"/>
        </w:rPr>
        <w:t xml:space="preserve">[12] </w:t>
      </w:r>
      <w:r w:rsidR="00E16C52" w:rsidRPr="00E16C52">
        <w:rPr>
          <w:rFonts w:ascii="Arial" w:hAnsi="Arial" w:cs="Arial"/>
          <w:color w:val="000000"/>
          <w:sz w:val="20"/>
        </w:rPr>
        <w:t>The Amended Application must succeed on the evidence before the Court. The appellant should not be ordered to procure and file a transcript which the evidence shows she cannot afford, in the context of an appeal that appears to be arguable, and where reference to the transcript, and indeed the transcript in its entirety, is quite likely.</w:t>
      </w:r>
      <w:r>
        <w:rPr>
          <w:rFonts w:ascii="Arial" w:hAnsi="Arial" w:cs="Arial"/>
          <w:color w:val="000000"/>
          <w:sz w:val="20"/>
        </w:rPr>
        <w:t>”</w:t>
      </w:r>
    </w:p>
    <w:p w14:paraId="4BC163D9" w14:textId="77777777" w:rsidR="00E16C52" w:rsidRDefault="00E16C52" w:rsidP="00064AF0">
      <w:pPr>
        <w:jc w:val="both"/>
        <w:rPr>
          <w:rFonts w:ascii="Arial" w:hAnsi="Arial" w:cs="Arial"/>
          <w:color w:val="000000"/>
          <w:sz w:val="20"/>
        </w:rPr>
      </w:pPr>
    </w:p>
    <w:p w14:paraId="3F9DD4B3" w14:textId="6F8C4491" w:rsidR="008C04D7" w:rsidRDefault="008C04D7" w:rsidP="00064AF0">
      <w:pPr>
        <w:jc w:val="both"/>
        <w:rPr>
          <w:rFonts w:ascii="Arial" w:hAnsi="Arial" w:cs="Arial"/>
          <w:color w:val="000000"/>
          <w:sz w:val="20"/>
        </w:rPr>
      </w:pPr>
      <w:r>
        <w:rPr>
          <w:rFonts w:ascii="Arial" w:hAnsi="Arial" w:cs="Arial"/>
          <w:color w:val="000000"/>
          <w:sz w:val="20"/>
        </w:rPr>
        <w:t xml:space="preserve">Applications </w:t>
      </w:r>
      <w:r w:rsidR="008823B3">
        <w:rPr>
          <w:rFonts w:ascii="Arial" w:hAnsi="Arial" w:cs="Arial"/>
          <w:color w:val="000000"/>
          <w:sz w:val="20"/>
        </w:rPr>
        <w:t xml:space="preserve">for the provision of digital recordings </w:t>
      </w:r>
      <w:r>
        <w:rPr>
          <w:rFonts w:ascii="Arial" w:hAnsi="Arial" w:cs="Arial"/>
          <w:color w:val="000000"/>
          <w:sz w:val="20"/>
        </w:rPr>
        <w:t xml:space="preserve">are not granted as of right. They require </w:t>
      </w:r>
      <w:r w:rsidR="00B97DFE">
        <w:rPr>
          <w:rFonts w:ascii="Arial" w:hAnsi="Arial" w:cs="Arial"/>
          <w:color w:val="000000"/>
          <w:sz w:val="20"/>
        </w:rPr>
        <w:t>an order of</w:t>
      </w:r>
      <w:r>
        <w:rPr>
          <w:rFonts w:ascii="Arial" w:hAnsi="Arial" w:cs="Arial"/>
          <w:color w:val="000000"/>
          <w:sz w:val="20"/>
        </w:rPr>
        <w:t xml:space="preserve"> the Court, usually </w:t>
      </w:r>
      <w:r w:rsidR="00B97DFE">
        <w:rPr>
          <w:rFonts w:ascii="Arial" w:hAnsi="Arial" w:cs="Arial"/>
          <w:color w:val="000000"/>
          <w:sz w:val="20"/>
        </w:rPr>
        <w:t>by</w:t>
      </w:r>
      <w:r>
        <w:rPr>
          <w:rFonts w:ascii="Arial" w:hAnsi="Arial" w:cs="Arial"/>
          <w:color w:val="000000"/>
          <w:sz w:val="20"/>
        </w:rPr>
        <w:t xml:space="preserve"> the </w:t>
      </w:r>
      <w:r w:rsidRPr="00064AF0">
        <w:rPr>
          <w:rFonts w:ascii="Arial" w:hAnsi="Arial" w:cs="Arial"/>
          <w:color w:val="000000"/>
          <w:sz w:val="20"/>
        </w:rPr>
        <w:t xml:space="preserve">presiding </w:t>
      </w:r>
      <w:r w:rsidR="00F77652">
        <w:rPr>
          <w:rFonts w:ascii="Arial" w:hAnsi="Arial" w:cs="Arial"/>
          <w:color w:val="000000"/>
          <w:sz w:val="20"/>
        </w:rPr>
        <w:t>judicial officer</w:t>
      </w:r>
      <w:r w:rsidRPr="00064AF0">
        <w:rPr>
          <w:rFonts w:ascii="Arial" w:hAnsi="Arial" w:cs="Arial"/>
          <w:color w:val="000000"/>
          <w:sz w:val="20"/>
        </w:rPr>
        <w:t xml:space="preserve"> or the President</w:t>
      </w:r>
      <w:r w:rsidR="00F77652">
        <w:rPr>
          <w:rFonts w:ascii="Arial" w:hAnsi="Arial" w:cs="Arial"/>
          <w:color w:val="000000"/>
          <w:sz w:val="20"/>
        </w:rPr>
        <w:t xml:space="preserve">. In the writer’s view the Court would </w:t>
      </w:r>
      <w:r w:rsidR="00AA0002">
        <w:rPr>
          <w:rFonts w:ascii="Arial" w:hAnsi="Arial" w:cs="Arial"/>
          <w:color w:val="000000"/>
          <w:sz w:val="20"/>
        </w:rPr>
        <w:t xml:space="preserve">not </w:t>
      </w:r>
      <w:r w:rsidR="00B97DFE">
        <w:rPr>
          <w:rFonts w:ascii="Arial" w:hAnsi="Arial" w:cs="Arial"/>
          <w:color w:val="000000"/>
          <w:sz w:val="20"/>
        </w:rPr>
        <w:t>order</w:t>
      </w:r>
      <w:r w:rsidR="00F77652">
        <w:rPr>
          <w:rFonts w:ascii="Arial" w:hAnsi="Arial" w:cs="Arial"/>
          <w:color w:val="000000"/>
          <w:sz w:val="20"/>
        </w:rPr>
        <w:t xml:space="preserve"> the release of a digital recording of a child protection case in the Family Division </w:t>
      </w:r>
      <w:r w:rsidR="00B97DFE">
        <w:rPr>
          <w:rFonts w:ascii="Arial" w:hAnsi="Arial" w:cs="Arial"/>
          <w:color w:val="000000"/>
          <w:sz w:val="20"/>
        </w:rPr>
        <w:t>if</w:t>
      </w:r>
      <w:r w:rsidR="00F77652">
        <w:rPr>
          <w:rFonts w:ascii="Arial" w:hAnsi="Arial" w:cs="Arial"/>
          <w:color w:val="000000"/>
          <w:sz w:val="20"/>
        </w:rPr>
        <w:t xml:space="preserve"> to do so would </w:t>
      </w:r>
      <w:r w:rsidR="00B97DFE">
        <w:rPr>
          <w:rFonts w:ascii="Arial" w:hAnsi="Arial" w:cs="Arial"/>
          <w:color w:val="000000"/>
          <w:sz w:val="20"/>
        </w:rPr>
        <w:t xml:space="preserve">not </w:t>
      </w:r>
      <w:r w:rsidR="00F77652">
        <w:rPr>
          <w:rFonts w:ascii="Arial" w:hAnsi="Arial" w:cs="Arial"/>
          <w:color w:val="000000"/>
          <w:sz w:val="20"/>
        </w:rPr>
        <w:t xml:space="preserve">be in the best </w:t>
      </w:r>
      <w:r w:rsidR="006172A2">
        <w:rPr>
          <w:rFonts w:ascii="Arial" w:hAnsi="Arial" w:cs="Arial"/>
          <w:color w:val="000000"/>
          <w:sz w:val="20"/>
        </w:rPr>
        <w:t xml:space="preserve">interests of the subject child: cf. s.8(1) of the CYFA. However, this </w:t>
      </w:r>
      <w:r w:rsidR="008939E1">
        <w:rPr>
          <w:rFonts w:ascii="Arial" w:hAnsi="Arial" w:cs="Arial"/>
          <w:color w:val="000000"/>
          <w:sz w:val="20"/>
        </w:rPr>
        <w:t xml:space="preserve">test does not apply to </w:t>
      </w:r>
      <w:r w:rsidR="006172A2">
        <w:rPr>
          <w:rFonts w:ascii="Arial" w:hAnsi="Arial" w:cs="Arial"/>
          <w:color w:val="000000"/>
          <w:sz w:val="20"/>
        </w:rPr>
        <w:t xml:space="preserve">release of a digital recording of a </w:t>
      </w:r>
      <w:r w:rsidR="00AA0002">
        <w:rPr>
          <w:rFonts w:ascii="Arial" w:hAnsi="Arial" w:cs="Arial"/>
          <w:color w:val="000000"/>
          <w:sz w:val="20"/>
        </w:rPr>
        <w:t xml:space="preserve">Criminal Division </w:t>
      </w:r>
      <w:r w:rsidR="006172A2">
        <w:rPr>
          <w:rFonts w:ascii="Arial" w:hAnsi="Arial" w:cs="Arial"/>
          <w:color w:val="000000"/>
          <w:sz w:val="20"/>
        </w:rPr>
        <w:t>case: cf. s.8(4) of the CYFA.</w:t>
      </w:r>
    </w:p>
    <w:p w14:paraId="7D75AA03" w14:textId="77777777" w:rsidR="008C04D7" w:rsidRDefault="008C04D7" w:rsidP="00064AF0">
      <w:pPr>
        <w:jc w:val="both"/>
        <w:rPr>
          <w:rFonts w:ascii="Arial" w:hAnsi="Arial" w:cs="Arial"/>
          <w:color w:val="000000"/>
          <w:sz w:val="20"/>
        </w:rPr>
      </w:pPr>
    </w:p>
    <w:p w14:paraId="0C71250F" w14:textId="12770EAD" w:rsidR="00872875" w:rsidRPr="00064AF0" w:rsidRDefault="00AF4AC1" w:rsidP="00064AF0">
      <w:pPr>
        <w:jc w:val="both"/>
        <w:rPr>
          <w:rFonts w:ascii="Arial" w:hAnsi="Arial" w:cs="Arial"/>
          <w:color w:val="000000"/>
          <w:sz w:val="20"/>
        </w:rPr>
      </w:pPr>
      <w:r w:rsidRPr="00064AF0">
        <w:rPr>
          <w:rFonts w:ascii="Arial" w:hAnsi="Arial" w:cs="Arial"/>
          <w:color w:val="000000"/>
          <w:sz w:val="20"/>
        </w:rPr>
        <w:t xml:space="preserve">If </w:t>
      </w:r>
      <w:r w:rsidR="006172A2">
        <w:rPr>
          <w:rFonts w:ascii="Arial" w:hAnsi="Arial" w:cs="Arial"/>
          <w:color w:val="000000"/>
          <w:sz w:val="20"/>
        </w:rPr>
        <w:t>a copy of a digital recording is released</w:t>
      </w:r>
      <w:r w:rsidRPr="00064AF0">
        <w:rPr>
          <w:rFonts w:ascii="Arial" w:hAnsi="Arial" w:cs="Arial"/>
          <w:color w:val="000000"/>
          <w:sz w:val="20"/>
        </w:rPr>
        <w:t xml:space="preserve"> by</w:t>
      </w:r>
      <w:r w:rsidR="00F77652">
        <w:rPr>
          <w:rFonts w:ascii="Arial" w:hAnsi="Arial" w:cs="Arial"/>
          <w:color w:val="000000"/>
          <w:sz w:val="20"/>
        </w:rPr>
        <w:t xml:space="preserve"> the Court</w:t>
      </w:r>
      <w:r w:rsidRPr="00064AF0">
        <w:rPr>
          <w:rFonts w:ascii="Arial" w:hAnsi="Arial" w:cs="Arial"/>
          <w:color w:val="000000"/>
          <w:sz w:val="20"/>
        </w:rPr>
        <w:t xml:space="preserve">, </w:t>
      </w:r>
      <w:r w:rsidR="00AF502F">
        <w:rPr>
          <w:rFonts w:ascii="Arial" w:hAnsi="Arial" w:cs="Arial"/>
          <w:color w:val="000000"/>
          <w:sz w:val="20"/>
        </w:rPr>
        <w:t xml:space="preserve">this is generally done by email to the applicant containing a link to the recording in </w:t>
      </w:r>
      <w:r w:rsidR="00AF502F" w:rsidRPr="00B97DFE">
        <w:rPr>
          <w:rFonts w:ascii="Arial" w:hAnsi="Arial" w:cs="Arial"/>
          <w:b/>
          <w:bCs/>
          <w:color w:val="000000"/>
          <w:sz w:val="20"/>
          <w:bdr w:val="single" w:sz="4" w:space="0" w:color="auto"/>
          <w:shd w:val="clear" w:color="auto" w:fill="DDDDDD"/>
        </w:rPr>
        <w:t>.mp3</w:t>
      </w:r>
      <w:r w:rsidR="00AF502F">
        <w:rPr>
          <w:rFonts w:ascii="Arial" w:hAnsi="Arial" w:cs="Arial"/>
          <w:color w:val="000000"/>
          <w:sz w:val="20"/>
        </w:rPr>
        <w:t xml:space="preserve"> format.  T</w:t>
      </w:r>
      <w:r w:rsidRPr="00064AF0">
        <w:rPr>
          <w:rFonts w:ascii="Arial" w:hAnsi="Arial" w:cs="Arial"/>
          <w:color w:val="000000"/>
          <w:sz w:val="20"/>
        </w:rPr>
        <w:t xml:space="preserve">he applicant must not copy, distribute or publish, or cause the copying, distribution or publication of the recording in any way without the express approval of the Court. In this regard, the application form contains a </w:t>
      </w:r>
      <w:r w:rsidRPr="00064AF0">
        <w:rPr>
          <w:rFonts w:ascii="Arial" w:hAnsi="Arial" w:cs="Arial"/>
          <w:b/>
          <w:bCs/>
          <w:color w:val="000000"/>
          <w:sz w:val="20"/>
          <w:u w:val="single"/>
        </w:rPr>
        <w:t>WARNING</w:t>
      </w:r>
      <w:r w:rsidRPr="00064AF0">
        <w:rPr>
          <w:rFonts w:ascii="Arial" w:hAnsi="Arial" w:cs="Arial"/>
          <w:color w:val="000000"/>
          <w:sz w:val="20"/>
        </w:rPr>
        <w:t xml:space="preserve"> relating to </w:t>
      </w:r>
      <w:r w:rsidR="00367DE2">
        <w:rPr>
          <w:rFonts w:ascii="Arial" w:hAnsi="Arial" w:cs="Arial"/>
          <w:color w:val="000000"/>
          <w:sz w:val="20"/>
        </w:rPr>
        <w:t xml:space="preserve">the publication of identifying particulars prohibited by </w:t>
      </w:r>
      <w:r w:rsidR="00367DE2" w:rsidRPr="00064AF0">
        <w:rPr>
          <w:rFonts w:ascii="Arial" w:hAnsi="Arial" w:cs="Arial"/>
          <w:color w:val="000000"/>
          <w:sz w:val="20"/>
        </w:rPr>
        <w:t xml:space="preserve">s.534 of the CYFA </w:t>
      </w:r>
      <w:r w:rsidR="00367DE2">
        <w:rPr>
          <w:rFonts w:ascii="Arial" w:hAnsi="Arial" w:cs="Arial"/>
          <w:color w:val="000000"/>
          <w:sz w:val="20"/>
        </w:rPr>
        <w:t xml:space="preserve">which is </w:t>
      </w:r>
      <w:r w:rsidRPr="00064AF0">
        <w:rPr>
          <w:rFonts w:ascii="Arial" w:hAnsi="Arial" w:cs="Arial"/>
          <w:color w:val="000000"/>
          <w:sz w:val="20"/>
        </w:rPr>
        <w:t xml:space="preserve">discussed in </w:t>
      </w:r>
      <w:r w:rsidRPr="00784343">
        <w:rPr>
          <w:rFonts w:ascii="Arial" w:hAnsi="Arial" w:cs="Arial"/>
          <w:b/>
          <w:bCs/>
          <w:color w:val="000000"/>
          <w:sz w:val="20"/>
          <w:shd w:val="clear" w:color="auto" w:fill="C5E0B3"/>
        </w:rPr>
        <w:t>section 2.8.1</w:t>
      </w:r>
      <w:r w:rsidRPr="00064AF0">
        <w:rPr>
          <w:rFonts w:ascii="Arial" w:hAnsi="Arial" w:cs="Arial"/>
          <w:color w:val="000000"/>
          <w:sz w:val="20"/>
        </w:rPr>
        <w:t xml:space="preserve"> below.</w:t>
      </w:r>
    </w:p>
    <w:p w14:paraId="4DB7E20C" w14:textId="77777777" w:rsidR="00402E54" w:rsidRDefault="00402E54" w:rsidP="00402E54">
      <w:pPr>
        <w:jc w:val="both"/>
        <w:rPr>
          <w:rFonts w:ascii="Arial" w:hAnsi="Arial" w:cs="Arial"/>
          <w:sz w:val="20"/>
          <w:szCs w:val="20"/>
        </w:rPr>
      </w:pPr>
    </w:p>
    <w:p w14:paraId="2267B45D" w14:textId="623AB02A" w:rsidR="00402E54" w:rsidRDefault="00402E54" w:rsidP="00402E54">
      <w:pPr>
        <w:pStyle w:val="Heading3"/>
        <w:keepNext/>
        <w:keepLines/>
        <w:spacing w:after="120" w:line="240" w:lineRule="auto"/>
        <w:rPr>
          <w:rFonts w:ascii="Arial" w:hAnsi="Arial" w:cs="Arial"/>
          <w:b/>
          <w:bCs/>
          <w:sz w:val="20"/>
        </w:rPr>
      </w:pPr>
      <w:bookmarkStart w:id="456" w:name="_2.7.7_Offences_under"/>
      <w:bookmarkEnd w:id="456"/>
      <w:r>
        <w:rPr>
          <w:rFonts w:ascii="Arial" w:hAnsi="Arial" w:cs="Arial"/>
          <w:b/>
          <w:bCs/>
          <w:sz w:val="20"/>
        </w:rPr>
        <w:t>2.7.7</w:t>
      </w:r>
      <w:r>
        <w:rPr>
          <w:rFonts w:ascii="Arial" w:hAnsi="Arial" w:cs="Arial"/>
          <w:b/>
          <w:bCs/>
          <w:sz w:val="20"/>
        </w:rPr>
        <w:tab/>
        <w:t>Offences under the Court Security Act 1980</w:t>
      </w:r>
    </w:p>
    <w:p w14:paraId="5CB98395" w14:textId="00852DD4" w:rsidR="00064AF0" w:rsidRPr="00064AF0" w:rsidRDefault="00064AF0" w:rsidP="00064AF0">
      <w:pPr>
        <w:jc w:val="both"/>
        <w:rPr>
          <w:rFonts w:ascii="Arial" w:hAnsi="Arial" w:cs="Arial"/>
          <w:sz w:val="18"/>
          <w:szCs w:val="18"/>
        </w:rPr>
      </w:pPr>
      <w:r w:rsidRPr="00064AF0">
        <w:rPr>
          <w:rFonts w:ascii="Arial" w:hAnsi="Arial" w:cs="Arial"/>
          <w:sz w:val="20"/>
          <w:szCs w:val="20"/>
        </w:rPr>
        <w:t xml:space="preserve">There are specific offences </w:t>
      </w:r>
      <w:r w:rsidR="00A17187">
        <w:rPr>
          <w:rFonts w:ascii="Arial" w:hAnsi="Arial" w:cs="Arial"/>
          <w:sz w:val="20"/>
          <w:szCs w:val="20"/>
        </w:rPr>
        <w:t>created by</w:t>
      </w:r>
      <w:r w:rsidRPr="00064AF0">
        <w:rPr>
          <w:rFonts w:ascii="Arial" w:hAnsi="Arial" w:cs="Arial"/>
          <w:sz w:val="20"/>
          <w:szCs w:val="20"/>
        </w:rPr>
        <w:t xml:space="preserve"> ss.4A, 4B &amp; 4C of the </w:t>
      </w:r>
      <w:r w:rsidRPr="00064AF0">
        <w:rPr>
          <w:rFonts w:ascii="Arial" w:hAnsi="Arial" w:cs="Arial"/>
          <w:i/>
          <w:iCs/>
          <w:sz w:val="20"/>
          <w:szCs w:val="20"/>
        </w:rPr>
        <w:t>Court Security Act 1980</w:t>
      </w:r>
      <w:r w:rsidRPr="00064AF0">
        <w:rPr>
          <w:rFonts w:ascii="Arial" w:hAnsi="Arial" w:cs="Arial"/>
          <w:sz w:val="20"/>
          <w:szCs w:val="20"/>
        </w:rPr>
        <w:t xml:space="preserve"> [CSA] </w:t>
      </w:r>
      <w:r w:rsidR="00A17187">
        <w:rPr>
          <w:rFonts w:ascii="Arial" w:hAnsi="Arial" w:cs="Arial"/>
          <w:sz w:val="20"/>
          <w:szCs w:val="20"/>
        </w:rPr>
        <w:t xml:space="preserve">which </w:t>
      </w:r>
      <w:r w:rsidRPr="00064AF0">
        <w:rPr>
          <w:rFonts w:ascii="Arial" w:hAnsi="Arial" w:cs="Arial"/>
          <w:sz w:val="20"/>
          <w:szCs w:val="20"/>
        </w:rPr>
        <w:t>relat</w:t>
      </w:r>
      <w:r w:rsidR="00A17187">
        <w:rPr>
          <w:rFonts w:ascii="Arial" w:hAnsi="Arial" w:cs="Arial"/>
          <w:sz w:val="20"/>
          <w:szCs w:val="20"/>
        </w:rPr>
        <w:t>e</w:t>
      </w:r>
      <w:r w:rsidRPr="00064AF0">
        <w:rPr>
          <w:rFonts w:ascii="Arial" w:hAnsi="Arial" w:cs="Arial"/>
          <w:sz w:val="20"/>
          <w:szCs w:val="20"/>
        </w:rPr>
        <w:t xml:space="preserve"> to the </w:t>
      </w:r>
      <w:r w:rsidRPr="00A17187">
        <w:rPr>
          <w:rFonts w:ascii="Arial" w:hAnsi="Arial" w:cs="Arial"/>
          <w:b/>
          <w:bCs/>
          <w:sz w:val="20"/>
          <w:szCs w:val="20"/>
        </w:rPr>
        <w:t>unauthorised</w:t>
      </w:r>
      <w:r w:rsidRPr="00064AF0">
        <w:rPr>
          <w:rFonts w:ascii="Arial" w:hAnsi="Arial" w:cs="Arial"/>
          <w:sz w:val="20"/>
          <w:szCs w:val="20"/>
        </w:rPr>
        <w:t xml:space="preserve"> recording of Court proceedings and to the </w:t>
      </w:r>
      <w:r w:rsidRPr="00A17187">
        <w:rPr>
          <w:rFonts w:ascii="Arial" w:hAnsi="Arial" w:cs="Arial"/>
          <w:b/>
          <w:bCs/>
          <w:sz w:val="20"/>
          <w:szCs w:val="20"/>
        </w:rPr>
        <w:t>unauthorised</w:t>
      </w:r>
      <w:r w:rsidRPr="00064AF0">
        <w:rPr>
          <w:rFonts w:ascii="Arial" w:hAnsi="Arial" w:cs="Arial"/>
          <w:sz w:val="20"/>
          <w:szCs w:val="20"/>
        </w:rPr>
        <w:t xml:space="preserve"> publishing or transmitting of recordings of Court proceedings. The sections </w:t>
      </w:r>
      <w:r>
        <w:rPr>
          <w:rFonts w:ascii="Arial" w:hAnsi="Arial" w:cs="Arial"/>
          <w:sz w:val="20"/>
          <w:szCs w:val="20"/>
        </w:rPr>
        <w:t xml:space="preserve">each provide a maximum penalty of 20 penalty units.  </w:t>
      </w:r>
      <w:r w:rsidRPr="00064AF0">
        <w:rPr>
          <w:rFonts w:ascii="Arial" w:hAnsi="Arial" w:cs="Arial"/>
          <w:sz w:val="20"/>
          <w:szCs w:val="20"/>
        </w:rPr>
        <w:t>In</w:t>
      </w:r>
      <w:r>
        <w:rPr>
          <w:rFonts w:ascii="Arial" w:hAnsi="Arial" w:cs="Arial"/>
          <w:sz w:val="20"/>
          <w:szCs w:val="20"/>
        </w:rPr>
        <w:t> </w:t>
      </w:r>
      <w:r w:rsidRPr="00064AF0">
        <w:rPr>
          <w:rFonts w:ascii="Arial" w:hAnsi="Arial" w:cs="Arial"/>
          <w:sz w:val="20"/>
          <w:szCs w:val="20"/>
        </w:rPr>
        <w:t>s.2(1) of the CSA, “Court” includes the Children’s Court and “proceeding” includes a Children’s Court proceeding.</w:t>
      </w:r>
      <w:r>
        <w:rPr>
          <w:rFonts w:ascii="Arial" w:hAnsi="Arial" w:cs="Arial"/>
          <w:sz w:val="20"/>
          <w:szCs w:val="20"/>
        </w:rPr>
        <w:t xml:space="preserve"> A specific form is available on the Children’s Court website which must be completed by any</w:t>
      </w:r>
      <w:r w:rsidR="00A17187">
        <w:rPr>
          <w:rFonts w:ascii="Arial" w:hAnsi="Arial" w:cs="Arial"/>
          <w:sz w:val="20"/>
          <w:szCs w:val="20"/>
        </w:rPr>
        <w:t xml:space="preserve"> member of the public</w:t>
      </w:r>
      <w:r>
        <w:rPr>
          <w:rFonts w:ascii="Arial" w:hAnsi="Arial" w:cs="Arial"/>
          <w:sz w:val="20"/>
          <w:szCs w:val="20"/>
        </w:rPr>
        <w:t xml:space="preserve"> making an application to record proceedings in the Criminal Division of the Children’s Court.</w:t>
      </w:r>
    </w:p>
    <w:p w14:paraId="58399183" w14:textId="77777777" w:rsidR="009A6220" w:rsidRPr="005667AD" w:rsidRDefault="009A6220" w:rsidP="009A6220">
      <w:pPr>
        <w:jc w:val="both"/>
        <w:rPr>
          <w:rFonts w:ascii="Arial" w:hAnsi="Arial" w:cs="Arial"/>
          <w:color w:val="000000"/>
          <w:sz w:val="18"/>
          <w:szCs w:val="22"/>
        </w:rPr>
      </w:pPr>
      <w:bookmarkStart w:id="457" w:name="_2.8_Restriction_on"/>
      <w:bookmarkStart w:id="458" w:name="_Toc30610010"/>
      <w:bookmarkStart w:id="459" w:name="_Toc30610253"/>
      <w:bookmarkStart w:id="460" w:name="_Toc30638407"/>
      <w:bookmarkStart w:id="461" w:name="_Ref30638819"/>
      <w:bookmarkStart w:id="462" w:name="_Toc30644216"/>
      <w:bookmarkStart w:id="463" w:name="_Toc30644619"/>
      <w:bookmarkStart w:id="464" w:name="_Toc30645169"/>
      <w:bookmarkStart w:id="465" w:name="_Toc30646373"/>
      <w:bookmarkStart w:id="466" w:name="_Toc30646668"/>
      <w:bookmarkStart w:id="467" w:name="_Toc30646778"/>
      <w:bookmarkStart w:id="468" w:name="_Toc30648135"/>
      <w:bookmarkStart w:id="469" w:name="_Toc30649033"/>
      <w:bookmarkStart w:id="470" w:name="_Toc30649109"/>
      <w:bookmarkStart w:id="471" w:name="_Toc30649370"/>
      <w:bookmarkStart w:id="472" w:name="_Toc30649690"/>
      <w:bookmarkStart w:id="473" w:name="_Toc30651624"/>
      <w:bookmarkStart w:id="474" w:name="_Toc30652608"/>
      <w:bookmarkStart w:id="475" w:name="_Toc30652706"/>
      <w:bookmarkStart w:id="476" w:name="_Toc30654051"/>
      <w:bookmarkStart w:id="477" w:name="_Toc30654402"/>
      <w:bookmarkStart w:id="478" w:name="_Toc30655021"/>
      <w:bookmarkStart w:id="479" w:name="_Toc30655278"/>
      <w:bookmarkStart w:id="480" w:name="_Toc30656954"/>
      <w:bookmarkStart w:id="481" w:name="_Toc30661703"/>
      <w:bookmarkStart w:id="482" w:name="_Toc30666391"/>
      <w:bookmarkStart w:id="483" w:name="_Toc30666621"/>
      <w:bookmarkStart w:id="484" w:name="_Toc30667796"/>
      <w:bookmarkStart w:id="485" w:name="_Toc30669174"/>
      <w:bookmarkStart w:id="486" w:name="_Toc30671390"/>
      <w:bookmarkStart w:id="487" w:name="_Toc30673917"/>
      <w:bookmarkStart w:id="488" w:name="_Toc30691139"/>
      <w:bookmarkStart w:id="489" w:name="_Toc30691510"/>
      <w:bookmarkStart w:id="490" w:name="_Toc30691890"/>
      <w:bookmarkStart w:id="491" w:name="_Toc30692649"/>
      <w:bookmarkStart w:id="492" w:name="_Toc30693028"/>
      <w:bookmarkStart w:id="493" w:name="_Toc30693406"/>
      <w:bookmarkStart w:id="494" w:name="_Toc30693785"/>
      <w:bookmarkStart w:id="495" w:name="_Toc30694166"/>
      <w:bookmarkStart w:id="496" w:name="_Toc30698755"/>
      <w:bookmarkStart w:id="497" w:name="_Toc30699133"/>
      <w:bookmarkStart w:id="498" w:name="_Toc30699518"/>
      <w:bookmarkStart w:id="499" w:name="_Toc30700673"/>
      <w:bookmarkStart w:id="500" w:name="_Toc30701060"/>
      <w:bookmarkStart w:id="501" w:name="_Toc30743669"/>
      <w:bookmarkStart w:id="502" w:name="_Toc30754492"/>
      <w:bookmarkStart w:id="503" w:name="_Toc30756932"/>
      <w:bookmarkStart w:id="504" w:name="_Toc30757481"/>
      <w:bookmarkStart w:id="505" w:name="_Toc30757881"/>
      <w:bookmarkStart w:id="506" w:name="_Toc30762642"/>
      <w:bookmarkStart w:id="507" w:name="_Toc30767296"/>
      <w:bookmarkStart w:id="508" w:name="_Toc34823321"/>
      <w:bookmarkEnd w:id="454"/>
      <w:bookmarkEnd w:id="457"/>
    </w:p>
    <w:p w14:paraId="728D92C9" w14:textId="50FF9435" w:rsidR="00277B85" w:rsidRDefault="00277B85" w:rsidP="00736D39">
      <w:pPr>
        <w:pStyle w:val="Heading2"/>
        <w:keepNext/>
        <w:keepLines/>
        <w:tabs>
          <w:tab w:val="left" w:pos="567"/>
        </w:tabs>
        <w:spacing w:line="240" w:lineRule="auto"/>
        <w:rPr>
          <w:rFonts w:ascii="Arial" w:hAnsi="Arial" w:cs="Arial"/>
          <w:b/>
          <w:bCs/>
        </w:rPr>
      </w:pPr>
      <w:r>
        <w:rPr>
          <w:rFonts w:ascii="Arial" w:hAnsi="Arial" w:cs="Arial"/>
          <w:b/>
          <w:bCs/>
        </w:rPr>
        <w:lastRenderedPageBreak/>
        <w:t>2.8</w:t>
      </w:r>
      <w:r>
        <w:rPr>
          <w:rFonts w:ascii="Arial" w:hAnsi="Arial" w:cs="Arial"/>
          <w:b/>
          <w:bCs/>
        </w:rPr>
        <w:tab/>
        <w:t>Restriction on publication of proceedings</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p>
    <w:p w14:paraId="3C451EE2" w14:textId="77777777" w:rsidR="00277B85" w:rsidRPr="001E79F7" w:rsidRDefault="00277B85" w:rsidP="00C94638">
      <w:pPr>
        <w:keepNext/>
        <w:keepLines/>
        <w:jc w:val="both"/>
        <w:rPr>
          <w:rFonts w:ascii="Arial" w:hAnsi="Arial" w:cs="Arial"/>
          <w:sz w:val="20"/>
        </w:rPr>
      </w:pPr>
    </w:p>
    <w:p w14:paraId="42BE934D" w14:textId="77777777" w:rsidR="001E79F7" w:rsidRDefault="001E79F7" w:rsidP="001E79F7">
      <w:pPr>
        <w:pStyle w:val="Heading3"/>
        <w:keepNext/>
        <w:keepLines/>
        <w:spacing w:after="120" w:line="240" w:lineRule="auto"/>
        <w:rPr>
          <w:rFonts w:ascii="Arial" w:hAnsi="Arial" w:cs="Arial"/>
          <w:b/>
          <w:bCs/>
          <w:sz w:val="20"/>
        </w:rPr>
      </w:pPr>
      <w:bookmarkStart w:id="509" w:name="_2.8.1_Statutory_prohibition"/>
      <w:bookmarkEnd w:id="509"/>
      <w:r>
        <w:rPr>
          <w:rFonts w:ascii="Arial" w:hAnsi="Arial" w:cs="Arial"/>
          <w:b/>
          <w:bCs/>
          <w:sz w:val="20"/>
        </w:rPr>
        <w:t>2.8.1</w:t>
      </w:r>
      <w:r>
        <w:rPr>
          <w:rFonts w:ascii="Arial" w:hAnsi="Arial" w:cs="Arial"/>
          <w:b/>
          <w:bCs/>
          <w:sz w:val="20"/>
        </w:rPr>
        <w:tab/>
      </w:r>
      <w:r w:rsidR="00F42304">
        <w:rPr>
          <w:rFonts w:ascii="Arial" w:hAnsi="Arial" w:cs="Arial"/>
          <w:b/>
          <w:bCs/>
          <w:sz w:val="20"/>
        </w:rPr>
        <w:t xml:space="preserve">Statutory prohibition </w:t>
      </w:r>
      <w:r>
        <w:rPr>
          <w:rFonts w:ascii="Arial" w:hAnsi="Arial" w:cs="Arial"/>
          <w:b/>
          <w:bCs/>
          <w:sz w:val="20"/>
        </w:rPr>
        <w:t>on publication of identifying particulars</w:t>
      </w:r>
      <w:r w:rsidR="002D4F6F">
        <w:rPr>
          <w:rFonts w:ascii="Arial" w:hAnsi="Arial" w:cs="Arial"/>
          <w:b/>
          <w:bCs/>
          <w:sz w:val="20"/>
        </w:rPr>
        <w:t>-s.534 of the CYFA</w:t>
      </w:r>
    </w:p>
    <w:p w14:paraId="2425CA97" w14:textId="6BB48B4F" w:rsidR="00277B85" w:rsidRDefault="006C17E0" w:rsidP="006C17E0">
      <w:pPr>
        <w:jc w:val="both"/>
        <w:rPr>
          <w:rFonts w:ascii="Arial" w:hAnsi="Arial" w:cs="Arial"/>
          <w:sz w:val="20"/>
        </w:rPr>
      </w:pPr>
      <w:bookmarkStart w:id="510" w:name="_Hlk13668651"/>
      <w:r>
        <w:rPr>
          <w:rFonts w:ascii="Arial" w:hAnsi="Arial" w:cs="Arial"/>
          <w:sz w:val="20"/>
        </w:rPr>
        <w:t xml:space="preserve">Under s.534(1) of the CYFA – the statutory predecessors of which are s.26 of the </w:t>
      </w:r>
      <w:r w:rsidRPr="006C17E0">
        <w:rPr>
          <w:rFonts w:ascii="Arial" w:hAnsi="Arial" w:cs="Arial"/>
          <w:i/>
          <w:iCs/>
          <w:sz w:val="20"/>
        </w:rPr>
        <w:t>Children and Young Persons Act 1991</w:t>
      </w:r>
      <w:r>
        <w:rPr>
          <w:rFonts w:ascii="Arial" w:hAnsi="Arial" w:cs="Arial"/>
          <w:sz w:val="20"/>
        </w:rPr>
        <w:t xml:space="preserve">, s.48 of the </w:t>
      </w:r>
      <w:r w:rsidRPr="006C17E0">
        <w:rPr>
          <w:rFonts w:ascii="Arial" w:hAnsi="Arial" w:cs="Arial"/>
          <w:i/>
          <w:iCs/>
          <w:sz w:val="20"/>
        </w:rPr>
        <w:t>Children’s Court Act 197</w:t>
      </w:r>
      <w:r>
        <w:rPr>
          <w:rFonts w:ascii="Arial" w:hAnsi="Arial" w:cs="Arial"/>
          <w:sz w:val="20"/>
        </w:rPr>
        <w:t xml:space="preserve">3, s.43 of the </w:t>
      </w:r>
      <w:r w:rsidRPr="006C17E0">
        <w:rPr>
          <w:rFonts w:ascii="Arial" w:hAnsi="Arial" w:cs="Arial"/>
          <w:i/>
          <w:iCs/>
          <w:sz w:val="20"/>
        </w:rPr>
        <w:t>Children’s Court Act 1958</w:t>
      </w:r>
      <w:r>
        <w:rPr>
          <w:rFonts w:ascii="Arial" w:hAnsi="Arial" w:cs="Arial"/>
          <w:sz w:val="20"/>
        </w:rPr>
        <w:t xml:space="preserve"> &amp; s.43 of the </w:t>
      </w:r>
      <w:r w:rsidRPr="006C17E0">
        <w:rPr>
          <w:rFonts w:ascii="Arial" w:hAnsi="Arial" w:cs="Arial"/>
          <w:i/>
          <w:iCs/>
          <w:sz w:val="20"/>
        </w:rPr>
        <w:t>Children’s Court Act 1956</w:t>
      </w:r>
      <w:r>
        <w:rPr>
          <w:rFonts w:ascii="Arial" w:hAnsi="Arial" w:cs="Arial"/>
          <w:sz w:val="20"/>
        </w:rPr>
        <w:t xml:space="preserve"> – it is </w:t>
      </w:r>
      <w:r w:rsidR="00277B85">
        <w:rPr>
          <w:rFonts w:ascii="Arial" w:hAnsi="Arial" w:cs="Arial"/>
          <w:sz w:val="20"/>
        </w:rPr>
        <w:t>an offence punishable by fine or imprisonment for a person to publish or cause to be published</w:t>
      </w:r>
      <w:r w:rsidR="00141992">
        <w:rPr>
          <w:rFonts w:ascii="Arial" w:hAnsi="Arial" w:cs="Arial"/>
          <w:sz w:val="20"/>
          <w:szCs w:val="20"/>
        </w:rPr>
        <w:t>–</w:t>
      </w:r>
    </w:p>
    <w:p w14:paraId="58D9BF9F" w14:textId="7061B01E" w:rsidR="00277B85" w:rsidRDefault="00277B85">
      <w:pPr>
        <w:ind w:left="363" w:hanging="363"/>
        <w:jc w:val="both"/>
        <w:rPr>
          <w:rFonts w:ascii="Arial" w:hAnsi="Arial" w:cs="Arial"/>
          <w:sz w:val="20"/>
        </w:rPr>
      </w:pPr>
      <w:r>
        <w:rPr>
          <w:rFonts w:ascii="Arial" w:hAnsi="Arial" w:cs="Arial"/>
          <w:sz w:val="20"/>
        </w:rPr>
        <w:t>(a)</w:t>
      </w:r>
      <w:r>
        <w:rPr>
          <w:rFonts w:ascii="Arial" w:hAnsi="Arial" w:cs="Arial"/>
          <w:sz w:val="20"/>
        </w:rPr>
        <w:tab/>
        <w:t>except with the permission of the President</w:t>
      </w:r>
      <w:r w:rsidR="006D43F9">
        <w:rPr>
          <w:rFonts w:ascii="Arial" w:hAnsi="Arial" w:cs="Arial"/>
          <w:sz w:val="20"/>
        </w:rPr>
        <w:t xml:space="preserve"> or of a magistrate under s.534(1A)</w:t>
      </w:r>
      <w:r w:rsidR="001E79F7">
        <w:rPr>
          <w:rFonts w:ascii="Arial" w:hAnsi="Arial" w:cs="Arial"/>
          <w:sz w:val="20"/>
        </w:rPr>
        <w:t>,</w:t>
      </w:r>
      <w:r>
        <w:rPr>
          <w:rFonts w:ascii="Arial" w:hAnsi="Arial" w:cs="Arial"/>
          <w:sz w:val="20"/>
        </w:rPr>
        <w:t xml:space="preserve"> a report of any proceeding in the Court or of a proceeding in any other court arising out of a proceeding in the Court that contains any particulars likely to lead to the identification of</w:t>
      </w:r>
      <w:r w:rsidR="00741721">
        <w:rPr>
          <w:rFonts w:ascii="Arial" w:hAnsi="Arial" w:cs="Arial"/>
          <w:sz w:val="20"/>
        </w:rPr>
        <w:t>–</w:t>
      </w:r>
    </w:p>
    <w:p w14:paraId="34991C84" w14:textId="77777777" w:rsidR="00277B85" w:rsidRDefault="00277B85" w:rsidP="00CD02A3">
      <w:pPr>
        <w:tabs>
          <w:tab w:val="left" w:pos="720"/>
        </w:tabs>
        <w:ind w:left="714" w:hanging="357"/>
        <w:jc w:val="both"/>
        <w:rPr>
          <w:rFonts w:ascii="Arial" w:hAnsi="Arial" w:cs="Arial"/>
          <w:sz w:val="20"/>
        </w:rPr>
      </w:pPr>
      <w:r>
        <w:rPr>
          <w:rFonts w:ascii="Arial" w:hAnsi="Arial" w:cs="Arial"/>
          <w:sz w:val="20"/>
        </w:rPr>
        <w:t>(i)</w:t>
      </w:r>
      <w:r>
        <w:rPr>
          <w:rFonts w:ascii="Arial" w:hAnsi="Arial" w:cs="Arial"/>
          <w:sz w:val="20"/>
        </w:rPr>
        <w:tab/>
        <w:t>the particular venue of the Children's Court</w:t>
      </w:r>
      <w:r w:rsidR="00DA0C37">
        <w:rPr>
          <w:rFonts w:ascii="Arial" w:hAnsi="Arial" w:cs="Arial"/>
          <w:sz w:val="20"/>
        </w:rPr>
        <w:t>, other than the Koori Court (Criminal Division)</w:t>
      </w:r>
      <w:r w:rsidR="003573C8">
        <w:rPr>
          <w:rFonts w:ascii="Arial" w:hAnsi="Arial" w:cs="Arial"/>
          <w:sz w:val="20"/>
        </w:rPr>
        <w:t xml:space="preserve"> or the Neighbourhood Justice Division</w:t>
      </w:r>
      <w:r w:rsidR="00DA0C37">
        <w:rPr>
          <w:rFonts w:ascii="Arial" w:hAnsi="Arial" w:cs="Arial"/>
          <w:sz w:val="20"/>
        </w:rPr>
        <w:t>,</w:t>
      </w:r>
      <w:r>
        <w:rPr>
          <w:rFonts w:ascii="Arial" w:hAnsi="Arial" w:cs="Arial"/>
          <w:sz w:val="20"/>
        </w:rPr>
        <w:t xml:space="preserve"> in which the proceeding was heard; or</w:t>
      </w:r>
    </w:p>
    <w:p w14:paraId="70E7C10D" w14:textId="77777777" w:rsidR="00277B85" w:rsidRDefault="00277B85">
      <w:pPr>
        <w:ind w:left="363" w:hanging="363"/>
        <w:jc w:val="both"/>
        <w:rPr>
          <w:rFonts w:ascii="Arial" w:hAnsi="Arial" w:cs="Arial"/>
          <w:sz w:val="20"/>
        </w:rPr>
      </w:pPr>
      <w:r>
        <w:rPr>
          <w:rFonts w:ascii="Arial" w:hAnsi="Arial" w:cs="Arial"/>
          <w:sz w:val="20"/>
        </w:rPr>
        <w:tab/>
        <w:t>(ii)</w:t>
      </w:r>
      <w:r>
        <w:rPr>
          <w:rFonts w:ascii="Arial" w:hAnsi="Arial" w:cs="Arial"/>
          <w:sz w:val="20"/>
        </w:rPr>
        <w:tab/>
        <w:t>a child or other party to the proceeding; or</w:t>
      </w:r>
    </w:p>
    <w:p w14:paraId="05E60C68" w14:textId="09E358DB" w:rsidR="00277B85" w:rsidRDefault="00277B85" w:rsidP="001255F0">
      <w:pPr>
        <w:ind w:left="720" w:hanging="363"/>
        <w:jc w:val="both"/>
        <w:rPr>
          <w:rFonts w:ascii="Arial" w:hAnsi="Arial" w:cs="Arial"/>
          <w:sz w:val="20"/>
        </w:rPr>
      </w:pPr>
      <w:r>
        <w:rPr>
          <w:rFonts w:ascii="Arial" w:hAnsi="Arial" w:cs="Arial"/>
          <w:sz w:val="20"/>
        </w:rPr>
        <w:t>(iii)</w:t>
      </w:r>
      <w:r>
        <w:rPr>
          <w:rFonts w:ascii="Arial" w:hAnsi="Arial" w:cs="Arial"/>
          <w:sz w:val="20"/>
        </w:rPr>
        <w:tab/>
        <w:t>a witness in the proceeding; or</w:t>
      </w:r>
    </w:p>
    <w:p w14:paraId="6576AED9" w14:textId="3A8224F3" w:rsidR="00277B85" w:rsidRDefault="00277B85">
      <w:pPr>
        <w:ind w:left="363" w:hanging="363"/>
        <w:jc w:val="both"/>
        <w:rPr>
          <w:rFonts w:ascii="Arial" w:hAnsi="Arial" w:cs="Arial"/>
          <w:sz w:val="20"/>
        </w:rPr>
      </w:pPr>
      <w:r>
        <w:rPr>
          <w:rFonts w:ascii="Arial" w:hAnsi="Arial" w:cs="Arial"/>
          <w:sz w:val="20"/>
        </w:rPr>
        <w:t>(b)</w:t>
      </w:r>
      <w:r>
        <w:rPr>
          <w:rFonts w:ascii="Arial" w:hAnsi="Arial" w:cs="Arial"/>
          <w:sz w:val="20"/>
        </w:rPr>
        <w:tab/>
        <w:t>except with the permission of the President</w:t>
      </w:r>
      <w:r w:rsidR="00767B71">
        <w:rPr>
          <w:rFonts w:ascii="Arial" w:hAnsi="Arial" w:cs="Arial"/>
          <w:sz w:val="20"/>
        </w:rPr>
        <w:t xml:space="preserve"> or of a magistrate under s.534(1A)</w:t>
      </w:r>
      <w:r>
        <w:rPr>
          <w:rFonts w:ascii="Arial" w:hAnsi="Arial" w:cs="Arial"/>
          <w:sz w:val="20"/>
        </w:rPr>
        <w:t xml:space="preserve">, a picture as being or including a picture of a child or other party to, or a witness in, a proceeding referred to in </w:t>
      </w:r>
      <w:r w:rsidR="00141992">
        <w:rPr>
          <w:rFonts w:ascii="Arial" w:hAnsi="Arial" w:cs="Arial"/>
          <w:sz w:val="20"/>
        </w:rPr>
        <w:t>paragraph </w:t>
      </w:r>
      <w:r>
        <w:rPr>
          <w:rFonts w:ascii="Arial" w:hAnsi="Arial" w:cs="Arial"/>
          <w:sz w:val="20"/>
        </w:rPr>
        <w:t>(a) above; or</w:t>
      </w:r>
    </w:p>
    <w:p w14:paraId="151E9619" w14:textId="2877D2AD" w:rsidR="00277B85" w:rsidRDefault="00277B85">
      <w:pPr>
        <w:ind w:left="363" w:hanging="363"/>
        <w:jc w:val="both"/>
        <w:rPr>
          <w:rFonts w:ascii="Arial" w:hAnsi="Arial" w:cs="Arial"/>
          <w:sz w:val="20"/>
        </w:rPr>
      </w:pPr>
      <w:r>
        <w:rPr>
          <w:rFonts w:ascii="Arial" w:hAnsi="Arial" w:cs="Arial"/>
          <w:sz w:val="20"/>
        </w:rPr>
        <w:t>(c)</w:t>
      </w:r>
      <w:r>
        <w:rPr>
          <w:rFonts w:ascii="Arial" w:hAnsi="Arial" w:cs="Arial"/>
          <w:sz w:val="20"/>
        </w:rPr>
        <w:tab/>
        <w:t xml:space="preserve">except with the permission of the </w:t>
      </w:r>
      <w:r w:rsidR="00537365">
        <w:rPr>
          <w:rFonts w:ascii="Arial" w:hAnsi="Arial" w:cs="Arial"/>
          <w:sz w:val="20"/>
        </w:rPr>
        <w:t xml:space="preserve">President </w:t>
      </w:r>
      <w:r w:rsidR="00767B71">
        <w:rPr>
          <w:rFonts w:ascii="Arial" w:hAnsi="Arial" w:cs="Arial"/>
          <w:sz w:val="20"/>
        </w:rPr>
        <w:t xml:space="preserve">or of a magistrate under s.534(1A) </w:t>
      </w:r>
      <w:r w:rsidR="00DA0C37">
        <w:rPr>
          <w:rFonts w:ascii="Arial" w:hAnsi="Arial" w:cs="Arial"/>
          <w:sz w:val="20"/>
        </w:rPr>
        <w:t>or</w:t>
      </w:r>
      <w:r w:rsidR="00E46907">
        <w:rPr>
          <w:rFonts w:ascii="Arial" w:hAnsi="Arial" w:cs="Arial"/>
          <w:sz w:val="20"/>
        </w:rPr>
        <w:t xml:space="preserve"> – </w:t>
      </w:r>
      <w:r w:rsidR="00537365">
        <w:rPr>
          <w:rFonts w:ascii="Arial" w:hAnsi="Arial" w:cs="Arial"/>
          <w:sz w:val="20"/>
        </w:rPr>
        <w:t>per</w:t>
      </w:r>
      <w:r w:rsidR="00E46907">
        <w:rPr>
          <w:rFonts w:ascii="Arial" w:hAnsi="Arial" w:cs="Arial"/>
          <w:sz w:val="20"/>
        </w:rPr>
        <w:t xml:space="preserve"> </w:t>
      </w:r>
      <w:r w:rsidR="00537365">
        <w:rPr>
          <w:rFonts w:ascii="Arial" w:hAnsi="Arial" w:cs="Arial"/>
          <w:sz w:val="20"/>
        </w:rPr>
        <w:t>s.534(3)</w:t>
      </w:r>
      <w:r w:rsidR="00E46907">
        <w:rPr>
          <w:rFonts w:ascii="Arial" w:hAnsi="Arial" w:cs="Arial"/>
          <w:sz w:val="20"/>
        </w:rPr>
        <w:t xml:space="preserve"> –</w:t>
      </w:r>
      <w:r w:rsidR="00537365">
        <w:rPr>
          <w:rFonts w:ascii="Arial" w:hAnsi="Arial" w:cs="Arial"/>
          <w:sz w:val="20"/>
        </w:rPr>
        <w:t xml:space="preserve"> </w:t>
      </w:r>
      <w:r w:rsidR="00DA0C37">
        <w:rPr>
          <w:rFonts w:ascii="Arial" w:hAnsi="Arial" w:cs="Arial"/>
          <w:sz w:val="20"/>
        </w:rPr>
        <w:t>of</w:t>
      </w:r>
      <w:r w:rsidR="00E46907">
        <w:rPr>
          <w:rFonts w:ascii="Arial" w:hAnsi="Arial" w:cs="Arial"/>
          <w:sz w:val="20"/>
        </w:rPr>
        <w:t xml:space="preserve"> </w:t>
      </w:r>
      <w:r w:rsidR="00DA0C37">
        <w:rPr>
          <w:rFonts w:ascii="Arial" w:hAnsi="Arial" w:cs="Arial"/>
          <w:sz w:val="20"/>
        </w:rPr>
        <w:t xml:space="preserve">the </w:t>
      </w:r>
      <w:r>
        <w:rPr>
          <w:rFonts w:ascii="Arial" w:hAnsi="Arial" w:cs="Arial"/>
          <w:sz w:val="20"/>
        </w:rPr>
        <w:t xml:space="preserve">Secretary granted in special circumstances in relation to a child who is the subject of a </w:t>
      </w:r>
      <w:r w:rsidR="003573C8">
        <w:rPr>
          <w:rFonts w:ascii="Arial" w:hAnsi="Arial" w:cs="Arial"/>
          <w:sz w:val="20"/>
        </w:rPr>
        <w:t>family reunification order, care by Secretary order or long-term care order</w:t>
      </w:r>
      <w:r>
        <w:rPr>
          <w:rFonts w:ascii="Arial" w:hAnsi="Arial" w:cs="Arial"/>
          <w:sz w:val="20"/>
        </w:rPr>
        <w:t>, any matter that contains any particulars likely to lead to the identification of a child as being the subject of an order made by the Court.</w:t>
      </w:r>
    </w:p>
    <w:p w14:paraId="2BD030F3" w14:textId="70B2BCD5" w:rsidR="00CA7479" w:rsidRDefault="00CA7479">
      <w:pPr>
        <w:jc w:val="both"/>
        <w:rPr>
          <w:rFonts w:ascii="Arial" w:hAnsi="Arial" w:cs="Arial"/>
          <w:sz w:val="20"/>
        </w:rPr>
      </w:pPr>
    </w:p>
    <w:p w14:paraId="14032AEC" w14:textId="62FCE777" w:rsidR="00A5707C" w:rsidRPr="00A5707C" w:rsidRDefault="00A5707C">
      <w:pPr>
        <w:jc w:val="both"/>
        <w:rPr>
          <w:rFonts w:ascii="Arial" w:hAnsi="Arial" w:cs="Arial"/>
          <w:color w:val="000000" w:themeColor="text1"/>
          <w:sz w:val="20"/>
        </w:rPr>
      </w:pPr>
      <w:r w:rsidRPr="00A5707C">
        <w:rPr>
          <w:rFonts w:ascii="Arial" w:hAnsi="Arial" w:cs="Arial"/>
          <w:color w:val="000000" w:themeColor="text1"/>
          <w:sz w:val="20"/>
        </w:rPr>
        <w:t>In footnotes 3</w:t>
      </w:r>
      <w:r>
        <w:rPr>
          <w:rFonts w:ascii="Arial" w:hAnsi="Arial" w:cs="Arial"/>
          <w:color w:val="000000" w:themeColor="text1"/>
          <w:sz w:val="20"/>
        </w:rPr>
        <w:t>8</w:t>
      </w:r>
      <w:r w:rsidRPr="00A5707C">
        <w:rPr>
          <w:rFonts w:ascii="Arial" w:hAnsi="Arial" w:cs="Arial"/>
          <w:color w:val="000000" w:themeColor="text1"/>
          <w:sz w:val="20"/>
        </w:rPr>
        <w:t xml:space="preserve"> &amp; 3</w:t>
      </w:r>
      <w:r>
        <w:rPr>
          <w:rFonts w:ascii="Arial" w:hAnsi="Arial" w:cs="Arial"/>
          <w:color w:val="000000" w:themeColor="text1"/>
          <w:sz w:val="20"/>
        </w:rPr>
        <w:t>9</w:t>
      </w:r>
      <w:r w:rsidRPr="00A5707C">
        <w:rPr>
          <w:rFonts w:ascii="Arial" w:hAnsi="Arial" w:cs="Arial"/>
          <w:color w:val="000000" w:themeColor="text1"/>
          <w:sz w:val="20"/>
        </w:rPr>
        <w:t xml:space="preserve"> of his judgment in </w:t>
      </w:r>
      <w:r w:rsidRPr="00A5707C">
        <w:rPr>
          <w:rFonts w:ascii="Arial" w:hAnsi="Arial" w:cs="Arial"/>
          <w:i/>
          <w:iCs/>
          <w:color w:val="000000" w:themeColor="text1"/>
          <w:sz w:val="20"/>
        </w:rPr>
        <w:t>Re WD (No 2)</w:t>
      </w:r>
      <w:r w:rsidRPr="00A5707C">
        <w:rPr>
          <w:rFonts w:ascii="Arial" w:hAnsi="Arial" w:cs="Arial"/>
          <w:color w:val="000000" w:themeColor="text1"/>
          <w:sz w:val="20"/>
        </w:rPr>
        <w:t xml:space="preserve"> [2023] VSC 790 Elliott J said in relation to the words “or other party to </w:t>
      </w:r>
      <w:r w:rsidR="00567690">
        <w:rPr>
          <w:rFonts w:ascii="Arial" w:hAnsi="Arial" w:cs="Arial"/>
          <w:color w:val="000000" w:themeColor="text1"/>
          <w:sz w:val="20"/>
        </w:rPr>
        <w:t xml:space="preserve">the </w:t>
      </w:r>
      <w:r w:rsidRPr="00A5707C">
        <w:rPr>
          <w:rFonts w:ascii="Arial" w:hAnsi="Arial" w:cs="Arial"/>
          <w:color w:val="000000" w:themeColor="text1"/>
          <w:sz w:val="20"/>
        </w:rPr>
        <w:t xml:space="preserve">proceeding” in s.534(1)(a)(ii) </w:t>
      </w:r>
      <w:r>
        <w:rPr>
          <w:rFonts w:ascii="Arial" w:hAnsi="Arial" w:cs="Arial"/>
          <w:color w:val="000000" w:themeColor="text1"/>
          <w:sz w:val="20"/>
        </w:rPr>
        <w:t>CYFA:</w:t>
      </w:r>
    </w:p>
    <w:p w14:paraId="40DD18C1" w14:textId="217919F2" w:rsidR="00A5707C" w:rsidRDefault="00A5707C" w:rsidP="00A5707C">
      <w:pPr>
        <w:spacing w:before="60"/>
        <w:ind w:left="567" w:right="567"/>
        <w:jc w:val="both"/>
        <w:rPr>
          <w:rFonts w:ascii="Arial" w:hAnsi="Arial" w:cs="Arial"/>
          <w:sz w:val="20"/>
          <w:szCs w:val="20"/>
        </w:rPr>
      </w:pPr>
      <w:r>
        <w:rPr>
          <w:rFonts w:ascii="Arial" w:hAnsi="Arial" w:cs="Arial"/>
          <w:sz w:val="20"/>
        </w:rPr>
        <w:t>(38) “</w:t>
      </w:r>
      <w:r w:rsidRPr="00A5707C">
        <w:rPr>
          <w:rFonts w:ascii="Arial" w:hAnsi="Arial" w:cs="Arial"/>
          <w:sz w:val="20"/>
          <w:szCs w:val="20"/>
        </w:rPr>
        <w:t xml:space="preserve">Although it was not the subject of any argument, the apparent breadth of this subparagraph is notable. In many proceedings in or arising from the Children’s Court (such as this </w:t>
      </w:r>
      <w:r>
        <w:rPr>
          <w:rFonts w:ascii="Arial" w:hAnsi="Arial" w:cs="Arial"/>
          <w:sz w:val="20"/>
          <w:szCs w:val="20"/>
        </w:rPr>
        <w:t>one</w:t>
      </w:r>
      <w:r w:rsidRPr="00A5707C">
        <w:rPr>
          <w:rFonts w:ascii="Arial" w:hAnsi="Arial" w:cs="Arial"/>
          <w:sz w:val="20"/>
          <w:szCs w:val="20"/>
        </w:rPr>
        <w:t xml:space="preserve">), the Director of Public Prosecutions (or other public entity) is a </w:t>
      </w:r>
      <w:r>
        <w:rPr>
          <w:rFonts w:ascii="Arial" w:hAnsi="Arial" w:cs="Arial"/>
          <w:sz w:val="20"/>
          <w:szCs w:val="20"/>
        </w:rPr>
        <w:t>‘</w:t>
      </w:r>
      <w:r w:rsidRPr="00A5707C">
        <w:rPr>
          <w:rFonts w:ascii="Arial" w:hAnsi="Arial" w:cs="Arial"/>
          <w:sz w:val="20"/>
          <w:szCs w:val="20"/>
        </w:rPr>
        <w:t>party to the proceeding</w:t>
      </w:r>
      <w:r>
        <w:rPr>
          <w:rFonts w:ascii="Arial" w:hAnsi="Arial" w:cs="Arial"/>
          <w:sz w:val="20"/>
          <w:szCs w:val="20"/>
        </w:rPr>
        <w:t>’</w:t>
      </w:r>
      <w:r w:rsidRPr="00A5707C">
        <w:rPr>
          <w:rFonts w:ascii="Arial" w:hAnsi="Arial" w:cs="Arial"/>
          <w:sz w:val="20"/>
          <w:szCs w:val="20"/>
        </w:rPr>
        <w:t xml:space="preserve">. Presumably, this subparagraph cannot be intended to restrict or prohibit the publication of a report containing any particulars likely to lead to the identification of the Director of Public Prosecutions, as such an interpretation would undermine the purpose of s 534: see </w:t>
      </w:r>
      <w:r w:rsidRPr="00A5707C">
        <w:rPr>
          <w:rFonts w:ascii="Arial" w:hAnsi="Arial" w:cs="Arial"/>
          <w:i/>
          <w:iCs/>
          <w:sz w:val="20"/>
          <w:szCs w:val="20"/>
        </w:rPr>
        <w:t>Howe v Harvey</w:t>
      </w:r>
      <w:r w:rsidRPr="00A5707C">
        <w:rPr>
          <w:rFonts w:ascii="Arial" w:hAnsi="Arial" w:cs="Arial"/>
          <w:sz w:val="20"/>
          <w:szCs w:val="20"/>
        </w:rPr>
        <w:t xml:space="preserve"> (2008) 20 VR 638, 658-659 [94] (Neave and Kellam JJA and Forrest AJA).</w:t>
      </w:r>
      <w:r>
        <w:rPr>
          <w:rFonts w:ascii="Arial" w:hAnsi="Arial" w:cs="Arial"/>
          <w:sz w:val="20"/>
          <w:szCs w:val="20"/>
        </w:rPr>
        <w:t>”</w:t>
      </w:r>
    </w:p>
    <w:p w14:paraId="60CF165E" w14:textId="176C8641" w:rsidR="00A5707C" w:rsidRPr="00A5707C" w:rsidRDefault="00A5707C" w:rsidP="00A5707C">
      <w:pPr>
        <w:spacing w:before="60"/>
        <w:ind w:left="567" w:right="567"/>
        <w:jc w:val="both"/>
        <w:rPr>
          <w:rFonts w:ascii="Arial" w:hAnsi="Arial" w:cs="Arial"/>
          <w:sz w:val="20"/>
          <w:szCs w:val="20"/>
        </w:rPr>
      </w:pPr>
      <w:r w:rsidRPr="00A5707C">
        <w:rPr>
          <w:rFonts w:ascii="Arial" w:hAnsi="Arial" w:cs="Arial"/>
          <w:sz w:val="20"/>
          <w:szCs w:val="20"/>
        </w:rPr>
        <w:t>(3</w:t>
      </w:r>
      <w:r>
        <w:rPr>
          <w:rFonts w:ascii="Arial" w:hAnsi="Arial" w:cs="Arial"/>
          <w:sz w:val="20"/>
          <w:szCs w:val="20"/>
        </w:rPr>
        <w:t>9</w:t>
      </w:r>
      <w:r w:rsidRPr="00A5707C">
        <w:rPr>
          <w:rFonts w:ascii="Arial" w:hAnsi="Arial" w:cs="Arial"/>
          <w:sz w:val="20"/>
          <w:szCs w:val="20"/>
        </w:rPr>
        <w:t>) “In a similar vein, and again as in the circumstances of this case, it will sometimes be the case that a child the subject of a proceeding in or arising from the Children’s Court is in the care of the Secretary. However, this subparagraph likewise cannot be intended to restrict or prohibit the publication of the name of the Secretary in a report of the proceeding, as such an interpretation would likewise undermine the purpose of s 534: ibid.</w:t>
      </w:r>
      <w:r>
        <w:rPr>
          <w:rFonts w:ascii="Arial" w:hAnsi="Arial" w:cs="Arial"/>
          <w:sz w:val="20"/>
          <w:szCs w:val="20"/>
        </w:rPr>
        <w:t>”</w:t>
      </w:r>
    </w:p>
    <w:p w14:paraId="1DDC1564" w14:textId="77777777" w:rsidR="00A5707C" w:rsidRDefault="00A5707C">
      <w:pPr>
        <w:jc w:val="both"/>
        <w:rPr>
          <w:rFonts w:ascii="Arial" w:hAnsi="Arial" w:cs="Arial"/>
          <w:sz w:val="20"/>
        </w:rPr>
      </w:pPr>
    </w:p>
    <w:p w14:paraId="5170F9B3" w14:textId="3C643ACD" w:rsidR="00340212" w:rsidRDefault="001255F0">
      <w:pPr>
        <w:jc w:val="both"/>
        <w:rPr>
          <w:rFonts w:ascii="Arial" w:hAnsi="Arial" w:cs="Arial"/>
          <w:sz w:val="20"/>
        </w:rPr>
      </w:pPr>
      <w:r>
        <w:rPr>
          <w:rFonts w:ascii="Arial" w:hAnsi="Arial" w:cs="Arial"/>
          <w:sz w:val="20"/>
        </w:rPr>
        <w:t>Section 534A exempts from the restrictions in s.534</w:t>
      </w:r>
      <w:r w:rsidR="00CA7479">
        <w:rPr>
          <w:rFonts w:ascii="Arial" w:hAnsi="Arial" w:cs="Arial"/>
          <w:sz w:val="20"/>
        </w:rPr>
        <w:t>(1)</w:t>
      </w:r>
      <w:r>
        <w:rPr>
          <w:rFonts w:ascii="Arial" w:hAnsi="Arial" w:cs="Arial"/>
          <w:sz w:val="20"/>
        </w:rPr>
        <w:t xml:space="preserve"> identifying material, including a picture, of a victim or alleged victim aged 18 or older so long as the circumstances detailed in s.534A(2) do not apply.</w:t>
      </w:r>
    </w:p>
    <w:p w14:paraId="18A47A4D" w14:textId="6CF2988A" w:rsidR="001255F0" w:rsidRDefault="001255F0">
      <w:pPr>
        <w:jc w:val="both"/>
        <w:rPr>
          <w:rFonts w:ascii="Arial" w:hAnsi="Arial" w:cs="Arial"/>
          <w:sz w:val="20"/>
        </w:rPr>
      </w:pPr>
    </w:p>
    <w:p w14:paraId="31D2E42A" w14:textId="6360DFD4" w:rsidR="00CA7479" w:rsidRDefault="00CA7479">
      <w:pPr>
        <w:jc w:val="both"/>
        <w:rPr>
          <w:rFonts w:ascii="Arial" w:hAnsi="Arial" w:cs="Arial"/>
          <w:sz w:val="20"/>
        </w:rPr>
      </w:pPr>
      <w:r>
        <w:rPr>
          <w:rFonts w:ascii="Arial" w:hAnsi="Arial" w:cs="Arial"/>
          <w:sz w:val="20"/>
        </w:rPr>
        <w:t>Section 534B – inserted in 2019 – exempts from the restrictions in s.534(1) identifying material published by a judge of the County Court or the Supreme Court when sentencing an adult offender in the circumstances detailed in s.534B(2).</w:t>
      </w:r>
    </w:p>
    <w:p w14:paraId="744F469D" w14:textId="19DFEF32" w:rsidR="00CA7479" w:rsidRDefault="00CA7479">
      <w:pPr>
        <w:jc w:val="both"/>
        <w:rPr>
          <w:rFonts w:ascii="Arial" w:hAnsi="Arial" w:cs="Arial"/>
          <w:sz w:val="20"/>
        </w:rPr>
      </w:pPr>
    </w:p>
    <w:bookmarkEnd w:id="510"/>
    <w:p w14:paraId="76281FD7" w14:textId="326DC6D9" w:rsidR="00340212" w:rsidRDefault="00340212">
      <w:pPr>
        <w:jc w:val="both"/>
        <w:rPr>
          <w:rFonts w:ascii="Arial" w:hAnsi="Arial" w:cs="Arial"/>
          <w:sz w:val="20"/>
        </w:rPr>
      </w:pPr>
      <w:r>
        <w:rPr>
          <w:rFonts w:ascii="Arial" w:hAnsi="Arial" w:cs="Arial"/>
          <w:sz w:val="20"/>
        </w:rPr>
        <w:t>Section 534(1A) provides that on application to the Court, a magistrate may exercise the powers of the President under ss.534(1)(a), (1)(b) or (1)(c) and grant permission for the requisite publication if the magistrate is satisfied that</w:t>
      </w:r>
      <w:r w:rsidR="00741721">
        <w:rPr>
          <w:rFonts w:ascii="Arial" w:hAnsi="Arial" w:cs="Arial"/>
          <w:sz w:val="20"/>
        </w:rPr>
        <w:t>–</w:t>
      </w:r>
    </w:p>
    <w:p w14:paraId="7C5A76CF" w14:textId="77777777" w:rsidR="00340212" w:rsidRDefault="00340212" w:rsidP="00C23CF0">
      <w:pPr>
        <w:numPr>
          <w:ilvl w:val="0"/>
          <w:numId w:val="15"/>
        </w:numPr>
        <w:ind w:left="357" w:hanging="357"/>
        <w:jc w:val="both"/>
        <w:rPr>
          <w:rFonts w:ascii="Arial" w:hAnsi="Arial" w:cs="Arial"/>
          <w:sz w:val="20"/>
        </w:rPr>
      </w:pPr>
      <w:r>
        <w:rPr>
          <w:rFonts w:ascii="Arial" w:hAnsi="Arial" w:cs="Arial"/>
          <w:sz w:val="20"/>
        </w:rPr>
        <w:t>the circumstances giving rise to the request for permission to publish are an emergency; and</w:t>
      </w:r>
    </w:p>
    <w:p w14:paraId="358CDF35" w14:textId="147E2DF4" w:rsidR="00340212" w:rsidRDefault="00340212" w:rsidP="00C23CF0">
      <w:pPr>
        <w:numPr>
          <w:ilvl w:val="0"/>
          <w:numId w:val="15"/>
        </w:numPr>
        <w:ind w:left="357" w:hanging="357"/>
        <w:jc w:val="both"/>
        <w:rPr>
          <w:rFonts w:ascii="Arial" w:hAnsi="Arial" w:cs="Arial"/>
          <w:sz w:val="20"/>
        </w:rPr>
      </w:pPr>
      <w:r>
        <w:rPr>
          <w:rFonts w:ascii="Arial" w:hAnsi="Arial" w:cs="Arial"/>
          <w:sz w:val="20"/>
        </w:rPr>
        <w:t>publication is reasonably necessary for the safety of</w:t>
      </w:r>
      <w:r w:rsidR="00741721">
        <w:rPr>
          <w:rFonts w:ascii="Arial" w:hAnsi="Arial" w:cs="Arial"/>
          <w:sz w:val="20"/>
        </w:rPr>
        <w:t>–</w:t>
      </w:r>
    </w:p>
    <w:p w14:paraId="785BBF67" w14:textId="77777777" w:rsidR="00340212" w:rsidRDefault="00340212" w:rsidP="00C23CF0">
      <w:pPr>
        <w:numPr>
          <w:ilvl w:val="0"/>
          <w:numId w:val="16"/>
        </w:numPr>
        <w:ind w:left="811" w:hanging="454"/>
        <w:jc w:val="both"/>
        <w:rPr>
          <w:rFonts w:ascii="Arial" w:hAnsi="Arial" w:cs="Arial"/>
          <w:sz w:val="20"/>
        </w:rPr>
      </w:pPr>
      <w:r>
        <w:rPr>
          <w:rFonts w:ascii="Arial" w:hAnsi="Arial" w:cs="Arial"/>
          <w:sz w:val="20"/>
        </w:rPr>
        <w:t>the child, other party or witness referred to in s</w:t>
      </w:r>
      <w:r w:rsidR="00E46907">
        <w:rPr>
          <w:rFonts w:ascii="Arial" w:hAnsi="Arial" w:cs="Arial"/>
          <w:sz w:val="20"/>
        </w:rPr>
        <w:t>.534</w:t>
      </w:r>
      <w:r>
        <w:rPr>
          <w:rFonts w:ascii="Arial" w:hAnsi="Arial" w:cs="Arial"/>
          <w:sz w:val="20"/>
        </w:rPr>
        <w:t>(1); or</w:t>
      </w:r>
    </w:p>
    <w:p w14:paraId="72CAD9BC" w14:textId="77777777" w:rsidR="00340212" w:rsidRDefault="00340212" w:rsidP="00C23CF0">
      <w:pPr>
        <w:numPr>
          <w:ilvl w:val="0"/>
          <w:numId w:val="16"/>
        </w:numPr>
        <w:ind w:left="811" w:hanging="454"/>
        <w:jc w:val="both"/>
        <w:rPr>
          <w:rFonts w:ascii="Arial" w:hAnsi="Arial" w:cs="Arial"/>
          <w:sz w:val="20"/>
        </w:rPr>
      </w:pPr>
      <w:r>
        <w:rPr>
          <w:rFonts w:ascii="Arial" w:hAnsi="Arial" w:cs="Arial"/>
          <w:sz w:val="20"/>
        </w:rPr>
        <w:t>any other person in the community.</w:t>
      </w:r>
    </w:p>
    <w:p w14:paraId="6B10034C" w14:textId="77777777" w:rsidR="00340212" w:rsidRDefault="00340212">
      <w:pPr>
        <w:jc w:val="both"/>
        <w:rPr>
          <w:rFonts w:ascii="Arial" w:hAnsi="Arial" w:cs="Arial"/>
          <w:sz w:val="20"/>
        </w:rPr>
      </w:pPr>
    </w:p>
    <w:p w14:paraId="20F2220A" w14:textId="77777777" w:rsidR="00F65A9B" w:rsidRDefault="00DA0C37">
      <w:pPr>
        <w:jc w:val="both"/>
        <w:rPr>
          <w:rFonts w:ascii="Arial" w:hAnsi="Arial" w:cs="Arial"/>
          <w:sz w:val="20"/>
          <w:szCs w:val="20"/>
        </w:rPr>
      </w:pPr>
      <w:r>
        <w:rPr>
          <w:rFonts w:ascii="Arial" w:hAnsi="Arial" w:cs="Arial"/>
          <w:sz w:val="20"/>
        </w:rPr>
        <w:t xml:space="preserve">Section 534(4) of the CYFA </w:t>
      </w:r>
      <w:r w:rsidRPr="00DA0C37">
        <w:rPr>
          <w:rFonts w:ascii="Arial" w:hAnsi="Arial" w:cs="Arial"/>
          <w:sz w:val="20"/>
          <w:szCs w:val="20"/>
        </w:rPr>
        <w:t xml:space="preserve">lists </w:t>
      </w:r>
      <w:r w:rsidR="00F65A9B">
        <w:rPr>
          <w:rFonts w:ascii="Arial" w:hAnsi="Arial" w:cs="Arial"/>
          <w:sz w:val="20"/>
          <w:szCs w:val="20"/>
        </w:rPr>
        <w:t>the following</w:t>
      </w:r>
      <w:r w:rsidRPr="00DA0C37">
        <w:rPr>
          <w:rFonts w:ascii="Arial" w:hAnsi="Arial" w:cs="Arial"/>
          <w:sz w:val="20"/>
          <w:szCs w:val="20"/>
        </w:rPr>
        <w:t xml:space="preserve"> particulars </w:t>
      </w:r>
      <w:r w:rsidR="0033100B">
        <w:rPr>
          <w:rFonts w:ascii="Arial" w:hAnsi="Arial" w:cs="Arial"/>
          <w:sz w:val="20"/>
          <w:szCs w:val="20"/>
        </w:rPr>
        <w:t xml:space="preserve">– not intended to be exhaustive </w:t>
      </w:r>
      <w:r w:rsidR="00DE73E5">
        <w:rPr>
          <w:rFonts w:ascii="Arial" w:hAnsi="Arial" w:cs="Arial"/>
          <w:sz w:val="20"/>
          <w:szCs w:val="20"/>
        </w:rPr>
        <w:t>–</w:t>
      </w:r>
      <w:r w:rsidR="0033100B">
        <w:rPr>
          <w:rFonts w:ascii="Arial" w:hAnsi="Arial" w:cs="Arial"/>
          <w:sz w:val="20"/>
          <w:szCs w:val="20"/>
        </w:rPr>
        <w:t xml:space="preserve"> </w:t>
      </w:r>
      <w:r w:rsidRPr="00DA0C37">
        <w:rPr>
          <w:rFonts w:ascii="Arial" w:hAnsi="Arial" w:cs="Arial"/>
          <w:sz w:val="20"/>
          <w:szCs w:val="20"/>
        </w:rPr>
        <w:t>which</w:t>
      </w:r>
      <w:r w:rsidR="00DE73E5">
        <w:rPr>
          <w:rFonts w:ascii="Arial" w:hAnsi="Arial" w:cs="Arial"/>
          <w:sz w:val="20"/>
          <w:szCs w:val="20"/>
        </w:rPr>
        <w:t xml:space="preserve"> </w:t>
      </w:r>
      <w:r w:rsidRPr="00DA0C37">
        <w:rPr>
          <w:rFonts w:ascii="Arial" w:hAnsi="Arial" w:cs="Arial"/>
          <w:sz w:val="20"/>
          <w:szCs w:val="20"/>
        </w:rPr>
        <w:t>are deemed to be particulars likely to lead to the identification of a person</w:t>
      </w:r>
      <w:r w:rsidR="00F65A9B">
        <w:rPr>
          <w:rFonts w:ascii="Arial" w:hAnsi="Arial" w:cs="Arial"/>
          <w:sz w:val="20"/>
          <w:szCs w:val="20"/>
        </w:rPr>
        <w:t>:</w:t>
      </w:r>
    </w:p>
    <w:p w14:paraId="0E40CBF6" w14:textId="13ACEEB3" w:rsidR="00F65A9B" w:rsidRDefault="00F65A9B" w:rsidP="00C23CF0">
      <w:pPr>
        <w:pStyle w:val="ListParagraph"/>
        <w:numPr>
          <w:ilvl w:val="0"/>
          <w:numId w:val="22"/>
        </w:numPr>
        <w:ind w:left="357" w:hanging="357"/>
        <w:jc w:val="both"/>
        <w:rPr>
          <w:rFonts w:ascii="Arial" w:hAnsi="Arial" w:cs="Arial"/>
          <w:sz w:val="20"/>
        </w:rPr>
      </w:pPr>
      <w:r>
        <w:rPr>
          <w:rFonts w:ascii="Arial" w:hAnsi="Arial" w:cs="Arial"/>
          <w:sz w:val="20"/>
        </w:rPr>
        <w:t>the name of the person;</w:t>
      </w:r>
    </w:p>
    <w:p w14:paraId="6C4E06D7" w14:textId="7096FF13" w:rsidR="00F65A9B" w:rsidRPr="00F65A9B" w:rsidRDefault="00F65A9B" w:rsidP="00C23CF0">
      <w:pPr>
        <w:pStyle w:val="ListParagraph"/>
        <w:numPr>
          <w:ilvl w:val="0"/>
          <w:numId w:val="22"/>
        </w:numPr>
        <w:ind w:left="357" w:hanging="357"/>
        <w:jc w:val="both"/>
        <w:rPr>
          <w:rFonts w:ascii="Arial" w:hAnsi="Arial" w:cs="Arial"/>
          <w:sz w:val="20"/>
        </w:rPr>
      </w:pPr>
      <w:r>
        <w:rPr>
          <w:rFonts w:ascii="Arial" w:hAnsi="Arial" w:cs="Arial"/>
          <w:sz w:val="20"/>
        </w:rPr>
        <w:t>the names of</w:t>
      </w:r>
      <w:r w:rsidR="00141992">
        <w:rPr>
          <w:rFonts w:ascii="Arial" w:hAnsi="Arial" w:cs="Arial"/>
          <w:sz w:val="20"/>
        </w:rPr>
        <w:t>–</w:t>
      </w:r>
    </w:p>
    <w:p w14:paraId="3455F290" w14:textId="46BCAB5F" w:rsidR="00F65A9B" w:rsidRDefault="00F65A9B" w:rsidP="00C23CF0">
      <w:pPr>
        <w:pStyle w:val="ListParagraph"/>
        <w:numPr>
          <w:ilvl w:val="0"/>
          <w:numId w:val="23"/>
        </w:numPr>
        <w:ind w:left="811" w:hanging="454"/>
        <w:jc w:val="both"/>
        <w:rPr>
          <w:rFonts w:ascii="Arial" w:hAnsi="Arial" w:cs="Arial"/>
          <w:sz w:val="20"/>
        </w:rPr>
      </w:pPr>
      <w:r>
        <w:rPr>
          <w:rFonts w:ascii="Arial" w:hAnsi="Arial" w:cs="Arial"/>
          <w:sz w:val="20"/>
        </w:rPr>
        <w:t>any relative of the person;</w:t>
      </w:r>
    </w:p>
    <w:p w14:paraId="1BA097D7" w14:textId="3EC66626" w:rsidR="00F65A9B" w:rsidRDefault="00F65A9B" w:rsidP="00C23CF0">
      <w:pPr>
        <w:pStyle w:val="ListParagraph"/>
        <w:numPr>
          <w:ilvl w:val="0"/>
          <w:numId w:val="23"/>
        </w:numPr>
        <w:ind w:left="811" w:hanging="454"/>
        <w:jc w:val="both"/>
        <w:rPr>
          <w:rFonts w:ascii="Arial" w:hAnsi="Arial" w:cs="Arial"/>
          <w:sz w:val="20"/>
        </w:rPr>
      </w:pPr>
      <w:r>
        <w:rPr>
          <w:rFonts w:ascii="Arial" w:hAnsi="Arial" w:cs="Arial"/>
          <w:sz w:val="20"/>
        </w:rPr>
        <w:t>any other person having the care of the person;</w:t>
      </w:r>
    </w:p>
    <w:p w14:paraId="5C4985F0" w14:textId="54A94F48" w:rsidR="00F65A9B" w:rsidRPr="00F65A9B" w:rsidRDefault="00F65A9B" w:rsidP="00C23CF0">
      <w:pPr>
        <w:pStyle w:val="ListParagraph"/>
        <w:numPr>
          <w:ilvl w:val="0"/>
          <w:numId w:val="23"/>
        </w:numPr>
        <w:ind w:left="811" w:hanging="454"/>
        <w:jc w:val="both"/>
        <w:rPr>
          <w:rFonts w:ascii="Arial" w:hAnsi="Arial" w:cs="Arial"/>
          <w:sz w:val="20"/>
        </w:rPr>
      </w:pPr>
      <w:r>
        <w:rPr>
          <w:rFonts w:ascii="Arial" w:hAnsi="Arial" w:cs="Arial"/>
          <w:sz w:val="20"/>
        </w:rPr>
        <w:lastRenderedPageBreak/>
        <w:t>in addition to subparagraphs (i) &amp; (ii), in the case of an Aboriginal person, a member of the Aboriginal community of the person;</w:t>
      </w:r>
    </w:p>
    <w:p w14:paraId="687C8C30" w14:textId="5E0D9E0A" w:rsidR="00F65A9B" w:rsidRDefault="00F65A9B" w:rsidP="00C23CF0">
      <w:pPr>
        <w:pStyle w:val="ListParagraph"/>
        <w:numPr>
          <w:ilvl w:val="0"/>
          <w:numId w:val="22"/>
        </w:numPr>
        <w:ind w:left="357" w:hanging="357"/>
        <w:jc w:val="both"/>
        <w:rPr>
          <w:rFonts w:ascii="Arial" w:hAnsi="Arial" w:cs="Arial"/>
          <w:sz w:val="20"/>
        </w:rPr>
      </w:pPr>
      <w:r>
        <w:rPr>
          <w:rFonts w:ascii="Arial" w:hAnsi="Arial" w:cs="Arial"/>
          <w:sz w:val="20"/>
        </w:rPr>
        <w:t>the name or address of any place of residence of the person, or the locality in which the residence is situated;</w:t>
      </w:r>
    </w:p>
    <w:p w14:paraId="4B74CD2F" w14:textId="64E95D88" w:rsidR="00F65A9B" w:rsidRPr="00F65A9B" w:rsidRDefault="00F65A9B" w:rsidP="00C23CF0">
      <w:pPr>
        <w:pStyle w:val="ListParagraph"/>
        <w:numPr>
          <w:ilvl w:val="0"/>
          <w:numId w:val="22"/>
        </w:numPr>
        <w:ind w:left="357" w:hanging="357"/>
        <w:jc w:val="both"/>
        <w:rPr>
          <w:rFonts w:ascii="Arial" w:hAnsi="Arial" w:cs="Arial"/>
          <w:sz w:val="20"/>
        </w:rPr>
      </w:pPr>
      <w:r>
        <w:rPr>
          <w:rFonts w:ascii="Arial" w:hAnsi="Arial" w:cs="Arial"/>
          <w:sz w:val="20"/>
        </w:rPr>
        <w:t>the name or address of any place of education, training or employment attended by the person, or the locality in which the place is situated.</w:t>
      </w:r>
    </w:p>
    <w:p w14:paraId="0E623449" w14:textId="77777777" w:rsidR="00F65A9B" w:rsidRDefault="00F65A9B">
      <w:pPr>
        <w:jc w:val="both"/>
        <w:rPr>
          <w:rFonts w:ascii="Arial" w:hAnsi="Arial" w:cs="Arial"/>
          <w:sz w:val="20"/>
        </w:rPr>
      </w:pPr>
    </w:p>
    <w:p w14:paraId="689A11BA" w14:textId="1FB7F052" w:rsidR="008938AE" w:rsidRDefault="008938AE">
      <w:pPr>
        <w:jc w:val="both"/>
        <w:rPr>
          <w:rFonts w:ascii="Arial" w:hAnsi="Arial" w:cs="Arial"/>
          <w:sz w:val="20"/>
        </w:rPr>
      </w:pPr>
      <w:r>
        <w:rPr>
          <w:rFonts w:ascii="Arial" w:hAnsi="Arial" w:cs="Arial"/>
          <w:sz w:val="20"/>
        </w:rPr>
        <w:t xml:space="preserve">In </w:t>
      </w:r>
      <w:r w:rsidRPr="008938AE">
        <w:rPr>
          <w:rFonts w:ascii="Arial" w:hAnsi="Arial" w:cs="Arial"/>
          <w:i/>
          <w:sz w:val="20"/>
        </w:rPr>
        <w:t>Herald &amp; Weekly Times Pty Ltd v AB</w:t>
      </w:r>
      <w:r>
        <w:rPr>
          <w:rFonts w:ascii="Arial" w:hAnsi="Arial" w:cs="Arial"/>
          <w:sz w:val="20"/>
        </w:rPr>
        <w:t xml:space="preserve"> [2008] VChC 3 </w:t>
      </w:r>
      <w:r w:rsidR="004425F2">
        <w:rPr>
          <w:rFonts w:ascii="Arial" w:hAnsi="Arial" w:cs="Arial"/>
          <w:sz w:val="20"/>
        </w:rPr>
        <w:t xml:space="preserve">at [14]-[19] </w:t>
      </w:r>
      <w:r>
        <w:rPr>
          <w:rFonts w:ascii="Arial" w:hAnsi="Arial" w:cs="Arial"/>
          <w:sz w:val="20"/>
        </w:rPr>
        <w:t xml:space="preserve">Judge Grant </w:t>
      </w:r>
      <w:r w:rsidR="00FC7E84">
        <w:rPr>
          <w:rFonts w:ascii="Arial" w:hAnsi="Arial" w:cs="Arial"/>
          <w:sz w:val="20"/>
        </w:rPr>
        <w:t xml:space="preserve">refused an application by HWT to identify the alleged offender.  In so doing his Honour </w:t>
      </w:r>
      <w:r>
        <w:rPr>
          <w:rFonts w:ascii="Arial" w:hAnsi="Arial" w:cs="Arial"/>
          <w:sz w:val="20"/>
        </w:rPr>
        <w:t xml:space="preserve">outlined the legislative background and rationale for s.534 and </w:t>
      </w:r>
      <w:r w:rsidR="004425F2">
        <w:rPr>
          <w:rFonts w:ascii="Arial" w:hAnsi="Arial" w:cs="Arial"/>
          <w:sz w:val="20"/>
        </w:rPr>
        <w:t>its predecessor provisions as follows:</w:t>
      </w:r>
    </w:p>
    <w:p w14:paraId="79A6F325" w14:textId="77777777" w:rsidR="004425F2" w:rsidRDefault="004425F2" w:rsidP="004425F2">
      <w:pPr>
        <w:spacing w:before="60"/>
        <w:ind w:left="567" w:right="567"/>
        <w:jc w:val="both"/>
        <w:rPr>
          <w:rFonts w:ascii="Arial" w:hAnsi="Arial" w:cs="Arial"/>
          <w:sz w:val="20"/>
        </w:rPr>
      </w:pPr>
      <w:r>
        <w:rPr>
          <w:rFonts w:ascii="Arial" w:hAnsi="Arial" w:cs="Arial"/>
          <w:sz w:val="20"/>
        </w:rPr>
        <w:t>“[14] Prior to the commencement of the CYPA matters heard in the Children’s Court of Victoria were heard in closed court.  This is still the case in some jurisdictions throughout the world.</w:t>
      </w:r>
    </w:p>
    <w:p w14:paraId="14CAC5D5" w14:textId="1C6224B2" w:rsidR="004425F2" w:rsidRDefault="004425F2" w:rsidP="004425F2">
      <w:pPr>
        <w:spacing w:before="60"/>
        <w:ind w:left="567" w:right="567"/>
        <w:jc w:val="both"/>
        <w:rPr>
          <w:rFonts w:ascii="Arial" w:hAnsi="Arial" w:cs="Arial"/>
          <w:sz w:val="20"/>
        </w:rPr>
      </w:pPr>
      <w:r>
        <w:rPr>
          <w:rFonts w:ascii="Arial" w:hAnsi="Arial" w:cs="Arial"/>
          <w:sz w:val="20"/>
        </w:rPr>
        <w:t>[15] The United Nations Standard Minimum Rules for the Administration of Justice (also known as the Beijing Rules) of November 1985 state</w:t>
      </w:r>
      <w:r w:rsidR="00741721">
        <w:rPr>
          <w:rFonts w:ascii="Arial" w:hAnsi="Arial" w:cs="Arial"/>
          <w:sz w:val="20"/>
        </w:rPr>
        <w:t>:</w:t>
      </w:r>
    </w:p>
    <w:p w14:paraId="42144BBA" w14:textId="77777777" w:rsidR="004425F2" w:rsidRDefault="004425F2" w:rsidP="004425F2">
      <w:pPr>
        <w:ind w:left="1134" w:right="1134"/>
        <w:jc w:val="both"/>
        <w:rPr>
          <w:rFonts w:ascii="Arial" w:hAnsi="Arial" w:cs="Arial"/>
          <w:sz w:val="20"/>
        </w:rPr>
      </w:pPr>
      <w:r>
        <w:rPr>
          <w:rFonts w:ascii="Arial" w:hAnsi="Arial" w:cs="Arial"/>
          <w:sz w:val="20"/>
        </w:rPr>
        <w:t>‘8.1 The juvenile’s right to privacy shall be respected at all stages in order to avoid harm being caused to him or her by undue publicity or by the process of labelling.</w:t>
      </w:r>
    </w:p>
    <w:p w14:paraId="1FAA0620" w14:textId="77777777" w:rsidR="004425F2" w:rsidRDefault="004425F2" w:rsidP="004425F2">
      <w:pPr>
        <w:ind w:left="1134" w:right="1134"/>
        <w:jc w:val="both"/>
        <w:rPr>
          <w:rFonts w:ascii="Arial" w:hAnsi="Arial" w:cs="Arial"/>
          <w:sz w:val="20"/>
        </w:rPr>
      </w:pPr>
      <w:r>
        <w:rPr>
          <w:rFonts w:ascii="Arial" w:hAnsi="Arial" w:cs="Arial"/>
          <w:sz w:val="20"/>
        </w:rPr>
        <w:t>8.2 In principle, no information that may lead to the identification of a juvenile offender shall be published.’</w:t>
      </w:r>
    </w:p>
    <w:p w14:paraId="58B9AE26" w14:textId="77777777" w:rsidR="004425F2" w:rsidRDefault="004425F2" w:rsidP="004425F2">
      <w:pPr>
        <w:spacing w:before="60"/>
        <w:ind w:left="567" w:right="567"/>
        <w:jc w:val="both"/>
        <w:rPr>
          <w:rFonts w:ascii="Arial" w:hAnsi="Arial" w:cs="Arial"/>
          <w:sz w:val="20"/>
        </w:rPr>
      </w:pPr>
      <w:r>
        <w:rPr>
          <w:rFonts w:ascii="Arial" w:hAnsi="Arial" w:cs="Arial"/>
          <w:sz w:val="20"/>
        </w:rPr>
        <w:t>[16] The official commentary to the Rules recognises how young people are particularly susceptible to stigmatization.  There is a reference to criminological research into labelling processes.  This research has provided evidence of the detrimental effects resulting from the permanent identification of young people as criminal or delinquent.</w:t>
      </w:r>
    </w:p>
    <w:p w14:paraId="665ACE4E" w14:textId="77777777" w:rsidR="004425F2" w:rsidRDefault="004425F2" w:rsidP="004425F2">
      <w:pPr>
        <w:spacing w:before="60"/>
        <w:ind w:left="567" w:right="567"/>
        <w:jc w:val="both"/>
        <w:rPr>
          <w:rFonts w:ascii="Arial" w:hAnsi="Arial" w:cs="Arial"/>
          <w:sz w:val="20"/>
        </w:rPr>
      </w:pPr>
      <w:r>
        <w:rPr>
          <w:rFonts w:ascii="Arial" w:hAnsi="Arial" w:cs="Arial"/>
          <w:sz w:val="20"/>
        </w:rPr>
        <w:t xml:space="preserve">[17] The </w:t>
      </w:r>
      <w:r w:rsidRPr="00D92152">
        <w:rPr>
          <w:rFonts w:ascii="Arial" w:hAnsi="Arial" w:cs="Arial"/>
          <w:i/>
          <w:sz w:val="20"/>
          <w:u w:val="single"/>
        </w:rPr>
        <w:t>Child Welfare Practice and Legislation Review</w:t>
      </w:r>
      <w:r w:rsidR="00D92152" w:rsidRPr="00D92152">
        <w:rPr>
          <w:rFonts w:ascii="Arial" w:hAnsi="Arial" w:cs="Arial"/>
          <w:i/>
          <w:sz w:val="20"/>
          <w:u w:val="single"/>
        </w:rPr>
        <w:t xml:space="preserve"> Report</w:t>
      </w:r>
      <w:r w:rsidR="00D92152" w:rsidRPr="00D92152">
        <w:rPr>
          <w:rFonts w:ascii="Arial" w:hAnsi="Arial" w:cs="Arial"/>
          <w:sz w:val="20"/>
        </w:rPr>
        <w:t xml:space="preserve"> of 1984</w:t>
      </w:r>
      <w:r>
        <w:rPr>
          <w:rFonts w:ascii="Arial" w:hAnsi="Arial" w:cs="Arial"/>
          <w:sz w:val="20"/>
        </w:rPr>
        <w:t xml:space="preserve"> </w:t>
      </w:r>
      <w:r w:rsidR="00D92152">
        <w:rPr>
          <w:rFonts w:ascii="Arial" w:hAnsi="Arial" w:cs="Arial"/>
          <w:sz w:val="20"/>
        </w:rPr>
        <w:t>(often referred to as the Carney Report) recommended that proceedings in the Children’s Court should be open to both the public and the media.  The ‘trade off’ for opening the court was to recommend a bar on reporting or disseminating any identifying information of children and families.  At p.409 of the report there is the following analysis – ‘The mischief which it is unanimously agreed must be avoided at all costs is the dissemination of information which would, or which could, identify and embarrass individual children and families appearing before the court.’</w:t>
      </w:r>
    </w:p>
    <w:p w14:paraId="44A972C2" w14:textId="77777777" w:rsidR="00D92152" w:rsidRDefault="00D92152" w:rsidP="004425F2">
      <w:pPr>
        <w:spacing w:before="60"/>
        <w:ind w:left="567" w:right="567"/>
        <w:jc w:val="both"/>
        <w:rPr>
          <w:rFonts w:ascii="Arial" w:hAnsi="Arial" w:cs="Arial"/>
          <w:sz w:val="20"/>
        </w:rPr>
      </w:pPr>
      <w:r>
        <w:rPr>
          <w:rFonts w:ascii="Arial" w:hAnsi="Arial" w:cs="Arial"/>
          <w:sz w:val="20"/>
        </w:rPr>
        <w:t>[18] The recommendations in the Carney Report were influential in the development of the CYPA.  The changes to law introduced by that Act opened the Children’s Court to the public for the first time in its history.  There were, however, two important riders on the open justice principle.  In s.19 the court was provided with a wide unfettered power to close the court in appropriate circumstances.  Section 26 contained a prohibition as to the publication of identifying information of the children and parties and witnesses involved in the court’s proceedings without the permission of the head of the Children’s Court.</w:t>
      </w:r>
    </w:p>
    <w:p w14:paraId="33A44FF3" w14:textId="34684468" w:rsidR="00D92152" w:rsidRDefault="00D92152" w:rsidP="004425F2">
      <w:pPr>
        <w:spacing w:before="60"/>
        <w:ind w:left="567" w:right="567"/>
        <w:jc w:val="both"/>
        <w:rPr>
          <w:rFonts w:ascii="Arial" w:hAnsi="Arial" w:cs="Arial"/>
          <w:sz w:val="20"/>
        </w:rPr>
      </w:pPr>
      <w:r>
        <w:rPr>
          <w:rFonts w:ascii="Arial" w:hAnsi="Arial" w:cs="Arial"/>
          <w:sz w:val="20"/>
        </w:rPr>
        <w:t>[19] In the Criminal Division of the court the limit on identification of the child/young person subject to proceedings was in line with established principle.  It was designed to protect a young person appearing in the Criminal Division from the indignity of being labelled a criminal and the stigma that attaches to that description.  In the Second Reading Speech for the CYPA the then Minister stated ‘The rights of children and young people who come before the court are clearly established in the proposed legislation</w:t>
      </w:r>
      <w:r w:rsidR="00AE7954">
        <w:rPr>
          <w:rFonts w:ascii="Arial" w:hAnsi="Arial" w:cs="Arial"/>
          <w:sz w:val="20"/>
        </w:rPr>
        <w:t>.  The Bill provides that proceedings must be comprehensible to children and their families, respect cultural identity and minimize stigma.’ Section 534 of the CYFA significantly reproduces the old s.26.  One subsection not found in the old Act is s.534(5)...It allows publication of accounts of proceedings of the court where those accounts have been approved by the President...Section 534(5) was included in the legislation at the request of the court and I am satisfied that its intended purpose was limited to the court’s use of its own website for the publishing of de-identified decisions.”</w:t>
      </w:r>
    </w:p>
    <w:p w14:paraId="419BDE17" w14:textId="77777777" w:rsidR="008938AE" w:rsidRDefault="008938AE">
      <w:pPr>
        <w:jc w:val="both"/>
        <w:rPr>
          <w:rFonts w:ascii="Arial" w:hAnsi="Arial" w:cs="Arial"/>
          <w:sz w:val="20"/>
        </w:rPr>
      </w:pPr>
    </w:p>
    <w:p w14:paraId="13A3F6C5" w14:textId="52C2D1B6" w:rsidR="008D391C" w:rsidRDefault="00C94638" w:rsidP="008D391C">
      <w:pPr>
        <w:jc w:val="both"/>
        <w:rPr>
          <w:rFonts w:ascii="Arial" w:hAnsi="Arial" w:cs="Arial"/>
          <w:sz w:val="20"/>
        </w:rPr>
      </w:pPr>
      <w:r>
        <w:rPr>
          <w:rFonts w:ascii="Arial" w:hAnsi="Arial" w:cs="Arial"/>
          <w:sz w:val="20"/>
        </w:rPr>
        <w:t xml:space="preserve">It is </w:t>
      </w:r>
      <w:r w:rsidR="00277B85">
        <w:rPr>
          <w:rFonts w:ascii="Arial" w:hAnsi="Arial" w:cs="Arial"/>
          <w:sz w:val="20"/>
        </w:rPr>
        <w:t xml:space="preserve">rare for the President to give permission for identifying material to be published pursuant to </w:t>
      </w:r>
      <w:r w:rsidR="00DA0C37">
        <w:rPr>
          <w:rFonts w:ascii="Arial" w:hAnsi="Arial" w:cs="Arial"/>
          <w:sz w:val="20"/>
        </w:rPr>
        <w:t>ss.534(1)(a)</w:t>
      </w:r>
      <w:r w:rsidR="00EF7219">
        <w:rPr>
          <w:rFonts w:ascii="Arial" w:hAnsi="Arial" w:cs="Arial"/>
          <w:sz w:val="20"/>
        </w:rPr>
        <w:t>, 534(1)(b)</w:t>
      </w:r>
      <w:r w:rsidR="00DA0C37">
        <w:rPr>
          <w:rFonts w:ascii="Arial" w:hAnsi="Arial" w:cs="Arial"/>
          <w:sz w:val="20"/>
        </w:rPr>
        <w:t xml:space="preserve"> or 534(1)(</w:t>
      </w:r>
      <w:r w:rsidR="00EF7219">
        <w:rPr>
          <w:rFonts w:ascii="Arial" w:hAnsi="Arial" w:cs="Arial"/>
          <w:sz w:val="20"/>
        </w:rPr>
        <w:t>c</w:t>
      </w:r>
      <w:r w:rsidR="00DA0C37">
        <w:rPr>
          <w:rFonts w:ascii="Arial" w:hAnsi="Arial" w:cs="Arial"/>
          <w:sz w:val="20"/>
        </w:rPr>
        <w:t>) of the CYFA</w:t>
      </w:r>
      <w:r w:rsidR="00277B85">
        <w:rPr>
          <w:rFonts w:ascii="Arial" w:hAnsi="Arial" w:cs="Arial"/>
          <w:sz w:val="20"/>
        </w:rPr>
        <w:t xml:space="preserve">.  In the past </w:t>
      </w:r>
      <w:r w:rsidR="00FC7E84">
        <w:rPr>
          <w:rFonts w:ascii="Arial" w:hAnsi="Arial" w:cs="Arial"/>
          <w:sz w:val="20"/>
        </w:rPr>
        <w:t>fifteen</w:t>
      </w:r>
      <w:r w:rsidR="00277B85">
        <w:rPr>
          <w:rFonts w:ascii="Arial" w:hAnsi="Arial" w:cs="Arial"/>
          <w:sz w:val="20"/>
        </w:rPr>
        <w:t xml:space="preserve"> years, the only cases in which such permission has been given have involved:</w:t>
      </w:r>
    </w:p>
    <w:p w14:paraId="143E91F3" w14:textId="77777777" w:rsidR="005443E4" w:rsidRDefault="00277B85" w:rsidP="007D2EA2">
      <w:pPr>
        <w:numPr>
          <w:ilvl w:val="0"/>
          <w:numId w:val="1"/>
        </w:numPr>
        <w:tabs>
          <w:tab w:val="num" w:pos="723"/>
        </w:tabs>
        <w:jc w:val="both"/>
        <w:rPr>
          <w:rFonts w:ascii="Arial" w:hAnsi="Arial" w:cs="Arial"/>
          <w:sz w:val="20"/>
        </w:rPr>
      </w:pPr>
      <w:r>
        <w:rPr>
          <w:rFonts w:ascii="Arial" w:hAnsi="Arial" w:cs="Arial"/>
          <w:sz w:val="20"/>
        </w:rPr>
        <w:t>abandoned children where details were permitted to be published in an attempt to locate a parent;</w:t>
      </w:r>
    </w:p>
    <w:p w14:paraId="3F71DB76" w14:textId="77777777" w:rsidR="008D391C" w:rsidRDefault="00F87B46" w:rsidP="007D2EA2">
      <w:pPr>
        <w:numPr>
          <w:ilvl w:val="0"/>
          <w:numId w:val="1"/>
        </w:numPr>
        <w:tabs>
          <w:tab w:val="num" w:pos="723"/>
        </w:tabs>
        <w:jc w:val="both"/>
        <w:rPr>
          <w:rFonts w:ascii="Arial" w:hAnsi="Arial" w:cs="Arial"/>
          <w:sz w:val="20"/>
        </w:rPr>
      </w:pPr>
      <w:r>
        <w:rPr>
          <w:rFonts w:ascii="Arial" w:hAnsi="Arial" w:cs="Arial"/>
          <w:sz w:val="20"/>
        </w:rPr>
        <w:t>children who were missing or ha</w:t>
      </w:r>
      <w:r w:rsidR="00BA5E91">
        <w:rPr>
          <w:rFonts w:ascii="Arial" w:hAnsi="Arial" w:cs="Arial"/>
          <w:sz w:val="20"/>
        </w:rPr>
        <w:t>d</w:t>
      </w:r>
      <w:r>
        <w:rPr>
          <w:rFonts w:ascii="Arial" w:hAnsi="Arial" w:cs="Arial"/>
          <w:sz w:val="20"/>
        </w:rPr>
        <w:t xml:space="preserve"> absconded in an attempt to locate them;</w:t>
      </w:r>
    </w:p>
    <w:p w14:paraId="0DFD22F3" w14:textId="77777777" w:rsidR="00F87B46" w:rsidRDefault="008D391C" w:rsidP="007D2EA2">
      <w:pPr>
        <w:numPr>
          <w:ilvl w:val="0"/>
          <w:numId w:val="1"/>
        </w:numPr>
        <w:tabs>
          <w:tab w:val="num" w:pos="723"/>
        </w:tabs>
        <w:jc w:val="both"/>
        <w:rPr>
          <w:rFonts w:ascii="Arial" w:hAnsi="Arial" w:cs="Arial"/>
          <w:sz w:val="20"/>
        </w:rPr>
      </w:pPr>
      <w:r>
        <w:rPr>
          <w:rFonts w:ascii="Arial" w:hAnsi="Arial" w:cs="Arial"/>
          <w:sz w:val="20"/>
        </w:rPr>
        <w:t>children believed to be in need of protection but whose whereabouts are currently unknown;</w:t>
      </w:r>
      <w:r w:rsidR="00F87B46">
        <w:rPr>
          <w:rFonts w:ascii="Arial" w:hAnsi="Arial" w:cs="Arial"/>
          <w:sz w:val="20"/>
        </w:rPr>
        <w:t xml:space="preserve"> and</w:t>
      </w:r>
    </w:p>
    <w:p w14:paraId="43327907" w14:textId="517D201B" w:rsidR="00277B85" w:rsidRDefault="00277B85" w:rsidP="007D2EA2">
      <w:pPr>
        <w:numPr>
          <w:ilvl w:val="0"/>
          <w:numId w:val="1"/>
        </w:numPr>
        <w:tabs>
          <w:tab w:val="num" w:pos="723"/>
        </w:tabs>
        <w:jc w:val="both"/>
        <w:rPr>
          <w:rFonts w:ascii="Arial" w:hAnsi="Arial" w:cs="Arial"/>
          <w:sz w:val="20"/>
        </w:rPr>
      </w:pPr>
      <w:r>
        <w:rPr>
          <w:rFonts w:ascii="Arial" w:hAnsi="Arial" w:cs="Arial"/>
          <w:sz w:val="20"/>
        </w:rPr>
        <w:t xml:space="preserve">a case in which a TV channel was permitted to identify a child </w:t>
      </w:r>
      <w:r w:rsidR="00FC7E84">
        <w:rPr>
          <w:rFonts w:ascii="Arial" w:hAnsi="Arial" w:cs="Arial"/>
          <w:sz w:val="20"/>
        </w:rPr>
        <w:t>–</w:t>
      </w:r>
      <w:r>
        <w:rPr>
          <w:rFonts w:ascii="Arial" w:hAnsi="Arial" w:cs="Arial"/>
          <w:sz w:val="20"/>
        </w:rPr>
        <w:t xml:space="preserve"> with</w:t>
      </w:r>
      <w:r w:rsidR="00FC7E84">
        <w:rPr>
          <w:rFonts w:ascii="Arial" w:hAnsi="Arial" w:cs="Arial"/>
          <w:sz w:val="20"/>
        </w:rPr>
        <w:t xml:space="preserve"> </w:t>
      </w:r>
      <w:r>
        <w:rPr>
          <w:rFonts w:ascii="Arial" w:hAnsi="Arial" w:cs="Arial"/>
          <w:sz w:val="20"/>
        </w:rPr>
        <w:t xml:space="preserve">consent of child and family </w:t>
      </w:r>
      <w:r w:rsidR="00085547">
        <w:rPr>
          <w:rFonts w:ascii="Arial" w:hAnsi="Arial" w:cs="Arial"/>
          <w:sz w:val="20"/>
        </w:rPr>
        <w:t>–</w:t>
      </w:r>
      <w:r>
        <w:rPr>
          <w:rFonts w:ascii="Arial" w:hAnsi="Arial" w:cs="Arial"/>
          <w:sz w:val="20"/>
        </w:rPr>
        <w:t xml:space="preserve"> in</w:t>
      </w:r>
      <w:r w:rsidR="00085547">
        <w:rPr>
          <w:rFonts w:ascii="Arial" w:hAnsi="Arial" w:cs="Arial"/>
          <w:sz w:val="20"/>
        </w:rPr>
        <w:t xml:space="preserve"> </w:t>
      </w:r>
      <w:r>
        <w:rPr>
          <w:rFonts w:ascii="Arial" w:hAnsi="Arial" w:cs="Arial"/>
          <w:sz w:val="20"/>
        </w:rPr>
        <w:t>a program highlighting the success of the child's rehabi</w:t>
      </w:r>
      <w:r w:rsidR="00F87B46">
        <w:rPr>
          <w:rFonts w:ascii="Arial" w:hAnsi="Arial" w:cs="Arial"/>
          <w:sz w:val="20"/>
        </w:rPr>
        <w:t>litation.</w:t>
      </w:r>
    </w:p>
    <w:p w14:paraId="0259D697" w14:textId="77777777" w:rsidR="00D72AF0" w:rsidRDefault="00D72AF0" w:rsidP="00C94638">
      <w:pPr>
        <w:jc w:val="both"/>
        <w:rPr>
          <w:rFonts w:ascii="Arial" w:hAnsi="Arial" w:cs="Arial"/>
          <w:color w:val="000000"/>
          <w:sz w:val="20"/>
        </w:rPr>
      </w:pPr>
    </w:p>
    <w:p w14:paraId="4B8A188D" w14:textId="6B8FCBBF" w:rsidR="005469BA" w:rsidRDefault="0006092B" w:rsidP="00C94638">
      <w:pPr>
        <w:jc w:val="both"/>
        <w:rPr>
          <w:rFonts w:ascii="Arial" w:hAnsi="Arial" w:cs="Arial"/>
          <w:color w:val="000000"/>
          <w:sz w:val="20"/>
        </w:rPr>
      </w:pPr>
      <w:r>
        <w:rPr>
          <w:rFonts w:ascii="Arial" w:hAnsi="Arial" w:cs="Arial"/>
          <w:color w:val="000000"/>
          <w:sz w:val="20"/>
        </w:rPr>
        <w:t xml:space="preserve">In </w:t>
      </w:r>
      <w:r w:rsidRPr="0006092B">
        <w:rPr>
          <w:rFonts w:ascii="Arial" w:hAnsi="Arial" w:cs="Arial"/>
          <w:i/>
          <w:color w:val="000000"/>
          <w:sz w:val="20"/>
        </w:rPr>
        <w:t>ABC and DOHS &amp; others</w:t>
      </w:r>
      <w:r>
        <w:rPr>
          <w:rFonts w:ascii="Arial" w:hAnsi="Arial" w:cs="Arial"/>
          <w:color w:val="000000"/>
          <w:sz w:val="20"/>
        </w:rPr>
        <w:t xml:space="preserve"> [2014] VChC 1 an application was made to Judge Couzens to publish reports of a proceeding in the Children’s Court, including pictures of parties in de-identified form.  Counsel agreed that ‘likely’ in the context of particulars ‘likely to lead to the identification of’’ should be taken to mean ‘a real possibility that cannot be sensibly ignored’ as opposed to being ‘more likely than not’: see in </w:t>
      </w:r>
      <w:r w:rsidRPr="0006092B">
        <w:rPr>
          <w:rFonts w:ascii="Arial" w:hAnsi="Arial" w:cs="Arial"/>
          <w:i/>
          <w:color w:val="000000"/>
          <w:sz w:val="20"/>
        </w:rPr>
        <w:t>Re H and Others (Minors) (Sexual Abuse: Standard of Proof)</w:t>
      </w:r>
      <w:r>
        <w:rPr>
          <w:rFonts w:ascii="Arial" w:hAnsi="Arial" w:cs="Arial"/>
          <w:color w:val="000000"/>
          <w:sz w:val="20"/>
        </w:rPr>
        <w:t xml:space="preserve"> [1996] AC 563 at 583.</w:t>
      </w:r>
      <w:r w:rsidR="00213ED2">
        <w:rPr>
          <w:rFonts w:ascii="Arial" w:hAnsi="Arial" w:cs="Arial"/>
          <w:color w:val="000000"/>
          <w:sz w:val="20"/>
        </w:rPr>
        <w:t xml:space="preserve">  His</w:t>
      </w:r>
      <w:r w:rsidR="00C719C4">
        <w:rPr>
          <w:rFonts w:ascii="Arial" w:hAnsi="Arial" w:cs="Arial"/>
          <w:color w:val="000000"/>
          <w:sz w:val="20"/>
        </w:rPr>
        <w:t> </w:t>
      </w:r>
      <w:r w:rsidR="00213ED2">
        <w:rPr>
          <w:rFonts w:ascii="Arial" w:hAnsi="Arial" w:cs="Arial"/>
          <w:color w:val="000000"/>
          <w:sz w:val="20"/>
        </w:rPr>
        <w:t xml:space="preserve">Honour adopted dicta of the Court of Appeal in </w:t>
      </w:r>
      <w:r w:rsidR="00213ED2" w:rsidRPr="00213ED2">
        <w:rPr>
          <w:rFonts w:ascii="Arial" w:hAnsi="Arial" w:cs="Arial"/>
          <w:i/>
          <w:color w:val="000000"/>
          <w:sz w:val="20"/>
        </w:rPr>
        <w:t>Howe v Harvey</w:t>
      </w:r>
      <w:r w:rsidR="00213ED2">
        <w:rPr>
          <w:rFonts w:ascii="Arial" w:hAnsi="Arial" w:cs="Arial"/>
          <w:color w:val="000000"/>
          <w:sz w:val="20"/>
        </w:rPr>
        <w:t xml:space="preserve"> (2008) 20 VR 638 at 653 that</w:t>
      </w:r>
      <w:r w:rsidR="00741721">
        <w:rPr>
          <w:rFonts w:ascii="Arial" w:hAnsi="Arial" w:cs="Arial"/>
          <w:color w:val="000000"/>
          <w:sz w:val="20"/>
        </w:rPr>
        <w:t>:</w:t>
      </w:r>
    </w:p>
    <w:p w14:paraId="0BDCADD3" w14:textId="77777777" w:rsidR="00213ED2" w:rsidRDefault="00213ED2" w:rsidP="00CD02A3">
      <w:pPr>
        <w:spacing w:before="60"/>
        <w:ind w:left="567" w:right="567"/>
        <w:jc w:val="both"/>
        <w:rPr>
          <w:rFonts w:ascii="Arial" w:hAnsi="Arial" w:cs="Arial"/>
          <w:sz w:val="20"/>
        </w:rPr>
      </w:pPr>
      <w:r>
        <w:rPr>
          <w:rFonts w:ascii="Arial" w:hAnsi="Arial" w:cs="Arial"/>
          <w:sz w:val="20"/>
        </w:rPr>
        <w:t>“We are inclined to think that s.26 [of the CYPA] would be breached if the particulars which are published are sufficient to enable those who know a child (for example his or her school friends or neighbours) to identify him or her as the child who has been involved in court proceedings, even though a general reader would not do so.”</w:t>
      </w:r>
    </w:p>
    <w:p w14:paraId="2C051E8B" w14:textId="77777777" w:rsidR="00213ED2" w:rsidRDefault="00C719C4" w:rsidP="00213ED2">
      <w:pPr>
        <w:spacing w:before="60"/>
        <w:jc w:val="both"/>
        <w:rPr>
          <w:rFonts w:ascii="Arial" w:hAnsi="Arial" w:cs="Arial"/>
          <w:color w:val="000000"/>
          <w:sz w:val="20"/>
        </w:rPr>
      </w:pPr>
      <w:r>
        <w:rPr>
          <w:rFonts w:ascii="Arial" w:hAnsi="Arial" w:cs="Arial"/>
          <w:color w:val="000000"/>
          <w:sz w:val="20"/>
        </w:rPr>
        <w:t>Judge Couzens</w:t>
      </w:r>
      <w:r w:rsidR="00213ED2">
        <w:rPr>
          <w:rFonts w:ascii="Arial" w:hAnsi="Arial" w:cs="Arial"/>
          <w:color w:val="000000"/>
          <w:sz w:val="20"/>
        </w:rPr>
        <w:t xml:space="preserve"> held </w:t>
      </w:r>
      <w:r>
        <w:rPr>
          <w:rFonts w:ascii="Arial" w:hAnsi="Arial" w:cs="Arial"/>
          <w:color w:val="000000"/>
          <w:sz w:val="20"/>
        </w:rPr>
        <w:t xml:space="preserve">[at pp.12-13] </w:t>
      </w:r>
      <w:r w:rsidR="00213ED2">
        <w:rPr>
          <w:rFonts w:ascii="Arial" w:hAnsi="Arial" w:cs="Arial"/>
          <w:color w:val="000000"/>
          <w:sz w:val="20"/>
        </w:rPr>
        <w:t xml:space="preserve">that a pixilated/distorted/partial picture </w:t>
      </w:r>
      <w:r w:rsidR="00275C19">
        <w:rPr>
          <w:rFonts w:ascii="Arial" w:hAnsi="Arial" w:cs="Arial"/>
          <w:color w:val="000000"/>
          <w:sz w:val="20"/>
        </w:rPr>
        <w:t xml:space="preserve">of a child or other party or witness in a proceedings in the Children’s Court was subject to the prohibition in s.534(1)(b) whether or not publication of the picture is likely to lead to the identification of the child, party or witness.  </w:t>
      </w:r>
      <w:r w:rsidR="00861301">
        <w:rPr>
          <w:rFonts w:ascii="Arial" w:hAnsi="Arial" w:cs="Arial"/>
          <w:color w:val="000000"/>
          <w:sz w:val="20"/>
        </w:rPr>
        <w:t xml:space="preserve">His Honour said: “In my view, if the legislature had intended to limit the prohibition to only pictures that were likely to lead to the identification of a child, other party or witness, it would have been expected to include those words as it did with (1)(a) and (c).”  </w:t>
      </w:r>
      <w:r w:rsidR="00275C19">
        <w:rPr>
          <w:rFonts w:ascii="Arial" w:hAnsi="Arial" w:cs="Arial"/>
          <w:color w:val="000000"/>
          <w:sz w:val="20"/>
        </w:rPr>
        <w:t xml:space="preserve">However, </w:t>
      </w:r>
      <w:r>
        <w:rPr>
          <w:rFonts w:ascii="Arial" w:hAnsi="Arial" w:cs="Arial"/>
          <w:color w:val="000000"/>
          <w:sz w:val="20"/>
        </w:rPr>
        <w:t>his Honour</w:t>
      </w:r>
      <w:r w:rsidR="00275C19">
        <w:rPr>
          <w:rFonts w:ascii="Arial" w:hAnsi="Arial" w:cs="Arial"/>
          <w:color w:val="000000"/>
          <w:sz w:val="20"/>
        </w:rPr>
        <w:t xml:space="preserve"> ultimately granted the ABC’s application and permi</w:t>
      </w:r>
      <w:r>
        <w:rPr>
          <w:rFonts w:ascii="Arial" w:hAnsi="Arial" w:cs="Arial"/>
          <w:color w:val="000000"/>
          <w:sz w:val="20"/>
        </w:rPr>
        <w:t>tted the publication of reports – which included a partial picture of the child and a distorted picture of the child’s father – for the following reasons [at p.16]:</w:t>
      </w:r>
    </w:p>
    <w:p w14:paraId="5B717863" w14:textId="77777777" w:rsidR="00C719C4" w:rsidRDefault="00C719C4" w:rsidP="00C719C4">
      <w:pPr>
        <w:spacing w:before="60"/>
        <w:ind w:left="567" w:right="567"/>
        <w:jc w:val="both"/>
        <w:rPr>
          <w:rFonts w:ascii="Arial" w:hAnsi="Arial" w:cs="Arial"/>
          <w:sz w:val="20"/>
        </w:rPr>
      </w:pPr>
      <w:r>
        <w:rPr>
          <w:rFonts w:ascii="Arial" w:hAnsi="Arial" w:cs="Arial"/>
          <w:sz w:val="20"/>
        </w:rPr>
        <w:t>“Ultimately, the question of whether or not to grant the ABC’s application is a balancing exercise between the paramount interests of the children who are the subject of the report and the public’s right to know about what is reported to have happened to the children whilst in the care of DHS.</w:t>
      </w:r>
    </w:p>
    <w:p w14:paraId="2B244927" w14:textId="77777777" w:rsidR="00C719C4" w:rsidRDefault="00C719C4" w:rsidP="00C719C4">
      <w:pPr>
        <w:spacing w:before="60"/>
        <w:ind w:left="567" w:right="567"/>
        <w:jc w:val="both"/>
        <w:rPr>
          <w:rFonts w:ascii="Arial" w:hAnsi="Arial" w:cs="Arial"/>
          <w:sz w:val="20"/>
        </w:rPr>
      </w:pPr>
      <w:r>
        <w:rPr>
          <w:rFonts w:ascii="Arial" w:hAnsi="Arial" w:cs="Arial"/>
          <w:sz w:val="20"/>
        </w:rPr>
        <w:t>Where, as in this case, I am satisfied that the risk of the children being identified is at best minimal, the public’s interest in knowing what is said to have happened to these highly vulnerable children in the care of the State weighs the balance firmly in favour of publication.”</w:t>
      </w:r>
    </w:p>
    <w:p w14:paraId="2A17392E" w14:textId="77777777" w:rsidR="005469BA" w:rsidRDefault="005469BA" w:rsidP="00C94638">
      <w:pPr>
        <w:jc w:val="both"/>
        <w:rPr>
          <w:rFonts w:ascii="Arial" w:hAnsi="Arial" w:cs="Arial"/>
          <w:color w:val="000000"/>
          <w:sz w:val="20"/>
        </w:rPr>
      </w:pPr>
    </w:p>
    <w:p w14:paraId="57F975A6" w14:textId="77777777" w:rsidR="00861301" w:rsidRDefault="00861301" w:rsidP="003F3037">
      <w:pPr>
        <w:jc w:val="both"/>
        <w:rPr>
          <w:rFonts w:ascii="Arial" w:hAnsi="Arial" w:cs="Arial"/>
          <w:color w:val="000000"/>
          <w:sz w:val="20"/>
        </w:rPr>
      </w:pPr>
      <w:r>
        <w:rPr>
          <w:rFonts w:ascii="Arial" w:hAnsi="Arial" w:cs="Arial"/>
          <w:color w:val="000000"/>
          <w:sz w:val="20"/>
        </w:rPr>
        <w:t xml:space="preserve">In </w:t>
      </w:r>
      <w:r w:rsidRPr="00861301">
        <w:rPr>
          <w:rFonts w:ascii="Arial" w:hAnsi="Arial" w:cs="Arial"/>
          <w:i/>
          <w:color w:val="000000"/>
          <w:sz w:val="20"/>
        </w:rPr>
        <w:t>HWT v DM &amp; Ors</w:t>
      </w:r>
      <w:r>
        <w:rPr>
          <w:rFonts w:ascii="Arial" w:hAnsi="Arial" w:cs="Arial"/>
          <w:color w:val="000000"/>
          <w:sz w:val="20"/>
        </w:rPr>
        <w:t xml:space="preserve"> </w:t>
      </w:r>
      <w:r w:rsidR="00D80DEF">
        <w:rPr>
          <w:rFonts w:ascii="Arial" w:hAnsi="Arial" w:cs="Arial"/>
          <w:color w:val="000000"/>
          <w:sz w:val="20"/>
        </w:rPr>
        <w:t>[2016] VChC 3</w:t>
      </w:r>
      <w:r>
        <w:rPr>
          <w:rFonts w:ascii="Arial" w:hAnsi="Arial" w:cs="Arial"/>
          <w:color w:val="000000"/>
          <w:sz w:val="20"/>
        </w:rPr>
        <w:t xml:space="preserve"> an application </w:t>
      </w:r>
      <w:r w:rsidR="00D80DEF">
        <w:rPr>
          <w:rFonts w:ascii="Arial" w:hAnsi="Arial" w:cs="Arial"/>
          <w:color w:val="000000"/>
          <w:sz w:val="20"/>
        </w:rPr>
        <w:t>had been</w:t>
      </w:r>
      <w:r>
        <w:rPr>
          <w:rFonts w:ascii="Arial" w:hAnsi="Arial" w:cs="Arial"/>
          <w:color w:val="000000"/>
          <w:sz w:val="20"/>
        </w:rPr>
        <w:t xml:space="preserve"> made to Judge Chambers for permission to publish pixilated pictures and video recordings of children who have been involved in proceedings in the Criminal Division of the Children’s Court and in respect of whom the Court has sentenced, or has deferred sentencing, under the provisions of the CYFA.  The application was made in the context of the involvement of the HWT in a “Youth Summit” to be convened by the Chief Commissioner of Police on 21/07/2016.  The application was opposed by the three young persons whose pixilated photographs were proposed to be published for the following </w:t>
      </w:r>
      <w:r w:rsidR="00D80DEF">
        <w:rPr>
          <w:rFonts w:ascii="Arial" w:hAnsi="Arial" w:cs="Arial"/>
          <w:color w:val="000000"/>
          <w:sz w:val="20"/>
        </w:rPr>
        <w:t xml:space="preserve">factual </w:t>
      </w:r>
      <w:r>
        <w:rPr>
          <w:rFonts w:ascii="Arial" w:hAnsi="Arial" w:cs="Arial"/>
          <w:color w:val="000000"/>
          <w:sz w:val="20"/>
        </w:rPr>
        <w:t>reasons</w:t>
      </w:r>
      <w:r w:rsidR="004005E7">
        <w:rPr>
          <w:rFonts w:ascii="Arial" w:hAnsi="Arial" w:cs="Arial"/>
          <w:color w:val="000000"/>
          <w:sz w:val="20"/>
        </w:rPr>
        <w:t xml:space="preserve"> (set out at [12]</w:t>
      </w:r>
      <w:r w:rsidR="00D80DEF">
        <w:rPr>
          <w:rFonts w:ascii="Arial" w:hAnsi="Arial" w:cs="Arial"/>
          <w:color w:val="000000"/>
          <w:sz w:val="20"/>
        </w:rPr>
        <w:t>)</w:t>
      </w:r>
      <w:r>
        <w:rPr>
          <w:rFonts w:ascii="Arial" w:hAnsi="Arial" w:cs="Arial"/>
          <w:color w:val="000000"/>
          <w:sz w:val="20"/>
        </w:rPr>
        <w:t>:</w:t>
      </w:r>
    </w:p>
    <w:p w14:paraId="18233647" w14:textId="77777777" w:rsidR="00861301" w:rsidRDefault="00861301" w:rsidP="00CD02A3">
      <w:pPr>
        <w:spacing w:before="60"/>
        <w:ind w:left="567" w:right="567"/>
        <w:jc w:val="both"/>
        <w:rPr>
          <w:rFonts w:ascii="Arial" w:hAnsi="Arial" w:cs="Arial"/>
          <w:sz w:val="20"/>
        </w:rPr>
      </w:pPr>
      <w:r>
        <w:rPr>
          <w:rFonts w:ascii="Arial" w:hAnsi="Arial" w:cs="Arial"/>
          <w:sz w:val="20"/>
        </w:rPr>
        <w:t>“[T]hey fear being identified by family members, friends and associates who are not aware of their role in this offending, or by other members of their community</w:t>
      </w:r>
      <w:r w:rsidR="008938AE">
        <w:rPr>
          <w:rFonts w:ascii="Arial" w:hAnsi="Arial" w:cs="Arial"/>
          <w:sz w:val="20"/>
        </w:rPr>
        <w:t>, including other young people held in detention, if their images (even where pixilated) accompany the feature article....[They] are ashamed of their offending behaviour, and submit that the shame and embarrassment to them and to their families will be exacerbated by the publication of the images.  They fear becoming the ‘face’ of the problems leading to the Youth summit being convened.”</w:t>
      </w:r>
    </w:p>
    <w:p w14:paraId="19E5F486" w14:textId="35EFB7A4" w:rsidR="00861301" w:rsidRDefault="00AE7954" w:rsidP="00DF1317">
      <w:pPr>
        <w:spacing w:before="120"/>
        <w:jc w:val="both"/>
        <w:rPr>
          <w:rFonts w:ascii="Arial" w:hAnsi="Arial" w:cs="Arial"/>
          <w:color w:val="000000"/>
          <w:sz w:val="20"/>
        </w:rPr>
      </w:pPr>
      <w:r>
        <w:rPr>
          <w:rFonts w:ascii="Arial" w:hAnsi="Arial" w:cs="Arial"/>
          <w:color w:val="000000"/>
          <w:sz w:val="20"/>
        </w:rPr>
        <w:t>In refusing the HWT application her Honour held</w:t>
      </w:r>
      <w:r w:rsidR="00741721">
        <w:rPr>
          <w:rFonts w:ascii="Arial" w:hAnsi="Arial" w:cs="Arial"/>
          <w:color w:val="000000"/>
          <w:sz w:val="20"/>
        </w:rPr>
        <w:t>:</w:t>
      </w:r>
    </w:p>
    <w:p w14:paraId="25E26B09" w14:textId="77777777" w:rsidR="005827ED" w:rsidRDefault="005827ED" w:rsidP="00CD02A3">
      <w:pPr>
        <w:spacing w:before="60"/>
        <w:ind w:left="567" w:right="567"/>
        <w:jc w:val="both"/>
        <w:rPr>
          <w:rFonts w:ascii="Arial" w:hAnsi="Arial" w:cs="Arial"/>
          <w:color w:val="000000"/>
          <w:sz w:val="20"/>
        </w:rPr>
      </w:pPr>
      <w:r>
        <w:rPr>
          <w:rFonts w:ascii="Arial" w:hAnsi="Arial" w:cs="Arial"/>
          <w:color w:val="000000"/>
          <w:sz w:val="20"/>
        </w:rPr>
        <w:t xml:space="preserve">[15] </w:t>
      </w:r>
      <w:r w:rsidR="00AE7954">
        <w:rPr>
          <w:rFonts w:ascii="Arial" w:hAnsi="Arial" w:cs="Arial"/>
          <w:color w:val="000000"/>
          <w:sz w:val="20"/>
        </w:rPr>
        <w:t>“</w:t>
      </w:r>
      <w:r>
        <w:rPr>
          <w:rFonts w:ascii="Arial" w:hAnsi="Arial" w:cs="Arial"/>
          <w:color w:val="000000"/>
          <w:sz w:val="20"/>
        </w:rPr>
        <w:t>...</w:t>
      </w:r>
      <w:r w:rsidR="00AE7954">
        <w:rPr>
          <w:rFonts w:ascii="Arial" w:hAnsi="Arial" w:cs="Arial"/>
          <w:color w:val="000000"/>
          <w:sz w:val="20"/>
        </w:rPr>
        <w:t xml:space="preserve">I intend to adopt the approach of Judge Couzens </w:t>
      </w:r>
      <w:r>
        <w:rPr>
          <w:rFonts w:ascii="Arial" w:hAnsi="Arial" w:cs="Arial"/>
          <w:color w:val="000000"/>
          <w:sz w:val="20"/>
        </w:rPr>
        <w:t>to</w:t>
      </w:r>
      <w:r w:rsidR="00AE7954">
        <w:rPr>
          <w:rFonts w:ascii="Arial" w:hAnsi="Arial" w:cs="Arial"/>
          <w:color w:val="000000"/>
          <w:sz w:val="20"/>
        </w:rPr>
        <w:t xml:space="preserve"> my cons</w:t>
      </w:r>
      <w:r w:rsidR="00375FDF">
        <w:rPr>
          <w:rFonts w:ascii="Arial" w:hAnsi="Arial" w:cs="Arial"/>
          <w:color w:val="000000"/>
          <w:sz w:val="20"/>
        </w:rPr>
        <w:t>ideration of this application.  In doing so, it is instructive that Parliament has not utilised the language it purposely adopted for s.534</w:t>
      </w:r>
      <w:r>
        <w:rPr>
          <w:rFonts w:ascii="Arial" w:hAnsi="Arial" w:cs="Arial"/>
          <w:color w:val="000000"/>
          <w:sz w:val="20"/>
        </w:rPr>
        <w:t>(</w:t>
      </w:r>
      <w:r w:rsidR="00375FDF">
        <w:rPr>
          <w:rFonts w:ascii="Arial" w:hAnsi="Arial" w:cs="Arial"/>
          <w:color w:val="000000"/>
          <w:sz w:val="20"/>
        </w:rPr>
        <w:t xml:space="preserve">1)(a) and (1)(c).  Section 534(1)(b) does not limit the prohibition of images of a child, a party or a witness involved in proceedings in the Children’s Court </w:t>
      </w:r>
      <w:r>
        <w:rPr>
          <w:rFonts w:ascii="Arial" w:hAnsi="Arial" w:cs="Arial"/>
          <w:color w:val="000000"/>
          <w:sz w:val="20"/>
        </w:rPr>
        <w:t xml:space="preserve">to those likely to lead to their identification.  It is a broader prohibition, prohibiting the publication of such images without the permission of the President, even where the images may not lead to the identification of those whose image is represented </w:t>
      </w:r>
      <w:r w:rsidR="004005E7">
        <w:rPr>
          <w:rFonts w:ascii="Arial" w:hAnsi="Arial" w:cs="Arial"/>
          <w:color w:val="000000"/>
          <w:sz w:val="20"/>
        </w:rPr>
        <w:t>in picture.</w:t>
      </w:r>
    </w:p>
    <w:p w14:paraId="7A30EE24" w14:textId="77777777" w:rsidR="004005E7" w:rsidRDefault="004005E7" w:rsidP="004005E7">
      <w:pPr>
        <w:spacing w:before="60"/>
        <w:ind w:left="567" w:right="567"/>
        <w:jc w:val="both"/>
        <w:rPr>
          <w:rFonts w:ascii="Arial" w:hAnsi="Arial" w:cs="Arial"/>
          <w:color w:val="000000"/>
          <w:sz w:val="20"/>
        </w:rPr>
      </w:pPr>
      <w:r>
        <w:rPr>
          <w:rFonts w:ascii="Arial" w:hAnsi="Arial" w:cs="Arial"/>
          <w:color w:val="000000"/>
          <w:sz w:val="20"/>
        </w:rPr>
        <w:t>[16] Clearly, in exercising my discretion under s.534(1) of the Act, I must have regard to a number of competing interests.</w:t>
      </w:r>
    </w:p>
    <w:p w14:paraId="422CCBEC" w14:textId="77777777" w:rsidR="005827ED" w:rsidRDefault="005827ED" w:rsidP="004005E7">
      <w:pPr>
        <w:spacing w:before="60"/>
        <w:ind w:left="567" w:right="567"/>
        <w:jc w:val="both"/>
        <w:rPr>
          <w:rFonts w:ascii="Arial" w:hAnsi="Arial" w:cs="Arial"/>
          <w:sz w:val="20"/>
        </w:rPr>
      </w:pPr>
      <w:r>
        <w:rPr>
          <w:rFonts w:ascii="Arial" w:hAnsi="Arial" w:cs="Arial"/>
          <w:sz w:val="20"/>
        </w:rPr>
        <w:t xml:space="preserve">[17] [I]n considering any proceedings under the Act, it is necessary to have regard to, and to the extent possible, give effect to the purposes of the Act contained in s.3, which includes making provision in relation to children who have been charged with, or been found guilty of offences.  Parliament has sought to achieve this objective by creating a distinct sentencing regime for children with discrete sentencing considerations set out at s.362 of the Act, in marked contrast to the sentencing considerations applicable to adults under the </w:t>
      </w:r>
      <w:r w:rsidRPr="005827ED">
        <w:rPr>
          <w:rFonts w:ascii="Arial" w:hAnsi="Arial" w:cs="Arial"/>
          <w:i/>
          <w:sz w:val="20"/>
        </w:rPr>
        <w:t>Sentencing Act 1991</w:t>
      </w:r>
      <w:r>
        <w:rPr>
          <w:rFonts w:ascii="Arial" w:hAnsi="Arial" w:cs="Arial"/>
          <w:sz w:val="20"/>
        </w:rPr>
        <w:t xml:space="preserve">.  These considerations include those aimed at achieving the important </w:t>
      </w:r>
      <w:r>
        <w:rPr>
          <w:rFonts w:ascii="Arial" w:hAnsi="Arial" w:cs="Arial"/>
          <w:sz w:val="20"/>
        </w:rPr>
        <w:lastRenderedPageBreak/>
        <w:t>objective of rehabilitating the child while minimising the stigma to the child resulting from a Court determination.</w:t>
      </w:r>
    </w:p>
    <w:p w14:paraId="4B97E57D" w14:textId="77777777" w:rsidR="005827ED" w:rsidRDefault="005827ED" w:rsidP="004005E7">
      <w:pPr>
        <w:spacing w:before="60"/>
        <w:ind w:left="567" w:right="567"/>
        <w:jc w:val="both"/>
        <w:rPr>
          <w:rFonts w:ascii="Arial" w:hAnsi="Arial" w:cs="Arial"/>
          <w:sz w:val="20"/>
        </w:rPr>
      </w:pPr>
      <w:r>
        <w:rPr>
          <w:rFonts w:ascii="Arial" w:hAnsi="Arial" w:cs="Arial"/>
          <w:sz w:val="20"/>
        </w:rPr>
        <w:t xml:space="preserve">[18] The distinctive nature of the Children’s Court criminal jurisdiction was recently considered by the Victorian Court of Appeal in the decision of </w:t>
      </w:r>
      <w:r w:rsidRPr="005827ED">
        <w:rPr>
          <w:rFonts w:ascii="Arial" w:hAnsi="Arial" w:cs="Arial"/>
          <w:i/>
          <w:sz w:val="20"/>
        </w:rPr>
        <w:t>Webster (a Pseudonym) v The Queen</w:t>
      </w:r>
      <w:r>
        <w:rPr>
          <w:rFonts w:ascii="Arial" w:hAnsi="Arial" w:cs="Arial"/>
          <w:sz w:val="20"/>
        </w:rPr>
        <w:t xml:space="preserve"> [2016] VSCA 66... at [7]-[9]...</w:t>
      </w:r>
    </w:p>
    <w:p w14:paraId="1D4BD490" w14:textId="77777777" w:rsidR="005827ED" w:rsidRDefault="005827ED" w:rsidP="004005E7">
      <w:pPr>
        <w:spacing w:before="60"/>
        <w:ind w:left="567" w:right="567"/>
        <w:jc w:val="both"/>
        <w:rPr>
          <w:rFonts w:ascii="Arial" w:hAnsi="Arial" w:cs="Arial"/>
          <w:sz w:val="20"/>
        </w:rPr>
      </w:pPr>
      <w:r>
        <w:rPr>
          <w:rFonts w:ascii="Arial" w:hAnsi="Arial" w:cs="Arial"/>
          <w:sz w:val="20"/>
        </w:rPr>
        <w:t>[19] The desirability of avoiding stigma to a child is also emphasised in the procedural guidelines set out at s.522 of the Act which requires the Court, as far as practicable, to minimise the stigma to the child and his or her family in any proceeding, including an application under Part 7.5</w:t>
      </w:r>
      <w:r w:rsidR="004005E7">
        <w:rPr>
          <w:rFonts w:ascii="Arial" w:hAnsi="Arial" w:cs="Arial"/>
          <w:sz w:val="20"/>
        </w:rPr>
        <w:t>.</w:t>
      </w:r>
      <w:r>
        <w:rPr>
          <w:rFonts w:ascii="Arial" w:hAnsi="Arial" w:cs="Arial"/>
          <w:sz w:val="20"/>
        </w:rPr>
        <w:t xml:space="preserve"> The Court is also required to have regard to the expressed wishes of the child.</w:t>
      </w:r>
    </w:p>
    <w:p w14:paraId="01265E3A" w14:textId="77777777" w:rsidR="004005E7" w:rsidRDefault="004005E7" w:rsidP="004005E7">
      <w:pPr>
        <w:spacing w:before="60"/>
        <w:ind w:left="567" w:right="567"/>
        <w:jc w:val="both"/>
        <w:rPr>
          <w:rFonts w:ascii="Arial" w:hAnsi="Arial" w:cs="Arial"/>
          <w:sz w:val="20"/>
        </w:rPr>
      </w:pPr>
      <w:r>
        <w:rPr>
          <w:rFonts w:ascii="Arial" w:hAnsi="Arial" w:cs="Arial"/>
          <w:sz w:val="20"/>
        </w:rPr>
        <w:t>[20] Against this, the case of the applicant is framed in the context of the public interest in promoting an understanding of and facilitating public debate surrounding the nature and extent of criminal offending by a small cohort of young offenders.</w:t>
      </w:r>
    </w:p>
    <w:p w14:paraId="37F9763E" w14:textId="77777777" w:rsidR="004005E7" w:rsidRDefault="00CE3FAB" w:rsidP="004005E7">
      <w:pPr>
        <w:spacing w:before="60"/>
        <w:ind w:left="567" w:right="567"/>
        <w:jc w:val="both"/>
        <w:rPr>
          <w:rFonts w:ascii="Arial" w:hAnsi="Arial" w:cs="Arial"/>
          <w:sz w:val="20"/>
        </w:rPr>
      </w:pPr>
      <w:r>
        <w:rPr>
          <w:rFonts w:ascii="Arial" w:hAnsi="Arial" w:cs="Arial"/>
          <w:sz w:val="20"/>
        </w:rPr>
        <w:t xml:space="preserve">[21] </w:t>
      </w:r>
      <w:r w:rsidRPr="00CE3FAB">
        <w:rPr>
          <w:rFonts w:ascii="Arial" w:hAnsi="Arial" w:cs="Arial"/>
          <w:sz w:val="20"/>
        </w:rPr>
        <w:t xml:space="preserve">In my view, this application must be considered in the context of the harm sought to be ameliorated by s534(1) of the Act. As stated in </w:t>
      </w:r>
      <w:r w:rsidRPr="00CE3FAB">
        <w:rPr>
          <w:rFonts w:ascii="Arial" w:hAnsi="Arial" w:cs="Arial"/>
          <w:i/>
          <w:sz w:val="20"/>
        </w:rPr>
        <w:t xml:space="preserve">Howe v Harvey (2008) 20 VR 638 at 651 </w:t>
      </w:r>
      <w:r w:rsidRPr="00CE3FAB">
        <w:rPr>
          <w:rFonts w:ascii="Arial" w:hAnsi="Arial" w:cs="Arial"/>
          <w:sz w:val="20"/>
        </w:rPr>
        <w:t xml:space="preserve">the provision is intended to protect against </w:t>
      </w:r>
      <w:r>
        <w:rPr>
          <w:rFonts w:ascii="Arial" w:hAnsi="Arial" w:cs="Arial"/>
          <w:sz w:val="20"/>
        </w:rPr>
        <w:t>‘</w:t>
      </w:r>
      <w:r w:rsidRPr="00CE3FAB">
        <w:rPr>
          <w:rFonts w:ascii="Arial" w:hAnsi="Arial" w:cs="Arial"/>
          <w:sz w:val="20"/>
        </w:rPr>
        <w:t>the stigmatisation and interference with the privacy of the child and his or her family caused by identifying them as participants in court proceedings</w:t>
      </w:r>
      <w:r>
        <w:rPr>
          <w:rFonts w:ascii="Arial" w:hAnsi="Arial" w:cs="Arial"/>
          <w:sz w:val="20"/>
        </w:rPr>
        <w:t>’</w:t>
      </w:r>
      <w:r w:rsidRPr="00CE3FAB">
        <w:rPr>
          <w:rFonts w:ascii="Arial" w:hAnsi="Arial" w:cs="Arial"/>
          <w:sz w:val="20"/>
        </w:rPr>
        <w:t xml:space="preserve">. In so stating, the Court echoed the fundamental rights of a child as outlined in Article 40 of the UN Convention of the Rights of the Child to </w:t>
      </w:r>
      <w:r>
        <w:rPr>
          <w:rFonts w:ascii="Arial" w:hAnsi="Arial" w:cs="Arial"/>
          <w:sz w:val="20"/>
        </w:rPr>
        <w:t>‘</w:t>
      </w:r>
      <w:r w:rsidRPr="00CE3FAB">
        <w:rPr>
          <w:rFonts w:ascii="Arial" w:hAnsi="Arial" w:cs="Arial"/>
          <w:sz w:val="20"/>
        </w:rPr>
        <w:t>have his or her rights to privacy fully respected at all stages of the proceedings</w:t>
      </w:r>
      <w:r>
        <w:rPr>
          <w:rFonts w:ascii="Arial" w:hAnsi="Arial" w:cs="Arial"/>
          <w:sz w:val="20"/>
        </w:rPr>
        <w:t>’</w:t>
      </w:r>
      <w:r w:rsidRPr="00CE3FAB">
        <w:rPr>
          <w:rFonts w:ascii="Arial" w:hAnsi="Arial" w:cs="Arial"/>
          <w:sz w:val="20"/>
        </w:rPr>
        <w:t>.</w:t>
      </w:r>
    </w:p>
    <w:p w14:paraId="7839F194" w14:textId="77777777" w:rsidR="00CE3FAB" w:rsidRDefault="00CE3FAB" w:rsidP="004005E7">
      <w:pPr>
        <w:spacing w:before="60"/>
        <w:ind w:left="567" w:right="567"/>
        <w:jc w:val="both"/>
        <w:rPr>
          <w:rFonts w:ascii="Arial" w:hAnsi="Arial" w:cs="Arial"/>
          <w:sz w:val="20"/>
        </w:rPr>
      </w:pPr>
      <w:r>
        <w:rPr>
          <w:rFonts w:ascii="Arial" w:hAnsi="Arial" w:cs="Arial"/>
          <w:sz w:val="20"/>
        </w:rPr>
        <w:t xml:space="preserve">[22] </w:t>
      </w:r>
      <w:r w:rsidR="007213A9" w:rsidRPr="00CE3FAB">
        <w:rPr>
          <w:rFonts w:ascii="Arial" w:hAnsi="Arial" w:cs="Arial"/>
          <w:sz w:val="20"/>
        </w:rPr>
        <w:t>Here, even where the facial images of the offenders are pixilated or distorted, there are other identifying features of the offenders that are relevant to my consideration. These include, but are not limited to, distinctive clothing or clothing generally worn by the offender or their physical characteristics including their height, build, gait and particular mannerisms that may otherwise lead to identification.  This is relevant to my consideration of the potential stigmatising impact of publication of the images on the respondents.</w:t>
      </w:r>
    </w:p>
    <w:p w14:paraId="61F5A3E3" w14:textId="77777777" w:rsidR="007213A9" w:rsidRDefault="007213A9" w:rsidP="004005E7">
      <w:pPr>
        <w:spacing w:before="60"/>
        <w:ind w:left="567" w:right="567"/>
        <w:jc w:val="both"/>
        <w:rPr>
          <w:rFonts w:ascii="Arial" w:hAnsi="Arial" w:cs="Arial"/>
          <w:sz w:val="20"/>
        </w:rPr>
      </w:pPr>
      <w:r>
        <w:rPr>
          <w:rFonts w:ascii="Arial" w:hAnsi="Arial" w:cs="Arial"/>
          <w:sz w:val="20"/>
        </w:rPr>
        <w:t xml:space="preserve">[23] </w:t>
      </w:r>
      <w:r w:rsidRPr="00CE3FAB">
        <w:rPr>
          <w:rFonts w:ascii="Arial" w:hAnsi="Arial" w:cs="Arial"/>
          <w:sz w:val="20"/>
        </w:rPr>
        <w:t>The HWT is able to report</w:t>
      </w:r>
      <w:r>
        <w:rPr>
          <w:rFonts w:ascii="Arial" w:hAnsi="Arial" w:cs="Arial"/>
          <w:sz w:val="20"/>
        </w:rPr>
        <w:t>...</w:t>
      </w:r>
      <w:r w:rsidRPr="00CE3FAB">
        <w:rPr>
          <w:rFonts w:ascii="Arial" w:hAnsi="Arial" w:cs="Arial"/>
          <w:sz w:val="20"/>
        </w:rPr>
        <w:t>on the nature and extent of the offending conduct leading to the charges before the Court, provided it does so in a manner that is not likely to lead to their identification. A question arises whether the public interest in understanding the nature and extent of the offending is furthered by the incorporation of the images and CCTV footage. Moreover, that the public interest in being so informed overrides the competing interest in avoiding stigma to the child, protecting the child’s privacy and facilitating the important objective of furthering the child’s rehabilitation to achieve the twin objectives of reducing the risk of further offending and promoting community safety.</w:t>
      </w:r>
    </w:p>
    <w:p w14:paraId="279D35AD" w14:textId="77777777" w:rsidR="007213A9" w:rsidRDefault="007213A9" w:rsidP="004005E7">
      <w:pPr>
        <w:spacing w:before="60"/>
        <w:ind w:left="567" w:right="567"/>
        <w:jc w:val="both"/>
        <w:rPr>
          <w:rFonts w:ascii="Arial" w:hAnsi="Arial" w:cs="Arial"/>
          <w:sz w:val="20"/>
        </w:rPr>
      </w:pPr>
      <w:r>
        <w:rPr>
          <w:rFonts w:ascii="Arial" w:hAnsi="Arial" w:cs="Arial"/>
          <w:sz w:val="20"/>
        </w:rPr>
        <w:t xml:space="preserve">[24] </w:t>
      </w:r>
      <w:r w:rsidRPr="00CE3FAB">
        <w:rPr>
          <w:rFonts w:ascii="Arial" w:hAnsi="Arial" w:cs="Arial"/>
          <w:sz w:val="20"/>
        </w:rPr>
        <w:t>In respect of this application, having the benefit of considering the draft feature article and the detail contained in that article regarding the offences, I do not consider that the public interest or public understanding is significantly advanced by the incorporation of even heavily redacted images of the offending. Certainly, not to the extent that it overrides the legislative objective of protecting child offenders from stigmatisation and promoting the rehabilitation of those who are the subject of proceedings in the ‘distinctive’ criminal jurisdiction of this Court.</w:t>
      </w:r>
      <w:r>
        <w:rPr>
          <w:rFonts w:ascii="Arial" w:hAnsi="Arial" w:cs="Arial"/>
          <w:sz w:val="20"/>
        </w:rPr>
        <w:t>”</w:t>
      </w:r>
    </w:p>
    <w:p w14:paraId="5520EB23" w14:textId="77777777" w:rsidR="00861301" w:rsidRDefault="00861301" w:rsidP="00C94638">
      <w:pPr>
        <w:jc w:val="both"/>
        <w:rPr>
          <w:rFonts w:ascii="Arial" w:hAnsi="Arial" w:cs="Arial"/>
          <w:color w:val="000000"/>
          <w:sz w:val="20"/>
        </w:rPr>
      </w:pPr>
    </w:p>
    <w:p w14:paraId="6AE98DE1" w14:textId="77777777" w:rsidR="00F51123" w:rsidRDefault="00F51123" w:rsidP="00C94638">
      <w:pPr>
        <w:jc w:val="both"/>
        <w:rPr>
          <w:rFonts w:ascii="Arial" w:hAnsi="Arial" w:cs="Arial"/>
          <w:sz w:val="20"/>
          <w:szCs w:val="20"/>
        </w:rPr>
      </w:pPr>
      <w:r w:rsidRPr="00F51123">
        <w:rPr>
          <w:rFonts w:ascii="Arial" w:hAnsi="Arial" w:cs="Arial"/>
          <w:color w:val="000000"/>
          <w:sz w:val="20"/>
          <w:szCs w:val="20"/>
        </w:rPr>
        <w:t xml:space="preserve">In </w:t>
      </w:r>
      <w:r w:rsidRPr="00F51123">
        <w:rPr>
          <w:rFonts w:ascii="Arial" w:hAnsi="Arial" w:cs="Arial"/>
          <w:i/>
          <w:iCs/>
          <w:color w:val="000000"/>
          <w:sz w:val="20"/>
          <w:szCs w:val="20"/>
        </w:rPr>
        <w:t>Victoria Police v. AY &amp; NA (pseudonyms)</w:t>
      </w:r>
      <w:r w:rsidRPr="00F51123">
        <w:rPr>
          <w:rFonts w:ascii="Arial" w:hAnsi="Arial" w:cs="Arial"/>
          <w:color w:val="000000"/>
          <w:sz w:val="20"/>
          <w:szCs w:val="20"/>
        </w:rPr>
        <w:t xml:space="preserve"> [Melbourne Children’s Court, 29/05/2019] </w:t>
      </w:r>
      <w:r>
        <w:rPr>
          <w:rFonts w:ascii="Arial" w:hAnsi="Arial" w:cs="Arial"/>
          <w:color w:val="000000"/>
          <w:sz w:val="20"/>
          <w:szCs w:val="20"/>
        </w:rPr>
        <w:t xml:space="preserve">the respondents were 2 of </w:t>
      </w:r>
      <w:r w:rsidRPr="00F51123">
        <w:rPr>
          <w:rFonts w:ascii="Arial" w:hAnsi="Arial" w:cs="Arial"/>
          <w:color w:val="000000"/>
          <w:sz w:val="20"/>
          <w:szCs w:val="20"/>
        </w:rPr>
        <w:t xml:space="preserve">4 youths who were believed to have </w:t>
      </w:r>
      <w:r w:rsidRPr="00F51123">
        <w:rPr>
          <w:rFonts w:ascii="Arial" w:hAnsi="Arial" w:cs="Arial"/>
          <w:sz w:val="20"/>
          <w:szCs w:val="20"/>
        </w:rPr>
        <w:t>committed two aggravated home invasions, an attempted carjacking, a carjacking and associated offences</w:t>
      </w:r>
      <w:r>
        <w:rPr>
          <w:rFonts w:ascii="Arial" w:hAnsi="Arial" w:cs="Arial"/>
          <w:sz w:val="20"/>
          <w:szCs w:val="20"/>
        </w:rPr>
        <w:t>.  A</w:t>
      </w:r>
      <w:r w:rsidRPr="00F51123">
        <w:rPr>
          <w:rFonts w:ascii="Arial" w:hAnsi="Arial" w:cs="Arial"/>
          <w:color w:val="000000"/>
          <w:sz w:val="20"/>
          <w:szCs w:val="20"/>
        </w:rPr>
        <w:t xml:space="preserve">pplications were made to Judge Chambers by Victoria Police to publish identifying details of </w:t>
      </w:r>
      <w:r>
        <w:rPr>
          <w:rFonts w:ascii="Arial" w:hAnsi="Arial" w:cs="Arial"/>
          <w:color w:val="000000"/>
          <w:sz w:val="20"/>
          <w:szCs w:val="20"/>
        </w:rPr>
        <w:t xml:space="preserve">the respondents whose whereabouts were unknown.  Holding that </w:t>
      </w:r>
      <w:r w:rsidRPr="00F51123">
        <w:rPr>
          <w:rFonts w:ascii="Arial" w:hAnsi="Arial" w:cs="Arial"/>
          <w:sz w:val="20"/>
          <w:szCs w:val="20"/>
        </w:rPr>
        <w:t>the circumstances giving rise to the applications are an emergency</w:t>
      </w:r>
      <w:r>
        <w:rPr>
          <w:rFonts w:ascii="Arial" w:hAnsi="Arial" w:cs="Arial"/>
          <w:sz w:val="20"/>
          <w:szCs w:val="20"/>
        </w:rPr>
        <w:t xml:space="preserve"> and that </w:t>
      </w:r>
      <w:r w:rsidRPr="00F51123">
        <w:rPr>
          <w:rFonts w:ascii="Arial" w:hAnsi="Arial" w:cs="Arial"/>
          <w:sz w:val="20"/>
          <w:szCs w:val="20"/>
        </w:rPr>
        <w:t xml:space="preserve">publication is reasonably necessary for the safety </w:t>
      </w:r>
      <w:r>
        <w:rPr>
          <w:rFonts w:ascii="Arial" w:hAnsi="Arial" w:cs="Arial"/>
          <w:sz w:val="20"/>
          <w:szCs w:val="20"/>
        </w:rPr>
        <w:t xml:space="preserve">of </w:t>
      </w:r>
      <w:r w:rsidRPr="00F51123">
        <w:rPr>
          <w:rFonts w:ascii="Arial" w:hAnsi="Arial" w:cs="Arial"/>
          <w:sz w:val="20"/>
          <w:szCs w:val="20"/>
        </w:rPr>
        <w:t>other person</w:t>
      </w:r>
      <w:r>
        <w:rPr>
          <w:rFonts w:ascii="Arial" w:hAnsi="Arial" w:cs="Arial"/>
          <w:sz w:val="20"/>
          <w:szCs w:val="20"/>
        </w:rPr>
        <w:t>s</w:t>
      </w:r>
      <w:r w:rsidRPr="00F51123">
        <w:rPr>
          <w:rFonts w:ascii="Arial" w:hAnsi="Arial" w:cs="Arial"/>
          <w:sz w:val="20"/>
          <w:szCs w:val="20"/>
        </w:rPr>
        <w:t xml:space="preserve"> </w:t>
      </w:r>
      <w:r>
        <w:rPr>
          <w:rFonts w:ascii="Arial" w:hAnsi="Arial" w:cs="Arial"/>
          <w:sz w:val="20"/>
          <w:szCs w:val="20"/>
        </w:rPr>
        <w:t>and</w:t>
      </w:r>
      <w:r w:rsidRPr="00F51123">
        <w:rPr>
          <w:rFonts w:ascii="Arial" w:hAnsi="Arial" w:cs="Arial"/>
          <w:sz w:val="20"/>
          <w:szCs w:val="20"/>
        </w:rPr>
        <w:t xml:space="preserve"> </w:t>
      </w:r>
      <w:r>
        <w:rPr>
          <w:rFonts w:ascii="Arial" w:hAnsi="Arial" w:cs="Arial"/>
          <w:sz w:val="20"/>
          <w:szCs w:val="20"/>
        </w:rPr>
        <w:t xml:space="preserve">members of </w:t>
      </w:r>
      <w:r w:rsidRPr="00F51123">
        <w:rPr>
          <w:rFonts w:ascii="Arial" w:hAnsi="Arial" w:cs="Arial"/>
          <w:sz w:val="20"/>
          <w:szCs w:val="20"/>
        </w:rPr>
        <w:t>the community</w:t>
      </w:r>
      <w:r>
        <w:rPr>
          <w:rFonts w:ascii="Arial" w:hAnsi="Arial" w:cs="Arial"/>
          <w:sz w:val="20"/>
          <w:szCs w:val="20"/>
        </w:rPr>
        <w:t xml:space="preserve">, her Honour granted the applications for permission to publish particulars likely to lead to the identification of the child in the form of the draft media release produced by Victoria Police together with the accompanying photographs.  Pursuant to s.534(1A) </w:t>
      </w:r>
      <w:r w:rsidR="007D5307">
        <w:rPr>
          <w:rFonts w:ascii="Arial" w:hAnsi="Arial" w:cs="Arial"/>
          <w:sz w:val="20"/>
          <w:szCs w:val="20"/>
        </w:rPr>
        <w:t xml:space="preserve">of the CYFA </w:t>
      </w:r>
      <w:r>
        <w:rPr>
          <w:rFonts w:ascii="Arial" w:hAnsi="Arial" w:cs="Arial"/>
          <w:sz w:val="20"/>
          <w:szCs w:val="20"/>
        </w:rPr>
        <w:t xml:space="preserve">her Honour made self-executing orders in these terms but held that upon the location and arrest of the child the permission to publish will no longer apply and the permission granted by </w:t>
      </w:r>
      <w:r w:rsidR="007F76AD">
        <w:rPr>
          <w:rFonts w:ascii="Arial" w:hAnsi="Arial" w:cs="Arial"/>
          <w:sz w:val="20"/>
          <w:szCs w:val="20"/>
        </w:rPr>
        <w:t>the</w:t>
      </w:r>
      <w:r>
        <w:rPr>
          <w:rFonts w:ascii="Arial" w:hAnsi="Arial" w:cs="Arial"/>
          <w:sz w:val="20"/>
          <w:szCs w:val="20"/>
        </w:rPr>
        <w:t xml:space="preserve"> order will be taken to be revoked</w:t>
      </w:r>
      <w:r w:rsidR="00894D03">
        <w:rPr>
          <w:rFonts w:ascii="Arial" w:hAnsi="Arial" w:cs="Arial"/>
          <w:sz w:val="20"/>
          <w:szCs w:val="20"/>
        </w:rPr>
        <w:t>.</w:t>
      </w:r>
    </w:p>
    <w:p w14:paraId="1CF4EDB9" w14:textId="77777777" w:rsidR="00F51123" w:rsidRDefault="00F51123" w:rsidP="00C94638">
      <w:pPr>
        <w:jc w:val="both"/>
        <w:rPr>
          <w:rFonts w:ascii="Arial" w:hAnsi="Arial" w:cs="Arial"/>
          <w:sz w:val="20"/>
          <w:szCs w:val="20"/>
        </w:rPr>
      </w:pPr>
    </w:p>
    <w:p w14:paraId="7B5084C8" w14:textId="57304339" w:rsidR="00015A24" w:rsidRDefault="00015A24" w:rsidP="00C94638">
      <w:pPr>
        <w:jc w:val="both"/>
        <w:rPr>
          <w:rFonts w:ascii="Arial" w:hAnsi="Arial" w:cs="Arial"/>
          <w:color w:val="000000"/>
          <w:sz w:val="20"/>
        </w:rPr>
      </w:pPr>
      <w:r>
        <w:rPr>
          <w:rFonts w:ascii="Arial" w:hAnsi="Arial" w:cs="Arial"/>
          <w:color w:val="000000"/>
          <w:sz w:val="20"/>
        </w:rPr>
        <w:t xml:space="preserve">In 2009 the then President, Judge Grant, had </w:t>
      </w:r>
      <w:r w:rsidR="00A03186">
        <w:rPr>
          <w:rFonts w:ascii="Arial" w:hAnsi="Arial" w:cs="Arial"/>
          <w:color w:val="000000"/>
          <w:sz w:val="20"/>
        </w:rPr>
        <w:t xml:space="preserve">taken advice from the Director of Public Prosecutions and agreed with his advice that </w:t>
      </w:r>
      <w:r>
        <w:rPr>
          <w:rFonts w:ascii="Arial" w:hAnsi="Arial" w:cs="Arial"/>
          <w:color w:val="000000"/>
          <w:sz w:val="20"/>
        </w:rPr>
        <w:t>the publication of photographs of children or witnesses involved in Children’s Court pr</w:t>
      </w:r>
      <w:r w:rsidR="007A5A38">
        <w:rPr>
          <w:rFonts w:ascii="Arial" w:hAnsi="Arial" w:cs="Arial"/>
          <w:color w:val="000000"/>
          <w:sz w:val="20"/>
        </w:rPr>
        <w:t xml:space="preserve">oceedings, “whether pixilated or otherwise altered to prevent the identity of the [person] being revealed, would breach </w:t>
      </w:r>
      <w:r w:rsidR="00A03186">
        <w:rPr>
          <w:rFonts w:ascii="Arial" w:hAnsi="Arial" w:cs="Arial"/>
          <w:color w:val="000000"/>
          <w:sz w:val="20"/>
        </w:rPr>
        <w:t>[s.534(1)(b) of the CYPA]”.  By letter dated 28/05/2009 his Honour requested the Strategic Communications Advisor to the Supreme Court of Victoria to publish a warning to all media outlets about this interpretation of s.534(1)(b).</w:t>
      </w:r>
    </w:p>
    <w:p w14:paraId="5B02DDCC" w14:textId="77777777" w:rsidR="00015A24" w:rsidRPr="007D0039" w:rsidRDefault="00015A24" w:rsidP="00C94638">
      <w:pPr>
        <w:jc w:val="both"/>
        <w:rPr>
          <w:rFonts w:ascii="Arial" w:hAnsi="Arial" w:cs="Arial"/>
          <w:color w:val="000000"/>
          <w:sz w:val="20"/>
        </w:rPr>
      </w:pPr>
    </w:p>
    <w:p w14:paraId="1803BFBE" w14:textId="3DCABC39" w:rsidR="00DD0361" w:rsidRDefault="00676DE7" w:rsidP="00C94638">
      <w:pPr>
        <w:jc w:val="both"/>
        <w:rPr>
          <w:rFonts w:ascii="Arial" w:hAnsi="Arial" w:cs="Arial"/>
          <w:sz w:val="20"/>
        </w:rPr>
      </w:pPr>
      <w:r>
        <w:rPr>
          <w:rFonts w:ascii="Arial" w:hAnsi="Arial" w:cs="Arial"/>
          <w:sz w:val="20"/>
        </w:rPr>
        <w:lastRenderedPageBreak/>
        <w:t>T</w:t>
      </w:r>
      <w:r w:rsidR="00C94638">
        <w:rPr>
          <w:rFonts w:ascii="Arial" w:hAnsi="Arial" w:cs="Arial"/>
          <w:sz w:val="20"/>
        </w:rPr>
        <w:t xml:space="preserve">here have been several prosecutions of persons or bodies corporate alleged to have breached </w:t>
      </w:r>
      <w:r>
        <w:rPr>
          <w:rFonts w:ascii="Arial" w:hAnsi="Arial" w:cs="Arial"/>
          <w:sz w:val="20"/>
        </w:rPr>
        <w:t>s.534 of the CYFA or s.26 of the CYPA</w:t>
      </w:r>
      <w:r w:rsidR="00C94638">
        <w:rPr>
          <w:rFonts w:ascii="Arial" w:hAnsi="Arial" w:cs="Arial"/>
          <w:sz w:val="20"/>
        </w:rPr>
        <w:t>.</w:t>
      </w:r>
      <w:r w:rsidR="001A11CA">
        <w:rPr>
          <w:rFonts w:ascii="Arial" w:hAnsi="Arial" w:cs="Arial"/>
          <w:sz w:val="20"/>
        </w:rPr>
        <w:t xml:space="preserve">  </w:t>
      </w:r>
      <w:r w:rsidR="00D80EB1">
        <w:rPr>
          <w:rFonts w:ascii="Arial" w:hAnsi="Arial" w:cs="Arial"/>
          <w:sz w:val="20"/>
        </w:rPr>
        <w:t xml:space="preserve">One such prosecution was </w:t>
      </w:r>
      <w:r w:rsidR="00D80EB1" w:rsidRPr="00D80EB1">
        <w:rPr>
          <w:rFonts w:ascii="Arial" w:hAnsi="Arial" w:cs="Arial"/>
          <w:i/>
          <w:sz w:val="20"/>
        </w:rPr>
        <w:t>Peter Harvey v Channel 7 Melbourne Pty Ltd, The Herald and Weekly Times Pty Ltd, Nationwide News Pty Ltd &amp; Others</w:t>
      </w:r>
      <w:r w:rsidR="00D80EB1">
        <w:rPr>
          <w:rFonts w:ascii="Arial" w:hAnsi="Arial" w:cs="Arial"/>
          <w:sz w:val="20"/>
        </w:rPr>
        <w:t>, a decision of Magistrate Lisa Hannan [now Ju</w:t>
      </w:r>
      <w:r w:rsidR="005A6305">
        <w:rPr>
          <w:rFonts w:ascii="Arial" w:hAnsi="Arial" w:cs="Arial"/>
          <w:sz w:val="20"/>
        </w:rPr>
        <w:t>stice</w:t>
      </w:r>
      <w:r w:rsidR="00D80EB1">
        <w:rPr>
          <w:rFonts w:ascii="Arial" w:hAnsi="Arial" w:cs="Arial"/>
          <w:sz w:val="20"/>
        </w:rPr>
        <w:t xml:space="preserve"> Hannan] on </w:t>
      </w:r>
      <w:smartTag w:uri="urn:schemas-microsoft-com:office:smarttags" w:element="date">
        <w:smartTagPr>
          <w:attr w:name="Month" w:val="5"/>
          <w:attr w:name="Day" w:val="15"/>
          <w:attr w:name="Year" w:val="2006"/>
        </w:smartTagPr>
        <w:r w:rsidR="00D80EB1">
          <w:rPr>
            <w:rFonts w:ascii="Arial" w:hAnsi="Arial" w:cs="Arial"/>
            <w:sz w:val="20"/>
          </w:rPr>
          <w:t>15/05/2006</w:t>
        </w:r>
      </w:smartTag>
      <w:r w:rsidR="00D80EB1">
        <w:rPr>
          <w:rFonts w:ascii="Arial" w:hAnsi="Arial" w:cs="Arial"/>
          <w:sz w:val="20"/>
        </w:rPr>
        <w:t>.  This prosecution followed the publication of identifying particulars of a 14 year old boy who had made an application at Melbourne Children’s Court alleging irreconcilable differences with his mother.  Her Honour held at pp.9-11 that an offence against s.26 is a strict liability offence.</w:t>
      </w:r>
      <w:r w:rsidR="00794E1E">
        <w:rPr>
          <w:rFonts w:ascii="Arial" w:hAnsi="Arial" w:cs="Arial"/>
          <w:sz w:val="20"/>
        </w:rPr>
        <w:t xml:space="preserve">  At pp.15-18 she was unable to be satisfied beyond reasonable doubt that those of the defendants who were reporters or news readers had the necessary degree of control over what was ultimately broadcast or telecast to bring them within the </w:t>
      </w:r>
      <w:r w:rsidR="00F1358B">
        <w:rPr>
          <w:rFonts w:ascii="Arial" w:hAnsi="Arial" w:cs="Arial"/>
          <w:sz w:val="20"/>
        </w:rPr>
        <w:t>scope</w:t>
      </w:r>
      <w:r w:rsidR="00794E1E">
        <w:rPr>
          <w:rFonts w:ascii="Arial" w:hAnsi="Arial" w:cs="Arial"/>
          <w:sz w:val="20"/>
        </w:rPr>
        <w:t xml:space="preserve"> of </w:t>
      </w:r>
      <w:r w:rsidR="00F1358B">
        <w:rPr>
          <w:rFonts w:ascii="Arial" w:hAnsi="Arial" w:cs="Arial"/>
          <w:sz w:val="20"/>
        </w:rPr>
        <w:t xml:space="preserve">“publish” or “cause to be published” in s.26.  She ultimately dismissed the charges against 12 of the 17 defendants.  She found the charges proved against the remaining 5 defendants and imposed significant fines.  </w:t>
      </w:r>
      <w:r w:rsidR="003A321D">
        <w:rPr>
          <w:rFonts w:ascii="Arial" w:hAnsi="Arial" w:cs="Arial"/>
          <w:sz w:val="20"/>
        </w:rPr>
        <w:t xml:space="preserve">Appeals and cross-appeals against Her Honour’s decision </w:t>
      </w:r>
      <w:r w:rsidR="00253300">
        <w:rPr>
          <w:rFonts w:ascii="Arial" w:hAnsi="Arial" w:cs="Arial"/>
          <w:sz w:val="20"/>
        </w:rPr>
        <w:t>were</w:t>
      </w:r>
      <w:r w:rsidR="003A321D">
        <w:rPr>
          <w:rFonts w:ascii="Arial" w:hAnsi="Arial" w:cs="Arial"/>
          <w:sz w:val="20"/>
        </w:rPr>
        <w:t xml:space="preserve"> dismissed by the Supreme Court: </w:t>
      </w:r>
      <w:r w:rsidR="003A321D" w:rsidRPr="003A321D">
        <w:rPr>
          <w:rFonts w:ascii="Arial" w:hAnsi="Arial" w:cs="Arial"/>
          <w:i/>
          <w:sz w:val="20"/>
        </w:rPr>
        <w:t xml:space="preserve">Howe &amp; Ors v </w:t>
      </w:r>
      <w:smartTag w:uri="urn:schemas-microsoft-com:office:smarttags" w:element="City">
        <w:smartTag w:uri="urn:schemas-microsoft-com:office:smarttags" w:element="place">
          <w:r w:rsidR="003A321D" w:rsidRPr="003A321D">
            <w:rPr>
              <w:rFonts w:ascii="Arial" w:hAnsi="Arial" w:cs="Arial"/>
              <w:i/>
              <w:sz w:val="20"/>
            </w:rPr>
            <w:t>Harvey</w:t>
          </w:r>
        </w:smartTag>
      </w:smartTag>
      <w:r w:rsidR="003A321D" w:rsidRPr="003A321D">
        <w:rPr>
          <w:rFonts w:ascii="Arial" w:hAnsi="Arial" w:cs="Arial"/>
          <w:i/>
          <w:sz w:val="20"/>
        </w:rPr>
        <w:t>; DPP v Quist &amp; Ors</w:t>
      </w:r>
      <w:r w:rsidR="003A321D">
        <w:rPr>
          <w:rFonts w:ascii="Arial" w:hAnsi="Arial" w:cs="Arial"/>
          <w:sz w:val="20"/>
        </w:rPr>
        <w:t xml:space="preserve"> [2007] VSC 130.</w:t>
      </w:r>
      <w:r w:rsidR="001A07B1">
        <w:rPr>
          <w:rFonts w:ascii="Arial" w:hAnsi="Arial" w:cs="Arial"/>
          <w:sz w:val="20"/>
        </w:rPr>
        <w:t xml:space="preserve">  Ensuing appeals and cross-appeals were dismissed by the Court of Appeal: </w:t>
      </w:r>
      <w:r w:rsidR="00253300" w:rsidRPr="00253300">
        <w:rPr>
          <w:rFonts w:ascii="Arial" w:hAnsi="Arial" w:cs="Arial"/>
          <w:i/>
          <w:sz w:val="20"/>
        </w:rPr>
        <w:t>Howe &amp; Ors v Harvey &amp; DPP &amp; Ors</w:t>
      </w:r>
      <w:r w:rsidR="00253300">
        <w:rPr>
          <w:rFonts w:ascii="Arial" w:hAnsi="Arial" w:cs="Arial"/>
          <w:sz w:val="20"/>
        </w:rPr>
        <w:t xml:space="preserve"> </w:t>
      </w:r>
      <w:r w:rsidR="00C719C4">
        <w:rPr>
          <w:rFonts w:ascii="Arial" w:hAnsi="Arial" w:cs="Arial"/>
          <w:color w:val="000000"/>
          <w:sz w:val="20"/>
        </w:rPr>
        <w:t xml:space="preserve">(2008) 20 VR 638; </w:t>
      </w:r>
      <w:r w:rsidR="001A07B1">
        <w:rPr>
          <w:rFonts w:ascii="Arial" w:hAnsi="Arial" w:cs="Arial"/>
          <w:sz w:val="20"/>
        </w:rPr>
        <w:t xml:space="preserve">[2008] VSCA </w:t>
      </w:r>
      <w:r w:rsidR="00253300">
        <w:rPr>
          <w:rFonts w:ascii="Arial" w:hAnsi="Arial" w:cs="Arial"/>
          <w:sz w:val="20"/>
        </w:rPr>
        <w:t>181.</w:t>
      </w:r>
    </w:p>
    <w:p w14:paraId="62DF8D53" w14:textId="5121E7E2" w:rsidR="00C94638" w:rsidRDefault="00C94638" w:rsidP="001E79F7">
      <w:pPr>
        <w:jc w:val="both"/>
        <w:rPr>
          <w:rFonts w:ascii="Arial" w:hAnsi="Arial" w:cs="Arial"/>
          <w:sz w:val="20"/>
        </w:rPr>
      </w:pPr>
    </w:p>
    <w:p w14:paraId="7E69377C" w14:textId="59EADF88" w:rsidR="00593294" w:rsidRPr="00593294" w:rsidRDefault="00593294" w:rsidP="00593294">
      <w:pPr>
        <w:pStyle w:val="xmsonormal"/>
        <w:jc w:val="both"/>
        <w:rPr>
          <w:rFonts w:ascii="Arial" w:hAnsi="Arial" w:cs="Arial"/>
          <w:sz w:val="20"/>
          <w:szCs w:val="20"/>
        </w:rPr>
      </w:pPr>
      <w:r>
        <w:rPr>
          <w:rFonts w:ascii="Arial" w:hAnsi="Arial" w:cs="Arial"/>
          <w:sz w:val="20"/>
          <w:szCs w:val="20"/>
        </w:rPr>
        <w:t>I</w:t>
      </w:r>
      <w:r w:rsidRPr="00593294">
        <w:rPr>
          <w:rFonts w:ascii="Arial" w:hAnsi="Arial" w:cs="Arial"/>
          <w:sz w:val="20"/>
          <w:szCs w:val="20"/>
        </w:rPr>
        <w:t xml:space="preserve">n </w:t>
      </w:r>
      <w:r w:rsidRPr="00593294">
        <w:rPr>
          <w:rFonts w:ascii="Arial" w:hAnsi="Arial" w:cs="Arial"/>
          <w:i/>
          <w:iCs/>
          <w:sz w:val="20"/>
          <w:szCs w:val="20"/>
        </w:rPr>
        <w:t>Porch v State of Victoria</w:t>
      </w:r>
      <w:r w:rsidRPr="00593294">
        <w:rPr>
          <w:rFonts w:ascii="Arial" w:hAnsi="Arial" w:cs="Arial"/>
          <w:sz w:val="20"/>
          <w:szCs w:val="20"/>
        </w:rPr>
        <w:t xml:space="preserve"> [2023] VSC 61 </w:t>
      </w:r>
      <w:r>
        <w:rPr>
          <w:rFonts w:ascii="Arial" w:hAnsi="Arial" w:cs="Arial"/>
          <w:sz w:val="20"/>
          <w:szCs w:val="20"/>
        </w:rPr>
        <w:t xml:space="preserve">John Dixon J </w:t>
      </w:r>
      <w:r w:rsidRPr="00593294">
        <w:rPr>
          <w:rFonts w:ascii="Arial" w:hAnsi="Arial" w:cs="Arial"/>
          <w:sz w:val="20"/>
          <w:szCs w:val="20"/>
        </w:rPr>
        <w:t xml:space="preserve">drew a distinction between ‘publication of a report of a proceeding’ under s.534 CYFA, s.166 </w:t>
      </w:r>
      <w:r w:rsidRPr="00593294">
        <w:rPr>
          <w:rFonts w:ascii="Arial" w:hAnsi="Arial" w:cs="Arial"/>
          <w:i/>
          <w:iCs/>
          <w:sz w:val="20"/>
          <w:szCs w:val="20"/>
        </w:rPr>
        <w:t>Family Violence Protection Act 2008 (Vic)</w:t>
      </w:r>
      <w:r>
        <w:rPr>
          <w:rFonts w:ascii="Arial" w:hAnsi="Arial" w:cs="Arial"/>
          <w:sz w:val="20"/>
          <w:szCs w:val="20"/>
        </w:rPr>
        <w:t xml:space="preserve"> or</w:t>
      </w:r>
      <w:r w:rsidRPr="00593294">
        <w:rPr>
          <w:rFonts w:ascii="Arial" w:hAnsi="Arial" w:cs="Arial"/>
          <w:sz w:val="20"/>
          <w:szCs w:val="20"/>
        </w:rPr>
        <w:t xml:space="preserve"> s.121 </w:t>
      </w:r>
      <w:r w:rsidRPr="00593294">
        <w:rPr>
          <w:rFonts w:ascii="Arial" w:hAnsi="Arial" w:cs="Arial"/>
          <w:i/>
          <w:iCs/>
          <w:sz w:val="20"/>
          <w:szCs w:val="20"/>
        </w:rPr>
        <w:t>Family Law Act 1975 (</w:t>
      </w:r>
      <w:proofErr w:type="spellStart"/>
      <w:r w:rsidRPr="00593294">
        <w:rPr>
          <w:rFonts w:ascii="Arial" w:hAnsi="Arial" w:cs="Arial"/>
          <w:i/>
          <w:iCs/>
          <w:sz w:val="20"/>
          <w:szCs w:val="20"/>
        </w:rPr>
        <w:t>Cth</w:t>
      </w:r>
      <w:proofErr w:type="spellEnd"/>
      <w:r w:rsidRPr="00593294">
        <w:rPr>
          <w:rFonts w:ascii="Arial" w:hAnsi="Arial" w:cs="Arial"/>
          <w:i/>
          <w:iCs/>
          <w:sz w:val="20"/>
          <w:szCs w:val="20"/>
        </w:rPr>
        <w:t>)</w:t>
      </w:r>
      <w:r>
        <w:rPr>
          <w:rFonts w:ascii="Arial" w:hAnsi="Arial" w:cs="Arial"/>
          <w:sz w:val="20"/>
          <w:szCs w:val="20"/>
        </w:rPr>
        <w:t xml:space="preserve"> </w:t>
      </w:r>
      <w:r w:rsidRPr="00593294">
        <w:rPr>
          <w:rFonts w:ascii="Arial" w:hAnsi="Arial" w:cs="Arial"/>
          <w:sz w:val="20"/>
          <w:szCs w:val="20"/>
        </w:rPr>
        <w:t>and ‘inspection and copying of a Court file’.</w:t>
      </w:r>
      <w:r>
        <w:rPr>
          <w:rFonts w:ascii="Arial" w:hAnsi="Arial" w:cs="Arial"/>
          <w:sz w:val="20"/>
          <w:szCs w:val="20"/>
        </w:rPr>
        <w:t xml:space="preserve">  </w:t>
      </w:r>
      <w:r w:rsidRPr="00593294">
        <w:rPr>
          <w:rFonts w:ascii="Arial" w:hAnsi="Arial" w:cs="Arial"/>
          <w:sz w:val="20"/>
          <w:szCs w:val="20"/>
        </w:rPr>
        <w:t xml:space="preserve">The substantive proceeding in this case was a common law claim for negligence against the State of Victoria brought by the plaintiff Ms Porch under Part 4, Division 8 of the </w:t>
      </w:r>
      <w:r w:rsidRPr="00593294">
        <w:rPr>
          <w:rFonts w:ascii="Arial" w:hAnsi="Arial" w:cs="Arial"/>
          <w:i/>
          <w:iCs/>
          <w:sz w:val="20"/>
          <w:szCs w:val="20"/>
        </w:rPr>
        <w:t xml:space="preserve">Victoria Police Act 2013 </w:t>
      </w:r>
      <w:r w:rsidRPr="00253D11">
        <w:rPr>
          <w:rFonts w:ascii="Arial" w:hAnsi="Arial" w:cs="Arial"/>
          <w:sz w:val="20"/>
          <w:szCs w:val="20"/>
        </w:rPr>
        <w:t>(Vic)</w:t>
      </w:r>
      <w:r w:rsidRPr="00593294">
        <w:rPr>
          <w:rFonts w:ascii="Arial" w:hAnsi="Arial" w:cs="Arial"/>
          <w:sz w:val="20"/>
          <w:szCs w:val="20"/>
        </w:rPr>
        <w:t xml:space="preserve"> in respect of the conduct of police officers. A material allegation, central to the plaintiff’s claims, concerned the conduct of a police officer, </w:t>
      </w:r>
      <w:r>
        <w:rPr>
          <w:rFonts w:ascii="Arial" w:hAnsi="Arial" w:cs="Arial"/>
          <w:sz w:val="20"/>
          <w:szCs w:val="20"/>
        </w:rPr>
        <w:t>DS who</w:t>
      </w:r>
      <w:r w:rsidRPr="00593294">
        <w:rPr>
          <w:rFonts w:ascii="Arial" w:hAnsi="Arial" w:cs="Arial"/>
          <w:sz w:val="20"/>
          <w:szCs w:val="20"/>
        </w:rPr>
        <w:t xml:space="preserve"> was married to the plaintiff and they had three children. </w:t>
      </w:r>
      <w:r>
        <w:rPr>
          <w:rFonts w:ascii="Arial" w:hAnsi="Arial" w:cs="Arial"/>
          <w:sz w:val="20"/>
          <w:szCs w:val="20"/>
        </w:rPr>
        <w:t>DS</w:t>
      </w:r>
      <w:r w:rsidRPr="00593294">
        <w:rPr>
          <w:rFonts w:ascii="Arial" w:hAnsi="Arial" w:cs="Arial"/>
          <w:sz w:val="20"/>
          <w:szCs w:val="20"/>
        </w:rPr>
        <w:t xml:space="preserve"> was also in a relationship with Ms</w:t>
      </w:r>
      <w:r>
        <w:rPr>
          <w:rFonts w:ascii="Arial" w:hAnsi="Arial" w:cs="Arial"/>
          <w:sz w:val="20"/>
          <w:szCs w:val="20"/>
        </w:rPr>
        <w:t> </w:t>
      </w:r>
      <w:r w:rsidRPr="00593294">
        <w:rPr>
          <w:rFonts w:ascii="Arial" w:hAnsi="Arial" w:cs="Arial"/>
          <w:sz w:val="20"/>
          <w:szCs w:val="20"/>
        </w:rPr>
        <w:t>B which, in part, overlapped with his marriage to the plaintiff.</w:t>
      </w:r>
    </w:p>
    <w:p w14:paraId="066D98C6" w14:textId="7D063DDF" w:rsidR="00593294" w:rsidRPr="00593294" w:rsidRDefault="00593294" w:rsidP="00593294">
      <w:pPr>
        <w:pStyle w:val="xmsonormal"/>
        <w:spacing w:before="120"/>
        <w:jc w:val="both"/>
        <w:rPr>
          <w:rFonts w:ascii="Arial" w:hAnsi="Arial" w:cs="Arial"/>
          <w:sz w:val="20"/>
          <w:szCs w:val="20"/>
        </w:rPr>
      </w:pPr>
      <w:r w:rsidRPr="00593294">
        <w:rPr>
          <w:rFonts w:ascii="Arial" w:hAnsi="Arial" w:cs="Arial"/>
          <w:sz w:val="20"/>
          <w:szCs w:val="20"/>
        </w:rPr>
        <w:t xml:space="preserve">The Age Company Ltd – a non-party to the proceeding – </w:t>
      </w:r>
      <w:r>
        <w:rPr>
          <w:rFonts w:ascii="Arial" w:hAnsi="Arial" w:cs="Arial"/>
          <w:sz w:val="20"/>
          <w:szCs w:val="20"/>
        </w:rPr>
        <w:t xml:space="preserve">had </w:t>
      </w:r>
      <w:r w:rsidRPr="00593294">
        <w:rPr>
          <w:rFonts w:ascii="Arial" w:hAnsi="Arial" w:cs="Arial"/>
          <w:sz w:val="20"/>
          <w:szCs w:val="20"/>
        </w:rPr>
        <w:t xml:space="preserve">applied for permission to inspect and copy the pleadings in these proceedings pursuant to r 28.05 of the </w:t>
      </w:r>
      <w:r w:rsidRPr="00593294">
        <w:rPr>
          <w:rFonts w:ascii="Arial" w:hAnsi="Arial" w:cs="Arial"/>
          <w:i/>
          <w:iCs/>
          <w:sz w:val="20"/>
          <w:szCs w:val="20"/>
        </w:rPr>
        <w:t>Supreme Court (General Civil Procedure Rules) 2015 (Vic)</w:t>
      </w:r>
      <w:r w:rsidRPr="00593294">
        <w:rPr>
          <w:rFonts w:ascii="Arial" w:hAnsi="Arial" w:cs="Arial"/>
          <w:sz w:val="20"/>
          <w:szCs w:val="20"/>
        </w:rPr>
        <w:t xml:space="preserve">. The Prothonotary initially refused the Age’s request on the basis that provision of the file would be a breach of its obligations under s 534 of the CYFA. The plaintiff’s solicitors informed the Prothonotary of her consent to the Age inspecting the file. </w:t>
      </w:r>
      <w:r>
        <w:rPr>
          <w:rFonts w:ascii="Arial" w:hAnsi="Arial" w:cs="Arial"/>
          <w:sz w:val="20"/>
          <w:szCs w:val="20"/>
        </w:rPr>
        <w:t xml:space="preserve"> </w:t>
      </w:r>
      <w:r w:rsidRPr="00593294">
        <w:rPr>
          <w:rFonts w:ascii="Arial" w:hAnsi="Arial" w:cs="Arial"/>
          <w:sz w:val="20"/>
          <w:szCs w:val="20"/>
        </w:rPr>
        <w:t xml:space="preserve">To the Age’s renewed requests, the Prothonotary maintained this refusal on the basis that provision of the file would be a breach of its obligations under s 166(2)(b) of the </w:t>
      </w:r>
      <w:r w:rsidRPr="00593294">
        <w:rPr>
          <w:rFonts w:ascii="Arial" w:hAnsi="Arial" w:cs="Arial"/>
          <w:i/>
          <w:iCs/>
          <w:sz w:val="20"/>
          <w:szCs w:val="20"/>
        </w:rPr>
        <w:t xml:space="preserve">Family Violence Protection Act 2008 </w:t>
      </w:r>
      <w:r w:rsidRPr="00253D11">
        <w:rPr>
          <w:rFonts w:ascii="Arial" w:hAnsi="Arial" w:cs="Arial"/>
          <w:sz w:val="20"/>
          <w:szCs w:val="20"/>
        </w:rPr>
        <w:t>(Vic)</w:t>
      </w:r>
      <w:r w:rsidRPr="00593294">
        <w:rPr>
          <w:rFonts w:ascii="Arial" w:hAnsi="Arial" w:cs="Arial"/>
          <w:sz w:val="20"/>
          <w:szCs w:val="20"/>
        </w:rPr>
        <w:t xml:space="preserve"> and s 121 of the </w:t>
      </w:r>
      <w:r w:rsidRPr="00593294">
        <w:rPr>
          <w:rFonts w:ascii="Arial" w:hAnsi="Arial" w:cs="Arial"/>
          <w:i/>
          <w:iCs/>
          <w:sz w:val="20"/>
          <w:szCs w:val="20"/>
        </w:rPr>
        <w:t xml:space="preserve">Family Law Act 1975 </w:t>
      </w:r>
      <w:r w:rsidRPr="00253D11">
        <w:rPr>
          <w:rFonts w:ascii="Arial" w:hAnsi="Arial" w:cs="Arial"/>
          <w:sz w:val="20"/>
          <w:szCs w:val="20"/>
        </w:rPr>
        <w:t>(</w:t>
      </w:r>
      <w:proofErr w:type="spellStart"/>
      <w:r w:rsidRPr="00253D11">
        <w:rPr>
          <w:rFonts w:ascii="Arial" w:hAnsi="Arial" w:cs="Arial"/>
          <w:sz w:val="20"/>
          <w:szCs w:val="20"/>
        </w:rPr>
        <w:t>Cth</w:t>
      </w:r>
      <w:proofErr w:type="spellEnd"/>
      <w:r w:rsidRPr="00253D11">
        <w:rPr>
          <w:rFonts w:ascii="Arial" w:hAnsi="Arial" w:cs="Arial"/>
          <w:sz w:val="20"/>
          <w:szCs w:val="20"/>
        </w:rPr>
        <w:t>)</w:t>
      </w:r>
      <w:r w:rsidRPr="00593294">
        <w:rPr>
          <w:rFonts w:ascii="Arial" w:hAnsi="Arial" w:cs="Arial"/>
          <w:sz w:val="20"/>
          <w:szCs w:val="20"/>
        </w:rPr>
        <w:t xml:space="preserve">. The pleadings also named Ms B who may be a witness to and/or a victim of family violence.  Ms B, who was also represented on the application by the plaintiff’s solicitor – also consented to the Age’s request. </w:t>
      </w:r>
      <w:r>
        <w:rPr>
          <w:rFonts w:ascii="Arial" w:hAnsi="Arial" w:cs="Arial"/>
          <w:sz w:val="20"/>
          <w:szCs w:val="20"/>
        </w:rPr>
        <w:t xml:space="preserve"> </w:t>
      </w:r>
      <w:r w:rsidRPr="00593294">
        <w:rPr>
          <w:rFonts w:ascii="Arial" w:hAnsi="Arial" w:cs="Arial"/>
          <w:sz w:val="20"/>
          <w:szCs w:val="20"/>
        </w:rPr>
        <w:t>John Dixon J ordered that The Age, by its authorised representatives, be permitted to inspect and copy the pleadings in these proceedings.</w:t>
      </w:r>
      <w:r w:rsidR="0084688B">
        <w:rPr>
          <w:rFonts w:ascii="Arial" w:hAnsi="Arial" w:cs="Arial"/>
          <w:sz w:val="20"/>
          <w:szCs w:val="20"/>
        </w:rPr>
        <w:t xml:space="preserve"> </w:t>
      </w:r>
      <w:r w:rsidRPr="00593294">
        <w:rPr>
          <w:rFonts w:ascii="Arial" w:hAnsi="Arial" w:cs="Arial"/>
          <w:sz w:val="20"/>
          <w:szCs w:val="20"/>
        </w:rPr>
        <w:t xml:space="preserve"> In particular at [18]-[21] his Honour said:</w:t>
      </w:r>
    </w:p>
    <w:p w14:paraId="1F49F4B1" w14:textId="77777777" w:rsidR="00593294" w:rsidRPr="00593294" w:rsidRDefault="00593294" w:rsidP="00593294">
      <w:pPr>
        <w:pStyle w:val="xmsonormal"/>
        <w:spacing w:before="60"/>
        <w:ind w:left="567" w:right="567"/>
        <w:jc w:val="both"/>
        <w:rPr>
          <w:rFonts w:ascii="Arial" w:hAnsi="Arial" w:cs="Arial"/>
          <w:sz w:val="20"/>
          <w:szCs w:val="20"/>
        </w:rPr>
      </w:pPr>
      <w:r w:rsidRPr="00593294">
        <w:rPr>
          <w:rFonts w:ascii="Arial" w:hAnsi="Arial" w:cs="Arial"/>
          <w:sz w:val="20"/>
          <w:szCs w:val="20"/>
        </w:rPr>
        <w:t xml:space="preserve">[18] “It is necessary to look more closely at the provisions of the Family Violence Protection Act, as the pleadings make reference to proceedings and orders made under that Act. Section 166(2) cannot reasonably be construed by the concept of ‘publish or cause to be published’ as applying to the exercise of the prima facie right to inspect a court file. </w:t>
      </w:r>
    </w:p>
    <w:p w14:paraId="01DB440C" w14:textId="7B962FD6" w:rsidR="00593294" w:rsidRPr="00593294" w:rsidRDefault="00593294" w:rsidP="00593294">
      <w:pPr>
        <w:pStyle w:val="xmsonormal"/>
        <w:spacing w:before="60"/>
        <w:ind w:left="567" w:right="567"/>
        <w:jc w:val="both"/>
        <w:rPr>
          <w:rFonts w:ascii="Arial" w:hAnsi="Arial" w:cs="Arial"/>
          <w:sz w:val="20"/>
          <w:szCs w:val="20"/>
        </w:rPr>
      </w:pPr>
      <w:r w:rsidRPr="00593294">
        <w:rPr>
          <w:rFonts w:ascii="Arial" w:hAnsi="Arial" w:cs="Arial"/>
          <w:sz w:val="20"/>
          <w:szCs w:val="20"/>
        </w:rPr>
        <w:t>[19] As the Age submitted, there are two reasons why permitting inspection of the court file in this proceeding does not infringe the Family Violence Protection Act. First, the proceeding is not a proceeding under the Act. Secondly, the inspection and copying of a pleading is neither a ‘publication’ nor a ‘report of the proceeding’ or a ‘report about the order’ for the purposes of the Act. The Act defines ‘publish’ by s 4 in these terms: publish means disseminate or provide access to the public or a section of the public by any means, including by—</w:t>
      </w:r>
    </w:p>
    <w:p w14:paraId="53CE23A6" w14:textId="77777777" w:rsidR="00593294" w:rsidRPr="00593294" w:rsidRDefault="00593294" w:rsidP="00593294">
      <w:pPr>
        <w:pStyle w:val="xmsonormal"/>
        <w:ind w:left="567" w:right="567"/>
        <w:jc w:val="both"/>
        <w:rPr>
          <w:rFonts w:ascii="Arial" w:hAnsi="Arial" w:cs="Arial"/>
          <w:sz w:val="20"/>
          <w:szCs w:val="20"/>
        </w:rPr>
      </w:pPr>
      <w:r w:rsidRPr="00593294">
        <w:rPr>
          <w:rFonts w:ascii="Arial" w:hAnsi="Arial" w:cs="Arial"/>
          <w:sz w:val="20"/>
          <w:szCs w:val="20"/>
        </w:rPr>
        <w:t>(a) publication in a book, newspaper, magazine, or other written publication; or</w:t>
      </w:r>
    </w:p>
    <w:p w14:paraId="263A865A" w14:textId="77777777" w:rsidR="00593294" w:rsidRPr="00593294" w:rsidRDefault="00593294" w:rsidP="00593294">
      <w:pPr>
        <w:pStyle w:val="xmsonormal"/>
        <w:ind w:left="567" w:right="567"/>
        <w:jc w:val="both"/>
        <w:rPr>
          <w:rFonts w:ascii="Arial" w:hAnsi="Arial" w:cs="Arial"/>
          <w:sz w:val="20"/>
          <w:szCs w:val="20"/>
        </w:rPr>
      </w:pPr>
      <w:r w:rsidRPr="00593294">
        <w:rPr>
          <w:rFonts w:ascii="Arial" w:hAnsi="Arial" w:cs="Arial"/>
          <w:sz w:val="20"/>
          <w:szCs w:val="20"/>
        </w:rPr>
        <w:t>(b) broadcast by radio or television; or</w:t>
      </w:r>
    </w:p>
    <w:p w14:paraId="2E40FC85" w14:textId="77777777" w:rsidR="00593294" w:rsidRPr="00593294" w:rsidRDefault="00593294" w:rsidP="00593294">
      <w:pPr>
        <w:pStyle w:val="xmsonormal"/>
        <w:ind w:left="567" w:right="567"/>
        <w:jc w:val="both"/>
        <w:rPr>
          <w:rFonts w:ascii="Arial" w:hAnsi="Arial" w:cs="Arial"/>
          <w:sz w:val="20"/>
          <w:szCs w:val="20"/>
        </w:rPr>
      </w:pPr>
      <w:r w:rsidRPr="00593294">
        <w:rPr>
          <w:rFonts w:ascii="Arial" w:hAnsi="Arial" w:cs="Arial"/>
          <w:sz w:val="20"/>
          <w:szCs w:val="20"/>
        </w:rPr>
        <w:t>(c) public exhibition; or</w:t>
      </w:r>
    </w:p>
    <w:p w14:paraId="0E243B48" w14:textId="77777777" w:rsidR="00593294" w:rsidRPr="00593294" w:rsidRDefault="00593294" w:rsidP="00593294">
      <w:pPr>
        <w:pStyle w:val="xmsonormal"/>
        <w:ind w:left="567" w:right="567"/>
        <w:jc w:val="both"/>
        <w:rPr>
          <w:rFonts w:ascii="Arial" w:hAnsi="Arial" w:cs="Arial"/>
          <w:sz w:val="20"/>
          <w:szCs w:val="20"/>
        </w:rPr>
      </w:pPr>
      <w:r w:rsidRPr="00593294">
        <w:rPr>
          <w:rFonts w:ascii="Arial" w:hAnsi="Arial" w:cs="Arial"/>
          <w:sz w:val="20"/>
          <w:szCs w:val="20"/>
        </w:rPr>
        <w:t xml:space="preserve">(d) broadcast or electronic communication— </w:t>
      </w:r>
    </w:p>
    <w:p w14:paraId="1F02FF24" w14:textId="7BC257EF" w:rsidR="00593294" w:rsidRPr="00593294" w:rsidRDefault="00593294" w:rsidP="00593294">
      <w:pPr>
        <w:pStyle w:val="xmsonormal"/>
        <w:ind w:left="567" w:right="567"/>
        <w:jc w:val="both"/>
        <w:rPr>
          <w:rFonts w:ascii="Arial" w:hAnsi="Arial" w:cs="Arial"/>
          <w:sz w:val="20"/>
          <w:szCs w:val="20"/>
        </w:rPr>
      </w:pPr>
      <w:r w:rsidRPr="00593294">
        <w:rPr>
          <w:rFonts w:ascii="Arial" w:hAnsi="Arial" w:cs="Arial"/>
          <w:sz w:val="20"/>
          <w:szCs w:val="20"/>
        </w:rPr>
        <w:t>and publication must be construed accordingly</w:t>
      </w:r>
      <w:r w:rsidR="00253D11">
        <w:rPr>
          <w:rFonts w:ascii="Arial" w:hAnsi="Arial" w:cs="Arial"/>
          <w:sz w:val="20"/>
          <w:szCs w:val="20"/>
        </w:rPr>
        <w:t>;</w:t>
      </w:r>
    </w:p>
    <w:p w14:paraId="74A21D0F" w14:textId="77777777" w:rsidR="00593294" w:rsidRPr="00593294" w:rsidRDefault="00593294" w:rsidP="00593294">
      <w:pPr>
        <w:pStyle w:val="xmsonormal"/>
        <w:spacing w:before="60"/>
        <w:ind w:left="567" w:right="567"/>
        <w:jc w:val="both"/>
        <w:rPr>
          <w:rFonts w:ascii="Arial" w:hAnsi="Arial" w:cs="Arial"/>
          <w:sz w:val="20"/>
          <w:szCs w:val="20"/>
        </w:rPr>
      </w:pPr>
      <w:r w:rsidRPr="00593294">
        <w:rPr>
          <w:rFonts w:ascii="Arial" w:hAnsi="Arial" w:cs="Arial"/>
          <w:sz w:val="20"/>
          <w:szCs w:val="20"/>
        </w:rPr>
        <w:t>[20] The notion of providing access to a person (the non-party searcher) cannot be conflated with the concept of providing access to the public or a section of the public. What the non-party searcher of the court file does with information gained from the inspection is not governed by the rule. Parliament did not intend to define ‘publish’ in a manner that restricted access defined information from a court file to any person because the text and context of the Act, particularly the notion of providing ‘access to the public’ cannot apply to dissemination of information to individuals as occurs when a court file is searched. The notion of access to the public is different from the notion of access to an individual. Subsequent dissemination of information gained from a court file to the public (which may be publishing) is not a matter governed by the rule or raised for consideration in this application.</w:t>
      </w:r>
    </w:p>
    <w:p w14:paraId="195C792D" w14:textId="77777777" w:rsidR="00593294" w:rsidRPr="00593294" w:rsidRDefault="00593294" w:rsidP="00593294">
      <w:pPr>
        <w:pStyle w:val="xmsonormal"/>
        <w:spacing w:before="60"/>
        <w:ind w:left="567" w:right="567"/>
        <w:jc w:val="both"/>
        <w:rPr>
          <w:rFonts w:ascii="Arial" w:hAnsi="Arial" w:cs="Arial"/>
          <w:sz w:val="20"/>
          <w:szCs w:val="20"/>
        </w:rPr>
      </w:pPr>
      <w:r w:rsidRPr="00593294">
        <w:rPr>
          <w:rFonts w:ascii="Arial" w:hAnsi="Arial" w:cs="Arial"/>
          <w:sz w:val="20"/>
          <w:szCs w:val="20"/>
        </w:rPr>
        <w:lastRenderedPageBreak/>
        <w:t xml:space="preserve">[21] Parliament having chosen to use ordinary words of broad import means they should not be given an unduly narrow or technical meaning as would result if the words ‘the public or section of the public’ were read as ‘a person’: see </w:t>
      </w:r>
      <w:r w:rsidRPr="00593294">
        <w:rPr>
          <w:rFonts w:ascii="Arial" w:hAnsi="Arial" w:cs="Arial"/>
          <w:i/>
          <w:iCs/>
          <w:sz w:val="20"/>
          <w:szCs w:val="20"/>
        </w:rPr>
        <w:t>Cooper Brookes (Wollongong) Pty Ltd v Federal Commissioner of Taxation</w:t>
      </w:r>
      <w:r w:rsidRPr="00593294">
        <w:rPr>
          <w:rFonts w:ascii="Arial" w:hAnsi="Arial" w:cs="Arial"/>
          <w:sz w:val="20"/>
          <w:szCs w:val="20"/>
        </w:rPr>
        <w:t xml:space="preserve"> (1981) 147 CLR 297, 305, 320- 1; </w:t>
      </w:r>
      <w:r w:rsidRPr="00593294">
        <w:rPr>
          <w:rFonts w:ascii="Arial" w:hAnsi="Arial" w:cs="Arial"/>
          <w:i/>
          <w:iCs/>
          <w:sz w:val="20"/>
          <w:szCs w:val="20"/>
        </w:rPr>
        <w:t>Mills v Meeking</w:t>
      </w:r>
      <w:r w:rsidRPr="00593294">
        <w:rPr>
          <w:rFonts w:ascii="Arial" w:hAnsi="Arial" w:cs="Arial"/>
          <w:sz w:val="20"/>
          <w:szCs w:val="20"/>
        </w:rPr>
        <w:t xml:space="preserve"> (1990) 169 CLR 214, 233; </w:t>
      </w:r>
      <w:r w:rsidRPr="00593294">
        <w:rPr>
          <w:rFonts w:ascii="Arial" w:hAnsi="Arial" w:cs="Arial"/>
          <w:i/>
          <w:iCs/>
          <w:sz w:val="20"/>
          <w:szCs w:val="20"/>
        </w:rPr>
        <w:t>Collector of Customs v Agfa-Gevaert Ltd</w:t>
      </w:r>
      <w:r w:rsidRPr="00593294">
        <w:rPr>
          <w:rFonts w:ascii="Arial" w:hAnsi="Arial" w:cs="Arial"/>
          <w:sz w:val="20"/>
          <w:szCs w:val="20"/>
        </w:rPr>
        <w:t xml:space="preserve"> (1996) 186 CLR 389, 398.”</w:t>
      </w:r>
    </w:p>
    <w:p w14:paraId="281F1D7C" w14:textId="4EA21219" w:rsidR="00593294" w:rsidRDefault="00593294" w:rsidP="001E79F7">
      <w:pPr>
        <w:jc w:val="both"/>
        <w:rPr>
          <w:rFonts w:ascii="Arial" w:hAnsi="Arial" w:cs="Arial"/>
          <w:sz w:val="20"/>
        </w:rPr>
      </w:pPr>
    </w:p>
    <w:p w14:paraId="0319EC51" w14:textId="2C9B7837" w:rsidR="002C7D74" w:rsidRDefault="00F36632" w:rsidP="001E79F7">
      <w:pPr>
        <w:jc w:val="both"/>
        <w:rPr>
          <w:rFonts w:ascii="Arial" w:hAnsi="Arial" w:cs="Arial"/>
          <w:sz w:val="20"/>
          <w:szCs w:val="20"/>
        </w:rPr>
      </w:pPr>
      <w:r>
        <w:rPr>
          <w:rFonts w:ascii="Arial" w:hAnsi="Arial" w:cs="Arial"/>
          <w:sz w:val="20"/>
        </w:rPr>
        <w:t xml:space="preserve">In </w:t>
      </w:r>
      <w:r w:rsidRPr="009521F6">
        <w:rPr>
          <w:rFonts w:ascii="Arial" w:hAnsi="Arial" w:cs="Arial"/>
          <w:i/>
          <w:iCs/>
          <w:sz w:val="20"/>
          <w:szCs w:val="20"/>
        </w:rPr>
        <w:t>Legal Services Commissioner v JXL</w:t>
      </w:r>
      <w:r>
        <w:rPr>
          <w:rFonts w:ascii="Arial" w:hAnsi="Arial" w:cs="Arial"/>
          <w:sz w:val="20"/>
          <w:szCs w:val="20"/>
        </w:rPr>
        <w:t xml:space="preserve"> [2023] QS</w:t>
      </w:r>
      <w:r w:rsidR="00E56D87">
        <w:rPr>
          <w:rFonts w:ascii="Arial" w:hAnsi="Arial" w:cs="Arial"/>
          <w:sz w:val="20"/>
          <w:szCs w:val="20"/>
        </w:rPr>
        <w:t>C</w:t>
      </w:r>
      <w:r>
        <w:rPr>
          <w:rFonts w:ascii="Arial" w:hAnsi="Arial" w:cs="Arial"/>
          <w:sz w:val="20"/>
          <w:szCs w:val="20"/>
        </w:rPr>
        <w:t xml:space="preserve"> 283 the respondent had been </w:t>
      </w:r>
      <w:r w:rsidR="002C7D74">
        <w:rPr>
          <w:rFonts w:ascii="Arial" w:hAnsi="Arial" w:cs="Arial"/>
          <w:sz w:val="20"/>
          <w:szCs w:val="20"/>
        </w:rPr>
        <w:t>found guilty</w:t>
      </w:r>
      <w:r>
        <w:rPr>
          <w:rFonts w:ascii="Arial" w:hAnsi="Arial" w:cs="Arial"/>
          <w:sz w:val="20"/>
          <w:szCs w:val="20"/>
        </w:rPr>
        <w:t xml:space="preserve"> of criminal offences in the Children’s Court of Victoria </w:t>
      </w:r>
      <w:r w:rsidR="002C7D74">
        <w:rPr>
          <w:rFonts w:ascii="Arial" w:hAnsi="Arial" w:cs="Arial"/>
          <w:sz w:val="20"/>
          <w:szCs w:val="20"/>
        </w:rPr>
        <w:t xml:space="preserve">but no convictions had been recorded.  The respondent </w:t>
      </w:r>
      <w:r>
        <w:rPr>
          <w:rFonts w:ascii="Arial" w:hAnsi="Arial" w:cs="Arial"/>
          <w:sz w:val="20"/>
          <w:szCs w:val="20"/>
        </w:rPr>
        <w:t xml:space="preserve">had not disclosed those </w:t>
      </w:r>
      <w:r w:rsidR="002C7D74">
        <w:rPr>
          <w:rFonts w:ascii="Arial" w:hAnsi="Arial" w:cs="Arial"/>
          <w:sz w:val="20"/>
          <w:szCs w:val="20"/>
        </w:rPr>
        <w:t>finding</w:t>
      </w:r>
      <w:r>
        <w:rPr>
          <w:rFonts w:ascii="Arial" w:hAnsi="Arial" w:cs="Arial"/>
          <w:sz w:val="20"/>
          <w:szCs w:val="20"/>
        </w:rPr>
        <w:t xml:space="preserve">s </w:t>
      </w:r>
      <w:r w:rsidR="002C7D74">
        <w:rPr>
          <w:rFonts w:ascii="Arial" w:hAnsi="Arial" w:cs="Arial"/>
          <w:sz w:val="20"/>
          <w:szCs w:val="20"/>
        </w:rPr>
        <w:t xml:space="preserve">when commencing work as a lay associate at a Queensland law practice and when subsequently applying for admission as a legal practitioner.  The Queensland Legal Services Commissioner had subsequently commenced proceedings against the respondent in the Queensland Supreme Court seeking injunctive and declaratory relief.  In support of her case the Commissioner had filed affidavits which provided information and exhibited material confirming the fact of the respondent’s spent child convictions.  The affidavits were subsequently read in closed court.  In holding that the filing and reading of the affidavits did not constitute ‘publication’ within the meaning of s.3 of the </w:t>
      </w:r>
      <w:r w:rsidR="002C7D74" w:rsidRPr="002C7D74">
        <w:rPr>
          <w:rFonts w:ascii="Arial" w:hAnsi="Arial" w:cs="Arial"/>
          <w:i/>
          <w:iCs/>
          <w:sz w:val="20"/>
          <w:szCs w:val="20"/>
        </w:rPr>
        <w:t>Open Courts Act 2013</w:t>
      </w:r>
      <w:r w:rsidR="002C7D74">
        <w:rPr>
          <w:rFonts w:ascii="Arial" w:hAnsi="Arial" w:cs="Arial"/>
          <w:sz w:val="20"/>
          <w:szCs w:val="20"/>
        </w:rPr>
        <w:t xml:space="preserve"> (Vic) and s.534 CYFA and in refusing the Commissioner’s </w:t>
      </w:r>
      <w:r w:rsidR="00613165">
        <w:rPr>
          <w:rFonts w:ascii="Arial" w:hAnsi="Arial" w:cs="Arial"/>
          <w:sz w:val="20"/>
          <w:szCs w:val="20"/>
        </w:rPr>
        <w:t xml:space="preserve">interlocutory </w:t>
      </w:r>
      <w:r w:rsidR="002C7D74">
        <w:rPr>
          <w:rFonts w:ascii="Arial" w:hAnsi="Arial" w:cs="Arial"/>
          <w:sz w:val="20"/>
          <w:szCs w:val="20"/>
        </w:rPr>
        <w:t>applications for–</w:t>
      </w:r>
    </w:p>
    <w:p w14:paraId="4A5010ED" w14:textId="1A35150A" w:rsidR="002C7D74" w:rsidRDefault="002C7D74">
      <w:pPr>
        <w:pStyle w:val="ListParagraph"/>
        <w:numPr>
          <w:ilvl w:val="0"/>
          <w:numId w:val="47"/>
        </w:numPr>
        <w:ind w:left="357" w:hanging="357"/>
        <w:jc w:val="both"/>
        <w:rPr>
          <w:rFonts w:ascii="Arial" w:hAnsi="Arial" w:cs="Arial"/>
          <w:sz w:val="20"/>
        </w:rPr>
      </w:pPr>
      <w:r>
        <w:rPr>
          <w:rFonts w:ascii="Arial" w:hAnsi="Arial" w:cs="Arial"/>
          <w:sz w:val="20"/>
        </w:rPr>
        <w:t>pseudonym orders in respect of the names of the persons who had sworn affidavits for the Commissioner in the proceedings; and</w:t>
      </w:r>
    </w:p>
    <w:p w14:paraId="0174EA71" w14:textId="450CAB29" w:rsidR="002C7D74" w:rsidRPr="002C7D74" w:rsidRDefault="002C7D74">
      <w:pPr>
        <w:pStyle w:val="ListParagraph"/>
        <w:numPr>
          <w:ilvl w:val="0"/>
          <w:numId w:val="47"/>
        </w:numPr>
        <w:ind w:left="357" w:hanging="357"/>
        <w:jc w:val="both"/>
        <w:rPr>
          <w:rFonts w:ascii="Arial" w:hAnsi="Arial" w:cs="Arial"/>
          <w:sz w:val="20"/>
        </w:rPr>
      </w:pPr>
      <w:r>
        <w:rPr>
          <w:rFonts w:ascii="Arial" w:hAnsi="Arial" w:cs="Arial"/>
          <w:sz w:val="20"/>
        </w:rPr>
        <w:t>an order that the Commissioner’s substantive application be heard in closed court–</w:t>
      </w:r>
    </w:p>
    <w:p w14:paraId="107C07FF" w14:textId="63ACD325" w:rsidR="002C7D74" w:rsidRDefault="002C7D74" w:rsidP="001E79F7">
      <w:pPr>
        <w:jc w:val="both"/>
        <w:rPr>
          <w:rFonts w:ascii="Arial" w:hAnsi="Arial" w:cs="Arial"/>
          <w:sz w:val="20"/>
          <w:szCs w:val="20"/>
        </w:rPr>
      </w:pPr>
      <w:r>
        <w:rPr>
          <w:rFonts w:ascii="Arial" w:hAnsi="Arial" w:cs="Arial"/>
          <w:sz w:val="20"/>
          <w:szCs w:val="20"/>
        </w:rPr>
        <w:t>Crowley J said at [</w:t>
      </w:r>
      <w:r w:rsidR="006007BB">
        <w:rPr>
          <w:rFonts w:ascii="Arial" w:hAnsi="Arial" w:cs="Arial"/>
          <w:sz w:val="20"/>
          <w:szCs w:val="20"/>
        </w:rPr>
        <w:t>27</w:t>
      </w:r>
      <w:r>
        <w:rPr>
          <w:rFonts w:ascii="Arial" w:hAnsi="Arial" w:cs="Arial"/>
          <w:sz w:val="20"/>
          <w:szCs w:val="20"/>
        </w:rPr>
        <w:t>]-[</w:t>
      </w:r>
      <w:r w:rsidR="006007BB">
        <w:rPr>
          <w:rFonts w:ascii="Arial" w:hAnsi="Arial" w:cs="Arial"/>
          <w:sz w:val="20"/>
          <w:szCs w:val="20"/>
        </w:rPr>
        <w:t>39</w:t>
      </w:r>
      <w:r>
        <w:rPr>
          <w:rFonts w:ascii="Arial" w:hAnsi="Arial" w:cs="Arial"/>
          <w:sz w:val="20"/>
          <w:szCs w:val="20"/>
        </w:rPr>
        <w:t>]:</w:t>
      </w:r>
    </w:p>
    <w:p w14:paraId="51B34562" w14:textId="324A47FD" w:rsidR="002C7D74" w:rsidRPr="00593294" w:rsidRDefault="006007BB" w:rsidP="006007BB">
      <w:pPr>
        <w:pStyle w:val="xmsonormal"/>
        <w:spacing w:before="60"/>
        <w:ind w:left="567" w:right="567"/>
        <w:jc w:val="both"/>
        <w:rPr>
          <w:rFonts w:ascii="Arial" w:hAnsi="Arial" w:cs="Arial"/>
          <w:sz w:val="20"/>
          <w:szCs w:val="20"/>
        </w:rPr>
      </w:pPr>
      <w:r>
        <w:rPr>
          <w:rFonts w:ascii="Arial" w:hAnsi="Arial" w:cs="Arial"/>
          <w:sz w:val="20"/>
          <w:szCs w:val="20"/>
        </w:rPr>
        <w:t xml:space="preserve">[27] </w:t>
      </w:r>
      <w:r w:rsidR="002C7D74">
        <w:rPr>
          <w:rFonts w:ascii="Arial" w:hAnsi="Arial" w:cs="Arial"/>
          <w:sz w:val="20"/>
          <w:szCs w:val="20"/>
        </w:rPr>
        <w:t>“</w:t>
      </w:r>
      <w:r w:rsidRPr="006007BB">
        <w:rPr>
          <w:rFonts w:ascii="Arial" w:hAnsi="Arial" w:cs="Arial"/>
          <w:color w:val="333333"/>
          <w:sz w:val="20"/>
          <w:szCs w:val="20"/>
        </w:rPr>
        <w:t>JXL’s argument is that once the evidence of his spent child convictions is adduced by the formal reading of the Commissioner’s affidavits, that will amount to a publication of relevant identifying information or material in breach of the restrictions imposed by s 534(1). He says publication involves dissemination of information to another person and that this concept is not confined to the idea of dissemination to the world at large; rather, publication can be to a single person. On his argument therefore:</w:t>
      </w:r>
    </w:p>
    <w:p w14:paraId="474C6313" w14:textId="13C790D0" w:rsidR="006007BB" w:rsidRPr="006007BB" w:rsidRDefault="006007BB" w:rsidP="006007BB">
      <w:pPr>
        <w:pStyle w:val="NormalWeb"/>
        <w:shd w:val="clear" w:color="auto" w:fill="FFFFFF"/>
        <w:spacing w:before="60" w:beforeAutospacing="0" w:after="0" w:afterAutospacing="0"/>
        <w:ind w:left="567" w:right="567"/>
        <w:jc w:val="both"/>
        <w:rPr>
          <w:rFonts w:ascii="Arial" w:hAnsi="Arial" w:cs="Arial"/>
          <w:color w:val="333333"/>
          <w:sz w:val="20"/>
          <w:szCs w:val="20"/>
        </w:rPr>
      </w:pPr>
      <w:r w:rsidRPr="006007BB">
        <w:rPr>
          <w:rFonts w:ascii="Arial" w:hAnsi="Arial" w:cs="Arial"/>
          <w:color w:val="333333"/>
          <w:sz w:val="20"/>
          <w:szCs w:val="20"/>
        </w:rPr>
        <w:t>(a)</w:t>
      </w:r>
      <w:r>
        <w:rPr>
          <w:rFonts w:ascii="Arial" w:hAnsi="Arial" w:cs="Arial"/>
          <w:color w:val="333333"/>
          <w:sz w:val="20"/>
          <w:szCs w:val="20"/>
        </w:rPr>
        <w:t xml:space="preserve"> </w:t>
      </w:r>
      <w:r w:rsidRPr="006007BB">
        <w:rPr>
          <w:rFonts w:ascii="Arial" w:hAnsi="Arial" w:cs="Arial"/>
          <w:color w:val="333333"/>
          <w:sz w:val="20"/>
          <w:szCs w:val="20"/>
        </w:rPr>
        <w:t>prohibited publication has already occurred, when the Commissioner read the affidavits she relies upon for the purposes of these interlocutory applications; and</w:t>
      </w:r>
    </w:p>
    <w:p w14:paraId="5881BA4D" w14:textId="77777777" w:rsidR="006007BB" w:rsidRPr="006007BB" w:rsidRDefault="006007BB" w:rsidP="006007BB">
      <w:pPr>
        <w:pStyle w:val="NormalWeb"/>
        <w:shd w:val="clear" w:color="auto" w:fill="FFFFFF"/>
        <w:spacing w:before="60" w:beforeAutospacing="0" w:after="0" w:afterAutospacing="0"/>
        <w:ind w:left="567" w:right="567"/>
        <w:jc w:val="both"/>
        <w:rPr>
          <w:rFonts w:ascii="Arial" w:hAnsi="Arial" w:cs="Arial"/>
          <w:color w:val="333333"/>
          <w:sz w:val="20"/>
          <w:szCs w:val="20"/>
        </w:rPr>
      </w:pPr>
      <w:r w:rsidRPr="006007BB">
        <w:rPr>
          <w:rFonts w:ascii="Arial" w:hAnsi="Arial" w:cs="Arial"/>
          <w:color w:val="333333"/>
          <w:sz w:val="20"/>
          <w:szCs w:val="20"/>
        </w:rPr>
        <w:t>(b) prohibited publication will also occur in the future, if the Commissioner reads any affidavits containing similar information or exhibiting similar material for the purposes of the hearing of the Commissioner’s substantive application; and</w:t>
      </w:r>
    </w:p>
    <w:p w14:paraId="03D4F31E" w14:textId="563236C8" w:rsidR="006007BB" w:rsidRDefault="006007BB" w:rsidP="006007BB">
      <w:pPr>
        <w:pStyle w:val="NormalWeb"/>
        <w:shd w:val="clear" w:color="auto" w:fill="FFFFFF"/>
        <w:spacing w:before="60" w:beforeAutospacing="0" w:after="0" w:afterAutospacing="0"/>
        <w:ind w:left="567" w:right="567"/>
        <w:jc w:val="both"/>
        <w:rPr>
          <w:rFonts w:ascii="Arial" w:hAnsi="Arial" w:cs="Arial"/>
          <w:color w:val="333333"/>
          <w:sz w:val="20"/>
          <w:szCs w:val="20"/>
        </w:rPr>
      </w:pPr>
      <w:r w:rsidRPr="006007BB">
        <w:rPr>
          <w:rFonts w:ascii="Arial" w:hAnsi="Arial" w:cs="Arial"/>
          <w:color w:val="333333"/>
          <w:sz w:val="20"/>
          <w:szCs w:val="20"/>
        </w:rPr>
        <w:t>(c) prohibited publication has perhaps already occurred, and will further occur, upon the Commissioner filing with the Court any affidavits that contain information or material concerning his spent child convictions.</w:t>
      </w:r>
    </w:p>
    <w:p w14:paraId="7EC43261" w14:textId="2A4EE772" w:rsidR="006007BB" w:rsidRPr="00593294" w:rsidRDefault="006007BB" w:rsidP="006007BB">
      <w:pPr>
        <w:pStyle w:val="xmsonormal"/>
        <w:spacing w:before="60"/>
        <w:ind w:left="567" w:right="567"/>
        <w:jc w:val="both"/>
        <w:rPr>
          <w:rFonts w:ascii="Arial" w:hAnsi="Arial" w:cs="Arial"/>
          <w:sz w:val="20"/>
          <w:szCs w:val="20"/>
        </w:rPr>
      </w:pPr>
      <w:r>
        <w:rPr>
          <w:rFonts w:ascii="Arial" w:hAnsi="Arial" w:cs="Arial"/>
          <w:color w:val="333333"/>
          <w:sz w:val="20"/>
          <w:szCs w:val="20"/>
        </w:rPr>
        <w:t xml:space="preserve">[28] </w:t>
      </w:r>
      <w:r w:rsidRPr="006007BB">
        <w:rPr>
          <w:rFonts w:ascii="Arial" w:hAnsi="Arial" w:cs="Arial"/>
          <w:color w:val="333333"/>
          <w:sz w:val="20"/>
          <w:szCs w:val="20"/>
        </w:rPr>
        <w:t>I reject those arguments.</w:t>
      </w:r>
    </w:p>
    <w:p w14:paraId="5F6C6F85" w14:textId="6DD95ACB" w:rsidR="006007BB" w:rsidRDefault="006007BB" w:rsidP="006007BB">
      <w:pPr>
        <w:pStyle w:val="NormalWeb"/>
        <w:shd w:val="clear" w:color="auto" w:fill="FFFFFF"/>
        <w:spacing w:before="60" w:beforeAutospacing="0" w:after="0" w:afterAutospacing="0"/>
        <w:ind w:left="567" w:right="567"/>
        <w:jc w:val="both"/>
        <w:rPr>
          <w:rFonts w:ascii="Arial" w:hAnsi="Arial" w:cs="Arial"/>
          <w:color w:val="333333"/>
          <w:sz w:val="20"/>
          <w:szCs w:val="20"/>
        </w:rPr>
      </w:pPr>
      <w:r>
        <w:rPr>
          <w:rFonts w:ascii="Arial" w:hAnsi="Arial" w:cs="Arial"/>
          <w:color w:val="333333"/>
          <w:sz w:val="20"/>
          <w:szCs w:val="20"/>
        </w:rPr>
        <w:t xml:space="preserve">[29] </w:t>
      </w:r>
      <w:r w:rsidRPr="006007BB">
        <w:rPr>
          <w:rFonts w:ascii="Arial" w:hAnsi="Arial" w:cs="Arial"/>
          <w:color w:val="333333"/>
          <w:sz w:val="20"/>
          <w:szCs w:val="20"/>
        </w:rPr>
        <w:t>In my opinion, upon the proper construction of s 534 of the </w:t>
      </w:r>
      <w:r w:rsidRPr="006007BB">
        <w:rPr>
          <w:rFonts w:ascii="Arial" w:hAnsi="Arial" w:cs="Arial"/>
          <w:i/>
          <w:iCs/>
          <w:color w:val="333333"/>
          <w:sz w:val="20"/>
          <w:szCs w:val="20"/>
        </w:rPr>
        <w:t>CYFA</w:t>
      </w:r>
      <w:r w:rsidRPr="006007BB">
        <w:rPr>
          <w:rFonts w:ascii="Arial" w:hAnsi="Arial" w:cs="Arial"/>
          <w:color w:val="333333"/>
          <w:sz w:val="20"/>
          <w:szCs w:val="20"/>
        </w:rPr>
        <w:t>, neither of the above acts would constitute an offence by breaching any of the specified restrictions on publication. I consider JXL’s arguments misconstrue the breadth of the statutory prohibition on publication created by s 534 of the </w:t>
      </w:r>
      <w:r w:rsidRPr="006007BB">
        <w:rPr>
          <w:rFonts w:ascii="Arial" w:hAnsi="Arial" w:cs="Arial"/>
          <w:i/>
          <w:iCs/>
          <w:color w:val="333333"/>
          <w:sz w:val="20"/>
          <w:szCs w:val="20"/>
        </w:rPr>
        <w:t>CYFA </w:t>
      </w:r>
      <w:r w:rsidRPr="006007BB">
        <w:rPr>
          <w:rFonts w:ascii="Arial" w:hAnsi="Arial" w:cs="Arial"/>
          <w:color w:val="333333"/>
          <w:sz w:val="20"/>
          <w:szCs w:val="20"/>
        </w:rPr>
        <w:t>and wrongly equate steps taken to adduce evidence in this proceeding as acts of publication.</w:t>
      </w:r>
    </w:p>
    <w:p w14:paraId="467D0466" w14:textId="357A6C9F" w:rsidR="006007BB" w:rsidRDefault="006007BB" w:rsidP="006007BB">
      <w:pPr>
        <w:pStyle w:val="NormalWeb"/>
        <w:shd w:val="clear" w:color="auto" w:fill="FFFFFF"/>
        <w:spacing w:before="60" w:beforeAutospacing="0" w:after="0" w:afterAutospacing="0"/>
        <w:ind w:left="567" w:right="567"/>
        <w:jc w:val="both"/>
        <w:rPr>
          <w:rFonts w:ascii="Arial" w:hAnsi="Arial" w:cs="Arial"/>
          <w:color w:val="333333"/>
          <w:sz w:val="20"/>
          <w:szCs w:val="20"/>
        </w:rPr>
      </w:pPr>
      <w:r>
        <w:rPr>
          <w:rFonts w:ascii="Arial" w:hAnsi="Arial" w:cs="Arial"/>
          <w:color w:val="333333"/>
          <w:sz w:val="20"/>
          <w:szCs w:val="20"/>
        </w:rPr>
        <w:t xml:space="preserve">[30] </w:t>
      </w:r>
      <w:r w:rsidRPr="006007BB">
        <w:rPr>
          <w:rFonts w:ascii="Arial" w:hAnsi="Arial" w:cs="Arial"/>
          <w:color w:val="333333"/>
          <w:sz w:val="20"/>
          <w:szCs w:val="20"/>
        </w:rPr>
        <w:t>The proper construction of s 534 is of course to be determined having regard to the text of the legislation, the context of the provision and the purposes of the </w:t>
      </w:r>
      <w:r w:rsidRPr="006007BB">
        <w:rPr>
          <w:rFonts w:ascii="Arial" w:hAnsi="Arial" w:cs="Arial"/>
          <w:i/>
          <w:iCs/>
          <w:color w:val="333333"/>
          <w:sz w:val="20"/>
          <w:szCs w:val="20"/>
        </w:rPr>
        <w:t>CYFA</w:t>
      </w:r>
      <w:r w:rsidR="00613165">
        <w:rPr>
          <w:rFonts w:ascii="Arial" w:hAnsi="Arial" w:cs="Arial"/>
          <w:i/>
          <w:iCs/>
          <w:color w:val="333333"/>
          <w:sz w:val="20"/>
          <w:szCs w:val="20"/>
        </w:rPr>
        <w:t xml:space="preserve">: </w:t>
      </w:r>
      <w:r w:rsidR="00613165" w:rsidRPr="006007BB">
        <w:rPr>
          <w:rFonts w:ascii="Arial" w:hAnsi="Arial" w:cs="Arial"/>
          <w:i/>
          <w:iCs/>
          <w:color w:val="333333"/>
          <w:sz w:val="20"/>
          <w:szCs w:val="20"/>
        </w:rPr>
        <w:t>Alcan (NT) Alumina Pty Ltd v Commissioner of Territory Revenue</w:t>
      </w:r>
      <w:r w:rsidR="00613165" w:rsidRPr="00613165">
        <w:rPr>
          <w:rFonts w:ascii="Arial" w:hAnsi="Arial" w:cs="Arial"/>
          <w:color w:val="333333"/>
          <w:sz w:val="20"/>
          <w:szCs w:val="20"/>
        </w:rPr>
        <w:t xml:space="preserve"> [2009] HCA 41; (2009) 239 CLR 27</w:t>
      </w:r>
      <w:r w:rsidR="00613165" w:rsidRPr="006007BB">
        <w:rPr>
          <w:rFonts w:ascii="Arial" w:hAnsi="Arial" w:cs="Arial"/>
          <w:color w:val="333333"/>
          <w:sz w:val="20"/>
          <w:szCs w:val="20"/>
        </w:rPr>
        <w:t>, 46–</w:t>
      </w:r>
      <w:r w:rsidR="00613165">
        <w:rPr>
          <w:rFonts w:ascii="Arial" w:hAnsi="Arial" w:cs="Arial"/>
          <w:color w:val="333333"/>
          <w:sz w:val="20"/>
          <w:szCs w:val="20"/>
        </w:rPr>
        <w:t>4</w:t>
      </w:r>
      <w:r w:rsidR="00613165" w:rsidRPr="006007BB">
        <w:rPr>
          <w:rFonts w:ascii="Arial" w:hAnsi="Arial" w:cs="Arial"/>
          <w:color w:val="333333"/>
          <w:sz w:val="20"/>
          <w:szCs w:val="20"/>
        </w:rPr>
        <w:t>7</w:t>
      </w:r>
      <w:r w:rsidRPr="006007BB">
        <w:rPr>
          <w:rFonts w:ascii="Arial" w:hAnsi="Arial" w:cs="Arial"/>
          <w:color w:val="333333"/>
          <w:sz w:val="20"/>
          <w:szCs w:val="20"/>
        </w:rPr>
        <w:t>.</w:t>
      </w:r>
    </w:p>
    <w:p w14:paraId="1EF19516" w14:textId="3F077EC2" w:rsidR="006007BB" w:rsidRDefault="006007BB" w:rsidP="006007BB">
      <w:pPr>
        <w:pStyle w:val="NormalWeb"/>
        <w:shd w:val="clear" w:color="auto" w:fill="FFFFFF"/>
        <w:spacing w:before="60" w:beforeAutospacing="0" w:after="0" w:afterAutospacing="0"/>
        <w:ind w:left="567" w:right="567"/>
        <w:jc w:val="both"/>
        <w:rPr>
          <w:rFonts w:ascii="Arial" w:hAnsi="Arial" w:cs="Arial"/>
          <w:color w:val="333333"/>
          <w:sz w:val="20"/>
          <w:szCs w:val="20"/>
        </w:rPr>
      </w:pPr>
      <w:r>
        <w:rPr>
          <w:rFonts w:ascii="Arial" w:hAnsi="Arial" w:cs="Arial"/>
          <w:color w:val="333333"/>
          <w:sz w:val="20"/>
          <w:szCs w:val="20"/>
        </w:rPr>
        <w:t xml:space="preserve">[31] </w:t>
      </w:r>
      <w:r w:rsidRPr="006007BB">
        <w:rPr>
          <w:rFonts w:ascii="Arial" w:hAnsi="Arial" w:cs="Arial"/>
          <w:color w:val="333333"/>
          <w:sz w:val="20"/>
          <w:szCs w:val="20"/>
        </w:rPr>
        <w:t>The restrictions on publication under s 534 are neither new nor novel. Indeed, s 534 largely replicates the similarly worded prohibition in the now repealed s 26 of the </w:t>
      </w:r>
      <w:r w:rsidRPr="006007BB">
        <w:rPr>
          <w:rFonts w:ascii="Arial" w:hAnsi="Arial" w:cs="Arial"/>
          <w:i/>
          <w:iCs/>
          <w:color w:val="333333"/>
          <w:sz w:val="20"/>
          <w:szCs w:val="20"/>
        </w:rPr>
        <w:t>Children and Young Persons Act 1989 </w:t>
      </w:r>
      <w:r w:rsidRPr="006007BB">
        <w:rPr>
          <w:rFonts w:ascii="Arial" w:hAnsi="Arial" w:cs="Arial"/>
          <w:color w:val="333333"/>
          <w:sz w:val="20"/>
          <w:szCs w:val="20"/>
        </w:rPr>
        <w:t>(Vic). These statutory prohibitions on publication reflect the strong, long-standing public policy that children who are brought before the Children’s Court are not to be identified by particulars or material being published that is likely to lead to their identification</w:t>
      </w:r>
      <w:r w:rsidR="00613165">
        <w:rPr>
          <w:rFonts w:ascii="Arial" w:hAnsi="Arial" w:cs="Arial"/>
          <w:color w:val="333333"/>
          <w:sz w:val="20"/>
          <w:szCs w:val="20"/>
        </w:rPr>
        <w:t xml:space="preserve">: </w:t>
      </w:r>
      <w:r w:rsidR="00613165" w:rsidRPr="006007BB">
        <w:rPr>
          <w:rFonts w:ascii="Arial" w:hAnsi="Arial" w:cs="Arial"/>
          <w:i/>
          <w:iCs/>
          <w:color w:val="333333"/>
          <w:sz w:val="20"/>
          <w:szCs w:val="20"/>
        </w:rPr>
        <w:t>GHJ v Secretary to the Department of Justice and Community Safety </w:t>
      </w:r>
      <w:r w:rsidR="00613165" w:rsidRPr="00613165">
        <w:rPr>
          <w:rFonts w:ascii="Arial" w:hAnsi="Arial" w:cs="Arial"/>
          <w:color w:val="333333"/>
          <w:sz w:val="20"/>
          <w:szCs w:val="20"/>
        </w:rPr>
        <w:t>[2019] VSC 89</w:t>
      </w:r>
      <w:r w:rsidR="00613165" w:rsidRPr="006007BB">
        <w:rPr>
          <w:rFonts w:ascii="Arial" w:hAnsi="Arial" w:cs="Arial"/>
          <w:color w:val="333333"/>
          <w:sz w:val="20"/>
          <w:szCs w:val="20"/>
        </w:rPr>
        <w:t>, [15]</w:t>
      </w:r>
      <w:r w:rsidR="00613165">
        <w:rPr>
          <w:rFonts w:ascii="Arial" w:hAnsi="Arial" w:cs="Arial"/>
          <w:color w:val="333333"/>
          <w:sz w:val="20"/>
          <w:szCs w:val="20"/>
        </w:rPr>
        <w:t xml:space="preserve">. </w:t>
      </w:r>
      <w:r w:rsidRPr="006007BB">
        <w:rPr>
          <w:rFonts w:ascii="Arial" w:hAnsi="Arial" w:cs="Arial"/>
          <w:color w:val="333333"/>
          <w:sz w:val="20"/>
          <w:szCs w:val="20"/>
        </w:rPr>
        <w:t>In the case of young offenders dealt with in the Criminal Division of the Children’s Court, the evident purpose of s 534 is to enable and promote their rehabilitation. In the case of children who are involved in child protection matters in the Family Division, the purposes of s 534 are therapeutic and protective. In all cases, the public policy rationales for the restrictions on publication necessarily include that children should be shielded from the stigma, shame, embarrassment or harm that may be caused to them by identifying particulars or material becoming publicly known.</w:t>
      </w:r>
    </w:p>
    <w:p w14:paraId="5C4797AC" w14:textId="59D67EC7" w:rsidR="006007BB" w:rsidRDefault="006007BB" w:rsidP="006007BB">
      <w:pPr>
        <w:pStyle w:val="NormalWeb"/>
        <w:shd w:val="clear" w:color="auto" w:fill="FFFFFF"/>
        <w:spacing w:before="60" w:beforeAutospacing="0" w:after="0" w:afterAutospacing="0"/>
        <w:ind w:left="567" w:right="567"/>
        <w:jc w:val="both"/>
        <w:rPr>
          <w:rFonts w:ascii="Arial" w:hAnsi="Arial" w:cs="Arial"/>
          <w:color w:val="333333"/>
          <w:sz w:val="20"/>
          <w:szCs w:val="20"/>
        </w:rPr>
      </w:pPr>
      <w:r>
        <w:rPr>
          <w:rFonts w:ascii="Arial" w:hAnsi="Arial" w:cs="Arial"/>
          <w:color w:val="333333"/>
          <w:sz w:val="20"/>
          <w:szCs w:val="20"/>
        </w:rPr>
        <w:t xml:space="preserve">[32] </w:t>
      </w:r>
      <w:r w:rsidRPr="006007BB">
        <w:rPr>
          <w:rFonts w:ascii="Arial" w:hAnsi="Arial" w:cs="Arial"/>
          <w:color w:val="333333"/>
          <w:sz w:val="20"/>
          <w:szCs w:val="20"/>
        </w:rPr>
        <w:t xml:space="preserve">However, s 534 does not provide a blanket prohibition on publication. What is prohibited are the kinds of publications that are prescribed by the express terms of the </w:t>
      </w:r>
      <w:r w:rsidRPr="006007BB">
        <w:rPr>
          <w:rFonts w:ascii="Arial" w:hAnsi="Arial" w:cs="Arial"/>
          <w:color w:val="333333"/>
          <w:sz w:val="20"/>
          <w:szCs w:val="20"/>
        </w:rPr>
        <w:lastRenderedPageBreak/>
        <w:t>legislation. Relevantly, in the cases of the restrictions imposed by ss 534(1)(a) and (c), what is prohibited is publication of a report of a proceeding in the court, or some other matter, that will identify a child involved in the proceeding. It is the identification of a child involved in the proceeding that is critical to the restrictions on publication.</w:t>
      </w:r>
    </w:p>
    <w:p w14:paraId="14CA810C" w14:textId="35BE8C33" w:rsidR="006007BB" w:rsidRDefault="006007BB" w:rsidP="006007BB">
      <w:pPr>
        <w:pStyle w:val="NormalWeb"/>
        <w:shd w:val="clear" w:color="auto" w:fill="FFFFFF"/>
        <w:spacing w:before="60" w:beforeAutospacing="0" w:after="0" w:afterAutospacing="0"/>
        <w:ind w:left="567" w:right="567"/>
        <w:jc w:val="both"/>
        <w:rPr>
          <w:rFonts w:ascii="Arial" w:hAnsi="Arial" w:cs="Arial"/>
          <w:color w:val="333333"/>
          <w:sz w:val="20"/>
          <w:szCs w:val="20"/>
        </w:rPr>
      </w:pPr>
      <w:r>
        <w:rPr>
          <w:rFonts w:ascii="Arial" w:hAnsi="Arial" w:cs="Arial"/>
          <w:color w:val="333333"/>
          <w:sz w:val="20"/>
          <w:szCs w:val="20"/>
        </w:rPr>
        <w:t xml:space="preserve">[33] </w:t>
      </w:r>
      <w:r w:rsidR="00613165" w:rsidRPr="006007BB">
        <w:rPr>
          <w:rFonts w:ascii="Arial" w:hAnsi="Arial" w:cs="Arial"/>
          <w:color w:val="333333"/>
          <w:sz w:val="20"/>
          <w:szCs w:val="20"/>
        </w:rPr>
        <w:t>It is for that reason that pseudonyms are often used to protect the identity of a child who was involved in a proceeding before the Children’s Court. In that respect, I note that in a recently published judgment in the matter of </w:t>
      </w:r>
      <w:r w:rsidR="00613165" w:rsidRPr="006007BB">
        <w:rPr>
          <w:rFonts w:ascii="Arial" w:hAnsi="Arial" w:cs="Arial"/>
          <w:i/>
          <w:iCs/>
          <w:color w:val="333333"/>
          <w:sz w:val="20"/>
          <w:szCs w:val="20"/>
        </w:rPr>
        <w:t>KDN v The Secretary to the Department of Families, Fairness and Housing</w:t>
      </w:r>
      <w:r w:rsidR="00613165" w:rsidRPr="00613165">
        <w:rPr>
          <w:rFonts w:ascii="Arial" w:hAnsi="Arial" w:cs="Arial"/>
          <w:color w:val="333333"/>
          <w:sz w:val="20"/>
          <w:szCs w:val="20"/>
        </w:rPr>
        <w:t xml:space="preserve"> </w:t>
      </w:r>
      <w:r w:rsidR="00613165">
        <w:rPr>
          <w:rFonts w:ascii="Arial" w:hAnsi="Arial" w:cs="Arial"/>
          <w:color w:val="333333"/>
          <w:sz w:val="20"/>
          <w:szCs w:val="20"/>
        </w:rPr>
        <w:t>[</w:t>
      </w:r>
      <w:r w:rsidR="00613165" w:rsidRPr="00613165">
        <w:rPr>
          <w:rFonts w:ascii="Arial" w:hAnsi="Arial" w:cs="Arial"/>
          <w:color w:val="333333"/>
          <w:sz w:val="20"/>
          <w:szCs w:val="20"/>
        </w:rPr>
        <w:t>2023] VSC 479</w:t>
      </w:r>
      <w:r w:rsidR="00613165">
        <w:rPr>
          <w:rFonts w:ascii="Arial" w:hAnsi="Arial" w:cs="Arial"/>
          <w:color w:val="333333"/>
          <w:sz w:val="20"/>
          <w:szCs w:val="20"/>
        </w:rPr>
        <w:t xml:space="preserve"> </w:t>
      </w:r>
      <w:r w:rsidR="00613165" w:rsidRPr="006007BB">
        <w:rPr>
          <w:rFonts w:ascii="Arial" w:hAnsi="Arial" w:cs="Arial"/>
          <w:color w:val="333333"/>
          <w:sz w:val="20"/>
          <w:szCs w:val="20"/>
        </w:rPr>
        <w:t>which concerned an appeal against an interim accommodation order made by the Children’s Court of Victoria in respect of two children, various pseudonyms were used to refer to the subject children and their parents. As Gorton J there observed</w:t>
      </w:r>
      <w:r w:rsidR="00613165">
        <w:rPr>
          <w:rFonts w:ascii="Arial" w:hAnsi="Arial" w:cs="Arial"/>
          <w:color w:val="333333"/>
          <w:sz w:val="20"/>
          <w:szCs w:val="20"/>
        </w:rPr>
        <w:t xml:space="preserve"> at [2]</w:t>
      </w:r>
      <w:r w:rsidR="00613165" w:rsidRPr="006007BB">
        <w:rPr>
          <w:rFonts w:ascii="Arial" w:hAnsi="Arial" w:cs="Arial"/>
          <w:color w:val="333333"/>
          <w:sz w:val="20"/>
          <w:szCs w:val="20"/>
        </w:rPr>
        <w:t>:</w:t>
      </w:r>
    </w:p>
    <w:p w14:paraId="7A2F096C" w14:textId="0CE113F7" w:rsidR="00613165" w:rsidRPr="00613165" w:rsidRDefault="00613165" w:rsidP="00613165">
      <w:pPr>
        <w:pStyle w:val="NormalWeb"/>
        <w:shd w:val="clear" w:color="auto" w:fill="FFFFFF"/>
        <w:spacing w:before="60" w:beforeAutospacing="0" w:after="0" w:afterAutospacing="0"/>
        <w:ind w:left="1021" w:right="1021"/>
        <w:jc w:val="both"/>
        <w:rPr>
          <w:rFonts w:ascii="Arial" w:hAnsi="Arial" w:cs="Arial"/>
          <w:color w:val="333333"/>
          <w:sz w:val="18"/>
          <w:szCs w:val="18"/>
        </w:rPr>
      </w:pPr>
      <w:r w:rsidRPr="00613165">
        <w:rPr>
          <w:rFonts w:ascii="Arial" w:hAnsi="Arial" w:cs="Arial"/>
          <w:color w:val="333333"/>
          <w:sz w:val="18"/>
          <w:szCs w:val="18"/>
        </w:rPr>
        <w:t>‘Section 534(1) of the </w:t>
      </w:r>
      <w:r w:rsidRPr="00613165">
        <w:rPr>
          <w:rFonts w:ascii="Arial" w:hAnsi="Arial" w:cs="Arial"/>
          <w:i/>
          <w:iCs/>
          <w:color w:val="333333"/>
          <w:sz w:val="18"/>
          <w:szCs w:val="18"/>
        </w:rPr>
        <w:t>Children, Youth and Families Act 2005 </w:t>
      </w:r>
      <w:r w:rsidRPr="00613165">
        <w:rPr>
          <w:rFonts w:ascii="Arial" w:hAnsi="Arial" w:cs="Arial"/>
          <w:color w:val="333333"/>
          <w:sz w:val="18"/>
          <w:szCs w:val="18"/>
        </w:rPr>
        <w:t>provides that a person must not publish or cause to be published a report of a proceeding that contains any particulars likely to lead to the identification of a witness to that proceeding. For this reason, I have given pseudonyms to those persons who appeared as witnesses in the Children’s Court. The parties will be provided with a version of the judgment in which pseudonyms are not used for witnesses.’</w:t>
      </w:r>
    </w:p>
    <w:p w14:paraId="4F99BF17" w14:textId="52305835" w:rsidR="00613165" w:rsidRDefault="006007BB" w:rsidP="00613165">
      <w:pPr>
        <w:pStyle w:val="NormalWeb"/>
        <w:shd w:val="clear" w:color="auto" w:fill="FFFFFF"/>
        <w:spacing w:before="60" w:beforeAutospacing="0" w:after="0" w:afterAutospacing="0"/>
        <w:ind w:left="567" w:right="567"/>
        <w:jc w:val="both"/>
        <w:rPr>
          <w:rFonts w:ascii="Arial" w:hAnsi="Arial" w:cs="Arial"/>
          <w:color w:val="333333"/>
          <w:sz w:val="20"/>
          <w:szCs w:val="20"/>
        </w:rPr>
      </w:pPr>
      <w:r w:rsidRPr="006007BB">
        <w:rPr>
          <w:rFonts w:ascii="Arial" w:hAnsi="Arial" w:cs="Arial"/>
          <w:color w:val="333333"/>
          <w:sz w:val="20"/>
          <w:szCs w:val="20"/>
        </w:rPr>
        <w:t>[</w:t>
      </w:r>
      <w:r w:rsidR="00613165">
        <w:rPr>
          <w:rFonts w:ascii="Arial" w:hAnsi="Arial" w:cs="Arial"/>
          <w:color w:val="333333"/>
          <w:sz w:val="20"/>
          <w:szCs w:val="20"/>
        </w:rPr>
        <w:t>34</w:t>
      </w:r>
      <w:r w:rsidRPr="006007BB">
        <w:rPr>
          <w:rFonts w:ascii="Arial" w:hAnsi="Arial" w:cs="Arial"/>
          <w:color w:val="333333"/>
          <w:sz w:val="20"/>
          <w:szCs w:val="20"/>
        </w:rPr>
        <w:t xml:space="preserve">] </w:t>
      </w:r>
      <w:r w:rsidR="00613165" w:rsidRPr="006007BB">
        <w:rPr>
          <w:rFonts w:ascii="Arial" w:hAnsi="Arial" w:cs="Arial"/>
          <w:color w:val="333333"/>
          <w:sz w:val="20"/>
          <w:szCs w:val="20"/>
        </w:rPr>
        <w:t>Similarly, in</w:t>
      </w:r>
      <w:r w:rsidR="00491B07">
        <w:rPr>
          <w:rFonts w:ascii="Arial" w:hAnsi="Arial" w:cs="Arial"/>
          <w:color w:val="333333"/>
          <w:sz w:val="20"/>
          <w:szCs w:val="20"/>
        </w:rPr>
        <w:t xml:space="preserve"> </w:t>
      </w:r>
      <w:r w:rsidR="00613165" w:rsidRPr="006007BB">
        <w:rPr>
          <w:rFonts w:ascii="Arial" w:hAnsi="Arial" w:cs="Arial"/>
          <w:i/>
          <w:iCs/>
          <w:color w:val="333333"/>
          <w:sz w:val="20"/>
          <w:szCs w:val="20"/>
        </w:rPr>
        <w:t>RP v Foreman</w:t>
      </w:r>
      <w:r w:rsidR="00613165" w:rsidRPr="00613165">
        <w:rPr>
          <w:rFonts w:ascii="Arial" w:hAnsi="Arial" w:cs="Arial"/>
          <w:color w:val="333333"/>
          <w:sz w:val="20"/>
          <w:szCs w:val="20"/>
        </w:rPr>
        <w:t xml:space="preserve"> [2021] VSCA 115, </w:t>
      </w:r>
      <w:r w:rsidR="00613165" w:rsidRPr="006007BB">
        <w:rPr>
          <w:rFonts w:ascii="Arial" w:hAnsi="Arial" w:cs="Arial"/>
          <w:color w:val="333333"/>
          <w:sz w:val="20"/>
          <w:szCs w:val="20"/>
        </w:rPr>
        <w:t>an appeal against the refusal of an application for a writ of habeas corpus in relation to a child, where the Children’s Court had made an order conferring parental responsibility and sole care of the child to the Secretary of the Department of Human Services, the Court of Appeal noted that it had replaced the appellants’ names with pseudonyms in order to prevent the identification of the child who was the subject of orders made in the Children’s Court, in accordance with </w:t>
      </w:r>
      <w:r w:rsidR="00613165" w:rsidRPr="00491B07">
        <w:rPr>
          <w:rFonts w:ascii="Arial" w:hAnsi="Arial" w:cs="Arial"/>
          <w:color w:val="333333"/>
          <w:sz w:val="20"/>
          <w:szCs w:val="20"/>
        </w:rPr>
        <w:t>s 534(1)</w:t>
      </w:r>
      <w:r w:rsidR="00613165" w:rsidRPr="006007BB">
        <w:rPr>
          <w:rFonts w:ascii="Arial" w:hAnsi="Arial" w:cs="Arial"/>
          <w:color w:val="333333"/>
          <w:sz w:val="20"/>
          <w:szCs w:val="20"/>
        </w:rPr>
        <w:t> of the </w:t>
      </w:r>
      <w:r w:rsidR="00613165" w:rsidRPr="006007BB">
        <w:rPr>
          <w:rFonts w:ascii="Arial" w:hAnsi="Arial" w:cs="Arial"/>
          <w:i/>
          <w:iCs/>
          <w:color w:val="333333"/>
          <w:sz w:val="20"/>
          <w:szCs w:val="20"/>
        </w:rPr>
        <w:t>CYFA</w:t>
      </w:r>
      <w:r w:rsidR="00613165" w:rsidRPr="006007BB">
        <w:rPr>
          <w:rFonts w:ascii="Arial" w:hAnsi="Arial" w:cs="Arial"/>
          <w:color w:val="333333"/>
          <w:sz w:val="20"/>
          <w:szCs w:val="20"/>
        </w:rPr>
        <w:t>.</w:t>
      </w:r>
    </w:p>
    <w:p w14:paraId="4040DE1D" w14:textId="0983A356" w:rsidR="00613165" w:rsidRDefault="00613165" w:rsidP="00613165">
      <w:pPr>
        <w:pStyle w:val="NormalWeb"/>
        <w:shd w:val="clear" w:color="auto" w:fill="FFFFFF"/>
        <w:spacing w:before="60" w:beforeAutospacing="0" w:after="0" w:afterAutospacing="0"/>
        <w:ind w:left="567" w:right="567"/>
        <w:jc w:val="both"/>
        <w:rPr>
          <w:rFonts w:ascii="Arial" w:hAnsi="Arial" w:cs="Arial"/>
          <w:color w:val="333333"/>
          <w:sz w:val="20"/>
          <w:szCs w:val="20"/>
        </w:rPr>
      </w:pPr>
      <w:r>
        <w:rPr>
          <w:rFonts w:ascii="Arial" w:hAnsi="Arial" w:cs="Arial"/>
          <w:color w:val="333333"/>
          <w:sz w:val="20"/>
          <w:szCs w:val="20"/>
        </w:rPr>
        <w:t xml:space="preserve">[35] </w:t>
      </w:r>
      <w:r w:rsidRPr="006007BB">
        <w:rPr>
          <w:rFonts w:ascii="Arial" w:hAnsi="Arial" w:cs="Arial"/>
          <w:color w:val="333333"/>
          <w:sz w:val="20"/>
          <w:szCs w:val="20"/>
        </w:rPr>
        <w:t>It is for similar reasons as these that I have now made an order that the respondent in this proceeding is hereafter to be referred to by the pseudonym ‘JXL’.</w:t>
      </w:r>
    </w:p>
    <w:p w14:paraId="1A1DE19D" w14:textId="7D08D239" w:rsidR="00613165" w:rsidRDefault="00613165" w:rsidP="00613165">
      <w:pPr>
        <w:pStyle w:val="NormalWeb"/>
        <w:shd w:val="clear" w:color="auto" w:fill="FFFFFF"/>
        <w:spacing w:before="60" w:beforeAutospacing="0" w:after="0" w:afterAutospacing="0"/>
        <w:ind w:left="567" w:right="567"/>
        <w:jc w:val="both"/>
        <w:rPr>
          <w:rFonts w:ascii="Arial" w:hAnsi="Arial" w:cs="Arial"/>
          <w:color w:val="333333"/>
          <w:sz w:val="20"/>
          <w:szCs w:val="20"/>
        </w:rPr>
      </w:pPr>
      <w:r>
        <w:rPr>
          <w:rFonts w:ascii="Arial" w:hAnsi="Arial" w:cs="Arial"/>
          <w:color w:val="333333"/>
          <w:sz w:val="20"/>
          <w:szCs w:val="20"/>
        </w:rPr>
        <w:t xml:space="preserve">[36] </w:t>
      </w:r>
      <w:r w:rsidRPr="006007BB">
        <w:rPr>
          <w:rFonts w:ascii="Arial" w:hAnsi="Arial" w:cs="Arial"/>
          <w:color w:val="333333"/>
          <w:sz w:val="20"/>
          <w:szCs w:val="20"/>
        </w:rPr>
        <w:t>Depending on the nature and circumstances of the case, the making of a pseudonym order may be all that is required in order to observe the statutory restrictions on publication imposed by </w:t>
      </w:r>
      <w:r w:rsidRPr="00613165">
        <w:rPr>
          <w:rFonts w:ascii="Arial" w:hAnsi="Arial" w:cs="Arial"/>
          <w:color w:val="333333"/>
          <w:sz w:val="20"/>
          <w:szCs w:val="20"/>
        </w:rPr>
        <w:t>s 534.</w:t>
      </w:r>
      <w:r w:rsidRPr="006007BB">
        <w:rPr>
          <w:rFonts w:ascii="Arial" w:hAnsi="Arial" w:cs="Arial"/>
          <w:color w:val="333333"/>
          <w:sz w:val="20"/>
          <w:szCs w:val="20"/>
        </w:rPr>
        <w:t> There are, of course, other possible actions that may be taken and orders that may be made by the Court to ensure no breach of </w:t>
      </w:r>
      <w:r w:rsidRPr="00613165">
        <w:rPr>
          <w:rFonts w:ascii="Arial" w:hAnsi="Arial" w:cs="Arial"/>
          <w:color w:val="333333"/>
          <w:sz w:val="20"/>
          <w:szCs w:val="20"/>
        </w:rPr>
        <w:t>s 534</w:t>
      </w:r>
      <w:r w:rsidRPr="006007BB">
        <w:rPr>
          <w:rFonts w:ascii="Arial" w:hAnsi="Arial" w:cs="Arial"/>
          <w:color w:val="333333"/>
          <w:sz w:val="20"/>
          <w:szCs w:val="20"/>
        </w:rPr>
        <w:t> occurs in a proceeding. Once such option would be to make an order that the proceeding be conducted in a closed court. That is what was done for the hearing of these interlocutory applications.</w:t>
      </w:r>
    </w:p>
    <w:p w14:paraId="5675C446" w14:textId="45D5068A" w:rsidR="00613165" w:rsidRDefault="00613165" w:rsidP="00613165">
      <w:pPr>
        <w:pStyle w:val="NormalWeb"/>
        <w:shd w:val="clear" w:color="auto" w:fill="FFFFFF"/>
        <w:spacing w:before="60" w:beforeAutospacing="0" w:after="0" w:afterAutospacing="0"/>
        <w:ind w:left="567" w:right="567"/>
        <w:jc w:val="both"/>
        <w:rPr>
          <w:rFonts w:ascii="Arial" w:hAnsi="Arial" w:cs="Arial"/>
          <w:color w:val="333333"/>
          <w:sz w:val="20"/>
          <w:szCs w:val="20"/>
        </w:rPr>
      </w:pPr>
      <w:r>
        <w:rPr>
          <w:rFonts w:ascii="Arial" w:hAnsi="Arial" w:cs="Arial"/>
          <w:color w:val="333333"/>
          <w:sz w:val="20"/>
          <w:szCs w:val="20"/>
        </w:rPr>
        <w:t xml:space="preserve">[37] </w:t>
      </w:r>
      <w:r w:rsidRPr="006007BB">
        <w:rPr>
          <w:rFonts w:ascii="Arial" w:hAnsi="Arial" w:cs="Arial"/>
          <w:color w:val="333333"/>
          <w:sz w:val="20"/>
          <w:szCs w:val="20"/>
        </w:rPr>
        <w:t>I do not accept JXL’s submission that, irrespective of the fact that the hearing of these applications took place in a closed court, upon the Commissioner’s affidavits being read there was a prohibited publication of restricted information or material.</w:t>
      </w:r>
    </w:p>
    <w:p w14:paraId="1868BF6A" w14:textId="4F9A9BE2" w:rsidR="00613165" w:rsidRDefault="00613165" w:rsidP="00613165">
      <w:pPr>
        <w:pStyle w:val="NormalWeb"/>
        <w:shd w:val="clear" w:color="auto" w:fill="FFFFFF"/>
        <w:spacing w:before="60" w:beforeAutospacing="0" w:after="0" w:afterAutospacing="0"/>
        <w:ind w:left="567" w:right="567"/>
        <w:jc w:val="both"/>
        <w:rPr>
          <w:rFonts w:ascii="Arial" w:hAnsi="Arial" w:cs="Arial"/>
          <w:color w:val="333333"/>
          <w:sz w:val="20"/>
          <w:szCs w:val="20"/>
        </w:rPr>
      </w:pPr>
      <w:r>
        <w:rPr>
          <w:rFonts w:ascii="Arial" w:hAnsi="Arial" w:cs="Arial"/>
          <w:color w:val="333333"/>
          <w:sz w:val="20"/>
          <w:szCs w:val="20"/>
        </w:rPr>
        <w:t xml:space="preserve">[38] </w:t>
      </w:r>
      <w:r w:rsidRPr="006007BB">
        <w:rPr>
          <w:rFonts w:ascii="Arial" w:hAnsi="Arial" w:cs="Arial"/>
          <w:color w:val="333333"/>
          <w:sz w:val="20"/>
          <w:szCs w:val="20"/>
        </w:rPr>
        <w:t>In my opinion, the reading of the affidavits in closed court does not meet the definition of ‘publish’ in </w:t>
      </w:r>
      <w:r w:rsidRPr="00613165">
        <w:rPr>
          <w:rFonts w:ascii="Arial" w:hAnsi="Arial" w:cs="Arial"/>
          <w:color w:val="333333"/>
          <w:sz w:val="20"/>
          <w:szCs w:val="20"/>
        </w:rPr>
        <w:t>s 3</w:t>
      </w:r>
      <w:r w:rsidRPr="006007BB">
        <w:rPr>
          <w:rFonts w:ascii="Arial" w:hAnsi="Arial" w:cs="Arial"/>
          <w:color w:val="333333"/>
          <w:sz w:val="20"/>
          <w:szCs w:val="20"/>
        </w:rPr>
        <w:t> of the </w:t>
      </w:r>
      <w:r w:rsidRPr="00613165">
        <w:rPr>
          <w:rFonts w:ascii="Arial" w:hAnsi="Arial" w:cs="Arial"/>
          <w:i/>
          <w:iCs/>
          <w:color w:val="333333"/>
          <w:sz w:val="20"/>
          <w:szCs w:val="20"/>
        </w:rPr>
        <w:t>Open Courts Act</w:t>
      </w:r>
      <w:r w:rsidRPr="006007BB">
        <w:rPr>
          <w:rFonts w:ascii="Arial" w:hAnsi="Arial" w:cs="Arial"/>
          <w:color w:val="333333"/>
          <w:sz w:val="20"/>
          <w:szCs w:val="20"/>
        </w:rPr>
        <w:t>, as the information and material has not been published to ‘the public’ or a ‘section of the public’, as is required. In my opinion, for the purposes of any potential breach of s 534 of the </w:t>
      </w:r>
      <w:r w:rsidRPr="006007BB">
        <w:rPr>
          <w:rFonts w:ascii="Arial" w:hAnsi="Arial" w:cs="Arial"/>
          <w:i/>
          <w:iCs/>
          <w:color w:val="333333"/>
          <w:sz w:val="20"/>
          <w:szCs w:val="20"/>
        </w:rPr>
        <w:t>CYFA</w:t>
      </w:r>
      <w:r w:rsidRPr="006007BB">
        <w:rPr>
          <w:rFonts w:ascii="Arial" w:hAnsi="Arial" w:cs="Arial"/>
          <w:color w:val="333333"/>
          <w:sz w:val="20"/>
          <w:szCs w:val="20"/>
        </w:rPr>
        <w:t>, the references to ‘the public’ or a ‘section of the public’ within the </w:t>
      </w:r>
      <w:r w:rsidRPr="00613165">
        <w:rPr>
          <w:rFonts w:ascii="Arial" w:hAnsi="Arial" w:cs="Arial"/>
          <w:color w:val="333333"/>
          <w:sz w:val="20"/>
          <w:szCs w:val="20"/>
        </w:rPr>
        <w:t>s 3</w:t>
      </w:r>
      <w:r w:rsidRPr="006007BB">
        <w:rPr>
          <w:rFonts w:ascii="Arial" w:hAnsi="Arial" w:cs="Arial"/>
          <w:color w:val="333333"/>
          <w:sz w:val="20"/>
          <w:szCs w:val="20"/>
        </w:rPr>
        <w:t> definition of the </w:t>
      </w:r>
      <w:r w:rsidRPr="00613165">
        <w:rPr>
          <w:rFonts w:ascii="Arial" w:hAnsi="Arial" w:cs="Arial"/>
          <w:i/>
          <w:iCs/>
          <w:color w:val="333333"/>
          <w:sz w:val="20"/>
          <w:szCs w:val="20"/>
        </w:rPr>
        <w:t>Open Courts Act</w:t>
      </w:r>
      <w:r w:rsidRPr="006007BB">
        <w:rPr>
          <w:rFonts w:ascii="Arial" w:hAnsi="Arial" w:cs="Arial"/>
          <w:i/>
          <w:iCs/>
          <w:color w:val="333333"/>
          <w:sz w:val="20"/>
          <w:szCs w:val="20"/>
        </w:rPr>
        <w:t> </w:t>
      </w:r>
      <w:r w:rsidRPr="006007BB">
        <w:rPr>
          <w:rFonts w:ascii="Arial" w:hAnsi="Arial" w:cs="Arial"/>
          <w:color w:val="333333"/>
          <w:sz w:val="20"/>
          <w:szCs w:val="20"/>
        </w:rPr>
        <w:t>plainly contemplate that the term ‘publish’ means publication to a wider audience than the Court, the parties, their lawyers and the court officers and other staff present during the closed court hearing of these applications. Although </w:t>
      </w:r>
      <w:r w:rsidRPr="00613165">
        <w:rPr>
          <w:rFonts w:ascii="Arial" w:hAnsi="Arial" w:cs="Arial"/>
          <w:color w:val="333333"/>
          <w:sz w:val="20"/>
          <w:szCs w:val="20"/>
        </w:rPr>
        <w:t>s 3</w:t>
      </w:r>
      <w:r w:rsidRPr="006007BB">
        <w:rPr>
          <w:rFonts w:ascii="Arial" w:hAnsi="Arial" w:cs="Arial"/>
          <w:color w:val="333333"/>
          <w:sz w:val="20"/>
          <w:szCs w:val="20"/>
        </w:rPr>
        <w:t> refers to ‘disseminate or provide access...by any means’ and then provides a non-exhaustive</w:t>
      </w:r>
      <w:r w:rsidR="00491B07">
        <w:rPr>
          <w:rFonts w:ascii="Arial" w:hAnsi="Arial" w:cs="Arial"/>
          <w:color w:val="333333"/>
          <w:sz w:val="20"/>
          <w:szCs w:val="20"/>
        </w:rPr>
        <w:t xml:space="preserve"> </w:t>
      </w:r>
      <w:r w:rsidR="00491B07" w:rsidRPr="006007BB">
        <w:rPr>
          <w:rFonts w:ascii="Arial" w:hAnsi="Arial" w:cs="Arial"/>
          <w:color w:val="333333"/>
          <w:sz w:val="20"/>
          <w:szCs w:val="20"/>
        </w:rPr>
        <w:t>list of the ways in which information may be disseminated or accessed, in my view the examples provided support the conclusion I have reached.</w:t>
      </w:r>
    </w:p>
    <w:p w14:paraId="795B0703" w14:textId="07E4AD10" w:rsidR="00491B07" w:rsidRDefault="00491B07" w:rsidP="00613165">
      <w:pPr>
        <w:pStyle w:val="NormalWeb"/>
        <w:shd w:val="clear" w:color="auto" w:fill="FFFFFF"/>
        <w:spacing w:before="60" w:beforeAutospacing="0" w:after="0" w:afterAutospacing="0"/>
        <w:ind w:left="567" w:right="567"/>
        <w:jc w:val="both"/>
        <w:rPr>
          <w:rFonts w:ascii="Arial" w:hAnsi="Arial" w:cs="Arial"/>
          <w:color w:val="333333"/>
          <w:sz w:val="20"/>
          <w:szCs w:val="20"/>
        </w:rPr>
      </w:pPr>
      <w:r>
        <w:rPr>
          <w:rFonts w:ascii="Arial" w:hAnsi="Arial" w:cs="Arial"/>
          <w:color w:val="333333"/>
          <w:sz w:val="20"/>
          <w:szCs w:val="20"/>
        </w:rPr>
        <w:t xml:space="preserve">[39] </w:t>
      </w:r>
      <w:r w:rsidRPr="006007BB">
        <w:rPr>
          <w:rFonts w:ascii="Arial" w:hAnsi="Arial" w:cs="Arial"/>
          <w:color w:val="333333"/>
          <w:sz w:val="20"/>
          <w:szCs w:val="20"/>
        </w:rPr>
        <w:t>In my opinion, for the purposes of s 534, the Commissioner has not published, or caused to be published, any restricted information or material by filing the affidavits with the Court or by reading the affidavits and thereby putting them into evidence. I do not consider either act constitutes a publication for the purposes of s 534 of the </w:t>
      </w:r>
      <w:r w:rsidRPr="006007BB">
        <w:rPr>
          <w:rFonts w:ascii="Arial" w:hAnsi="Arial" w:cs="Arial"/>
          <w:i/>
          <w:iCs/>
          <w:color w:val="333333"/>
          <w:sz w:val="20"/>
          <w:szCs w:val="20"/>
        </w:rPr>
        <w:t>CYFA</w:t>
      </w:r>
      <w:r w:rsidRPr="006007BB">
        <w:rPr>
          <w:rFonts w:ascii="Arial" w:hAnsi="Arial" w:cs="Arial"/>
          <w:color w:val="333333"/>
          <w:sz w:val="20"/>
          <w:szCs w:val="20"/>
        </w:rPr>
        <w:t>.</w:t>
      </w:r>
      <w:r>
        <w:rPr>
          <w:rFonts w:ascii="Arial" w:hAnsi="Arial" w:cs="Arial"/>
          <w:color w:val="333333"/>
          <w:sz w:val="20"/>
          <w:szCs w:val="20"/>
        </w:rPr>
        <w:t>”</w:t>
      </w:r>
    </w:p>
    <w:p w14:paraId="6ACFE746" w14:textId="66034C76" w:rsidR="00491B07" w:rsidRPr="009B3CD4" w:rsidRDefault="00491B07" w:rsidP="00491B07">
      <w:pPr>
        <w:pStyle w:val="NormalWeb"/>
        <w:shd w:val="clear" w:color="auto" w:fill="FFFFFF"/>
        <w:spacing w:before="60" w:beforeAutospacing="0" w:after="0" w:afterAutospacing="0"/>
        <w:jc w:val="both"/>
        <w:rPr>
          <w:rFonts w:ascii="Arial" w:hAnsi="Arial" w:cs="Arial"/>
          <w:color w:val="333333"/>
          <w:sz w:val="20"/>
          <w:szCs w:val="20"/>
        </w:rPr>
      </w:pPr>
      <w:r>
        <w:rPr>
          <w:rFonts w:ascii="Arial" w:hAnsi="Arial" w:cs="Arial"/>
          <w:color w:val="333333"/>
          <w:sz w:val="20"/>
          <w:szCs w:val="20"/>
        </w:rPr>
        <w:t xml:space="preserve">His Honour went on to note that in reaching the above conclusions he had found </w:t>
      </w:r>
      <w:r w:rsidRPr="006007BB">
        <w:rPr>
          <w:rFonts w:ascii="Arial" w:hAnsi="Arial" w:cs="Arial"/>
          <w:color w:val="333333"/>
          <w:sz w:val="20"/>
          <w:szCs w:val="20"/>
        </w:rPr>
        <w:t>two recent Supreme Court of Victoria decisions dealing with issues concerning various statutory restrictions on publication</w:t>
      </w:r>
      <w:r w:rsidR="00E56D87">
        <w:rPr>
          <w:rFonts w:ascii="Arial" w:hAnsi="Arial" w:cs="Arial"/>
          <w:color w:val="333333"/>
          <w:sz w:val="20"/>
          <w:szCs w:val="20"/>
        </w:rPr>
        <w:t xml:space="preserve"> –</w:t>
      </w:r>
      <w:r>
        <w:rPr>
          <w:rFonts w:ascii="Arial" w:hAnsi="Arial" w:cs="Arial"/>
          <w:color w:val="333333"/>
          <w:sz w:val="20"/>
          <w:szCs w:val="20"/>
        </w:rPr>
        <w:t xml:space="preserve"> </w:t>
      </w:r>
      <w:r w:rsidRPr="009B3CD4">
        <w:rPr>
          <w:rFonts w:ascii="Arial" w:hAnsi="Arial" w:cs="Arial"/>
          <w:color w:val="333333"/>
          <w:sz w:val="20"/>
          <w:szCs w:val="20"/>
        </w:rPr>
        <w:t>namely</w:t>
      </w:r>
      <w:r w:rsidR="00E56D87">
        <w:rPr>
          <w:rFonts w:ascii="Arial" w:hAnsi="Arial" w:cs="Arial"/>
          <w:color w:val="333333"/>
          <w:sz w:val="20"/>
          <w:szCs w:val="20"/>
        </w:rPr>
        <w:t xml:space="preserve"> </w:t>
      </w:r>
      <w:r w:rsidRPr="009B3CD4">
        <w:rPr>
          <w:rFonts w:ascii="Arial" w:hAnsi="Arial" w:cs="Arial"/>
          <w:i/>
          <w:iCs/>
          <w:color w:val="333333"/>
          <w:sz w:val="20"/>
          <w:szCs w:val="20"/>
        </w:rPr>
        <w:t>Taylor v State of Victoria</w:t>
      </w:r>
      <w:r w:rsidRPr="009B3CD4">
        <w:rPr>
          <w:rFonts w:ascii="Arial" w:hAnsi="Arial" w:cs="Arial"/>
          <w:color w:val="333333"/>
          <w:sz w:val="20"/>
          <w:szCs w:val="20"/>
        </w:rPr>
        <w:t xml:space="preserve"> [2023] VSC 320 </w:t>
      </w:r>
      <w:r w:rsidR="009B3CD4">
        <w:rPr>
          <w:rFonts w:ascii="Arial" w:hAnsi="Arial" w:cs="Arial"/>
          <w:color w:val="333333"/>
          <w:sz w:val="20"/>
          <w:szCs w:val="20"/>
        </w:rPr>
        <w:t>and the afore-mentioned</w:t>
      </w:r>
      <w:r w:rsidRPr="009B3CD4">
        <w:rPr>
          <w:rFonts w:ascii="Arial" w:hAnsi="Arial" w:cs="Arial"/>
          <w:color w:val="333333"/>
          <w:sz w:val="20"/>
          <w:szCs w:val="20"/>
        </w:rPr>
        <w:t xml:space="preserve"> </w:t>
      </w:r>
      <w:r w:rsidR="009B3CD4" w:rsidRPr="009B3CD4">
        <w:rPr>
          <w:rFonts w:ascii="Arial" w:hAnsi="Arial" w:cs="Arial"/>
          <w:i/>
          <w:iCs/>
          <w:color w:val="333333"/>
          <w:sz w:val="20"/>
          <w:szCs w:val="20"/>
          <w:shd w:val="clear" w:color="auto" w:fill="FFFFFF"/>
        </w:rPr>
        <w:t>Porch v State of Victoria</w:t>
      </w:r>
      <w:r w:rsidR="009B3CD4" w:rsidRPr="009B3CD4">
        <w:rPr>
          <w:rFonts w:ascii="Arial" w:hAnsi="Arial" w:cs="Arial"/>
          <w:color w:val="333333"/>
          <w:sz w:val="20"/>
          <w:szCs w:val="20"/>
        </w:rPr>
        <w:t xml:space="preserve"> [2023] VSC 61</w:t>
      </w:r>
      <w:r w:rsidR="00E56D87">
        <w:rPr>
          <w:rFonts w:ascii="Arial" w:hAnsi="Arial" w:cs="Arial"/>
          <w:color w:val="333333"/>
          <w:sz w:val="20"/>
          <w:szCs w:val="20"/>
        </w:rPr>
        <w:t xml:space="preserve"> – </w:t>
      </w:r>
      <w:r w:rsidRPr="009B3CD4">
        <w:rPr>
          <w:rFonts w:ascii="Arial" w:hAnsi="Arial" w:cs="Arial"/>
          <w:color w:val="333333"/>
          <w:sz w:val="20"/>
          <w:szCs w:val="20"/>
        </w:rPr>
        <w:t>“to be of assistance”.</w:t>
      </w:r>
    </w:p>
    <w:p w14:paraId="4A17AD1F" w14:textId="77777777" w:rsidR="00F36632" w:rsidRDefault="00F36632" w:rsidP="001E79F7">
      <w:pPr>
        <w:jc w:val="both"/>
        <w:rPr>
          <w:rFonts w:ascii="Arial" w:hAnsi="Arial" w:cs="Arial"/>
          <w:sz w:val="20"/>
        </w:rPr>
      </w:pPr>
    </w:p>
    <w:p w14:paraId="31371B0E" w14:textId="0E4A23CB" w:rsidR="00C632AD" w:rsidRDefault="00C632AD" w:rsidP="001E79F7">
      <w:pPr>
        <w:jc w:val="both"/>
        <w:rPr>
          <w:rFonts w:ascii="Arial" w:hAnsi="Arial" w:cs="Arial"/>
          <w:sz w:val="20"/>
        </w:rPr>
      </w:pPr>
      <w:r>
        <w:rPr>
          <w:rFonts w:ascii="Arial" w:hAnsi="Arial" w:cs="Arial"/>
          <w:sz w:val="20"/>
        </w:rPr>
        <w:t xml:space="preserve">For a discussion of the relationship between s.534 CYFA and the </w:t>
      </w:r>
      <w:r w:rsidRPr="00BF3DE5">
        <w:rPr>
          <w:rFonts w:ascii="Arial" w:hAnsi="Arial" w:cs="Arial"/>
          <w:i/>
          <w:iCs/>
          <w:sz w:val="20"/>
        </w:rPr>
        <w:t xml:space="preserve">Open Courts Act </w:t>
      </w:r>
      <w:r w:rsidR="00BF3DE5" w:rsidRPr="00BF3DE5">
        <w:rPr>
          <w:rFonts w:ascii="Arial" w:hAnsi="Arial" w:cs="Arial"/>
          <w:i/>
          <w:iCs/>
          <w:sz w:val="20"/>
        </w:rPr>
        <w:t>2013</w:t>
      </w:r>
      <w:r w:rsidR="00BF3DE5">
        <w:rPr>
          <w:rFonts w:ascii="Arial" w:hAnsi="Arial" w:cs="Arial"/>
          <w:sz w:val="20"/>
        </w:rPr>
        <w:t xml:space="preserve"> </w:t>
      </w:r>
      <w:r w:rsidR="006B1E2B">
        <w:rPr>
          <w:rFonts w:ascii="Arial" w:hAnsi="Arial" w:cs="Arial"/>
          <w:sz w:val="20"/>
        </w:rPr>
        <w:t>[</w:t>
      </w:r>
      <w:r w:rsidR="00BE1AD5">
        <w:rPr>
          <w:rFonts w:ascii="Arial" w:hAnsi="Arial" w:cs="Arial"/>
          <w:sz w:val="20"/>
        </w:rPr>
        <w:t>‘OCA’</w:t>
      </w:r>
      <w:r w:rsidR="006B1E2B">
        <w:rPr>
          <w:rFonts w:ascii="Arial" w:hAnsi="Arial" w:cs="Arial"/>
          <w:sz w:val="20"/>
        </w:rPr>
        <w:t>]</w:t>
      </w:r>
      <w:r w:rsidR="00BE1AD5">
        <w:rPr>
          <w:rFonts w:ascii="Arial" w:hAnsi="Arial" w:cs="Arial"/>
          <w:sz w:val="20"/>
        </w:rPr>
        <w:t xml:space="preserve"> </w:t>
      </w:r>
      <w:r>
        <w:rPr>
          <w:rFonts w:ascii="Arial" w:hAnsi="Arial" w:cs="Arial"/>
          <w:sz w:val="20"/>
        </w:rPr>
        <w:t>see</w:t>
      </w:r>
      <w:r w:rsidR="00BE1AD5">
        <w:rPr>
          <w:rFonts w:ascii="Arial" w:hAnsi="Arial" w:cs="Arial"/>
          <w:sz w:val="20"/>
        </w:rPr>
        <w:t> </w:t>
      </w:r>
      <w:r w:rsidRPr="00784343">
        <w:rPr>
          <w:rFonts w:ascii="Arial" w:hAnsi="Arial" w:cs="Arial"/>
          <w:b/>
          <w:bCs/>
          <w:sz w:val="20"/>
          <w:shd w:val="clear" w:color="auto" w:fill="C5E0B3"/>
        </w:rPr>
        <w:t>section 2.8.</w:t>
      </w:r>
      <w:r w:rsidR="008D7980" w:rsidRPr="00784343">
        <w:rPr>
          <w:rFonts w:ascii="Arial" w:hAnsi="Arial" w:cs="Arial"/>
          <w:b/>
          <w:bCs/>
          <w:sz w:val="20"/>
          <w:shd w:val="clear" w:color="auto" w:fill="C5E0B3"/>
        </w:rPr>
        <w:t>4</w:t>
      </w:r>
      <w:r>
        <w:rPr>
          <w:rFonts w:ascii="Arial" w:hAnsi="Arial" w:cs="Arial"/>
          <w:sz w:val="20"/>
        </w:rPr>
        <w:t xml:space="preserve"> below.</w:t>
      </w:r>
    </w:p>
    <w:p w14:paraId="20A9282B" w14:textId="77777777" w:rsidR="00C632AD" w:rsidRPr="001E79F7" w:rsidRDefault="00C632AD" w:rsidP="001E79F7">
      <w:pPr>
        <w:jc w:val="both"/>
        <w:rPr>
          <w:rFonts w:ascii="Arial" w:hAnsi="Arial" w:cs="Arial"/>
          <w:sz w:val="20"/>
        </w:rPr>
      </w:pPr>
    </w:p>
    <w:p w14:paraId="353D96EC" w14:textId="11391F48" w:rsidR="00A21C16" w:rsidRDefault="001E79F7" w:rsidP="00A21C16">
      <w:pPr>
        <w:pStyle w:val="Heading3"/>
        <w:keepNext/>
        <w:widowControl/>
        <w:spacing w:after="120" w:line="240" w:lineRule="auto"/>
        <w:rPr>
          <w:rFonts w:ascii="Arial" w:hAnsi="Arial" w:cs="Arial"/>
          <w:b/>
          <w:bCs/>
          <w:sz w:val="20"/>
        </w:rPr>
      </w:pPr>
      <w:bookmarkStart w:id="511" w:name="_2.8.2_Suppression_orders"/>
      <w:bookmarkEnd w:id="511"/>
      <w:r>
        <w:rPr>
          <w:rFonts w:ascii="Arial" w:hAnsi="Arial" w:cs="Arial"/>
          <w:b/>
          <w:bCs/>
          <w:sz w:val="20"/>
        </w:rPr>
        <w:lastRenderedPageBreak/>
        <w:t>2.8.2</w:t>
      </w:r>
      <w:r>
        <w:rPr>
          <w:rFonts w:ascii="Arial" w:hAnsi="Arial" w:cs="Arial"/>
          <w:b/>
          <w:bCs/>
          <w:sz w:val="20"/>
        </w:rPr>
        <w:tab/>
      </w:r>
      <w:r w:rsidR="00BF4024">
        <w:rPr>
          <w:rFonts w:ascii="Arial" w:hAnsi="Arial" w:cs="Arial"/>
          <w:b/>
          <w:bCs/>
          <w:sz w:val="20"/>
        </w:rPr>
        <w:t>Suppression orders</w:t>
      </w:r>
    </w:p>
    <w:p w14:paraId="3B5C907F" w14:textId="77777777" w:rsidR="008C5C7B" w:rsidRDefault="00BF4024" w:rsidP="001E79F7">
      <w:pPr>
        <w:jc w:val="both"/>
        <w:rPr>
          <w:rFonts w:ascii="Arial" w:hAnsi="Arial" w:cs="Arial"/>
          <w:sz w:val="20"/>
        </w:rPr>
      </w:pPr>
      <w:r>
        <w:rPr>
          <w:rFonts w:ascii="Arial" w:hAnsi="Arial" w:cs="Arial"/>
          <w:sz w:val="20"/>
        </w:rPr>
        <w:t xml:space="preserve">Suppression orders are the antithesis of the open justice principle.  </w:t>
      </w:r>
      <w:r w:rsidR="008C5C7B">
        <w:rPr>
          <w:rFonts w:ascii="Arial" w:hAnsi="Arial" w:cs="Arial"/>
          <w:sz w:val="20"/>
        </w:rPr>
        <w:t xml:space="preserve">In </w:t>
      </w:r>
      <w:r w:rsidR="008C5C7B" w:rsidRPr="007D5AB8">
        <w:rPr>
          <w:rFonts w:ascii="Arial" w:hAnsi="Arial" w:cs="Arial"/>
          <w:i/>
          <w:sz w:val="20"/>
        </w:rPr>
        <w:t xml:space="preserve">R v Robert </w:t>
      </w:r>
      <w:r w:rsidR="007D5AB8" w:rsidRPr="007D5AB8">
        <w:rPr>
          <w:rFonts w:ascii="Arial" w:hAnsi="Arial" w:cs="Arial"/>
          <w:i/>
          <w:sz w:val="20"/>
        </w:rPr>
        <w:t xml:space="preserve">Scott </w:t>
      </w:r>
      <w:r w:rsidR="008C5C7B" w:rsidRPr="007D5AB8">
        <w:rPr>
          <w:rFonts w:ascii="Arial" w:hAnsi="Arial" w:cs="Arial"/>
          <w:i/>
          <w:sz w:val="20"/>
        </w:rPr>
        <w:t xml:space="preserve">Pomeroy </w:t>
      </w:r>
      <w:r w:rsidR="008C5C7B">
        <w:rPr>
          <w:rFonts w:ascii="Arial" w:hAnsi="Arial" w:cs="Arial"/>
          <w:sz w:val="20"/>
        </w:rPr>
        <w:t>[2002] VSC 178</w:t>
      </w:r>
      <w:r w:rsidR="007D5AB8">
        <w:rPr>
          <w:rFonts w:ascii="Arial" w:hAnsi="Arial" w:cs="Arial"/>
          <w:sz w:val="20"/>
        </w:rPr>
        <w:t xml:space="preserve">, a case </w:t>
      </w:r>
      <w:r w:rsidR="001F1AE5">
        <w:rPr>
          <w:rFonts w:ascii="Arial" w:hAnsi="Arial" w:cs="Arial"/>
          <w:sz w:val="20"/>
        </w:rPr>
        <w:t>involving an order</w:t>
      </w:r>
      <w:r w:rsidR="00297EA2">
        <w:rPr>
          <w:rFonts w:ascii="Arial" w:hAnsi="Arial" w:cs="Arial"/>
          <w:sz w:val="20"/>
        </w:rPr>
        <w:t xml:space="preserve"> suppressing publication of certain aspects</w:t>
      </w:r>
      <w:r w:rsidR="001F1AE5">
        <w:rPr>
          <w:rFonts w:ascii="Arial" w:hAnsi="Arial" w:cs="Arial"/>
          <w:sz w:val="20"/>
        </w:rPr>
        <w:t xml:space="preserve"> of a</w:t>
      </w:r>
      <w:r w:rsidR="00297EA2">
        <w:rPr>
          <w:rFonts w:ascii="Arial" w:hAnsi="Arial" w:cs="Arial"/>
          <w:sz w:val="20"/>
        </w:rPr>
        <w:t>n adult</w:t>
      </w:r>
      <w:r w:rsidR="001F1AE5">
        <w:rPr>
          <w:rFonts w:ascii="Arial" w:hAnsi="Arial" w:cs="Arial"/>
          <w:sz w:val="20"/>
        </w:rPr>
        <w:t xml:space="preserve"> criminal proceeding</w:t>
      </w:r>
      <w:r w:rsidR="002209EB">
        <w:rPr>
          <w:rFonts w:ascii="Arial" w:hAnsi="Arial" w:cs="Arial"/>
          <w:sz w:val="20"/>
        </w:rPr>
        <w:t xml:space="preserve"> in the Supreme Court</w:t>
      </w:r>
      <w:r w:rsidR="001F1AE5">
        <w:rPr>
          <w:rFonts w:ascii="Arial" w:hAnsi="Arial" w:cs="Arial"/>
          <w:sz w:val="20"/>
        </w:rPr>
        <w:t xml:space="preserve">, </w:t>
      </w:r>
      <w:r w:rsidR="008C5C7B">
        <w:rPr>
          <w:rFonts w:ascii="Arial" w:hAnsi="Arial" w:cs="Arial"/>
          <w:sz w:val="20"/>
        </w:rPr>
        <w:t>Teague J said</w:t>
      </w:r>
      <w:r w:rsidR="007D5AB8" w:rsidRPr="007D5AB8">
        <w:rPr>
          <w:rFonts w:ascii="Arial" w:hAnsi="Arial" w:cs="Arial"/>
          <w:sz w:val="20"/>
        </w:rPr>
        <w:t xml:space="preserve"> </w:t>
      </w:r>
      <w:r w:rsidR="007D5AB8">
        <w:rPr>
          <w:rFonts w:ascii="Arial" w:hAnsi="Arial" w:cs="Arial"/>
          <w:sz w:val="20"/>
        </w:rPr>
        <w:t>at [7]</w:t>
      </w:r>
      <w:r w:rsidR="008C5C7B">
        <w:rPr>
          <w:rFonts w:ascii="Arial" w:hAnsi="Arial" w:cs="Arial"/>
          <w:sz w:val="20"/>
        </w:rPr>
        <w:t>:</w:t>
      </w:r>
    </w:p>
    <w:p w14:paraId="69203A37" w14:textId="77777777" w:rsidR="008C5C7B" w:rsidRDefault="008C5C7B" w:rsidP="00CA7479">
      <w:pPr>
        <w:spacing w:before="60"/>
        <w:ind w:left="567" w:right="567"/>
        <w:jc w:val="both"/>
        <w:rPr>
          <w:rFonts w:ascii="Arial" w:hAnsi="Arial" w:cs="Arial"/>
          <w:sz w:val="20"/>
        </w:rPr>
      </w:pPr>
      <w:r>
        <w:rPr>
          <w:rFonts w:ascii="Arial" w:hAnsi="Arial" w:cs="Arial"/>
          <w:sz w:val="20"/>
        </w:rPr>
        <w:t>“</w:t>
      </w:r>
      <w:r w:rsidR="007D5AB8" w:rsidRPr="007D5AB8">
        <w:rPr>
          <w:rFonts w:ascii="Arial" w:hAnsi="Arial" w:cs="Arial"/>
          <w:sz w:val="20"/>
        </w:rPr>
        <w:t xml:space="preserve">The open justice principle has been applied in many cases and in many differing situations.  It requires that courts must be open, and that what is said and done in the courts can be published with only such restrictions as are necessary in the interests of justice.  The media is vigilant to see that it continues to be applied.  But the courts, and particularly superior courts, are also vigilant to see that it continues to be applied, because the operation of the principle is an essential attribute of a court.  The leading authority on the scope of, and the reasons for, the principle is </w:t>
      </w:r>
      <w:r w:rsidR="007D5AB8" w:rsidRPr="007D5AB8">
        <w:rPr>
          <w:rFonts w:ascii="Arial" w:hAnsi="Arial" w:cs="Arial"/>
          <w:i/>
          <w:sz w:val="20"/>
        </w:rPr>
        <w:t>Scott v Scott</w:t>
      </w:r>
      <w:r w:rsidR="007D5AB8" w:rsidRPr="007D5AB8">
        <w:rPr>
          <w:rFonts w:ascii="Arial" w:hAnsi="Arial" w:cs="Arial"/>
          <w:sz w:val="20"/>
        </w:rPr>
        <w:t xml:space="preserve"> [1913] AC 417.  The application of the principle has often been endorsed as in </w:t>
      </w:r>
      <w:r w:rsidR="007D5AB8" w:rsidRPr="007D5AB8">
        <w:rPr>
          <w:rFonts w:ascii="Arial" w:hAnsi="Arial" w:cs="Arial"/>
          <w:i/>
          <w:sz w:val="20"/>
        </w:rPr>
        <w:t>Dickason v Dickason</w:t>
      </w:r>
      <w:r w:rsidR="007D5AB8" w:rsidRPr="007D5AB8">
        <w:rPr>
          <w:rFonts w:ascii="Arial" w:hAnsi="Arial" w:cs="Arial"/>
          <w:sz w:val="20"/>
        </w:rPr>
        <w:t xml:space="preserve"> (1913) CLR 50, and </w:t>
      </w:r>
      <w:r w:rsidR="007D5AB8" w:rsidRPr="007D5AB8">
        <w:rPr>
          <w:rFonts w:ascii="Arial" w:hAnsi="Arial" w:cs="Arial"/>
          <w:i/>
          <w:sz w:val="20"/>
        </w:rPr>
        <w:t>Russell v Russell</w:t>
      </w:r>
      <w:r w:rsidR="007D5AB8" w:rsidRPr="007D5AB8">
        <w:rPr>
          <w:rFonts w:ascii="Arial" w:hAnsi="Arial" w:cs="Arial"/>
          <w:sz w:val="20"/>
        </w:rPr>
        <w:t xml:space="preserve"> (1976) 134 CL</w:t>
      </w:r>
      <w:r w:rsidR="007D5AB8">
        <w:rPr>
          <w:rFonts w:ascii="Arial" w:hAnsi="Arial" w:cs="Arial"/>
          <w:sz w:val="20"/>
        </w:rPr>
        <w:t>R 495.”</w:t>
      </w:r>
    </w:p>
    <w:p w14:paraId="14664745" w14:textId="77777777" w:rsidR="008C5C7B" w:rsidRDefault="008C5C7B" w:rsidP="001E79F7">
      <w:pPr>
        <w:jc w:val="both"/>
        <w:rPr>
          <w:rFonts w:ascii="Arial" w:hAnsi="Arial" w:cs="Arial"/>
          <w:sz w:val="20"/>
        </w:rPr>
      </w:pPr>
    </w:p>
    <w:p w14:paraId="5EBBA66F" w14:textId="2513154D" w:rsidR="0024351E" w:rsidRPr="00792C10" w:rsidRDefault="0024351E" w:rsidP="0024351E">
      <w:pPr>
        <w:pStyle w:val="Heading2"/>
        <w:widowControl/>
        <w:shd w:val="clear" w:color="auto" w:fill="000000" w:themeFill="text1"/>
        <w:tabs>
          <w:tab w:val="left" w:pos="567"/>
        </w:tabs>
        <w:spacing w:line="240" w:lineRule="auto"/>
        <w:jc w:val="center"/>
        <w:rPr>
          <w:rFonts w:ascii="Arial" w:hAnsi="Arial" w:cs="Arial"/>
          <w:b/>
          <w:bCs/>
          <w:color w:val="FFFFFF" w:themeColor="background1"/>
          <w:sz w:val="22"/>
          <w:szCs w:val="18"/>
        </w:rPr>
      </w:pPr>
      <w:r>
        <w:rPr>
          <w:rFonts w:ascii="Arial" w:hAnsi="Arial" w:cs="Arial"/>
          <w:b/>
          <w:bCs/>
          <w:color w:val="FFFFFF" w:themeColor="background1"/>
          <w:sz w:val="22"/>
          <w:szCs w:val="18"/>
        </w:rPr>
        <w:t>COMMON LAW POWER TO MAKE A SUPPRESSION ORDER</w:t>
      </w:r>
    </w:p>
    <w:p w14:paraId="62291FF3" w14:textId="77777777" w:rsidR="0024351E" w:rsidRDefault="0024351E" w:rsidP="001E79F7">
      <w:pPr>
        <w:jc w:val="both"/>
        <w:rPr>
          <w:rFonts w:ascii="Arial" w:hAnsi="Arial" w:cs="Arial"/>
          <w:sz w:val="20"/>
        </w:rPr>
      </w:pPr>
    </w:p>
    <w:p w14:paraId="7C3987BB" w14:textId="61ED45C6" w:rsidR="00BE1AD5" w:rsidRDefault="00C70A3E" w:rsidP="007A4D20">
      <w:pPr>
        <w:jc w:val="both"/>
        <w:rPr>
          <w:rFonts w:ascii="Arial" w:hAnsi="Arial" w:cs="Arial"/>
          <w:sz w:val="20"/>
        </w:rPr>
      </w:pPr>
      <w:r>
        <w:rPr>
          <w:rFonts w:ascii="Arial" w:hAnsi="Arial" w:cs="Arial"/>
          <w:sz w:val="20"/>
        </w:rPr>
        <w:t>T</w:t>
      </w:r>
      <w:r w:rsidR="00793910">
        <w:rPr>
          <w:rFonts w:ascii="Arial" w:hAnsi="Arial" w:cs="Arial"/>
          <w:sz w:val="20"/>
        </w:rPr>
        <w:t xml:space="preserve">he </w:t>
      </w:r>
      <w:r w:rsidR="0018039F">
        <w:rPr>
          <w:rFonts w:ascii="Arial" w:hAnsi="Arial" w:cs="Arial"/>
          <w:sz w:val="20"/>
        </w:rPr>
        <w:t>superior courts ha</w:t>
      </w:r>
      <w:r w:rsidR="00C353D1">
        <w:rPr>
          <w:rFonts w:ascii="Arial" w:hAnsi="Arial" w:cs="Arial"/>
          <w:sz w:val="20"/>
        </w:rPr>
        <w:t>ve</w:t>
      </w:r>
      <w:r w:rsidR="0018039F">
        <w:rPr>
          <w:rFonts w:ascii="Arial" w:hAnsi="Arial" w:cs="Arial"/>
          <w:sz w:val="20"/>
        </w:rPr>
        <w:t xml:space="preserve"> an inherent power </w:t>
      </w:r>
      <w:r>
        <w:rPr>
          <w:rFonts w:ascii="Arial" w:hAnsi="Arial" w:cs="Arial"/>
          <w:sz w:val="20"/>
        </w:rPr>
        <w:t xml:space="preserve">at common law </w:t>
      </w:r>
      <w:r w:rsidR="0018039F">
        <w:rPr>
          <w:rFonts w:ascii="Arial" w:hAnsi="Arial" w:cs="Arial"/>
          <w:sz w:val="20"/>
        </w:rPr>
        <w:t>to make suppression orders but in the absence of express statutory power inferi</w:t>
      </w:r>
      <w:r w:rsidR="000B752E">
        <w:rPr>
          <w:rFonts w:ascii="Arial" w:hAnsi="Arial" w:cs="Arial"/>
          <w:sz w:val="20"/>
        </w:rPr>
        <w:t>or courts or tribunals d</w:t>
      </w:r>
      <w:r w:rsidR="00C353D1">
        <w:rPr>
          <w:rFonts w:ascii="Arial" w:hAnsi="Arial" w:cs="Arial"/>
          <w:sz w:val="20"/>
        </w:rPr>
        <w:t>o</w:t>
      </w:r>
      <w:r w:rsidR="000B752E">
        <w:rPr>
          <w:rFonts w:ascii="Arial" w:hAnsi="Arial" w:cs="Arial"/>
          <w:sz w:val="20"/>
        </w:rPr>
        <w:t xml:space="preserve"> not: </w:t>
      </w:r>
      <w:r w:rsidR="000B752E" w:rsidRPr="00510651">
        <w:rPr>
          <w:rFonts w:ascii="Arial" w:hAnsi="Arial" w:cs="Arial"/>
          <w:i/>
          <w:sz w:val="20"/>
        </w:rPr>
        <w:t>Herald &amp; Weekly Times Ltd v Medical Practitioners Board</w:t>
      </w:r>
      <w:r w:rsidR="000B752E">
        <w:rPr>
          <w:rFonts w:ascii="Arial" w:hAnsi="Arial" w:cs="Arial"/>
          <w:i/>
          <w:sz w:val="20"/>
        </w:rPr>
        <w:t xml:space="preserve"> of Victoria</w:t>
      </w:r>
      <w:r w:rsidR="000B752E">
        <w:rPr>
          <w:rFonts w:ascii="Arial" w:hAnsi="Arial" w:cs="Arial"/>
          <w:sz w:val="20"/>
        </w:rPr>
        <w:t xml:space="preserve"> [1999] 1 VR 267 at 278-292</w:t>
      </w:r>
      <w:r w:rsidR="0042742F">
        <w:rPr>
          <w:rFonts w:ascii="Arial" w:hAnsi="Arial" w:cs="Arial"/>
          <w:sz w:val="20"/>
        </w:rPr>
        <w:t xml:space="preserve"> per Hedigan J.</w:t>
      </w:r>
      <w:r w:rsidR="00793910">
        <w:rPr>
          <w:rFonts w:ascii="Arial" w:hAnsi="Arial" w:cs="Arial"/>
          <w:sz w:val="20"/>
        </w:rPr>
        <w:t xml:space="preserve">  </w:t>
      </w:r>
      <w:r w:rsidR="003F02FB">
        <w:rPr>
          <w:rFonts w:ascii="Arial" w:hAnsi="Arial" w:cs="Arial"/>
          <w:sz w:val="20"/>
        </w:rPr>
        <w:t>T</w:t>
      </w:r>
      <w:r w:rsidR="002D0524">
        <w:rPr>
          <w:rFonts w:ascii="Arial" w:hAnsi="Arial" w:cs="Arial"/>
          <w:sz w:val="20"/>
        </w:rPr>
        <w:t xml:space="preserve">he power of the Supreme Court </w:t>
      </w:r>
      <w:r w:rsidR="00BE1AD5">
        <w:rPr>
          <w:rFonts w:ascii="Arial" w:hAnsi="Arial" w:cs="Arial"/>
          <w:sz w:val="20"/>
        </w:rPr>
        <w:t xml:space="preserve">to make suppression orders under ss.18-19 of the </w:t>
      </w:r>
      <w:r w:rsidR="00BE1AD5" w:rsidRPr="00AE0485">
        <w:rPr>
          <w:rFonts w:ascii="Arial" w:hAnsi="Arial" w:cs="Arial"/>
          <w:i/>
          <w:iCs/>
          <w:sz w:val="20"/>
        </w:rPr>
        <w:t>Supreme Court Act 1986</w:t>
      </w:r>
      <w:r w:rsidR="00BE1AD5">
        <w:rPr>
          <w:rFonts w:ascii="Arial" w:hAnsi="Arial" w:cs="Arial"/>
          <w:i/>
          <w:iCs/>
          <w:sz w:val="20"/>
        </w:rPr>
        <w:t xml:space="preserve"> </w:t>
      </w:r>
      <w:r w:rsidR="00BE1AD5" w:rsidRPr="00BE1AD5">
        <w:rPr>
          <w:rFonts w:ascii="Arial" w:hAnsi="Arial" w:cs="Arial"/>
          <w:sz w:val="20"/>
        </w:rPr>
        <w:t>[</w:t>
      </w:r>
      <w:r w:rsidR="00BE1AD5">
        <w:rPr>
          <w:rFonts w:ascii="Arial" w:hAnsi="Arial" w:cs="Arial"/>
          <w:sz w:val="20"/>
        </w:rPr>
        <w:t xml:space="preserve">now replaced by s.17 of the OCA] is illustrated by the case of </w:t>
      </w:r>
      <w:r w:rsidR="00BE1AD5" w:rsidRPr="006E5411">
        <w:rPr>
          <w:rFonts w:ascii="Arial" w:hAnsi="Arial" w:cs="Arial"/>
          <w:i/>
          <w:sz w:val="20"/>
        </w:rPr>
        <w:t>R v SJK &amp; GAS</w:t>
      </w:r>
      <w:r w:rsidR="00BE1AD5">
        <w:rPr>
          <w:rFonts w:ascii="Arial" w:hAnsi="Arial" w:cs="Arial"/>
          <w:sz w:val="20"/>
        </w:rPr>
        <w:t xml:space="preserve"> [2002] VSC 94.  Bongiorno J had sentenced each of the child accused to a term of imprisonment of 6 years with a non-parole period of 4 years for manslaughter of a frail 73 year old woman.  At the commencement of the plea on 11/10/2001 His Honour had made an order pursuant to the inherent jurisdiction of the Supreme Court and ss.18-19 of the </w:t>
      </w:r>
      <w:r w:rsidR="00BE1AD5" w:rsidRPr="00AE0485">
        <w:rPr>
          <w:rFonts w:ascii="Arial" w:hAnsi="Arial" w:cs="Arial"/>
          <w:i/>
          <w:iCs/>
          <w:sz w:val="20"/>
        </w:rPr>
        <w:t>Supreme Court Act 1986</w:t>
      </w:r>
      <w:r w:rsidR="00BE1AD5" w:rsidRPr="006E5411">
        <w:rPr>
          <w:rFonts w:ascii="Arial" w:hAnsi="Arial" w:cs="Arial"/>
          <w:sz w:val="20"/>
        </w:rPr>
        <w:t xml:space="preserve"> </w:t>
      </w:r>
      <w:r w:rsidR="00BE1AD5">
        <w:rPr>
          <w:rFonts w:ascii="Arial" w:hAnsi="Arial" w:cs="Arial"/>
          <w:sz w:val="20"/>
        </w:rPr>
        <w:t>that “any report of a proceeding in this Court that contains any particulars likely to lead to the identification of SJK and GAS is prohibited until further order”.  On a Crown appeal the Court of Appeal increased the sentences to 9 years with a non-parole period of 6</w:t>
      </w:r>
      <w:r w:rsidR="003F02FB">
        <w:rPr>
          <w:rFonts w:ascii="Arial" w:hAnsi="Arial" w:cs="Arial"/>
          <w:sz w:val="20"/>
        </w:rPr>
        <w:t> </w:t>
      </w:r>
      <w:r w:rsidR="00BE1AD5">
        <w:rPr>
          <w:rFonts w:ascii="Arial" w:hAnsi="Arial" w:cs="Arial"/>
          <w:sz w:val="20"/>
        </w:rPr>
        <w:t xml:space="preserve">years: see </w:t>
      </w:r>
      <w:r w:rsidR="00BE1AD5" w:rsidRPr="000C7D5F">
        <w:rPr>
          <w:rFonts w:ascii="Arial" w:hAnsi="Arial" w:cs="Arial"/>
          <w:i/>
          <w:sz w:val="20"/>
        </w:rPr>
        <w:t>DPP v SKJ &amp; GAS</w:t>
      </w:r>
      <w:r w:rsidR="00BE1AD5">
        <w:rPr>
          <w:rFonts w:ascii="Arial" w:hAnsi="Arial" w:cs="Arial"/>
          <w:sz w:val="20"/>
        </w:rPr>
        <w:t xml:space="preserve"> [2002] VSCA 131.  The Court of Appeal did not interfere with the suppression order.  On 15/08/2006 solicitors for the Herald and Weekly Times Ltd, being apparently unaware of the existence of the suppression order of Bongiorno J, applied to the President of the Children’s Court pursuant to s.26(1)(a) of the CYPA [now s.534(1)(a) of the CYFA] for permission to publish the names and photographs of SJK &amp; GAS.  Judge Grant dismissed the application, observing, </w:t>
      </w:r>
      <w:r w:rsidR="00BE1AD5" w:rsidRPr="007474F2">
        <w:rPr>
          <w:rFonts w:ascii="Arial" w:hAnsi="Arial" w:cs="Arial"/>
          <w:i/>
          <w:sz w:val="20"/>
        </w:rPr>
        <w:t>inter alia</w:t>
      </w:r>
      <w:r w:rsidR="00BE1AD5">
        <w:rPr>
          <w:rFonts w:ascii="Arial" w:hAnsi="Arial" w:cs="Arial"/>
          <w:sz w:val="20"/>
        </w:rPr>
        <w:t xml:space="preserve">, that he would not consider the application because of the suppression order made by Bongiorno J.  On 07/09/2006 solicitors on behalf of the Herald and Weekly Times Ltd filed a summons in the Supreme Court seeking an order that the suppression order made by Bongiorno J on 11/10/2001 be vacated.  Gillard J held that the suppression order should not be discharged: see </w:t>
      </w:r>
      <w:r w:rsidR="00BE1AD5" w:rsidRPr="006E5411">
        <w:rPr>
          <w:rFonts w:ascii="Arial" w:hAnsi="Arial" w:cs="Arial"/>
          <w:i/>
          <w:sz w:val="20"/>
        </w:rPr>
        <w:t>R v SJK &amp; GAS</w:t>
      </w:r>
      <w:r w:rsidR="00BE1AD5">
        <w:rPr>
          <w:rFonts w:ascii="Arial" w:hAnsi="Arial" w:cs="Arial"/>
          <w:sz w:val="20"/>
        </w:rPr>
        <w:t xml:space="preserve"> [2006] VSC 335.  In the course of his decision Gillard J held</w:t>
      </w:r>
      <w:r w:rsidR="00741721">
        <w:rPr>
          <w:rFonts w:ascii="Arial" w:hAnsi="Arial" w:cs="Arial"/>
          <w:sz w:val="20"/>
        </w:rPr>
        <w:t>:</w:t>
      </w:r>
    </w:p>
    <w:p w14:paraId="4618FE1B" w14:textId="77777777" w:rsidR="00BE1AD5" w:rsidRDefault="00BE1AD5" w:rsidP="00BE1AD5">
      <w:pPr>
        <w:spacing w:before="60"/>
        <w:ind w:left="720" w:hanging="720"/>
        <w:jc w:val="both"/>
        <w:rPr>
          <w:rFonts w:ascii="Arial" w:hAnsi="Arial" w:cs="Arial"/>
          <w:sz w:val="20"/>
        </w:rPr>
      </w:pPr>
      <w:r>
        <w:rPr>
          <w:rFonts w:ascii="Arial" w:hAnsi="Arial" w:cs="Arial"/>
          <w:sz w:val="20"/>
        </w:rPr>
        <w:t>(i)</w:t>
      </w:r>
      <w:r>
        <w:rPr>
          <w:rFonts w:ascii="Arial" w:hAnsi="Arial" w:cs="Arial"/>
          <w:sz w:val="20"/>
        </w:rPr>
        <w:tab/>
        <w:t>{At [32]-[34]} Section 26 of the CYPA applies to criminal proceedings which have been heard and finalized in the Supreme Court {</w:t>
      </w:r>
      <w:r w:rsidRPr="00C94638">
        <w:rPr>
          <w:rFonts w:ascii="Arial" w:hAnsi="Arial" w:cs="Arial"/>
          <w:i/>
          <w:sz w:val="20"/>
        </w:rPr>
        <w:t>DPP v R &amp; T</w:t>
      </w:r>
      <w:r>
        <w:rPr>
          <w:rFonts w:ascii="Arial" w:hAnsi="Arial" w:cs="Arial"/>
          <w:i/>
          <w:sz w:val="20"/>
        </w:rPr>
        <w:t xml:space="preserve"> </w:t>
      </w:r>
      <w:r w:rsidRPr="003455A8">
        <w:rPr>
          <w:rFonts w:ascii="Arial" w:hAnsi="Arial" w:cs="Arial"/>
          <w:sz w:val="20"/>
        </w:rPr>
        <w:t>[</w:t>
      </w:r>
      <w:r>
        <w:rPr>
          <w:rFonts w:ascii="Arial" w:hAnsi="Arial" w:cs="Arial"/>
          <w:sz w:val="20"/>
        </w:rPr>
        <w:t>Supreme Court of Victoria-Cummins J, unreported, 15/08/1995] referred to}.</w:t>
      </w:r>
    </w:p>
    <w:p w14:paraId="47D91E4F" w14:textId="77777777" w:rsidR="00BE1AD5" w:rsidRDefault="00BE1AD5" w:rsidP="00BE1AD5">
      <w:pPr>
        <w:spacing w:before="60"/>
        <w:ind w:left="720" w:hanging="720"/>
        <w:jc w:val="both"/>
        <w:rPr>
          <w:rFonts w:ascii="Arial" w:hAnsi="Arial" w:cs="Arial"/>
          <w:sz w:val="20"/>
        </w:rPr>
      </w:pPr>
      <w:r>
        <w:rPr>
          <w:rFonts w:ascii="Arial" w:hAnsi="Arial" w:cs="Arial"/>
          <w:sz w:val="20"/>
        </w:rPr>
        <w:t>(ii)</w:t>
      </w:r>
      <w:r>
        <w:rPr>
          <w:rFonts w:ascii="Arial" w:hAnsi="Arial" w:cs="Arial"/>
          <w:sz w:val="20"/>
        </w:rPr>
        <w:tab/>
        <w:t>{At [35]-[37]} Section 26 of the CYPA does not oust the jurisdiction of the Supreme Court founded on both ss.18 &amp; 19 of the</w:t>
      </w:r>
      <w:r w:rsidRPr="00AE0485">
        <w:rPr>
          <w:rFonts w:ascii="Arial" w:hAnsi="Arial" w:cs="Arial"/>
          <w:i/>
          <w:iCs/>
          <w:sz w:val="20"/>
        </w:rPr>
        <w:t xml:space="preserve"> Supreme Court Act 1986</w:t>
      </w:r>
      <w:r>
        <w:rPr>
          <w:rFonts w:ascii="Arial" w:hAnsi="Arial" w:cs="Arial"/>
          <w:sz w:val="20"/>
        </w:rPr>
        <w:t xml:space="preserve"> and its inherent jurisdiction to make a suppression order.  The jurisdiction vested in the President of the Children’s Court by s.26 of the CYPA is a concurrent jurisdiction, it does not “cover the field”.</w:t>
      </w:r>
    </w:p>
    <w:p w14:paraId="6F6CA7FE" w14:textId="77777777" w:rsidR="00BE1AD5" w:rsidRDefault="00BE1AD5" w:rsidP="00BE1AD5">
      <w:pPr>
        <w:spacing w:before="60"/>
        <w:ind w:left="720" w:hanging="720"/>
        <w:jc w:val="both"/>
        <w:rPr>
          <w:rFonts w:ascii="Arial" w:hAnsi="Arial" w:cs="Arial"/>
          <w:sz w:val="20"/>
        </w:rPr>
      </w:pPr>
      <w:r>
        <w:rPr>
          <w:rFonts w:ascii="Arial" w:hAnsi="Arial" w:cs="Arial"/>
          <w:sz w:val="20"/>
        </w:rPr>
        <w:t>(iii)</w:t>
      </w:r>
      <w:r>
        <w:rPr>
          <w:rFonts w:ascii="Arial" w:hAnsi="Arial" w:cs="Arial"/>
          <w:sz w:val="20"/>
        </w:rPr>
        <w:tab/>
        <w:t xml:space="preserve">{At [39]-[43]} The principle protecting a young person from being identified in a criminal proceeding is well established and applies throughout the common law world.  The observations of Rehnquist J in </w:t>
      </w:r>
      <w:r w:rsidRPr="00B27FAA">
        <w:rPr>
          <w:rFonts w:ascii="Arial" w:hAnsi="Arial" w:cs="Arial"/>
          <w:i/>
          <w:sz w:val="20"/>
        </w:rPr>
        <w:t>Smith v Daily May Publishing Company</w:t>
      </w:r>
      <w:r>
        <w:rPr>
          <w:rFonts w:ascii="Arial" w:hAnsi="Arial" w:cs="Arial"/>
          <w:sz w:val="20"/>
        </w:rPr>
        <w:t xml:space="preserve"> (1979) US 97 at 106-108 apply with equal force in </w:t>
      </w:r>
      <w:smartTag w:uri="urn:schemas-microsoft-com:office:smarttags" w:element="State">
        <w:smartTag w:uri="urn:schemas-microsoft-com:office:smarttags" w:element="place">
          <w:r>
            <w:rPr>
              <w:rFonts w:ascii="Arial" w:hAnsi="Arial" w:cs="Arial"/>
              <w:sz w:val="20"/>
            </w:rPr>
            <w:t>Victoria</w:t>
          </w:r>
        </w:smartTag>
      </w:smartTag>
      <w:r>
        <w:rPr>
          <w:rFonts w:ascii="Arial" w:hAnsi="Arial" w:cs="Arial"/>
          <w:sz w:val="20"/>
        </w:rPr>
        <w:t>:</w:t>
      </w:r>
    </w:p>
    <w:p w14:paraId="3675BFAC" w14:textId="77777777" w:rsidR="00BE1AD5" w:rsidRDefault="00BE1AD5" w:rsidP="00BE1AD5">
      <w:pPr>
        <w:numPr>
          <w:ilvl w:val="0"/>
          <w:numId w:val="1"/>
        </w:numPr>
        <w:tabs>
          <w:tab w:val="num" w:pos="723"/>
        </w:tabs>
        <w:spacing w:before="60"/>
        <w:ind w:left="1083"/>
        <w:jc w:val="both"/>
        <w:rPr>
          <w:rFonts w:ascii="Arial" w:hAnsi="Arial" w:cs="Arial"/>
          <w:sz w:val="20"/>
        </w:rPr>
      </w:pPr>
      <w:r>
        <w:rPr>
          <w:rFonts w:ascii="Arial" w:hAnsi="Arial" w:cs="Arial"/>
          <w:sz w:val="20"/>
        </w:rPr>
        <w:t>“While we have shown a special solicitude for freedom of speech and of the press, we have eschewed absolutes in favour of a more delicate calculus that carefully weighs the conflicting interests to determine which demands the greater protection under the particular circumstances presented.”</w:t>
      </w:r>
    </w:p>
    <w:p w14:paraId="5E4701D3" w14:textId="77777777" w:rsidR="00BE1AD5" w:rsidRDefault="00BE1AD5" w:rsidP="00BE1AD5">
      <w:pPr>
        <w:numPr>
          <w:ilvl w:val="0"/>
          <w:numId w:val="1"/>
        </w:numPr>
        <w:tabs>
          <w:tab w:val="num" w:pos="723"/>
        </w:tabs>
        <w:spacing w:before="60"/>
        <w:ind w:left="1083"/>
        <w:jc w:val="both"/>
        <w:rPr>
          <w:rFonts w:ascii="Arial" w:hAnsi="Arial" w:cs="Arial"/>
          <w:sz w:val="20"/>
        </w:rPr>
      </w:pPr>
      <w:r>
        <w:rPr>
          <w:rFonts w:ascii="Arial" w:hAnsi="Arial" w:cs="Arial"/>
          <w:sz w:val="20"/>
        </w:rPr>
        <w:t xml:space="preserve">“It is a hallmark of our juvenile justice system in the </w:t>
      </w:r>
      <w:smartTag w:uri="urn:schemas-microsoft-com:office:smarttags" w:element="country-region">
        <w:smartTag w:uri="urn:schemas-microsoft-com:office:smarttags" w:element="place">
          <w:r>
            <w:rPr>
              <w:rFonts w:ascii="Arial" w:hAnsi="Arial" w:cs="Arial"/>
              <w:sz w:val="20"/>
            </w:rPr>
            <w:t>United States</w:t>
          </w:r>
        </w:smartTag>
      </w:smartTag>
      <w:r>
        <w:rPr>
          <w:rFonts w:ascii="Arial" w:hAnsi="Arial" w:cs="Arial"/>
          <w:sz w:val="20"/>
        </w:rPr>
        <w:t xml:space="preserve"> that virtually from its inception at the end of the last century its proceedings have been conducted outside of the public’s full gaze and the youths brought before our juvenile courts have been shielded from publicity.”</w:t>
      </w:r>
    </w:p>
    <w:p w14:paraId="651DDB69" w14:textId="77777777" w:rsidR="00BE1AD5" w:rsidRDefault="00BE1AD5" w:rsidP="00BE1AD5">
      <w:pPr>
        <w:numPr>
          <w:ilvl w:val="0"/>
          <w:numId w:val="1"/>
        </w:numPr>
        <w:tabs>
          <w:tab w:val="num" w:pos="723"/>
        </w:tabs>
        <w:spacing w:before="60"/>
        <w:ind w:left="1083"/>
        <w:jc w:val="both"/>
        <w:rPr>
          <w:rFonts w:ascii="Arial" w:hAnsi="Arial" w:cs="Arial"/>
          <w:sz w:val="20"/>
        </w:rPr>
      </w:pPr>
      <w:r>
        <w:rPr>
          <w:rFonts w:ascii="Arial" w:hAnsi="Arial" w:cs="Arial"/>
          <w:sz w:val="20"/>
        </w:rPr>
        <w:t>“Publication of the names of juvenile offenders may seriously impair the rehabilitative goals of the juvenile justice system and handicap the youths’ prospects for adjustment in society and acceptance by the public.”</w:t>
      </w:r>
    </w:p>
    <w:p w14:paraId="45772A3B" w14:textId="77777777" w:rsidR="00BE1AD5" w:rsidRDefault="00BE1AD5" w:rsidP="00BE1AD5">
      <w:pPr>
        <w:numPr>
          <w:ilvl w:val="0"/>
          <w:numId w:val="1"/>
        </w:numPr>
        <w:tabs>
          <w:tab w:val="num" w:pos="723"/>
        </w:tabs>
        <w:spacing w:before="60"/>
        <w:ind w:left="1083"/>
        <w:jc w:val="both"/>
        <w:rPr>
          <w:rFonts w:ascii="Arial" w:hAnsi="Arial" w:cs="Arial"/>
          <w:sz w:val="20"/>
        </w:rPr>
      </w:pPr>
      <w:r>
        <w:rPr>
          <w:rFonts w:ascii="Arial" w:hAnsi="Arial" w:cs="Arial"/>
          <w:sz w:val="20"/>
        </w:rPr>
        <w:lastRenderedPageBreak/>
        <w:t>“By contrast, a prohibition against publication of the names of youthful offenders represents only a minimal interference with freedom of the press.”</w:t>
      </w:r>
    </w:p>
    <w:p w14:paraId="079BE02B" w14:textId="77777777" w:rsidR="00BE1AD5" w:rsidRDefault="00BE1AD5" w:rsidP="00BE1AD5">
      <w:pPr>
        <w:spacing w:before="60"/>
        <w:ind w:left="720" w:hanging="720"/>
        <w:jc w:val="both"/>
        <w:rPr>
          <w:rFonts w:ascii="Arial" w:hAnsi="Arial" w:cs="Arial"/>
          <w:sz w:val="20"/>
        </w:rPr>
      </w:pPr>
      <w:r>
        <w:rPr>
          <w:rFonts w:ascii="Arial" w:hAnsi="Arial" w:cs="Arial"/>
          <w:sz w:val="20"/>
        </w:rPr>
        <w:t>(iv)</w:t>
      </w:r>
      <w:r>
        <w:rPr>
          <w:rFonts w:ascii="Arial" w:hAnsi="Arial" w:cs="Arial"/>
          <w:sz w:val="20"/>
        </w:rPr>
        <w:tab/>
        <w:t>{At [46]} If the Supreme Court order was discharged, the applicant would still have to make an application to the President of the Children’s Court for permission under s.26 to identify the prisoners and publish a photograph of them.</w:t>
      </w:r>
    </w:p>
    <w:p w14:paraId="01F39715" w14:textId="77777777" w:rsidR="00BE1AD5" w:rsidRDefault="00BE1AD5" w:rsidP="00BE1AD5">
      <w:pPr>
        <w:spacing w:before="60"/>
        <w:ind w:left="720" w:hanging="720"/>
        <w:jc w:val="both"/>
        <w:rPr>
          <w:rFonts w:ascii="Arial" w:hAnsi="Arial" w:cs="Arial"/>
          <w:sz w:val="20"/>
        </w:rPr>
      </w:pPr>
      <w:r>
        <w:rPr>
          <w:rFonts w:ascii="Arial" w:hAnsi="Arial" w:cs="Arial"/>
          <w:sz w:val="20"/>
        </w:rPr>
        <w:t>(v)</w:t>
      </w:r>
      <w:r>
        <w:rPr>
          <w:rFonts w:ascii="Arial" w:hAnsi="Arial" w:cs="Arial"/>
          <w:sz w:val="20"/>
        </w:rPr>
        <w:tab/>
        <w:t>{At [49]} Bongiorno J thought it appropriate that a suppression order ought to be made.  When the Court of Appeal increased the sentence, rehabilitation was a factor relevant to the sentencing exercise.  The Supreme Court should continue to have control over the question of publication of the names of the prisoners.  When each sentence has been fully completed [i.e. not just the non-parole period], a different view may be taken but whilst the sentences are still operating it is inappropriate to remove the control of the Supreme Court over the question of publication of the identity of each prisoner.</w:t>
      </w:r>
    </w:p>
    <w:p w14:paraId="53F5C843" w14:textId="77777777" w:rsidR="00BE1AD5" w:rsidRDefault="00BE1AD5" w:rsidP="00BE1AD5">
      <w:pPr>
        <w:spacing w:before="120"/>
        <w:jc w:val="both"/>
        <w:rPr>
          <w:rFonts w:ascii="Arial" w:hAnsi="Arial" w:cs="Arial"/>
          <w:sz w:val="20"/>
        </w:rPr>
      </w:pPr>
      <w:r w:rsidRPr="007D0039">
        <w:rPr>
          <w:rFonts w:ascii="Arial" w:hAnsi="Arial" w:cs="Arial"/>
          <w:color w:val="000000"/>
          <w:sz w:val="20"/>
        </w:rPr>
        <w:t>As at September 2011, the suppression order made by Bongiorno J in this case remain</w:t>
      </w:r>
      <w:r>
        <w:rPr>
          <w:rFonts w:ascii="Arial" w:hAnsi="Arial" w:cs="Arial"/>
          <w:color w:val="000000"/>
          <w:sz w:val="20"/>
        </w:rPr>
        <w:t>ed</w:t>
      </w:r>
      <w:r w:rsidRPr="007D0039">
        <w:rPr>
          <w:rFonts w:ascii="Arial" w:hAnsi="Arial" w:cs="Arial"/>
          <w:color w:val="000000"/>
          <w:sz w:val="20"/>
        </w:rPr>
        <w:t xml:space="preserve"> on foot: see </w:t>
      </w:r>
      <w:r w:rsidRPr="007D0039">
        <w:rPr>
          <w:rFonts w:ascii="Arial" w:hAnsi="Arial" w:cs="Arial"/>
          <w:i/>
          <w:color w:val="000000"/>
          <w:sz w:val="20"/>
        </w:rPr>
        <w:t>R v SJK &amp; GAS</w:t>
      </w:r>
      <w:r w:rsidRPr="007D0039">
        <w:rPr>
          <w:rFonts w:ascii="Arial" w:hAnsi="Arial" w:cs="Arial"/>
          <w:color w:val="000000"/>
          <w:sz w:val="20"/>
        </w:rPr>
        <w:t xml:space="preserve"> [2011] VSC 431.</w:t>
      </w:r>
    </w:p>
    <w:p w14:paraId="5B6C33A2" w14:textId="77777777" w:rsidR="0024351E" w:rsidRDefault="0024351E" w:rsidP="0024351E">
      <w:pPr>
        <w:jc w:val="both"/>
        <w:rPr>
          <w:rFonts w:ascii="Arial" w:hAnsi="Arial" w:cs="Arial"/>
          <w:sz w:val="20"/>
        </w:rPr>
      </w:pPr>
    </w:p>
    <w:p w14:paraId="7C817B3F" w14:textId="5B300DB8" w:rsidR="00F36804" w:rsidRDefault="00A851F4" w:rsidP="001E79F7">
      <w:pPr>
        <w:jc w:val="both"/>
        <w:rPr>
          <w:rFonts w:ascii="Arial" w:hAnsi="Arial" w:cs="Arial"/>
          <w:sz w:val="20"/>
        </w:rPr>
      </w:pPr>
      <w:r>
        <w:rPr>
          <w:rFonts w:ascii="Arial" w:hAnsi="Arial" w:cs="Arial"/>
          <w:sz w:val="20"/>
        </w:rPr>
        <w:t>Any</w:t>
      </w:r>
      <w:r w:rsidR="00793910">
        <w:rPr>
          <w:rFonts w:ascii="Arial" w:hAnsi="Arial" w:cs="Arial"/>
          <w:sz w:val="20"/>
        </w:rPr>
        <w:t xml:space="preserve"> common law power </w:t>
      </w:r>
      <w:r w:rsidR="00BE1AD5">
        <w:rPr>
          <w:rFonts w:ascii="Arial" w:hAnsi="Arial" w:cs="Arial"/>
          <w:sz w:val="20"/>
        </w:rPr>
        <w:t xml:space="preserve">of courts </w:t>
      </w:r>
      <w:r w:rsidR="00700BCA">
        <w:rPr>
          <w:rFonts w:ascii="Arial" w:hAnsi="Arial" w:cs="Arial"/>
          <w:sz w:val="20"/>
        </w:rPr>
        <w:t>o</w:t>
      </w:r>
      <w:r w:rsidR="00B61BB8">
        <w:rPr>
          <w:rFonts w:ascii="Arial" w:hAnsi="Arial" w:cs="Arial"/>
          <w:sz w:val="20"/>
        </w:rPr>
        <w:t xml:space="preserve">r tribunals </w:t>
      </w:r>
      <w:r w:rsidR="00A5356E">
        <w:rPr>
          <w:rFonts w:ascii="Arial" w:hAnsi="Arial" w:cs="Arial"/>
          <w:sz w:val="20"/>
        </w:rPr>
        <w:t xml:space="preserve">other than the Supreme Court </w:t>
      </w:r>
      <w:r w:rsidR="00BE1AD5">
        <w:rPr>
          <w:rFonts w:ascii="Arial" w:hAnsi="Arial" w:cs="Arial"/>
          <w:sz w:val="20"/>
        </w:rPr>
        <w:t xml:space="preserve">to make suppression orders </w:t>
      </w:r>
      <w:r w:rsidR="00793910">
        <w:rPr>
          <w:rFonts w:ascii="Arial" w:hAnsi="Arial" w:cs="Arial"/>
          <w:sz w:val="20"/>
        </w:rPr>
        <w:t xml:space="preserve">has been </w:t>
      </w:r>
      <w:r w:rsidR="00D8096D">
        <w:rPr>
          <w:rFonts w:ascii="Arial" w:hAnsi="Arial" w:cs="Arial"/>
          <w:sz w:val="20"/>
        </w:rPr>
        <w:t>“</w:t>
      </w:r>
      <w:r w:rsidR="00793910">
        <w:rPr>
          <w:rFonts w:ascii="Arial" w:hAnsi="Arial" w:cs="Arial"/>
          <w:sz w:val="20"/>
        </w:rPr>
        <w:t>abrogated</w:t>
      </w:r>
      <w:r w:rsidR="00D8096D">
        <w:rPr>
          <w:rFonts w:ascii="Arial" w:hAnsi="Arial" w:cs="Arial"/>
          <w:sz w:val="20"/>
        </w:rPr>
        <w:t>”</w:t>
      </w:r>
      <w:r w:rsidR="00793910">
        <w:rPr>
          <w:rFonts w:ascii="Arial" w:hAnsi="Arial" w:cs="Arial"/>
          <w:sz w:val="20"/>
        </w:rPr>
        <w:t xml:space="preserve"> by s.5(</w:t>
      </w:r>
      <w:r w:rsidR="005460C0">
        <w:rPr>
          <w:rFonts w:ascii="Arial" w:hAnsi="Arial" w:cs="Arial"/>
          <w:sz w:val="20"/>
        </w:rPr>
        <w:t>2</w:t>
      </w:r>
      <w:r w:rsidR="003C5289">
        <w:rPr>
          <w:rFonts w:ascii="Arial" w:hAnsi="Arial" w:cs="Arial"/>
          <w:sz w:val="20"/>
        </w:rPr>
        <w:t>) of the</w:t>
      </w:r>
      <w:r w:rsidR="00BE1AD5">
        <w:rPr>
          <w:rFonts w:ascii="Arial" w:hAnsi="Arial" w:cs="Arial"/>
          <w:sz w:val="20"/>
        </w:rPr>
        <w:t xml:space="preserve"> </w:t>
      </w:r>
      <w:r w:rsidR="00640E33" w:rsidRPr="00AE0485">
        <w:rPr>
          <w:rFonts w:ascii="Arial" w:hAnsi="Arial" w:cs="Arial"/>
          <w:i/>
          <w:iCs/>
          <w:sz w:val="20"/>
        </w:rPr>
        <w:t>Open Courts Act 2013</w:t>
      </w:r>
      <w:r w:rsidR="007A4D20">
        <w:rPr>
          <w:rFonts w:ascii="Arial" w:hAnsi="Arial" w:cs="Arial"/>
          <w:i/>
          <w:iCs/>
          <w:sz w:val="20"/>
        </w:rPr>
        <w:t xml:space="preserve"> </w:t>
      </w:r>
      <w:r w:rsidR="007A4D20" w:rsidRPr="007A4D20">
        <w:rPr>
          <w:rFonts w:ascii="Arial" w:hAnsi="Arial" w:cs="Arial"/>
          <w:sz w:val="20"/>
        </w:rPr>
        <w:t>[‘OCA’]</w:t>
      </w:r>
      <w:r w:rsidR="002715BF">
        <w:rPr>
          <w:rFonts w:ascii="Arial" w:hAnsi="Arial" w:cs="Arial"/>
          <w:sz w:val="20"/>
        </w:rPr>
        <w:t xml:space="preserve">.  </w:t>
      </w:r>
      <w:r w:rsidR="00935AC0">
        <w:rPr>
          <w:rFonts w:ascii="Arial" w:hAnsi="Arial" w:cs="Arial"/>
          <w:sz w:val="20"/>
        </w:rPr>
        <w:t>Likewise</w:t>
      </w:r>
      <w:r w:rsidR="00C02A48">
        <w:rPr>
          <w:rFonts w:ascii="Arial" w:hAnsi="Arial" w:cs="Arial"/>
          <w:sz w:val="20"/>
        </w:rPr>
        <w:t>,</w:t>
      </w:r>
      <w:r w:rsidR="00935AC0">
        <w:rPr>
          <w:rFonts w:ascii="Arial" w:hAnsi="Arial" w:cs="Arial"/>
          <w:sz w:val="20"/>
        </w:rPr>
        <w:t xml:space="preserve"> s.5(3) provides that </w:t>
      </w:r>
      <w:r w:rsidR="00A24CD0">
        <w:rPr>
          <w:rFonts w:ascii="Arial" w:hAnsi="Arial" w:cs="Arial"/>
          <w:sz w:val="20"/>
        </w:rPr>
        <w:t>“A</w:t>
      </w:r>
      <w:r w:rsidR="007A4D20">
        <w:rPr>
          <w:rFonts w:ascii="Arial" w:hAnsi="Arial" w:cs="Arial"/>
          <w:sz w:val="20"/>
        </w:rPr>
        <w:t> </w:t>
      </w:r>
      <w:r w:rsidR="00A24CD0">
        <w:rPr>
          <w:rFonts w:ascii="Arial" w:hAnsi="Arial" w:cs="Arial"/>
          <w:sz w:val="20"/>
        </w:rPr>
        <w:t>court or tribunal [other than the Supreme Court] has no implied jurisdiction to make an order prohibitin</w:t>
      </w:r>
      <w:r w:rsidR="00D8096D">
        <w:rPr>
          <w:rFonts w:ascii="Arial" w:hAnsi="Arial" w:cs="Arial"/>
          <w:sz w:val="20"/>
        </w:rPr>
        <w:t>g or restricting the publication of information in connection with any proceeding.”</w:t>
      </w:r>
    </w:p>
    <w:p w14:paraId="7D4AB58F" w14:textId="1373D9A5" w:rsidR="00F36804" w:rsidRDefault="002D4403" w:rsidP="002D4403">
      <w:pPr>
        <w:spacing w:before="60"/>
        <w:jc w:val="both"/>
        <w:rPr>
          <w:rFonts w:ascii="Arial" w:hAnsi="Arial" w:cs="Arial"/>
          <w:sz w:val="20"/>
        </w:rPr>
      </w:pPr>
      <w:r>
        <w:rPr>
          <w:rFonts w:ascii="Arial" w:hAnsi="Arial" w:cs="Arial"/>
          <w:sz w:val="20"/>
        </w:rPr>
        <w:t xml:space="preserve">In </w:t>
      </w:r>
      <w:r w:rsidR="00F36804" w:rsidRPr="002D4403">
        <w:rPr>
          <w:rFonts w:ascii="Arial" w:hAnsi="Arial" w:cs="Arial"/>
          <w:i/>
          <w:iCs/>
          <w:sz w:val="20"/>
          <w:szCs w:val="20"/>
        </w:rPr>
        <w:t xml:space="preserve">DPP v </w:t>
      </w:r>
      <w:proofErr w:type="spellStart"/>
      <w:r w:rsidR="00F36804" w:rsidRPr="002D4403">
        <w:rPr>
          <w:rFonts w:ascii="Arial" w:hAnsi="Arial" w:cs="Arial"/>
          <w:i/>
          <w:iCs/>
          <w:sz w:val="20"/>
          <w:szCs w:val="20"/>
        </w:rPr>
        <w:t>Tuteru</w:t>
      </w:r>
      <w:proofErr w:type="spellEnd"/>
      <w:r w:rsidR="00F36804" w:rsidRPr="002D4403">
        <w:rPr>
          <w:rFonts w:ascii="Arial" w:hAnsi="Arial" w:cs="Arial"/>
          <w:i/>
          <w:iCs/>
          <w:sz w:val="20"/>
          <w:szCs w:val="20"/>
        </w:rPr>
        <w:t xml:space="preserve"> (Application for suppression order)</w:t>
      </w:r>
      <w:r w:rsidR="00F36804" w:rsidRPr="002D4403">
        <w:rPr>
          <w:rFonts w:ascii="Arial" w:hAnsi="Arial" w:cs="Arial"/>
          <w:sz w:val="20"/>
          <w:szCs w:val="20"/>
        </w:rPr>
        <w:t xml:space="preserve"> [2023] VSC 241 </w:t>
      </w:r>
      <w:r w:rsidR="00062290">
        <w:rPr>
          <w:rFonts w:ascii="Arial" w:hAnsi="Arial" w:cs="Arial"/>
          <w:sz w:val="20"/>
          <w:szCs w:val="20"/>
        </w:rPr>
        <w:t xml:space="preserve">– in </w:t>
      </w:r>
      <w:r w:rsidR="005B5090">
        <w:rPr>
          <w:rFonts w:ascii="Arial" w:hAnsi="Arial" w:cs="Arial"/>
          <w:sz w:val="20"/>
          <w:szCs w:val="20"/>
        </w:rPr>
        <w:t xml:space="preserve">the course of </w:t>
      </w:r>
      <w:r w:rsidR="0073273F">
        <w:rPr>
          <w:rFonts w:ascii="Arial" w:hAnsi="Arial" w:cs="Arial"/>
          <w:sz w:val="20"/>
          <w:szCs w:val="20"/>
        </w:rPr>
        <w:t>dismiss</w:t>
      </w:r>
      <w:r w:rsidR="00062290">
        <w:rPr>
          <w:rFonts w:ascii="Arial" w:hAnsi="Arial" w:cs="Arial"/>
          <w:sz w:val="20"/>
          <w:szCs w:val="20"/>
        </w:rPr>
        <w:t xml:space="preserve">ing </w:t>
      </w:r>
      <w:r w:rsidR="00076C19">
        <w:rPr>
          <w:rFonts w:ascii="Arial" w:hAnsi="Arial" w:cs="Arial"/>
          <w:sz w:val="20"/>
          <w:szCs w:val="20"/>
        </w:rPr>
        <w:t xml:space="preserve">the application </w:t>
      </w:r>
      <w:r w:rsidR="005B5090">
        <w:rPr>
          <w:rFonts w:ascii="Arial" w:hAnsi="Arial" w:cs="Arial"/>
          <w:sz w:val="20"/>
          <w:szCs w:val="20"/>
        </w:rPr>
        <w:t>–</w:t>
      </w:r>
      <w:r w:rsidR="00076C19">
        <w:rPr>
          <w:rFonts w:ascii="Arial" w:hAnsi="Arial" w:cs="Arial"/>
          <w:sz w:val="20"/>
          <w:szCs w:val="20"/>
        </w:rPr>
        <w:t xml:space="preserve"> </w:t>
      </w:r>
      <w:r w:rsidR="00763D83">
        <w:rPr>
          <w:rFonts w:ascii="Arial" w:hAnsi="Arial" w:cs="Arial"/>
          <w:sz w:val="20"/>
          <w:szCs w:val="20"/>
        </w:rPr>
        <w:t>Forbes</w:t>
      </w:r>
      <w:r w:rsidR="005B5090">
        <w:rPr>
          <w:rFonts w:ascii="Arial" w:hAnsi="Arial" w:cs="Arial"/>
          <w:sz w:val="20"/>
          <w:szCs w:val="20"/>
        </w:rPr>
        <w:t xml:space="preserve"> </w:t>
      </w:r>
      <w:r w:rsidR="00763D83">
        <w:rPr>
          <w:rFonts w:ascii="Arial" w:hAnsi="Arial" w:cs="Arial"/>
          <w:sz w:val="20"/>
          <w:szCs w:val="20"/>
        </w:rPr>
        <w:t>J said</w:t>
      </w:r>
      <w:r w:rsidR="00062290">
        <w:rPr>
          <w:rFonts w:ascii="Arial" w:hAnsi="Arial" w:cs="Arial"/>
          <w:sz w:val="20"/>
          <w:szCs w:val="20"/>
        </w:rPr>
        <w:t xml:space="preserve"> </w:t>
      </w:r>
      <w:r w:rsidR="00062290" w:rsidRPr="002D4403">
        <w:rPr>
          <w:rFonts w:ascii="Arial" w:hAnsi="Arial" w:cs="Arial"/>
          <w:sz w:val="20"/>
          <w:szCs w:val="20"/>
        </w:rPr>
        <w:t>at [11]-[1</w:t>
      </w:r>
      <w:r w:rsidR="009B2B5A">
        <w:rPr>
          <w:rFonts w:ascii="Arial" w:hAnsi="Arial" w:cs="Arial"/>
          <w:sz w:val="20"/>
          <w:szCs w:val="20"/>
        </w:rPr>
        <w:t>3</w:t>
      </w:r>
      <w:r w:rsidR="00062290" w:rsidRPr="002D4403">
        <w:rPr>
          <w:rFonts w:ascii="Arial" w:hAnsi="Arial" w:cs="Arial"/>
          <w:sz w:val="20"/>
          <w:szCs w:val="20"/>
        </w:rPr>
        <w:t>]</w:t>
      </w:r>
      <w:r w:rsidR="00763D83">
        <w:rPr>
          <w:rFonts w:ascii="Arial" w:hAnsi="Arial" w:cs="Arial"/>
          <w:sz w:val="20"/>
          <w:szCs w:val="20"/>
        </w:rPr>
        <w:t>:</w:t>
      </w:r>
    </w:p>
    <w:p w14:paraId="4788C70A" w14:textId="5E6CD4F8" w:rsidR="005A7811" w:rsidRDefault="0033638D" w:rsidP="00D3315D">
      <w:pPr>
        <w:spacing w:before="60"/>
        <w:ind w:left="567" w:right="567"/>
        <w:jc w:val="both"/>
        <w:rPr>
          <w:rFonts w:ascii="Arial" w:hAnsi="Arial" w:cs="Arial"/>
          <w:sz w:val="20"/>
          <w:szCs w:val="20"/>
        </w:rPr>
      </w:pPr>
      <w:r>
        <w:rPr>
          <w:rFonts w:ascii="Arial" w:hAnsi="Arial" w:cs="Arial"/>
          <w:sz w:val="20"/>
        </w:rPr>
        <w:t xml:space="preserve">[11] </w:t>
      </w:r>
      <w:r w:rsidR="00D3315D">
        <w:rPr>
          <w:rFonts w:ascii="Arial" w:hAnsi="Arial" w:cs="Arial"/>
          <w:sz w:val="20"/>
        </w:rPr>
        <w:t>“</w:t>
      </w:r>
      <w:r w:rsidR="00D3315D" w:rsidRPr="00D3315D">
        <w:rPr>
          <w:rFonts w:ascii="Arial" w:hAnsi="Arial" w:cs="Arial"/>
          <w:sz w:val="20"/>
          <w:szCs w:val="20"/>
        </w:rPr>
        <w:t xml:space="preserve">The </w:t>
      </w:r>
      <w:r w:rsidR="00B568D9">
        <w:rPr>
          <w:rFonts w:ascii="Arial" w:hAnsi="Arial" w:cs="Arial"/>
          <w:sz w:val="20"/>
          <w:szCs w:val="20"/>
        </w:rPr>
        <w:t xml:space="preserve">[Supreme] </w:t>
      </w:r>
      <w:r w:rsidR="00D3315D" w:rsidRPr="00D3315D">
        <w:rPr>
          <w:rFonts w:ascii="Arial" w:hAnsi="Arial" w:cs="Arial"/>
          <w:sz w:val="20"/>
          <w:szCs w:val="20"/>
        </w:rPr>
        <w:t>Court has inherent power to make orders necessary for the fair trial of an accused</w:t>
      </w:r>
      <w:r w:rsidR="00D3315D">
        <w:rPr>
          <w:rFonts w:ascii="Arial" w:hAnsi="Arial" w:cs="Arial"/>
          <w:sz w:val="20"/>
          <w:szCs w:val="20"/>
        </w:rPr>
        <w:t xml:space="preserve">: </w:t>
      </w:r>
      <w:r w:rsidR="00D3315D" w:rsidRPr="00D3315D">
        <w:rPr>
          <w:rFonts w:ascii="Arial" w:hAnsi="Arial" w:cs="Arial"/>
          <w:i/>
          <w:iCs/>
          <w:sz w:val="20"/>
          <w:szCs w:val="20"/>
        </w:rPr>
        <w:t>General Television Corporation Pty Ltd v Director of Public Prosecutions &amp; Ors</w:t>
      </w:r>
      <w:r w:rsidR="00D3315D" w:rsidRPr="00D3315D">
        <w:rPr>
          <w:rFonts w:ascii="Arial" w:hAnsi="Arial" w:cs="Arial"/>
          <w:sz w:val="20"/>
          <w:szCs w:val="20"/>
        </w:rPr>
        <w:t xml:space="preserve"> [2008] VSCA 49; 19 VR 68 [21] citing in part </w:t>
      </w:r>
      <w:r w:rsidR="00D3315D" w:rsidRPr="00D3315D">
        <w:rPr>
          <w:rFonts w:ascii="Arial" w:hAnsi="Arial" w:cs="Arial"/>
          <w:i/>
          <w:iCs/>
          <w:sz w:val="20"/>
          <w:szCs w:val="20"/>
        </w:rPr>
        <w:t>John Fairfax and Sons v Police Tribunal of NSW</w:t>
      </w:r>
      <w:r w:rsidR="00D3315D" w:rsidRPr="00D3315D">
        <w:rPr>
          <w:rFonts w:ascii="Arial" w:hAnsi="Arial" w:cs="Arial"/>
          <w:sz w:val="20"/>
          <w:szCs w:val="20"/>
        </w:rPr>
        <w:t xml:space="preserve"> (1986) 5 NSWLR 465 [471].</w:t>
      </w:r>
      <w:r w:rsidR="00331F27">
        <w:rPr>
          <w:rFonts w:ascii="Arial" w:hAnsi="Arial" w:cs="Arial"/>
          <w:sz w:val="20"/>
          <w:szCs w:val="20"/>
        </w:rPr>
        <w:t xml:space="preserve">  </w:t>
      </w:r>
      <w:r w:rsidR="00331F27" w:rsidRPr="00D3315D">
        <w:rPr>
          <w:rFonts w:ascii="Arial" w:hAnsi="Arial" w:cs="Arial"/>
          <w:sz w:val="20"/>
          <w:szCs w:val="20"/>
        </w:rPr>
        <w:t xml:space="preserve">The applicant sought the order in reliance on the Court’s inherent jurisdiction and not pursuant to the </w:t>
      </w:r>
      <w:r w:rsidR="00331F27" w:rsidRPr="00331F27">
        <w:rPr>
          <w:rFonts w:ascii="Arial" w:hAnsi="Arial" w:cs="Arial"/>
          <w:i/>
          <w:iCs/>
          <w:sz w:val="20"/>
          <w:szCs w:val="20"/>
        </w:rPr>
        <w:t xml:space="preserve">Open Courts Act 2013 </w:t>
      </w:r>
      <w:r w:rsidR="00331F27" w:rsidRPr="00715F0C">
        <w:rPr>
          <w:rFonts w:ascii="Arial" w:hAnsi="Arial" w:cs="Arial"/>
          <w:sz w:val="20"/>
          <w:szCs w:val="20"/>
        </w:rPr>
        <w:t>(Vic)</w:t>
      </w:r>
      <w:r w:rsidR="00331F27" w:rsidRPr="00D3315D">
        <w:rPr>
          <w:rFonts w:ascii="Arial" w:hAnsi="Arial" w:cs="Arial"/>
          <w:sz w:val="20"/>
          <w:szCs w:val="20"/>
        </w:rPr>
        <w:t>. There was no issue as to the Court’s power to make the order if it was appropriate to do so.</w:t>
      </w:r>
    </w:p>
    <w:p w14:paraId="5DDC3A96" w14:textId="36914014" w:rsidR="005A7811" w:rsidRDefault="0033638D" w:rsidP="00D3315D">
      <w:pPr>
        <w:spacing w:before="60"/>
        <w:ind w:left="567" w:right="567"/>
        <w:jc w:val="both"/>
        <w:rPr>
          <w:rFonts w:ascii="Arial" w:hAnsi="Arial" w:cs="Arial"/>
          <w:sz w:val="20"/>
          <w:szCs w:val="20"/>
        </w:rPr>
      </w:pPr>
      <w:r>
        <w:rPr>
          <w:rFonts w:ascii="Arial" w:hAnsi="Arial" w:cs="Arial"/>
          <w:sz w:val="20"/>
          <w:szCs w:val="20"/>
        </w:rPr>
        <w:t xml:space="preserve">[12] </w:t>
      </w:r>
      <w:r w:rsidR="005A7811" w:rsidRPr="00D3315D">
        <w:rPr>
          <w:rFonts w:ascii="Arial" w:hAnsi="Arial" w:cs="Arial"/>
          <w:sz w:val="20"/>
          <w:szCs w:val="20"/>
        </w:rPr>
        <w:t>The relevant legal test for a defence application for a suppression order has been clearly stated on a number of occasions</w:t>
      </w:r>
      <w:r w:rsidR="00E4385F">
        <w:rPr>
          <w:rFonts w:ascii="Arial" w:hAnsi="Arial" w:cs="Arial"/>
          <w:sz w:val="20"/>
          <w:szCs w:val="20"/>
        </w:rPr>
        <w:t xml:space="preserve">.  </w:t>
      </w:r>
    </w:p>
    <w:p w14:paraId="51EE5A1B" w14:textId="6199755A" w:rsidR="00D3315D" w:rsidRPr="009941A8" w:rsidRDefault="005A7811" w:rsidP="00C252CA">
      <w:pPr>
        <w:spacing w:before="60"/>
        <w:ind w:left="1021" w:right="1021"/>
        <w:jc w:val="both"/>
        <w:rPr>
          <w:rFonts w:ascii="Arial" w:hAnsi="Arial" w:cs="Arial"/>
          <w:sz w:val="18"/>
          <w:szCs w:val="18"/>
        </w:rPr>
      </w:pPr>
      <w:r w:rsidRPr="009941A8">
        <w:rPr>
          <w:rFonts w:ascii="Arial" w:hAnsi="Arial" w:cs="Arial"/>
          <w:sz w:val="18"/>
          <w:szCs w:val="18"/>
        </w:rPr>
        <w:t>The order must be necessary to achieve the purpose of protecting the administration of justice. It will be satisfied where there is a real or substantial risk of prejudice to an accused person’s right to a fair trial that can only be ameliorated or avoided by the making of the order. The requirement for it to be necessary is deliberately a high hurdle</w:t>
      </w:r>
      <w:r w:rsidR="009941A8" w:rsidRPr="009941A8">
        <w:rPr>
          <w:rFonts w:ascii="Arial" w:hAnsi="Arial" w:cs="Arial"/>
          <w:sz w:val="18"/>
          <w:szCs w:val="18"/>
        </w:rPr>
        <w:t xml:space="preserve">: </w:t>
      </w:r>
      <w:r w:rsidR="009941A8" w:rsidRPr="009941A8">
        <w:rPr>
          <w:rFonts w:ascii="Arial" w:hAnsi="Arial" w:cs="Arial"/>
          <w:i/>
          <w:iCs/>
          <w:sz w:val="18"/>
          <w:szCs w:val="18"/>
        </w:rPr>
        <w:t>Roberts v The Queen (No 2)</w:t>
      </w:r>
      <w:r w:rsidR="009941A8" w:rsidRPr="009941A8">
        <w:rPr>
          <w:rFonts w:ascii="Arial" w:hAnsi="Arial" w:cs="Arial"/>
          <w:sz w:val="18"/>
          <w:szCs w:val="18"/>
        </w:rPr>
        <w:t xml:space="preserve"> [2020] VSCA 188 at [35].</w:t>
      </w:r>
    </w:p>
    <w:p w14:paraId="5258C15B" w14:textId="6FC6CC0A" w:rsidR="00D3315D" w:rsidRPr="00A30311" w:rsidRDefault="0033638D" w:rsidP="00D3315D">
      <w:pPr>
        <w:spacing w:before="60"/>
        <w:ind w:left="567" w:right="567"/>
        <w:jc w:val="both"/>
        <w:rPr>
          <w:rFonts w:ascii="Arial" w:hAnsi="Arial" w:cs="Arial"/>
          <w:sz w:val="20"/>
          <w:szCs w:val="20"/>
        </w:rPr>
      </w:pPr>
      <w:r>
        <w:rPr>
          <w:rFonts w:ascii="Arial" w:hAnsi="Arial" w:cs="Arial"/>
          <w:sz w:val="20"/>
          <w:szCs w:val="20"/>
        </w:rPr>
        <w:t xml:space="preserve">[13] </w:t>
      </w:r>
      <w:r w:rsidR="009B2B5A">
        <w:rPr>
          <w:rFonts w:ascii="Arial" w:hAnsi="Arial" w:cs="Arial"/>
          <w:sz w:val="20"/>
          <w:szCs w:val="20"/>
        </w:rPr>
        <w:t>Both the applicant [</w:t>
      </w:r>
      <w:proofErr w:type="spellStart"/>
      <w:r w:rsidR="009B2B5A">
        <w:rPr>
          <w:rFonts w:ascii="Arial" w:hAnsi="Arial" w:cs="Arial"/>
          <w:sz w:val="20"/>
          <w:szCs w:val="20"/>
        </w:rPr>
        <w:t>Tuteru</w:t>
      </w:r>
      <w:proofErr w:type="spellEnd"/>
      <w:r w:rsidR="009B2B5A">
        <w:rPr>
          <w:rFonts w:ascii="Arial" w:hAnsi="Arial" w:cs="Arial"/>
          <w:sz w:val="20"/>
          <w:szCs w:val="20"/>
        </w:rPr>
        <w:t>] and [Channel] Nine agreed that this is the relevant test to be applied.”</w:t>
      </w:r>
    </w:p>
    <w:p w14:paraId="795A36C8" w14:textId="77777777" w:rsidR="00D3315D" w:rsidRDefault="00D3315D" w:rsidP="001E79F7">
      <w:pPr>
        <w:jc w:val="both"/>
        <w:rPr>
          <w:rFonts w:ascii="Arial" w:hAnsi="Arial" w:cs="Arial"/>
          <w:sz w:val="20"/>
        </w:rPr>
      </w:pPr>
    </w:p>
    <w:p w14:paraId="692C3D05" w14:textId="023544BC" w:rsidR="0024351E" w:rsidRPr="00792C10" w:rsidRDefault="0024351E" w:rsidP="0024351E">
      <w:pPr>
        <w:pStyle w:val="Heading2"/>
        <w:widowControl/>
        <w:shd w:val="clear" w:color="auto" w:fill="000000" w:themeFill="text1"/>
        <w:tabs>
          <w:tab w:val="left" w:pos="567"/>
        </w:tabs>
        <w:spacing w:line="240" w:lineRule="auto"/>
        <w:jc w:val="center"/>
        <w:rPr>
          <w:rFonts w:ascii="Arial" w:hAnsi="Arial" w:cs="Arial"/>
          <w:b/>
          <w:bCs/>
          <w:color w:val="FFFFFF" w:themeColor="background1"/>
          <w:sz w:val="22"/>
          <w:szCs w:val="18"/>
        </w:rPr>
      </w:pPr>
      <w:r>
        <w:rPr>
          <w:rFonts w:ascii="Arial" w:hAnsi="Arial" w:cs="Arial"/>
          <w:b/>
          <w:bCs/>
          <w:color w:val="FFFFFF" w:themeColor="background1"/>
          <w:sz w:val="22"/>
          <w:szCs w:val="18"/>
        </w:rPr>
        <w:t>STATUTORY POWER UNDER THE OCA TO MAKE A SUPPRESSION ORDER</w:t>
      </w:r>
    </w:p>
    <w:p w14:paraId="612DE199" w14:textId="77777777" w:rsidR="0024351E" w:rsidRPr="00E86FEF" w:rsidRDefault="0024351E" w:rsidP="0024351E">
      <w:pPr>
        <w:jc w:val="both"/>
        <w:rPr>
          <w:rFonts w:ascii="Arial" w:hAnsi="Arial" w:cs="Arial"/>
          <w:sz w:val="20"/>
          <w:szCs w:val="20"/>
        </w:rPr>
      </w:pPr>
    </w:p>
    <w:p w14:paraId="6D153C63" w14:textId="509A87EF" w:rsidR="00793910" w:rsidRDefault="00793910" w:rsidP="001E79F7">
      <w:pPr>
        <w:jc w:val="both"/>
        <w:rPr>
          <w:rFonts w:ascii="Arial" w:hAnsi="Arial" w:cs="Arial"/>
          <w:sz w:val="20"/>
        </w:rPr>
      </w:pPr>
      <w:r>
        <w:rPr>
          <w:rFonts w:ascii="Arial" w:hAnsi="Arial" w:cs="Arial"/>
          <w:sz w:val="20"/>
        </w:rPr>
        <w:t xml:space="preserve">The statutory powers to make suppression orders </w:t>
      </w:r>
      <w:r w:rsidR="00640E33">
        <w:rPr>
          <w:rFonts w:ascii="Arial" w:hAnsi="Arial" w:cs="Arial"/>
          <w:sz w:val="20"/>
        </w:rPr>
        <w:t xml:space="preserve">previously </w:t>
      </w:r>
      <w:r>
        <w:rPr>
          <w:rFonts w:ascii="Arial" w:hAnsi="Arial" w:cs="Arial"/>
          <w:sz w:val="20"/>
        </w:rPr>
        <w:t xml:space="preserve">vested in the Supreme Court by ss.18-19 of the </w:t>
      </w:r>
      <w:r w:rsidRPr="003F02FB">
        <w:rPr>
          <w:rFonts w:ascii="Arial" w:hAnsi="Arial" w:cs="Arial"/>
          <w:i/>
          <w:iCs/>
          <w:sz w:val="20"/>
        </w:rPr>
        <w:t>Supreme Court Act 1986</w:t>
      </w:r>
      <w:r>
        <w:rPr>
          <w:rFonts w:ascii="Arial" w:hAnsi="Arial" w:cs="Arial"/>
          <w:sz w:val="20"/>
        </w:rPr>
        <w:t xml:space="preserve">, in the County Court by s.80 of the </w:t>
      </w:r>
      <w:r w:rsidRPr="003F02FB">
        <w:rPr>
          <w:rFonts w:ascii="Arial" w:hAnsi="Arial" w:cs="Arial"/>
          <w:i/>
          <w:iCs/>
          <w:sz w:val="20"/>
        </w:rPr>
        <w:t>County Court Act 1958</w:t>
      </w:r>
      <w:r>
        <w:rPr>
          <w:rFonts w:ascii="Arial" w:hAnsi="Arial" w:cs="Arial"/>
          <w:sz w:val="20"/>
        </w:rPr>
        <w:t xml:space="preserve"> and in the Magistrates’ Court by s.126 of the </w:t>
      </w:r>
      <w:r w:rsidRPr="00AE0485">
        <w:rPr>
          <w:rFonts w:ascii="Arial" w:hAnsi="Arial" w:cs="Arial"/>
          <w:i/>
          <w:iCs/>
          <w:sz w:val="20"/>
        </w:rPr>
        <w:t>Magistrates’ Court Act 1989</w:t>
      </w:r>
      <w:r>
        <w:rPr>
          <w:rFonts w:ascii="Arial" w:hAnsi="Arial" w:cs="Arial"/>
          <w:sz w:val="20"/>
        </w:rPr>
        <w:t xml:space="preserve"> have </w:t>
      </w:r>
      <w:r w:rsidR="00C70A3E">
        <w:rPr>
          <w:rFonts w:ascii="Arial" w:hAnsi="Arial" w:cs="Arial"/>
          <w:sz w:val="20"/>
        </w:rPr>
        <w:t xml:space="preserve">been repealed by ss.54, 45 &amp; 51 of the </w:t>
      </w:r>
      <w:r w:rsidR="00B467EC">
        <w:rPr>
          <w:rFonts w:ascii="Arial" w:hAnsi="Arial" w:cs="Arial"/>
          <w:sz w:val="20"/>
        </w:rPr>
        <w:t>OCA</w:t>
      </w:r>
      <w:r w:rsidR="00C70A3E">
        <w:rPr>
          <w:rFonts w:ascii="Arial" w:hAnsi="Arial" w:cs="Arial"/>
          <w:sz w:val="20"/>
        </w:rPr>
        <w:t xml:space="preserve"> respectively.</w:t>
      </w:r>
      <w:r w:rsidR="00A1211A">
        <w:rPr>
          <w:rFonts w:ascii="Arial" w:hAnsi="Arial" w:cs="Arial"/>
          <w:sz w:val="20"/>
        </w:rPr>
        <w:t xml:space="preserve"> </w:t>
      </w:r>
      <w:r>
        <w:rPr>
          <w:rFonts w:ascii="Arial" w:hAnsi="Arial" w:cs="Arial"/>
          <w:sz w:val="20"/>
        </w:rPr>
        <w:t xml:space="preserve">In lieu the Supreme Court, the County Court and the Magistrates’ Court </w:t>
      </w:r>
      <w:r w:rsidR="004B7B57">
        <w:rPr>
          <w:rFonts w:ascii="Arial" w:hAnsi="Arial" w:cs="Arial"/>
          <w:sz w:val="20"/>
        </w:rPr>
        <w:t xml:space="preserve">now have power under </w:t>
      </w:r>
      <w:r w:rsidR="00A352AC">
        <w:rPr>
          <w:rFonts w:ascii="Arial" w:hAnsi="Arial" w:cs="Arial"/>
          <w:sz w:val="20"/>
        </w:rPr>
        <w:t xml:space="preserve">s.17 of the </w:t>
      </w:r>
      <w:r w:rsidR="00B467EC">
        <w:rPr>
          <w:rFonts w:ascii="Arial" w:hAnsi="Arial" w:cs="Arial"/>
          <w:sz w:val="20"/>
        </w:rPr>
        <w:t>OCA</w:t>
      </w:r>
      <w:r w:rsidR="00A352AC">
        <w:rPr>
          <w:rFonts w:ascii="Arial" w:hAnsi="Arial" w:cs="Arial"/>
          <w:sz w:val="20"/>
        </w:rPr>
        <w:t xml:space="preserve"> to make a “proceeding suppression order” to prohibit or restrict the disclosure by publication or otherwise of-</w:t>
      </w:r>
    </w:p>
    <w:p w14:paraId="62BA9128" w14:textId="77777777" w:rsidR="00A352AC" w:rsidRDefault="00A352AC" w:rsidP="00A352AC">
      <w:pPr>
        <w:ind w:left="357" w:hanging="357"/>
        <w:jc w:val="both"/>
        <w:rPr>
          <w:rFonts w:ascii="Arial" w:hAnsi="Arial" w:cs="Arial"/>
          <w:sz w:val="20"/>
        </w:rPr>
      </w:pPr>
      <w:r>
        <w:rPr>
          <w:rFonts w:ascii="Arial" w:hAnsi="Arial" w:cs="Arial"/>
          <w:sz w:val="20"/>
        </w:rPr>
        <w:t>(a)</w:t>
      </w:r>
      <w:r>
        <w:rPr>
          <w:rFonts w:ascii="Arial" w:hAnsi="Arial" w:cs="Arial"/>
          <w:sz w:val="20"/>
        </w:rPr>
        <w:tab/>
        <w:t xml:space="preserve">a report of the whole or any part of a proceeding; </w:t>
      </w:r>
    </w:p>
    <w:p w14:paraId="2A5F9AA7" w14:textId="77777777" w:rsidR="00A352AC" w:rsidRDefault="00A352AC" w:rsidP="00A352AC">
      <w:pPr>
        <w:ind w:left="357" w:hanging="357"/>
        <w:jc w:val="both"/>
        <w:rPr>
          <w:rFonts w:ascii="Arial" w:hAnsi="Arial" w:cs="Arial"/>
          <w:sz w:val="20"/>
        </w:rPr>
      </w:pPr>
      <w:r>
        <w:rPr>
          <w:rFonts w:ascii="Arial" w:hAnsi="Arial" w:cs="Arial"/>
          <w:sz w:val="20"/>
        </w:rPr>
        <w:t>(b)</w:t>
      </w:r>
      <w:r>
        <w:rPr>
          <w:rFonts w:ascii="Arial" w:hAnsi="Arial" w:cs="Arial"/>
          <w:sz w:val="20"/>
        </w:rPr>
        <w:tab/>
        <w:t>any information derived from a proceeding.</w:t>
      </w:r>
    </w:p>
    <w:p w14:paraId="30BCBA75" w14:textId="56096D2A" w:rsidR="003C5289" w:rsidRDefault="001B3366" w:rsidP="001E79F7">
      <w:pPr>
        <w:jc w:val="both"/>
        <w:rPr>
          <w:rFonts w:ascii="Arial" w:hAnsi="Arial" w:cs="Arial"/>
          <w:sz w:val="20"/>
        </w:rPr>
      </w:pPr>
      <w:r>
        <w:rPr>
          <w:rFonts w:ascii="Arial" w:hAnsi="Arial" w:cs="Arial"/>
          <w:sz w:val="20"/>
        </w:rPr>
        <w:t xml:space="preserve">In </w:t>
      </w:r>
      <w:r w:rsidRPr="00784343">
        <w:rPr>
          <w:rFonts w:ascii="Arial" w:hAnsi="Arial" w:cs="Arial"/>
          <w:b/>
          <w:bCs/>
          <w:sz w:val="20"/>
          <w:shd w:val="clear" w:color="auto" w:fill="C5E0B3"/>
        </w:rPr>
        <w:t xml:space="preserve">section </w:t>
      </w:r>
      <w:r w:rsidR="00307CB5" w:rsidRPr="00784343">
        <w:rPr>
          <w:rFonts w:ascii="Arial" w:hAnsi="Arial" w:cs="Arial"/>
          <w:b/>
          <w:bCs/>
          <w:sz w:val="20"/>
          <w:shd w:val="clear" w:color="auto" w:fill="C5E0B3"/>
        </w:rPr>
        <w:t>2.8.4</w:t>
      </w:r>
      <w:r w:rsidR="00307CB5">
        <w:rPr>
          <w:rFonts w:ascii="Arial" w:hAnsi="Arial" w:cs="Arial"/>
          <w:sz w:val="20"/>
        </w:rPr>
        <w:t xml:space="preserve"> below the writer </w:t>
      </w:r>
      <w:r w:rsidR="002C0C8E">
        <w:rPr>
          <w:rFonts w:ascii="Arial" w:hAnsi="Arial" w:cs="Arial"/>
          <w:sz w:val="20"/>
        </w:rPr>
        <w:t xml:space="preserve">discusses the </w:t>
      </w:r>
      <w:r w:rsidR="00364FB6">
        <w:rPr>
          <w:rFonts w:ascii="Arial" w:hAnsi="Arial" w:cs="Arial"/>
          <w:sz w:val="20"/>
        </w:rPr>
        <w:t xml:space="preserve">basis of and the limitations on the </w:t>
      </w:r>
      <w:r w:rsidR="002C0C8E">
        <w:rPr>
          <w:rFonts w:ascii="Arial" w:hAnsi="Arial" w:cs="Arial"/>
          <w:sz w:val="20"/>
        </w:rPr>
        <w:t>statutory power of the Children’s Court to make suppression orders</w:t>
      </w:r>
      <w:r w:rsidR="00364FB6">
        <w:rPr>
          <w:rFonts w:ascii="Arial" w:hAnsi="Arial" w:cs="Arial"/>
          <w:sz w:val="20"/>
        </w:rPr>
        <w:t xml:space="preserve"> under the OCA</w:t>
      </w:r>
      <w:r w:rsidR="002C0C8E">
        <w:rPr>
          <w:rFonts w:ascii="Arial" w:hAnsi="Arial" w:cs="Arial"/>
          <w:sz w:val="20"/>
        </w:rPr>
        <w:t>.</w:t>
      </w:r>
    </w:p>
    <w:p w14:paraId="45DAE4F3" w14:textId="77777777" w:rsidR="001B3366" w:rsidRDefault="001B3366" w:rsidP="001E79F7">
      <w:pPr>
        <w:jc w:val="both"/>
        <w:rPr>
          <w:rFonts w:ascii="Arial" w:hAnsi="Arial" w:cs="Arial"/>
          <w:sz w:val="20"/>
        </w:rPr>
      </w:pPr>
    </w:p>
    <w:p w14:paraId="1F54E609" w14:textId="77777777" w:rsidR="00D757A5" w:rsidRDefault="00D757A5" w:rsidP="00D757A5">
      <w:pPr>
        <w:jc w:val="both"/>
        <w:rPr>
          <w:rFonts w:ascii="Arial" w:hAnsi="Arial" w:cs="Arial"/>
          <w:sz w:val="20"/>
        </w:rPr>
      </w:pPr>
      <w:r>
        <w:rPr>
          <w:rFonts w:ascii="Arial" w:hAnsi="Arial" w:cs="Arial"/>
          <w:sz w:val="20"/>
        </w:rPr>
        <w:t>Section 4 of the OCA – under the heading “</w:t>
      </w:r>
      <w:r w:rsidRPr="00A1211A">
        <w:rPr>
          <w:rFonts w:ascii="Arial" w:hAnsi="Arial" w:cs="Arial"/>
          <w:b/>
          <w:bCs/>
          <w:sz w:val="20"/>
        </w:rPr>
        <w:t>Principle of open justice prevails unless circumstances require displacement</w:t>
      </w:r>
      <w:r>
        <w:rPr>
          <w:rFonts w:ascii="Arial" w:hAnsi="Arial" w:cs="Arial"/>
          <w:sz w:val="20"/>
        </w:rPr>
        <w:t>” – provides:</w:t>
      </w:r>
    </w:p>
    <w:p w14:paraId="1709A2C4" w14:textId="77777777" w:rsidR="00D757A5" w:rsidRPr="00A1211A" w:rsidRDefault="00D757A5" w:rsidP="00C23CF0">
      <w:pPr>
        <w:pStyle w:val="ListParagraph"/>
        <w:numPr>
          <w:ilvl w:val="0"/>
          <w:numId w:val="30"/>
        </w:numPr>
        <w:spacing w:before="60"/>
        <w:ind w:right="567"/>
        <w:jc w:val="both"/>
        <w:rPr>
          <w:rFonts w:ascii="Arial" w:hAnsi="Arial" w:cs="Arial"/>
          <w:sz w:val="20"/>
        </w:rPr>
      </w:pPr>
      <w:bookmarkStart w:id="512" w:name="_Toc112931730"/>
      <w:r w:rsidRPr="00A1211A">
        <w:rPr>
          <w:rFonts w:ascii="Arial" w:hAnsi="Arial" w:cs="Arial"/>
          <w:sz w:val="20"/>
        </w:rPr>
        <w:t>A court or tribunal is to have regard to the</w:t>
      </w:r>
      <w:r>
        <w:rPr>
          <w:rFonts w:ascii="Arial" w:hAnsi="Arial" w:cs="Arial"/>
          <w:sz w:val="20"/>
        </w:rPr>
        <w:t xml:space="preserve"> </w:t>
      </w:r>
      <w:r w:rsidRPr="00A1211A">
        <w:rPr>
          <w:rFonts w:ascii="Arial" w:hAnsi="Arial" w:cs="Arial"/>
          <w:sz w:val="20"/>
        </w:rPr>
        <w:t>primacy of the principle of open justice and the free communication and disclosure of information in determining whether to make a suppression order.</w:t>
      </w:r>
    </w:p>
    <w:p w14:paraId="67B5F538" w14:textId="77777777" w:rsidR="00D757A5" w:rsidRPr="00A1211A" w:rsidRDefault="00D757A5" w:rsidP="00C23CF0">
      <w:pPr>
        <w:pStyle w:val="ListParagraph"/>
        <w:numPr>
          <w:ilvl w:val="0"/>
          <w:numId w:val="30"/>
        </w:numPr>
        <w:spacing w:before="60"/>
        <w:ind w:right="567"/>
        <w:jc w:val="both"/>
        <w:rPr>
          <w:rFonts w:ascii="Arial" w:hAnsi="Arial" w:cs="Arial"/>
          <w:sz w:val="20"/>
        </w:rPr>
      </w:pPr>
      <w:r w:rsidRPr="00A1211A">
        <w:rPr>
          <w:rFonts w:ascii="Arial" w:hAnsi="Arial" w:cs="Arial"/>
          <w:sz w:val="20"/>
        </w:rPr>
        <w:t>A court or tribunal is only to make a suppression order if satisfied that the specific</w:t>
      </w:r>
      <w:r>
        <w:rPr>
          <w:rFonts w:ascii="Arial" w:hAnsi="Arial" w:cs="Arial"/>
          <w:sz w:val="20"/>
        </w:rPr>
        <w:t xml:space="preserve"> </w:t>
      </w:r>
      <w:r w:rsidRPr="00A1211A">
        <w:rPr>
          <w:rFonts w:ascii="Arial" w:hAnsi="Arial" w:cs="Arial"/>
          <w:sz w:val="20"/>
        </w:rPr>
        <w:t>circumstances of a case make it</w:t>
      </w:r>
      <w:r>
        <w:rPr>
          <w:rFonts w:ascii="Arial" w:hAnsi="Arial" w:cs="Arial"/>
          <w:sz w:val="20"/>
        </w:rPr>
        <w:t xml:space="preserve"> </w:t>
      </w:r>
      <w:r w:rsidRPr="00A1211A">
        <w:rPr>
          <w:rFonts w:ascii="Arial" w:hAnsi="Arial" w:cs="Arial"/>
          <w:sz w:val="20"/>
        </w:rPr>
        <w:t>necessary to override or displace the principle of open justice and the free communication and disclosure of information.</w:t>
      </w:r>
    </w:p>
    <w:bookmarkEnd w:id="512"/>
    <w:p w14:paraId="685AAB61" w14:textId="77777777" w:rsidR="00FC0028" w:rsidRDefault="00FC0028" w:rsidP="00FC0028">
      <w:pPr>
        <w:jc w:val="both"/>
        <w:rPr>
          <w:rFonts w:ascii="Arial" w:hAnsi="Arial" w:cs="Arial"/>
          <w:sz w:val="20"/>
        </w:rPr>
      </w:pPr>
    </w:p>
    <w:p w14:paraId="796D96AE" w14:textId="37F8319C" w:rsidR="00FC0028" w:rsidRPr="00792C10" w:rsidRDefault="00FC0028" w:rsidP="00FC0028">
      <w:pPr>
        <w:pStyle w:val="Heading2"/>
        <w:keepNext/>
        <w:keepLines/>
        <w:widowControl/>
        <w:shd w:val="clear" w:color="auto" w:fill="000000" w:themeFill="text1"/>
        <w:tabs>
          <w:tab w:val="left" w:pos="567"/>
        </w:tabs>
        <w:spacing w:line="240" w:lineRule="auto"/>
        <w:jc w:val="center"/>
        <w:rPr>
          <w:rFonts w:ascii="Arial" w:hAnsi="Arial" w:cs="Arial"/>
          <w:b/>
          <w:bCs/>
          <w:color w:val="FFFFFF" w:themeColor="background1"/>
          <w:sz w:val="22"/>
          <w:szCs w:val="18"/>
        </w:rPr>
      </w:pPr>
      <w:r>
        <w:rPr>
          <w:rFonts w:ascii="Arial" w:hAnsi="Arial" w:cs="Arial"/>
          <w:b/>
          <w:bCs/>
          <w:color w:val="FFFFFF" w:themeColor="background1"/>
          <w:sz w:val="22"/>
          <w:szCs w:val="18"/>
        </w:rPr>
        <w:lastRenderedPageBreak/>
        <w:t>POWER UNDER THE OCA TO MAKE A “PROCEEDING SUPPRESSION ORDER”</w:t>
      </w:r>
    </w:p>
    <w:p w14:paraId="5091118A" w14:textId="77777777" w:rsidR="00FC0028" w:rsidRDefault="00FC0028" w:rsidP="001E79F7">
      <w:pPr>
        <w:jc w:val="both"/>
        <w:rPr>
          <w:rFonts w:ascii="Arial" w:hAnsi="Arial" w:cs="Arial"/>
          <w:sz w:val="20"/>
        </w:rPr>
      </w:pPr>
    </w:p>
    <w:p w14:paraId="2254A49D" w14:textId="73D5B493" w:rsidR="00886658" w:rsidRDefault="00886658" w:rsidP="001E79F7">
      <w:pPr>
        <w:jc w:val="both"/>
        <w:rPr>
          <w:rFonts w:ascii="Arial" w:hAnsi="Arial" w:cs="Arial"/>
          <w:sz w:val="20"/>
        </w:rPr>
      </w:pPr>
      <w:r>
        <w:rPr>
          <w:rFonts w:ascii="Arial" w:hAnsi="Arial" w:cs="Arial"/>
          <w:sz w:val="20"/>
        </w:rPr>
        <w:t xml:space="preserve">Provisions relating to “proceeding suppression orders” are contained in Part </w:t>
      </w:r>
      <w:r w:rsidR="00126586">
        <w:rPr>
          <w:rFonts w:ascii="Arial" w:hAnsi="Arial" w:cs="Arial"/>
          <w:sz w:val="20"/>
        </w:rPr>
        <w:t>3</w:t>
      </w:r>
      <w:r>
        <w:rPr>
          <w:rFonts w:ascii="Arial" w:hAnsi="Arial" w:cs="Arial"/>
          <w:sz w:val="20"/>
        </w:rPr>
        <w:t xml:space="preserve"> – ss.17-2</w:t>
      </w:r>
      <w:r w:rsidR="00FA0F42">
        <w:rPr>
          <w:rFonts w:ascii="Arial" w:hAnsi="Arial" w:cs="Arial"/>
          <w:sz w:val="20"/>
        </w:rPr>
        <w:t>3</w:t>
      </w:r>
      <w:r>
        <w:rPr>
          <w:rFonts w:ascii="Arial" w:hAnsi="Arial" w:cs="Arial"/>
          <w:sz w:val="20"/>
        </w:rPr>
        <w:t xml:space="preserve"> </w:t>
      </w:r>
      <w:r w:rsidR="00126586">
        <w:rPr>
          <w:rFonts w:ascii="Arial" w:hAnsi="Arial" w:cs="Arial"/>
          <w:sz w:val="20"/>
        </w:rPr>
        <w:t xml:space="preserve">– </w:t>
      </w:r>
      <w:r>
        <w:rPr>
          <w:rFonts w:ascii="Arial" w:hAnsi="Arial" w:cs="Arial"/>
          <w:sz w:val="20"/>
        </w:rPr>
        <w:t>of</w:t>
      </w:r>
      <w:r w:rsidR="00126586">
        <w:rPr>
          <w:rFonts w:ascii="Arial" w:hAnsi="Arial" w:cs="Arial"/>
          <w:sz w:val="20"/>
        </w:rPr>
        <w:t xml:space="preserve"> </w:t>
      </w:r>
      <w:r>
        <w:rPr>
          <w:rFonts w:ascii="Arial" w:hAnsi="Arial" w:cs="Arial"/>
          <w:sz w:val="20"/>
        </w:rPr>
        <w:t>the OCA.</w:t>
      </w:r>
    </w:p>
    <w:p w14:paraId="2ACF2B51" w14:textId="77777777" w:rsidR="00886658" w:rsidRDefault="00886658" w:rsidP="001E79F7">
      <w:pPr>
        <w:jc w:val="both"/>
        <w:rPr>
          <w:rFonts w:ascii="Arial" w:hAnsi="Arial" w:cs="Arial"/>
          <w:sz w:val="20"/>
        </w:rPr>
      </w:pPr>
    </w:p>
    <w:p w14:paraId="5349E069" w14:textId="243BF267" w:rsidR="00C70A3E" w:rsidRDefault="00C70A3E" w:rsidP="001E79F7">
      <w:pPr>
        <w:jc w:val="both"/>
        <w:rPr>
          <w:rFonts w:ascii="Arial" w:hAnsi="Arial" w:cs="Arial"/>
          <w:sz w:val="20"/>
        </w:rPr>
      </w:pPr>
      <w:r>
        <w:rPr>
          <w:rFonts w:ascii="Arial" w:hAnsi="Arial" w:cs="Arial"/>
          <w:sz w:val="20"/>
        </w:rPr>
        <w:t xml:space="preserve">The grounds for making a </w:t>
      </w:r>
      <w:r w:rsidR="0083512F">
        <w:rPr>
          <w:rFonts w:ascii="Arial" w:hAnsi="Arial" w:cs="Arial"/>
          <w:sz w:val="20"/>
        </w:rPr>
        <w:t>“</w:t>
      </w:r>
      <w:r>
        <w:rPr>
          <w:rFonts w:ascii="Arial" w:hAnsi="Arial" w:cs="Arial"/>
          <w:sz w:val="20"/>
        </w:rPr>
        <w:t>proceeding suppression order</w:t>
      </w:r>
      <w:r w:rsidR="0083512F">
        <w:rPr>
          <w:rFonts w:ascii="Arial" w:hAnsi="Arial" w:cs="Arial"/>
          <w:sz w:val="20"/>
        </w:rPr>
        <w:t>”</w:t>
      </w:r>
      <w:r>
        <w:rPr>
          <w:rFonts w:ascii="Arial" w:hAnsi="Arial" w:cs="Arial"/>
          <w:sz w:val="20"/>
        </w:rPr>
        <w:t xml:space="preserve"> are set out in s.18(1) of the </w:t>
      </w:r>
      <w:r w:rsidR="006658F4">
        <w:rPr>
          <w:rFonts w:ascii="Arial" w:hAnsi="Arial" w:cs="Arial"/>
          <w:sz w:val="20"/>
        </w:rPr>
        <w:t>OCA</w:t>
      </w:r>
      <w:r>
        <w:rPr>
          <w:rFonts w:ascii="Arial" w:hAnsi="Arial" w:cs="Arial"/>
          <w:sz w:val="20"/>
        </w:rPr>
        <w:t xml:space="preserve"> and are identical to those in s.30(2) for the making </w:t>
      </w:r>
      <w:r w:rsidR="00F42304">
        <w:rPr>
          <w:rFonts w:ascii="Arial" w:hAnsi="Arial" w:cs="Arial"/>
          <w:sz w:val="20"/>
        </w:rPr>
        <w:t>of a closed court order.  So far as is relevant, s.18(1) provides:</w:t>
      </w:r>
    </w:p>
    <w:p w14:paraId="5433080A" w14:textId="49B4CFBB" w:rsidR="00C70A3E" w:rsidRDefault="00C70A3E" w:rsidP="00C70A3E">
      <w:pPr>
        <w:tabs>
          <w:tab w:val="left" w:pos="567"/>
        </w:tabs>
        <w:spacing w:before="60"/>
        <w:ind w:left="567" w:right="567"/>
        <w:jc w:val="both"/>
        <w:rPr>
          <w:rFonts w:ascii="Arial" w:hAnsi="Arial" w:cs="Arial"/>
          <w:sz w:val="20"/>
        </w:rPr>
      </w:pPr>
      <w:r>
        <w:rPr>
          <w:rFonts w:ascii="Arial" w:hAnsi="Arial" w:cs="Arial"/>
          <w:sz w:val="20"/>
        </w:rPr>
        <w:t>“A court…may make a proceeding sup</w:t>
      </w:r>
      <w:r w:rsidR="00685ADA">
        <w:rPr>
          <w:rFonts w:ascii="Arial" w:hAnsi="Arial" w:cs="Arial"/>
          <w:sz w:val="20"/>
        </w:rPr>
        <w:t>pres</w:t>
      </w:r>
      <w:r>
        <w:rPr>
          <w:rFonts w:ascii="Arial" w:hAnsi="Arial" w:cs="Arial"/>
          <w:sz w:val="20"/>
        </w:rPr>
        <w:t>sion order if satisfied as to one or more of the following grounds</w:t>
      </w:r>
      <w:r w:rsidR="00741721">
        <w:rPr>
          <w:rFonts w:ascii="Arial" w:hAnsi="Arial" w:cs="Arial"/>
          <w:sz w:val="20"/>
        </w:rPr>
        <w:t>–</w:t>
      </w:r>
    </w:p>
    <w:p w14:paraId="44C8570D" w14:textId="77777777" w:rsidR="00C70A3E" w:rsidRDefault="00C70A3E" w:rsidP="0073729A">
      <w:pPr>
        <w:numPr>
          <w:ilvl w:val="0"/>
          <w:numId w:val="13"/>
        </w:numPr>
        <w:tabs>
          <w:tab w:val="left" w:pos="567"/>
          <w:tab w:val="left" w:pos="1134"/>
        </w:tabs>
        <w:ind w:right="567"/>
        <w:jc w:val="both"/>
        <w:rPr>
          <w:rFonts w:ascii="Arial" w:hAnsi="Arial" w:cs="Arial"/>
          <w:sz w:val="20"/>
        </w:rPr>
      </w:pPr>
      <w:r>
        <w:rPr>
          <w:rFonts w:ascii="Arial" w:hAnsi="Arial" w:cs="Arial"/>
          <w:sz w:val="20"/>
        </w:rPr>
        <w:t>the order is necessary to prevent a real and substantial risk of prejudice to the proper administration of justice that cannot be prevented by other reasonably available means;</w:t>
      </w:r>
    </w:p>
    <w:p w14:paraId="54C06B62" w14:textId="77777777" w:rsidR="00C70A3E" w:rsidRDefault="00C70A3E" w:rsidP="0073729A">
      <w:pPr>
        <w:numPr>
          <w:ilvl w:val="0"/>
          <w:numId w:val="13"/>
        </w:numPr>
        <w:tabs>
          <w:tab w:val="left" w:pos="567"/>
          <w:tab w:val="left" w:pos="1134"/>
        </w:tabs>
        <w:ind w:right="567"/>
        <w:jc w:val="both"/>
        <w:rPr>
          <w:rFonts w:ascii="Arial" w:hAnsi="Arial" w:cs="Arial"/>
          <w:sz w:val="20"/>
        </w:rPr>
      </w:pPr>
      <w:r>
        <w:rPr>
          <w:rFonts w:ascii="Arial" w:hAnsi="Arial" w:cs="Arial"/>
          <w:sz w:val="20"/>
        </w:rPr>
        <w:t>the order is necessary to prevent prejudice to the interests of the Commonwealth or a State or Territory in relation to national or international security;</w:t>
      </w:r>
    </w:p>
    <w:p w14:paraId="74E46A63" w14:textId="77777777" w:rsidR="00C70A3E" w:rsidRDefault="00C70A3E" w:rsidP="0073729A">
      <w:pPr>
        <w:numPr>
          <w:ilvl w:val="0"/>
          <w:numId w:val="13"/>
        </w:numPr>
        <w:tabs>
          <w:tab w:val="left" w:pos="567"/>
          <w:tab w:val="left" w:pos="1134"/>
        </w:tabs>
        <w:ind w:right="567"/>
        <w:jc w:val="both"/>
        <w:rPr>
          <w:rFonts w:ascii="Arial" w:hAnsi="Arial" w:cs="Arial"/>
          <w:sz w:val="20"/>
        </w:rPr>
      </w:pPr>
      <w:r>
        <w:rPr>
          <w:rFonts w:ascii="Arial" w:hAnsi="Arial" w:cs="Arial"/>
          <w:sz w:val="20"/>
        </w:rPr>
        <w:t>the order is necessary to protect the safety of any person;</w:t>
      </w:r>
    </w:p>
    <w:p w14:paraId="79D2455B" w14:textId="77777777" w:rsidR="00C70A3E" w:rsidRDefault="00C70A3E" w:rsidP="0073729A">
      <w:pPr>
        <w:numPr>
          <w:ilvl w:val="0"/>
          <w:numId w:val="13"/>
        </w:numPr>
        <w:tabs>
          <w:tab w:val="left" w:pos="567"/>
          <w:tab w:val="left" w:pos="1134"/>
        </w:tabs>
        <w:ind w:right="567"/>
        <w:jc w:val="both"/>
        <w:rPr>
          <w:rFonts w:ascii="Arial" w:hAnsi="Arial" w:cs="Arial"/>
          <w:sz w:val="20"/>
        </w:rPr>
      </w:pPr>
      <w:r>
        <w:rPr>
          <w:rFonts w:ascii="Arial" w:hAnsi="Arial" w:cs="Arial"/>
          <w:sz w:val="20"/>
        </w:rPr>
        <w:t>the order is necessary to avoid causing undue distress or embarrassment to a complainant or witness in any criminal proceeding involving a sexual offence or a family violence offence;</w:t>
      </w:r>
    </w:p>
    <w:p w14:paraId="12BBBBC2" w14:textId="77777777" w:rsidR="00C70A3E" w:rsidRDefault="00C70A3E" w:rsidP="0073729A">
      <w:pPr>
        <w:numPr>
          <w:ilvl w:val="0"/>
          <w:numId w:val="13"/>
        </w:numPr>
        <w:tabs>
          <w:tab w:val="left" w:pos="567"/>
          <w:tab w:val="left" w:pos="1134"/>
        </w:tabs>
        <w:ind w:right="567"/>
        <w:jc w:val="both"/>
        <w:rPr>
          <w:rFonts w:ascii="Arial" w:hAnsi="Arial" w:cs="Arial"/>
          <w:sz w:val="20"/>
        </w:rPr>
      </w:pPr>
      <w:r>
        <w:rPr>
          <w:rFonts w:ascii="Arial" w:hAnsi="Arial" w:cs="Arial"/>
          <w:sz w:val="20"/>
        </w:rPr>
        <w:t>the order is necessary to avoid causing undue distress or embarrassment to a child who is a witness in any criminal proceeding…”</w:t>
      </w:r>
    </w:p>
    <w:p w14:paraId="471EB327" w14:textId="77777777" w:rsidR="003242FE" w:rsidRDefault="003242FE" w:rsidP="003242FE">
      <w:pPr>
        <w:jc w:val="both"/>
        <w:rPr>
          <w:rFonts w:ascii="Arial" w:hAnsi="Arial" w:cs="Arial"/>
          <w:sz w:val="20"/>
        </w:rPr>
      </w:pPr>
    </w:p>
    <w:p w14:paraId="7FCBC96A" w14:textId="77777777" w:rsidR="003242FE" w:rsidRDefault="003242FE" w:rsidP="00C719C4">
      <w:pPr>
        <w:jc w:val="both"/>
        <w:rPr>
          <w:rFonts w:ascii="Arial" w:hAnsi="Arial" w:cs="Arial"/>
          <w:sz w:val="20"/>
        </w:rPr>
      </w:pPr>
      <w:r>
        <w:rPr>
          <w:rFonts w:ascii="Arial" w:hAnsi="Arial" w:cs="Arial"/>
          <w:sz w:val="20"/>
        </w:rPr>
        <w:t xml:space="preserve">In </w:t>
      </w:r>
      <w:r>
        <w:rPr>
          <w:rFonts w:ascii="Arial" w:hAnsi="Arial" w:cs="Arial"/>
          <w:i/>
          <w:iCs/>
          <w:sz w:val="20"/>
        </w:rPr>
        <w:t xml:space="preserve">IMO an Application by “The Age” and Ors re: R v Carl Anthony Williams </w:t>
      </w:r>
      <w:r>
        <w:rPr>
          <w:rFonts w:ascii="Arial" w:hAnsi="Arial" w:cs="Arial"/>
          <w:sz w:val="20"/>
        </w:rPr>
        <w:t xml:space="preserve">[2004] VSC 413 at [14] Kellam J, citing dicta of McPherson J in </w:t>
      </w:r>
      <w:r w:rsidRPr="00CD5A68">
        <w:rPr>
          <w:rFonts w:ascii="Arial" w:hAnsi="Arial" w:cs="Arial"/>
          <w:i/>
          <w:sz w:val="20"/>
        </w:rPr>
        <w:t>Ex parte the Queensland Law Society</w:t>
      </w:r>
      <w:r>
        <w:rPr>
          <w:rFonts w:ascii="Arial" w:hAnsi="Arial" w:cs="Arial"/>
          <w:sz w:val="20"/>
        </w:rPr>
        <w:t xml:space="preserve"> [1984] </w:t>
      </w:r>
      <w:proofErr w:type="spellStart"/>
      <w:r>
        <w:rPr>
          <w:rFonts w:ascii="Arial" w:hAnsi="Arial" w:cs="Arial"/>
          <w:sz w:val="20"/>
        </w:rPr>
        <w:t>Qd</w:t>
      </w:r>
      <w:proofErr w:type="spellEnd"/>
      <w:r>
        <w:rPr>
          <w:rFonts w:ascii="Arial" w:hAnsi="Arial" w:cs="Arial"/>
          <w:sz w:val="20"/>
        </w:rPr>
        <w:t xml:space="preserve"> R 166 at 170 and of McHugh J in </w:t>
      </w:r>
      <w:r w:rsidRPr="00CD5A68">
        <w:rPr>
          <w:rFonts w:ascii="Arial" w:hAnsi="Arial" w:cs="Arial"/>
          <w:i/>
          <w:sz w:val="20"/>
        </w:rPr>
        <w:t>John Fairfax &amp; Sons Pty Ltd v Police Tribunal of NSW</w:t>
      </w:r>
      <w:r>
        <w:rPr>
          <w:rFonts w:ascii="Arial" w:hAnsi="Arial" w:cs="Arial"/>
          <w:i/>
          <w:sz w:val="20"/>
        </w:rPr>
        <w:t xml:space="preserve"> </w:t>
      </w:r>
      <w:r w:rsidRPr="00CD5A68">
        <w:rPr>
          <w:rFonts w:ascii="Arial" w:hAnsi="Arial" w:cs="Arial"/>
          <w:sz w:val="20"/>
        </w:rPr>
        <w:t>(1986) 5 NSWLR 465 at 477</w:t>
      </w:r>
      <w:r>
        <w:rPr>
          <w:rFonts w:ascii="Arial" w:hAnsi="Arial" w:cs="Arial"/>
          <w:sz w:val="20"/>
        </w:rPr>
        <w:t>, reiterated the ‘necessity’ test</w:t>
      </w:r>
      <w:r w:rsidR="00DE73E5">
        <w:rPr>
          <w:rFonts w:ascii="Arial" w:hAnsi="Arial" w:cs="Arial"/>
          <w:sz w:val="20"/>
        </w:rPr>
        <w:t xml:space="preserve"> for the application of s.18 of the </w:t>
      </w:r>
      <w:r w:rsidR="00DE73E5" w:rsidRPr="00AE0485">
        <w:rPr>
          <w:rFonts w:ascii="Arial" w:hAnsi="Arial" w:cs="Arial"/>
          <w:i/>
          <w:iCs/>
          <w:sz w:val="20"/>
        </w:rPr>
        <w:t>Supreme Court Act 1986</w:t>
      </w:r>
      <w:r w:rsidR="00DE73E5">
        <w:rPr>
          <w:rFonts w:ascii="Arial" w:hAnsi="Arial" w:cs="Arial"/>
          <w:sz w:val="20"/>
        </w:rPr>
        <w:t>:</w:t>
      </w:r>
    </w:p>
    <w:p w14:paraId="47FAD713" w14:textId="77777777" w:rsidR="003242FE" w:rsidRDefault="003242FE" w:rsidP="003242FE">
      <w:pPr>
        <w:spacing w:before="60"/>
        <w:ind w:left="567" w:right="567"/>
        <w:jc w:val="both"/>
        <w:rPr>
          <w:rFonts w:ascii="Arial" w:hAnsi="Arial" w:cs="Arial"/>
          <w:sz w:val="20"/>
        </w:rPr>
      </w:pPr>
      <w:r>
        <w:rPr>
          <w:rFonts w:ascii="Arial" w:hAnsi="Arial" w:cs="Arial"/>
          <w:sz w:val="20"/>
        </w:rPr>
        <w:t xml:space="preserve">“That [suppression] orders should be made in cases only of clear necessity is established beyond any argument by the decision of the Court of Appeal of the Supreme Court of Victoria in </w:t>
      </w:r>
      <w:r w:rsidRPr="00AD13DB">
        <w:rPr>
          <w:rFonts w:ascii="Arial" w:hAnsi="Arial" w:cs="Arial"/>
          <w:i/>
          <w:sz w:val="20"/>
        </w:rPr>
        <w:t>An Application by Chief Commissioner of Police (Vic) for leave to appeal</w:t>
      </w:r>
      <w:r>
        <w:rPr>
          <w:rFonts w:ascii="Arial" w:hAnsi="Arial" w:cs="Arial"/>
          <w:sz w:val="20"/>
        </w:rPr>
        <w:t xml:space="preserve"> [2004] VSCA 3 when the Court in a unanimous judgment stated that orders suppressing publication of court proceedings should be made only when ‘clearly necessary’ {at [30]}.  I observe that that decision was upheld by the High Court.”</w:t>
      </w:r>
    </w:p>
    <w:p w14:paraId="67065DDF" w14:textId="77777777" w:rsidR="006769AE" w:rsidRPr="004235AF" w:rsidRDefault="006769AE" w:rsidP="006769AE">
      <w:pPr>
        <w:jc w:val="both"/>
        <w:rPr>
          <w:rFonts w:ascii="Arial" w:hAnsi="Arial" w:cs="Arial"/>
          <w:color w:val="000000"/>
          <w:sz w:val="20"/>
        </w:rPr>
      </w:pPr>
    </w:p>
    <w:p w14:paraId="7A4C1531" w14:textId="77777777" w:rsidR="006769AE" w:rsidRPr="004235AF" w:rsidRDefault="006769AE" w:rsidP="006769AE">
      <w:pPr>
        <w:jc w:val="both"/>
        <w:rPr>
          <w:rFonts w:ascii="Arial" w:hAnsi="Arial" w:cs="Arial"/>
          <w:color w:val="000000"/>
          <w:sz w:val="20"/>
        </w:rPr>
      </w:pPr>
      <w:r w:rsidRPr="004235AF">
        <w:rPr>
          <w:rFonts w:ascii="Arial" w:hAnsi="Arial" w:cs="Arial"/>
          <w:color w:val="000000"/>
          <w:sz w:val="20"/>
        </w:rPr>
        <w:t xml:space="preserve">In </w:t>
      </w:r>
      <w:r w:rsidRPr="004235AF">
        <w:rPr>
          <w:rFonts w:ascii="Arial" w:hAnsi="Arial" w:cs="Arial"/>
          <w:i/>
          <w:color w:val="000000"/>
          <w:sz w:val="20"/>
        </w:rPr>
        <w:t>DPP v QPX</w:t>
      </w:r>
      <w:r w:rsidRPr="004235AF">
        <w:rPr>
          <w:rFonts w:ascii="Arial" w:hAnsi="Arial" w:cs="Arial"/>
          <w:color w:val="000000"/>
          <w:sz w:val="20"/>
        </w:rPr>
        <w:t xml:space="preserve"> [2014] VSC 211 Bongiorno JA made a 5 year proceeding suppression order preventing disclosure of the identity of the accused who had pleaded guilty to infanticide and the identities of the three related children.  His Honour had expert evidence from a psychiatrist who had examined the accused as well as a senior psychologist </w:t>
      </w:r>
      <w:r>
        <w:rPr>
          <w:rFonts w:ascii="Arial" w:hAnsi="Arial" w:cs="Arial"/>
          <w:color w:val="000000"/>
          <w:sz w:val="20"/>
        </w:rPr>
        <w:t xml:space="preserve">which </w:t>
      </w:r>
      <w:r w:rsidRPr="004235AF">
        <w:rPr>
          <w:rFonts w:ascii="Arial" w:hAnsi="Arial" w:cs="Arial"/>
          <w:color w:val="000000"/>
          <w:sz w:val="20"/>
        </w:rPr>
        <w:t>express</w:t>
      </w:r>
      <w:r>
        <w:rPr>
          <w:rFonts w:ascii="Arial" w:hAnsi="Arial" w:cs="Arial"/>
          <w:color w:val="000000"/>
          <w:sz w:val="20"/>
        </w:rPr>
        <w:t>ed</w:t>
      </w:r>
      <w:r w:rsidRPr="004235AF">
        <w:rPr>
          <w:rFonts w:ascii="Arial" w:hAnsi="Arial" w:cs="Arial"/>
          <w:color w:val="000000"/>
          <w:sz w:val="20"/>
        </w:rPr>
        <w:t xml:space="preserve"> opinions, </w:t>
      </w:r>
      <w:r w:rsidRPr="004235AF">
        <w:rPr>
          <w:rFonts w:ascii="Arial" w:hAnsi="Arial" w:cs="Arial"/>
          <w:i/>
          <w:color w:val="000000"/>
          <w:sz w:val="20"/>
        </w:rPr>
        <w:t>inter alia</w:t>
      </w:r>
      <w:r w:rsidRPr="004235AF">
        <w:rPr>
          <w:rFonts w:ascii="Arial" w:hAnsi="Arial" w:cs="Arial"/>
          <w:color w:val="000000"/>
          <w:sz w:val="20"/>
        </w:rPr>
        <w:t>, about the potential negative impact of disclosure on the psychological health of the accused and the surviving children.  At</w:t>
      </w:r>
      <w:r>
        <w:rPr>
          <w:rFonts w:ascii="Arial" w:hAnsi="Arial" w:cs="Arial"/>
          <w:color w:val="000000"/>
          <w:sz w:val="20"/>
        </w:rPr>
        <w:t> </w:t>
      </w:r>
      <w:r w:rsidRPr="004235AF">
        <w:rPr>
          <w:rFonts w:ascii="Arial" w:hAnsi="Arial" w:cs="Arial"/>
          <w:color w:val="000000"/>
          <w:sz w:val="20"/>
        </w:rPr>
        <w:t>[15] his Honour said:</w:t>
      </w:r>
    </w:p>
    <w:p w14:paraId="53D5E931" w14:textId="77777777" w:rsidR="006769AE" w:rsidRPr="004235AF" w:rsidRDefault="006769AE" w:rsidP="006769AE">
      <w:pPr>
        <w:spacing w:before="60"/>
        <w:ind w:left="567" w:right="567"/>
        <w:jc w:val="both"/>
        <w:rPr>
          <w:rFonts w:ascii="Arial" w:hAnsi="Arial" w:cs="Arial"/>
          <w:color w:val="000000"/>
          <w:sz w:val="20"/>
        </w:rPr>
      </w:pPr>
      <w:r w:rsidRPr="004235AF">
        <w:rPr>
          <w:rFonts w:ascii="Arial" w:hAnsi="Arial" w:cs="Arial"/>
          <w:color w:val="000000"/>
          <w:sz w:val="20"/>
        </w:rPr>
        <w:t xml:space="preserve">“The grounds upon which a suppression order relevant to this case might be made are set out in s 18 of the [OCA].  They include the ground set out in s 18(1)(c), that the order is necessary to protect the safety of any person.  </w:t>
      </w:r>
      <w:r w:rsidRPr="004235AF">
        <w:rPr>
          <w:rFonts w:ascii="Arial" w:hAnsi="Arial" w:cs="Arial"/>
          <w:color w:val="000000"/>
          <w:sz w:val="20"/>
          <w:szCs w:val="20"/>
        </w:rPr>
        <w:t xml:space="preserve">Accordingly, the order must be </w:t>
      </w:r>
      <w:r w:rsidRPr="004235AF">
        <w:rPr>
          <w:rFonts w:ascii="Arial" w:hAnsi="Arial" w:cs="Arial"/>
          <w:i/>
          <w:iCs/>
          <w:color w:val="000000"/>
          <w:sz w:val="20"/>
          <w:szCs w:val="20"/>
        </w:rPr>
        <w:t>necessary</w:t>
      </w:r>
      <w:r w:rsidRPr="004235AF">
        <w:rPr>
          <w:rFonts w:ascii="Arial" w:hAnsi="Arial" w:cs="Arial"/>
          <w:iCs/>
          <w:color w:val="000000"/>
          <w:sz w:val="20"/>
          <w:szCs w:val="20"/>
        </w:rPr>
        <w:t>,</w:t>
      </w:r>
      <w:r w:rsidRPr="004235AF">
        <w:rPr>
          <w:rFonts w:ascii="Arial" w:hAnsi="Arial" w:cs="Arial"/>
          <w:i/>
          <w:iCs/>
          <w:color w:val="000000"/>
          <w:sz w:val="20"/>
          <w:szCs w:val="20"/>
        </w:rPr>
        <w:t xml:space="preserve"> </w:t>
      </w:r>
      <w:r w:rsidRPr="004235AF">
        <w:rPr>
          <w:rFonts w:ascii="Arial" w:hAnsi="Arial" w:cs="Arial"/>
          <w:color w:val="000000"/>
          <w:sz w:val="20"/>
          <w:szCs w:val="20"/>
        </w:rPr>
        <w:t xml:space="preserve">not merely ‘convenient, reasonable or sensible’: </w:t>
      </w:r>
      <w:r w:rsidRPr="004235AF">
        <w:rPr>
          <w:rFonts w:ascii="Arial" w:hAnsi="Arial" w:cs="Arial"/>
          <w:i/>
          <w:color w:val="000000"/>
          <w:sz w:val="20"/>
          <w:szCs w:val="20"/>
        </w:rPr>
        <w:t>Hogan v Australian Crime Commission</w:t>
      </w:r>
      <w:r w:rsidRPr="004235AF">
        <w:rPr>
          <w:rFonts w:ascii="Arial" w:hAnsi="Arial" w:cs="Arial"/>
          <w:color w:val="000000"/>
          <w:sz w:val="20"/>
          <w:szCs w:val="20"/>
        </w:rPr>
        <w:t xml:space="preserve"> (2010) 240 CLR 651, [31]–[33].</w:t>
      </w:r>
      <w:r w:rsidRPr="004235AF">
        <w:rPr>
          <w:rFonts w:ascii="Arial" w:hAnsi="Arial" w:cs="Arial"/>
          <w:color w:val="000000"/>
          <w:sz w:val="20"/>
        </w:rPr>
        <w:t xml:space="preserve">  Without the order, the safety of a person or persons must be endangered.  The protection of a person's safety implies the defending or shielding of that person from injury or danger.  That danger might involve danger of physical harm or it might involve danger to a person's psychological health or a combination of both.  There is no warrant to qualify the meaning of the word ‘safety’ in s</w:t>
      </w:r>
      <w:r>
        <w:rPr>
          <w:rFonts w:ascii="Arial" w:hAnsi="Arial" w:cs="Arial"/>
          <w:color w:val="000000"/>
          <w:sz w:val="20"/>
        </w:rPr>
        <w:t>.</w:t>
      </w:r>
      <w:r w:rsidRPr="004235AF">
        <w:rPr>
          <w:rFonts w:ascii="Arial" w:hAnsi="Arial" w:cs="Arial"/>
          <w:color w:val="000000"/>
          <w:sz w:val="20"/>
        </w:rPr>
        <w:t>18(1)(c) by confining it to physical safety.  Psychological harm to a person may be as serious or worse than physical harm.  In any event psychological harm may well create a serious danger of physical harm, as the evidence in this case suggests.”</w:t>
      </w:r>
    </w:p>
    <w:p w14:paraId="2EB814E5" w14:textId="77777777" w:rsidR="006769AE" w:rsidRDefault="006769AE" w:rsidP="001E79F7">
      <w:pPr>
        <w:jc w:val="both"/>
        <w:rPr>
          <w:rFonts w:ascii="Arial" w:hAnsi="Arial" w:cs="Arial"/>
          <w:sz w:val="20"/>
        </w:rPr>
      </w:pPr>
    </w:p>
    <w:p w14:paraId="58E5B18F" w14:textId="69E03FD3" w:rsidR="00431BC7" w:rsidRDefault="00CE7BD0" w:rsidP="001E79F7">
      <w:pPr>
        <w:jc w:val="both"/>
        <w:rPr>
          <w:rFonts w:ascii="Arial" w:hAnsi="Arial" w:cs="Arial"/>
          <w:sz w:val="20"/>
        </w:rPr>
      </w:pPr>
      <w:r>
        <w:rPr>
          <w:rFonts w:ascii="Arial" w:hAnsi="Arial" w:cs="Arial"/>
          <w:sz w:val="20"/>
        </w:rPr>
        <w:t xml:space="preserve">In </w:t>
      </w:r>
      <w:r w:rsidRPr="00CE7BD0">
        <w:rPr>
          <w:rFonts w:ascii="Arial" w:hAnsi="Arial" w:cs="Arial"/>
          <w:i/>
          <w:iCs/>
          <w:sz w:val="20"/>
        </w:rPr>
        <w:t>WEQ (a pseudonym) v Medical Board of Australia</w:t>
      </w:r>
      <w:r>
        <w:rPr>
          <w:rFonts w:ascii="Arial" w:hAnsi="Arial" w:cs="Arial"/>
          <w:sz w:val="20"/>
        </w:rPr>
        <w:t xml:space="preserve"> </w:t>
      </w:r>
      <w:r w:rsidR="00911EDE" w:rsidRPr="00866492">
        <w:rPr>
          <w:rFonts w:ascii="Arial" w:hAnsi="Arial" w:cs="Arial"/>
          <w:sz w:val="20"/>
          <w:szCs w:val="20"/>
        </w:rPr>
        <w:t>(2021) 69 VR 1</w:t>
      </w:r>
      <w:r w:rsidR="00911EDE">
        <w:rPr>
          <w:rFonts w:ascii="Arial" w:hAnsi="Arial" w:cs="Arial"/>
          <w:sz w:val="20"/>
          <w:szCs w:val="20"/>
        </w:rPr>
        <w:t>;</w:t>
      </w:r>
      <w:r w:rsidR="00911EDE">
        <w:rPr>
          <w:rFonts w:ascii="Arial" w:hAnsi="Arial" w:cs="Arial"/>
          <w:sz w:val="20"/>
        </w:rPr>
        <w:t xml:space="preserve"> </w:t>
      </w:r>
      <w:r>
        <w:rPr>
          <w:rFonts w:ascii="Arial" w:hAnsi="Arial" w:cs="Arial"/>
          <w:sz w:val="20"/>
        </w:rPr>
        <w:t xml:space="preserve">[2021] VSCA 343 </w:t>
      </w:r>
      <w:r w:rsidR="00431BC7">
        <w:rPr>
          <w:rFonts w:ascii="Arial" w:hAnsi="Arial" w:cs="Arial"/>
          <w:sz w:val="20"/>
        </w:rPr>
        <w:t>a proceeding suppression order had been made in disciplinary proceedings in VCAT against the applicant medical practitioner.  The order – of lifetime duration – suppressed the identity of participants in a Family Court proceeding, family members and the regulator’s witnesses.  Holding that</w:t>
      </w:r>
      <w:r w:rsidR="007A4D20">
        <w:rPr>
          <w:rFonts w:ascii="Arial" w:hAnsi="Arial" w:cs="Arial"/>
          <w:sz w:val="20"/>
        </w:rPr>
        <w:t>–</w:t>
      </w:r>
    </w:p>
    <w:p w14:paraId="4BA7DA95" w14:textId="77777777" w:rsidR="00B05551" w:rsidRDefault="00431BC7" w:rsidP="00C23CF0">
      <w:pPr>
        <w:pStyle w:val="ListParagraph"/>
        <w:numPr>
          <w:ilvl w:val="0"/>
          <w:numId w:val="24"/>
        </w:numPr>
        <w:ind w:left="357" w:hanging="357"/>
        <w:jc w:val="both"/>
        <w:rPr>
          <w:rFonts w:ascii="Arial" w:hAnsi="Arial" w:cs="Arial"/>
          <w:sz w:val="20"/>
        </w:rPr>
      </w:pPr>
      <w:r w:rsidRPr="00B05551">
        <w:rPr>
          <w:rFonts w:ascii="Arial" w:hAnsi="Arial" w:cs="Arial"/>
          <w:sz w:val="20"/>
        </w:rPr>
        <w:t>the order was overly broad</w:t>
      </w:r>
      <w:r w:rsidR="00B05551">
        <w:rPr>
          <w:rFonts w:ascii="Arial" w:hAnsi="Arial" w:cs="Arial"/>
          <w:sz w:val="20"/>
        </w:rPr>
        <w:t xml:space="preserve">, going </w:t>
      </w:r>
      <w:r w:rsidR="00B05551" w:rsidRPr="00B05551">
        <w:rPr>
          <w:rFonts w:ascii="Arial" w:hAnsi="Arial" w:cs="Arial"/>
          <w:sz w:val="20"/>
        </w:rPr>
        <w:t>well beyond what was necessary in the interests of justice</w:t>
      </w:r>
      <w:r w:rsidR="00B05551">
        <w:rPr>
          <w:rFonts w:ascii="Arial" w:hAnsi="Arial" w:cs="Arial"/>
          <w:sz w:val="20"/>
        </w:rPr>
        <w:t>;</w:t>
      </w:r>
    </w:p>
    <w:p w14:paraId="6C2D5525" w14:textId="1D5F3D63" w:rsidR="00431BC7" w:rsidRPr="00B05551" w:rsidRDefault="00B05551" w:rsidP="00C23CF0">
      <w:pPr>
        <w:pStyle w:val="ListParagraph"/>
        <w:numPr>
          <w:ilvl w:val="0"/>
          <w:numId w:val="24"/>
        </w:numPr>
        <w:ind w:left="357" w:hanging="357"/>
        <w:jc w:val="both"/>
        <w:rPr>
          <w:rFonts w:ascii="Arial" w:hAnsi="Arial" w:cs="Arial"/>
          <w:sz w:val="20"/>
        </w:rPr>
      </w:pPr>
      <w:r>
        <w:rPr>
          <w:rFonts w:ascii="Arial" w:hAnsi="Arial" w:cs="Arial"/>
          <w:sz w:val="20"/>
        </w:rPr>
        <w:t>it</w:t>
      </w:r>
      <w:r w:rsidRPr="00B05551">
        <w:rPr>
          <w:rFonts w:ascii="Arial" w:hAnsi="Arial" w:cs="Arial"/>
          <w:sz w:val="20"/>
        </w:rPr>
        <w:t xml:space="preserve"> applied to significantly more information than </w:t>
      </w:r>
      <w:r w:rsidR="00431BC7" w:rsidRPr="00B05551">
        <w:rPr>
          <w:rFonts w:ascii="Arial" w:hAnsi="Arial" w:cs="Arial"/>
          <w:sz w:val="20"/>
        </w:rPr>
        <w:t>was necessary to achieve its purpose</w:t>
      </w:r>
      <w:r>
        <w:rPr>
          <w:rFonts w:ascii="Arial" w:hAnsi="Arial" w:cs="Arial"/>
          <w:sz w:val="20"/>
        </w:rPr>
        <w:t xml:space="preserve"> and was of longer duration that reasonably necessary</w:t>
      </w:r>
      <w:r w:rsidR="00431BC7" w:rsidRPr="00B05551">
        <w:rPr>
          <w:rFonts w:ascii="Arial" w:hAnsi="Arial" w:cs="Arial"/>
          <w:sz w:val="20"/>
        </w:rPr>
        <w:t>; and</w:t>
      </w:r>
    </w:p>
    <w:p w14:paraId="13F16204" w14:textId="504DA383" w:rsidR="00431BC7" w:rsidRPr="00431BC7" w:rsidRDefault="00431BC7" w:rsidP="00C23CF0">
      <w:pPr>
        <w:pStyle w:val="ListParagraph"/>
        <w:numPr>
          <w:ilvl w:val="0"/>
          <w:numId w:val="24"/>
        </w:numPr>
        <w:ind w:left="357" w:hanging="357"/>
        <w:jc w:val="both"/>
        <w:rPr>
          <w:rFonts w:ascii="Arial" w:hAnsi="Arial" w:cs="Arial"/>
          <w:sz w:val="20"/>
        </w:rPr>
      </w:pPr>
      <w:r>
        <w:rPr>
          <w:rFonts w:ascii="Arial" w:hAnsi="Arial" w:cs="Arial"/>
          <w:sz w:val="20"/>
        </w:rPr>
        <w:t xml:space="preserve">it was unnecessary to duplicate the Family Court suppression regime in s.121 </w:t>
      </w:r>
      <w:r w:rsidRPr="00431BC7">
        <w:rPr>
          <w:rFonts w:ascii="Arial" w:hAnsi="Arial" w:cs="Arial"/>
          <w:i/>
          <w:iCs/>
          <w:sz w:val="20"/>
        </w:rPr>
        <w:t>Family Law Act 1975</w:t>
      </w:r>
      <w:r>
        <w:rPr>
          <w:rFonts w:ascii="Arial" w:hAnsi="Arial" w:cs="Arial"/>
          <w:sz w:val="20"/>
        </w:rPr>
        <w:t xml:space="preserve"> (</w:t>
      </w:r>
      <w:proofErr w:type="spellStart"/>
      <w:r>
        <w:rPr>
          <w:rFonts w:ascii="Arial" w:hAnsi="Arial" w:cs="Arial"/>
          <w:sz w:val="20"/>
        </w:rPr>
        <w:t>Cth</w:t>
      </w:r>
      <w:proofErr w:type="spellEnd"/>
      <w:r>
        <w:rPr>
          <w:rFonts w:ascii="Arial" w:hAnsi="Arial" w:cs="Arial"/>
          <w:sz w:val="20"/>
        </w:rPr>
        <w:t>)</w:t>
      </w:r>
      <w:r w:rsidR="00741721">
        <w:rPr>
          <w:rFonts w:ascii="Arial" w:hAnsi="Arial" w:cs="Arial"/>
          <w:sz w:val="20"/>
        </w:rPr>
        <w:t>–</w:t>
      </w:r>
    </w:p>
    <w:p w14:paraId="36AC9EDB" w14:textId="1364A2B5" w:rsidR="00CE7BD0" w:rsidRDefault="00431BC7" w:rsidP="001E79F7">
      <w:pPr>
        <w:jc w:val="both"/>
        <w:rPr>
          <w:rFonts w:ascii="Arial" w:hAnsi="Arial" w:cs="Arial"/>
          <w:sz w:val="20"/>
        </w:rPr>
      </w:pPr>
      <w:r>
        <w:rPr>
          <w:rFonts w:ascii="Arial" w:hAnsi="Arial" w:cs="Arial"/>
          <w:sz w:val="20"/>
        </w:rPr>
        <w:t xml:space="preserve">the Court of Appeal (Kyrou &amp; McLeish JJA) allowed the appeal </w:t>
      </w:r>
      <w:r w:rsidR="008D73DB">
        <w:rPr>
          <w:rFonts w:ascii="Arial" w:hAnsi="Arial" w:cs="Arial"/>
          <w:sz w:val="20"/>
        </w:rPr>
        <w:t>in part and vari</w:t>
      </w:r>
      <w:r>
        <w:rPr>
          <w:rFonts w:ascii="Arial" w:hAnsi="Arial" w:cs="Arial"/>
          <w:sz w:val="20"/>
        </w:rPr>
        <w:t>ed the order</w:t>
      </w:r>
      <w:r w:rsidR="00FB6B1B">
        <w:rPr>
          <w:rFonts w:ascii="Arial" w:hAnsi="Arial" w:cs="Arial"/>
          <w:sz w:val="20"/>
        </w:rPr>
        <w:t xml:space="preserve"> by revoking the </w:t>
      </w:r>
      <w:r w:rsidR="009C2698">
        <w:rPr>
          <w:rFonts w:ascii="Arial" w:hAnsi="Arial" w:cs="Arial"/>
          <w:sz w:val="20"/>
        </w:rPr>
        <w:t xml:space="preserve">confidentiality orders but </w:t>
      </w:r>
      <w:r w:rsidR="00FB6B1B">
        <w:rPr>
          <w:rFonts w:ascii="Arial" w:hAnsi="Arial" w:cs="Arial"/>
          <w:sz w:val="20"/>
        </w:rPr>
        <w:t>making an interim proceeding suppression order in narrower terms.</w:t>
      </w:r>
      <w:r w:rsidR="00B05551">
        <w:rPr>
          <w:rFonts w:ascii="Arial" w:hAnsi="Arial" w:cs="Arial"/>
          <w:sz w:val="20"/>
        </w:rPr>
        <w:t xml:space="preserve">  At</w:t>
      </w:r>
      <w:r w:rsidR="00157364">
        <w:rPr>
          <w:rFonts w:ascii="Arial" w:hAnsi="Arial" w:cs="Arial"/>
          <w:sz w:val="20"/>
        </w:rPr>
        <w:t> </w:t>
      </w:r>
      <w:r w:rsidR="00B05551">
        <w:rPr>
          <w:rFonts w:ascii="Arial" w:hAnsi="Arial" w:cs="Arial"/>
          <w:sz w:val="20"/>
        </w:rPr>
        <w:t>[59]</w:t>
      </w:r>
      <w:r w:rsidR="00157364">
        <w:rPr>
          <w:rFonts w:ascii="Arial" w:hAnsi="Arial" w:cs="Arial"/>
          <w:sz w:val="20"/>
        </w:rPr>
        <w:noBreakHyphen/>
      </w:r>
      <w:r w:rsidR="00B05551">
        <w:rPr>
          <w:rFonts w:ascii="Arial" w:hAnsi="Arial" w:cs="Arial"/>
          <w:sz w:val="20"/>
        </w:rPr>
        <w:t>[</w:t>
      </w:r>
      <w:r w:rsidR="00157364">
        <w:rPr>
          <w:rFonts w:ascii="Arial" w:hAnsi="Arial" w:cs="Arial"/>
          <w:sz w:val="20"/>
        </w:rPr>
        <w:t>67</w:t>
      </w:r>
      <w:r w:rsidR="00B05551">
        <w:rPr>
          <w:rFonts w:ascii="Arial" w:hAnsi="Arial" w:cs="Arial"/>
          <w:sz w:val="20"/>
        </w:rPr>
        <w:t>] the Court detailed the following principles (citations omitted):</w:t>
      </w:r>
    </w:p>
    <w:p w14:paraId="5BB8DA68" w14:textId="3DEE837D" w:rsidR="00B05551" w:rsidRDefault="00B05551" w:rsidP="00B05551">
      <w:pPr>
        <w:spacing w:before="60"/>
        <w:ind w:left="567" w:right="567"/>
        <w:jc w:val="both"/>
        <w:rPr>
          <w:rFonts w:ascii="Arial" w:hAnsi="Arial" w:cs="Arial"/>
          <w:sz w:val="20"/>
          <w:szCs w:val="20"/>
        </w:rPr>
      </w:pPr>
      <w:r>
        <w:rPr>
          <w:rFonts w:ascii="Arial" w:hAnsi="Arial" w:cs="Arial"/>
          <w:sz w:val="20"/>
          <w:szCs w:val="20"/>
        </w:rPr>
        <w:lastRenderedPageBreak/>
        <w:t xml:space="preserve">[59] </w:t>
      </w:r>
      <w:r w:rsidRPr="00B05551">
        <w:rPr>
          <w:rFonts w:ascii="Arial" w:hAnsi="Arial" w:cs="Arial"/>
          <w:sz w:val="20"/>
          <w:szCs w:val="20"/>
        </w:rPr>
        <w:t xml:space="preserve">“The principle of open justice is a fundamental rule of the common law and an essential part of the functioning of the Australian justice system.  Its purpose is </w:t>
      </w:r>
      <w:r w:rsidRPr="00B05551">
        <w:rPr>
          <w:rFonts w:ascii="Arial" w:eastAsia="Book Antiqua" w:hAnsi="Arial" w:cs="Arial"/>
          <w:sz w:val="20"/>
          <w:szCs w:val="20"/>
        </w:rPr>
        <w:t>to expose proceedings to ‘public and professional scrutiny’</w:t>
      </w:r>
      <w:r w:rsidRPr="00B05551">
        <w:rPr>
          <w:rFonts w:ascii="Arial" w:hAnsi="Arial" w:cs="Arial"/>
          <w:sz w:val="20"/>
          <w:szCs w:val="20"/>
        </w:rPr>
        <w:t xml:space="preserve"> and inform the public how judicial (or administrative) power is exercised, and on what evidential basis.  This enhances accountability, and assists in maintaining public confidence in the integrity and independence of courts and tribunals.</w:t>
      </w:r>
    </w:p>
    <w:p w14:paraId="023735C5" w14:textId="4AE5E957" w:rsidR="00B05551" w:rsidRDefault="00B05551" w:rsidP="00B05551">
      <w:pPr>
        <w:spacing w:before="60"/>
        <w:ind w:left="567" w:right="567"/>
        <w:jc w:val="both"/>
        <w:rPr>
          <w:rFonts w:ascii="Arial" w:hAnsi="Arial" w:cs="Arial"/>
          <w:sz w:val="20"/>
          <w:szCs w:val="20"/>
        </w:rPr>
      </w:pPr>
      <w:r>
        <w:rPr>
          <w:rFonts w:ascii="Arial" w:hAnsi="Arial" w:cs="Arial"/>
          <w:sz w:val="20"/>
          <w:szCs w:val="20"/>
        </w:rPr>
        <w:t xml:space="preserve">[60] </w:t>
      </w:r>
      <w:r w:rsidRPr="00B05551">
        <w:rPr>
          <w:rFonts w:ascii="Arial" w:hAnsi="Arial" w:cs="Arial"/>
          <w:sz w:val="20"/>
          <w:szCs w:val="20"/>
        </w:rPr>
        <w:t xml:space="preserve">An aspect of the principle of open justice is that what occurs in open court (or an open tribunal) may be publicised.  Persons present in an open court or tribunal may disseminate to others who were not present fair and accurate reports of the proceedings, including the names of the parties and witnesses and the evidence given.  It has been said that proceedings must </w:t>
      </w:r>
      <w:r w:rsidRPr="00B05551">
        <w:rPr>
          <w:rFonts w:ascii="Arial" w:eastAsia="Book Antiqua" w:hAnsi="Arial" w:cs="Arial"/>
          <w:sz w:val="20"/>
          <w:szCs w:val="20"/>
        </w:rPr>
        <w:t>be ‘exposed in their entirety to the cathartic glare of publicity’, subject only to limited exceptions ‘sparingly allowed’</w:t>
      </w:r>
      <w:r w:rsidRPr="00B05551">
        <w:rPr>
          <w:rFonts w:ascii="Arial" w:hAnsi="Arial" w:cs="Arial"/>
          <w:sz w:val="20"/>
          <w:szCs w:val="20"/>
        </w:rPr>
        <w:t>.</w:t>
      </w:r>
    </w:p>
    <w:p w14:paraId="71358A3D" w14:textId="2A6180A2" w:rsidR="00B05551" w:rsidRDefault="00B05551" w:rsidP="00B05551">
      <w:pPr>
        <w:spacing w:before="60"/>
        <w:ind w:left="567" w:right="567"/>
        <w:jc w:val="both"/>
        <w:rPr>
          <w:rFonts w:ascii="Arial" w:hAnsi="Arial" w:cs="Arial"/>
          <w:sz w:val="20"/>
          <w:szCs w:val="20"/>
        </w:rPr>
      </w:pPr>
      <w:r>
        <w:rPr>
          <w:rFonts w:ascii="Arial" w:hAnsi="Arial" w:cs="Arial"/>
          <w:sz w:val="20"/>
          <w:szCs w:val="20"/>
        </w:rPr>
        <w:t xml:space="preserve">[61] </w:t>
      </w:r>
      <w:r w:rsidRPr="00B05551">
        <w:rPr>
          <w:rFonts w:ascii="Arial" w:hAnsi="Arial" w:cs="Arial"/>
          <w:sz w:val="20"/>
          <w:szCs w:val="20"/>
        </w:rPr>
        <w:t>In disciplinary or criminal proceedings, this aspect of the principle of open justice assumes particular importance as there is a special public interest in the community knowing the outcome of such proceedings.  The publicity of disciplinary proceedings assists in protecting the public, signals to the relevant profession what is and is not acceptable professional conduct, and serves the purposes of specific and general deterrence.</w:t>
      </w:r>
    </w:p>
    <w:p w14:paraId="79909992" w14:textId="396D2498" w:rsidR="00B05551" w:rsidRDefault="00B05551" w:rsidP="00B05551">
      <w:pPr>
        <w:spacing w:before="60"/>
        <w:ind w:left="567" w:right="567"/>
        <w:jc w:val="both"/>
        <w:rPr>
          <w:rFonts w:ascii="Arial" w:eastAsia="Book Antiqua" w:hAnsi="Arial" w:cs="Arial"/>
          <w:sz w:val="20"/>
          <w:szCs w:val="20"/>
        </w:rPr>
      </w:pPr>
      <w:r>
        <w:rPr>
          <w:rFonts w:ascii="Arial" w:hAnsi="Arial" w:cs="Arial"/>
          <w:sz w:val="20"/>
          <w:szCs w:val="20"/>
        </w:rPr>
        <w:t xml:space="preserve">[62] </w:t>
      </w:r>
      <w:r w:rsidR="00157364" w:rsidRPr="00157364">
        <w:rPr>
          <w:rFonts w:ascii="Arial" w:hAnsi="Arial" w:cs="Arial"/>
          <w:sz w:val="20"/>
          <w:szCs w:val="20"/>
        </w:rPr>
        <w:t>The Act</w:t>
      </w:r>
      <w:r w:rsidR="00157364" w:rsidRPr="00157364">
        <w:rPr>
          <w:rFonts w:ascii="Arial" w:eastAsia="Book Antiqua" w:hAnsi="Arial" w:cs="Arial"/>
          <w:i/>
          <w:sz w:val="20"/>
          <w:szCs w:val="20"/>
        </w:rPr>
        <w:t xml:space="preserve"> </w:t>
      </w:r>
      <w:r w:rsidR="00157364" w:rsidRPr="00157364">
        <w:rPr>
          <w:rFonts w:ascii="Arial" w:hAnsi="Arial" w:cs="Arial"/>
          <w:sz w:val="20"/>
          <w:szCs w:val="20"/>
        </w:rPr>
        <w:t xml:space="preserve">recognises and reinforces the principle of open justice, in respect of the Tribunal, as well as the courts.  It provides for the primacy of the principle and authorises departure from it only in specified circumstances.  Relevantly for present purposes, s </w:t>
      </w:r>
      <w:r w:rsidR="00157364" w:rsidRPr="00157364">
        <w:rPr>
          <w:rFonts w:ascii="Arial" w:eastAsia="Book Antiqua" w:hAnsi="Arial" w:cs="Arial"/>
          <w:sz w:val="20"/>
          <w:szCs w:val="20"/>
        </w:rPr>
        <w:t xml:space="preserve">4(2) provides that a court or tribunal ‘is only to make a suppression order </w:t>
      </w:r>
      <w:r w:rsidR="00157364" w:rsidRPr="00157364">
        <w:rPr>
          <w:rFonts w:ascii="Arial" w:hAnsi="Arial" w:cs="Arial"/>
          <w:sz w:val="20"/>
          <w:szCs w:val="20"/>
        </w:rPr>
        <w:t xml:space="preserve">if satisfied that the specific circumstances of a case make it necessary to override or displace the principle of open justice and the free communication and disclosure of </w:t>
      </w:r>
      <w:r w:rsidR="00157364" w:rsidRPr="00157364">
        <w:rPr>
          <w:rFonts w:ascii="Arial" w:eastAsia="Book Antiqua" w:hAnsi="Arial" w:cs="Arial"/>
          <w:sz w:val="20"/>
          <w:szCs w:val="20"/>
        </w:rPr>
        <w:t>information’.</w:t>
      </w:r>
    </w:p>
    <w:p w14:paraId="4358F241" w14:textId="1AAB2F2F" w:rsidR="00157364" w:rsidRDefault="00157364" w:rsidP="00B05551">
      <w:pPr>
        <w:spacing w:before="60"/>
        <w:ind w:left="567" w:right="567"/>
        <w:jc w:val="both"/>
        <w:rPr>
          <w:rFonts w:ascii="Arial" w:hAnsi="Arial" w:cs="Arial"/>
          <w:sz w:val="20"/>
          <w:szCs w:val="20"/>
        </w:rPr>
      </w:pPr>
      <w:r>
        <w:rPr>
          <w:rFonts w:ascii="Arial" w:eastAsia="Book Antiqua" w:hAnsi="Arial" w:cs="Arial"/>
          <w:sz w:val="20"/>
          <w:szCs w:val="20"/>
        </w:rPr>
        <w:t xml:space="preserve">[63] </w:t>
      </w:r>
      <w:r w:rsidRPr="00157364">
        <w:rPr>
          <w:rFonts w:ascii="Arial" w:hAnsi="Arial" w:cs="Arial"/>
          <w:sz w:val="20"/>
          <w:szCs w:val="20"/>
        </w:rPr>
        <w:t>It is a particular type of suppression order, a proceeding suppression order, that is now in issue.  A proceeding suppression order is defined as an order prohibiting or restricting the disclosure of a report of all or part of a proceeding, or any information derived from the proceeding.  The Act specifies the circumstances in which it is permissible to depart from the principle by making such an order.</w:t>
      </w:r>
    </w:p>
    <w:p w14:paraId="343DEFD2" w14:textId="59078524" w:rsidR="00157364" w:rsidRDefault="00157364" w:rsidP="00B05551">
      <w:pPr>
        <w:spacing w:before="60"/>
        <w:ind w:left="567" w:right="567"/>
        <w:jc w:val="both"/>
        <w:rPr>
          <w:rFonts w:ascii="Arial" w:hAnsi="Arial" w:cs="Arial"/>
          <w:sz w:val="20"/>
          <w:szCs w:val="20"/>
        </w:rPr>
      </w:pPr>
      <w:r>
        <w:rPr>
          <w:rFonts w:ascii="Arial" w:hAnsi="Arial" w:cs="Arial"/>
          <w:sz w:val="20"/>
          <w:szCs w:val="20"/>
        </w:rPr>
        <w:t xml:space="preserve">[64] </w:t>
      </w:r>
      <w:r w:rsidRPr="00157364">
        <w:rPr>
          <w:rFonts w:ascii="Arial" w:hAnsi="Arial" w:cs="Arial"/>
          <w:sz w:val="20"/>
          <w:szCs w:val="20"/>
        </w:rPr>
        <w:t xml:space="preserve">First, the power to make a proceeding suppression order depends on the court or tribunal being satisfied that the order is </w:t>
      </w:r>
      <w:r w:rsidRPr="00157364">
        <w:rPr>
          <w:rFonts w:ascii="Arial" w:eastAsia="Book Antiqua" w:hAnsi="Arial" w:cs="Arial"/>
          <w:sz w:val="20"/>
          <w:szCs w:val="20"/>
        </w:rPr>
        <w:t>‘</w:t>
      </w:r>
      <w:r w:rsidRPr="00157364">
        <w:rPr>
          <w:rFonts w:ascii="Arial" w:hAnsi="Arial" w:cs="Arial"/>
          <w:sz w:val="20"/>
          <w:szCs w:val="20"/>
        </w:rPr>
        <w:t>necessary</w:t>
      </w:r>
      <w:r w:rsidRPr="00157364">
        <w:rPr>
          <w:rFonts w:ascii="Arial" w:eastAsia="Book Antiqua" w:hAnsi="Arial" w:cs="Arial"/>
          <w:sz w:val="20"/>
          <w:szCs w:val="20"/>
        </w:rPr>
        <w:t>’</w:t>
      </w:r>
      <w:r w:rsidRPr="00157364">
        <w:rPr>
          <w:rFonts w:ascii="Arial" w:hAnsi="Arial" w:cs="Arial"/>
          <w:sz w:val="20"/>
          <w:szCs w:val="20"/>
        </w:rPr>
        <w:t xml:space="preserve"> to achieve at least one of a number of enumerated purposes set out in s 18 of the Act.  Necessity is a stringent standard, requiring a high degree of satisfaction; it is not enough that it would be reasonable or desirable to make an order for one of the purposes identified in s 18.</w:t>
      </w:r>
    </w:p>
    <w:p w14:paraId="108B9025" w14:textId="556E86AA" w:rsidR="00157364" w:rsidRDefault="00157364" w:rsidP="00B05551">
      <w:pPr>
        <w:spacing w:before="60"/>
        <w:ind w:left="567" w:right="567"/>
        <w:jc w:val="both"/>
        <w:rPr>
          <w:rFonts w:ascii="Arial" w:eastAsia="Book Antiqua" w:hAnsi="Arial" w:cs="Arial"/>
          <w:sz w:val="20"/>
          <w:szCs w:val="20"/>
        </w:rPr>
      </w:pPr>
      <w:r>
        <w:rPr>
          <w:rFonts w:ascii="Arial" w:hAnsi="Arial" w:cs="Arial"/>
          <w:sz w:val="20"/>
          <w:szCs w:val="20"/>
        </w:rPr>
        <w:t xml:space="preserve">[65] </w:t>
      </w:r>
      <w:r w:rsidRPr="00157364">
        <w:rPr>
          <w:rFonts w:ascii="Arial" w:hAnsi="Arial" w:cs="Arial"/>
          <w:sz w:val="20"/>
          <w:szCs w:val="20"/>
        </w:rPr>
        <w:t xml:space="preserve">Secondly, the requisite standard is to be satisfied on the basis of evidence or </w:t>
      </w:r>
      <w:r w:rsidRPr="00157364">
        <w:rPr>
          <w:rFonts w:ascii="Arial" w:eastAsia="Book Antiqua" w:hAnsi="Arial" w:cs="Arial"/>
          <w:sz w:val="20"/>
          <w:szCs w:val="20"/>
        </w:rPr>
        <w:t>‘sufficient credible information’ showing that the relevant ground is made out: s 14</w:t>
      </w:r>
      <w:r w:rsidRPr="00157364">
        <w:rPr>
          <w:rFonts w:ascii="Arial" w:hAnsi="Arial" w:cs="Arial"/>
          <w:sz w:val="20"/>
          <w:szCs w:val="20"/>
        </w:rPr>
        <w:t xml:space="preserve">.  This is a substantive requirement applicable even when an application is consented to or not opposed.  By reference to such information, the court or tribunal must </w:t>
      </w:r>
      <w:r w:rsidRPr="00157364">
        <w:rPr>
          <w:rFonts w:ascii="Arial" w:eastAsia="Book Antiqua" w:hAnsi="Arial" w:cs="Arial"/>
          <w:sz w:val="20"/>
          <w:szCs w:val="20"/>
        </w:rPr>
        <w:t>carefully ‘scrutinise the justification for, and the nature and scope of, the proposed order’.</w:t>
      </w:r>
    </w:p>
    <w:p w14:paraId="0C3100ED" w14:textId="79061921" w:rsidR="00157364" w:rsidRDefault="00157364" w:rsidP="00B05551">
      <w:pPr>
        <w:spacing w:before="60"/>
        <w:ind w:left="567" w:right="567"/>
        <w:jc w:val="both"/>
        <w:rPr>
          <w:rFonts w:ascii="Arial" w:hAnsi="Arial" w:cs="Arial"/>
          <w:sz w:val="20"/>
          <w:szCs w:val="20"/>
        </w:rPr>
      </w:pPr>
      <w:r>
        <w:rPr>
          <w:rFonts w:ascii="Arial" w:eastAsia="Book Antiqua" w:hAnsi="Arial" w:cs="Arial"/>
          <w:sz w:val="20"/>
          <w:szCs w:val="20"/>
        </w:rPr>
        <w:t xml:space="preserve">[66] </w:t>
      </w:r>
      <w:r w:rsidRPr="00157364">
        <w:rPr>
          <w:rFonts w:ascii="Arial" w:hAnsi="Arial" w:cs="Arial"/>
          <w:sz w:val="20"/>
          <w:szCs w:val="20"/>
        </w:rPr>
        <w:t xml:space="preserve">Thirdly, the duration and scope of any proceeding suppression order must not exceed what is necessary to achieve its purpose.  Any proceeding suppression </w:t>
      </w:r>
      <w:r w:rsidRPr="00157364">
        <w:rPr>
          <w:rFonts w:ascii="Arial" w:eastAsia="Book Antiqua" w:hAnsi="Arial" w:cs="Arial"/>
          <w:sz w:val="20"/>
          <w:szCs w:val="20"/>
        </w:rPr>
        <w:t xml:space="preserve">order must not exceed the duration ‘reasonably necessary’ to achieve the purpose for </w:t>
      </w:r>
      <w:r w:rsidRPr="00157364">
        <w:rPr>
          <w:rFonts w:ascii="Arial" w:hAnsi="Arial" w:cs="Arial"/>
          <w:sz w:val="20"/>
          <w:szCs w:val="20"/>
        </w:rPr>
        <w:t>which it is made: s 12(4).  Similarly, any order must not apply to (and so restrict the disclosure of) any more information than necessary to achieve the relevant purpose: s 13(1)(b).  The information to which the order does apply must be specified with sufficient particularity so that the scope of the order is readily apparent from its terms: s 13(1)(c).</w:t>
      </w:r>
    </w:p>
    <w:p w14:paraId="79FEED69" w14:textId="652517EB" w:rsidR="00157364" w:rsidRPr="00B05551" w:rsidRDefault="00157364" w:rsidP="00B05551">
      <w:pPr>
        <w:spacing w:before="60"/>
        <w:ind w:left="567" w:right="567"/>
        <w:jc w:val="both"/>
        <w:rPr>
          <w:rFonts w:ascii="Arial" w:hAnsi="Arial" w:cs="Arial"/>
          <w:sz w:val="20"/>
          <w:szCs w:val="20"/>
        </w:rPr>
      </w:pPr>
      <w:r>
        <w:rPr>
          <w:rFonts w:ascii="Arial" w:hAnsi="Arial" w:cs="Arial"/>
          <w:sz w:val="20"/>
          <w:szCs w:val="20"/>
        </w:rPr>
        <w:t xml:space="preserve">[67] </w:t>
      </w:r>
      <w:r w:rsidRPr="00157364">
        <w:rPr>
          <w:rFonts w:ascii="Arial" w:hAnsi="Arial" w:cs="Arial"/>
          <w:sz w:val="20"/>
          <w:szCs w:val="20"/>
        </w:rPr>
        <w:t>Fourthly, the court or tribunal that makes a proceeding suppression order (other than an interim order) must provide reasons setting out the ground(s) relied on, and justifying the duration and scope of the order: s 14A(1).</w:t>
      </w:r>
      <w:r>
        <w:rPr>
          <w:rFonts w:ascii="Arial" w:hAnsi="Arial" w:cs="Arial"/>
          <w:sz w:val="20"/>
          <w:szCs w:val="20"/>
        </w:rPr>
        <w:t>”</w:t>
      </w:r>
    </w:p>
    <w:p w14:paraId="3B54581B" w14:textId="39F89CAC" w:rsidR="009C2698" w:rsidRPr="00157364" w:rsidRDefault="001C37FC" w:rsidP="00157364">
      <w:pPr>
        <w:spacing w:before="60"/>
        <w:rPr>
          <w:rFonts w:ascii="Arial" w:hAnsi="Arial" w:cs="Arial"/>
          <w:sz w:val="20"/>
          <w:szCs w:val="20"/>
        </w:rPr>
      </w:pPr>
      <w:r>
        <w:rPr>
          <w:rFonts w:ascii="Arial" w:hAnsi="Arial" w:cs="Arial"/>
          <w:sz w:val="20"/>
          <w:szCs w:val="20"/>
        </w:rPr>
        <w:t>Finally, a</w:t>
      </w:r>
      <w:r w:rsidR="00157364" w:rsidRPr="00157364">
        <w:rPr>
          <w:rFonts w:ascii="Arial" w:hAnsi="Arial" w:cs="Arial"/>
          <w:sz w:val="20"/>
          <w:szCs w:val="20"/>
        </w:rPr>
        <w:t>t [93] the Court of Appeal</w:t>
      </w:r>
      <w:r w:rsidR="00157364">
        <w:rPr>
          <w:rFonts w:ascii="Arial" w:hAnsi="Arial" w:cs="Arial"/>
          <w:sz w:val="20"/>
          <w:szCs w:val="20"/>
        </w:rPr>
        <w:t xml:space="preserve"> commented on the relationship between a closed court order on the one hand and </w:t>
      </w:r>
      <w:r>
        <w:rPr>
          <w:rFonts w:ascii="Arial" w:hAnsi="Arial" w:cs="Arial"/>
          <w:sz w:val="20"/>
          <w:szCs w:val="20"/>
        </w:rPr>
        <w:t>any pseudonym and/or proceeding suppression order on the other hand:</w:t>
      </w:r>
    </w:p>
    <w:p w14:paraId="73BF567E" w14:textId="53058562" w:rsidR="001C37FC" w:rsidRPr="00B05551" w:rsidRDefault="001C37FC" w:rsidP="001C37FC">
      <w:pPr>
        <w:spacing w:before="60"/>
        <w:ind w:left="567" w:right="567"/>
        <w:jc w:val="both"/>
        <w:rPr>
          <w:rFonts w:ascii="Arial" w:hAnsi="Arial" w:cs="Arial"/>
          <w:sz w:val="20"/>
          <w:szCs w:val="20"/>
        </w:rPr>
      </w:pPr>
      <w:r>
        <w:rPr>
          <w:rFonts w:ascii="Arial" w:hAnsi="Arial" w:cs="Arial"/>
          <w:sz w:val="20"/>
          <w:szCs w:val="20"/>
        </w:rPr>
        <w:t>“</w:t>
      </w:r>
      <w:r w:rsidRPr="001C37FC">
        <w:rPr>
          <w:rFonts w:ascii="Arial" w:hAnsi="Arial" w:cs="Arial"/>
          <w:sz w:val="20"/>
          <w:szCs w:val="20"/>
        </w:rPr>
        <w:t>Relatedly, the existence and scope of any pseudonym and/or proceeding suppression order may affect whether it remains necessary to maintain a closed tribunal order in respect of the entire proceeding.  A closed tribunal order is subject to the strict necessity standard described above, in respect of the same enumerated grounds</w:t>
      </w:r>
      <w:r>
        <w:rPr>
          <w:rFonts w:ascii="Arial" w:hAnsi="Arial" w:cs="Arial"/>
          <w:sz w:val="20"/>
          <w:szCs w:val="20"/>
        </w:rPr>
        <w:t xml:space="preserve">: see ss.28(2) &amp; 30(2) of the Act.  </w:t>
      </w:r>
      <w:r w:rsidRPr="001C37FC">
        <w:rPr>
          <w:rFonts w:ascii="Arial" w:hAnsi="Arial" w:cs="Arial"/>
          <w:sz w:val="20"/>
          <w:szCs w:val="20"/>
        </w:rPr>
        <w:t>As a result, the requisite standard may no longer be attainable if a proceeding suppression order and/or a pseudonym order has already satisfied the purpose for which a closed tribunal order might otherwise be thought necessary.</w:t>
      </w:r>
      <w:r>
        <w:rPr>
          <w:rFonts w:ascii="Arial" w:hAnsi="Arial" w:cs="Arial"/>
          <w:sz w:val="20"/>
          <w:szCs w:val="20"/>
        </w:rPr>
        <w:t>”</w:t>
      </w:r>
    </w:p>
    <w:p w14:paraId="3AEB042B" w14:textId="228BD0A8" w:rsidR="00617527" w:rsidRDefault="00617527" w:rsidP="00617527">
      <w:pPr>
        <w:spacing w:before="120"/>
        <w:ind w:right="45"/>
        <w:rPr>
          <w:rFonts w:ascii="Arial" w:hAnsi="Arial" w:cs="Arial"/>
          <w:sz w:val="20"/>
          <w:szCs w:val="20"/>
        </w:rPr>
      </w:pPr>
      <w:r>
        <w:rPr>
          <w:rFonts w:ascii="Arial" w:hAnsi="Arial" w:cs="Arial"/>
          <w:sz w:val="20"/>
          <w:szCs w:val="20"/>
        </w:rPr>
        <w:t xml:space="preserve">See also </w:t>
      </w:r>
      <w:r w:rsidRPr="00617527">
        <w:rPr>
          <w:rFonts w:ascii="Arial" w:hAnsi="Arial" w:cs="Arial"/>
          <w:i/>
          <w:iCs/>
          <w:sz w:val="20"/>
          <w:szCs w:val="20"/>
        </w:rPr>
        <w:t>WEQ (a pseudonym) v Medical Board of Australia (No 2)</w:t>
      </w:r>
      <w:r>
        <w:rPr>
          <w:rFonts w:ascii="Arial" w:hAnsi="Arial" w:cs="Arial"/>
          <w:sz w:val="20"/>
          <w:szCs w:val="20"/>
        </w:rPr>
        <w:t xml:space="preserve"> [2025] VSC </w:t>
      </w:r>
      <w:r w:rsidR="00911EDE">
        <w:rPr>
          <w:rFonts w:ascii="Arial" w:hAnsi="Arial" w:cs="Arial"/>
          <w:sz w:val="20"/>
          <w:szCs w:val="20"/>
        </w:rPr>
        <w:t>835</w:t>
      </w:r>
      <w:r>
        <w:rPr>
          <w:rFonts w:ascii="Arial" w:hAnsi="Arial" w:cs="Arial"/>
          <w:sz w:val="20"/>
          <w:szCs w:val="20"/>
        </w:rPr>
        <w:t xml:space="preserve"> at [78]-[87].</w:t>
      </w:r>
    </w:p>
    <w:p w14:paraId="37309E78" w14:textId="77777777" w:rsidR="00617527" w:rsidRDefault="00617527" w:rsidP="007A4D20">
      <w:pPr>
        <w:jc w:val="both"/>
        <w:rPr>
          <w:rFonts w:ascii="Arial" w:hAnsi="Arial" w:cs="Arial"/>
          <w:sz w:val="20"/>
        </w:rPr>
      </w:pPr>
    </w:p>
    <w:p w14:paraId="56A2E564" w14:textId="7C572B9A" w:rsidR="007A4D20" w:rsidRPr="008359C2" w:rsidRDefault="007A4D20" w:rsidP="007A4D20">
      <w:pPr>
        <w:jc w:val="both"/>
        <w:rPr>
          <w:rFonts w:ascii="Arial" w:hAnsi="Arial" w:cs="Arial"/>
          <w:sz w:val="20"/>
        </w:rPr>
      </w:pPr>
      <w:r>
        <w:rPr>
          <w:rFonts w:ascii="Arial" w:hAnsi="Arial" w:cs="Arial"/>
          <w:sz w:val="20"/>
        </w:rPr>
        <w:t xml:space="preserve">In </w:t>
      </w:r>
      <w:r w:rsidRPr="00CE2851">
        <w:rPr>
          <w:rFonts w:ascii="Arial" w:hAnsi="Arial" w:cs="Arial"/>
          <w:i/>
          <w:iCs/>
          <w:sz w:val="20"/>
        </w:rPr>
        <w:t>Re WD (No 2)</w:t>
      </w:r>
      <w:r>
        <w:rPr>
          <w:rFonts w:ascii="Arial" w:hAnsi="Arial" w:cs="Arial"/>
          <w:sz w:val="20"/>
        </w:rPr>
        <w:t xml:space="preserve"> [2023] VSC 790 an application was filed in the Supreme Court by the Secretary to the Department of Families, Fairness and Housing for a proceeding suppression order pursuant to ss.17 &amp; 18(1)(c) of the OCA, a closed court order pursuant to s.30(1) of the OCA and declaratory relief.  The application sought to prevent disclosure</w:t>
      </w:r>
      <w:r w:rsidR="006478B8">
        <w:rPr>
          <w:rFonts w:ascii="Arial" w:hAnsi="Arial" w:cs="Arial"/>
          <w:sz w:val="20"/>
        </w:rPr>
        <w:t>,</w:t>
      </w:r>
      <w:r>
        <w:rPr>
          <w:rFonts w:ascii="Arial" w:hAnsi="Arial" w:cs="Arial"/>
          <w:sz w:val="20"/>
        </w:rPr>
        <w:t xml:space="preserve"> by publication or otherwise</w:t>
      </w:r>
      <w:r w:rsidR="006478B8">
        <w:rPr>
          <w:rFonts w:ascii="Arial" w:hAnsi="Arial" w:cs="Arial"/>
          <w:sz w:val="20"/>
        </w:rPr>
        <w:t>,</w:t>
      </w:r>
      <w:r>
        <w:rPr>
          <w:rFonts w:ascii="Arial" w:hAnsi="Arial" w:cs="Arial"/>
          <w:sz w:val="20"/>
        </w:rPr>
        <w:t xml:space="preserve"> of information that would tend to identity WD – a 12 year old girl who was the subject of a care by Secretary order and had been charged with murder – as the subject of proceedings in the Children’s Court and in the Supreme Court.  </w:t>
      </w:r>
      <w:r w:rsidRPr="008359C2">
        <w:rPr>
          <w:rFonts w:ascii="Arial" w:hAnsi="Arial" w:cs="Arial"/>
          <w:sz w:val="20"/>
          <w:szCs w:val="20"/>
        </w:rPr>
        <w:t>At the outset the Secretary withdrew her application for a closed court order under s</w:t>
      </w:r>
      <w:r>
        <w:rPr>
          <w:rFonts w:ascii="Arial" w:hAnsi="Arial" w:cs="Arial"/>
          <w:sz w:val="20"/>
          <w:szCs w:val="20"/>
        </w:rPr>
        <w:t>.</w:t>
      </w:r>
      <w:r w:rsidRPr="008359C2">
        <w:rPr>
          <w:rFonts w:ascii="Arial" w:hAnsi="Arial" w:cs="Arial"/>
          <w:sz w:val="20"/>
          <w:szCs w:val="20"/>
        </w:rPr>
        <w:t>30(1) of the O</w:t>
      </w:r>
      <w:r>
        <w:rPr>
          <w:rFonts w:ascii="Arial" w:hAnsi="Arial" w:cs="Arial"/>
          <w:sz w:val="20"/>
          <w:szCs w:val="20"/>
        </w:rPr>
        <w:t>CA and u</w:t>
      </w:r>
      <w:r w:rsidRPr="008359C2">
        <w:rPr>
          <w:rFonts w:ascii="Arial" w:hAnsi="Arial" w:cs="Arial"/>
          <w:sz w:val="20"/>
          <w:szCs w:val="20"/>
        </w:rPr>
        <w:t xml:space="preserve">ltimately Elliott J </w:t>
      </w:r>
      <w:r>
        <w:rPr>
          <w:rFonts w:ascii="Arial" w:hAnsi="Arial" w:cs="Arial"/>
          <w:sz w:val="20"/>
        </w:rPr>
        <w:t>– in a detailed and considered judgment – dismissed the Secretary’s application for a proceeding suppression order and for declaratory relief.  At [58]-[59]</w:t>
      </w:r>
      <w:r w:rsidR="0049367C">
        <w:rPr>
          <w:rFonts w:ascii="Arial" w:hAnsi="Arial" w:cs="Arial"/>
          <w:sz w:val="20"/>
        </w:rPr>
        <w:t xml:space="preserve"> &amp; [61]-[63]</w:t>
      </w:r>
      <w:r>
        <w:rPr>
          <w:rFonts w:ascii="Arial" w:hAnsi="Arial" w:cs="Arial"/>
          <w:sz w:val="20"/>
        </w:rPr>
        <w:t xml:space="preserve"> Elliott J discussed the operation of the OCA </w:t>
      </w:r>
      <w:r w:rsidR="0049367C">
        <w:rPr>
          <w:rFonts w:ascii="Arial" w:hAnsi="Arial" w:cs="Arial"/>
          <w:sz w:val="20"/>
        </w:rPr>
        <w:t>both</w:t>
      </w:r>
      <w:r>
        <w:rPr>
          <w:rFonts w:ascii="Arial" w:hAnsi="Arial" w:cs="Arial"/>
          <w:sz w:val="20"/>
        </w:rPr>
        <w:t xml:space="preserve"> general</w:t>
      </w:r>
      <w:r w:rsidR="0049367C">
        <w:rPr>
          <w:rFonts w:ascii="Arial" w:hAnsi="Arial" w:cs="Arial"/>
          <w:sz w:val="20"/>
        </w:rPr>
        <w:t>ly</w:t>
      </w:r>
      <w:r>
        <w:rPr>
          <w:rFonts w:ascii="Arial" w:hAnsi="Arial" w:cs="Arial"/>
          <w:sz w:val="20"/>
        </w:rPr>
        <w:t xml:space="preserve"> </w:t>
      </w:r>
      <w:r w:rsidR="0049367C">
        <w:rPr>
          <w:rFonts w:ascii="Arial" w:hAnsi="Arial" w:cs="Arial"/>
          <w:sz w:val="20"/>
        </w:rPr>
        <w:t xml:space="preserve">and in relation to suppression orders </w:t>
      </w:r>
      <w:r>
        <w:rPr>
          <w:rFonts w:ascii="Arial" w:hAnsi="Arial" w:cs="Arial"/>
          <w:sz w:val="20"/>
        </w:rPr>
        <w:t>as follows</w:t>
      </w:r>
      <w:r>
        <w:rPr>
          <w:rFonts w:ascii="Arial" w:hAnsi="Arial" w:cs="Arial"/>
          <w:color w:val="000000"/>
          <w:sz w:val="20"/>
        </w:rPr>
        <w:t>–</w:t>
      </w:r>
    </w:p>
    <w:p w14:paraId="42471D45" w14:textId="2A6B1BE4" w:rsidR="007A4D20" w:rsidRDefault="007A4D20" w:rsidP="007A4D20">
      <w:pPr>
        <w:spacing w:before="60"/>
        <w:ind w:left="567" w:right="567"/>
        <w:jc w:val="both"/>
        <w:rPr>
          <w:rFonts w:ascii="Arial" w:hAnsi="Arial" w:cs="Arial"/>
          <w:sz w:val="20"/>
          <w:szCs w:val="20"/>
        </w:rPr>
      </w:pPr>
      <w:r>
        <w:rPr>
          <w:rFonts w:ascii="Arial" w:hAnsi="Arial" w:cs="Arial"/>
          <w:color w:val="000000"/>
          <w:sz w:val="20"/>
        </w:rPr>
        <w:t>[58] “</w:t>
      </w:r>
      <w:r w:rsidR="006478B8">
        <w:rPr>
          <w:rFonts w:ascii="Arial" w:hAnsi="Arial" w:cs="Arial"/>
          <w:color w:val="000000"/>
          <w:sz w:val="20"/>
        </w:rPr>
        <w:t xml:space="preserve">The </w:t>
      </w:r>
      <w:r w:rsidR="006478B8" w:rsidRPr="006478B8">
        <w:rPr>
          <w:rFonts w:ascii="Arial" w:hAnsi="Arial" w:cs="Arial"/>
          <w:i/>
          <w:iCs/>
          <w:sz w:val="20"/>
          <w:szCs w:val="20"/>
        </w:rPr>
        <w:t>Open Courts Act</w:t>
      </w:r>
      <w:r w:rsidR="006478B8" w:rsidRPr="006478B8">
        <w:rPr>
          <w:rFonts w:ascii="Arial" w:hAnsi="Arial" w:cs="Arial"/>
          <w:sz w:val="20"/>
          <w:szCs w:val="20"/>
        </w:rPr>
        <w:t xml:space="preserve"> recognises and promotes the principle that open justice is a fundamental aspect of the Victorian legal system. This principle maintains the integrity and impartiality of courts and tribunals, and strengthens public confidence in the justice system</w:t>
      </w:r>
      <w:r w:rsidR="006478B8">
        <w:rPr>
          <w:rFonts w:ascii="Arial" w:hAnsi="Arial" w:cs="Arial"/>
          <w:sz w:val="20"/>
          <w:szCs w:val="20"/>
        </w:rPr>
        <w:t>: OCA s.1(aa)</w:t>
      </w:r>
      <w:r w:rsidR="006478B8" w:rsidRPr="006478B8">
        <w:rPr>
          <w:rFonts w:ascii="Arial" w:hAnsi="Arial" w:cs="Arial"/>
          <w:sz w:val="20"/>
          <w:szCs w:val="20"/>
        </w:rPr>
        <w:t>.</w:t>
      </w:r>
      <w:r w:rsidR="006478B8">
        <w:rPr>
          <w:rFonts w:ascii="Arial" w:hAnsi="Arial" w:cs="Arial"/>
          <w:sz w:val="20"/>
          <w:szCs w:val="20"/>
        </w:rPr>
        <w:t xml:space="preserve"> </w:t>
      </w:r>
      <w:r w:rsidR="006478B8" w:rsidRPr="006478B8">
        <w:rPr>
          <w:rFonts w:ascii="Arial" w:hAnsi="Arial" w:cs="Arial"/>
          <w:sz w:val="20"/>
          <w:szCs w:val="20"/>
        </w:rPr>
        <w:t>Accordingly, a court must have regard to the primacy of the principle of open justice and the free communication and disclosure of information in determining whether to make a suppression order</w:t>
      </w:r>
      <w:r w:rsidR="006478B8">
        <w:rPr>
          <w:rFonts w:ascii="Arial" w:hAnsi="Arial" w:cs="Arial"/>
          <w:sz w:val="20"/>
          <w:szCs w:val="20"/>
        </w:rPr>
        <w:t>: OCA s.4(1)</w:t>
      </w:r>
      <w:r w:rsidR="006478B8" w:rsidRPr="006478B8">
        <w:rPr>
          <w:rFonts w:ascii="Arial" w:hAnsi="Arial" w:cs="Arial"/>
          <w:sz w:val="20"/>
          <w:szCs w:val="20"/>
        </w:rPr>
        <w:t>. A court may only make a suppression order where it is necessary to override or displace the principle of open justice and the free communication and disclosure of information</w:t>
      </w:r>
      <w:r w:rsidR="006478B8">
        <w:rPr>
          <w:rFonts w:ascii="Arial" w:hAnsi="Arial" w:cs="Arial"/>
          <w:sz w:val="20"/>
          <w:szCs w:val="20"/>
        </w:rPr>
        <w:t>: OCA s.4(2)</w:t>
      </w:r>
      <w:r w:rsidR="006478B8" w:rsidRPr="006478B8">
        <w:rPr>
          <w:rFonts w:ascii="Arial" w:hAnsi="Arial" w:cs="Arial"/>
          <w:sz w:val="20"/>
          <w:szCs w:val="20"/>
        </w:rPr>
        <w:t>.</w:t>
      </w:r>
    </w:p>
    <w:p w14:paraId="6A19B52B" w14:textId="62D42331" w:rsidR="006478B8" w:rsidRPr="00381395" w:rsidRDefault="006478B8" w:rsidP="007A4D20">
      <w:pPr>
        <w:spacing w:before="60"/>
        <w:ind w:left="567" w:right="567"/>
        <w:jc w:val="both"/>
        <w:rPr>
          <w:rFonts w:ascii="Arial" w:hAnsi="Arial" w:cs="Arial"/>
          <w:color w:val="000000"/>
          <w:sz w:val="20"/>
        </w:rPr>
      </w:pPr>
      <w:r>
        <w:rPr>
          <w:rFonts w:ascii="Arial" w:hAnsi="Arial" w:cs="Arial"/>
          <w:sz w:val="20"/>
          <w:szCs w:val="20"/>
        </w:rPr>
        <w:t xml:space="preserve">[59] </w:t>
      </w:r>
      <w:r w:rsidRPr="006478B8">
        <w:rPr>
          <w:rFonts w:ascii="Arial" w:hAnsi="Arial" w:cs="Arial"/>
          <w:sz w:val="20"/>
          <w:szCs w:val="20"/>
        </w:rPr>
        <w:t>The importance of necessity in the context of the proper administration of justice was explained in an oft-quoted passage</w:t>
      </w:r>
      <w:r>
        <w:rPr>
          <w:rFonts w:ascii="Arial" w:hAnsi="Arial" w:cs="Arial"/>
          <w:sz w:val="20"/>
          <w:szCs w:val="20"/>
        </w:rPr>
        <w:t xml:space="preserve"> </w:t>
      </w:r>
      <w:r w:rsidR="0049367C">
        <w:rPr>
          <w:rFonts w:ascii="Arial" w:hAnsi="Arial" w:cs="Arial"/>
          <w:sz w:val="20"/>
          <w:szCs w:val="20"/>
        </w:rPr>
        <w:t xml:space="preserve">from </w:t>
      </w:r>
      <w:r w:rsidR="0049367C" w:rsidRPr="0049367C">
        <w:rPr>
          <w:rFonts w:ascii="Arial" w:hAnsi="Arial" w:cs="Arial"/>
          <w:i/>
          <w:iCs/>
          <w:sz w:val="20"/>
          <w:szCs w:val="20"/>
        </w:rPr>
        <w:t>John Fairfax &amp; Sons Ltd v Police Tribunal of New South Wales</w:t>
      </w:r>
      <w:r w:rsidR="0049367C">
        <w:rPr>
          <w:rFonts w:ascii="Arial" w:hAnsi="Arial" w:cs="Arial"/>
          <w:sz w:val="20"/>
          <w:szCs w:val="20"/>
        </w:rPr>
        <w:t xml:space="preserve"> (1986) 5 NSWLR 465, 476G-477B (McHugh JA, with whom Glass JA agreed):</w:t>
      </w:r>
    </w:p>
    <w:p w14:paraId="31C9556A" w14:textId="5CAE06BF" w:rsidR="0049367C" w:rsidRPr="00381395" w:rsidRDefault="0049367C" w:rsidP="0049367C">
      <w:pPr>
        <w:spacing w:before="60"/>
        <w:ind w:left="1021" w:right="1021"/>
        <w:jc w:val="both"/>
        <w:rPr>
          <w:rFonts w:ascii="Arial" w:hAnsi="Arial" w:cs="Arial"/>
          <w:color w:val="000000"/>
          <w:sz w:val="20"/>
        </w:rPr>
      </w:pPr>
      <w:r>
        <w:rPr>
          <w:rFonts w:ascii="Arial" w:hAnsi="Arial" w:cs="Arial"/>
          <w:color w:val="000000"/>
          <w:sz w:val="20"/>
        </w:rPr>
        <w:t>‘</w:t>
      </w:r>
      <w:r w:rsidRPr="0049367C">
        <w:rPr>
          <w:rFonts w:ascii="Arial" w:hAnsi="Arial" w:cs="Arial"/>
          <w:sz w:val="18"/>
          <w:szCs w:val="18"/>
        </w:rPr>
        <w:t>The fundamental rule of the common law is that the administration of justice must take place in open court. A court can only depart from this rule where its observance would frustrate the administration of justice or some other public interest for whose protection Parliament has modified the open justice rule. The principle of open justice also requires that nothing should be done to discourage the making of fair and accurate reports of what occurs in the courtroom. Accordingly, an order of a court prohibiting the publication of evidence is only valid if it is really necessary to secure the proper administration of justice in proceedings before it. Moreover, an order prohibiting publication of evidence must be clear in its terms and do no more than is necessary to achieve the due administration of justice. The making of the order must also be reasonably necessary; and there must be some material before the court upon which it can reasonably reach the conclusion that it is necessary to make an order prohibiting publication. Mere belief that the order is necessary is insufficient.</w:t>
      </w:r>
      <w:r>
        <w:rPr>
          <w:rFonts w:ascii="Arial" w:hAnsi="Arial" w:cs="Arial"/>
          <w:sz w:val="18"/>
          <w:szCs w:val="18"/>
        </w:rPr>
        <w:t>’ [emphasis added]</w:t>
      </w:r>
    </w:p>
    <w:p w14:paraId="35CBBD49" w14:textId="01877B58" w:rsidR="0049367C" w:rsidRPr="00381395" w:rsidRDefault="0049367C" w:rsidP="0049367C">
      <w:pPr>
        <w:spacing w:before="60"/>
        <w:ind w:left="567" w:right="567"/>
        <w:jc w:val="both"/>
        <w:rPr>
          <w:rFonts w:ascii="Arial" w:hAnsi="Arial" w:cs="Arial"/>
          <w:color w:val="000000"/>
          <w:sz w:val="20"/>
        </w:rPr>
      </w:pPr>
      <w:r>
        <w:rPr>
          <w:rFonts w:ascii="Arial" w:hAnsi="Arial" w:cs="Arial"/>
          <w:color w:val="000000"/>
          <w:sz w:val="20"/>
        </w:rPr>
        <w:t>…</w:t>
      </w:r>
    </w:p>
    <w:p w14:paraId="45937DC4" w14:textId="18C008E2" w:rsidR="0049367C" w:rsidRDefault="0049367C" w:rsidP="0049367C">
      <w:pPr>
        <w:spacing w:before="60"/>
        <w:ind w:left="567" w:right="567"/>
        <w:jc w:val="both"/>
        <w:rPr>
          <w:rFonts w:ascii="Arial" w:hAnsi="Arial" w:cs="Arial"/>
          <w:color w:val="000000"/>
          <w:sz w:val="20"/>
        </w:rPr>
      </w:pPr>
      <w:r>
        <w:rPr>
          <w:rFonts w:ascii="Arial" w:hAnsi="Arial" w:cs="Arial"/>
          <w:color w:val="000000"/>
          <w:sz w:val="20"/>
        </w:rPr>
        <w:t xml:space="preserve">[61] </w:t>
      </w:r>
      <w:r w:rsidR="003258E0" w:rsidRPr="003258E0">
        <w:rPr>
          <w:rFonts w:ascii="Arial" w:hAnsi="Arial" w:cs="Arial"/>
          <w:sz w:val="20"/>
          <w:szCs w:val="20"/>
        </w:rPr>
        <w:t>Numerous authorities have subsequently discussed the requirement of necessity in the context of section 18 of the Open Courts Act, which were recently summarised as follows</w:t>
      </w:r>
      <w:r w:rsidR="003258E0">
        <w:rPr>
          <w:rFonts w:ascii="Arial" w:hAnsi="Arial" w:cs="Arial"/>
          <w:sz w:val="20"/>
          <w:szCs w:val="20"/>
        </w:rPr>
        <w:t xml:space="preserve"> in </w:t>
      </w:r>
      <w:r w:rsidR="003258E0" w:rsidRPr="003258E0">
        <w:rPr>
          <w:rFonts w:ascii="Arial" w:hAnsi="Arial" w:cs="Arial"/>
          <w:i/>
          <w:iCs/>
          <w:sz w:val="20"/>
          <w:szCs w:val="20"/>
        </w:rPr>
        <w:t>Director of Public Prosecutions v EN</w:t>
      </w:r>
      <w:r w:rsidR="003258E0">
        <w:rPr>
          <w:rFonts w:ascii="Arial" w:hAnsi="Arial" w:cs="Arial"/>
          <w:sz w:val="20"/>
          <w:szCs w:val="20"/>
        </w:rPr>
        <w:t xml:space="preserve"> [2023] VSC 724 at [24]-[25]</w:t>
      </w:r>
      <w:r w:rsidR="003258E0" w:rsidRPr="003258E0">
        <w:rPr>
          <w:rFonts w:ascii="Arial" w:hAnsi="Arial" w:cs="Arial"/>
          <w:sz w:val="20"/>
          <w:szCs w:val="20"/>
        </w:rPr>
        <w:t>:</w:t>
      </w:r>
    </w:p>
    <w:p w14:paraId="28E2E8FB" w14:textId="282BF995" w:rsidR="00FE6664" w:rsidRDefault="003258E0" w:rsidP="003258E0">
      <w:pPr>
        <w:spacing w:before="60"/>
        <w:ind w:left="1021" w:right="1021"/>
        <w:jc w:val="both"/>
        <w:rPr>
          <w:rFonts w:ascii="Arial" w:hAnsi="Arial" w:cs="Arial"/>
          <w:sz w:val="18"/>
          <w:szCs w:val="18"/>
        </w:rPr>
      </w:pPr>
      <w:r>
        <w:rPr>
          <w:rFonts w:ascii="Arial" w:hAnsi="Arial" w:cs="Arial"/>
          <w:sz w:val="18"/>
          <w:szCs w:val="18"/>
        </w:rPr>
        <w:t>‘</w:t>
      </w:r>
      <w:r w:rsidRPr="003258E0">
        <w:rPr>
          <w:rFonts w:ascii="Arial" w:hAnsi="Arial" w:cs="Arial"/>
          <w:sz w:val="18"/>
          <w:szCs w:val="18"/>
        </w:rPr>
        <w:t xml:space="preserve">Each of the grounds outlined under section 18(1) [of the </w:t>
      </w:r>
      <w:r w:rsidRPr="00FE6664">
        <w:rPr>
          <w:rFonts w:ascii="Arial" w:hAnsi="Arial" w:cs="Arial"/>
          <w:i/>
          <w:iCs/>
          <w:sz w:val="18"/>
          <w:szCs w:val="18"/>
        </w:rPr>
        <w:t>Open Courts Act</w:t>
      </w:r>
      <w:r w:rsidRPr="003258E0">
        <w:rPr>
          <w:rFonts w:ascii="Arial" w:hAnsi="Arial" w:cs="Arial"/>
          <w:sz w:val="18"/>
          <w:szCs w:val="18"/>
        </w:rPr>
        <w:t xml:space="preserve">] require the court to be satisfied that a suppression order is “necessary” in the circumstances. The same test of necessity applies where a suppression order is sought pursuant to the court’s inherent jurisdiction. A suppression order will be necessary where, absent the order, </w:t>
      </w:r>
      <w:r w:rsidR="006B5C61">
        <w:rPr>
          <w:rFonts w:ascii="Arial" w:hAnsi="Arial" w:cs="Arial"/>
          <w:sz w:val="18"/>
          <w:szCs w:val="18"/>
        </w:rPr>
        <w:t>“</w:t>
      </w:r>
      <w:r w:rsidRPr="003258E0">
        <w:rPr>
          <w:rFonts w:ascii="Arial" w:hAnsi="Arial" w:cs="Arial"/>
          <w:sz w:val="18"/>
          <w:szCs w:val="18"/>
        </w:rPr>
        <w:t>particular unacceptable consequences will flow that ought be prevented to preserve the proper function of the court</w:t>
      </w:r>
      <w:r w:rsidR="006B5C61">
        <w:rPr>
          <w:rFonts w:ascii="Arial" w:hAnsi="Arial" w:cs="Arial"/>
          <w:sz w:val="18"/>
          <w:szCs w:val="18"/>
        </w:rPr>
        <w:t>”</w:t>
      </w:r>
      <w:r w:rsidRPr="003258E0">
        <w:rPr>
          <w:rFonts w:ascii="Arial" w:hAnsi="Arial" w:cs="Arial"/>
          <w:sz w:val="18"/>
          <w:szCs w:val="18"/>
        </w:rPr>
        <w:t xml:space="preserve">. Necessity in this context is a </w:t>
      </w:r>
      <w:r w:rsidR="006B5C61">
        <w:rPr>
          <w:rFonts w:ascii="Arial" w:hAnsi="Arial" w:cs="Arial"/>
          <w:sz w:val="18"/>
          <w:szCs w:val="18"/>
        </w:rPr>
        <w:t>“</w:t>
      </w:r>
      <w:r w:rsidRPr="003258E0">
        <w:rPr>
          <w:rFonts w:ascii="Arial" w:hAnsi="Arial" w:cs="Arial"/>
          <w:sz w:val="18"/>
          <w:szCs w:val="18"/>
        </w:rPr>
        <w:t>stringent standard</w:t>
      </w:r>
      <w:r w:rsidR="006B5C61">
        <w:rPr>
          <w:rFonts w:ascii="Arial" w:hAnsi="Arial" w:cs="Arial"/>
          <w:sz w:val="18"/>
          <w:szCs w:val="18"/>
        </w:rPr>
        <w:t>”</w:t>
      </w:r>
      <w:r w:rsidRPr="003258E0">
        <w:rPr>
          <w:rFonts w:ascii="Arial" w:hAnsi="Arial" w:cs="Arial"/>
          <w:sz w:val="18"/>
          <w:szCs w:val="18"/>
        </w:rPr>
        <w:t xml:space="preserve"> requiring a high degree of satisfaction. It is insufficient that the making of a suppression order is merely </w:t>
      </w:r>
      <w:r w:rsidR="006B5C61">
        <w:rPr>
          <w:rFonts w:ascii="Arial" w:hAnsi="Arial" w:cs="Arial"/>
          <w:sz w:val="18"/>
          <w:szCs w:val="18"/>
        </w:rPr>
        <w:t>“</w:t>
      </w:r>
      <w:r w:rsidRPr="003258E0">
        <w:rPr>
          <w:rFonts w:ascii="Arial" w:hAnsi="Arial" w:cs="Arial"/>
          <w:sz w:val="18"/>
          <w:szCs w:val="18"/>
        </w:rPr>
        <w:t>convenient, reasonable or sensible</w:t>
      </w:r>
      <w:r w:rsidR="006B5C61">
        <w:rPr>
          <w:rFonts w:ascii="Arial" w:hAnsi="Arial" w:cs="Arial"/>
          <w:sz w:val="18"/>
          <w:szCs w:val="18"/>
        </w:rPr>
        <w:t>”</w:t>
      </w:r>
      <w:r w:rsidRPr="003258E0">
        <w:rPr>
          <w:rFonts w:ascii="Arial" w:hAnsi="Arial" w:cs="Arial"/>
          <w:sz w:val="18"/>
          <w:szCs w:val="18"/>
        </w:rPr>
        <w:t>. It is also not enough that a failure to make a suppression order may result in embarrassment, shame or humiliation for an applicant. The applicant bears the onus of persuading the court that the suppression order sought is necessary.</w:t>
      </w:r>
    </w:p>
    <w:p w14:paraId="22525E81" w14:textId="2B395DE7" w:rsidR="003258E0" w:rsidRPr="00371371" w:rsidRDefault="003258E0" w:rsidP="003258E0">
      <w:pPr>
        <w:spacing w:before="60"/>
        <w:ind w:left="1021" w:right="1021"/>
        <w:jc w:val="both"/>
        <w:rPr>
          <w:rFonts w:ascii="Arial" w:hAnsi="Arial" w:cs="Arial"/>
          <w:color w:val="000000"/>
          <w:sz w:val="18"/>
          <w:szCs w:val="22"/>
        </w:rPr>
      </w:pPr>
      <w:r w:rsidRPr="003258E0">
        <w:rPr>
          <w:rFonts w:ascii="Arial" w:hAnsi="Arial" w:cs="Arial"/>
          <w:sz w:val="18"/>
          <w:szCs w:val="18"/>
        </w:rPr>
        <w:t xml:space="preserve">Insofar as the </w:t>
      </w:r>
      <w:r w:rsidR="006B5C61">
        <w:rPr>
          <w:rFonts w:ascii="Arial" w:hAnsi="Arial" w:cs="Arial"/>
          <w:sz w:val="18"/>
          <w:szCs w:val="18"/>
        </w:rPr>
        <w:t>“</w:t>
      </w:r>
      <w:r w:rsidRPr="003258E0">
        <w:rPr>
          <w:rFonts w:ascii="Arial" w:hAnsi="Arial" w:cs="Arial"/>
          <w:sz w:val="18"/>
          <w:szCs w:val="18"/>
        </w:rPr>
        <w:t>necessity</w:t>
      </w:r>
      <w:r w:rsidR="006B5C61">
        <w:rPr>
          <w:rFonts w:ascii="Arial" w:hAnsi="Arial" w:cs="Arial"/>
          <w:sz w:val="18"/>
          <w:szCs w:val="18"/>
        </w:rPr>
        <w:t>”</w:t>
      </w:r>
      <w:r w:rsidRPr="003258E0">
        <w:rPr>
          <w:rFonts w:ascii="Arial" w:hAnsi="Arial" w:cs="Arial"/>
          <w:sz w:val="18"/>
          <w:szCs w:val="18"/>
        </w:rPr>
        <w:t xml:space="preserve"> test is directed towards the ground of safety of any person, it requires the establishment of a causal link between the absence of the order and some increased risk to the person concerned. Thus, if the level of danger faced by a person would not be materially advanced were a suppression order not to be made, it is unlikely that such an order could truly be considered </w:t>
      </w:r>
      <w:r w:rsidR="006B5C61">
        <w:rPr>
          <w:rFonts w:ascii="Arial" w:hAnsi="Arial" w:cs="Arial"/>
          <w:sz w:val="18"/>
          <w:szCs w:val="18"/>
        </w:rPr>
        <w:t>“</w:t>
      </w:r>
      <w:r w:rsidRPr="003258E0">
        <w:rPr>
          <w:rFonts w:ascii="Arial" w:hAnsi="Arial" w:cs="Arial"/>
          <w:sz w:val="18"/>
          <w:szCs w:val="18"/>
        </w:rPr>
        <w:t>necessary</w:t>
      </w:r>
      <w:r w:rsidR="006B5C61">
        <w:rPr>
          <w:rFonts w:ascii="Arial" w:hAnsi="Arial" w:cs="Arial"/>
          <w:sz w:val="18"/>
          <w:szCs w:val="18"/>
        </w:rPr>
        <w:t>”</w:t>
      </w:r>
      <w:r w:rsidRPr="003258E0">
        <w:rPr>
          <w:rFonts w:ascii="Arial" w:hAnsi="Arial" w:cs="Arial"/>
          <w:sz w:val="18"/>
          <w:szCs w:val="18"/>
        </w:rPr>
        <w:t xml:space="preserve">. </w:t>
      </w:r>
      <w:r w:rsidR="00A90526">
        <w:rPr>
          <w:rFonts w:ascii="Arial" w:hAnsi="Arial" w:cs="Arial"/>
          <w:sz w:val="18"/>
          <w:szCs w:val="18"/>
        </w:rPr>
        <w:t>(C</w:t>
      </w:r>
      <w:r w:rsidRPr="003258E0">
        <w:rPr>
          <w:rFonts w:ascii="Arial" w:hAnsi="Arial" w:cs="Arial"/>
          <w:sz w:val="18"/>
          <w:szCs w:val="18"/>
        </w:rPr>
        <w:t>itations omitted</w:t>
      </w:r>
      <w:r w:rsidR="00A90526">
        <w:rPr>
          <w:rFonts w:ascii="Arial" w:hAnsi="Arial" w:cs="Arial"/>
          <w:sz w:val="18"/>
          <w:szCs w:val="18"/>
        </w:rPr>
        <w:t>)</w:t>
      </w:r>
    </w:p>
    <w:p w14:paraId="192B52FE" w14:textId="5B732EB5" w:rsidR="0049367C" w:rsidRDefault="0049367C" w:rsidP="0049367C">
      <w:pPr>
        <w:spacing w:before="60"/>
        <w:ind w:left="567" w:right="567"/>
        <w:jc w:val="both"/>
        <w:rPr>
          <w:rFonts w:ascii="Arial" w:hAnsi="Arial" w:cs="Arial"/>
          <w:color w:val="000000"/>
          <w:sz w:val="20"/>
        </w:rPr>
      </w:pPr>
      <w:r>
        <w:rPr>
          <w:rFonts w:ascii="Arial" w:hAnsi="Arial" w:cs="Arial"/>
          <w:color w:val="000000"/>
          <w:sz w:val="20"/>
        </w:rPr>
        <w:t xml:space="preserve">[62] </w:t>
      </w:r>
      <w:r w:rsidR="00371371" w:rsidRPr="003258E0">
        <w:rPr>
          <w:rFonts w:ascii="Arial" w:hAnsi="Arial" w:cs="Arial"/>
          <w:sz w:val="20"/>
          <w:szCs w:val="20"/>
        </w:rPr>
        <w:t>In relation to what is encapsulated by the phrase “safety of any person”:</w:t>
      </w:r>
    </w:p>
    <w:p w14:paraId="2DCD20F2" w14:textId="3C6D2440" w:rsidR="00371371" w:rsidRPr="00371371" w:rsidRDefault="00371371" w:rsidP="00371371">
      <w:pPr>
        <w:spacing w:before="60"/>
        <w:ind w:left="1021" w:right="1021"/>
        <w:jc w:val="both"/>
        <w:rPr>
          <w:rFonts w:ascii="Arial" w:hAnsi="Arial" w:cs="Arial"/>
          <w:color w:val="000000"/>
          <w:sz w:val="18"/>
          <w:szCs w:val="22"/>
        </w:rPr>
      </w:pPr>
      <w:r>
        <w:rPr>
          <w:rFonts w:ascii="Arial" w:hAnsi="Arial" w:cs="Arial"/>
          <w:color w:val="000000"/>
          <w:sz w:val="18"/>
          <w:szCs w:val="22"/>
        </w:rPr>
        <w:t>‘</w:t>
      </w:r>
      <w:r w:rsidRPr="00371371">
        <w:rPr>
          <w:rFonts w:ascii="Arial" w:hAnsi="Arial" w:cs="Arial"/>
          <w:sz w:val="18"/>
          <w:szCs w:val="18"/>
        </w:rPr>
        <w:t xml:space="preserve">Safety in the context of section 18(1)(c) is to be given a broad construction, and the provision has been held to encompass risks to both physical and psychological safety. However, an important distinction can be drawn between </w:t>
      </w:r>
      <w:r w:rsidR="006B5C61">
        <w:rPr>
          <w:rFonts w:ascii="Arial" w:hAnsi="Arial" w:cs="Arial"/>
          <w:sz w:val="18"/>
          <w:szCs w:val="18"/>
        </w:rPr>
        <w:t>“</w:t>
      </w:r>
      <w:r w:rsidRPr="00371371">
        <w:rPr>
          <w:rFonts w:ascii="Arial" w:hAnsi="Arial" w:cs="Arial"/>
          <w:sz w:val="18"/>
          <w:szCs w:val="18"/>
        </w:rPr>
        <w:t>harm</w:t>
      </w:r>
      <w:r w:rsidR="006B5C61">
        <w:rPr>
          <w:rFonts w:ascii="Arial" w:hAnsi="Arial" w:cs="Arial"/>
          <w:sz w:val="18"/>
          <w:szCs w:val="18"/>
        </w:rPr>
        <w:t>”</w:t>
      </w:r>
      <w:r w:rsidRPr="00371371">
        <w:rPr>
          <w:rFonts w:ascii="Arial" w:hAnsi="Arial" w:cs="Arial"/>
          <w:sz w:val="18"/>
          <w:szCs w:val="18"/>
        </w:rPr>
        <w:t xml:space="preserve"> and </w:t>
      </w:r>
      <w:r w:rsidR="006B5C61">
        <w:rPr>
          <w:rFonts w:ascii="Arial" w:hAnsi="Arial" w:cs="Arial"/>
          <w:sz w:val="18"/>
          <w:szCs w:val="18"/>
        </w:rPr>
        <w:t>“</w:t>
      </w:r>
      <w:r w:rsidRPr="00371371">
        <w:rPr>
          <w:rFonts w:ascii="Arial" w:hAnsi="Arial" w:cs="Arial"/>
          <w:sz w:val="18"/>
          <w:szCs w:val="18"/>
        </w:rPr>
        <w:t>safety</w:t>
      </w:r>
      <w:r w:rsidR="006B5C61">
        <w:rPr>
          <w:rFonts w:ascii="Arial" w:hAnsi="Arial" w:cs="Arial"/>
          <w:sz w:val="18"/>
          <w:szCs w:val="18"/>
        </w:rPr>
        <w:t>”</w:t>
      </w:r>
      <w:r w:rsidRPr="00371371">
        <w:rPr>
          <w:rFonts w:ascii="Arial" w:hAnsi="Arial" w:cs="Arial"/>
          <w:sz w:val="18"/>
          <w:szCs w:val="18"/>
        </w:rPr>
        <w:t xml:space="preserve">, the latter concept being a </w:t>
      </w:r>
      <w:r w:rsidR="006B5C61">
        <w:rPr>
          <w:rFonts w:ascii="Arial" w:hAnsi="Arial" w:cs="Arial"/>
          <w:sz w:val="18"/>
          <w:szCs w:val="18"/>
        </w:rPr>
        <w:t>“</w:t>
      </w:r>
      <w:r w:rsidRPr="00371371">
        <w:rPr>
          <w:rFonts w:ascii="Arial" w:hAnsi="Arial" w:cs="Arial"/>
          <w:sz w:val="18"/>
          <w:szCs w:val="18"/>
        </w:rPr>
        <w:t>conclusion informed by the nature, imminence and degree of likelihood of apprehended harm</w:t>
      </w:r>
      <w:r w:rsidR="006B5C61">
        <w:rPr>
          <w:rFonts w:ascii="Arial" w:hAnsi="Arial" w:cs="Arial"/>
          <w:sz w:val="18"/>
          <w:szCs w:val="18"/>
        </w:rPr>
        <w:t>”</w:t>
      </w:r>
      <w:r>
        <w:rPr>
          <w:rFonts w:ascii="Arial" w:hAnsi="Arial" w:cs="Arial"/>
          <w:sz w:val="18"/>
          <w:szCs w:val="18"/>
        </w:rPr>
        <w:t>: ibid. at [27] (</w:t>
      </w:r>
      <w:r w:rsidR="00A90526">
        <w:rPr>
          <w:rFonts w:ascii="Arial" w:hAnsi="Arial" w:cs="Arial"/>
          <w:sz w:val="18"/>
          <w:szCs w:val="18"/>
        </w:rPr>
        <w:t>C</w:t>
      </w:r>
      <w:r>
        <w:rPr>
          <w:rFonts w:ascii="Arial" w:hAnsi="Arial" w:cs="Arial"/>
          <w:sz w:val="18"/>
          <w:szCs w:val="18"/>
        </w:rPr>
        <w:t>itations omitted)</w:t>
      </w:r>
      <w:r w:rsidRPr="00371371">
        <w:rPr>
          <w:rFonts w:ascii="Arial" w:hAnsi="Arial" w:cs="Arial"/>
          <w:sz w:val="18"/>
          <w:szCs w:val="18"/>
        </w:rPr>
        <w:t>.</w:t>
      </w:r>
    </w:p>
    <w:p w14:paraId="06212E05" w14:textId="43A203A2" w:rsidR="0049367C" w:rsidRDefault="00371371" w:rsidP="00C252CA">
      <w:pPr>
        <w:spacing w:before="60"/>
        <w:ind w:left="567" w:right="567"/>
        <w:jc w:val="both"/>
        <w:rPr>
          <w:rFonts w:ascii="Arial" w:hAnsi="Arial" w:cs="Arial"/>
          <w:color w:val="000000"/>
          <w:sz w:val="20"/>
        </w:rPr>
      </w:pPr>
      <w:r w:rsidRPr="003258E0">
        <w:rPr>
          <w:rFonts w:ascii="Arial" w:hAnsi="Arial" w:cs="Arial"/>
          <w:sz w:val="20"/>
          <w:szCs w:val="20"/>
        </w:rPr>
        <w:t xml:space="preserve">Accordingly, section 18(1)(c) will not be enlivened unless the court is satisfied of the existence of a possibility of harm of such gravity and likelihood that the risk to the person </w:t>
      </w:r>
      <w:r w:rsidRPr="003258E0">
        <w:rPr>
          <w:rFonts w:ascii="Arial" w:hAnsi="Arial" w:cs="Arial"/>
          <w:sz w:val="20"/>
          <w:szCs w:val="20"/>
        </w:rPr>
        <w:lastRenderedPageBreak/>
        <w:t>would range above the level that could reasonably be regarded as acceptable if a suppression order were not made</w:t>
      </w:r>
      <w:r>
        <w:rPr>
          <w:rFonts w:ascii="Arial" w:hAnsi="Arial" w:cs="Arial"/>
          <w:sz w:val="20"/>
          <w:szCs w:val="20"/>
        </w:rPr>
        <w:t xml:space="preserve">: </w:t>
      </w:r>
      <w:r w:rsidRPr="00C252CA">
        <w:rPr>
          <w:rFonts w:ascii="Arial" w:hAnsi="Arial" w:cs="Arial"/>
          <w:i/>
          <w:iCs/>
          <w:sz w:val="20"/>
          <w:szCs w:val="20"/>
        </w:rPr>
        <w:t>AB v CD</w:t>
      </w:r>
      <w:r>
        <w:rPr>
          <w:rFonts w:ascii="Arial" w:hAnsi="Arial" w:cs="Arial"/>
          <w:sz w:val="20"/>
          <w:szCs w:val="20"/>
        </w:rPr>
        <w:t xml:space="preserve"> (2019) 364 ALR 202, 205-206</w:t>
      </w:r>
      <w:r w:rsidRPr="003258E0">
        <w:rPr>
          <w:rFonts w:ascii="Arial" w:hAnsi="Arial" w:cs="Arial"/>
          <w:sz w:val="20"/>
          <w:szCs w:val="20"/>
        </w:rPr>
        <w:t>.</w:t>
      </w:r>
    </w:p>
    <w:p w14:paraId="74DA9DBC" w14:textId="7AC18AE0" w:rsidR="00371371" w:rsidRPr="00381395" w:rsidRDefault="00371371" w:rsidP="0049367C">
      <w:pPr>
        <w:spacing w:before="60"/>
        <w:ind w:left="567" w:right="567"/>
        <w:jc w:val="both"/>
        <w:rPr>
          <w:rFonts w:ascii="Arial" w:hAnsi="Arial" w:cs="Arial"/>
          <w:color w:val="000000"/>
          <w:sz w:val="20"/>
        </w:rPr>
      </w:pPr>
      <w:r>
        <w:rPr>
          <w:rFonts w:ascii="Arial" w:hAnsi="Arial" w:cs="Arial"/>
          <w:color w:val="000000"/>
          <w:sz w:val="20"/>
        </w:rPr>
        <w:t xml:space="preserve">[63] </w:t>
      </w:r>
      <w:r w:rsidRPr="003258E0">
        <w:rPr>
          <w:rFonts w:ascii="Arial" w:hAnsi="Arial" w:cs="Arial"/>
          <w:sz w:val="20"/>
          <w:szCs w:val="20"/>
        </w:rPr>
        <w:t>The nature, extent and scope of the order sought will also be germane to the ultimate disposition of any application for suppression or non-publication. In other words, the degree of derogation from the principle of open justice that would be involved in the making of the suppression order that is sought is a relevant consideration</w:t>
      </w:r>
      <w:r w:rsidR="00A90526">
        <w:rPr>
          <w:rFonts w:ascii="Arial" w:hAnsi="Arial" w:cs="Arial"/>
          <w:sz w:val="20"/>
          <w:szCs w:val="20"/>
        </w:rPr>
        <w:t xml:space="preserve">: </w:t>
      </w:r>
      <w:r w:rsidR="00A90526" w:rsidRPr="00A90526">
        <w:rPr>
          <w:rFonts w:ascii="Arial" w:hAnsi="Arial" w:cs="Arial"/>
          <w:i/>
          <w:iCs/>
          <w:sz w:val="20"/>
          <w:szCs w:val="20"/>
        </w:rPr>
        <w:t>Attorney-General v Khan (Suppression Order)</w:t>
      </w:r>
      <w:r w:rsidR="00A90526">
        <w:rPr>
          <w:rFonts w:ascii="Arial" w:hAnsi="Arial" w:cs="Arial"/>
          <w:sz w:val="20"/>
          <w:szCs w:val="20"/>
        </w:rPr>
        <w:t xml:space="preserve"> [2022] VSC 627, [3]; </w:t>
      </w:r>
      <w:r w:rsidR="00A90526" w:rsidRPr="00A90526">
        <w:rPr>
          <w:rFonts w:ascii="Arial" w:hAnsi="Arial" w:cs="Arial"/>
          <w:i/>
          <w:iCs/>
          <w:sz w:val="20"/>
          <w:szCs w:val="20"/>
        </w:rPr>
        <w:t>ABC v D1</w:t>
      </w:r>
      <w:r w:rsidR="00A90526">
        <w:rPr>
          <w:rFonts w:ascii="Arial" w:hAnsi="Arial" w:cs="Arial"/>
          <w:sz w:val="20"/>
          <w:szCs w:val="20"/>
        </w:rPr>
        <w:t xml:space="preserve"> [2007] VSC 480, [36]</w:t>
      </w:r>
      <w:r w:rsidRPr="003258E0">
        <w:rPr>
          <w:rFonts w:ascii="Arial" w:hAnsi="Arial" w:cs="Arial"/>
          <w:sz w:val="20"/>
          <w:szCs w:val="20"/>
        </w:rPr>
        <w:t>. The extent to which the subject matter of a proposed suppression order has already been the subject of reporting or other publication may also be a relevant factor. On the question of utility of a suppression order and prior publications:</w:t>
      </w:r>
    </w:p>
    <w:p w14:paraId="3B4CA4D6" w14:textId="085D5C0E" w:rsidR="00C252CA" w:rsidRPr="00A90526" w:rsidRDefault="00C252CA" w:rsidP="00C252CA">
      <w:pPr>
        <w:spacing w:before="60"/>
        <w:ind w:left="1021" w:right="1021"/>
        <w:jc w:val="both"/>
        <w:rPr>
          <w:rFonts w:ascii="Arial" w:hAnsi="Arial" w:cs="Arial"/>
          <w:color w:val="000000"/>
          <w:sz w:val="18"/>
          <w:szCs w:val="18"/>
        </w:rPr>
      </w:pPr>
      <w:r>
        <w:rPr>
          <w:rFonts w:ascii="Arial" w:hAnsi="Arial" w:cs="Arial"/>
          <w:color w:val="000000"/>
          <w:sz w:val="18"/>
          <w:szCs w:val="22"/>
        </w:rPr>
        <w:t>‘</w:t>
      </w:r>
      <w:r w:rsidRPr="00C252CA">
        <w:rPr>
          <w:rFonts w:ascii="Arial" w:hAnsi="Arial" w:cs="Arial"/>
          <w:sz w:val="18"/>
          <w:szCs w:val="18"/>
        </w:rPr>
        <w:t xml:space="preserve">In addition to necessity, the utility or efficacy of a suppression order is also a relevant consideration. If it cannot be said that a suppression order would have the effect of materially reducing the risk to the safety of a person, it is unlikely that the order will be made. Thus, in circumstances where a suppression order would have little practical effect because a proceeding has already garnered significant publicity and it would be difficult to stem any further publication of the matters sought to be suppressed, a court will </w:t>
      </w:r>
      <w:r w:rsidRPr="00A90526">
        <w:rPr>
          <w:rFonts w:ascii="Arial" w:hAnsi="Arial" w:cs="Arial"/>
          <w:sz w:val="18"/>
          <w:szCs w:val="18"/>
        </w:rPr>
        <w:t xml:space="preserve">generally refuse to make a suppression order.’ </w:t>
      </w:r>
      <w:r w:rsidR="00A90526" w:rsidRPr="00A90526">
        <w:rPr>
          <w:rFonts w:ascii="Arial" w:hAnsi="Arial" w:cs="Arial"/>
          <w:i/>
          <w:iCs/>
          <w:sz w:val="18"/>
          <w:szCs w:val="18"/>
        </w:rPr>
        <w:t>Director of Public Prosecutions v EN</w:t>
      </w:r>
      <w:r w:rsidR="00A90526" w:rsidRPr="00A90526">
        <w:rPr>
          <w:rFonts w:ascii="Arial" w:hAnsi="Arial" w:cs="Arial"/>
          <w:sz w:val="18"/>
          <w:szCs w:val="18"/>
        </w:rPr>
        <w:t xml:space="preserve"> [2023] VSC 724 at [26] </w:t>
      </w:r>
      <w:r w:rsidRPr="00A90526">
        <w:rPr>
          <w:rFonts w:ascii="Arial" w:hAnsi="Arial" w:cs="Arial"/>
          <w:sz w:val="18"/>
          <w:szCs w:val="18"/>
        </w:rPr>
        <w:t>(Citations omitted.)</w:t>
      </w:r>
    </w:p>
    <w:p w14:paraId="6F5C0062" w14:textId="06C6DC78" w:rsidR="00A90526" w:rsidRDefault="00A90526" w:rsidP="00A90526">
      <w:pPr>
        <w:spacing w:before="60"/>
        <w:ind w:left="567" w:right="567"/>
        <w:jc w:val="both"/>
        <w:rPr>
          <w:rFonts w:ascii="Arial" w:hAnsi="Arial" w:cs="Arial"/>
          <w:color w:val="000000"/>
          <w:sz w:val="20"/>
        </w:rPr>
      </w:pPr>
      <w:r w:rsidRPr="003258E0">
        <w:rPr>
          <w:rFonts w:ascii="Arial" w:hAnsi="Arial" w:cs="Arial"/>
          <w:sz w:val="20"/>
          <w:szCs w:val="20"/>
        </w:rPr>
        <w:t>Another relevant matter in determining whether a suppression order is necessary to protect the safety of any person is the availability of care and treatment for the person, together with any protective measures that are or can be put in place</w:t>
      </w:r>
      <w:r>
        <w:rPr>
          <w:rFonts w:ascii="Arial" w:hAnsi="Arial" w:cs="Arial"/>
          <w:sz w:val="20"/>
          <w:szCs w:val="20"/>
        </w:rPr>
        <w:t xml:space="preserve">: </w:t>
      </w:r>
      <w:r w:rsidR="0087070F" w:rsidRPr="003258E0">
        <w:rPr>
          <w:rFonts w:ascii="Arial" w:hAnsi="Arial" w:cs="Arial"/>
          <w:i/>
          <w:iCs/>
          <w:sz w:val="20"/>
          <w:szCs w:val="20"/>
        </w:rPr>
        <w:t>Director of Public Prosecutions v EN</w:t>
      </w:r>
      <w:r w:rsidR="0087070F">
        <w:rPr>
          <w:rFonts w:ascii="Arial" w:hAnsi="Arial" w:cs="Arial"/>
          <w:sz w:val="20"/>
          <w:szCs w:val="20"/>
        </w:rPr>
        <w:t xml:space="preserve"> [2023] VSC 724 at [28], citing </w:t>
      </w:r>
      <w:r w:rsidR="0087070F" w:rsidRPr="006B5C61">
        <w:rPr>
          <w:rFonts w:ascii="Arial" w:hAnsi="Arial" w:cs="Arial"/>
          <w:i/>
          <w:iCs/>
          <w:sz w:val="20"/>
          <w:szCs w:val="20"/>
        </w:rPr>
        <w:t>Cooper v Herald &amp; Weekly Times Pty Ltd</w:t>
      </w:r>
      <w:r w:rsidR="0087070F">
        <w:rPr>
          <w:rFonts w:ascii="Arial" w:hAnsi="Arial" w:cs="Arial"/>
          <w:sz w:val="20"/>
          <w:szCs w:val="20"/>
        </w:rPr>
        <w:t xml:space="preserve"> [2013] VSC 589, [15] (Ferguson J).</w:t>
      </w:r>
    </w:p>
    <w:p w14:paraId="6945CCB9" w14:textId="4555EA0F" w:rsidR="0049367C" w:rsidRPr="009B7B15" w:rsidRDefault="0049367C" w:rsidP="00CE7BD0">
      <w:pPr>
        <w:ind w:right="48"/>
        <w:rPr>
          <w:rFonts w:ascii="Arial" w:hAnsi="Arial" w:cs="Arial"/>
          <w:sz w:val="20"/>
          <w:szCs w:val="20"/>
        </w:rPr>
      </w:pPr>
    </w:p>
    <w:p w14:paraId="0C010CFB" w14:textId="43513A13" w:rsidR="0087070F" w:rsidRDefault="0087070F" w:rsidP="007046CF">
      <w:pPr>
        <w:jc w:val="both"/>
        <w:rPr>
          <w:rFonts w:ascii="Arial" w:hAnsi="Arial" w:cs="Arial"/>
          <w:sz w:val="16"/>
          <w:szCs w:val="16"/>
        </w:rPr>
      </w:pPr>
      <w:r>
        <w:rPr>
          <w:rFonts w:ascii="Arial" w:hAnsi="Arial" w:cs="Arial"/>
          <w:sz w:val="20"/>
        </w:rPr>
        <w:t>At [116]-[125] Elliott J detailed eight separate matters which established that the suppression order sought by the Secretary was not necessary to protect WD’s safety, his Honour stating at [115]:</w:t>
      </w:r>
    </w:p>
    <w:p w14:paraId="1D2B812B" w14:textId="0277A713" w:rsidR="007046CF" w:rsidRPr="00381395" w:rsidRDefault="007046CF" w:rsidP="007046CF">
      <w:pPr>
        <w:spacing w:before="60"/>
        <w:ind w:left="567" w:right="567"/>
        <w:jc w:val="both"/>
        <w:rPr>
          <w:rFonts w:ascii="Arial" w:hAnsi="Arial" w:cs="Arial"/>
          <w:color w:val="000000"/>
          <w:sz w:val="20"/>
        </w:rPr>
      </w:pPr>
      <w:r>
        <w:rPr>
          <w:rFonts w:ascii="Arial" w:hAnsi="Arial" w:cs="Arial"/>
          <w:color w:val="000000"/>
          <w:sz w:val="20"/>
        </w:rPr>
        <w:t xml:space="preserve">“For several reasons, even if the court is not precluded from making the suppression order sought by the Secretary by virtue of section 8(1A) of the </w:t>
      </w:r>
      <w:r w:rsidRPr="007046CF">
        <w:rPr>
          <w:rFonts w:ascii="Arial" w:hAnsi="Arial" w:cs="Arial"/>
          <w:i/>
          <w:iCs/>
          <w:color w:val="000000"/>
          <w:sz w:val="20"/>
        </w:rPr>
        <w:t>Open Courts Act</w:t>
      </w:r>
      <w:r>
        <w:rPr>
          <w:rFonts w:ascii="Arial" w:hAnsi="Arial" w:cs="Arial"/>
          <w:color w:val="000000"/>
          <w:sz w:val="20"/>
        </w:rPr>
        <w:t>, I do not consider that a proceeding suppression order in the terms sought by the Secretary is necessary to protect the safety of WD.  To the contrary, any risk to WD’s physical and psychological wellbeing that may arise from media reporting on the alleged offending and any increased potential for WD to be identified as the subject of such reporting can be sufficiently mitigated or ameliorated through other means, such that it cannot be said that a suppression order is truly necessary.”</w:t>
      </w:r>
    </w:p>
    <w:p w14:paraId="6B75ACA2" w14:textId="77777777" w:rsidR="0087070F" w:rsidRDefault="0087070F" w:rsidP="00CE7BD0">
      <w:pPr>
        <w:ind w:right="48"/>
        <w:rPr>
          <w:rFonts w:ascii="Arial" w:hAnsi="Arial" w:cs="Arial"/>
          <w:sz w:val="16"/>
          <w:szCs w:val="16"/>
        </w:rPr>
      </w:pPr>
    </w:p>
    <w:p w14:paraId="7893CDD0" w14:textId="77777777" w:rsidR="009B7B15" w:rsidRDefault="009B7B15" w:rsidP="009B7B15">
      <w:pPr>
        <w:jc w:val="both"/>
        <w:rPr>
          <w:rFonts w:ascii="Arial" w:hAnsi="Arial" w:cs="Arial"/>
          <w:sz w:val="20"/>
        </w:rPr>
      </w:pPr>
      <w:r>
        <w:rPr>
          <w:rFonts w:ascii="Arial" w:hAnsi="Arial" w:cs="Arial"/>
          <w:sz w:val="20"/>
        </w:rPr>
        <w:t xml:space="preserve">In the afore-mentioned case of </w:t>
      </w:r>
      <w:r w:rsidRPr="00C373E8">
        <w:rPr>
          <w:rFonts w:ascii="Arial" w:hAnsi="Arial" w:cs="Arial"/>
          <w:i/>
          <w:iCs/>
          <w:sz w:val="20"/>
        </w:rPr>
        <w:t>Director of Public Prosecutions v EN</w:t>
      </w:r>
      <w:r>
        <w:rPr>
          <w:rFonts w:ascii="Arial" w:hAnsi="Arial" w:cs="Arial"/>
          <w:sz w:val="20"/>
        </w:rPr>
        <w:t xml:space="preserve"> [2023] VSC 724 an application was made by EN for a proceeding suppression order pursuant to s.17 of the OCA.  EN – who was suffering from complex mental health conditions – had been charged with murder of her infant son.  She had also applied for a pseudonym order providing for both EN and her deceased son to be referred to with the use of pseudonyms.  In refusing the former while granting the latter Elliott J said at [19]-[20] &amp; [49]-[50]:</w:t>
      </w:r>
    </w:p>
    <w:p w14:paraId="594BAC8E" w14:textId="77777777" w:rsidR="009B7B15" w:rsidRDefault="009B7B15" w:rsidP="009B7B15">
      <w:pPr>
        <w:spacing w:before="60"/>
        <w:ind w:left="567" w:right="567"/>
        <w:jc w:val="both"/>
        <w:rPr>
          <w:rFonts w:ascii="Arial" w:hAnsi="Arial" w:cs="Arial"/>
          <w:color w:val="000000"/>
          <w:sz w:val="20"/>
        </w:rPr>
      </w:pPr>
      <w:r>
        <w:rPr>
          <w:rFonts w:ascii="Arial" w:hAnsi="Arial" w:cs="Arial"/>
          <w:color w:val="000000"/>
          <w:sz w:val="20"/>
        </w:rPr>
        <w:t>[19] In considering an application for a suppression order, the court is required to have regard to the primacy of the principle of open justice and the free communication and disclosure of information: see s.4(1) of the OCA.  The court may only make a suppression order if satisfied that the specific circumstances of a case make it necessary to override or displace these objectives: see s.4(2) of the OCA.</w:t>
      </w:r>
    </w:p>
    <w:p w14:paraId="4727B780" w14:textId="77777777" w:rsidR="009B7B15" w:rsidRDefault="009B7B15" w:rsidP="009B7B15">
      <w:pPr>
        <w:spacing w:before="60"/>
        <w:ind w:left="567" w:right="567"/>
        <w:jc w:val="both"/>
        <w:rPr>
          <w:rFonts w:ascii="Arial" w:hAnsi="Arial" w:cs="Arial"/>
          <w:color w:val="000000"/>
          <w:sz w:val="20"/>
        </w:rPr>
      </w:pPr>
      <w:r>
        <w:rPr>
          <w:rFonts w:ascii="Arial" w:hAnsi="Arial" w:cs="Arial"/>
          <w:color w:val="000000"/>
          <w:sz w:val="20"/>
        </w:rPr>
        <w:t xml:space="preserve">[20] Although the principle of open justice does not provide an absolute requirement that all cases be heard in public, any order restraining, restricting or postponing the report of a court proceeding or any part of a court proceeding will be exceptional: </w:t>
      </w:r>
      <w:r w:rsidRPr="00821023">
        <w:rPr>
          <w:rFonts w:ascii="Arial" w:hAnsi="Arial" w:cs="Arial"/>
          <w:i/>
          <w:iCs/>
          <w:color w:val="000000"/>
          <w:sz w:val="20"/>
        </w:rPr>
        <w:t>News Digital Media v Mokbel</w:t>
      </w:r>
      <w:r>
        <w:rPr>
          <w:rFonts w:ascii="Arial" w:hAnsi="Arial" w:cs="Arial"/>
          <w:color w:val="000000"/>
          <w:sz w:val="20"/>
        </w:rPr>
        <w:t xml:space="preserve"> (2010) 30 VR 248, 259 [35], [a case concerning] a suppression order made under antecedent legislation, namely s.18 of the </w:t>
      </w:r>
      <w:r w:rsidRPr="00821023">
        <w:rPr>
          <w:rFonts w:ascii="Arial" w:hAnsi="Arial" w:cs="Arial"/>
          <w:i/>
          <w:iCs/>
          <w:color w:val="000000"/>
          <w:sz w:val="20"/>
        </w:rPr>
        <w:t>Supreme Court Act 1986</w:t>
      </w:r>
      <w:r>
        <w:rPr>
          <w:rFonts w:ascii="Arial" w:hAnsi="Arial" w:cs="Arial"/>
          <w:color w:val="000000"/>
          <w:sz w:val="20"/>
        </w:rPr>
        <w:t xml:space="preserve"> (Vic) (now repealed).  Further, because of the salience of the principle of open justice, ordinarily courts must construe any statutory provision which permits suppression of publication of any part of a proceeding narrowly and strictly: </w:t>
      </w:r>
      <w:r w:rsidRPr="00821023">
        <w:rPr>
          <w:rFonts w:ascii="Arial" w:hAnsi="Arial" w:cs="Arial"/>
          <w:i/>
          <w:iCs/>
          <w:color w:val="000000"/>
          <w:sz w:val="20"/>
        </w:rPr>
        <w:t>Herald &amp; Weekly Times Pty Ltd v Director of Public Prosecutions</w:t>
      </w:r>
      <w:r>
        <w:rPr>
          <w:rFonts w:ascii="Arial" w:hAnsi="Arial" w:cs="Arial"/>
          <w:color w:val="000000"/>
          <w:sz w:val="20"/>
        </w:rPr>
        <w:t xml:space="preserve"> (2007) 170 A Crim R 313,318 [22], citing </w:t>
      </w:r>
      <w:r w:rsidRPr="00821023">
        <w:rPr>
          <w:rFonts w:ascii="Arial" w:hAnsi="Arial" w:cs="Arial"/>
          <w:i/>
          <w:iCs/>
          <w:color w:val="000000"/>
          <w:sz w:val="20"/>
        </w:rPr>
        <w:t>Re Applications by Chief Commissioner of Police</w:t>
      </w:r>
      <w:r>
        <w:rPr>
          <w:rFonts w:ascii="Arial" w:hAnsi="Arial" w:cs="Arial"/>
          <w:color w:val="000000"/>
          <w:sz w:val="20"/>
        </w:rPr>
        <w:t xml:space="preserve"> (2004) 9 VR 275, 288 [30]. As was observed in </w:t>
      </w:r>
      <w:r w:rsidRPr="00821023">
        <w:rPr>
          <w:rFonts w:ascii="Arial" w:hAnsi="Arial" w:cs="Arial"/>
          <w:i/>
          <w:iCs/>
          <w:color w:val="000000"/>
          <w:sz w:val="20"/>
        </w:rPr>
        <w:t>John Fairfax &amp; Sons Ltd v Police Tribunal of New South Wales</w:t>
      </w:r>
      <w:r>
        <w:rPr>
          <w:rFonts w:ascii="Arial" w:hAnsi="Arial" w:cs="Arial"/>
          <w:color w:val="000000"/>
          <w:sz w:val="20"/>
        </w:rPr>
        <w:t xml:space="preserve"> (1986) 5 NSWLR 465, 476G-477A:</w:t>
      </w:r>
    </w:p>
    <w:p w14:paraId="59B78343" w14:textId="77777777" w:rsidR="009B7B15" w:rsidRPr="00821023" w:rsidRDefault="009B7B15" w:rsidP="009B7B15">
      <w:pPr>
        <w:spacing w:before="60"/>
        <w:ind w:left="1021" w:right="1021"/>
        <w:jc w:val="both"/>
        <w:rPr>
          <w:rFonts w:ascii="Arial" w:hAnsi="Arial" w:cs="Arial"/>
          <w:color w:val="000000"/>
          <w:sz w:val="18"/>
          <w:szCs w:val="22"/>
        </w:rPr>
      </w:pPr>
      <w:r w:rsidRPr="00821023">
        <w:rPr>
          <w:rFonts w:ascii="Arial" w:hAnsi="Arial" w:cs="Arial"/>
          <w:color w:val="000000"/>
          <w:sz w:val="18"/>
          <w:szCs w:val="22"/>
        </w:rPr>
        <w:t xml:space="preserve">‘The fundamental rule of the common law is that the administration of justice </w:t>
      </w:r>
      <w:r>
        <w:rPr>
          <w:rFonts w:ascii="Arial" w:hAnsi="Arial" w:cs="Arial"/>
          <w:color w:val="000000"/>
          <w:sz w:val="18"/>
          <w:szCs w:val="22"/>
        </w:rPr>
        <w:t xml:space="preserve">must take place in open court.  A court can only depart from this rule where its observance would frustrate the administration of justice or some other public interest for whose protection Parliament has modified the open justice rule.  The principle of open justice also requires that nothing should be done to discourage the making of fair and accurate reports of what occurs in a courtroom.  </w:t>
      </w:r>
      <w:r w:rsidRPr="003E5D29">
        <w:rPr>
          <w:rFonts w:ascii="Arial" w:hAnsi="Arial" w:cs="Arial"/>
          <w:i/>
          <w:iCs/>
          <w:color w:val="000000"/>
          <w:sz w:val="18"/>
          <w:szCs w:val="22"/>
        </w:rPr>
        <w:t xml:space="preserve">Accordingly, an order of a court prohibiting the publication of </w:t>
      </w:r>
      <w:r w:rsidRPr="003E5D29">
        <w:rPr>
          <w:rFonts w:ascii="Arial" w:hAnsi="Arial" w:cs="Arial"/>
          <w:i/>
          <w:iCs/>
          <w:color w:val="000000"/>
          <w:sz w:val="18"/>
          <w:szCs w:val="22"/>
        </w:rPr>
        <w:lastRenderedPageBreak/>
        <w:t>evidence is only valid if it is really necessary to secure the proper administration of justice in proceedings before it.</w:t>
      </w:r>
      <w:r>
        <w:rPr>
          <w:rFonts w:ascii="Arial" w:hAnsi="Arial" w:cs="Arial"/>
          <w:color w:val="000000"/>
          <w:sz w:val="18"/>
          <w:szCs w:val="22"/>
        </w:rPr>
        <w:t>’” (Emphasis added)</w:t>
      </w:r>
    </w:p>
    <w:p w14:paraId="70339267" w14:textId="77777777" w:rsidR="009B7B15" w:rsidRDefault="009B7B15" w:rsidP="009B7B15">
      <w:pPr>
        <w:spacing w:before="60"/>
        <w:ind w:left="567" w:right="567"/>
        <w:jc w:val="both"/>
        <w:rPr>
          <w:rFonts w:ascii="Arial" w:hAnsi="Arial" w:cs="Arial"/>
          <w:color w:val="000000"/>
          <w:sz w:val="20"/>
        </w:rPr>
      </w:pPr>
      <w:r>
        <w:rPr>
          <w:rFonts w:ascii="Arial" w:hAnsi="Arial" w:cs="Arial"/>
          <w:color w:val="000000"/>
          <w:sz w:val="20"/>
        </w:rPr>
        <w:t xml:space="preserve">[49] “In summary, I do not consider that a proceeding suppression order in the form sought is necessary to protect EN’s safety so as to warrant the significant departure from the principle of open justice that such an order would entail.  It must follow that there is no basis to make an order either pursuant to the </w:t>
      </w:r>
      <w:r w:rsidRPr="00070B6F">
        <w:rPr>
          <w:rFonts w:ascii="Arial" w:hAnsi="Arial" w:cs="Arial"/>
          <w:i/>
          <w:iCs/>
          <w:color w:val="000000"/>
          <w:sz w:val="20"/>
        </w:rPr>
        <w:t>Open Courts Act</w:t>
      </w:r>
      <w:r>
        <w:rPr>
          <w:rFonts w:ascii="Arial" w:hAnsi="Arial" w:cs="Arial"/>
          <w:color w:val="000000"/>
          <w:sz w:val="20"/>
        </w:rPr>
        <w:t>, or the inherent jurisdiction of the court as the order sought is not necessary to secure the proper administration of justice with respect to the proceeding: see [20] above.</w:t>
      </w:r>
    </w:p>
    <w:p w14:paraId="05847D4C" w14:textId="77777777" w:rsidR="009B7B15" w:rsidRPr="004235AF" w:rsidRDefault="009B7B15" w:rsidP="009B7B15">
      <w:pPr>
        <w:spacing w:before="60"/>
        <w:ind w:left="567" w:right="567"/>
        <w:jc w:val="both"/>
        <w:rPr>
          <w:rFonts w:ascii="Arial" w:hAnsi="Arial" w:cs="Arial"/>
          <w:color w:val="000000"/>
          <w:sz w:val="20"/>
        </w:rPr>
      </w:pPr>
      <w:r>
        <w:rPr>
          <w:rFonts w:ascii="Arial" w:hAnsi="Arial" w:cs="Arial"/>
          <w:color w:val="000000"/>
          <w:sz w:val="20"/>
        </w:rPr>
        <w:t>[50] In relation to EN’s application for a pseudonym order, as acknowledged by both the prosecution and the ABC, different considerations apply in this context.  Although the necessity of such an order must be proven, it is generally sufficient to establish a real risk that a person will suffer psychological or physical harm in the absence of the order.  Having regard to the opinions and observations of Dr Deacon and the matters disclosed I the subpoenaed medical records from Justice Health, I am satisfied that there is cogent evidence of a genuinely and reasonably held fear of both psychological and physical harm on EN’s part if media reporting of the alleged offending which identifies EN is permitted.  Orders for the use of a pseudonym will reduce the risk, as well as the degree and severity, of any such harm.”</w:t>
      </w:r>
    </w:p>
    <w:p w14:paraId="46C77419" w14:textId="77777777" w:rsidR="009B7B15" w:rsidRDefault="009B7B15" w:rsidP="009B7B15">
      <w:pPr>
        <w:jc w:val="both"/>
        <w:rPr>
          <w:rFonts w:ascii="Arial" w:hAnsi="Arial" w:cs="Arial"/>
          <w:sz w:val="20"/>
        </w:rPr>
      </w:pPr>
    </w:p>
    <w:p w14:paraId="6CBDB25B" w14:textId="3C0D7AD4" w:rsidR="009B7B15" w:rsidRDefault="009B7B15" w:rsidP="009B7B15">
      <w:pPr>
        <w:jc w:val="both"/>
        <w:rPr>
          <w:rFonts w:ascii="Arial" w:hAnsi="Arial" w:cs="Arial"/>
          <w:sz w:val="20"/>
        </w:rPr>
      </w:pPr>
      <w:r>
        <w:rPr>
          <w:rFonts w:ascii="Arial" w:hAnsi="Arial" w:cs="Arial"/>
          <w:sz w:val="20"/>
        </w:rPr>
        <w:t xml:space="preserve">In </w:t>
      </w:r>
      <w:r w:rsidRPr="007F5E7D">
        <w:rPr>
          <w:rFonts w:ascii="Arial" w:hAnsi="Arial" w:cs="Arial"/>
          <w:i/>
          <w:iCs/>
          <w:sz w:val="20"/>
        </w:rPr>
        <w:t>Director of Public Prosecutions v HR</w:t>
      </w:r>
      <w:r>
        <w:rPr>
          <w:rFonts w:ascii="Arial" w:hAnsi="Arial" w:cs="Arial"/>
          <w:sz w:val="20"/>
        </w:rPr>
        <w:t xml:space="preserve"> [2024] VSC 467 HR had been committed for trial on a charge of attempted murder of her daughter D who suffers from severe autism spectrum disorder and attends a specialist school. The DPP applied for a proceeding suppression order under ss.17, 18(1)(d) &amp; (e) of </w:t>
      </w:r>
      <w:r w:rsidRPr="001601CE">
        <w:rPr>
          <w:rFonts w:ascii="Arial" w:hAnsi="Arial" w:cs="Arial"/>
          <w:i/>
          <w:iCs/>
          <w:sz w:val="20"/>
        </w:rPr>
        <w:t>Open Courts Act 2013</w:t>
      </w:r>
      <w:r>
        <w:rPr>
          <w:rFonts w:ascii="Arial" w:hAnsi="Arial" w:cs="Arial"/>
          <w:sz w:val="20"/>
        </w:rPr>
        <w:t xml:space="preserve"> to prevent disclosure in a report of, or information derived from, the Supreme Court trial proceeding or the earlier Magistrates’ Court committal proceeding that contains particulars that would be likely to lead to the identification of the child D.  The application was supported by D’s father and was unopposed by HR and any media organisation.  Elliott J was satisfied that D was captured by the relevant provisions of the OCA and that an order was necessary to avoid causing her undue distress or embarrassment.  Accordingly, his Honour made a proceeding suppression order substantially in the terms sought for a period of 5 years from the date it was made or 12 months after the conclusion of the Supreme Court trial, whichever occurs first.  In his judgment his Honour addressed two particular issues relating to the construction of ss.18(1)(d) &amp; (e) in the context of–</w:t>
      </w:r>
    </w:p>
    <w:p w14:paraId="44702DA4" w14:textId="77777777" w:rsidR="009B7B15" w:rsidRDefault="009B7B15" w:rsidP="006264A9">
      <w:pPr>
        <w:pStyle w:val="ListParagraph"/>
        <w:numPr>
          <w:ilvl w:val="0"/>
          <w:numId w:val="50"/>
        </w:numPr>
        <w:ind w:left="357" w:hanging="357"/>
        <w:jc w:val="both"/>
        <w:rPr>
          <w:rFonts w:ascii="Arial" w:hAnsi="Arial" w:cs="Arial"/>
          <w:sz w:val="20"/>
        </w:rPr>
      </w:pPr>
      <w:r>
        <w:rPr>
          <w:rFonts w:ascii="Arial" w:hAnsi="Arial" w:cs="Arial"/>
          <w:sz w:val="20"/>
        </w:rPr>
        <w:t>D’s severe disability</w:t>
      </w:r>
      <w:r w:rsidRPr="008D7F1E">
        <w:rPr>
          <w:rFonts w:ascii="Arial" w:hAnsi="Arial" w:cs="Arial"/>
          <w:sz w:val="20"/>
        </w:rPr>
        <w:t xml:space="preserve"> resulting in her not having made a complaint or any other form of statement to police</w:t>
      </w:r>
      <w:r>
        <w:rPr>
          <w:rFonts w:ascii="Arial" w:hAnsi="Arial" w:cs="Arial"/>
          <w:sz w:val="20"/>
        </w:rPr>
        <w:t>;</w:t>
      </w:r>
      <w:r w:rsidRPr="008D7F1E">
        <w:rPr>
          <w:rFonts w:ascii="Arial" w:hAnsi="Arial" w:cs="Arial"/>
          <w:sz w:val="20"/>
        </w:rPr>
        <w:t xml:space="preserve"> and</w:t>
      </w:r>
    </w:p>
    <w:p w14:paraId="1E93CBAA" w14:textId="77777777" w:rsidR="009B7B15" w:rsidRPr="008D7F1E" w:rsidRDefault="009B7B15" w:rsidP="006264A9">
      <w:pPr>
        <w:pStyle w:val="ListParagraph"/>
        <w:numPr>
          <w:ilvl w:val="0"/>
          <w:numId w:val="50"/>
        </w:numPr>
        <w:ind w:left="357" w:hanging="357"/>
        <w:jc w:val="both"/>
        <w:rPr>
          <w:rFonts w:ascii="Arial" w:hAnsi="Arial" w:cs="Arial"/>
          <w:sz w:val="20"/>
        </w:rPr>
      </w:pPr>
      <w:r w:rsidRPr="008D7F1E">
        <w:rPr>
          <w:rFonts w:ascii="Arial" w:hAnsi="Arial" w:cs="Arial"/>
          <w:sz w:val="20"/>
        </w:rPr>
        <w:t>the prosecution not expecting to call her as a witness</w:t>
      </w:r>
      <w:r>
        <w:rPr>
          <w:rFonts w:ascii="Arial" w:hAnsi="Arial" w:cs="Arial"/>
          <w:sz w:val="20"/>
        </w:rPr>
        <w:t xml:space="preserve"> at the trial</w:t>
      </w:r>
      <w:r w:rsidRPr="008D7F1E">
        <w:rPr>
          <w:rFonts w:ascii="Arial" w:hAnsi="Arial" w:cs="Arial"/>
          <w:sz w:val="20"/>
        </w:rPr>
        <w:t>.</w:t>
      </w:r>
    </w:p>
    <w:p w14:paraId="396E4A3C" w14:textId="61404049" w:rsidR="009B7B15" w:rsidRDefault="009B7B15" w:rsidP="009B7B15">
      <w:pPr>
        <w:spacing w:before="60"/>
        <w:jc w:val="both"/>
        <w:rPr>
          <w:rFonts w:ascii="Arial" w:hAnsi="Arial" w:cs="Arial"/>
          <w:sz w:val="20"/>
        </w:rPr>
      </w:pPr>
      <w:r>
        <w:rPr>
          <w:rFonts w:ascii="Arial" w:hAnsi="Arial" w:cs="Arial"/>
          <w:sz w:val="20"/>
        </w:rPr>
        <w:t>At [22] Elliott J held – for reasons detailed at [23]-[24] – that “there is no basis for construing ‘complainant’ [in s.18(1)(d) OCA] as including someone who has not made a complaint”.</w:t>
      </w:r>
      <w:r w:rsidR="006769AE">
        <w:rPr>
          <w:rFonts w:ascii="Arial" w:hAnsi="Arial" w:cs="Arial"/>
          <w:sz w:val="20"/>
        </w:rPr>
        <w:t xml:space="preserve"> </w:t>
      </w:r>
      <w:r>
        <w:rPr>
          <w:rFonts w:ascii="Arial" w:hAnsi="Arial" w:cs="Arial"/>
          <w:sz w:val="20"/>
        </w:rPr>
        <w:t>However, his Honour held at [33] – for reasons detailed at [28]-[34] – that D “is properly considered a ‘witness’ within the meaning of paragraphs (d) and (e) of section 18(1) of the OCA, notwithstanding that it is not intended that she give any evidence in the proceeding”.  In particular his Honour said at [30]:</w:t>
      </w:r>
    </w:p>
    <w:p w14:paraId="5722A1E2" w14:textId="77777777" w:rsidR="009B7B15" w:rsidRPr="004235AF" w:rsidRDefault="009B7B15" w:rsidP="009B7B15">
      <w:pPr>
        <w:spacing w:before="60"/>
        <w:ind w:left="567" w:right="567"/>
        <w:jc w:val="both"/>
        <w:rPr>
          <w:rFonts w:ascii="Arial" w:hAnsi="Arial" w:cs="Arial"/>
          <w:color w:val="000000"/>
          <w:sz w:val="20"/>
        </w:rPr>
      </w:pPr>
      <w:r>
        <w:rPr>
          <w:rFonts w:ascii="Arial" w:hAnsi="Arial" w:cs="Arial"/>
          <w:color w:val="000000"/>
          <w:sz w:val="20"/>
        </w:rPr>
        <w:t xml:space="preserve">“The natural and ordinary meaning of ‘witness’ when used as a noun is a person who is present or sufficiently proximate and sees, hears, feels or otherwise perceives an act, occurrence or thing.  In a different statutory context, it has been held that the normal meaning of ‘witness’ is a person who is a spectator of an incident or who is present at an incident: </w:t>
      </w:r>
      <w:r w:rsidRPr="006F3E94">
        <w:rPr>
          <w:rFonts w:ascii="Arial" w:hAnsi="Arial" w:cs="Arial"/>
          <w:i/>
          <w:iCs/>
          <w:color w:val="000000"/>
          <w:sz w:val="20"/>
        </w:rPr>
        <w:t>In the Estate of Charles Gibson</w:t>
      </w:r>
      <w:r>
        <w:rPr>
          <w:rFonts w:ascii="Arial" w:hAnsi="Arial" w:cs="Arial"/>
          <w:i/>
          <w:iCs/>
          <w:color w:val="000000"/>
          <w:sz w:val="20"/>
        </w:rPr>
        <w:t xml:space="preserve"> </w:t>
      </w:r>
      <w:r w:rsidRPr="006F3E94">
        <w:rPr>
          <w:rFonts w:ascii="Arial" w:hAnsi="Arial" w:cs="Arial"/>
          <w:i/>
          <w:iCs/>
          <w:color w:val="000000"/>
          <w:sz w:val="20"/>
        </w:rPr>
        <w:t>(</w:t>
      </w:r>
      <w:proofErr w:type="spellStart"/>
      <w:r w:rsidRPr="006F3E94">
        <w:rPr>
          <w:rFonts w:ascii="Arial" w:hAnsi="Arial" w:cs="Arial"/>
          <w:i/>
          <w:iCs/>
          <w:color w:val="000000"/>
          <w:sz w:val="20"/>
        </w:rPr>
        <w:t>dec</w:t>
      </w:r>
      <w:r>
        <w:rPr>
          <w:rFonts w:ascii="Arial" w:hAnsi="Arial" w:cs="Arial"/>
          <w:i/>
          <w:iCs/>
          <w:color w:val="000000"/>
          <w:sz w:val="20"/>
        </w:rPr>
        <w:t>’</w:t>
      </w:r>
      <w:r w:rsidRPr="006F3E94">
        <w:rPr>
          <w:rFonts w:ascii="Arial" w:hAnsi="Arial" w:cs="Arial"/>
          <w:i/>
          <w:iCs/>
          <w:color w:val="000000"/>
          <w:sz w:val="20"/>
        </w:rPr>
        <w:t>d</w:t>
      </w:r>
      <w:proofErr w:type="spellEnd"/>
      <w:r w:rsidRPr="006F3E94">
        <w:rPr>
          <w:rFonts w:ascii="Arial" w:hAnsi="Arial" w:cs="Arial"/>
          <w:i/>
          <w:iCs/>
          <w:color w:val="000000"/>
          <w:sz w:val="20"/>
        </w:rPr>
        <w:t>)</w:t>
      </w:r>
      <w:r>
        <w:rPr>
          <w:rFonts w:ascii="Arial" w:hAnsi="Arial" w:cs="Arial"/>
          <w:color w:val="000000"/>
          <w:sz w:val="20"/>
        </w:rPr>
        <w:t xml:space="preserve"> [1949] P 436, 436.7 (Pearce J), in determining whether a blind person was a witness to a will.  There is nothing in the provisions in question or in the OCA more generally (including the expressly stated main purposes) that would indicate that ‘witness’ should be given a narrower or different meaning to its natural and ordinary meaning.”</w:t>
      </w:r>
    </w:p>
    <w:p w14:paraId="7B11E53A" w14:textId="77777777" w:rsidR="009B7B15" w:rsidRPr="009B7B15" w:rsidRDefault="009B7B15" w:rsidP="00CE7BD0">
      <w:pPr>
        <w:ind w:right="48"/>
        <w:rPr>
          <w:rFonts w:ascii="Arial" w:hAnsi="Arial" w:cs="Arial"/>
          <w:sz w:val="20"/>
          <w:szCs w:val="20"/>
        </w:rPr>
      </w:pPr>
    </w:p>
    <w:p w14:paraId="39E45411" w14:textId="0EA9C192" w:rsidR="009B7B15" w:rsidRDefault="009B7B15" w:rsidP="009B7B15">
      <w:pPr>
        <w:jc w:val="both"/>
        <w:rPr>
          <w:rFonts w:ascii="Arial" w:hAnsi="Arial" w:cs="Arial"/>
          <w:sz w:val="20"/>
        </w:rPr>
      </w:pPr>
      <w:r>
        <w:rPr>
          <w:rFonts w:ascii="Arial" w:hAnsi="Arial" w:cs="Arial"/>
          <w:sz w:val="20"/>
        </w:rPr>
        <w:t xml:space="preserve">In </w:t>
      </w:r>
      <w:r w:rsidRPr="008A796C">
        <w:rPr>
          <w:rFonts w:ascii="Arial" w:hAnsi="Arial" w:cs="Arial"/>
          <w:i/>
          <w:iCs/>
          <w:sz w:val="20"/>
        </w:rPr>
        <w:t>Mokbel v DPP (Suppression)</w:t>
      </w:r>
      <w:r w:rsidRPr="008A796C">
        <w:rPr>
          <w:rFonts w:ascii="Arial" w:hAnsi="Arial" w:cs="Arial"/>
          <w:sz w:val="20"/>
        </w:rPr>
        <w:t xml:space="preserve"> [2024] VSC 784 Beach JA</w:t>
      </w:r>
      <w:r>
        <w:rPr>
          <w:rFonts w:ascii="Arial" w:hAnsi="Arial" w:cs="Arial"/>
          <w:sz w:val="20"/>
        </w:rPr>
        <w:t xml:space="preserve"> </w:t>
      </w:r>
      <w:r w:rsidR="00B80452">
        <w:rPr>
          <w:rFonts w:ascii="Arial" w:hAnsi="Arial" w:cs="Arial"/>
          <w:sz w:val="20"/>
        </w:rPr>
        <w:t xml:space="preserve">had </w:t>
      </w:r>
      <w:r>
        <w:rPr>
          <w:rFonts w:ascii="Arial" w:hAnsi="Arial" w:cs="Arial"/>
          <w:sz w:val="20"/>
        </w:rPr>
        <w:t xml:space="preserve">refused an application by police members PM1 &amp; PM2 for a proceeding suppression order prohibiting the publication </w:t>
      </w:r>
      <w:r w:rsidRPr="008A796C">
        <w:rPr>
          <w:rFonts w:ascii="Arial" w:hAnsi="Arial" w:cs="Arial"/>
          <w:sz w:val="20"/>
        </w:rPr>
        <w:t>anywhere in Australia of a report of the proceeding</w:t>
      </w:r>
      <w:r w:rsidR="00B80452">
        <w:rPr>
          <w:rFonts w:ascii="Arial" w:hAnsi="Arial" w:cs="Arial"/>
          <w:sz w:val="20"/>
        </w:rPr>
        <w:t>,</w:t>
      </w:r>
      <w:r w:rsidRPr="008A796C">
        <w:rPr>
          <w:rFonts w:ascii="Arial" w:hAnsi="Arial" w:cs="Arial"/>
          <w:sz w:val="20"/>
        </w:rPr>
        <w:t xml:space="preserve"> and any information derived from the proceeding, which identifies </w:t>
      </w:r>
      <w:r w:rsidR="00C72D34">
        <w:rPr>
          <w:rFonts w:ascii="Arial" w:hAnsi="Arial" w:cs="Arial"/>
          <w:sz w:val="20"/>
        </w:rPr>
        <w:t xml:space="preserve">them </w:t>
      </w:r>
      <w:r w:rsidRPr="008A796C">
        <w:rPr>
          <w:rFonts w:ascii="Arial" w:hAnsi="Arial" w:cs="Arial"/>
          <w:sz w:val="20"/>
        </w:rPr>
        <w:t>(by name, image or particulars) as being the members who</w:t>
      </w:r>
      <w:r>
        <w:rPr>
          <w:rFonts w:ascii="Arial" w:hAnsi="Arial" w:cs="Arial"/>
          <w:sz w:val="20"/>
        </w:rPr>
        <w:t>m</w:t>
      </w:r>
      <w:r w:rsidRPr="008A796C">
        <w:rPr>
          <w:rFonts w:ascii="Arial" w:hAnsi="Arial" w:cs="Arial"/>
          <w:sz w:val="20"/>
        </w:rPr>
        <w:t xml:space="preserve"> </w:t>
      </w:r>
      <w:r>
        <w:rPr>
          <w:rFonts w:ascii="Arial" w:hAnsi="Arial" w:cs="Arial"/>
          <w:sz w:val="20"/>
        </w:rPr>
        <w:t xml:space="preserve">Fullerton J </w:t>
      </w:r>
      <w:r w:rsidRPr="008A796C">
        <w:rPr>
          <w:rFonts w:ascii="Arial" w:hAnsi="Arial" w:cs="Arial"/>
          <w:sz w:val="20"/>
        </w:rPr>
        <w:t xml:space="preserve">found </w:t>
      </w:r>
      <w:r>
        <w:rPr>
          <w:rFonts w:ascii="Arial" w:hAnsi="Arial" w:cs="Arial"/>
          <w:sz w:val="20"/>
        </w:rPr>
        <w:t xml:space="preserve">in a Reference Determination </w:t>
      </w:r>
      <w:r w:rsidRPr="008A796C">
        <w:rPr>
          <w:rFonts w:ascii="Arial" w:hAnsi="Arial" w:cs="Arial"/>
          <w:sz w:val="20"/>
        </w:rPr>
        <w:t xml:space="preserve">were party to a joint criminal enterprise to attempt to pervert the course of justice. </w:t>
      </w:r>
      <w:r w:rsidR="00C72D34">
        <w:rPr>
          <w:rFonts w:ascii="Arial" w:hAnsi="Arial" w:cs="Arial"/>
          <w:sz w:val="20"/>
        </w:rPr>
        <w:t>PM1 &amp; PM2</w:t>
      </w:r>
      <w:r w:rsidRPr="008A796C">
        <w:rPr>
          <w:rFonts w:ascii="Arial" w:hAnsi="Arial" w:cs="Arial"/>
          <w:sz w:val="20"/>
        </w:rPr>
        <w:t xml:space="preserve"> sought the suppression order on the ground that it was necessary to prevent a real and substantial risk of prejudice to the proper administration of justice that could not be prevented by other reasonably available means: s 18(1)(a) of the </w:t>
      </w:r>
      <w:r>
        <w:rPr>
          <w:rFonts w:ascii="Arial" w:hAnsi="Arial" w:cs="Arial"/>
          <w:sz w:val="20"/>
        </w:rPr>
        <w:t>OCA</w:t>
      </w:r>
      <w:r w:rsidRPr="008A796C">
        <w:rPr>
          <w:rFonts w:ascii="Arial" w:hAnsi="Arial" w:cs="Arial"/>
          <w:sz w:val="20"/>
        </w:rPr>
        <w:t xml:space="preserve">. </w:t>
      </w:r>
      <w:r>
        <w:rPr>
          <w:rFonts w:ascii="Arial" w:hAnsi="Arial" w:cs="Arial"/>
          <w:sz w:val="20"/>
        </w:rPr>
        <w:t xml:space="preserve">Beach JA refused the </w:t>
      </w:r>
      <w:r w:rsidRPr="008A796C">
        <w:rPr>
          <w:rFonts w:ascii="Arial" w:hAnsi="Arial" w:cs="Arial"/>
          <w:sz w:val="20"/>
        </w:rPr>
        <w:t>application, holding that the order was not necessary to prevent a real and substantial risk of prejudice to the proper administration of justice.</w:t>
      </w:r>
    </w:p>
    <w:p w14:paraId="0779D02B" w14:textId="2E37B859" w:rsidR="009B7B15" w:rsidRDefault="009B7B15" w:rsidP="009B7B15">
      <w:pPr>
        <w:spacing w:before="60"/>
        <w:jc w:val="both"/>
        <w:rPr>
          <w:rFonts w:ascii="Arial" w:hAnsi="Arial" w:cs="Arial"/>
          <w:sz w:val="20"/>
        </w:rPr>
      </w:pPr>
      <w:r>
        <w:rPr>
          <w:rFonts w:ascii="Arial" w:hAnsi="Arial" w:cs="Arial"/>
          <w:sz w:val="20"/>
        </w:rPr>
        <w:t xml:space="preserve">In the ensuing appeal in </w:t>
      </w:r>
      <w:r w:rsidRPr="00C50B71">
        <w:rPr>
          <w:rFonts w:ascii="Arial" w:hAnsi="Arial" w:cs="Arial"/>
          <w:i/>
          <w:iCs/>
          <w:sz w:val="20"/>
        </w:rPr>
        <w:t xml:space="preserve">Police Member 1 (a pseudonym) &amp; Anor v Antonios </w:t>
      </w:r>
      <w:proofErr w:type="spellStart"/>
      <w:r w:rsidRPr="00C50B71">
        <w:rPr>
          <w:rFonts w:ascii="Arial" w:hAnsi="Arial" w:cs="Arial"/>
          <w:i/>
          <w:iCs/>
          <w:sz w:val="20"/>
        </w:rPr>
        <w:t>Sajih</w:t>
      </w:r>
      <w:proofErr w:type="spellEnd"/>
      <w:r w:rsidRPr="00C50B71">
        <w:rPr>
          <w:rFonts w:ascii="Arial" w:hAnsi="Arial" w:cs="Arial"/>
          <w:i/>
          <w:iCs/>
          <w:sz w:val="20"/>
        </w:rPr>
        <w:t xml:space="preserve"> Mokbel &amp; Anor</w:t>
      </w:r>
      <w:r>
        <w:rPr>
          <w:rFonts w:ascii="Arial" w:hAnsi="Arial" w:cs="Arial"/>
          <w:sz w:val="20"/>
        </w:rPr>
        <w:t xml:space="preserve"> [2025] VSCA 34 the Court of Appeal granted the police members PM1 &amp; PM2 leave to appeal the decision of Beach JA but dismissed their appeal. At [69] &amp; [83] Niall CJ, Emerton P &amp; J Forrest </w:t>
      </w:r>
      <w:r w:rsidR="00936EC2">
        <w:rPr>
          <w:rFonts w:ascii="Arial" w:hAnsi="Arial" w:cs="Arial"/>
          <w:sz w:val="20"/>
        </w:rPr>
        <w:t>A</w:t>
      </w:r>
      <w:r>
        <w:rPr>
          <w:rFonts w:ascii="Arial" w:hAnsi="Arial" w:cs="Arial"/>
          <w:sz w:val="20"/>
        </w:rPr>
        <w:t>JA said:</w:t>
      </w:r>
    </w:p>
    <w:p w14:paraId="6733B9BE" w14:textId="77777777" w:rsidR="009B7B15" w:rsidRDefault="009B7B15" w:rsidP="009B7B15">
      <w:pPr>
        <w:spacing w:before="60"/>
        <w:ind w:left="567" w:right="567"/>
        <w:jc w:val="both"/>
        <w:rPr>
          <w:rFonts w:ascii="Arial" w:hAnsi="Arial" w:cs="Arial"/>
          <w:sz w:val="20"/>
        </w:rPr>
      </w:pPr>
      <w:r>
        <w:rPr>
          <w:rFonts w:ascii="Arial" w:hAnsi="Arial" w:cs="Arial"/>
          <w:color w:val="000000"/>
          <w:sz w:val="20"/>
        </w:rPr>
        <w:lastRenderedPageBreak/>
        <w:t>[69] “</w:t>
      </w:r>
      <w:r w:rsidRPr="00942E93">
        <w:rPr>
          <w:rFonts w:ascii="Arial" w:hAnsi="Arial" w:cs="Arial"/>
          <w:sz w:val="20"/>
        </w:rPr>
        <w:t>The order sought by the police members is modest in its effect on the publication of the Reference Determination itself: it involves little more than the redaction of names and limited parts of what is a very long and detailed judgment. However, its scope is breathtaking. The proposed order seeks to prevent the media (or anyone else) from any reporting disclosing the identities of the persons found by Fullerton J to have engaged in the impugned conduct, and to do so until their deaths. It has potentially far-reaching effects. Compliance would require vigilance, potentially over decades, in the reporting of what occurred in April 2006 to secure Mr Mokbel’s convictions. That conduct, involving Ms</w:t>
      </w:r>
      <w:r>
        <w:rPr>
          <w:rFonts w:ascii="Arial" w:hAnsi="Arial" w:cs="Arial"/>
          <w:sz w:val="20"/>
        </w:rPr>
        <w:t> </w:t>
      </w:r>
      <w:r w:rsidRPr="00942E93">
        <w:rPr>
          <w:rFonts w:ascii="Arial" w:hAnsi="Arial" w:cs="Arial"/>
          <w:sz w:val="20"/>
        </w:rPr>
        <w:t>Gobbo and several members of Victoria Police, forms part of a scandal of sizeable proportions that has significantly impacted public confidence in the administration of justice in this State.</w:t>
      </w:r>
      <w:r>
        <w:rPr>
          <w:rFonts w:ascii="Arial" w:hAnsi="Arial" w:cs="Arial"/>
          <w:sz w:val="20"/>
        </w:rPr>
        <w:t>”</w:t>
      </w:r>
    </w:p>
    <w:p w14:paraId="466989BC" w14:textId="78EC969F" w:rsidR="009B7B15" w:rsidRPr="00942E93" w:rsidRDefault="009B7B15" w:rsidP="009B7B15">
      <w:pPr>
        <w:spacing w:before="60"/>
        <w:ind w:left="567" w:right="567"/>
        <w:jc w:val="both"/>
        <w:rPr>
          <w:rFonts w:ascii="Arial" w:hAnsi="Arial" w:cs="Arial"/>
          <w:color w:val="000000"/>
          <w:sz w:val="20"/>
        </w:rPr>
      </w:pPr>
      <w:r>
        <w:rPr>
          <w:rFonts w:ascii="Arial" w:hAnsi="Arial" w:cs="Arial"/>
          <w:sz w:val="20"/>
        </w:rPr>
        <w:t>[83] “</w:t>
      </w:r>
      <w:r w:rsidRPr="00C50B71">
        <w:rPr>
          <w:rFonts w:ascii="Arial" w:hAnsi="Arial" w:cs="Arial"/>
          <w:sz w:val="20"/>
        </w:rPr>
        <w:t xml:space="preserve">Both of the police members must feel that there is no end to their vulnerability to the public excoriation that has been directed to many who had the misfortune to come within Ms Gobbo’s orbit. The events giving rise to Fullerton J’s finding are almost 20 years old. Neither of them is well, and both fear, no doubt correctly, that their reputations and wellbeing will be damaged by publication of the finding. However, the existence of those fragilities is not enough, even in combination with the ‘unconventional’ approach taken to remedy the (possible) breach of the rule in </w:t>
      </w:r>
      <w:r w:rsidRPr="00942E93">
        <w:rPr>
          <w:rFonts w:ascii="Arial" w:hAnsi="Arial" w:cs="Arial"/>
          <w:i/>
          <w:iCs/>
          <w:sz w:val="20"/>
        </w:rPr>
        <w:t>Browne v Dunn</w:t>
      </w:r>
      <w:r w:rsidR="00936EC2">
        <w:rPr>
          <w:rFonts w:ascii="Arial" w:hAnsi="Arial" w:cs="Arial"/>
          <w:sz w:val="20"/>
        </w:rPr>
        <w:t xml:space="preserve"> [see </w:t>
      </w:r>
      <w:r w:rsidR="00936EC2" w:rsidRPr="00936EC2">
        <w:rPr>
          <w:rFonts w:ascii="Arial" w:hAnsi="Arial" w:cs="Arial"/>
          <w:b/>
          <w:bCs/>
          <w:sz w:val="20"/>
          <w:shd w:val="clear" w:color="auto" w:fill="C5E0B3" w:themeFill="accent6" w:themeFillTint="66"/>
        </w:rPr>
        <w:t>section 3.5.13</w:t>
      </w:r>
      <w:r w:rsidR="00936EC2">
        <w:rPr>
          <w:rFonts w:ascii="Arial" w:hAnsi="Arial" w:cs="Arial"/>
          <w:sz w:val="20"/>
        </w:rPr>
        <w:t xml:space="preserve">] </w:t>
      </w:r>
      <w:r w:rsidRPr="00C50B71">
        <w:rPr>
          <w:rFonts w:ascii="Arial" w:hAnsi="Arial" w:cs="Arial"/>
          <w:sz w:val="20"/>
        </w:rPr>
        <w:t>to necessitate the making of a suppression in order to avoid a real and substantial risk of prejudice to the administration of justice.</w:t>
      </w:r>
      <w:r>
        <w:rPr>
          <w:rFonts w:ascii="Arial" w:hAnsi="Arial" w:cs="Arial"/>
          <w:sz w:val="20"/>
        </w:rPr>
        <w:t>”</w:t>
      </w:r>
    </w:p>
    <w:p w14:paraId="4246AF98" w14:textId="0AF1BEF7" w:rsidR="00596E53" w:rsidRPr="00FF0568" w:rsidRDefault="00596E53" w:rsidP="00596E53">
      <w:pPr>
        <w:spacing w:before="60"/>
        <w:jc w:val="both"/>
        <w:rPr>
          <w:rFonts w:ascii="Arial" w:hAnsi="Arial" w:cs="Arial"/>
          <w:sz w:val="20"/>
          <w:szCs w:val="20"/>
        </w:rPr>
      </w:pPr>
      <w:r>
        <w:rPr>
          <w:rFonts w:ascii="Arial" w:hAnsi="Arial" w:cs="Arial"/>
          <w:sz w:val="20"/>
        </w:rPr>
        <w:t xml:space="preserve">The Court of Appeal refused an ensuing application for costs </w:t>
      </w:r>
      <w:r>
        <w:rPr>
          <w:rFonts w:ascii="Arial" w:hAnsi="Arial" w:cs="Arial"/>
          <w:sz w:val="20"/>
          <w:szCs w:val="20"/>
        </w:rPr>
        <w:t>by the intervening media interests noting at [9] that “</w:t>
      </w:r>
      <w:r w:rsidRPr="003722D8">
        <w:rPr>
          <w:rFonts w:ascii="Arial" w:hAnsi="Arial" w:cs="Arial"/>
          <w:b/>
          <w:bCs/>
          <w:sz w:val="20"/>
          <w:szCs w:val="20"/>
        </w:rPr>
        <w:t>there is no general rule that costs follow the event on applications for suppression orders</w:t>
      </w:r>
      <w:r w:rsidRPr="00596E53">
        <w:rPr>
          <w:rFonts w:ascii="Arial" w:hAnsi="Arial" w:cs="Arial"/>
          <w:sz w:val="20"/>
          <w:szCs w:val="20"/>
        </w:rPr>
        <w:t>”</w:t>
      </w:r>
      <w:r>
        <w:rPr>
          <w:rFonts w:ascii="Arial" w:hAnsi="Arial" w:cs="Arial"/>
          <w:sz w:val="20"/>
        </w:rPr>
        <w:t xml:space="preserve">: see </w:t>
      </w:r>
      <w:r>
        <w:rPr>
          <w:rFonts w:ascii="Arial" w:hAnsi="Arial" w:cs="Arial"/>
          <w:i/>
          <w:iCs/>
          <w:sz w:val="20"/>
          <w:szCs w:val="20"/>
        </w:rPr>
        <w:t xml:space="preserve">Police Member 1 (a pseudonym) &amp; Anor v </w:t>
      </w:r>
      <w:r w:rsidRPr="00C50B71">
        <w:rPr>
          <w:rFonts w:ascii="Arial" w:hAnsi="Arial" w:cs="Arial"/>
          <w:i/>
          <w:iCs/>
          <w:sz w:val="20"/>
        </w:rPr>
        <w:t xml:space="preserve">Antonios </w:t>
      </w:r>
      <w:proofErr w:type="spellStart"/>
      <w:r w:rsidRPr="00C50B71">
        <w:rPr>
          <w:rFonts w:ascii="Arial" w:hAnsi="Arial" w:cs="Arial"/>
          <w:i/>
          <w:iCs/>
          <w:sz w:val="20"/>
        </w:rPr>
        <w:t>Sajih</w:t>
      </w:r>
      <w:proofErr w:type="spellEnd"/>
      <w:r w:rsidRPr="00C50B71">
        <w:rPr>
          <w:rFonts w:ascii="Arial" w:hAnsi="Arial" w:cs="Arial"/>
          <w:i/>
          <w:iCs/>
          <w:sz w:val="20"/>
        </w:rPr>
        <w:t xml:space="preserve"> Mokbel</w:t>
      </w:r>
      <w:r>
        <w:rPr>
          <w:rFonts w:ascii="Arial" w:hAnsi="Arial" w:cs="Arial"/>
          <w:i/>
          <w:iCs/>
          <w:sz w:val="20"/>
          <w:szCs w:val="20"/>
        </w:rPr>
        <w:t xml:space="preserve"> &amp; Anor, Nine Network Pty Ltd &amp; Ors Interveners </w:t>
      </w:r>
      <w:r w:rsidRPr="003C3B46">
        <w:rPr>
          <w:rFonts w:ascii="Arial" w:hAnsi="Arial" w:cs="Arial"/>
          <w:sz w:val="20"/>
          <w:szCs w:val="20"/>
        </w:rPr>
        <w:t>[2025] VSCA 78</w:t>
      </w:r>
      <w:r>
        <w:rPr>
          <w:rFonts w:ascii="Arial" w:hAnsi="Arial" w:cs="Arial"/>
          <w:sz w:val="20"/>
          <w:szCs w:val="20"/>
        </w:rPr>
        <w:t xml:space="preserve">. </w:t>
      </w:r>
      <w:r w:rsidR="00FF0568">
        <w:rPr>
          <w:rFonts w:ascii="Arial" w:hAnsi="Arial" w:cs="Arial"/>
          <w:sz w:val="20"/>
          <w:szCs w:val="20"/>
        </w:rPr>
        <w:t xml:space="preserve">The Court also observed at [5] that s.19(2) of the OCA distinguishes between a ‘party’ to the proceeding and a ‘news media organisation’ and that these terms are defined separately in s.3 of the OCA, concluding – albeit without formally deciding – that “[t]his </w:t>
      </w:r>
      <w:r w:rsidR="00FF0568" w:rsidRPr="003722D8">
        <w:rPr>
          <w:rFonts w:ascii="Arial" w:hAnsi="Arial" w:cs="Arial"/>
          <w:sz w:val="20"/>
          <w:szCs w:val="20"/>
        </w:rPr>
        <w:t>indicates that a news media organisation is not a party to the proceeding for the purposes of the</w:t>
      </w:r>
      <w:r w:rsidR="00FF0568">
        <w:rPr>
          <w:rFonts w:ascii="Arial" w:hAnsi="Arial" w:cs="Arial"/>
          <w:sz w:val="20"/>
          <w:szCs w:val="20"/>
        </w:rPr>
        <w:t xml:space="preserve"> [OCA].” </w:t>
      </w:r>
      <w:r>
        <w:rPr>
          <w:rFonts w:ascii="Arial" w:hAnsi="Arial" w:cs="Arial"/>
          <w:sz w:val="20"/>
          <w:szCs w:val="20"/>
        </w:rPr>
        <w:t xml:space="preserve">For more details see </w:t>
      </w:r>
      <w:r w:rsidRPr="00596E53">
        <w:rPr>
          <w:rFonts w:ascii="Arial" w:hAnsi="Arial" w:cs="Arial"/>
          <w:b/>
          <w:bCs/>
          <w:sz w:val="20"/>
          <w:szCs w:val="20"/>
          <w:shd w:val="clear" w:color="auto" w:fill="C5E0B3" w:themeFill="accent6" w:themeFillTint="66"/>
        </w:rPr>
        <w:t>section 3.9.10</w:t>
      </w:r>
      <w:r>
        <w:rPr>
          <w:rFonts w:ascii="Arial" w:hAnsi="Arial" w:cs="Arial"/>
          <w:sz w:val="20"/>
          <w:szCs w:val="20"/>
        </w:rPr>
        <w:t>.</w:t>
      </w:r>
    </w:p>
    <w:p w14:paraId="02050E6D" w14:textId="77777777" w:rsidR="00FF0568" w:rsidRDefault="00FF0568" w:rsidP="009B7B15">
      <w:pPr>
        <w:jc w:val="both"/>
        <w:rPr>
          <w:rFonts w:ascii="Arial" w:hAnsi="Arial" w:cs="Arial"/>
          <w:sz w:val="20"/>
        </w:rPr>
      </w:pPr>
    </w:p>
    <w:p w14:paraId="02AC8E32" w14:textId="2228B06A" w:rsidR="008B6E33" w:rsidRPr="00891733" w:rsidRDefault="009C333B" w:rsidP="00CE7BD0">
      <w:pPr>
        <w:jc w:val="both"/>
        <w:rPr>
          <w:rFonts w:ascii="Arial" w:hAnsi="Arial" w:cs="Arial"/>
          <w:sz w:val="20"/>
          <w:szCs w:val="20"/>
        </w:rPr>
      </w:pPr>
      <w:r>
        <w:rPr>
          <w:rFonts w:ascii="Arial" w:hAnsi="Arial" w:cs="Arial"/>
          <w:sz w:val="20"/>
        </w:rPr>
        <w:t xml:space="preserve">For a </w:t>
      </w:r>
      <w:r w:rsidR="00DF58AB">
        <w:rPr>
          <w:rFonts w:ascii="Arial" w:hAnsi="Arial" w:cs="Arial"/>
          <w:sz w:val="20"/>
        </w:rPr>
        <w:t xml:space="preserve">further </w:t>
      </w:r>
      <w:r>
        <w:rPr>
          <w:rFonts w:ascii="Arial" w:hAnsi="Arial" w:cs="Arial"/>
          <w:sz w:val="20"/>
        </w:rPr>
        <w:t xml:space="preserve">discussion </w:t>
      </w:r>
      <w:r w:rsidR="00DF58AB">
        <w:rPr>
          <w:rFonts w:ascii="Arial" w:hAnsi="Arial" w:cs="Arial"/>
          <w:sz w:val="20"/>
        </w:rPr>
        <w:t xml:space="preserve">(partly redacted) </w:t>
      </w:r>
      <w:r>
        <w:rPr>
          <w:rFonts w:ascii="Arial" w:hAnsi="Arial" w:cs="Arial"/>
          <w:sz w:val="20"/>
        </w:rPr>
        <w:t>of ss.17(b) and 18(1)(a) &amp; (c) of the</w:t>
      </w:r>
      <w:r w:rsidR="00FF0568">
        <w:rPr>
          <w:rFonts w:ascii="Arial" w:hAnsi="Arial" w:cs="Arial"/>
          <w:sz w:val="20"/>
        </w:rPr>
        <w:t xml:space="preserve"> </w:t>
      </w:r>
      <w:r w:rsidR="00FF0568" w:rsidRPr="00FF0568">
        <w:rPr>
          <w:rFonts w:ascii="Arial" w:hAnsi="Arial" w:cs="Arial"/>
          <w:sz w:val="20"/>
        </w:rPr>
        <w:t>OCA</w:t>
      </w:r>
      <w:r>
        <w:rPr>
          <w:rFonts w:ascii="Arial" w:hAnsi="Arial" w:cs="Arial"/>
          <w:sz w:val="20"/>
        </w:rPr>
        <w:t xml:space="preserve"> – including whether or not a non-publication order was necessary to prevent prejudice to the ad</w:t>
      </w:r>
      <w:r w:rsidRPr="009C333B">
        <w:rPr>
          <w:rFonts w:ascii="Arial" w:hAnsi="Arial" w:cs="Arial"/>
          <w:sz w:val="20"/>
        </w:rPr>
        <w:t>ministration of justice</w:t>
      </w:r>
      <w:r>
        <w:rPr>
          <w:rFonts w:ascii="Arial" w:hAnsi="Arial" w:cs="Arial"/>
          <w:sz w:val="20"/>
        </w:rPr>
        <w:t xml:space="preserve"> or was </w:t>
      </w:r>
      <w:r w:rsidRPr="00891733">
        <w:rPr>
          <w:rFonts w:ascii="Arial" w:hAnsi="Arial" w:cs="Arial"/>
          <w:sz w:val="20"/>
          <w:szCs w:val="20"/>
        </w:rPr>
        <w:t xml:space="preserve">necessary to protect safety of any person </w:t>
      </w:r>
      <w:r w:rsidR="00143EF9" w:rsidRPr="00891733">
        <w:rPr>
          <w:rFonts w:ascii="Arial" w:hAnsi="Arial" w:cs="Arial"/>
          <w:sz w:val="20"/>
          <w:szCs w:val="20"/>
        </w:rPr>
        <w:t xml:space="preserve">– </w:t>
      </w:r>
      <w:r w:rsidRPr="00891733">
        <w:rPr>
          <w:rFonts w:ascii="Arial" w:hAnsi="Arial" w:cs="Arial"/>
          <w:sz w:val="20"/>
          <w:szCs w:val="20"/>
        </w:rPr>
        <w:t>see</w:t>
      </w:r>
      <w:r w:rsidR="00143EF9" w:rsidRPr="00891733">
        <w:rPr>
          <w:rFonts w:ascii="Arial" w:hAnsi="Arial" w:cs="Arial"/>
          <w:sz w:val="20"/>
          <w:szCs w:val="20"/>
        </w:rPr>
        <w:t xml:space="preserve"> </w:t>
      </w:r>
      <w:r w:rsidRPr="00891733">
        <w:rPr>
          <w:rFonts w:ascii="Arial" w:hAnsi="Arial" w:cs="Arial"/>
          <w:i/>
          <w:sz w:val="20"/>
          <w:szCs w:val="20"/>
        </w:rPr>
        <w:t>AB (a pseudonym) v CD (a pseudonym) &amp; EF (a</w:t>
      </w:r>
      <w:r w:rsidR="001A06B5" w:rsidRPr="00891733">
        <w:rPr>
          <w:rFonts w:ascii="Arial" w:hAnsi="Arial" w:cs="Arial"/>
          <w:i/>
          <w:sz w:val="20"/>
          <w:szCs w:val="20"/>
        </w:rPr>
        <w:t> </w:t>
      </w:r>
      <w:r w:rsidRPr="00891733">
        <w:rPr>
          <w:rFonts w:ascii="Arial" w:hAnsi="Arial" w:cs="Arial"/>
          <w:i/>
          <w:sz w:val="20"/>
          <w:szCs w:val="20"/>
        </w:rPr>
        <w:t>pseudonym)</w:t>
      </w:r>
      <w:r w:rsidRPr="00891733">
        <w:rPr>
          <w:rFonts w:ascii="Arial" w:hAnsi="Arial" w:cs="Arial"/>
          <w:sz w:val="20"/>
          <w:szCs w:val="20"/>
        </w:rPr>
        <w:t xml:space="preserve"> </w:t>
      </w:r>
      <w:r w:rsidR="00617CC1" w:rsidRPr="00891733">
        <w:rPr>
          <w:rFonts w:ascii="Arial" w:hAnsi="Arial" w:cs="Arial"/>
          <w:sz w:val="20"/>
          <w:szCs w:val="20"/>
        </w:rPr>
        <w:t>[2019] VSCA 28 esp. at [64]-[80] &amp; [85]-[89]</w:t>
      </w:r>
      <w:r w:rsidR="004919C0" w:rsidRPr="00891733">
        <w:rPr>
          <w:rFonts w:ascii="Arial" w:hAnsi="Arial" w:cs="Arial"/>
          <w:sz w:val="20"/>
          <w:szCs w:val="20"/>
        </w:rPr>
        <w:t>. S</w:t>
      </w:r>
      <w:r w:rsidR="006B7966" w:rsidRPr="00891733">
        <w:rPr>
          <w:rFonts w:ascii="Arial" w:hAnsi="Arial" w:cs="Arial"/>
          <w:sz w:val="20"/>
          <w:szCs w:val="20"/>
        </w:rPr>
        <w:t xml:space="preserve">ee also </w:t>
      </w:r>
      <w:bookmarkStart w:id="513" w:name="_Hlk114472383"/>
      <w:r w:rsidR="001A06B5" w:rsidRPr="00891733">
        <w:rPr>
          <w:rFonts w:ascii="Arial" w:hAnsi="Arial" w:cs="Arial"/>
          <w:i/>
          <w:iCs/>
          <w:sz w:val="20"/>
          <w:szCs w:val="20"/>
        </w:rPr>
        <w:t>Napier v Treasury Wine Estates Ltd</w:t>
      </w:r>
      <w:r w:rsidR="001A06B5" w:rsidRPr="00891733">
        <w:rPr>
          <w:rFonts w:ascii="Arial" w:hAnsi="Arial" w:cs="Arial"/>
          <w:sz w:val="20"/>
          <w:szCs w:val="20"/>
        </w:rPr>
        <w:t xml:space="preserve"> [2020] VSC 765; </w:t>
      </w:r>
      <w:proofErr w:type="spellStart"/>
      <w:r w:rsidR="006B7966" w:rsidRPr="00891733">
        <w:rPr>
          <w:rFonts w:ascii="Arial" w:hAnsi="Arial" w:cs="Arial"/>
          <w:i/>
          <w:iCs/>
          <w:sz w:val="20"/>
          <w:szCs w:val="20"/>
        </w:rPr>
        <w:t>Madafferi</w:t>
      </w:r>
      <w:proofErr w:type="spellEnd"/>
      <w:r w:rsidR="006B7966" w:rsidRPr="00891733">
        <w:rPr>
          <w:rFonts w:ascii="Arial" w:hAnsi="Arial" w:cs="Arial"/>
          <w:i/>
          <w:iCs/>
          <w:sz w:val="20"/>
          <w:szCs w:val="20"/>
        </w:rPr>
        <w:t xml:space="preserve"> v The Queen</w:t>
      </w:r>
      <w:r w:rsidR="006B7966" w:rsidRPr="00891733">
        <w:rPr>
          <w:rFonts w:ascii="Arial" w:hAnsi="Arial" w:cs="Arial"/>
          <w:sz w:val="20"/>
          <w:szCs w:val="20"/>
        </w:rPr>
        <w:t xml:space="preserve"> [2022] VSCA 189</w:t>
      </w:r>
      <w:r w:rsidR="00C8399C" w:rsidRPr="00891733">
        <w:rPr>
          <w:rFonts w:ascii="Arial" w:hAnsi="Arial" w:cs="Arial"/>
          <w:sz w:val="20"/>
          <w:szCs w:val="20"/>
        </w:rPr>
        <w:t xml:space="preserve">; </w:t>
      </w:r>
      <w:bookmarkStart w:id="514" w:name="_Hlk118894363"/>
      <w:r w:rsidR="00C8399C" w:rsidRPr="00891733">
        <w:rPr>
          <w:rFonts w:ascii="Arial" w:hAnsi="Arial" w:cs="Arial"/>
          <w:i/>
          <w:iCs/>
          <w:sz w:val="20"/>
          <w:szCs w:val="20"/>
        </w:rPr>
        <w:t>Attorney-General v Khan (suppression order)</w:t>
      </w:r>
      <w:r w:rsidR="00C8399C" w:rsidRPr="00891733">
        <w:rPr>
          <w:rFonts w:ascii="Arial" w:hAnsi="Arial" w:cs="Arial"/>
          <w:sz w:val="20"/>
          <w:szCs w:val="20"/>
        </w:rPr>
        <w:t xml:space="preserve"> [2022] VSC 627</w:t>
      </w:r>
      <w:bookmarkEnd w:id="514"/>
      <w:r w:rsidR="008B6E33" w:rsidRPr="00891733">
        <w:rPr>
          <w:rFonts w:ascii="Arial" w:hAnsi="Arial" w:cs="Arial"/>
          <w:sz w:val="20"/>
          <w:szCs w:val="20"/>
        </w:rPr>
        <w:t xml:space="preserve">; </w:t>
      </w:r>
      <w:r w:rsidR="008B6E33" w:rsidRPr="00891733">
        <w:rPr>
          <w:rFonts w:ascii="Arial" w:hAnsi="Arial" w:cs="Arial"/>
          <w:i/>
          <w:iCs/>
          <w:sz w:val="20"/>
          <w:szCs w:val="20"/>
        </w:rPr>
        <w:t>Arico v The King</w:t>
      </w:r>
      <w:r w:rsidR="008B6E33" w:rsidRPr="00891733">
        <w:rPr>
          <w:rFonts w:ascii="Arial" w:hAnsi="Arial" w:cs="Arial"/>
          <w:sz w:val="20"/>
          <w:szCs w:val="20"/>
        </w:rPr>
        <w:t xml:space="preserve"> [2023] VSCA 31</w:t>
      </w:r>
      <w:r w:rsidR="007F440B" w:rsidRPr="00891733">
        <w:rPr>
          <w:rFonts w:ascii="Arial" w:hAnsi="Arial" w:cs="Arial"/>
          <w:sz w:val="20"/>
          <w:szCs w:val="20"/>
        </w:rPr>
        <w:t xml:space="preserve">; </w:t>
      </w:r>
      <w:bookmarkStart w:id="515" w:name="_Hlk141160750"/>
      <w:r w:rsidR="007F440B" w:rsidRPr="00891733">
        <w:rPr>
          <w:rFonts w:ascii="Arial" w:hAnsi="Arial" w:cs="Arial"/>
          <w:i/>
          <w:iCs/>
          <w:sz w:val="20"/>
          <w:szCs w:val="20"/>
        </w:rPr>
        <w:t>Stewart v Good Shepherd Australia New Zealand</w:t>
      </w:r>
      <w:r w:rsidR="007F440B" w:rsidRPr="00891733">
        <w:rPr>
          <w:rFonts w:ascii="Arial" w:hAnsi="Arial" w:cs="Arial"/>
          <w:sz w:val="20"/>
          <w:szCs w:val="20"/>
        </w:rPr>
        <w:t xml:space="preserve"> [2023] VSC 351</w:t>
      </w:r>
      <w:r w:rsidR="00E86FEF" w:rsidRPr="00891733">
        <w:rPr>
          <w:rFonts w:ascii="Arial" w:hAnsi="Arial" w:cs="Arial"/>
          <w:sz w:val="20"/>
          <w:szCs w:val="20"/>
        </w:rPr>
        <w:t xml:space="preserve">; </w:t>
      </w:r>
      <w:r w:rsidR="00E86FEF" w:rsidRPr="00891733">
        <w:rPr>
          <w:rFonts w:ascii="Arial" w:hAnsi="Arial" w:cs="Arial"/>
          <w:i/>
          <w:iCs/>
          <w:color w:val="000000"/>
          <w:sz w:val="20"/>
          <w:szCs w:val="20"/>
        </w:rPr>
        <w:t>Attorney</w:t>
      </w:r>
      <w:r w:rsidR="00E86FEF" w:rsidRPr="00891733">
        <w:rPr>
          <w:rFonts w:ascii="Arial" w:hAnsi="Arial" w:cs="Arial"/>
          <w:i/>
          <w:iCs/>
          <w:color w:val="000000"/>
          <w:sz w:val="20"/>
          <w:szCs w:val="20"/>
        </w:rPr>
        <w:noBreakHyphen/>
        <w:t>General v Hadashah Sa’adat Khan (No 5)</w:t>
      </w:r>
      <w:r w:rsidR="00E86FEF" w:rsidRPr="00891733">
        <w:rPr>
          <w:rFonts w:ascii="Arial" w:hAnsi="Arial" w:cs="Arial"/>
          <w:color w:val="000000"/>
          <w:sz w:val="20"/>
          <w:szCs w:val="20"/>
        </w:rPr>
        <w:t xml:space="preserve"> [2024] VSC 92</w:t>
      </w:r>
      <w:bookmarkEnd w:id="515"/>
      <w:r w:rsidR="001A06B5" w:rsidRPr="00891733">
        <w:rPr>
          <w:rFonts w:ascii="Arial" w:hAnsi="Arial" w:cs="Arial"/>
          <w:color w:val="000000"/>
          <w:sz w:val="20"/>
          <w:szCs w:val="20"/>
        </w:rPr>
        <w:t xml:space="preserve">; </w:t>
      </w:r>
      <w:r w:rsidR="00C464BF" w:rsidRPr="00891733">
        <w:rPr>
          <w:rFonts w:ascii="Arial" w:hAnsi="Arial" w:cs="Arial"/>
          <w:i/>
          <w:iCs/>
          <w:color w:val="000000"/>
          <w:sz w:val="20"/>
          <w:szCs w:val="20"/>
        </w:rPr>
        <w:t>Director of Public Prosecutions v Young (No 3)</w:t>
      </w:r>
      <w:r w:rsidR="00C464BF" w:rsidRPr="00891733">
        <w:rPr>
          <w:rFonts w:ascii="Arial" w:hAnsi="Arial" w:cs="Arial"/>
          <w:color w:val="000000"/>
          <w:sz w:val="20"/>
          <w:szCs w:val="20"/>
        </w:rPr>
        <w:t xml:space="preserve"> [2025] VSC 423; </w:t>
      </w:r>
      <w:r w:rsidR="001A06B5" w:rsidRPr="00891733">
        <w:rPr>
          <w:rFonts w:ascii="Arial" w:hAnsi="Arial" w:cs="Arial"/>
          <w:i/>
          <w:iCs/>
          <w:color w:val="000000"/>
          <w:sz w:val="20"/>
          <w:szCs w:val="20"/>
        </w:rPr>
        <w:t>A1 v B (pseudonyms) (Ruling No 1)</w:t>
      </w:r>
      <w:r w:rsidR="001A06B5" w:rsidRPr="00891733">
        <w:rPr>
          <w:rFonts w:ascii="Arial" w:hAnsi="Arial" w:cs="Arial"/>
          <w:color w:val="000000"/>
          <w:sz w:val="20"/>
          <w:szCs w:val="20"/>
        </w:rPr>
        <w:t xml:space="preserve"> [2025] VSC 435</w:t>
      </w:r>
      <w:r w:rsidR="00A2307E" w:rsidRPr="00891733">
        <w:rPr>
          <w:rFonts w:ascii="Arial" w:hAnsi="Arial" w:cs="Arial"/>
          <w:color w:val="000000"/>
          <w:sz w:val="20"/>
          <w:szCs w:val="20"/>
        </w:rPr>
        <w:t xml:space="preserve">; </w:t>
      </w:r>
      <w:r w:rsidR="00A2307E" w:rsidRPr="00891733">
        <w:rPr>
          <w:rFonts w:ascii="Arial" w:hAnsi="Arial" w:cs="Arial"/>
          <w:i/>
          <w:iCs/>
          <w:sz w:val="20"/>
          <w:szCs w:val="20"/>
        </w:rPr>
        <w:t>Silvagni v County Court of Victoria</w:t>
      </w:r>
      <w:r w:rsidR="00A2307E" w:rsidRPr="00891733">
        <w:rPr>
          <w:rFonts w:ascii="Arial" w:hAnsi="Arial" w:cs="Arial"/>
          <w:sz w:val="20"/>
          <w:szCs w:val="20"/>
        </w:rPr>
        <w:t xml:space="preserve"> [2025] VSC 492 at [82]-[97]</w:t>
      </w:r>
      <w:r w:rsidR="009D2654" w:rsidRPr="00891733">
        <w:rPr>
          <w:rFonts w:ascii="Arial" w:hAnsi="Arial" w:cs="Arial"/>
          <w:sz w:val="20"/>
          <w:szCs w:val="20"/>
        </w:rPr>
        <w:t xml:space="preserve">; </w:t>
      </w:r>
      <w:r w:rsidR="009D2654" w:rsidRPr="00891733">
        <w:rPr>
          <w:rFonts w:ascii="Arial" w:hAnsi="Arial" w:cs="Arial"/>
          <w:i/>
          <w:iCs/>
          <w:sz w:val="20"/>
          <w:szCs w:val="20"/>
        </w:rPr>
        <w:t>R v Lynn (Takedown application)</w:t>
      </w:r>
      <w:r w:rsidR="009D2654" w:rsidRPr="00891733">
        <w:rPr>
          <w:rFonts w:ascii="Arial" w:hAnsi="Arial" w:cs="Arial"/>
          <w:sz w:val="20"/>
          <w:szCs w:val="20"/>
        </w:rPr>
        <w:t xml:space="preserve"> [2026] VSC 148 at [41]-[53]</w:t>
      </w:r>
      <w:r w:rsidR="00891733" w:rsidRPr="00891733">
        <w:rPr>
          <w:rFonts w:ascii="Arial" w:hAnsi="Arial" w:cs="Arial"/>
          <w:sz w:val="20"/>
          <w:szCs w:val="20"/>
        </w:rPr>
        <w:t xml:space="preserve">; </w:t>
      </w:r>
      <w:proofErr w:type="spellStart"/>
      <w:r w:rsidR="00891733" w:rsidRPr="00891733">
        <w:rPr>
          <w:rFonts w:ascii="Arial" w:hAnsi="Arial" w:cs="Arial"/>
          <w:i/>
          <w:iCs/>
          <w:sz w:val="20"/>
          <w:szCs w:val="20"/>
          <w:lang w:val="en-GB"/>
        </w:rPr>
        <w:t>Kuksal</w:t>
      </w:r>
      <w:proofErr w:type="spellEnd"/>
      <w:r w:rsidR="00891733" w:rsidRPr="00891733">
        <w:rPr>
          <w:rFonts w:ascii="Arial" w:hAnsi="Arial" w:cs="Arial"/>
          <w:i/>
          <w:iCs/>
          <w:sz w:val="20"/>
          <w:szCs w:val="20"/>
          <w:lang w:val="en-GB"/>
        </w:rPr>
        <w:t xml:space="preserve"> v State of Victoria &amp; Ors (Suppression Application)</w:t>
      </w:r>
      <w:r w:rsidR="00891733" w:rsidRPr="00891733">
        <w:rPr>
          <w:rFonts w:ascii="Arial" w:hAnsi="Arial" w:cs="Arial"/>
          <w:sz w:val="20"/>
          <w:szCs w:val="20"/>
          <w:lang w:val="en-GB"/>
        </w:rPr>
        <w:t xml:space="preserve"> [2026] VSC</w:t>
      </w:r>
      <w:r w:rsidR="00891733" w:rsidRPr="00891733">
        <w:rPr>
          <w:rFonts w:ascii="Arial" w:hAnsi="Arial" w:cs="Arial"/>
          <w:sz w:val="20"/>
          <w:szCs w:val="20"/>
        </w:rPr>
        <w:t xml:space="preserve"> 194</w:t>
      </w:r>
      <w:r w:rsidR="00891733" w:rsidRPr="00891733">
        <w:rPr>
          <w:rFonts w:ascii="Arial" w:hAnsi="Arial" w:cs="Arial"/>
          <w:sz w:val="20"/>
          <w:szCs w:val="20"/>
          <w:lang w:val="en-GB"/>
        </w:rPr>
        <w:t>.</w:t>
      </w:r>
    </w:p>
    <w:p w14:paraId="4B97977D" w14:textId="168D5BB1" w:rsidR="00A2307E" w:rsidRDefault="00A2307E" w:rsidP="00CE7BD0">
      <w:pPr>
        <w:jc w:val="both"/>
        <w:rPr>
          <w:rFonts w:ascii="Arial" w:hAnsi="Arial" w:cs="Arial"/>
          <w:sz w:val="20"/>
        </w:rPr>
      </w:pPr>
    </w:p>
    <w:bookmarkEnd w:id="513"/>
    <w:p w14:paraId="7CF74091" w14:textId="150B806F" w:rsidR="0083512F" w:rsidRDefault="0083512F" w:rsidP="001E79F7">
      <w:pPr>
        <w:jc w:val="both"/>
        <w:rPr>
          <w:rFonts w:ascii="Arial" w:hAnsi="Arial" w:cs="Arial"/>
          <w:sz w:val="20"/>
        </w:rPr>
      </w:pPr>
      <w:r>
        <w:rPr>
          <w:rFonts w:ascii="Arial" w:hAnsi="Arial" w:cs="Arial"/>
          <w:sz w:val="20"/>
        </w:rPr>
        <w:t xml:space="preserve">Section 19 of the OCA allows a </w:t>
      </w:r>
      <w:r w:rsidR="00FE3D21">
        <w:rPr>
          <w:rFonts w:ascii="Arial" w:hAnsi="Arial" w:cs="Arial"/>
          <w:sz w:val="20"/>
        </w:rPr>
        <w:t>“</w:t>
      </w:r>
      <w:r>
        <w:rPr>
          <w:rFonts w:ascii="Arial" w:hAnsi="Arial" w:cs="Arial"/>
          <w:sz w:val="20"/>
        </w:rPr>
        <w:t>court</w:t>
      </w:r>
      <w:r w:rsidR="00FE3D21">
        <w:rPr>
          <w:rFonts w:ascii="Arial" w:hAnsi="Arial" w:cs="Arial"/>
          <w:sz w:val="20"/>
        </w:rPr>
        <w:t>”</w:t>
      </w:r>
      <w:r>
        <w:rPr>
          <w:rFonts w:ascii="Arial" w:hAnsi="Arial" w:cs="Arial"/>
          <w:sz w:val="20"/>
        </w:rPr>
        <w:t xml:space="preserve"> to make a </w:t>
      </w:r>
      <w:r w:rsidR="00FE3D21">
        <w:rPr>
          <w:rFonts w:ascii="Arial" w:hAnsi="Arial" w:cs="Arial"/>
          <w:sz w:val="20"/>
        </w:rPr>
        <w:t>“</w:t>
      </w:r>
      <w:r>
        <w:rPr>
          <w:rFonts w:ascii="Arial" w:hAnsi="Arial" w:cs="Arial"/>
          <w:sz w:val="20"/>
        </w:rPr>
        <w:t>proceeding suppression order</w:t>
      </w:r>
      <w:r w:rsidR="00FE3D21">
        <w:rPr>
          <w:rFonts w:ascii="Arial" w:hAnsi="Arial" w:cs="Arial"/>
          <w:sz w:val="20"/>
        </w:rPr>
        <w:t>”</w:t>
      </w:r>
      <w:r w:rsidR="00741721">
        <w:rPr>
          <w:rFonts w:ascii="Arial" w:hAnsi="Arial" w:cs="Arial"/>
          <w:sz w:val="20"/>
        </w:rPr>
        <w:t>–</w:t>
      </w:r>
    </w:p>
    <w:p w14:paraId="3474F2A3" w14:textId="77777777" w:rsidR="0083512F" w:rsidRDefault="0083512F" w:rsidP="0083512F">
      <w:pPr>
        <w:numPr>
          <w:ilvl w:val="0"/>
          <w:numId w:val="1"/>
        </w:numPr>
        <w:tabs>
          <w:tab w:val="num" w:pos="723"/>
        </w:tabs>
        <w:jc w:val="both"/>
        <w:rPr>
          <w:rFonts w:ascii="Arial" w:hAnsi="Arial" w:cs="Arial"/>
          <w:sz w:val="20"/>
        </w:rPr>
      </w:pPr>
      <w:r>
        <w:rPr>
          <w:rFonts w:ascii="Arial" w:hAnsi="Arial" w:cs="Arial"/>
          <w:sz w:val="20"/>
        </w:rPr>
        <w:t>on its own motion; or</w:t>
      </w:r>
    </w:p>
    <w:p w14:paraId="058D29B7" w14:textId="77777777" w:rsidR="0083512F" w:rsidRDefault="0083512F" w:rsidP="0083512F">
      <w:pPr>
        <w:numPr>
          <w:ilvl w:val="0"/>
          <w:numId w:val="1"/>
        </w:numPr>
        <w:tabs>
          <w:tab w:val="num" w:pos="723"/>
        </w:tabs>
        <w:jc w:val="both"/>
        <w:rPr>
          <w:rFonts w:ascii="Arial" w:hAnsi="Arial" w:cs="Arial"/>
          <w:sz w:val="20"/>
        </w:rPr>
      </w:pPr>
      <w:r>
        <w:rPr>
          <w:rFonts w:ascii="Arial" w:hAnsi="Arial" w:cs="Arial"/>
          <w:sz w:val="20"/>
        </w:rPr>
        <w:t>on application of a party to the proceeding; or</w:t>
      </w:r>
    </w:p>
    <w:p w14:paraId="1386046F" w14:textId="77777777" w:rsidR="0083512F" w:rsidRDefault="0083512F" w:rsidP="0083512F">
      <w:pPr>
        <w:numPr>
          <w:ilvl w:val="0"/>
          <w:numId w:val="1"/>
        </w:numPr>
        <w:tabs>
          <w:tab w:val="num" w:pos="723"/>
        </w:tabs>
        <w:jc w:val="both"/>
        <w:rPr>
          <w:rFonts w:ascii="Arial" w:hAnsi="Arial" w:cs="Arial"/>
          <w:sz w:val="20"/>
        </w:rPr>
      </w:pPr>
      <w:r>
        <w:rPr>
          <w:rFonts w:ascii="Arial" w:hAnsi="Arial" w:cs="Arial"/>
          <w:sz w:val="20"/>
        </w:rPr>
        <w:t>on application by any other person considered by the court to have a sufficient interest in the making of the order.</w:t>
      </w:r>
    </w:p>
    <w:p w14:paraId="5F770A22" w14:textId="77777777" w:rsidR="00AE75DD" w:rsidRDefault="00AE75DD" w:rsidP="001E79F7">
      <w:pPr>
        <w:jc w:val="both"/>
        <w:rPr>
          <w:rFonts w:ascii="Arial" w:hAnsi="Arial" w:cs="Arial"/>
          <w:sz w:val="20"/>
        </w:rPr>
      </w:pPr>
    </w:p>
    <w:p w14:paraId="74CCA379" w14:textId="25338FE2" w:rsidR="00E96234" w:rsidRDefault="00E96234" w:rsidP="00E96234">
      <w:pPr>
        <w:jc w:val="both"/>
        <w:rPr>
          <w:rFonts w:ascii="Arial" w:hAnsi="Arial" w:cs="Arial"/>
          <w:sz w:val="20"/>
        </w:rPr>
      </w:pPr>
      <w:r>
        <w:rPr>
          <w:rFonts w:ascii="Arial" w:hAnsi="Arial" w:cs="Arial"/>
          <w:sz w:val="20"/>
        </w:rPr>
        <w:t xml:space="preserve">In </w:t>
      </w:r>
      <w:r w:rsidRPr="00255605">
        <w:rPr>
          <w:rFonts w:ascii="Arial" w:hAnsi="Arial" w:cs="Arial"/>
          <w:i/>
          <w:sz w:val="20"/>
        </w:rPr>
        <w:t>Re Williams (a pseudonym) (No 2)</w:t>
      </w:r>
      <w:r>
        <w:rPr>
          <w:rFonts w:ascii="Arial" w:hAnsi="Arial" w:cs="Arial"/>
          <w:sz w:val="20"/>
        </w:rPr>
        <w:t xml:space="preserve"> [2016] VSC 364, in the course of hearing a bail application by an adult facing serious criminal charges Maxwell ACJ on his own motion concluded that a </w:t>
      </w:r>
      <w:r w:rsidR="003D128A">
        <w:rPr>
          <w:rFonts w:ascii="Arial" w:hAnsi="Arial" w:cs="Arial"/>
          <w:sz w:val="20"/>
        </w:rPr>
        <w:t>“</w:t>
      </w:r>
      <w:r>
        <w:rPr>
          <w:rFonts w:ascii="Arial" w:hAnsi="Arial" w:cs="Arial"/>
          <w:sz w:val="20"/>
        </w:rPr>
        <w:t>proceeding suppression order</w:t>
      </w:r>
      <w:r w:rsidR="003D128A">
        <w:rPr>
          <w:rFonts w:ascii="Arial" w:hAnsi="Arial" w:cs="Arial"/>
          <w:sz w:val="20"/>
        </w:rPr>
        <w:t>”</w:t>
      </w:r>
      <w:r>
        <w:rPr>
          <w:rFonts w:ascii="Arial" w:hAnsi="Arial" w:cs="Arial"/>
          <w:sz w:val="20"/>
        </w:rPr>
        <w:t xml:space="preserve"> should be made under s.19(1)(a) of the OCA in order “to prevent a real and substantial risk of prejudice to the proper administration of justice [which] cannot be prevented by other reasonably available mean</w:t>
      </w:r>
      <w:r w:rsidR="003D128A">
        <w:rPr>
          <w:rFonts w:ascii="Arial" w:hAnsi="Arial" w:cs="Arial"/>
          <w:sz w:val="20"/>
        </w:rPr>
        <w:t xml:space="preserve">s”: s.18(1)(a). Exercising a </w:t>
      </w:r>
      <w:r>
        <w:rPr>
          <w:rFonts w:ascii="Arial" w:hAnsi="Arial" w:cs="Arial"/>
          <w:sz w:val="20"/>
        </w:rPr>
        <w:t>right under s.19(2)(e) to appear and be heard on the hearing of the subsequent application by the DPP for a suppression order, counsel for The Herald and Weekly Times Pty Ltd ingenuously advised the Court that his client “only had an interest in opposing the [suppression] application in the event that bail was to be granted”.  At [14] &amp; [16] Maxwell</w:t>
      </w:r>
      <w:r w:rsidR="00FF0568">
        <w:rPr>
          <w:rFonts w:ascii="Arial" w:hAnsi="Arial" w:cs="Arial"/>
          <w:sz w:val="20"/>
        </w:rPr>
        <w:t xml:space="preserve"> </w:t>
      </w:r>
      <w:r>
        <w:rPr>
          <w:rFonts w:ascii="Arial" w:hAnsi="Arial" w:cs="Arial"/>
          <w:sz w:val="20"/>
        </w:rPr>
        <w:t>ACJ was strongly critical of this one-sided approach to reporting:</w:t>
      </w:r>
    </w:p>
    <w:p w14:paraId="69A85317" w14:textId="77777777" w:rsidR="00E96234" w:rsidRDefault="00E96234" w:rsidP="00E96234">
      <w:pPr>
        <w:tabs>
          <w:tab w:val="left" w:pos="567"/>
        </w:tabs>
        <w:spacing w:before="60"/>
        <w:ind w:left="567" w:right="567"/>
        <w:jc w:val="both"/>
        <w:rPr>
          <w:rFonts w:ascii="Arial" w:hAnsi="Arial" w:cs="Arial"/>
          <w:sz w:val="20"/>
        </w:rPr>
      </w:pPr>
      <w:r>
        <w:rPr>
          <w:rFonts w:ascii="Arial" w:hAnsi="Arial" w:cs="Arial"/>
          <w:sz w:val="20"/>
        </w:rPr>
        <w:t>“If it is important for the community to know that bail has been granted in a case where there are concerns about interference with witnesses, it must be equally important for the community to know that bail has been refused precisely because of those concerns...</w:t>
      </w:r>
    </w:p>
    <w:p w14:paraId="79887630" w14:textId="77777777" w:rsidR="00E96234" w:rsidRDefault="00E96234" w:rsidP="00E96234">
      <w:pPr>
        <w:tabs>
          <w:tab w:val="left" w:pos="567"/>
        </w:tabs>
        <w:spacing w:before="60"/>
        <w:ind w:left="567" w:right="567"/>
        <w:jc w:val="both"/>
        <w:rPr>
          <w:rFonts w:ascii="Arial" w:hAnsi="Arial" w:cs="Arial"/>
          <w:sz w:val="20"/>
        </w:rPr>
      </w:pPr>
      <w:r>
        <w:rPr>
          <w:rFonts w:ascii="Arial" w:hAnsi="Arial" w:cs="Arial"/>
          <w:sz w:val="20"/>
        </w:rPr>
        <w:t xml:space="preserve">The public interest would be much better served, in my view, if the community was made aware of the full range of bail decisions which are made including, in particular, decisions to refuse bail and decisions to grant bail subject to onerous conditions.  Promoting that </w:t>
      </w:r>
      <w:r>
        <w:rPr>
          <w:rFonts w:ascii="Arial" w:hAnsi="Arial" w:cs="Arial"/>
          <w:sz w:val="20"/>
        </w:rPr>
        <w:lastRenderedPageBreak/>
        <w:t xml:space="preserve">awareness is a shared responsibility of the Court and the media: </w:t>
      </w:r>
      <w:r w:rsidRPr="00755FF0">
        <w:rPr>
          <w:rFonts w:ascii="Arial" w:hAnsi="Arial" w:cs="Arial"/>
          <w:i/>
          <w:sz w:val="20"/>
        </w:rPr>
        <w:t xml:space="preserve">WCB v The Queen </w:t>
      </w:r>
      <w:r>
        <w:rPr>
          <w:rFonts w:ascii="Arial" w:hAnsi="Arial" w:cs="Arial"/>
          <w:sz w:val="20"/>
        </w:rPr>
        <w:t>(2010) 29 VR 483, 492 [27].  Properly informed in that way, the community would be entitled to have a high degree of confidence in the careful and conscientious decision-making undertaken on their behalf.”</w:t>
      </w:r>
    </w:p>
    <w:p w14:paraId="2C7CD569" w14:textId="77777777" w:rsidR="008A796C" w:rsidRDefault="008A796C" w:rsidP="001E79F7">
      <w:pPr>
        <w:jc w:val="both"/>
        <w:rPr>
          <w:rFonts w:ascii="Arial" w:hAnsi="Arial" w:cs="Arial"/>
          <w:sz w:val="20"/>
        </w:rPr>
      </w:pPr>
    </w:p>
    <w:p w14:paraId="1FA9997B" w14:textId="7101FC5D" w:rsidR="00955865" w:rsidRDefault="0083512F" w:rsidP="00886658">
      <w:pPr>
        <w:jc w:val="both"/>
        <w:rPr>
          <w:rFonts w:ascii="Arial" w:hAnsi="Arial" w:cs="Arial"/>
          <w:sz w:val="20"/>
        </w:rPr>
      </w:pPr>
      <w:r>
        <w:rPr>
          <w:rFonts w:ascii="Arial" w:hAnsi="Arial" w:cs="Arial"/>
          <w:sz w:val="20"/>
        </w:rPr>
        <w:t>Section 20 of the OC</w:t>
      </w:r>
      <w:r w:rsidR="00FE3D21">
        <w:rPr>
          <w:rFonts w:ascii="Arial" w:hAnsi="Arial" w:cs="Arial"/>
          <w:sz w:val="20"/>
        </w:rPr>
        <w:t>A</w:t>
      </w:r>
      <w:r>
        <w:rPr>
          <w:rFonts w:ascii="Arial" w:hAnsi="Arial" w:cs="Arial"/>
          <w:sz w:val="20"/>
        </w:rPr>
        <w:t xml:space="preserve"> empowers a </w:t>
      </w:r>
      <w:r w:rsidR="00FE3D21">
        <w:rPr>
          <w:rFonts w:ascii="Arial" w:hAnsi="Arial" w:cs="Arial"/>
          <w:sz w:val="20"/>
        </w:rPr>
        <w:t>“</w:t>
      </w:r>
      <w:r>
        <w:rPr>
          <w:rFonts w:ascii="Arial" w:hAnsi="Arial" w:cs="Arial"/>
          <w:sz w:val="20"/>
        </w:rPr>
        <w:t>court</w:t>
      </w:r>
      <w:r w:rsidR="00FE3D21">
        <w:rPr>
          <w:rFonts w:ascii="Arial" w:hAnsi="Arial" w:cs="Arial"/>
          <w:sz w:val="20"/>
        </w:rPr>
        <w:t>”</w:t>
      </w:r>
      <w:r>
        <w:rPr>
          <w:rFonts w:ascii="Arial" w:hAnsi="Arial" w:cs="Arial"/>
          <w:sz w:val="20"/>
        </w:rPr>
        <w:t xml:space="preserve"> to make </w:t>
      </w:r>
      <w:r w:rsidR="00026D60">
        <w:rPr>
          <w:rFonts w:ascii="Arial" w:hAnsi="Arial" w:cs="Arial"/>
          <w:sz w:val="20"/>
        </w:rPr>
        <w:t xml:space="preserve">an </w:t>
      </w:r>
      <w:r>
        <w:rPr>
          <w:rFonts w:ascii="Arial" w:hAnsi="Arial" w:cs="Arial"/>
          <w:sz w:val="20"/>
        </w:rPr>
        <w:t>interim order in any application for a “proceeding suppression order”.</w:t>
      </w:r>
    </w:p>
    <w:p w14:paraId="68DD7510" w14:textId="77777777" w:rsidR="00126586" w:rsidRDefault="00126586" w:rsidP="00126586">
      <w:pPr>
        <w:jc w:val="both"/>
        <w:rPr>
          <w:rFonts w:ascii="Arial" w:hAnsi="Arial" w:cs="Arial"/>
          <w:sz w:val="20"/>
        </w:rPr>
      </w:pPr>
    </w:p>
    <w:p w14:paraId="548DF373" w14:textId="14FEABCA" w:rsidR="00567754" w:rsidRPr="00567754" w:rsidRDefault="00567754" w:rsidP="00567754">
      <w:pPr>
        <w:jc w:val="both"/>
        <w:rPr>
          <w:rFonts w:ascii="Arial" w:hAnsi="Arial" w:cs="Arial"/>
          <w:sz w:val="20"/>
          <w:szCs w:val="20"/>
          <w:lang w:eastAsia="en-AU"/>
        </w:rPr>
      </w:pPr>
      <w:r>
        <w:rPr>
          <w:rFonts w:ascii="Arial" w:hAnsi="Arial" w:cs="Arial"/>
          <w:sz w:val="20"/>
        </w:rPr>
        <w:t xml:space="preserve">Section </w:t>
      </w:r>
      <w:r w:rsidRPr="00567754">
        <w:rPr>
          <w:rFonts w:ascii="Arial" w:hAnsi="Arial" w:cs="Arial"/>
          <w:sz w:val="20"/>
          <w:szCs w:val="20"/>
          <w:lang w:eastAsia="en-AU"/>
        </w:rPr>
        <w:t>2</w:t>
      </w:r>
      <w:r>
        <w:rPr>
          <w:rFonts w:ascii="Arial" w:hAnsi="Arial" w:cs="Arial"/>
          <w:sz w:val="20"/>
          <w:szCs w:val="20"/>
          <w:lang w:eastAsia="en-AU"/>
        </w:rPr>
        <w:t>1</w:t>
      </w:r>
      <w:r w:rsidRPr="00567754">
        <w:rPr>
          <w:rFonts w:ascii="Arial" w:hAnsi="Arial" w:cs="Arial"/>
          <w:sz w:val="20"/>
          <w:szCs w:val="20"/>
          <w:lang w:eastAsia="en-AU"/>
        </w:rPr>
        <w:t>(</w:t>
      </w:r>
      <w:r>
        <w:rPr>
          <w:rFonts w:ascii="Arial" w:hAnsi="Arial" w:cs="Arial"/>
          <w:sz w:val="20"/>
          <w:szCs w:val="20"/>
          <w:lang w:eastAsia="en-AU"/>
        </w:rPr>
        <w:t>1</w:t>
      </w:r>
      <w:r w:rsidRPr="00567754">
        <w:rPr>
          <w:rFonts w:ascii="Arial" w:hAnsi="Arial" w:cs="Arial"/>
          <w:sz w:val="20"/>
          <w:szCs w:val="20"/>
          <w:lang w:eastAsia="en-AU"/>
        </w:rPr>
        <w:t>) provides that a</w:t>
      </w:r>
      <w:r>
        <w:rPr>
          <w:rFonts w:ascii="Arial" w:hAnsi="Arial" w:cs="Arial"/>
          <w:sz w:val="20"/>
          <w:szCs w:val="20"/>
          <w:lang w:eastAsia="en-AU"/>
        </w:rPr>
        <w:t xml:space="preserve"> proceeding suppression order or an interim order applies only to the publication </w:t>
      </w:r>
      <w:r w:rsidR="006607C6">
        <w:rPr>
          <w:rFonts w:ascii="Arial" w:hAnsi="Arial" w:cs="Arial"/>
          <w:sz w:val="20"/>
          <w:szCs w:val="20"/>
          <w:lang w:eastAsia="en-AU"/>
        </w:rPr>
        <w:t xml:space="preserve">or disclosure </w:t>
      </w:r>
      <w:r>
        <w:rPr>
          <w:rFonts w:ascii="Arial" w:hAnsi="Arial" w:cs="Arial"/>
          <w:sz w:val="20"/>
          <w:szCs w:val="20"/>
          <w:lang w:eastAsia="en-AU"/>
        </w:rPr>
        <w:t xml:space="preserve">of </w:t>
      </w:r>
      <w:r w:rsidR="006607C6">
        <w:rPr>
          <w:rFonts w:ascii="Arial" w:hAnsi="Arial" w:cs="Arial"/>
          <w:sz w:val="20"/>
          <w:szCs w:val="20"/>
          <w:lang w:eastAsia="en-AU"/>
        </w:rPr>
        <w:t>information</w:t>
      </w:r>
      <w:r>
        <w:rPr>
          <w:rFonts w:ascii="Arial" w:hAnsi="Arial" w:cs="Arial"/>
          <w:sz w:val="20"/>
          <w:szCs w:val="20"/>
          <w:lang w:eastAsia="en-AU"/>
        </w:rPr>
        <w:t xml:space="preserve"> in a place specified in the order. Under ss.2</w:t>
      </w:r>
      <w:r w:rsidR="006607C6">
        <w:rPr>
          <w:rFonts w:ascii="Arial" w:hAnsi="Arial" w:cs="Arial"/>
          <w:sz w:val="20"/>
          <w:szCs w:val="20"/>
          <w:lang w:eastAsia="en-AU"/>
        </w:rPr>
        <w:t>1</w:t>
      </w:r>
      <w:r>
        <w:rPr>
          <w:rFonts w:ascii="Arial" w:hAnsi="Arial" w:cs="Arial"/>
          <w:sz w:val="20"/>
          <w:szCs w:val="20"/>
          <w:lang w:eastAsia="en-AU"/>
        </w:rPr>
        <w:t>(</w:t>
      </w:r>
      <w:r w:rsidR="006607C6">
        <w:rPr>
          <w:rFonts w:ascii="Arial" w:hAnsi="Arial" w:cs="Arial"/>
          <w:sz w:val="20"/>
          <w:szCs w:val="20"/>
          <w:lang w:eastAsia="en-AU"/>
        </w:rPr>
        <w:t>2</w:t>
      </w:r>
      <w:r>
        <w:rPr>
          <w:rFonts w:ascii="Arial" w:hAnsi="Arial" w:cs="Arial"/>
          <w:sz w:val="20"/>
          <w:szCs w:val="20"/>
          <w:lang w:eastAsia="en-AU"/>
        </w:rPr>
        <w:t>) &amp; 2</w:t>
      </w:r>
      <w:r w:rsidR="006607C6">
        <w:rPr>
          <w:rFonts w:ascii="Arial" w:hAnsi="Arial" w:cs="Arial"/>
          <w:sz w:val="20"/>
          <w:szCs w:val="20"/>
          <w:lang w:eastAsia="en-AU"/>
        </w:rPr>
        <w:t>1</w:t>
      </w:r>
      <w:r>
        <w:rPr>
          <w:rFonts w:ascii="Arial" w:hAnsi="Arial" w:cs="Arial"/>
          <w:sz w:val="20"/>
          <w:szCs w:val="20"/>
          <w:lang w:eastAsia="en-AU"/>
        </w:rPr>
        <w:t>(</w:t>
      </w:r>
      <w:r w:rsidR="006607C6">
        <w:rPr>
          <w:rFonts w:ascii="Arial" w:hAnsi="Arial" w:cs="Arial"/>
          <w:sz w:val="20"/>
          <w:szCs w:val="20"/>
          <w:lang w:eastAsia="en-AU"/>
        </w:rPr>
        <w:t>3</w:t>
      </w:r>
      <w:r>
        <w:rPr>
          <w:rFonts w:ascii="Arial" w:hAnsi="Arial" w:cs="Arial"/>
          <w:sz w:val="20"/>
          <w:szCs w:val="20"/>
          <w:lang w:eastAsia="en-AU"/>
        </w:rPr>
        <w:t>) a</w:t>
      </w:r>
      <w:r w:rsidR="006607C6">
        <w:rPr>
          <w:rFonts w:ascii="Arial" w:hAnsi="Arial" w:cs="Arial"/>
          <w:sz w:val="20"/>
          <w:szCs w:val="20"/>
          <w:lang w:eastAsia="en-AU"/>
        </w:rPr>
        <w:t xml:space="preserve"> proceeding suppression order or an interim order</w:t>
      </w:r>
      <w:r>
        <w:rPr>
          <w:rFonts w:ascii="Arial" w:hAnsi="Arial" w:cs="Arial"/>
          <w:sz w:val="20"/>
          <w:szCs w:val="20"/>
          <w:lang w:eastAsia="en-AU"/>
        </w:rPr>
        <w:t xml:space="preserve"> may be made to apply anywhere in Australia but must not be made to apply outside Victoria unless the </w:t>
      </w:r>
      <w:r w:rsidR="006607C6">
        <w:rPr>
          <w:rFonts w:ascii="Arial" w:hAnsi="Arial" w:cs="Arial"/>
          <w:sz w:val="20"/>
          <w:szCs w:val="20"/>
          <w:lang w:eastAsia="en-AU"/>
        </w:rPr>
        <w:t>court or tribunal</w:t>
      </w:r>
      <w:r>
        <w:rPr>
          <w:rFonts w:ascii="Arial" w:hAnsi="Arial" w:cs="Arial"/>
          <w:sz w:val="20"/>
          <w:szCs w:val="20"/>
          <w:lang w:eastAsia="en-AU"/>
        </w:rPr>
        <w:t xml:space="preserve"> is satisfied that having the order apply outside Victoria is necessary for achieving the purpose for which the order was made.</w:t>
      </w:r>
    </w:p>
    <w:p w14:paraId="64C16934" w14:textId="77777777" w:rsidR="00567754" w:rsidRDefault="00567754" w:rsidP="00567754">
      <w:pPr>
        <w:jc w:val="both"/>
        <w:rPr>
          <w:rFonts w:ascii="Arial" w:hAnsi="Arial" w:cs="Arial"/>
          <w:color w:val="000000"/>
          <w:sz w:val="20"/>
        </w:rPr>
      </w:pPr>
    </w:p>
    <w:p w14:paraId="12E0D410" w14:textId="77777777" w:rsidR="00126586" w:rsidRPr="000E6664" w:rsidRDefault="00126586" w:rsidP="00126586">
      <w:pPr>
        <w:jc w:val="both"/>
        <w:rPr>
          <w:rFonts w:ascii="Arial" w:hAnsi="Arial" w:cs="Arial"/>
          <w:color w:val="000000"/>
          <w:sz w:val="20"/>
        </w:rPr>
      </w:pPr>
      <w:r>
        <w:rPr>
          <w:rFonts w:ascii="Arial" w:hAnsi="Arial" w:cs="Arial"/>
          <w:sz w:val="20"/>
        </w:rPr>
        <w:t xml:space="preserve">For a discussion of some relevant authorities and relevant considerations for the exercise of a judicial discretion to order suppression pursuant to s.17 of the OCA [formerly s.126 of the </w:t>
      </w:r>
      <w:r w:rsidRPr="00AE0485">
        <w:rPr>
          <w:rFonts w:ascii="Arial" w:hAnsi="Arial" w:cs="Arial"/>
          <w:i/>
          <w:iCs/>
          <w:sz w:val="20"/>
        </w:rPr>
        <w:t>Magistrates’ Court Act 1989</w:t>
      </w:r>
      <w:r>
        <w:rPr>
          <w:rFonts w:ascii="Arial" w:hAnsi="Arial" w:cs="Arial"/>
          <w:sz w:val="20"/>
        </w:rPr>
        <w:t xml:space="preserve">], see the judgment of Williams J in </w:t>
      </w:r>
      <w:r>
        <w:rPr>
          <w:rFonts w:ascii="Arial" w:hAnsi="Arial" w:cs="Arial"/>
          <w:i/>
          <w:iCs/>
          <w:sz w:val="20"/>
        </w:rPr>
        <w:t>The Age Company Ltd v Dupas</w:t>
      </w:r>
      <w:r>
        <w:rPr>
          <w:rFonts w:ascii="Arial" w:hAnsi="Arial" w:cs="Arial"/>
          <w:sz w:val="20"/>
        </w:rPr>
        <w:t xml:space="preserve"> [2003] VSC 312 at [10], [21], [28]-[33] &amp; [34]-[40], the judgment of Hansen J in </w:t>
      </w:r>
      <w:r>
        <w:rPr>
          <w:rFonts w:ascii="Arial" w:hAnsi="Arial" w:cs="Arial"/>
          <w:i/>
          <w:iCs/>
          <w:sz w:val="20"/>
        </w:rPr>
        <w:t>AB v The Magistrates' Court of Victoria</w:t>
      </w:r>
      <w:r>
        <w:rPr>
          <w:rFonts w:ascii="Arial" w:hAnsi="Arial" w:cs="Arial"/>
          <w:sz w:val="20"/>
        </w:rPr>
        <w:t xml:space="preserve"> [2003] VSC 378 at [22] &amp; [30]-[37], the judgment of Kaye J in </w:t>
      </w:r>
      <w:r>
        <w:rPr>
          <w:rFonts w:ascii="Arial" w:hAnsi="Arial" w:cs="Arial"/>
          <w:i/>
          <w:iCs/>
          <w:sz w:val="20"/>
        </w:rPr>
        <w:t>The Age Co Ltd &amp; Ors v The Magistrates' Court of Victoria &amp; Ors</w:t>
      </w:r>
      <w:r>
        <w:rPr>
          <w:rFonts w:ascii="Arial" w:hAnsi="Arial" w:cs="Arial"/>
          <w:sz w:val="20"/>
        </w:rPr>
        <w:t xml:space="preserve"> [2004] VSC 10 at [12]-[13] &amp; [19]-[20]; the judgment of Kaye J in </w:t>
      </w:r>
      <w:r w:rsidRPr="003963D6">
        <w:rPr>
          <w:rFonts w:ascii="Arial" w:hAnsi="Arial" w:cs="Arial"/>
          <w:i/>
          <w:sz w:val="20"/>
        </w:rPr>
        <w:t>DPP (</w:t>
      </w:r>
      <w:proofErr w:type="spellStart"/>
      <w:r w:rsidRPr="003963D6">
        <w:rPr>
          <w:rFonts w:ascii="Arial" w:hAnsi="Arial" w:cs="Arial"/>
          <w:i/>
          <w:sz w:val="20"/>
        </w:rPr>
        <w:t>Cth</w:t>
      </w:r>
      <w:proofErr w:type="spellEnd"/>
      <w:r w:rsidRPr="003963D6">
        <w:rPr>
          <w:rFonts w:ascii="Arial" w:hAnsi="Arial" w:cs="Arial"/>
          <w:i/>
          <w:sz w:val="20"/>
        </w:rPr>
        <w:t xml:space="preserve">) v </w:t>
      </w:r>
      <w:proofErr w:type="spellStart"/>
      <w:r w:rsidRPr="003963D6">
        <w:rPr>
          <w:rFonts w:ascii="Arial" w:hAnsi="Arial" w:cs="Arial"/>
          <w:i/>
          <w:sz w:val="20"/>
        </w:rPr>
        <w:t>Corcoris</w:t>
      </w:r>
      <w:proofErr w:type="spellEnd"/>
      <w:r w:rsidRPr="003963D6">
        <w:rPr>
          <w:rFonts w:ascii="Arial" w:hAnsi="Arial" w:cs="Arial"/>
          <w:i/>
          <w:sz w:val="20"/>
        </w:rPr>
        <w:t xml:space="preserve"> and The Age (No.2)</w:t>
      </w:r>
      <w:r>
        <w:rPr>
          <w:rFonts w:ascii="Arial" w:hAnsi="Arial" w:cs="Arial"/>
          <w:sz w:val="20"/>
        </w:rPr>
        <w:t xml:space="preserve"> [2005] VSC 142 and the judgment of Whelan J in </w:t>
      </w:r>
      <w:r>
        <w:rPr>
          <w:rFonts w:ascii="Arial" w:hAnsi="Arial" w:cs="Arial"/>
          <w:i/>
          <w:iCs/>
          <w:sz w:val="20"/>
        </w:rPr>
        <w:t>Herald &amp; Weekly Times Ltd v Magistrates' Court of Victoria</w:t>
      </w:r>
      <w:r>
        <w:rPr>
          <w:rFonts w:ascii="Arial" w:hAnsi="Arial" w:cs="Arial"/>
          <w:sz w:val="20"/>
        </w:rPr>
        <w:t xml:space="preserve"> [2004] VSC 194 at [10]-[18] &amp; [22].  See also </w:t>
      </w:r>
      <w:r>
        <w:rPr>
          <w:rFonts w:ascii="Arial" w:hAnsi="Arial" w:cs="Arial"/>
          <w:i/>
          <w:iCs/>
          <w:sz w:val="20"/>
        </w:rPr>
        <w:t xml:space="preserve">Herald &amp; Weekly Times Ltd &amp; Others v </w:t>
      </w:r>
      <w:r w:rsidRPr="000E6664">
        <w:rPr>
          <w:rFonts w:ascii="Arial" w:hAnsi="Arial" w:cs="Arial"/>
          <w:i/>
          <w:iCs/>
          <w:color w:val="000000"/>
          <w:sz w:val="20"/>
        </w:rPr>
        <w:t>Magistrates' Court of Victo</w:t>
      </w:r>
      <w:r w:rsidRPr="000E6664">
        <w:rPr>
          <w:rFonts w:ascii="Arial" w:hAnsi="Arial" w:cs="Arial"/>
          <w:i/>
          <w:iCs/>
          <w:color w:val="000000"/>
          <w:sz w:val="20"/>
          <w:szCs w:val="20"/>
        </w:rPr>
        <w:t>ria</w:t>
      </w:r>
      <w:r w:rsidRPr="000E6664">
        <w:rPr>
          <w:rFonts w:ascii="Arial" w:hAnsi="Arial" w:cs="Arial"/>
          <w:color w:val="000000"/>
          <w:sz w:val="20"/>
          <w:szCs w:val="20"/>
        </w:rPr>
        <w:t xml:space="preserve"> [1999] 2 VR 672; </w:t>
      </w:r>
      <w:r w:rsidRPr="000E6664">
        <w:rPr>
          <w:rFonts w:ascii="Arial" w:hAnsi="Arial" w:cs="Arial"/>
          <w:i/>
          <w:color w:val="000000"/>
          <w:sz w:val="20"/>
          <w:szCs w:val="20"/>
        </w:rPr>
        <w:t>Commonwealth DPP v Magistrates' Court of Victoria</w:t>
      </w:r>
      <w:r w:rsidRPr="000E6664">
        <w:rPr>
          <w:rFonts w:ascii="Arial" w:hAnsi="Arial" w:cs="Arial"/>
          <w:color w:val="000000"/>
          <w:sz w:val="20"/>
          <w:szCs w:val="20"/>
        </w:rPr>
        <w:t xml:space="preserve"> [2011] VSC 593.</w:t>
      </w:r>
    </w:p>
    <w:p w14:paraId="56342DD9" w14:textId="77777777" w:rsidR="00126586" w:rsidRDefault="00126586" w:rsidP="00126586">
      <w:pPr>
        <w:jc w:val="both"/>
        <w:rPr>
          <w:rFonts w:ascii="Arial" w:hAnsi="Arial" w:cs="Arial"/>
          <w:sz w:val="20"/>
        </w:rPr>
      </w:pPr>
    </w:p>
    <w:p w14:paraId="6ABFA653" w14:textId="563DC562" w:rsidR="0099065D" w:rsidRDefault="00126586" w:rsidP="00126586">
      <w:pPr>
        <w:jc w:val="both"/>
        <w:rPr>
          <w:rFonts w:ascii="Arial" w:hAnsi="Arial" w:cs="Arial"/>
          <w:color w:val="000000"/>
          <w:sz w:val="20"/>
        </w:rPr>
      </w:pPr>
      <w:r>
        <w:rPr>
          <w:rFonts w:ascii="Arial" w:hAnsi="Arial" w:cs="Arial"/>
          <w:sz w:val="20"/>
        </w:rPr>
        <w:t xml:space="preserve">For a discussion of the powers of a Supreme Court judge to make suppression orders whether pursuant to s.17 of the OCA [formerly ss.18-19 of the </w:t>
      </w:r>
      <w:r w:rsidRPr="00AE0485">
        <w:rPr>
          <w:rFonts w:ascii="Arial" w:hAnsi="Arial" w:cs="Arial"/>
          <w:i/>
          <w:iCs/>
          <w:sz w:val="20"/>
        </w:rPr>
        <w:t>Supreme Court Act 1958</w:t>
      </w:r>
      <w:r>
        <w:rPr>
          <w:rFonts w:ascii="Arial" w:hAnsi="Arial" w:cs="Arial"/>
          <w:sz w:val="20"/>
        </w:rPr>
        <w:t xml:space="preserve">] or in its former inherent jurisdiction, see the joint judgment of </w:t>
      </w:r>
      <w:proofErr w:type="spellStart"/>
      <w:r>
        <w:rPr>
          <w:rFonts w:ascii="Arial" w:hAnsi="Arial" w:cs="Arial"/>
          <w:sz w:val="20"/>
        </w:rPr>
        <w:t>Winneke</w:t>
      </w:r>
      <w:proofErr w:type="spellEnd"/>
      <w:r>
        <w:rPr>
          <w:rFonts w:ascii="Arial" w:hAnsi="Arial" w:cs="Arial"/>
          <w:sz w:val="20"/>
        </w:rPr>
        <w:t xml:space="preserve"> P, Ormiston &amp; Vincent JJA in </w:t>
      </w:r>
      <w:r>
        <w:rPr>
          <w:rFonts w:ascii="Arial" w:hAnsi="Arial" w:cs="Arial"/>
          <w:i/>
          <w:iCs/>
          <w:sz w:val="20"/>
        </w:rPr>
        <w:t>In the Matter of an Application by Chief Commissioner of Police (Vic.) for Leave to Appeal</w:t>
      </w:r>
      <w:r>
        <w:rPr>
          <w:rFonts w:ascii="Arial" w:hAnsi="Arial" w:cs="Arial"/>
          <w:sz w:val="20"/>
        </w:rPr>
        <w:t xml:space="preserve"> [2004] VSCA 3 at [2]-[3] &amp; [23]-[47] and its references to judgments of the Supreme Court of Canada in </w:t>
      </w:r>
      <w:r>
        <w:rPr>
          <w:rFonts w:ascii="Arial" w:hAnsi="Arial" w:cs="Arial"/>
          <w:i/>
          <w:iCs/>
          <w:sz w:val="20"/>
        </w:rPr>
        <w:t>R v Mentuck</w:t>
      </w:r>
      <w:r>
        <w:rPr>
          <w:rFonts w:ascii="Arial" w:hAnsi="Arial" w:cs="Arial"/>
          <w:sz w:val="20"/>
        </w:rPr>
        <w:t xml:space="preserve"> [2001] 3 SCR 442 &amp; </w:t>
      </w:r>
      <w:r>
        <w:rPr>
          <w:rFonts w:ascii="Arial" w:hAnsi="Arial" w:cs="Arial"/>
          <w:i/>
          <w:iCs/>
          <w:sz w:val="20"/>
        </w:rPr>
        <w:t xml:space="preserve">R v O.N.E. </w:t>
      </w:r>
      <w:r>
        <w:rPr>
          <w:rFonts w:ascii="Arial" w:hAnsi="Arial" w:cs="Arial"/>
          <w:sz w:val="20"/>
        </w:rPr>
        <w:t xml:space="preserve">[2001] 3 SCR 487. [This decision of the Victorian Court of Appeal was upheld by the High Court of Australia.]  See also </w:t>
      </w:r>
      <w:r>
        <w:rPr>
          <w:rFonts w:ascii="Arial" w:hAnsi="Arial" w:cs="Arial"/>
          <w:i/>
          <w:sz w:val="20"/>
        </w:rPr>
        <w:t>BK v ADB</w:t>
      </w:r>
      <w:r>
        <w:rPr>
          <w:rFonts w:ascii="Arial" w:hAnsi="Arial" w:cs="Arial"/>
          <w:sz w:val="20"/>
        </w:rPr>
        <w:t xml:space="preserve"> [2003] VSC 129 per Nettle J; </w:t>
      </w:r>
      <w:r>
        <w:rPr>
          <w:rFonts w:ascii="Arial" w:hAnsi="Arial" w:cs="Arial"/>
          <w:i/>
          <w:iCs/>
          <w:sz w:val="20"/>
        </w:rPr>
        <w:t>R v Goldman</w:t>
      </w:r>
      <w:r>
        <w:rPr>
          <w:rFonts w:ascii="Arial" w:hAnsi="Arial" w:cs="Arial"/>
          <w:sz w:val="20"/>
        </w:rPr>
        <w:t xml:space="preserve"> [2004] VSC 167 at [15]-[31] per Redlich J; </w:t>
      </w:r>
      <w:r>
        <w:rPr>
          <w:rFonts w:ascii="Arial" w:hAnsi="Arial" w:cs="Arial"/>
          <w:i/>
          <w:iCs/>
          <w:sz w:val="20"/>
        </w:rPr>
        <w:t>DPP v Carl Williams &amp; Ors</w:t>
      </w:r>
      <w:r>
        <w:rPr>
          <w:rFonts w:ascii="Arial" w:hAnsi="Arial" w:cs="Arial"/>
          <w:sz w:val="20"/>
        </w:rPr>
        <w:t xml:space="preserve"> [2004] VSC 209 at [15]-[20] per Cummins J; </w:t>
      </w:r>
      <w:r w:rsidRPr="003446EC">
        <w:rPr>
          <w:rFonts w:ascii="Arial" w:hAnsi="Arial" w:cs="Arial"/>
          <w:i/>
          <w:sz w:val="20"/>
        </w:rPr>
        <w:t>AB v Attorney-General</w:t>
      </w:r>
      <w:r>
        <w:rPr>
          <w:rFonts w:ascii="Arial" w:hAnsi="Arial" w:cs="Arial"/>
          <w:sz w:val="20"/>
        </w:rPr>
        <w:t xml:space="preserve"> [2005] VSC 180 per Hargrave J; </w:t>
      </w:r>
      <w:r w:rsidRPr="00C047EE">
        <w:rPr>
          <w:rFonts w:ascii="Arial" w:hAnsi="Arial" w:cs="Arial"/>
          <w:i/>
          <w:sz w:val="20"/>
        </w:rPr>
        <w:t>R v Condello (Ruling 2)</w:t>
      </w:r>
      <w:r>
        <w:rPr>
          <w:rFonts w:ascii="Arial" w:hAnsi="Arial" w:cs="Arial"/>
          <w:sz w:val="20"/>
        </w:rPr>
        <w:t xml:space="preserve"> [2006] VSC 27 per Osborn J; ANN v ABC &amp; XYZ (No 1) [2006] VSC 348 per Hollingworth J; </w:t>
      </w:r>
      <w:r w:rsidRPr="002F50C4">
        <w:rPr>
          <w:rFonts w:ascii="Arial" w:hAnsi="Arial" w:cs="Arial"/>
          <w:i/>
          <w:sz w:val="20"/>
        </w:rPr>
        <w:t>R v Strawhorn (No 2)</w:t>
      </w:r>
      <w:r>
        <w:rPr>
          <w:rFonts w:ascii="Arial" w:hAnsi="Arial" w:cs="Arial"/>
          <w:sz w:val="20"/>
        </w:rPr>
        <w:t xml:space="preserve"> [2006] VSC 433 (</w:t>
      </w:r>
      <w:proofErr w:type="spellStart"/>
      <w:r>
        <w:rPr>
          <w:rFonts w:ascii="Arial" w:hAnsi="Arial" w:cs="Arial"/>
          <w:sz w:val="20"/>
        </w:rPr>
        <w:t>Habersberger</w:t>
      </w:r>
      <w:proofErr w:type="spellEnd"/>
      <w:r>
        <w:rPr>
          <w:rFonts w:ascii="Arial" w:hAnsi="Arial" w:cs="Arial"/>
          <w:sz w:val="20"/>
        </w:rPr>
        <w:t xml:space="preserve"> J); </w:t>
      </w:r>
      <w:r w:rsidRPr="004248AC">
        <w:rPr>
          <w:rFonts w:ascii="Arial" w:hAnsi="Arial" w:cs="Arial"/>
          <w:i/>
          <w:sz w:val="20"/>
        </w:rPr>
        <w:t>The Queen v G</w:t>
      </w:r>
      <w:r>
        <w:rPr>
          <w:rFonts w:ascii="Arial" w:hAnsi="Arial" w:cs="Arial"/>
          <w:sz w:val="20"/>
        </w:rPr>
        <w:t xml:space="preserve"> [2007] VSC 503 [Edited Version] (Whelan J); </w:t>
      </w:r>
      <w:r w:rsidRPr="00C53B12">
        <w:rPr>
          <w:rFonts w:ascii="Arial" w:hAnsi="Arial" w:cs="Arial"/>
          <w:i/>
          <w:sz w:val="20"/>
        </w:rPr>
        <w:t>General Television Corporation Pty Ltd v DPP &amp; Others</w:t>
      </w:r>
      <w:r>
        <w:rPr>
          <w:rFonts w:ascii="Arial" w:hAnsi="Arial" w:cs="Arial"/>
          <w:sz w:val="20"/>
        </w:rPr>
        <w:t xml:space="preserve"> [2008] VSCA 49 at [21]-[22]; </w:t>
      </w:r>
      <w:r w:rsidRPr="008D3F79">
        <w:rPr>
          <w:rFonts w:ascii="Arial" w:hAnsi="Arial" w:cs="Arial"/>
          <w:i/>
          <w:sz w:val="20"/>
        </w:rPr>
        <w:t>AX v Stern</w:t>
      </w:r>
      <w:r>
        <w:rPr>
          <w:rFonts w:ascii="Arial" w:hAnsi="Arial" w:cs="Arial"/>
          <w:sz w:val="20"/>
        </w:rPr>
        <w:t xml:space="preserve"> [2008] VSC 400 at [4]-[7] per Warren CJ; </w:t>
      </w:r>
      <w:r w:rsidRPr="008D3F79">
        <w:rPr>
          <w:rFonts w:ascii="Arial" w:hAnsi="Arial" w:cs="Arial"/>
          <w:i/>
          <w:sz w:val="20"/>
        </w:rPr>
        <w:t>BY v Australian Red Cross Society &amp; Others</w:t>
      </w:r>
      <w:r>
        <w:rPr>
          <w:rFonts w:ascii="Arial" w:hAnsi="Arial" w:cs="Arial"/>
          <w:sz w:val="20"/>
        </w:rPr>
        <w:t xml:space="preserve"> [unreported, Supreme Court of Victoria-Vincent J, 31/10/1991]; </w:t>
      </w:r>
      <w:r w:rsidRPr="008D3F79">
        <w:rPr>
          <w:rFonts w:ascii="Arial" w:hAnsi="Arial" w:cs="Arial"/>
          <w:i/>
          <w:sz w:val="20"/>
          <w:szCs w:val="20"/>
        </w:rPr>
        <w:t xml:space="preserve">ABC v D1 &amp; Ors; Ex Parte The Herald &amp; Weekly Times Limited </w:t>
      </w:r>
      <w:r w:rsidRPr="008D3F79">
        <w:rPr>
          <w:rFonts w:ascii="Arial" w:hAnsi="Arial" w:cs="Arial"/>
          <w:sz w:val="20"/>
        </w:rPr>
        <w:t>[</w:t>
      </w:r>
      <w:r w:rsidRPr="008D3F79">
        <w:rPr>
          <w:rFonts w:ascii="Arial" w:hAnsi="Arial" w:cs="Arial"/>
          <w:noProof/>
          <w:sz w:val="20"/>
        </w:rPr>
        <w:t>2007</w:t>
      </w:r>
      <w:r w:rsidRPr="008D3F79">
        <w:rPr>
          <w:rFonts w:ascii="Arial" w:hAnsi="Arial" w:cs="Arial"/>
          <w:sz w:val="20"/>
        </w:rPr>
        <w:t xml:space="preserve">] VSC </w:t>
      </w:r>
      <w:bookmarkStart w:id="516" w:name="COVvsc"/>
      <w:bookmarkEnd w:id="516"/>
      <w:r>
        <w:rPr>
          <w:rFonts w:ascii="Arial" w:hAnsi="Arial" w:cs="Arial"/>
          <w:sz w:val="20"/>
        </w:rPr>
        <w:t xml:space="preserve">480 at [65]-[71] per Forrest J; </w:t>
      </w:r>
      <w:r w:rsidRPr="008D3F79">
        <w:rPr>
          <w:rFonts w:ascii="Arial" w:hAnsi="Arial" w:cs="Arial"/>
          <w:i/>
          <w:sz w:val="20"/>
        </w:rPr>
        <w:t>AB v D1</w:t>
      </w:r>
      <w:r>
        <w:rPr>
          <w:rFonts w:ascii="Arial" w:hAnsi="Arial" w:cs="Arial"/>
          <w:sz w:val="20"/>
        </w:rPr>
        <w:t xml:space="preserve"> [2008] VSC 371 per </w:t>
      </w:r>
      <w:r w:rsidRPr="00B46EF1">
        <w:rPr>
          <w:rFonts w:ascii="Arial" w:hAnsi="Arial" w:cs="Arial"/>
          <w:color w:val="000000"/>
          <w:sz w:val="20"/>
        </w:rPr>
        <w:t xml:space="preserve">Kyrou J; </w:t>
      </w:r>
      <w:r w:rsidRPr="00B46EF1">
        <w:rPr>
          <w:rFonts w:ascii="Arial" w:hAnsi="Arial" w:cs="Arial"/>
          <w:i/>
          <w:color w:val="000000"/>
          <w:sz w:val="20"/>
        </w:rPr>
        <w:t>R v Mokbel (Ruling No.2)</w:t>
      </w:r>
      <w:r w:rsidRPr="00B46EF1">
        <w:rPr>
          <w:rFonts w:ascii="Arial" w:hAnsi="Arial" w:cs="Arial"/>
          <w:color w:val="000000"/>
          <w:sz w:val="20"/>
        </w:rPr>
        <w:t xml:space="preserve"> [2009] VSC 652 per Kaye J; </w:t>
      </w:r>
      <w:r w:rsidRPr="00B46EF1">
        <w:rPr>
          <w:rFonts w:ascii="Arial" w:hAnsi="Arial" w:cs="Arial"/>
          <w:i/>
          <w:color w:val="000000"/>
          <w:sz w:val="20"/>
        </w:rPr>
        <w:t>R v Mokbel (Ruling No.3)</w:t>
      </w:r>
      <w:r>
        <w:rPr>
          <w:rFonts w:ascii="Arial" w:hAnsi="Arial" w:cs="Arial"/>
          <w:color w:val="000000"/>
          <w:sz w:val="20"/>
        </w:rPr>
        <w:t xml:space="preserve"> [2009] VSC </w:t>
      </w:r>
      <w:r w:rsidRPr="000E6664">
        <w:rPr>
          <w:rFonts w:ascii="Arial" w:hAnsi="Arial" w:cs="Arial"/>
          <w:color w:val="000000"/>
          <w:sz w:val="20"/>
        </w:rPr>
        <w:t xml:space="preserve">653 per Kaye J; </w:t>
      </w:r>
      <w:r w:rsidRPr="000E6664">
        <w:rPr>
          <w:rFonts w:ascii="Arial" w:hAnsi="Arial" w:cs="Arial"/>
          <w:i/>
          <w:color w:val="000000"/>
          <w:sz w:val="20"/>
        </w:rPr>
        <w:t>Lew v Priester (No.2)</w:t>
      </w:r>
      <w:r w:rsidRPr="000E6664">
        <w:rPr>
          <w:rFonts w:ascii="Arial" w:hAnsi="Arial" w:cs="Arial"/>
          <w:color w:val="000000"/>
          <w:sz w:val="20"/>
        </w:rPr>
        <w:t xml:space="preserve"> [2012] VSC 153 per Davies J</w:t>
      </w:r>
      <w:r>
        <w:rPr>
          <w:rFonts w:ascii="Arial" w:hAnsi="Arial" w:cs="Arial"/>
          <w:color w:val="000000"/>
          <w:sz w:val="20"/>
        </w:rPr>
        <w:t xml:space="preserve">; </w:t>
      </w:r>
      <w:r w:rsidRPr="00F80A55">
        <w:rPr>
          <w:rFonts w:ascii="Arial" w:hAnsi="Arial" w:cs="Arial"/>
          <w:i/>
          <w:iCs/>
          <w:color w:val="000000"/>
          <w:sz w:val="20"/>
        </w:rPr>
        <w:t>Victorian Institute of Teaching v QDP</w:t>
      </w:r>
      <w:r>
        <w:rPr>
          <w:rFonts w:ascii="Arial" w:hAnsi="Arial" w:cs="Arial"/>
          <w:color w:val="000000"/>
          <w:sz w:val="20"/>
        </w:rPr>
        <w:t xml:space="preserve"> [2021] VSC 844 per McDonald J; </w:t>
      </w:r>
      <w:r w:rsidRPr="00FE6642">
        <w:rPr>
          <w:rFonts w:ascii="Arial" w:hAnsi="Arial" w:cs="Arial"/>
          <w:i/>
          <w:iCs/>
          <w:color w:val="000000"/>
          <w:sz w:val="20"/>
        </w:rPr>
        <w:t>Peers v AHPRA</w:t>
      </w:r>
      <w:r>
        <w:rPr>
          <w:rFonts w:ascii="Arial" w:hAnsi="Arial" w:cs="Arial"/>
          <w:color w:val="000000"/>
          <w:sz w:val="20"/>
        </w:rPr>
        <w:t xml:space="preserve"> [2024] VSC 110 at [17]-[32] per Gorton J; </w:t>
      </w:r>
      <w:r w:rsidRPr="0002118A">
        <w:rPr>
          <w:rFonts w:ascii="Arial" w:hAnsi="Arial" w:cs="Arial"/>
          <w:i/>
          <w:iCs/>
          <w:color w:val="000000"/>
          <w:sz w:val="20"/>
        </w:rPr>
        <w:t>Mongan v The King (suppression application)</w:t>
      </w:r>
      <w:r>
        <w:rPr>
          <w:rFonts w:ascii="Arial" w:hAnsi="Arial" w:cs="Arial"/>
          <w:color w:val="000000"/>
          <w:sz w:val="20"/>
        </w:rPr>
        <w:t xml:space="preserve"> [2024] VSCA 125 at [12]-[13]</w:t>
      </w:r>
      <w:r w:rsidR="00E45BF8">
        <w:rPr>
          <w:rFonts w:ascii="Arial" w:hAnsi="Arial" w:cs="Arial"/>
          <w:color w:val="000000"/>
          <w:sz w:val="20"/>
          <w:szCs w:val="20"/>
        </w:rPr>
        <w:t xml:space="preserve">; </w:t>
      </w:r>
      <w:bookmarkStart w:id="517" w:name="_Hlk199143070"/>
      <w:r w:rsidR="00E45BF8" w:rsidRPr="00B36396">
        <w:rPr>
          <w:rFonts w:ascii="Arial" w:hAnsi="Arial" w:cs="Arial"/>
          <w:i/>
          <w:iCs/>
          <w:color w:val="000000"/>
          <w:sz w:val="20"/>
          <w:szCs w:val="20"/>
        </w:rPr>
        <w:t>Director of Public Prosecutions v Murray</w:t>
      </w:r>
      <w:r w:rsidR="00E45BF8">
        <w:rPr>
          <w:rFonts w:ascii="Arial" w:hAnsi="Arial" w:cs="Arial"/>
          <w:color w:val="000000"/>
          <w:sz w:val="20"/>
          <w:szCs w:val="20"/>
        </w:rPr>
        <w:t xml:space="preserve"> [2025] VSC 275 at [32]-[39] &amp; [44]-[72]</w:t>
      </w:r>
      <w:bookmarkEnd w:id="517"/>
      <w:r w:rsidR="0099065D">
        <w:rPr>
          <w:rFonts w:ascii="Arial" w:hAnsi="Arial" w:cs="Arial"/>
          <w:color w:val="000000"/>
          <w:sz w:val="20"/>
        </w:rPr>
        <w:t xml:space="preserve">; </w:t>
      </w:r>
      <w:bookmarkStart w:id="518" w:name="_Hlk211243404"/>
      <w:r w:rsidR="0099065D" w:rsidRPr="0099065D">
        <w:rPr>
          <w:rFonts w:ascii="Arial" w:hAnsi="Arial" w:cs="Arial"/>
          <w:i/>
          <w:iCs/>
          <w:color w:val="000000"/>
          <w:sz w:val="20"/>
        </w:rPr>
        <w:t>Australian Broadcasting Corporation v The Magistrates’ Court of Victoria</w:t>
      </w:r>
      <w:r w:rsidR="0099065D" w:rsidRPr="0099065D">
        <w:rPr>
          <w:rFonts w:ascii="Arial" w:hAnsi="Arial" w:cs="Arial"/>
          <w:color w:val="000000"/>
          <w:sz w:val="20"/>
        </w:rPr>
        <w:t xml:space="preserve"> [2025] VSC </w:t>
      </w:r>
      <w:r w:rsidR="0099065D">
        <w:rPr>
          <w:rFonts w:ascii="Arial" w:hAnsi="Arial" w:cs="Arial"/>
          <w:color w:val="000000"/>
          <w:sz w:val="20"/>
        </w:rPr>
        <w:t xml:space="preserve">500 &amp; </w:t>
      </w:r>
      <w:r w:rsidR="0099065D" w:rsidRPr="0099065D">
        <w:rPr>
          <w:rFonts w:ascii="Arial" w:hAnsi="Arial" w:cs="Arial"/>
          <w:i/>
          <w:iCs/>
          <w:color w:val="000000"/>
          <w:sz w:val="20"/>
        </w:rPr>
        <w:t>Australian Broadcasting Corporation v The Magistrates’ Court of Victoria (No 2)</w:t>
      </w:r>
      <w:r w:rsidR="0099065D" w:rsidRPr="0099065D">
        <w:rPr>
          <w:rFonts w:ascii="Arial" w:hAnsi="Arial" w:cs="Arial"/>
          <w:color w:val="000000"/>
          <w:sz w:val="20"/>
        </w:rPr>
        <w:t xml:space="preserve"> [2025] VSC 625</w:t>
      </w:r>
      <w:r w:rsidR="0099065D">
        <w:rPr>
          <w:rFonts w:ascii="Arial" w:hAnsi="Arial" w:cs="Arial"/>
          <w:color w:val="000000"/>
          <w:sz w:val="20"/>
        </w:rPr>
        <w:t xml:space="preserve"> per Gray J.</w:t>
      </w:r>
      <w:bookmarkEnd w:id="518"/>
    </w:p>
    <w:p w14:paraId="4C2922B3" w14:textId="77777777" w:rsidR="00126586" w:rsidRDefault="00126586" w:rsidP="00126586">
      <w:pPr>
        <w:jc w:val="both"/>
        <w:rPr>
          <w:rFonts w:ascii="Arial" w:hAnsi="Arial" w:cs="Arial"/>
          <w:color w:val="000000"/>
          <w:sz w:val="20"/>
        </w:rPr>
      </w:pPr>
    </w:p>
    <w:p w14:paraId="61250D15" w14:textId="77777777" w:rsidR="00126586" w:rsidRPr="00792C10" w:rsidRDefault="00126586" w:rsidP="00126586">
      <w:pPr>
        <w:pStyle w:val="Heading2"/>
        <w:keepNext/>
        <w:keepLines/>
        <w:widowControl/>
        <w:shd w:val="clear" w:color="auto" w:fill="000000" w:themeFill="text1"/>
        <w:tabs>
          <w:tab w:val="left" w:pos="567"/>
        </w:tabs>
        <w:spacing w:line="240" w:lineRule="auto"/>
        <w:jc w:val="center"/>
        <w:rPr>
          <w:rFonts w:ascii="Arial" w:hAnsi="Arial" w:cs="Arial"/>
          <w:b/>
          <w:bCs/>
          <w:color w:val="FFFFFF" w:themeColor="background1"/>
          <w:sz w:val="22"/>
          <w:szCs w:val="18"/>
        </w:rPr>
      </w:pPr>
      <w:r>
        <w:rPr>
          <w:rFonts w:ascii="Arial" w:hAnsi="Arial" w:cs="Arial"/>
          <w:b/>
          <w:bCs/>
          <w:color w:val="FFFFFF" w:themeColor="background1"/>
          <w:sz w:val="22"/>
          <w:szCs w:val="18"/>
        </w:rPr>
        <w:t>POWER UNDER THE OCA TO MAKE A “BROAD SUPPRESSION ORDER”</w:t>
      </w:r>
    </w:p>
    <w:p w14:paraId="55CDB17A" w14:textId="77777777" w:rsidR="00126586" w:rsidRDefault="00126586" w:rsidP="00126586">
      <w:pPr>
        <w:jc w:val="both"/>
        <w:rPr>
          <w:rFonts w:ascii="Arial" w:hAnsi="Arial" w:cs="Arial"/>
          <w:sz w:val="20"/>
        </w:rPr>
      </w:pPr>
    </w:p>
    <w:p w14:paraId="4F1E68A4" w14:textId="3707B2A8" w:rsidR="00126586" w:rsidRDefault="00126586" w:rsidP="00126586">
      <w:pPr>
        <w:jc w:val="both"/>
        <w:rPr>
          <w:rFonts w:ascii="Arial" w:hAnsi="Arial" w:cs="Arial"/>
          <w:sz w:val="20"/>
        </w:rPr>
      </w:pPr>
      <w:r>
        <w:rPr>
          <w:rFonts w:ascii="Arial" w:hAnsi="Arial" w:cs="Arial"/>
          <w:sz w:val="20"/>
        </w:rPr>
        <w:t>Provisions relating to “broad suppression orders” are contained in Part 4 – ss.</w:t>
      </w:r>
      <w:r w:rsidR="00FA0F42">
        <w:rPr>
          <w:rFonts w:ascii="Arial" w:hAnsi="Arial" w:cs="Arial"/>
          <w:sz w:val="20"/>
        </w:rPr>
        <w:t>24-27</w:t>
      </w:r>
      <w:r>
        <w:rPr>
          <w:rFonts w:ascii="Arial" w:hAnsi="Arial" w:cs="Arial"/>
          <w:sz w:val="20"/>
        </w:rPr>
        <w:t xml:space="preserve"> </w:t>
      </w:r>
      <w:r w:rsidR="00FA0F42">
        <w:rPr>
          <w:rFonts w:ascii="Arial" w:hAnsi="Arial" w:cs="Arial"/>
          <w:sz w:val="20"/>
        </w:rPr>
        <w:t xml:space="preserve">– </w:t>
      </w:r>
      <w:r>
        <w:rPr>
          <w:rFonts w:ascii="Arial" w:hAnsi="Arial" w:cs="Arial"/>
          <w:sz w:val="20"/>
        </w:rPr>
        <w:t>of</w:t>
      </w:r>
      <w:r w:rsidR="00FA0F42">
        <w:rPr>
          <w:rFonts w:ascii="Arial" w:hAnsi="Arial" w:cs="Arial"/>
          <w:sz w:val="20"/>
        </w:rPr>
        <w:t xml:space="preserve"> </w:t>
      </w:r>
      <w:r>
        <w:rPr>
          <w:rFonts w:ascii="Arial" w:hAnsi="Arial" w:cs="Arial"/>
          <w:sz w:val="20"/>
        </w:rPr>
        <w:t>the OCA.</w:t>
      </w:r>
    </w:p>
    <w:p w14:paraId="5CA134D1" w14:textId="77777777" w:rsidR="00126586" w:rsidRDefault="00126586" w:rsidP="00126586">
      <w:pPr>
        <w:jc w:val="both"/>
        <w:rPr>
          <w:rFonts w:ascii="Arial" w:hAnsi="Arial" w:cs="Arial"/>
          <w:sz w:val="20"/>
        </w:rPr>
      </w:pPr>
    </w:p>
    <w:p w14:paraId="286F2C1B" w14:textId="14C8E78B" w:rsidR="00126586" w:rsidRDefault="00FA0F42" w:rsidP="00126586">
      <w:pPr>
        <w:jc w:val="both"/>
        <w:rPr>
          <w:rFonts w:ascii="Arial" w:hAnsi="Arial" w:cs="Arial"/>
          <w:sz w:val="20"/>
        </w:rPr>
      </w:pPr>
      <w:r>
        <w:rPr>
          <w:rFonts w:ascii="Arial" w:hAnsi="Arial" w:cs="Arial"/>
          <w:sz w:val="20"/>
        </w:rPr>
        <w:t xml:space="preserve">Section </w:t>
      </w:r>
      <w:r w:rsidR="00126586">
        <w:rPr>
          <w:rFonts w:ascii="Arial" w:hAnsi="Arial" w:cs="Arial"/>
          <w:sz w:val="20"/>
        </w:rPr>
        <w:t>26</w:t>
      </w:r>
      <w:r>
        <w:rPr>
          <w:rFonts w:ascii="Arial" w:hAnsi="Arial" w:cs="Arial"/>
          <w:sz w:val="20"/>
        </w:rPr>
        <w:t>(1)</w:t>
      </w:r>
      <w:r w:rsidR="00126586">
        <w:rPr>
          <w:rFonts w:ascii="Arial" w:hAnsi="Arial" w:cs="Arial"/>
          <w:sz w:val="20"/>
        </w:rPr>
        <w:t xml:space="preserve"> of the OCA gives the Magistrates’ Court power to make a “broad suppression order” prohibiting the publication of any specified material, or any material of a specified kind, relevant to a proceeding that is pending in the Court if </w:t>
      </w:r>
      <w:r>
        <w:rPr>
          <w:rFonts w:ascii="Arial" w:hAnsi="Arial" w:cs="Arial"/>
          <w:sz w:val="20"/>
        </w:rPr>
        <w:t>the Court is satisfied that</w:t>
      </w:r>
      <w:r w:rsidR="00126586">
        <w:rPr>
          <w:rFonts w:ascii="Arial" w:hAnsi="Arial" w:cs="Arial"/>
          <w:sz w:val="20"/>
        </w:rPr>
        <w:t>–</w:t>
      </w:r>
    </w:p>
    <w:p w14:paraId="4BFBCEC4" w14:textId="6300C2F8" w:rsidR="00126586" w:rsidRDefault="00126586" w:rsidP="00126586">
      <w:pPr>
        <w:ind w:left="357" w:hanging="357"/>
        <w:jc w:val="both"/>
        <w:rPr>
          <w:rFonts w:ascii="Arial" w:hAnsi="Arial" w:cs="Arial"/>
          <w:sz w:val="20"/>
        </w:rPr>
      </w:pPr>
      <w:r>
        <w:rPr>
          <w:rFonts w:ascii="Arial" w:hAnsi="Arial" w:cs="Arial"/>
          <w:sz w:val="20"/>
        </w:rPr>
        <w:t>(a)</w:t>
      </w:r>
      <w:r>
        <w:rPr>
          <w:rFonts w:ascii="Arial" w:hAnsi="Arial" w:cs="Arial"/>
          <w:sz w:val="20"/>
        </w:rPr>
        <w:tab/>
      </w:r>
      <w:r w:rsidR="00567754">
        <w:rPr>
          <w:rFonts w:ascii="Arial" w:hAnsi="Arial" w:cs="Arial"/>
          <w:sz w:val="20"/>
        </w:rPr>
        <w:t>the order is necessary to prevent a real and substantial risk of prejudice to the proper administration of justice that cannot be prevented by other reasonably available means; or</w:t>
      </w:r>
    </w:p>
    <w:p w14:paraId="16380F92" w14:textId="17E814CC" w:rsidR="00126586" w:rsidRDefault="00126586" w:rsidP="00126586">
      <w:pPr>
        <w:ind w:left="357" w:hanging="357"/>
        <w:jc w:val="both"/>
        <w:rPr>
          <w:rFonts w:ascii="Arial" w:hAnsi="Arial" w:cs="Arial"/>
          <w:sz w:val="20"/>
        </w:rPr>
      </w:pPr>
      <w:r>
        <w:rPr>
          <w:rFonts w:ascii="Arial" w:hAnsi="Arial" w:cs="Arial"/>
          <w:sz w:val="20"/>
        </w:rPr>
        <w:t>(b)</w:t>
      </w:r>
      <w:r>
        <w:rPr>
          <w:rFonts w:ascii="Arial" w:hAnsi="Arial" w:cs="Arial"/>
          <w:sz w:val="20"/>
        </w:rPr>
        <w:tab/>
      </w:r>
      <w:r w:rsidR="00567754">
        <w:rPr>
          <w:rFonts w:ascii="Arial" w:hAnsi="Arial" w:cs="Arial"/>
          <w:sz w:val="20"/>
        </w:rPr>
        <w:t xml:space="preserve">the order is necessary in order to protect </w:t>
      </w:r>
      <w:r>
        <w:rPr>
          <w:rFonts w:ascii="Arial" w:hAnsi="Arial" w:cs="Arial"/>
          <w:sz w:val="20"/>
        </w:rPr>
        <w:t>the safety of any person.</w:t>
      </w:r>
    </w:p>
    <w:p w14:paraId="7FBA09C2" w14:textId="77777777" w:rsidR="00126586" w:rsidRDefault="00126586" w:rsidP="00126586">
      <w:pPr>
        <w:jc w:val="both"/>
        <w:rPr>
          <w:rFonts w:ascii="Arial" w:hAnsi="Arial" w:cs="Arial"/>
          <w:color w:val="000000"/>
          <w:sz w:val="20"/>
        </w:rPr>
      </w:pPr>
    </w:p>
    <w:p w14:paraId="5E5B6281" w14:textId="364E87E8" w:rsidR="00FA0F42" w:rsidRPr="00567754" w:rsidRDefault="00567754" w:rsidP="00567754">
      <w:pPr>
        <w:jc w:val="both"/>
        <w:rPr>
          <w:rFonts w:ascii="Arial" w:hAnsi="Arial" w:cs="Arial"/>
          <w:sz w:val="20"/>
          <w:szCs w:val="20"/>
          <w:lang w:eastAsia="en-AU"/>
        </w:rPr>
      </w:pPr>
      <w:r w:rsidRPr="00567754">
        <w:rPr>
          <w:rFonts w:ascii="Arial" w:hAnsi="Arial" w:cs="Arial"/>
          <w:sz w:val="20"/>
          <w:szCs w:val="20"/>
          <w:lang w:eastAsia="en-AU"/>
        </w:rPr>
        <w:t>Section 26(2) provides that an order under s.26(1)</w:t>
      </w:r>
      <w:r>
        <w:rPr>
          <w:rFonts w:ascii="Arial" w:hAnsi="Arial" w:cs="Arial"/>
          <w:sz w:val="20"/>
          <w:szCs w:val="20"/>
          <w:lang w:eastAsia="en-AU"/>
        </w:rPr>
        <w:t xml:space="preserve"> applies only to the publication of material in a place specified in the order. Under ss.26(3) &amp; 26(4) an order under s.26(1) may be made to apply anywhere in Australia but must not be made to apply outside Victoria unless the Magistrates’ Court is satisfied that </w:t>
      </w:r>
      <w:r>
        <w:rPr>
          <w:rFonts w:ascii="Arial" w:hAnsi="Arial" w:cs="Arial"/>
          <w:sz w:val="20"/>
          <w:szCs w:val="20"/>
          <w:lang w:eastAsia="en-AU"/>
        </w:rPr>
        <w:lastRenderedPageBreak/>
        <w:t>having the order apply outside Victoria is necessary for achieving the purpose for which the order was made.</w:t>
      </w:r>
    </w:p>
    <w:p w14:paraId="276E01C2" w14:textId="77777777" w:rsidR="00FA0F42" w:rsidRDefault="00FA0F42" w:rsidP="00126586">
      <w:pPr>
        <w:jc w:val="both"/>
        <w:rPr>
          <w:rFonts w:ascii="Arial" w:hAnsi="Arial" w:cs="Arial"/>
          <w:color w:val="000000"/>
          <w:sz w:val="20"/>
        </w:rPr>
      </w:pPr>
    </w:p>
    <w:p w14:paraId="1F1560BF" w14:textId="51702391" w:rsidR="00126586" w:rsidRDefault="00126586" w:rsidP="00126586">
      <w:pPr>
        <w:jc w:val="both"/>
        <w:rPr>
          <w:rFonts w:ascii="Arial" w:hAnsi="Arial" w:cs="Arial"/>
          <w:color w:val="000000"/>
          <w:sz w:val="20"/>
        </w:rPr>
      </w:pPr>
      <w:r>
        <w:rPr>
          <w:rFonts w:ascii="Arial" w:hAnsi="Arial" w:cs="Arial"/>
          <w:color w:val="000000"/>
          <w:sz w:val="20"/>
        </w:rPr>
        <w:t xml:space="preserve">The </w:t>
      </w:r>
      <w:r w:rsidR="0054782A">
        <w:rPr>
          <w:rFonts w:ascii="Arial" w:hAnsi="Arial" w:cs="Arial"/>
          <w:color w:val="000000"/>
          <w:sz w:val="20"/>
        </w:rPr>
        <w:t xml:space="preserve">fundamental </w:t>
      </w:r>
      <w:r>
        <w:rPr>
          <w:rFonts w:ascii="Arial" w:hAnsi="Arial" w:cs="Arial"/>
          <w:color w:val="000000"/>
          <w:sz w:val="20"/>
        </w:rPr>
        <w:t>distinction between a “</w:t>
      </w:r>
      <w:r w:rsidR="0054782A">
        <w:rPr>
          <w:rFonts w:ascii="Arial" w:hAnsi="Arial" w:cs="Arial"/>
          <w:color w:val="000000"/>
          <w:sz w:val="20"/>
        </w:rPr>
        <w:t>broad</w:t>
      </w:r>
      <w:r>
        <w:rPr>
          <w:rFonts w:ascii="Arial" w:hAnsi="Arial" w:cs="Arial"/>
          <w:color w:val="000000"/>
          <w:sz w:val="20"/>
        </w:rPr>
        <w:t xml:space="preserve"> suppression order” and a “</w:t>
      </w:r>
      <w:r w:rsidR="0054782A">
        <w:rPr>
          <w:rFonts w:ascii="Arial" w:hAnsi="Arial" w:cs="Arial"/>
          <w:color w:val="000000"/>
          <w:sz w:val="20"/>
        </w:rPr>
        <w:t>proceeding</w:t>
      </w:r>
      <w:r>
        <w:rPr>
          <w:rFonts w:ascii="Arial" w:hAnsi="Arial" w:cs="Arial"/>
          <w:color w:val="000000"/>
          <w:sz w:val="20"/>
        </w:rPr>
        <w:t xml:space="preserve"> suppression order” </w:t>
      </w:r>
      <w:r w:rsidR="0054782A">
        <w:rPr>
          <w:rFonts w:ascii="Arial" w:hAnsi="Arial" w:cs="Arial"/>
          <w:color w:val="000000"/>
          <w:sz w:val="20"/>
        </w:rPr>
        <w:t xml:space="preserve">appears to lie in s.26(1) which prohibits the publication of material </w:t>
      </w:r>
      <w:r w:rsidR="0054782A" w:rsidRPr="0054782A">
        <w:rPr>
          <w:rFonts w:ascii="Arial" w:hAnsi="Arial" w:cs="Arial"/>
          <w:b/>
          <w:bCs/>
          <w:color w:val="000000"/>
          <w:sz w:val="20"/>
        </w:rPr>
        <w:t>relevant to</w:t>
      </w:r>
      <w:r w:rsidR="0054782A">
        <w:rPr>
          <w:rFonts w:ascii="Arial" w:hAnsi="Arial" w:cs="Arial"/>
          <w:color w:val="000000"/>
          <w:sz w:val="20"/>
        </w:rPr>
        <w:t xml:space="preserve"> a proceeding whereas s.17 prohibits or restricts publication of a </w:t>
      </w:r>
      <w:r w:rsidR="0054782A" w:rsidRPr="00A1492E">
        <w:rPr>
          <w:rFonts w:ascii="Arial" w:hAnsi="Arial" w:cs="Arial"/>
          <w:b/>
          <w:bCs/>
          <w:color w:val="000000"/>
          <w:sz w:val="20"/>
        </w:rPr>
        <w:t>report</w:t>
      </w:r>
      <w:r w:rsidR="0054782A">
        <w:rPr>
          <w:rFonts w:ascii="Arial" w:hAnsi="Arial" w:cs="Arial"/>
          <w:color w:val="000000"/>
          <w:sz w:val="20"/>
        </w:rPr>
        <w:t xml:space="preserve"> of a proceeding or </w:t>
      </w:r>
      <w:r w:rsidR="0054782A" w:rsidRPr="00A1492E">
        <w:rPr>
          <w:rFonts w:ascii="Arial" w:hAnsi="Arial" w:cs="Arial"/>
          <w:b/>
          <w:bCs/>
          <w:color w:val="000000"/>
          <w:sz w:val="20"/>
        </w:rPr>
        <w:t>information derived from a proceeding</w:t>
      </w:r>
      <w:r w:rsidR="0054782A">
        <w:rPr>
          <w:rFonts w:ascii="Arial" w:hAnsi="Arial" w:cs="Arial"/>
          <w:color w:val="000000"/>
          <w:sz w:val="20"/>
        </w:rPr>
        <w:t xml:space="preserve">. </w:t>
      </w:r>
      <w:r w:rsidR="00913CF1">
        <w:rPr>
          <w:rFonts w:ascii="Arial" w:hAnsi="Arial" w:cs="Arial"/>
          <w:color w:val="000000"/>
          <w:sz w:val="20"/>
        </w:rPr>
        <w:t>On its face the s.26(1) prohibition is broader than the s.17 prohibition.</w:t>
      </w:r>
    </w:p>
    <w:p w14:paraId="69FCB0BC" w14:textId="77777777" w:rsidR="0054782A" w:rsidRDefault="0054782A" w:rsidP="00567754">
      <w:pPr>
        <w:jc w:val="both"/>
        <w:rPr>
          <w:rFonts w:ascii="Arial" w:hAnsi="Arial" w:cs="Arial"/>
          <w:color w:val="000000"/>
          <w:sz w:val="20"/>
        </w:rPr>
      </w:pPr>
    </w:p>
    <w:p w14:paraId="241233BE" w14:textId="4100D816" w:rsidR="00567754" w:rsidRPr="00792C10" w:rsidRDefault="00567754" w:rsidP="00E900BB">
      <w:pPr>
        <w:pStyle w:val="Heading2"/>
        <w:keepNext/>
        <w:keepLines/>
        <w:widowControl/>
        <w:shd w:val="clear" w:color="auto" w:fill="000000" w:themeFill="text1"/>
        <w:tabs>
          <w:tab w:val="left" w:pos="567"/>
        </w:tabs>
        <w:spacing w:line="240" w:lineRule="auto"/>
        <w:jc w:val="center"/>
        <w:rPr>
          <w:rFonts w:ascii="Arial" w:hAnsi="Arial" w:cs="Arial"/>
          <w:b/>
          <w:bCs/>
          <w:color w:val="FFFFFF" w:themeColor="background1"/>
          <w:sz w:val="22"/>
          <w:szCs w:val="18"/>
        </w:rPr>
      </w:pPr>
      <w:r>
        <w:rPr>
          <w:rFonts w:ascii="Arial" w:hAnsi="Arial" w:cs="Arial"/>
          <w:b/>
          <w:bCs/>
          <w:color w:val="FFFFFF" w:themeColor="background1"/>
          <w:sz w:val="22"/>
          <w:szCs w:val="18"/>
        </w:rPr>
        <w:t>PROVISIONS RELATING TO EXCEPTIONS AND OFFENCES IN RELATION TO CONTRAVENTION OF SUPPRESSION ORDERS</w:t>
      </w:r>
    </w:p>
    <w:p w14:paraId="6957C4A8" w14:textId="77777777" w:rsidR="00567754" w:rsidRDefault="00567754" w:rsidP="00E900BB">
      <w:pPr>
        <w:keepNext/>
        <w:keepLines/>
        <w:jc w:val="both"/>
        <w:rPr>
          <w:rFonts w:ascii="Arial" w:hAnsi="Arial" w:cs="Arial"/>
          <w:sz w:val="20"/>
        </w:rPr>
      </w:pPr>
    </w:p>
    <w:p w14:paraId="5004D51D" w14:textId="058E6485" w:rsidR="00026D60" w:rsidRDefault="00026D60" w:rsidP="00E900BB">
      <w:pPr>
        <w:spacing w:after="120"/>
        <w:jc w:val="both"/>
        <w:rPr>
          <w:rFonts w:ascii="Arial" w:hAnsi="Arial" w:cs="Arial"/>
          <w:sz w:val="20"/>
        </w:rPr>
      </w:pPr>
      <w:r>
        <w:rPr>
          <w:rFonts w:ascii="Arial" w:hAnsi="Arial" w:cs="Arial"/>
          <w:sz w:val="20"/>
        </w:rPr>
        <w:t>The following provisions of the OC</w:t>
      </w:r>
      <w:r w:rsidR="00FE3D21">
        <w:rPr>
          <w:rFonts w:ascii="Arial" w:hAnsi="Arial" w:cs="Arial"/>
          <w:sz w:val="20"/>
        </w:rPr>
        <w:t>A</w:t>
      </w:r>
      <w:r>
        <w:rPr>
          <w:rFonts w:ascii="Arial" w:hAnsi="Arial" w:cs="Arial"/>
          <w:sz w:val="20"/>
        </w:rPr>
        <w:t xml:space="preserve"> apply to </w:t>
      </w:r>
      <w:r w:rsidR="00126586">
        <w:rPr>
          <w:rFonts w:ascii="Arial" w:hAnsi="Arial" w:cs="Arial"/>
          <w:sz w:val="20"/>
        </w:rPr>
        <w:t xml:space="preserve">“proceeding </w:t>
      </w:r>
      <w:r w:rsidR="00955865">
        <w:rPr>
          <w:rFonts w:ascii="Arial" w:hAnsi="Arial" w:cs="Arial"/>
          <w:sz w:val="20"/>
        </w:rPr>
        <w:t>suppression orders</w:t>
      </w:r>
      <w:r w:rsidR="00126586">
        <w:rPr>
          <w:rFonts w:ascii="Arial" w:hAnsi="Arial" w:cs="Arial"/>
          <w:sz w:val="20"/>
        </w:rPr>
        <w:t>” and “broad suppression orders”</w:t>
      </w:r>
      <w:r>
        <w:rPr>
          <w:rFonts w:ascii="Arial" w:hAnsi="Arial" w:cs="Arial"/>
          <w:sz w:val="20"/>
        </w:rPr>
        <w:t>:</w:t>
      </w:r>
    </w:p>
    <w:tbl>
      <w:tblPr>
        <w:tblW w:w="9072" w:type="dxa"/>
        <w:tblInd w:w="11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1633"/>
        <w:gridCol w:w="7439"/>
      </w:tblGrid>
      <w:tr w:rsidR="00026D60" w14:paraId="09B56B5A" w14:textId="77777777" w:rsidTr="00955865">
        <w:tc>
          <w:tcPr>
            <w:tcW w:w="900" w:type="pct"/>
            <w:tcBorders>
              <w:bottom w:val="single" w:sz="18" w:space="0" w:color="auto"/>
            </w:tcBorders>
          </w:tcPr>
          <w:p w14:paraId="6470A102" w14:textId="77777777" w:rsidR="00026D60" w:rsidRDefault="00026D60" w:rsidP="0057464B">
            <w:pPr>
              <w:keepNext/>
              <w:keepLines/>
              <w:jc w:val="center"/>
              <w:rPr>
                <w:rFonts w:ascii="Arial" w:hAnsi="Arial" w:cs="Arial"/>
                <w:b/>
                <w:bCs/>
                <w:sz w:val="20"/>
              </w:rPr>
            </w:pPr>
            <w:r>
              <w:rPr>
                <w:rFonts w:ascii="Arial" w:hAnsi="Arial" w:cs="Arial"/>
                <w:b/>
                <w:bCs/>
                <w:sz w:val="20"/>
              </w:rPr>
              <w:t>SECTION</w:t>
            </w:r>
          </w:p>
        </w:tc>
        <w:tc>
          <w:tcPr>
            <w:tcW w:w="4324" w:type="pct"/>
            <w:tcBorders>
              <w:bottom w:val="single" w:sz="18" w:space="0" w:color="auto"/>
            </w:tcBorders>
          </w:tcPr>
          <w:p w14:paraId="4FDDC402" w14:textId="77777777" w:rsidR="00026D60" w:rsidRDefault="00026D60" w:rsidP="0057464B">
            <w:pPr>
              <w:keepNext/>
              <w:keepLines/>
              <w:jc w:val="center"/>
              <w:rPr>
                <w:rFonts w:ascii="Arial" w:hAnsi="Arial" w:cs="Arial"/>
                <w:b/>
                <w:bCs/>
                <w:sz w:val="20"/>
              </w:rPr>
            </w:pPr>
            <w:r>
              <w:rPr>
                <w:rFonts w:ascii="Arial" w:hAnsi="Arial" w:cs="Arial"/>
                <w:b/>
                <w:bCs/>
                <w:sz w:val="20"/>
              </w:rPr>
              <w:t>SUBJECT MATTER</w:t>
            </w:r>
          </w:p>
        </w:tc>
      </w:tr>
      <w:tr w:rsidR="00026D60" w14:paraId="09C275DB" w14:textId="77777777" w:rsidTr="00955865">
        <w:tc>
          <w:tcPr>
            <w:tcW w:w="900" w:type="pct"/>
            <w:tcBorders>
              <w:top w:val="single" w:sz="18" w:space="0" w:color="auto"/>
              <w:bottom w:val="single" w:sz="4" w:space="0" w:color="auto"/>
            </w:tcBorders>
          </w:tcPr>
          <w:p w14:paraId="0FE42162" w14:textId="68C06850" w:rsidR="00026D60" w:rsidRDefault="00026D60" w:rsidP="00026D60">
            <w:pPr>
              <w:jc w:val="center"/>
              <w:rPr>
                <w:rFonts w:ascii="Arial" w:hAnsi="Arial" w:cs="Arial"/>
                <w:sz w:val="20"/>
              </w:rPr>
            </w:pPr>
            <w:r>
              <w:rPr>
                <w:rFonts w:ascii="Arial" w:hAnsi="Arial" w:cs="Arial"/>
                <w:sz w:val="20"/>
              </w:rPr>
              <w:t>21</w:t>
            </w:r>
          </w:p>
        </w:tc>
        <w:tc>
          <w:tcPr>
            <w:tcW w:w="4324" w:type="pct"/>
            <w:tcBorders>
              <w:top w:val="single" w:sz="18" w:space="0" w:color="auto"/>
              <w:bottom w:val="single" w:sz="4" w:space="0" w:color="auto"/>
            </w:tcBorders>
          </w:tcPr>
          <w:p w14:paraId="3DE15D3B" w14:textId="77777777" w:rsidR="00026D60" w:rsidRDefault="00955865" w:rsidP="0057464B">
            <w:pPr>
              <w:jc w:val="both"/>
              <w:rPr>
                <w:rFonts w:ascii="Arial" w:hAnsi="Arial" w:cs="Arial"/>
                <w:sz w:val="20"/>
              </w:rPr>
            </w:pPr>
            <w:r>
              <w:rPr>
                <w:rFonts w:ascii="Arial" w:hAnsi="Arial" w:cs="Arial"/>
                <w:sz w:val="20"/>
              </w:rPr>
              <w:t xml:space="preserve">Where a </w:t>
            </w:r>
            <w:r w:rsidR="00026D60">
              <w:rPr>
                <w:rFonts w:ascii="Arial" w:hAnsi="Arial" w:cs="Arial"/>
                <w:sz w:val="20"/>
              </w:rPr>
              <w:t>suppression order applies</w:t>
            </w:r>
            <w:r>
              <w:rPr>
                <w:rFonts w:ascii="Arial" w:hAnsi="Arial" w:cs="Arial"/>
                <w:sz w:val="20"/>
              </w:rPr>
              <w:t>.</w:t>
            </w:r>
          </w:p>
        </w:tc>
      </w:tr>
      <w:tr w:rsidR="00026D60" w14:paraId="439BD301" w14:textId="77777777" w:rsidTr="00955865">
        <w:tc>
          <w:tcPr>
            <w:tcW w:w="900" w:type="pct"/>
            <w:tcBorders>
              <w:top w:val="single" w:sz="4" w:space="0" w:color="auto"/>
            </w:tcBorders>
          </w:tcPr>
          <w:p w14:paraId="043008BC" w14:textId="77777777" w:rsidR="00026D60" w:rsidRDefault="00026D60" w:rsidP="0057464B">
            <w:pPr>
              <w:jc w:val="center"/>
              <w:rPr>
                <w:rFonts w:ascii="Arial" w:hAnsi="Arial" w:cs="Arial"/>
                <w:sz w:val="20"/>
              </w:rPr>
            </w:pPr>
            <w:r>
              <w:rPr>
                <w:rFonts w:ascii="Arial" w:hAnsi="Arial" w:cs="Arial"/>
                <w:sz w:val="20"/>
              </w:rPr>
              <w:t>22</w:t>
            </w:r>
            <w:r w:rsidR="00955865">
              <w:rPr>
                <w:rFonts w:ascii="Arial" w:hAnsi="Arial" w:cs="Arial"/>
                <w:sz w:val="20"/>
              </w:rPr>
              <w:t>, 26(5)</w:t>
            </w:r>
          </w:p>
        </w:tc>
        <w:tc>
          <w:tcPr>
            <w:tcW w:w="4324" w:type="pct"/>
            <w:tcBorders>
              <w:top w:val="single" w:sz="4" w:space="0" w:color="auto"/>
            </w:tcBorders>
          </w:tcPr>
          <w:p w14:paraId="41CBD449" w14:textId="77777777" w:rsidR="00026D60" w:rsidRDefault="00026D60" w:rsidP="0057464B">
            <w:pPr>
              <w:jc w:val="both"/>
              <w:rPr>
                <w:rFonts w:ascii="Arial" w:hAnsi="Arial" w:cs="Arial"/>
                <w:sz w:val="20"/>
              </w:rPr>
            </w:pPr>
            <w:r>
              <w:rPr>
                <w:rFonts w:ascii="Arial" w:hAnsi="Arial" w:cs="Arial"/>
                <w:sz w:val="20"/>
              </w:rPr>
              <w:t>Provides exceptions for the conduct of the proceeding, recovery or enforcement of any penalty imposed in the proceeding or informing persons of the existence of suppression orders or interim orders</w:t>
            </w:r>
          </w:p>
        </w:tc>
      </w:tr>
      <w:tr w:rsidR="00026D60" w14:paraId="13BF8FF9" w14:textId="77777777" w:rsidTr="00955865">
        <w:tc>
          <w:tcPr>
            <w:tcW w:w="900" w:type="pct"/>
          </w:tcPr>
          <w:p w14:paraId="4BFAA913" w14:textId="77777777" w:rsidR="00026D60" w:rsidRDefault="00026D60" w:rsidP="0057464B">
            <w:pPr>
              <w:jc w:val="center"/>
              <w:rPr>
                <w:rFonts w:ascii="Arial" w:hAnsi="Arial" w:cs="Arial"/>
                <w:sz w:val="20"/>
              </w:rPr>
            </w:pPr>
            <w:r>
              <w:rPr>
                <w:rFonts w:ascii="Arial" w:hAnsi="Arial" w:cs="Arial"/>
                <w:sz w:val="20"/>
              </w:rPr>
              <w:t>23</w:t>
            </w:r>
            <w:r w:rsidR="00955865">
              <w:rPr>
                <w:rFonts w:ascii="Arial" w:hAnsi="Arial" w:cs="Arial"/>
                <w:sz w:val="20"/>
              </w:rPr>
              <w:t>, 27</w:t>
            </w:r>
          </w:p>
        </w:tc>
        <w:tc>
          <w:tcPr>
            <w:tcW w:w="4324" w:type="pct"/>
          </w:tcPr>
          <w:p w14:paraId="6A352454" w14:textId="77777777" w:rsidR="00026D60" w:rsidRDefault="008A673E" w:rsidP="0057464B">
            <w:pPr>
              <w:jc w:val="both"/>
              <w:rPr>
                <w:rFonts w:ascii="Arial" w:hAnsi="Arial" w:cs="Arial"/>
                <w:sz w:val="20"/>
              </w:rPr>
            </w:pPr>
            <w:r>
              <w:rPr>
                <w:rFonts w:ascii="Arial" w:hAnsi="Arial" w:cs="Arial"/>
                <w:sz w:val="20"/>
              </w:rPr>
              <w:t>Offence to contravene proceeding suppression order</w:t>
            </w:r>
            <w:r w:rsidR="00955865">
              <w:rPr>
                <w:rFonts w:ascii="Arial" w:hAnsi="Arial" w:cs="Arial"/>
                <w:sz w:val="20"/>
              </w:rPr>
              <w:t>, broad suppression order</w:t>
            </w:r>
            <w:r>
              <w:rPr>
                <w:rFonts w:ascii="Arial" w:hAnsi="Arial" w:cs="Arial"/>
                <w:sz w:val="20"/>
              </w:rPr>
              <w:t xml:space="preserve"> or interim order.  Maximum penalty for an individual is level 6 imprisonment or 600 </w:t>
            </w:r>
            <w:proofErr w:type="spellStart"/>
            <w:r>
              <w:rPr>
                <w:rFonts w:ascii="Arial" w:hAnsi="Arial" w:cs="Arial"/>
                <w:sz w:val="20"/>
              </w:rPr>
              <w:t>p.u</w:t>
            </w:r>
            <w:proofErr w:type="spellEnd"/>
            <w:r>
              <w:rPr>
                <w:rFonts w:ascii="Arial" w:hAnsi="Arial" w:cs="Arial"/>
                <w:sz w:val="20"/>
              </w:rPr>
              <w:t xml:space="preserve">. or other.  Maximum penalty for a body corporate 3000 </w:t>
            </w:r>
            <w:proofErr w:type="spellStart"/>
            <w:r>
              <w:rPr>
                <w:rFonts w:ascii="Arial" w:hAnsi="Arial" w:cs="Arial"/>
                <w:sz w:val="20"/>
              </w:rPr>
              <w:t>p.u</w:t>
            </w:r>
            <w:proofErr w:type="spellEnd"/>
            <w:r>
              <w:rPr>
                <w:rFonts w:ascii="Arial" w:hAnsi="Arial" w:cs="Arial"/>
                <w:sz w:val="20"/>
              </w:rPr>
              <w:t>.</w:t>
            </w:r>
          </w:p>
        </w:tc>
      </w:tr>
    </w:tbl>
    <w:p w14:paraId="5634F490" w14:textId="77777777" w:rsidR="00886658" w:rsidRDefault="00886658" w:rsidP="00C632AD">
      <w:pPr>
        <w:jc w:val="both"/>
        <w:rPr>
          <w:rFonts w:ascii="Arial" w:hAnsi="Arial" w:cs="Arial"/>
          <w:color w:val="000000"/>
          <w:sz w:val="20"/>
        </w:rPr>
      </w:pPr>
    </w:p>
    <w:p w14:paraId="362F5318" w14:textId="4FD466E6" w:rsidR="00886658" w:rsidRPr="00792C10" w:rsidRDefault="00886658" w:rsidP="00886658">
      <w:pPr>
        <w:pStyle w:val="Heading2"/>
        <w:keepNext/>
        <w:keepLines/>
        <w:widowControl/>
        <w:shd w:val="clear" w:color="auto" w:fill="000000" w:themeFill="text1"/>
        <w:tabs>
          <w:tab w:val="left" w:pos="567"/>
        </w:tabs>
        <w:spacing w:line="240" w:lineRule="auto"/>
        <w:jc w:val="center"/>
        <w:rPr>
          <w:rFonts w:ascii="Arial" w:hAnsi="Arial" w:cs="Arial"/>
          <w:b/>
          <w:bCs/>
          <w:color w:val="FFFFFF" w:themeColor="background1"/>
          <w:sz w:val="22"/>
          <w:szCs w:val="18"/>
        </w:rPr>
      </w:pPr>
      <w:r>
        <w:rPr>
          <w:rFonts w:ascii="Arial" w:hAnsi="Arial" w:cs="Arial"/>
          <w:b/>
          <w:bCs/>
          <w:color w:val="FFFFFF" w:themeColor="background1"/>
          <w:sz w:val="22"/>
          <w:szCs w:val="18"/>
        </w:rPr>
        <w:t>OTHER STATUTORY POWER</w:t>
      </w:r>
      <w:r w:rsidR="002F7CB1">
        <w:rPr>
          <w:rFonts w:ascii="Arial" w:hAnsi="Arial" w:cs="Arial"/>
          <w:b/>
          <w:bCs/>
          <w:color w:val="FFFFFF" w:themeColor="background1"/>
          <w:sz w:val="22"/>
          <w:szCs w:val="18"/>
        </w:rPr>
        <w:t>S</w:t>
      </w:r>
      <w:r>
        <w:rPr>
          <w:rFonts w:ascii="Arial" w:hAnsi="Arial" w:cs="Arial"/>
          <w:b/>
          <w:bCs/>
          <w:color w:val="FFFFFF" w:themeColor="background1"/>
          <w:sz w:val="22"/>
          <w:szCs w:val="18"/>
        </w:rPr>
        <w:t xml:space="preserve"> TO MAKE A SUPPRESSION ORDER</w:t>
      </w:r>
    </w:p>
    <w:p w14:paraId="7FDADACB" w14:textId="77777777" w:rsidR="002F7CB1" w:rsidRDefault="002F7CB1" w:rsidP="002F7CB1">
      <w:pPr>
        <w:jc w:val="both"/>
        <w:rPr>
          <w:rFonts w:ascii="Arial" w:hAnsi="Arial" w:cs="Arial"/>
          <w:sz w:val="20"/>
        </w:rPr>
      </w:pPr>
    </w:p>
    <w:p w14:paraId="0A088A19" w14:textId="5256CF48" w:rsidR="002F7CB1" w:rsidRPr="002559FB" w:rsidRDefault="002F7CB1" w:rsidP="002F7CB1">
      <w:pPr>
        <w:jc w:val="both"/>
        <w:rPr>
          <w:rFonts w:ascii="Arial" w:hAnsi="Arial" w:cs="Arial"/>
          <w:sz w:val="20"/>
          <w:szCs w:val="20"/>
        </w:rPr>
      </w:pPr>
      <w:r>
        <w:rPr>
          <w:rFonts w:ascii="Arial" w:hAnsi="Arial" w:cs="Arial"/>
          <w:sz w:val="20"/>
        </w:rPr>
        <w:t xml:space="preserve">Section 93.2 of the </w:t>
      </w:r>
      <w:r w:rsidRPr="00586426">
        <w:rPr>
          <w:rFonts w:ascii="Arial" w:hAnsi="Arial" w:cs="Arial"/>
          <w:i/>
          <w:iCs/>
          <w:sz w:val="20"/>
        </w:rPr>
        <w:t xml:space="preserve">Criminal Code Act 1995 </w:t>
      </w:r>
      <w:r w:rsidRPr="00586426">
        <w:rPr>
          <w:rFonts w:ascii="Arial" w:hAnsi="Arial" w:cs="Arial"/>
          <w:sz w:val="20"/>
        </w:rPr>
        <w:t>(</w:t>
      </w:r>
      <w:proofErr w:type="spellStart"/>
      <w:r w:rsidRPr="00586426">
        <w:rPr>
          <w:rFonts w:ascii="Arial" w:hAnsi="Arial" w:cs="Arial"/>
          <w:sz w:val="20"/>
        </w:rPr>
        <w:t>Cth</w:t>
      </w:r>
      <w:proofErr w:type="spellEnd"/>
      <w:r w:rsidRPr="00586426">
        <w:rPr>
          <w:rFonts w:ascii="Arial" w:hAnsi="Arial" w:cs="Arial"/>
          <w:sz w:val="20"/>
        </w:rPr>
        <w:t>)</w:t>
      </w:r>
      <w:r>
        <w:rPr>
          <w:rFonts w:ascii="Arial" w:hAnsi="Arial" w:cs="Arial"/>
          <w:sz w:val="20"/>
        </w:rPr>
        <w:t xml:space="preserve"> provides a court exercising federal jurisdiction with both a suppression order power and a closed court power in circumstances where the exercise of the power is in the interests of Australia’s national security: see </w:t>
      </w:r>
      <w:r w:rsidRPr="00BA7858">
        <w:rPr>
          <w:rFonts w:ascii="Arial" w:hAnsi="Arial" w:cs="Arial"/>
          <w:b/>
          <w:bCs/>
          <w:sz w:val="20"/>
          <w:shd w:val="clear" w:color="auto" w:fill="C5E0B3" w:themeFill="accent6" w:themeFillTint="66"/>
        </w:rPr>
        <w:t>section 2.</w:t>
      </w:r>
      <w:r>
        <w:rPr>
          <w:rFonts w:ascii="Arial" w:hAnsi="Arial" w:cs="Arial"/>
          <w:b/>
          <w:bCs/>
          <w:sz w:val="20"/>
          <w:shd w:val="clear" w:color="auto" w:fill="C5E0B3" w:themeFill="accent6" w:themeFillTint="66"/>
        </w:rPr>
        <w:t>7</w:t>
      </w:r>
      <w:r w:rsidRPr="00BA7858">
        <w:rPr>
          <w:rFonts w:ascii="Arial" w:hAnsi="Arial" w:cs="Arial"/>
          <w:b/>
          <w:bCs/>
          <w:sz w:val="20"/>
          <w:shd w:val="clear" w:color="auto" w:fill="C5E0B3" w:themeFill="accent6" w:themeFillTint="66"/>
        </w:rPr>
        <w:t>.2</w:t>
      </w:r>
      <w:r>
        <w:rPr>
          <w:rFonts w:ascii="Arial" w:hAnsi="Arial" w:cs="Arial"/>
          <w:sz w:val="20"/>
        </w:rPr>
        <w:t xml:space="preserve"> above. </w:t>
      </w:r>
      <w:r w:rsidRPr="002559FB">
        <w:rPr>
          <w:rFonts w:ascii="Arial" w:hAnsi="Arial" w:cs="Arial"/>
          <w:sz w:val="20"/>
          <w:szCs w:val="20"/>
        </w:rPr>
        <w:t xml:space="preserve">For a discussion of the power to make suppression orders under section 93.2 of the </w:t>
      </w:r>
      <w:r w:rsidRPr="002559FB">
        <w:rPr>
          <w:rFonts w:ascii="Arial" w:hAnsi="Arial" w:cs="Arial"/>
          <w:i/>
          <w:iCs/>
          <w:sz w:val="20"/>
          <w:szCs w:val="20"/>
        </w:rPr>
        <w:t>Criminal Code Act 1995</w:t>
      </w:r>
      <w:r w:rsidRPr="002559FB">
        <w:rPr>
          <w:rFonts w:ascii="Arial" w:hAnsi="Arial" w:cs="Arial"/>
          <w:sz w:val="20"/>
          <w:szCs w:val="20"/>
        </w:rPr>
        <w:t xml:space="preserve"> (</w:t>
      </w:r>
      <w:proofErr w:type="spellStart"/>
      <w:r w:rsidRPr="002559FB">
        <w:rPr>
          <w:rFonts w:ascii="Arial" w:hAnsi="Arial" w:cs="Arial"/>
          <w:sz w:val="20"/>
          <w:szCs w:val="20"/>
        </w:rPr>
        <w:t>Cth</w:t>
      </w:r>
      <w:proofErr w:type="spellEnd"/>
      <w:r w:rsidRPr="002559FB">
        <w:rPr>
          <w:rFonts w:ascii="Arial" w:hAnsi="Arial" w:cs="Arial"/>
          <w:sz w:val="20"/>
          <w:szCs w:val="20"/>
        </w:rPr>
        <w:t xml:space="preserve">) see </w:t>
      </w:r>
      <w:r w:rsidRPr="002559FB">
        <w:rPr>
          <w:rFonts w:ascii="Arial" w:hAnsi="Arial" w:cs="Arial"/>
          <w:i/>
          <w:iCs/>
          <w:sz w:val="20"/>
          <w:szCs w:val="20"/>
        </w:rPr>
        <w:t xml:space="preserve">Attorney-General v </w:t>
      </w:r>
      <w:proofErr w:type="spellStart"/>
      <w:r w:rsidRPr="002559FB">
        <w:rPr>
          <w:rFonts w:ascii="Arial" w:hAnsi="Arial" w:cs="Arial"/>
          <w:i/>
          <w:iCs/>
          <w:sz w:val="20"/>
          <w:szCs w:val="20"/>
        </w:rPr>
        <w:t>Temssah</w:t>
      </w:r>
      <w:proofErr w:type="spellEnd"/>
      <w:r w:rsidRPr="002559FB">
        <w:rPr>
          <w:rFonts w:ascii="Arial" w:hAnsi="Arial" w:cs="Arial"/>
          <w:sz w:val="20"/>
          <w:szCs w:val="20"/>
        </w:rPr>
        <w:t xml:space="preserve"> [2024] VSC 172 at [12]-[</w:t>
      </w:r>
      <w:r>
        <w:rPr>
          <w:rFonts w:ascii="Arial" w:hAnsi="Arial" w:cs="Arial"/>
          <w:sz w:val="20"/>
          <w:szCs w:val="20"/>
        </w:rPr>
        <w:t>36</w:t>
      </w:r>
      <w:r w:rsidRPr="002559FB">
        <w:rPr>
          <w:rFonts w:ascii="Arial" w:hAnsi="Arial" w:cs="Arial"/>
          <w:sz w:val="20"/>
          <w:szCs w:val="20"/>
        </w:rPr>
        <w:t>]</w:t>
      </w:r>
      <w:r>
        <w:rPr>
          <w:rFonts w:ascii="Arial" w:hAnsi="Arial" w:cs="Arial"/>
          <w:sz w:val="20"/>
          <w:szCs w:val="20"/>
        </w:rPr>
        <w:t xml:space="preserve">; </w:t>
      </w:r>
      <w:r w:rsidRPr="002559FB">
        <w:rPr>
          <w:rFonts w:ascii="Arial" w:hAnsi="Arial" w:cs="Arial"/>
          <w:i/>
          <w:iCs/>
          <w:sz w:val="20"/>
          <w:szCs w:val="20"/>
        </w:rPr>
        <w:t xml:space="preserve">R v </w:t>
      </w:r>
      <w:proofErr w:type="spellStart"/>
      <w:r w:rsidRPr="002559FB">
        <w:rPr>
          <w:rFonts w:ascii="Arial" w:hAnsi="Arial" w:cs="Arial"/>
          <w:i/>
          <w:iCs/>
          <w:sz w:val="20"/>
          <w:szCs w:val="20"/>
        </w:rPr>
        <w:t>Benbrika</w:t>
      </w:r>
      <w:proofErr w:type="spellEnd"/>
      <w:r w:rsidRPr="002559FB">
        <w:rPr>
          <w:rFonts w:ascii="Arial" w:hAnsi="Arial" w:cs="Arial"/>
          <w:i/>
          <w:iCs/>
          <w:sz w:val="20"/>
          <w:szCs w:val="20"/>
        </w:rPr>
        <w:t xml:space="preserve"> &amp; Ors (Ruling 1)</w:t>
      </w:r>
      <w:r w:rsidRPr="002559FB">
        <w:rPr>
          <w:rFonts w:ascii="Arial" w:hAnsi="Arial" w:cs="Arial"/>
          <w:sz w:val="20"/>
          <w:szCs w:val="20"/>
        </w:rPr>
        <w:t xml:space="preserve"> [2007] VSC 141</w:t>
      </w:r>
      <w:r>
        <w:rPr>
          <w:rFonts w:ascii="Arial" w:hAnsi="Arial" w:cs="Arial"/>
          <w:sz w:val="20"/>
          <w:szCs w:val="20"/>
        </w:rPr>
        <w:t xml:space="preserve">; </w:t>
      </w:r>
      <w:r w:rsidRPr="004F293B">
        <w:rPr>
          <w:rFonts w:ascii="Arial" w:hAnsi="Arial" w:cs="Arial"/>
          <w:i/>
          <w:iCs/>
          <w:sz w:val="20"/>
          <w:szCs w:val="20"/>
        </w:rPr>
        <w:t>R v Lodhi</w:t>
      </w:r>
      <w:r>
        <w:rPr>
          <w:rFonts w:ascii="Arial" w:hAnsi="Arial" w:cs="Arial"/>
          <w:sz w:val="20"/>
          <w:szCs w:val="20"/>
        </w:rPr>
        <w:t xml:space="preserve"> [2006] NSWSC 596 upheld on appeal (2006) NSWLR 573.</w:t>
      </w:r>
    </w:p>
    <w:p w14:paraId="50938181" w14:textId="77777777" w:rsidR="00886658" w:rsidRDefault="00886658" w:rsidP="00886658">
      <w:pPr>
        <w:jc w:val="both"/>
        <w:rPr>
          <w:rFonts w:ascii="Arial" w:hAnsi="Arial" w:cs="Arial"/>
          <w:sz w:val="20"/>
        </w:rPr>
      </w:pPr>
    </w:p>
    <w:p w14:paraId="449A1E02" w14:textId="77777777" w:rsidR="00C632AD" w:rsidRPr="00B63241" w:rsidRDefault="00C632AD" w:rsidP="00C632AD">
      <w:pPr>
        <w:jc w:val="both"/>
        <w:rPr>
          <w:rFonts w:ascii="Arial" w:hAnsi="Arial" w:cs="Arial"/>
          <w:color w:val="000000"/>
          <w:sz w:val="20"/>
          <w:szCs w:val="20"/>
        </w:rPr>
      </w:pPr>
      <w:r w:rsidRPr="00B63241">
        <w:rPr>
          <w:rFonts w:ascii="Arial" w:eastAsia="Book Antiqua" w:hAnsi="Arial" w:cs="Arial"/>
          <w:iCs/>
          <w:sz w:val="20"/>
          <w:szCs w:val="20"/>
        </w:rPr>
        <w:t>For a discussion of the power to make suppression orders under s.75 of the</w:t>
      </w:r>
      <w:r w:rsidRPr="00B63241">
        <w:rPr>
          <w:rFonts w:ascii="Arial" w:eastAsia="Book Antiqua" w:hAnsi="Arial" w:cs="Arial"/>
          <w:i/>
          <w:sz w:val="20"/>
          <w:szCs w:val="20"/>
        </w:rPr>
        <w:t xml:space="preserve"> Crimes (Mental Impairment and Unfitness to be Tried) Act 1997 </w:t>
      </w:r>
      <w:r w:rsidRPr="00B63241">
        <w:rPr>
          <w:rFonts w:ascii="Arial" w:hAnsi="Arial" w:cs="Arial"/>
          <w:sz w:val="20"/>
          <w:szCs w:val="20"/>
        </w:rPr>
        <w:t xml:space="preserve">(Vic) see </w:t>
      </w:r>
      <w:r w:rsidRPr="00B63241">
        <w:rPr>
          <w:rFonts w:ascii="Arial" w:eastAsia="Book Antiqua" w:hAnsi="Arial" w:cs="Arial"/>
          <w:i/>
          <w:sz w:val="20"/>
          <w:szCs w:val="20"/>
        </w:rPr>
        <w:t>Re XY</w:t>
      </w:r>
      <w:r w:rsidRPr="00B63241">
        <w:rPr>
          <w:rFonts w:ascii="Arial" w:hAnsi="Arial" w:cs="Arial"/>
          <w:sz w:val="20"/>
          <w:szCs w:val="20"/>
        </w:rPr>
        <w:t xml:space="preserve"> [2018] VSC 456</w:t>
      </w:r>
      <w:r>
        <w:rPr>
          <w:rFonts w:ascii="Arial" w:hAnsi="Arial" w:cs="Arial"/>
          <w:sz w:val="20"/>
          <w:szCs w:val="20"/>
        </w:rPr>
        <w:t xml:space="preserve"> at</w:t>
      </w:r>
      <w:r w:rsidRPr="00B63241">
        <w:rPr>
          <w:rFonts w:ascii="Arial" w:hAnsi="Arial" w:cs="Arial"/>
          <w:sz w:val="20"/>
          <w:szCs w:val="20"/>
        </w:rPr>
        <w:t xml:space="preserve"> [8] per Croucher J;</w:t>
      </w:r>
      <w:r w:rsidRPr="00B63241">
        <w:rPr>
          <w:rFonts w:ascii="Arial" w:hAnsi="Arial" w:cs="Arial"/>
          <w:sz w:val="20"/>
        </w:rPr>
        <w:t xml:space="preserve"> </w:t>
      </w:r>
      <w:r w:rsidRPr="00B63241">
        <w:rPr>
          <w:rFonts w:ascii="Arial" w:eastAsia="Book Antiqua" w:hAnsi="Arial" w:cs="Arial"/>
          <w:i/>
          <w:sz w:val="20"/>
          <w:szCs w:val="20"/>
        </w:rPr>
        <w:t>Re XY (No</w:t>
      </w:r>
      <w:r>
        <w:rPr>
          <w:rFonts w:ascii="Arial" w:eastAsia="Book Antiqua" w:hAnsi="Arial" w:cs="Arial"/>
          <w:i/>
          <w:sz w:val="20"/>
          <w:szCs w:val="20"/>
        </w:rPr>
        <w:t> </w:t>
      </w:r>
      <w:r w:rsidRPr="00B63241">
        <w:rPr>
          <w:rFonts w:ascii="Arial" w:eastAsia="Book Antiqua" w:hAnsi="Arial" w:cs="Arial"/>
          <w:i/>
          <w:sz w:val="20"/>
          <w:szCs w:val="20"/>
        </w:rPr>
        <w:t>3)</w:t>
      </w:r>
      <w:r w:rsidRPr="00B63241">
        <w:rPr>
          <w:rFonts w:ascii="Arial" w:hAnsi="Arial" w:cs="Arial"/>
          <w:sz w:val="20"/>
          <w:szCs w:val="20"/>
        </w:rPr>
        <w:t xml:space="preserve"> [2020] VSC 195</w:t>
      </w:r>
      <w:r>
        <w:rPr>
          <w:rFonts w:ascii="Arial" w:hAnsi="Arial" w:cs="Arial"/>
          <w:sz w:val="20"/>
          <w:szCs w:val="20"/>
        </w:rPr>
        <w:t xml:space="preserve"> at</w:t>
      </w:r>
      <w:r w:rsidRPr="00B63241">
        <w:rPr>
          <w:rFonts w:ascii="Arial" w:hAnsi="Arial" w:cs="Arial"/>
          <w:sz w:val="20"/>
          <w:szCs w:val="20"/>
        </w:rPr>
        <w:t xml:space="preserve"> [61] </w:t>
      </w:r>
      <w:r>
        <w:rPr>
          <w:rFonts w:ascii="Arial" w:hAnsi="Arial" w:cs="Arial"/>
          <w:sz w:val="20"/>
          <w:szCs w:val="20"/>
        </w:rPr>
        <w:t xml:space="preserve">per </w:t>
      </w:r>
      <w:r w:rsidRPr="00B63241">
        <w:rPr>
          <w:rFonts w:ascii="Arial" w:hAnsi="Arial" w:cs="Arial"/>
          <w:sz w:val="20"/>
          <w:szCs w:val="20"/>
        </w:rPr>
        <w:t>Taylor J</w:t>
      </w:r>
      <w:r>
        <w:rPr>
          <w:rFonts w:ascii="Arial" w:hAnsi="Arial" w:cs="Arial"/>
          <w:sz w:val="20"/>
          <w:szCs w:val="20"/>
        </w:rPr>
        <w:t xml:space="preserve">; </w:t>
      </w:r>
      <w:r w:rsidRPr="00B63241">
        <w:rPr>
          <w:rFonts w:ascii="Arial" w:hAnsi="Arial" w:cs="Arial"/>
          <w:i/>
          <w:iCs/>
          <w:color w:val="000000"/>
          <w:sz w:val="20"/>
          <w:szCs w:val="20"/>
        </w:rPr>
        <w:t>Re XY (No</w:t>
      </w:r>
      <w:r>
        <w:rPr>
          <w:rFonts w:ascii="Arial" w:hAnsi="Arial" w:cs="Arial"/>
          <w:i/>
          <w:iCs/>
          <w:color w:val="000000"/>
          <w:sz w:val="20"/>
          <w:szCs w:val="20"/>
        </w:rPr>
        <w:t> </w:t>
      </w:r>
      <w:r w:rsidRPr="00B63241">
        <w:rPr>
          <w:rFonts w:ascii="Arial" w:hAnsi="Arial" w:cs="Arial"/>
          <w:i/>
          <w:iCs/>
          <w:color w:val="000000"/>
          <w:sz w:val="20"/>
          <w:szCs w:val="20"/>
        </w:rPr>
        <w:t>4)</w:t>
      </w:r>
      <w:r w:rsidRPr="00B63241">
        <w:rPr>
          <w:rFonts w:ascii="Arial" w:hAnsi="Arial" w:cs="Arial"/>
          <w:color w:val="000000"/>
          <w:sz w:val="20"/>
          <w:szCs w:val="20"/>
        </w:rPr>
        <w:t xml:space="preserve"> [2022] VSC 21 at [41]-[48]</w:t>
      </w:r>
      <w:r>
        <w:rPr>
          <w:rFonts w:ascii="Arial" w:hAnsi="Arial" w:cs="Arial"/>
          <w:color w:val="000000"/>
          <w:sz w:val="20"/>
          <w:szCs w:val="20"/>
        </w:rPr>
        <w:t xml:space="preserve"> per Elliott J; </w:t>
      </w:r>
      <w:bookmarkStart w:id="519" w:name="_Hlk104199916"/>
      <w:r w:rsidRPr="001A03B6">
        <w:rPr>
          <w:rFonts w:ascii="Arial" w:hAnsi="Arial" w:cs="Arial"/>
          <w:i/>
          <w:iCs/>
          <w:color w:val="000000"/>
          <w:sz w:val="20"/>
          <w:szCs w:val="20"/>
        </w:rPr>
        <w:t>Re AB</w:t>
      </w:r>
      <w:r>
        <w:rPr>
          <w:rFonts w:ascii="Arial" w:hAnsi="Arial" w:cs="Arial"/>
          <w:color w:val="000000"/>
          <w:sz w:val="20"/>
          <w:szCs w:val="20"/>
        </w:rPr>
        <w:t xml:space="preserve"> [2022] VSC 235 at [30]-[48] per Tinney J</w:t>
      </w:r>
      <w:r w:rsidRPr="00B63241">
        <w:rPr>
          <w:rFonts w:ascii="Arial" w:hAnsi="Arial" w:cs="Arial"/>
          <w:color w:val="000000"/>
          <w:sz w:val="20"/>
          <w:szCs w:val="20"/>
        </w:rPr>
        <w:t>.</w:t>
      </w:r>
      <w:bookmarkEnd w:id="519"/>
    </w:p>
    <w:p w14:paraId="7BE45172" w14:textId="3A0BEC55" w:rsidR="00314FEE" w:rsidRPr="00B14A0C" w:rsidRDefault="00314FEE" w:rsidP="00C632AD">
      <w:pPr>
        <w:jc w:val="both"/>
        <w:rPr>
          <w:rFonts w:ascii="Arial" w:hAnsi="Arial" w:cs="Arial"/>
          <w:sz w:val="20"/>
          <w:szCs w:val="20"/>
        </w:rPr>
      </w:pPr>
    </w:p>
    <w:p w14:paraId="6A55E11A" w14:textId="50AF9B44" w:rsidR="00C632AD" w:rsidRPr="009C333B" w:rsidRDefault="00C632AD" w:rsidP="00C632AD">
      <w:pPr>
        <w:jc w:val="both"/>
        <w:rPr>
          <w:rFonts w:ascii="Arial" w:hAnsi="Arial" w:cs="Arial"/>
          <w:sz w:val="20"/>
        </w:rPr>
      </w:pPr>
      <w:r>
        <w:rPr>
          <w:rFonts w:ascii="Arial" w:hAnsi="Arial" w:cs="Arial"/>
          <w:sz w:val="20"/>
        </w:rPr>
        <w:t xml:space="preserve">In </w:t>
      </w:r>
      <w:r w:rsidRPr="009C333B">
        <w:rPr>
          <w:rFonts w:ascii="Arial" w:hAnsi="Arial" w:cs="Arial"/>
          <w:i/>
          <w:sz w:val="20"/>
        </w:rPr>
        <w:t>AB (a pseudonym) v CD (a pseudonym)</w:t>
      </w:r>
      <w:r>
        <w:rPr>
          <w:rFonts w:ascii="Arial" w:hAnsi="Arial" w:cs="Arial"/>
          <w:i/>
          <w:sz w:val="20"/>
        </w:rPr>
        <w:t>;</w:t>
      </w:r>
      <w:r w:rsidRPr="009C333B">
        <w:rPr>
          <w:rFonts w:ascii="Arial" w:hAnsi="Arial" w:cs="Arial"/>
          <w:i/>
          <w:sz w:val="20"/>
        </w:rPr>
        <w:t xml:space="preserve"> EF (a pseudonym) v CD (a pseudonym)</w:t>
      </w:r>
      <w:r w:rsidRPr="009C333B">
        <w:rPr>
          <w:rFonts w:ascii="Arial" w:hAnsi="Arial" w:cs="Arial"/>
          <w:sz w:val="20"/>
        </w:rPr>
        <w:t xml:space="preserve"> </w:t>
      </w:r>
      <w:r>
        <w:rPr>
          <w:rFonts w:ascii="Arial" w:hAnsi="Arial" w:cs="Arial"/>
          <w:sz w:val="20"/>
        </w:rPr>
        <w:t xml:space="preserve">[2019] HCA 6 Nettle J invoked s.77RE(1)(a) of the </w:t>
      </w:r>
      <w:r w:rsidRPr="00AE0485">
        <w:rPr>
          <w:rFonts w:ascii="Arial" w:hAnsi="Arial" w:cs="Arial"/>
          <w:i/>
          <w:iCs/>
          <w:sz w:val="20"/>
        </w:rPr>
        <w:t>Judiciary Act 1903</w:t>
      </w:r>
      <w:r>
        <w:rPr>
          <w:rFonts w:ascii="Arial" w:hAnsi="Arial" w:cs="Arial"/>
          <w:sz w:val="20"/>
        </w:rPr>
        <w:t xml:space="preserve"> (</w:t>
      </w:r>
      <w:proofErr w:type="spellStart"/>
      <w:r>
        <w:rPr>
          <w:rFonts w:ascii="Arial" w:hAnsi="Arial" w:cs="Arial"/>
          <w:sz w:val="20"/>
        </w:rPr>
        <w:t>Cth</w:t>
      </w:r>
      <w:proofErr w:type="spellEnd"/>
      <w:r>
        <w:rPr>
          <w:rFonts w:ascii="Arial" w:hAnsi="Arial" w:cs="Arial"/>
          <w:sz w:val="20"/>
        </w:rPr>
        <w:t>) to make non-publication orders in circumstances where the risk of harm to children associated with a party to the proceeding were held to be “acute”.</w:t>
      </w:r>
    </w:p>
    <w:p w14:paraId="7BA9A198" w14:textId="77777777" w:rsidR="00C632AD" w:rsidRDefault="00C632AD" w:rsidP="00C632AD">
      <w:pPr>
        <w:jc w:val="both"/>
        <w:rPr>
          <w:rFonts w:ascii="Arial" w:hAnsi="Arial" w:cs="Arial"/>
          <w:sz w:val="20"/>
        </w:rPr>
      </w:pPr>
    </w:p>
    <w:p w14:paraId="35A94DCA" w14:textId="32491437" w:rsidR="00C632AD" w:rsidRDefault="00C632AD" w:rsidP="00C632AD">
      <w:pPr>
        <w:jc w:val="both"/>
        <w:rPr>
          <w:rFonts w:ascii="Arial" w:hAnsi="Arial" w:cs="Arial"/>
          <w:sz w:val="20"/>
        </w:rPr>
      </w:pPr>
      <w:r>
        <w:rPr>
          <w:rFonts w:ascii="Arial" w:hAnsi="Arial" w:cs="Arial"/>
          <w:sz w:val="20"/>
        </w:rPr>
        <w:t xml:space="preserve">In </w:t>
      </w:r>
      <w:bookmarkStart w:id="520" w:name="_Hlk13649355"/>
      <w:r w:rsidRPr="00B32CBA">
        <w:rPr>
          <w:rFonts w:ascii="Arial" w:hAnsi="Arial" w:cs="Arial"/>
          <w:i/>
          <w:iCs/>
          <w:sz w:val="20"/>
        </w:rPr>
        <w:t>Chairperson of the Royal Commission into the Management of Police Informants v Chief Commissioner of Victoria Police</w:t>
      </w:r>
      <w:r>
        <w:rPr>
          <w:rFonts w:ascii="Arial" w:hAnsi="Arial" w:cs="Arial"/>
          <w:sz w:val="20"/>
        </w:rPr>
        <w:t xml:space="preserve"> [2019] VSCA 154 </w:t>
      </w:r>
      <w:bookmarkEnd w:id="520"/>
      <w:r>
        <w:rPr>
          <w:rFonts w:ascii="Arial" w:hAnsi="Arial" w:cs="Arial"/>
          <w:sz w:val="20"/>
        </w:rPr>
        <w:t xml:space="preserve">the Court of Appeal (Whelan, Beach &amp; Weinberg JJA) allowed in part an application to vacate or vary suppression orders, holding that revocation of the orders entirely would increase risk but varying the orders to </w:t>
      </w:r>
      <w:r w:rsidRPr="00933B98">
        <w:rPr>
          <w:rFonts w:ascii="Arial" w:hAnsi="Arial" w:cs="Arial"/>
          <w:sz w:val="20"/>
        </w:rPr>
        <w:t>permit disclosure to and by the Royal Commission in accordance with</w:t>
      </w:r>
      <w:r>
        <w:rPr>
          <w:rFonts w:ascii="Arial" w:hAnsi="Arial" w:cs="Arial"/>
          <w:sz w:val="20"/>
        </w:rPr>
        <w:t xml:space="preserve"> the</w:t>
      </w:r>
      <w:r w:rsidRPr="00933B98">
        <w:rPr>
          <w:rFonts w:ascii="Arial" w:hAnsi="Arial" w:cs="Arial"/>
          <w:sz w:val="20"/>
        </w:rPr>
        <w:t xml:space="preserve"> </w:t>
      </w:r>
      <w:r w:rsidRPr="00AE0485">
        <w:rPr>
          <w:rFonts w:ascii="Arial" w:hAnsi="Arial" w:cs="Arial"/>
          <w:i/>
          <w:iCs/>
          <w:sz w:val="20"/>
        </w:rPr>
        <w:t>Inquiries Act 2014</w:t>
      </w:r>
      <w:r w:rsidRPr="00933B98">
        <w:rPr>
          <w:rFonts w:ascii="Arial" w:hAnsi="Arial" w:cs="Arial"/>
          <w:sz w:val="20"/>
        </w:rPr>
        <w:t xml:space="preserve"> and the </w:t>
      </w:r>
      <w:r w:rsidRPr="00AE0485">
        <w:rPr>
          <w:rFonts w:ascii="Arial" w:hAnsi="Arial" w:cs="Arial"/>
          <w:i/>
          <w:iCs/>
          <w:sz w:val="20"/>
        </w:rPr>
        <w:t>Witness Protection Act 1991</w:t>
      </w:r>
      <w:r>
        <w:rPr>
          <w:rFonts w:ascii="Arial" w:hAnsi="Arial" w:cs="Arial"/>
          <w:sz w:val="20"/>
        </w:rPr>
        <w:t xml:space="preserve">. In this process the Court applied </w:t>
      </w:r>
      <w:r w:rsidRPr="00AC01DC">
        <w:rPr>
          <w:rFonts w:ascii="Arial" w:hAnsi="Arial" w:cs="Arial"/>
          <w:i/>
          <w:iCs/>
          <w:sz w:val="20"/>
        </w:rPr>
        <w:t>AB v CD</w:t>
      </w:r>
      <w:r w:rsidRPr="00933B98">
        <w:rPr>
          <w:rFonts w:ascii="Arial" w:hAnsi="Arial" w:cs="Arial"/>
          <w:sz w:val="20"/>
        </w:rPr>
        <w:t xml:space="preserve"> [2019] VSCA 28</w:t>
      </w:r>
      <w:r>
        <w:rPr>
          <w:rFonts w:ascii="Arial" w:hAnsi="Arial" w:cs="Arial"/>
          <w:sz w:val="20"/>
        </w:rPr>
        <w:t xml:space="preserve"> and</w:t>
      </w:r>
      <w:r w:rsidRPr="00933B98">
        <w:rPr>
          <w:rFonts w:ascii="Arial" w:hAnsi="Arial" w:cs="Arial"/>
          <w:sz w:val="20"/>
        </w:rPr>
        <w:t xml:space="preserve"> </w:t>
      </w:r>
      <w:r w:rsidRPr="00AC01DC">
        <w:rPr>
          <w:rFonts w:ascii="Arial" w:hAnsi="Arial" w:cs="Arial"/>
          <w:i/>
          <w:iCs/>
          <w:sz w:val="20"/>
        </w:rPr>
        <w:t>AB v CD; EF v CD</w:t>
      </w:r>
      <w:r w:rsidRPr="00933B98">
        <w:rPr>
          <w:rFonts w:ascii="Arial" w:hAnsi="Arial" w:cs="Arial"/>
          <w:sz w:val="20"/>
        </w:rPr>
        <w:t xml:space="preserve"> [2019] HCA 6</w:t>
      </w:r>
      <w:r>
        <w:rPr>
          <w:rFonts w:ascii="Arial" w:hAnsi="Arial" w:cs="Arial"/>
          <w:sz w:val="20"/>
        </w:rPr>
        <w:t>.</w:t>
      </w:r>
    </w:p>
    <w:p w14:paraId="70540941" w14:textId="77777777" w:rsidR="003F1462" w:rsidRPr="001E79F7" w:rsidRDefault="003F1462" w:rsidP="00C632AD">
      <w:pPr>
        <w:jc w:val="both"/>
        <w:rPr>
          <w:rFonts w:ascii="Arial" w:hAnsi="Arial" w:cs="Arial"/>
          <w:sz w:val="20"/>
        </w:rPr>
      </w:pPr>
    </w:p>
    <w:p w14:paraId="4C8049DD" w14:textId="44850E92" w:rsidR="00C632AD" w:rsidRDefault="00C632AD" w:rsidP="00C632AD">
      <w:pPr>
        <w:pStyle w:val="Heading3"/>
        <w:keepNext/>
        <w:widowControl/>
        <w:spacing w:after="120" w:line="240" w:lineRule="auto"/>
        <w:rPr>
          <w:rFonts w:ascii="Arial" w:hAnsi="Arial" w:cs="Arial"/>
          <w:b/>
          <w:bCs/>
          <w:sz w:val="20"/>
        </w:rPr>
      </w:pPr>
      <w:bookmarkStart w:id="521" w:name="_2.8.3_Does_the"/>
      <w:bookmarkStart w:id="522" w:name="_2.8.3_The_relationship"/>
      <w:bookmarkStart w:id="523" w:name="_2.8.3_‘Take-down’_orders"/>
      <w:bookmarkEnd w:id="521"/>
      <w:bookmarkEnd w:id="522"/>
      <w:bookmarkEnd w:id="523"/>
      <w:r>
        <w:rPr>
          <w:rFonts w:ascii="Arial" w:hAnsi="Arial" w:cs="Arial"/>
          <w:b/>
          <w:bCs/>
          <w:sz w:val="20"/>
        </w:rPr>
        <w:t>2.8.3</w:t>
      </w:r>
      <w:r>
        <w:rPr>
          <w:rFonts w:ascii="Arial" w:hAnsi="Arial" w:cs="Arial"/>
          <w:b/>
          <w:bCs/>
          <w:sz w:val="20"/>
        </w:rPr>
        <w:tab/>
      </w:r>
      <w:r w:rsidR="00692D54">
        <w:rPr>
          <w:rFonts w:ascii="Arial" w:hAnsi="Arial" w:cs="Arial"/>
          <w:b/>
          <w:bCs/>
          <w:sz w:val="20"/>
        </w:rPr>
        <w:t>‘Take</w:t>
      </w:r>
      <w:r w:rsidR="008D7980">
        <w:rPr>
          <w:rFonts w:ascii="Arial" w:hAnsi="Arial" w:cs="Arial"/>
          <w:b/>
          <w:bCs/>
          <w:sz w:val="20"/>
        </w:rPr>
        <w:t>-</w:t>
      </w:r>
      <w:r w:rsidR="00692D54">
        <w:rPr>
          <w:rFonts w:ascii="Arial" w:hAnsi="Arial" w:cs="Arial"/>
          <w:b/>
          <w:bCs/>
          <w:sz w:val="20"/>
        </w:rPr>
        <w:t>down’ orders</w:t>
      </w:r>
    </w:p>
    <w:p w14:paraId="28012E52" w14:textId="32336F96" w:rsidR="008D7980" w:rsidRDefault="001F5D53" w:rsidP="008D7980">
      <w:pPr>
        <w:jc w:val="both"/>
        <w:rPr>
          <w:rFonts w:ascii="Arial" w:hAnsi="Arial" w:cs="Arial"/>
          <w:color w:val="000000"/>
          <w:sz w:val="20"/>
          <w:szCs w:val="20"/>
        </w:rPr>
      </w:pPr>
      <w:r>
        <w:rPr>
          <w:rFonts w:ascii="Arial" w:hAnsi="Arial" w:cs="Arial"/>
          <w:sz w:val="20"/>
        </w:rPr>
        <w:t>A ‘take</w:t>
      </w:r>
      <w:r w:rsidR="008D7980">
        <w:rPr>
          <w:rFonts w:ascii="Arial" w:hAnsi="Arial" w:cs="Arial"/>
          <w:sz w:val="20"/>
        </w:rPr>
        <w:t>-</w:t>
      </w:r>
      <w:r>
        <w:rPr>
          <w:rFonts w:ascii="Arial" w:hAnsi="Arial" w:cs="Arial"/>
          <w:sz w:val="20"/>
        </w:rPr>
        <w:t>down’ order is an order that a person remove material that has been published in print or on</w:t>
      </w:r>
      <w:r>
        <w:rPr>
          <w:rFonts w:ascii="Arial" w:hAnsi="Arial" w:cs="Arial"/>
          <w:sz w:val="20"/>
        </w:rPr>
        <w:noBreakHyphen/>
        <w:t xml:space="preserve">line.  A </w:t>
      </w:r>
      <w:r w:rsidR="001E5D57">
        <w:rPr>
          <w:rFonts w:ascii="Arial" w:hAnsi="Arial" w:cs="Arial"/>
          <w:sz w:val="20"/>
        </w:rPr>
        <w:t>detailed</w:t>
      </w:r>
      <w:r>
        <w:rPr>
          <w:rFonts w:ascii="Arial" w:hAnsi="Arial" w:cs="Arial"/>
          <w:sz w:val="20"/>
        </w:rPr>
        <w:t xml:space="preserve"> discussion of ‘take</w:t>
      </w:r>
      <w:r w:rsidR="008D7980">
        <w:rPr>
          <w:rFonts w:ascii="Arial" w:hAnsi="Arial" w:cs="Arial"/>
          <w:sz w:val="20"/>
        </w:rPr>
        <w:t>-</w:t>
      </w:r>
      <w:r>
        <w:rPr>
          <w:rFonts w:ascii="Arial" w:hAnsi="Arial" w:cs="Arial"/>
          <w:sz w:val="20"/>
        </w:rPr>
        <w:t xml:space="preserve">down’ orders </w:t>
      </w:r>
      <w:r w:rsidR="00C76FAC">
        <w:rPr>
          <w:rFonts w:ascii="Arial" w:hAnsi="Arial" w:cs="Arial"/>
          <w:sz w:val="20"/>
        </w:rPr>
        <w:t>may be found</w:t>
      </w:r>
      <w:r>
        <w:rPr>
          <w:rFonts w:ascii="Arial" w:hAnsi="Arial" w:cs="Arial"/>
          <w:sz w:val="20"/>
        </w:rPr>
        <w:t xml:space="preserve"> in Chapter 14 of a report entitled “</w:t>
      </w:r>
      <w:r w:rsidRPr="008D7980">
        <w:rPr>
          <w:rFonts w:ascii="Arial" w:hAnsi="Arial" w:cs="Arial"/>
          <w:b/>
          <w:bCs/>
          <w:sz w:val="20"/>
        </w:rPr>
        <w:t>Contempt of Court</w:t>
      </w:r>
      <w:r>
        <w:rPr>
          <w:rFonts w:ascii="Arial" w:hAnsi="Arial" w:cs="Arial"/>
          <w:sz w:val="20"/>
        </w:rPr>
        <w:t xml:space="preserve">” </w:t>
      </w:r>
      <w:r w:rsidR="001E5D57">
        <w:rPr>
          <w:rFonts w:ascii="Arial" w:hAnsi="Arial" w:cs="Arial"/>
          <w:sz w:val="20"/>
        </w:rPr>
        <w:t>which was</w:t>
      </w:r>
      <w:r>
        <w:rPr>
          <w:rFonts w:ascii="Arial" w:hAnsi="Arial" w:cs="Arial"/>
          <w:sz w:val="20"/>
        </w:rPr>
        <w:t xml:space="preserve"> published by the Victorian Law Reform Commission </w:t>
      </w:r>
      <w:r w:rsidR="007D6088">
        <w:rPr>
          <w:rFonts w:ascii="Arial" w:hAnsi="Arial" w:cs="Arial"/>
          <w:sz w:val="20"/>
        </w:rPr>
        <w:t xml:space="preserve">[VLRC] </w:t>
      </w:r>
      <w:r>
        <w:rPr>
          <w:rFonts w:ascii="Arial" w:hAnsi="Arial" w:cs="Arial"/>
          <w:sz w:val="20"/>
        </w:rPr>
        <w:t>on 22/11/2021</w:t>
      </w:r>
      <w:r w:rsidR="000F1534">
        <w:rPr>
          <w:rFonts w:ascii="Arial" w:hAnsi="Arial" w:cs="Arial"/>
          <w:sz w:val="20"/>
        </w:rPr>
        <w:t>: see </w:t>
      </w:r>
      <w:hyperlink r:id="rId13" w:history="1">
        <w:r w:rsidR="000F1534" w:rsidRPr="000F1534">
          <w:rPr>
            <w:rStyle w:val="Hyperlink"/>
            <w:rFonts w:ascii="Arial" w:hAnsi="Arial" w:cs="Arial"/>
            <w:sz w:val="20"/>
          </w:rPr>
          <w:t>https://www.lawreform.vic.gov.au/publication/contempt-of-court-report/14-take-down-orders/</w:t>
        </w:r>
      </w:hyperlink>
      <w:r>
        <w:rPr>
          <w:rFonts w:ascii="Arial" w:hAnsi="Arial" w:cs="Arial"/>
          <w:sz w:val="20"/>
        </w:rPr>
        <w:t>.</w:t>
      </w:r>
      <w:r w:rsidR="008D7980">
        <w:rPr>
          <w:rFonts w:ascii="Arial" w:hAnsi="Arial" w:cs="Arial"/>
          <w:sz w:val="20"/>
        </w:rPr>
        <w:t xml:space="preserve"> </w:t>
      </w:r>
      <w:r w:rsidR="008D7980" w:rsidRPr="001F5D53">
        <w:rPr>
          <w:rFonts w:ascii="Arial" w:hAnsi="Arial" w:cs="Arial"/>
          <w:color w:val="000000"/>
          <w:sz w:val="20"/>
          <w:szCs w:val="20"/>
        </w:rPr>
        <w:t xml:space="preserve">The </w:t>
      </w:r>
      <w:r w:rsidR="007D6088">
        <w:rPr>
          <w:rFonts w:ascii="Arial" w:hAnsi="Arial" w:cs="Arial"/>
          <w:color w:val="000000"/>
          <w:sz w:val="20"/>
          <w:szCs w:val="20"/>
        </w:rPr>
        <w:t xml:space="preserve">primary </w:t>
      </w:r>
      <w:r w:rsidR="008D7980" w:rsidRPr="001F5D53">
        <w:rPr>
          <w:rFonts w:ascii="Arial" w:hAnsi="Arial" w:cs="Arial"/>
          <w:color w:val="000000"/>
          <w:sz w:val="20"/>
          <w:szCs w:val="20"/>
        </w:rPr>
        <w:t>purpose of a take</w:t>
      </w:r>
      <w:r w:rsidR="008D7980">
        <w:rPr>
          <w:rFonts w:ascii="Arial" w:hAnsi="Arial" w:cs="Arial"/>
          <w:color w:val="000000"/>
          <w:sz w:val="20"/>
          <w:szCs w:val="20"/>
        </w:rPr>
        <w:t>-</w:t>
      </w:r>
      <w:r w:rsidR="008D7980" w:rsidRPr="001F5D53">
        <w:rPr>
          <w:rFonts w:ascii="Arial" w:hAnsi="Arial" w:cs="Arial"/>
          <w:color w:val="000000"/>
          <w:sz w:val="20"/>
          <w:szCs w:val="20"/>
        </w:rPr>
        <w:t>down order is to limit the harm caused by a breach of a restriction on publication.</w:t>
      </w:r>
      <w:r w:rsidR="007D6088">
        <w:rPr>
          <w:rFonts w:ascii="Arial" w:hAnsi="Arial" w:cs="Arial"/>
          <w:color w:val="000000"/>
          <w:sz w:val="20"/>
          <w:szCs w:val="20"/>
        </w:rPr>
        <w:t xml:space="preserve"> </w:t>
      </w:r>
      <w:r w:rsidR="008D7980" w:rsidRPr="001F5D53">
        <w:rPr>
          <w:rFonts w:ascii="Arial" w:hAnsi="Arial" w:cs="Arial"/>
          <w:color w:val="000000"/>
          <w:sz w:val="20"/>
          <w:szCs w:val="20"/>
        </w:rPr>
        <w:t>It is a remedy rather than a form of punishment.</w:t>
      </w:r>
    </w:p>
    <w:p w14:paraId="552133D3" w14:textId="75CE0303" w:rsidR="008D7980" w:rsidRDefault="008D7980" w:rsidP="008D7980">
      <w:pPr>
        <w:jc w:val="both"/>
        <w:rPr>
          <w:rFonts w:ascii="Arial" w:hAnsi="Arial" w:cs="Arial"/>
          <w:color w:val="000000"/>
          <w:sz w:val="20"/>
          <w:szCs w:val="20"/>
        </w:rPr>
      </w:pPr>
    </w:p>
    <w:p w14:paraId="46DD0CDD" w14:textId="71F6A26D" w:rsidR="00AD721F" w:rsidRDefault="008D7980" w:rsidP="008D7980">
      <w:pPr>
        <w:jc w:val="both"/>
        <w:rPr>
          <w:rFonts w:ascii="Arial" w:hAnsi="Arial" w:cs="Arial"/>
          <w:color w:val="000000"/>
          <w:sz w:val="20"/>
          <w:szCs w:val="20"/>
        </w:rPr>
      </w:pPr>
      <w:r w:rsidRPr="001F5D53">
        <w:rPr>
          <w:rFonts w:ascii="Arial" w:hAnsi="Arial" w:cs="Arial"/>
          <w:color w:val="000000"/>
          <w:sz w:val="20"/>
          <w:szCs w:val="20"/>
        </w:rPr>
        <w:t xml:space="preserve">Take-down orders can be used to require material to be taken down that was lawful when first published but </w:t>
      </w:r>
      <w:r w:rsidR="007D6088">
        <w:rPr>
          <w:rFonts w:ascii="Arial" w:hAnsi="Arial" w:cs="Arial"/>
          <w:color w:val="000000"/>
          <w:sz w:val="20"/>
          <w:szCs w:val="20"/>
        </w:rPr>
        <w:t xml:space="preserve">which </w:t>
      </w:r>
      <w:r w:rsidRPr="001F5D53">
        <w:rPr>
          <w:rFonts w:ascii="Arial" w:hAnsi="Arial" w:cs="Arial"/>
          <w:color w:val="000000"/>
          <w:sz w:val="20"/>
          <w:szCs w:val="20"/>
        </w:rPr>
        <w:t xml:space="preserve">now breaches a restriction on publication (for example, because a </w:t>
      </w:r>
      <w:r>
        <w:rPr>
          <w:rFonts w:ascii="Arial" w:hAnsi="Arial" w:cs="Arial"/>
          <w:color w:val="000000"/>
          <w:sz w:val="20"/>
          <w:szCs w:val="20"/>
        </w:rPr>
        <w:t xml:space="preserve">child </w:t>
      </w:r>
      <w:r w:rsidR="00F167F8">
        <w:rPr>
          <w:rFonts w:ascii="Arial" w:hAnsi="Arial" w:cs="Arial"/>
          <w:color w:val="000000"/>
          <w:sz w:val="20"/>
          <w:szCs w:val="20"/>
        </w:rPr>
        <w:t xml:space="preserve">referred to in the publication </w:t>
      </w:r>
      <w:r>
        <w:rPr>
          <w:rFonts w:ascii="Arial" w:hAnsi="Arial" w:cs="Arial"/>
          <w:color w:val="000000"/>
          <w:sz w:val="20"/>
          <w:szCs w:val="20"/>
        </w:rPr>
        <w:t>has now been charged with a criminal offence</w:t>
      </w:r>
      <w:r w:rsidRPr="001F5D53">
        <w:rPr>
          <w:rFonts w:ascii="Arial" w:hAnsi="Arial" w:cs="Arial"/>
          <w:color w:val="000000"/>
          <w:sz w:val="20"/>
          <w:szCs w:val="20"/>
        </w:rPr>
        <w:t>).</w:t>
      </w:r>
      <w:r>
        <w:rPr>
          <w:rFonts w:ascii="Arial" w:hAnsi="Arial" w:cs="Arial"/>
          <w:color w:val="000000"/>
          <w:sz w:val="20"/>
          <w:szCs w:val="20"/>
        </w:rPr>
        <w:t xml:space="preserve">  </w:t>
      </w:r>
      <w:r w:rsidRPr="001F5D53">
        <w:rPr>
          <w:rFonts w:ascii="Arial" w:hAnsi="Arial" w:cs="Arial"/>
          <w:color w:val="000000"/>
          <w:sz w:val="20"/>
          <w:szCs w:val="20"/>
        </w:rPr>
        <w:t xml:space="preserve">Take-down orders are also used to remove material proved to be in breach of a restriction on publication. </w:t>
      </w:r>
      <w:r w:rsidR="003618B5">
        <w:rPr>
          <w:rFonts w:ascii="Arial" w:hAnsi="Arial" w:cs="Arial"/>
          <w:color w:val="000000"/>
          <w:sz w:val="20"/>
          <w:szCs w:val="20"/>
        </w:rPr>
        <w:t xml:space="preserve"> For example, t</w:t>
      </w:r>
      <w:r w:rsidRPr="001F5D53">
        <w:rPr>
          <w:rFonts w:ascii="Arial" w:hAnsi="Arial" w:cs="Arial"/>
          <w:color w:val="000000"/>
          <w:sz w:val="20"/>
          <w:szCs w:val="20"/>
        </w:rPr>
        <w:t xml:space="preserve">he Supreme Court of Victoria and the County Court of Victoria can make take-down orders under their powers to control court </w:t>
      </w:r>
      <w:r w:rsidRPr="001F5D53">
        <w:rPr>
          <w:rFonts w:ascii="Arial" w:hAnsi="Arial" w:cs="Arial"/>
          <w:color w:val="000000"/>
          <w:sz w:val="20"/>
          <w:szCs w:val="20"/>
        </w:rPr>
        <w:lastRenderedPageBreak/>
        <w:t>proceedings and protect a fair trial</w:t>
      </w:r>
      <w:r>
        <w:rPr>
          <w:rFonts w:ascii="Arial" w:hAnsi="Arial" w:cs="Arial"/>
          <w:color w:val="000000"/>
          <w:sz w:val="20"/>
          <w:szCs w:val="20"/>
        </w:rPr>
        <w:t>: see</w:t>
      </w:r>
      <w:r w:rsidR="00B80452">
        <w:rPr>
          <w:rFonts w:ascii="Arial" w:hAnsi="Arial" w:cs="Arial"/>
          <w:color w:val="000000"/>
          <w:sz w:val="20"/>
          <w:szCs w:val="20"/>
        </w:rPr>
        <w:t xml:space="preserve"> </w:t>
      </w:r>
      <w:r w:rsidRPr="008D7980">
        <w:rPr>
          <w:rFonts w:ascii="Arial" w:hAnsi="Arial" w:cs="Arial"/>
          <w:i/>
          <w:iCs/>
          <w:color w:val="000000"/>
          <w:sz w:val="20"/>
          <w:szCs w:val="20"/>
        </w:rPr>
        <w:t>DPP (</w:t>
      </w:r>
      <w:proofErr w:type="spellStart"/>
      <w:r w:rsidRPr="008D7980">
        <w:rPr>
          <w:rFonts w:ascii="Arial" w:hAnsi="Arial" w:cs="Arial"/>
          <w:i/>
          <w:iCs/>
          <w:color w:val="000000"/>
          <w:sz w:val="20"/>
          <w:szCs w:val="20"/>
        </w:rPr>
        <w:t>Cth</w:t>
      </w:r>
      <w:proofErr w:type="spellEnd"/>
      <w:r w:rsidRPr="008D7980">
        <w:rPr>
          <w:rFonts w:ascii="Arial" w:hAnsi="Arial" w:cs="Arial"/>
          <w:i/>
          <w:iCs/>
          <w:color w:val="000000"/>
          <w:sz w:val="20"/>
          <w:szCs w:val="20"/>
        </w:rPr>
        <w:t>) v Brady</w:t>
      </w:r>
      <w:r>
        <w:rPr>
          <w:rFonts w:ascii="Arial" w:hAnsi="Arial" w:cs="Arial"/>
          <w:i/>
          <w:iCs/>
          <w:color w:val="000000"/>
          <w:sz w:val="20"/>
          <w:szCs w:val="20"/>
        </w:rPr>
        <w:t xml:space="preserve"> </w:t>
      </w:r>
      <w:r w:rsidRPr="008D7980">
        <w:rPr>
          <w:rFonts w:ascii="Arial" w:hAnsi="Arial" w:cs="Arial"/>
          <w:color w:val="000000"/>
          <w:sz w:val="20"/>
          <w:szCs w:val="20"/>
        </w:rPr>
        <w:t>[2015] VSC 246 [75], (2015) 252 A Crim R 50; </w:t>
      </w:r>
      <w:r w:rsidRPr="008D7980">
        <w:rPr>
          <w:rFonts w:ascii="Arial" w:hAnsi="Arial" w:cs="Arial"/>
          <w:i/>
          <w:iCs/>
          <w:color w:val="000000"/>
          <w:sz w:val="20"/>
          <w:szCs w:val="20"/>
        </w:rPr>
        <w:t>News Digital Media Pty Ltd v Mokbel </w:t>
      </w:r>
      <w:r w:rsidRPr="008D7980">
        <w:rPr>
          <w:rFonts w:ascii="Arial" w:hAnsi="Arial" w:cs="Arial"/>
          <w:color w:val="000000"/>
          <w:sz w:val="20"/>
          <w:szCs w:val="20"/>
        </w:rPr>
        <w:t>[2010] VSCA 51, (2010) 30 VR 248 [63]</w:t>
      </w:r>
      <w:r w:rsidR="0099065D">
        <w:rPr>
          <w:rFonts w:ascii="Arial" w:hAnsi="Arial" w:cs="Arial"/>
          <w:color w:val="000000"/>
          <w:sz w:val="20"/>
          <w:szCs w:val="20"/>
        </w:rPr>
        <w:t>-</w:t>
      </w:r>
      <w:r w:rsidRPr="008D7980">
        <w:rPr>
          <w:rFonts w:ascii="Arial" w:hAnsi="Arial" w:cs="Arial"/>
          <w:color w:val="000000"/>
          <w:sz w:val="20"/>
          <w:szCs w:val="20"/>
        </w:rPr>
        <w:t>[67]</w:t>
      </w:r>
      <w:r w:rsidR="009D2654">
        <w:rPr>
          <w:rFonts w:ascii="Arial" w:hAnsi="Arial" w:cs="Arial"/>
          <w:color w:val="000000"/>
          <w:sz w:val="20"/>
          <w:szCs w:val="20"/>
        </w:rPr>
        <w:t xml:space="preserve">; </w:t>
      </w:r>
      <w:r w:rsidR="009D2654" w:rsidRPr="009D2654">
        <w:rPr>
          <w:rFonts w:ascii="Arial" w:hAnsi="Arial" w:cs="Arial"/>
          <w:i/>
          <w:iCs/>
          <w:sz w:val="20"/>
        </w:rPr>
        <w:t>R v Lynn (Takedown application)</w:t>
      </w:r>
      <w:r w:rsidR="009D2654">
        <w:rPr>
          <w:rFonts w:ascii="Arial" w:hAnsi="Arial" w:cs="Arial"/>
          <w:sz w:val="20"/>
        </w:rPr>
        <w:t xml:space="preserve"> [2026] VSC 148 at [41]-[53].</w:t>
      </w:r>
    </w:p>
    <w:p w14:paraId="19522687" w14:textId="77777777" w:rsidR="00AD721F" w:rsidRDefault="00AD721F" w:rsidP="008D7980">
      <w:pPr>
        <w:jc w:val="both"/>
        <w:rPr>
          <w:rFonts w:ascii="Arial" w:hAnsi="Arial" w:cs="Arial"/>
          <w:color w:val="000000"/>
          <w:sz w:val="20"/>
          <w:szCs w:val="20"/>
        </w:rPr>
      </w:pPr>
    </w:p>
    <w:p w14:paraId="1E14CD84" w14:textId="1CED0869" w:rsidR="007D6088" w:rsidRPr="003618B5" w:rsidRDefault="007D6088" w:rsidP="007D6088">
      <w:pPr>
        <w:jc w:val="both"/>
        <w:rPr>
          <w:rFonts w:ascii="Arial" w:hAnsi="Arial" w:cs="Arial"/>
          <w:color w:val="000000"/>
          <w:sz w:val="16"/>
          <w:szCs w:val="16"/>
        </w:rPr>
      </w:pPr>
      <w:r>
        <w:rPr>
          <w:rFonts w:ascii="Arial" w:hAnsi="Arial" w:cs="Arial"/>
          <w:color w:val="000000"/>
          <w:sz w:val="20"/>
          <w:szCs w:val="20"/>
        </w:rPr>
        <w:t xml:space="preserve">In its overview of </w:t>
      </w:r>
      <w:r w:rsidRPr="007D6088">
        <w:rPr>
          <w:rFonts w:ascii="Arial" w:hAnsi="Arial" w:cs="Arial"/>
          <w:b/>
          <w:bCs/>
          <w:color w:val="000000"/>
          <w:sz w:val="20"/>
          <w:szCs w:val="20"/>
        </w:rPr>
        <w:t>‘take-down’ orders</w:t>
      </w:r>
      <w:r>
        <w:rPr>
          <w:rFonts w:ascii="Arial" w:hAnsi="Arial" w:cs="Arial"/>
          <w:color w:val="000000"/>
          <w:sz w:val="20"/>
          <w:szCs w:val="20"/>
        </w:rPr>
        <w:t xml:space="preserve"> the VLRC report noted</w:t>
      </w:r>
      <w:r w:rsidR="001E0142">
        <w:rPr>
          <w:rFonts w:ascii="Arial" w:hAnsi="Arial" w:cs="Arial"/>
          <w:color w:val="000000"/>
          <w:sz w:val="20"/>
          <w:szCs w:val="20"/>
        </w:rPr>
        <w:t xml:space="preserve"> [emphasis added]</w:t>
      </w:r>
      <w:r>
        <w:rPr>
          <w:rFonts w:ascii="Arial" w:hAnsi="Arial" w:cs="Arial"/>
          <w:color w:val="000000"/>
          <w:sz w:val="20"/>
          <w:szCs w:val="20"/>
        </w:rPr>
        <w:t>:</w:t>
      </w:r>
    </w:p>
    <w:p w14:paraId="4D687369" w14:textId="57A5DBF8" w:rsidR="007D6088" w:rsidRPr="001E0142" w:rsidRDefault="007D6088" w:rsidP="00C23CF0">
      <w:pPr>
        <w:pStyle w:val="ListParagraph"/>
        <w:numPr>
          <w:ilvl w:val="0"/>
          <w:numId w:val="37"/>
        </w:numPr>
        <w:spacing w:before="60"/>
        <w:ind w:left="357" w:hanging="357"/>
        <w:jc w:val="both"/>
        <w:rPr>
          <w:rFonts w:ascii="Arial" w:hAnsi="Arial" w:cs="Arial"/>
          <w:color w:val="000000"/>
          <w:sz w:val="20"/>
        </w:rPr>
      </w:pPr>
      <w:r w:rsidRPr="007D6088">
        <w:rPr>
          <w:rFonts w:ascii="Arial" w:hAnsi="Arial" w:cs="Arial"/>
          <w:b/>
          <w:bCs/>
          <w:color w:val="000000"/>
          <w:sz w:val="20"/>
          <w:szCs w:val="16"/>
          <w:shd w:val="clear" w:color="auto" w:fill="FEFEFE"/>
        </w:rPr>
        <w:t>Courts can order a person to remove material that has been published.</w:t>
      </w:r>
    </w:p>
    <w:p w14:paraId="1F1D06F0" w14:textId="50C269FA" w:rsidR="007D6088" w:rsidRDefault="007D6088" w:rsidP="00C23CF0">
      <w:pPr>
        <w:pStyle w:val="ListParagraph"/>
        <w:numPr>
          <w:ilvl w:val="0"/>
          <w:numId w:val="37"/>
        </w:numPr>
        <w:spacing w:before="60"/>
        <w:ind w:left="357" w:hanging="357"/>
        <w:jc w:val="both"/>
        <w:rPr>
          <w:rFonts w:ascii="Arial" w:hAnsi="Arial" w:cs="Arial"/>
          <w:color w:val="000000"/>
          <w:sz w:val="20"/>
        </w:rPr>
      </w:pPr>
      <w:r w:rsidRPr="003618B5">
        <w:rPr>
          <w:rFonts w:ascii="Arial" w:hAnsi="Arial" w:cs="Arial"/>
          <w:color w:val="000000"/>
          <w:sz w:val="20"/>
        </w:rPr>
        <w:t>Take-down orders can limit the harm caused by breaches of restrictions on publication. They may be more useful in the online age as it becomes harder to prevent publication.</w:t>
      </w:r>
    </w:p>
    <w:p w14:paraId="379FF1B1" w14:textId="77777777" w:rsidR="007D6088" w:rsidRDefault="007D6088" w:rsidP="00C23CF0">
      <w:pPr>
        <w:pStyle w:val="ListParagraph"/>
        <w:numPr>
          <w:ilvl w:val="0"/>
          <w:numId w:val="37"/>
        </w:numPr>
        <w:spacing w:before="60"/>
        <w:ind w:left="357" w:hanging="357"/>
        <w:jc w:val="both"/>
        <w:rPr>
          <w:rFonts w:ascii="Arial" w:hAnsi="Arial" w:cs="Arial"/>
          <w:color w:val="000000"/>
          <w:sz w:val="20"/>
        </w:rPr>
      </w:pPr>
      <w:r w:rsidRPr="003618B5">
        <w:rPr>
          <w:rFonts w:ascii="Arial" w:hAnsi="Arial" w:cs="Arial"/>
          <w:color w:val="000000"/>
          <w:sz w:val="20"/>
        </w:rPr>
        <w:t>Take-down orders require the removal of material by online intermediaries and owners of public websites where third parties can comment.</w:t>
      </w:r>
    </w:p>
    <w:p w14:paraId="0E07D83D" w14:textId="77777777" w:rsidR="007D6088" w:rsidRDefault="007D6088" w:rsidP="00C23CF0">
      <w:pPr>
        <w:pStyle w:val="ListParagraph"/>
        <w:numPr>
          <w:ilvl w:val="0"/>
          <w:numId w:val="37"/>
        </w:numPr>
        <w:spacing w:before="60"/>
        <w:ind w:left="357" w:hanging="357"/>
        <w:jc w:val="both"/>
        <w:rPr>
          <w:rFonts w:ascii="Arial" w:hAnsi="Arial" w:cs="Arial"/>
          <w:color w:val="000000"/>
          <w:sz w:val="20"/>
        </w:rPr>
      </w:pPr>
      <w:r w:rsidRPr="003618B5">
        <w:rPr>
          <w:rFonts w:ascii="Arial" w:hAnsi="Arial" w:cs="Arial"/>
          <w:color w:val="000000"/>
          <w:sz w:val="20"/>
        </w:rPr>
        <w:t xml:space="preserve">The </w:t>
      </w:r>
      <w:r w:rsidRPr="00D15F9A">
        <w:rPr>
          <w:rFonts w:ascii="Arial" w:hAnsi="Arial" w:cs="Arial"/>
          <w:i/>
          <w:iCs/>
          <w:color w:val="000000"/>
          <w:sz w:val="20"/>
        </w:rPr>
        <w:t>Open Courts Act 2013</w:t>
      </w:r>
      <w:r>
        <w:rPr>
          <w:rFonts w:ascii="Arial" w:hAnsi="Arial" w:cs="Arial"/>
          <w:color w:val="000000"/>
          <w:sz w:val="20"/>
        </w:rPr>
        <w:t xml:space="preserve"> </w:t>
      </w:r>
      <w:r w:rsidRPr="003618B5">
        <w:rPr>
          <w:rFonts w:ascii="Arial" w:hAnsi="Arial" w:cs="Arial"/>
          <w:color w:val="000000"/>
          <w:sz w:val="20"/>
        </w:rPr>
        <w:t>should state the powers of courts to order that publications be taken down and the procedure for applying for such orders.</w:t>
      </w:r>
    </w:p>
    <w:p w14:paraId="5DFF53D5" w14:textId="77777777" w:rsidR="007D6088" w:rsidRDefault="007D6088" w:rsidP="00C23CF0">
      <w:pPr>
        <w:pStyle w:val="ListParagraph"/>
        <w:numPr>
          <w:ilvl w:val="0"/>
          <w:numId w:val="37"/>
        </w:numPr>
        <w:spacing w:before="60"/>
        <w:ind w:left="357" w:hanging="357"/>
        <w:jc w:val="both"/>
        <w:rPr>
          <w:rFonts w:ascii="Arial" w:hAnsi="Arial" w:cs="Arial"/>
          <w:color w:val="000000"/>
          <w:sz w:val="20"/>
        </w:rPr>
      </w:pPr>
      <w:r w:rsidRPr="003618B5">
        <w:rPr>
          <w:rFonts w:ascii="Arial" w:hAnsi="Arial" w:cs="Arial"/>
          <w:color w:val="000000"/>
          <w:sz w:val="20"/>
        </w:rPr>
        <w:t>Since they restrict freedom of expression, such orders should only be made when necessary and no other measures can be taken.</w:t>
      </w:r>
    </w:p>
    <w:p w14:paraId="273FEAA5" w14:textId="77777777" w:rsidR="007D6088" w:rsidRDefault="007D6088" w:rsidP="00C23CF0">
      <w:pPr>
        <w:pStyle w:val="ListParagraph"/>
        <w:numPr>
          <w:ilvl w:val="0"/>
          <w:numId w:val="37"/>
        </w:numPr>
        <w:spacing w:before="60"/>
        <w:ind w:left="357" w:hanging="357"/>
        <w:jc w:val="both"/>
        <w:rPr>
          <w:rFonts w:ascii="Arial" w:hAnsi="Arial" w:cs="Arial"/>
          <w:color w:val="000000"/>
          <w:sz w:val="20"/>
        </w:rPr>
      </w:pPr>
      <w:r w:rsidRPr="003618B5">
        <w:rPr>
          <w:rFonts w:ascii="Arial" w:hAnsi="Arial" w:cs="Arial"/>
          <w:color w:val="000000"/>
          <w:sz w:val="20"/>
        </w:rPr>
        <w:t xml:space="preserve">These powers should be available to take down material breaching a restriction on publication or on the grounds currently in the </w:t>
      </w:r>
      <w:r>
        <w:rPr>
          <w:rFonts w:ascii="Arial" w:hAnsi="Arial" w:cs="Arial"/>
          <w:color w:val="000000"/>
          <w:sz w:val="20"/>
        </w:rPr>
        <w:t>OCA</w:t>
      </w:r>
      <w:r w:rsidRPr="003618B5">
        <w:rPr>
          <w:rFonts w:ascii="Arial" w:hAnsi="Arial" w:cs="Arial"/>
          <w:color w:val="000000"/>
          <w:sz w:val="20"/>
        </w:rPr>
        <w:t xml:space="preserve"> in respect of suppression orders.</w:t>
      </w:r>
    </w:p>
    <w:p w14:paraId="5A1994BB" w14:textId="77777777" w:rsidR="007D6088" w:rsidRDefault="007D6088" w:rsidP="00C23CF0">
      <w:pPr>
        <w:pStyle w:val="ListParagraph"/>
        <w:numPr>
          <w:ilvl w:val="0"/>
          <w:numId w:val="37"/>
        </w:numPr>
        <w:spacing w:before="60"/>
        <w:ind w:left="357" w:hanging="357"/>
        <w:jc w:val="both"/>
        <w:rPr>
          <w:rFonts w:ascii="Arial" w:hAnsi="Arial" w:cs="Arial"/>
          <w:color w:val="000000"/>
          <w:sz w:val="20"/>
        </w:rPr>
      </w:pPr>
      <w:r w:rsidRPr="003618B5">
        <w:rPr>
          <w:rFonts w:ascii="Arial" w:hAnsi="Arial" w:cs="Arial"/>
          <w:color w:val="000000"/>
          <w:sz w:val="20"/>
        </w:rPr>
        <w:t>A court should be able to make an interim take-down order in urgent cases.</w:t>
      </w:r>
    </w:p>
    <w:p w14:paraId="226BAD24" w14:textId="77777777" w:rsidR="007D6088" w:rsidRDefault="007D6088" w:rsidP="007D6088">
      <w:pPr>
        <w:jc w:val="both"/>
        <w:rPr>
          <w:rFonts w:ascii="Arial" w:hAnsi="Arial" w:cs="Arial"/>
          <w:color w:val="000000"/>
          <w:sz w:val="20"/>
          <w:szCs w:val="20"/>
        </w:rPr>
      </w:pPr>
    </w:p>
    <w:p w14:paraId="2713C30A" w14:textId="1D99FBE0" w:rsidR="0001019E" w:rsidRDefault="0001019E" w:rsidP="008D7980">
      <w:pPr>
        <w:jc w:val="both"/>
        <w:rPr>
          <w:rFonts w:ascii="Arial" w:hAnsi="Arial" w:cs="Arial"/>
          <w:color w:val="000000"/>
          <w:sz w:val="20"/>
          <w:szCs w:val="20"/>
        </w:rPr>
      </w:pPr>
      <w:r>
        <w:rPr>
          <w:rFonts w:ascii="Arial" w:hAnsi="Arial" w:cs="Arial"/>
          <w:color w:val="000000"/>
          <w:sz w:val="20"/>
          <w:szCs w:val="20"/>
        </w:rPr>
        <w:t>As the VLRC report note</w:t>
      </w:r>
      <w:r w:rsidR="007D6088">
        <w:rPr>
          <w:rFonts w:ascii="Arial" w:hAnsi="Arial" w:cs="Arial"/>
          <w:color w:val="000000"/>
          <w:sz w:val="20"/>
          <w:szCs w:val="20"/>
        </w:rPr>
        <w:t>d</w:t>
      </w:r>
      <w:r>
        <w:rPr>
          <w:rFonts w:ascii="Arial" w:hAnsi="Arial" w:cs="Arial"/>
          <w:color w:val="000000"/>
          <w:sz w:val="20"/>
          <w:szCs w:val="20"/>
        </w:rPr>
        <w:t xml:space="preserve"> at [14.6]:</w:t>
      </w:r>
    </w:p>
    <w:p w14:paraId="76D30953" w14:textId="125C2174" w:rsidR="0001019E" w:rsidRDefault="0001019E" w:rsidP="00D10311">
      <w:pPr>
        <w:tabs>
          <w:tab w:val="left" w:pos="567"/>
        </w:tabs>
        <w:spacing w:before="60"/>
        <w:ind w:left="567" w:right="567"/>
        <w:jc w:val="both"/>
        <w:rPr>
          <w:rFonts w:ascii="Arial" w:hAnsi="Arial" w:cs="Arial"/>
          <w:sz w:val="20"/>
        </w:rPr>
      </w:pPr>
      <w:r>
        <w:rPr>
          <w:rFonts w:ascii="Arial" w:hAnsi="Arial" w:cs="Arial"/>
          <w:color w:val="000000"/>
          <w:sz w:val="20"/>
          <w:szCs w:val="20"/>
        </w:rPr>
        <w:t xml:space="preserve">“A </w:t>
      </w:r>
      <w:r w:rsidR="00AD721F" w:rsidRPr="00FE4659">
        <w:rPr>
          <w:rFonts w:ascii="Arial" w:hAnsi="Arial" w:cs="Arial"/>
          <w:color w:val="000000"/>
          <w:sz w:val="20"/>
          <w:szCs w:val="20"/>
        </w:rPr>
        <w:t>suppression order made under the</w:t>
      </w:r>
      <w:r w:rsidR="001E5D57" w:rsidRPr="00FE4659">
        <w:rPr>
          <w:rFonts w:ascii="Arial" w:hAnsi="Arial" w:cs="Arial"/>
          <w:color w:val="000000"/>
          <w:sz w:val="20"/>
          <w:szCs w:val="20"/>
        </w:rPr>
        <w:t xml:space="preserve"> </w:t>
      </w:r>
      <w:r w:rsidR="00AD721F" w:rsidRPr="00FE4659">
        <w:rPr>
          <w:rFonts w:ascii="Arial" w:hAnsi="Arial" w:cs="Arial"/>
          <w:i/>
          <w:iCs/>
          <w:color w:val="000000"/>
          <w:sz w:val="20"/>
          <w:szCs w:val="20"/>
        </w:rPr>
        <w:t>Open Courts Act 2013</w:t>
      </w:r>
      <w:r w:rsidR="00AD721F" w:rsidRPr="00FE4659">
        <w:rPr>
          <w:rFonts w:ascii="Arial" w:hAnsi="Arial" w:cs="Arial"/>
          <w:color w:val="000000"/>
          <w:sz w:val="20"/>
          <w:szCs w:val="20"/>
        </w:rPr>
        <w:t xml:space="preserve"> could </w:t>
      </w:r>
      <w:r>
        <w:rPr>
          <w:rFonts w:ascii="Arial" w:hAnsi="Arial" w:cs="Arial"/>
          <w:color w:val="000000"/>
          <w:sz w:val="20"/>
          <w:szCs w:val="20"/>
        </w:rPr>
        <w:t xml:space="preserve">also </w:t>
      </w:r>
      <w:r w:rsidR="00AD721F" w:rsidRPr="00FE4659">
        <w:rPr>
          <w:rFonts w:ascii="Arial" w:hAnsi="Arial" w:cs="Arial"/>
          <w:color w:val="000000"/>
          <w:sz w:val="20"/>
          <w:szCs w:val="20"/>
        </w:rPr>
        <w:t xml:space="preserve">operate as a </w:t>
      </w:r>
      <w:r>
        <w:rPr>
          <w:rFonts w:ascii="Arial" w:hAnsi="Arial" w:cs="Arial"/>
          <w:color w:val="000000"/>
          <w:sz w:val="20"/>
          <w:szCs w:val="20"/>
        </w:rPr>
        <w:t>‘</w:t>
      </w:r>
      <w:r w:rsidR="00AD721F" w:rsidRPr="00FE4659">
        <w:rPr>
          <w:rFonts w:ascii="Arial" w:hAnsi="Arial" w:cs="Arial"/>
          <w:color w:val="000000"/>
          <w:sz w:val="20"/>
          <w:szCs w:val="20"/>
        </w:rPr>
        <w:t>take-down</w:t>
      </w:r>
      <w:r>
        <w:rPr>
          <w:rFonts w:ascii="Arial" w:hAnsi="Arial" w:cs="Arial"/>
          <w:color w:val="000000"/>
          <w:sz w:val="20"/>
          <w:szCs w:val="20"/>
        </w:rPr>
        <w:t>’</w:t>
      </w:r>
      <w:r w:rsidR="00AD721F" w:rsidRPr="00FE4659">
        <w:rPr>
          <w:rFonts w:ascii="Arial" w:hAnsi="Arial" w:cs="Arial"/>
          <w:color w:val="000000"/>
          <w:sz w:val="20"/>
          <w:szCs w:val="20"/>
        </w:rPr>
        <w:t xml:space="preserve"> order</w:t>
      </w:r>
      <w:r>
        <w:rPr>
          <w:rFonts w:ascii="Arial" w:hAnsi="Arial" w:cs="Arial"/>
          <w:color w:val="000000"/>
          <w:sz w:val="20"/>
          <w:szCs w:val="20"/>
        </w:rPr>
        <w:t>,</w:t>
      </w:r>
      <w:r w:rsidR="00AD721F" w:rsidRPr="00FE4659">
        <w:rPr>
          <w:rFonts w:ascii="Arial" w:hAnsi="Arial" w:cs="Arial"/>
          <w:color w:val="000000"/>
          <w:sz w:val="20"/>
          <w:szCs w:val="20"/>
        </w:rPr>
        <w:t xml:space="preserve"> on the basis that ‘publication’ is interpreted as continuing for as long as the material is made available: see, for example, </w:t>
      </w:r>
      <w:r w:rsidR="00AD721F" w:rsidRPr="00FE4659">
        <w:rPr>
          <w:rFonts w:ascii="Arial" w:hAnsi="Arial" w:cs="Arial"/>
          <w:i/>
          <w:iCs/>
          <w:color w:val="000000"/>
          <w:sz w:val="20"/>
          <w:szCs w:val="20"/>
        </w:rPr>
        <w:t xml:space="preserve">News Digital Media Pty Ltd v Mokbel </w:t>
      </w:r>
      <w:r w:rsidR="00AD721F" w:rsidRPr="00FE4659">
        <w:rPr>
          <w:rFonts w:ascii="Arial" w:hAnsi="Arial" w:cs="Arial"/>
          <w:color w:val="000000"/>
          <w:sz w:val="20"/>
          <w:szCs w:val="20"/>
        </w:rPr>
        <w:t>[2010] VSCA 51 [63]</w:t>
      </w:r>
      <w:r w:rsidR="00FE4659" w:rsidRPr="00FE4659">
        <w:rPr>
          <w:rFonts w:ascii="Arial" w:hAnsi="Arial" w:cs="Arial"/>
          <w:color w:val="000000"/>
          <w:sz w:val="20"/>
          <w:szCs w:val="20"/>
        </w:rPr>
        <w:t>-</w:t>
      </w:r>
      <w:r w:rsidR="00AD721F" w:rsidRPr="00FE4659">
        <w:rPr>
          <w:rFonts w:ascii="Arial" w:hAnsi="Arial" w:cs="Arial"/>
          <w:color w:val="000000"/>
          <w:sz w:val="20"/>
          <w:szCs w:val="20"/>
        </w:rPr>
        <w:t>[67]</w:t>
      </w:r>
      <w:r w:rsidR="00FE4659" w:rsidRPr="00FE4659">
        <w:rPr>
          <w:rFonts w:ascii="Arial" w:hAnsi="Arial" w:cs="Arial"/>
          <w:color w:val="000000"/>
          <w:sz w:val="20"/>
          <w:szCs w:val="20"/>
        </w:rPr>
        <w:t>; Judicial College of Victoria, ‘6.3 Broad Suppression Orders’</w:t>
      </w:r>
      <w:r w:rsidR="003618B5">
        <w:rPr>
          <w:rFonts w:ascii="Arial" w:hAnsi="Arial" w:cs="Arial"/>
          <w:color w:val="000000"/>
          <w:sz w:val="20"/>
          <w:szCs w:val="20"/>
        </w:rPr>
        <w:t xml:space="preserve"> </w:t>
      </w:r>
      <w:r w:rsidR="00FE4659">
        <w:rPr>
          <w:rFonts w:ascii="Arial" w:hAnsi="Arial" w:cs="Arial"/>
          <w:color w:val="000000"/>
          <w:sz w:val="20"/>
          <w:szCs w:val="20"/>
        </w:rPr>
        <w:t>0</w:t>
      </w:r>
      <w:r w:rsidR="00FE4659" w:rsidRPr="00FE4659">
        <w:rPr>
          <w:rFonts w:ascii="Arial" w:hAnsi="Arial" w:cs="Arial"/>
          <w:color w:val="000000"/>
          <w:sz w:val="20"/>
          <w:szCs w:val="20"/>
        </w:rPr>
        <w:t>6</w:t>
      </w:r>
      <w:r w:rsidR="00FE4659">
        <w:rPr>
          <w:rFonts w:ascii="Arial" w:hAnsi="Arial" w:cs="Arial"/>
          <w:color w:val="000000"/>
          <w:sz w:val="20"/>
          <w:szCs w:val="20"/>
        </w:rPr>
        <w:t>/02/</w:t>
      </w:r>
      <w:r w:rsidR="00FE4659" w:rsidRPr="00FE4659">
        <w:rPr>
          <w:rFonts w:ascii="Arial" w:hAnsi="Arial" w:cs="Arial"/>
          <w:color w:val="000000"/>
          <w:sz w:val="20"/>
          <w:szCs w:val="20"/>
        </w:rPr>
        <w:t>2019) [16]–[20]</w:t>
      </w:r>
      <w:r w:rsidR="00FE4659">
        <w:rPr>
          <w:rFonts w:ascii="Arial" w:hAnsi="Arial" w:cs="Arial"/>
          <w:color w:val="000000"/>
          <w:sz w:val="20"/>
          <w:szCs w:val="20"/>
        </w:rPr>
        <w:t>:</w:t>
      </w:r>
      <w:r w:rsidR="00FE4659" w:rsidRPr="00FE4659">
        <w:rPr>
          <w:rFonts w:ascii="Arial" w:hAnsi="Arial" w:cs="Arial"/>
          <w:color w:val="000000"/>
          <w:sz w:val="20"/>
          <w:szCs w:val="20"/>
        </w:rPr>
        <w:t xml:space="preserve"> &lt;</w:t>
      </w:r>
      <w:hyperlink r:id="rId14" w:history="1">
        <w:r w:rsidR="00FE4659" w:rsidRPr="009E39F3">
          <w:rPr>
            <w:rStyle w:val="Hyperlink"/>
            <w:rFonts w:ascii="Arial" w:hAnsi="Arial" w:cs="Arial"/>
            <w:sz w:val="20"/>
            <w:szCs w:val="20"/>
          </w:rPr>
          <w:t>http://www.judicialcollege.vic.edu.au/bench-books-open-courts-bench-book</w:t>
        </w:r>
      </w:hyperlink>
      <w:r w:rsidR="00FE4659" w:rsidRPr="00FE4659">
        <w:rPr>
          <w:rFonts w:ascii="Arial" w:hAnsi="Arial" w:cs="Arial"/>
          <w:color w:val="000000"/>
          <w:sz w:val="20"/>
          <w:szCs w:val="20"/>
        </w:rPr>
        <w:t>&gt;</w:t>
      </w:r>
      <w:r w:rsidR="00FE4659">
        <w:rPr>
          <w:rFonts w:ascii="Arial" w:hAnsi="Arial" w:cs="Arial"/>
          <w:color w:val="000000"/>
          <w:sz w:val="20"/>
          <w:szCs w:val="20"/>
        </w:rPr>
        <w:t xml:space="preserve">. </w:t>
      </w:r>
      <w:r>
        <w:rPr>
          <w:rFonts w:ascii="Arial" w:hAnsi="Arial" w:cs="Arial"/>
          <w:color w:val="000000"/>
          <w:sz w:val="20"/>
          <w:szCs w:val="20"/>
        </w:rPr>
        <w:t>Therefore,</w:t>
      </w:r>
      <w:r w:rsidR="00AD721F" w:rsidRPr="001F5D53">
        <w:rPr>
          <w:rFonts w:ascii="Arial" w:hAnsi="Arial" w:cs="Arial"/>
          <w:color w:val="000000"/>
          <w:sz w:val="20"/>
          <w:szCs w:val="20"/>
        </w:rPr>
        <w:t xml:space="preserve"> a suppression order made under the </w:t>
      </w:r>
      <w:r w:rsidR="00AD721F">
        <w:rPr>
          <w:rFonts w:ascii="Arial" w:hAnsi="Arial" w:cs="Arial"/>
          <w:color w:val="000000"/>
          <w:sz w:val="20"/>
          <w:szCs w:val="20"/>
        </w:rPr>
        <w:t>OCA</w:t>
      </w:r>
      <w:r w:rsidR="00AD721F" w:rsidRPr="001F5D53">
        <w:rPr>
          <w:rFonts w:ascii="Arial" w:hAnsi="Arial" w:cs="Arial"/>
          <w:color w:val="000000"/>
          <w:sz w:val="20"/>
          <w:szCs w:val="20"/>
        </w:rPr>
        <w:t xml:space="preserve"> may require material maintained on the internet to be taken down</w:t>
      </w:r>
      <w:r w:rsidR="00AD721F">
        <w:rPr>
          <w:rFonts w:ascii="Arial" w:hAnsi="Arial" w:cs="Arial"/>
          <w:color w:val="000000"/>
          <w:sz w:val="20"/>
          <w:szCs w:val="20"/>
        </w:rPr>
        <w:t>: see ss.3, 17 &amp; 26</w:t>
      </w:r>
      <w:r w:rsidR="00AD721F" w:rsidRPr="001F5D53">
        <w:rPr>
          <w:rFonts w:ascii="Arial" w:hAnsi="Arial" w:cs="Arial"/>
          <w:color w:val="000000"/>
          <w:sz w:val="20"/>
          <w:szCs w:val="20"/>
        </w:rPr>
        <w:t>.</w:t>
      </w:r>
      <w:r>
        <w:rPr>
          <w:rFonts w:ascii="Arial" w:hAnsi="Arial" w:cs="Arial"/>
          <w:color w:val="000000"/>
          <w:sz w:val="20"/>
          <w:szCs w:val="20"/>
        </w:rPr>
        <w:t>”</w:t>
      </w:r>
    </w:p>
    <w:p w14:paraId="75AC66CC" w14:textId="77777777" w:rsidR="001E5D57" w:rsidRDefault="001E5D57" w:rsidP="008D7980">
      <w:pPr>
        <w:jc w:val="both"/>
        <w:rPr>
          <w:rFonts w:ascii="Arial" w:hAnsi="Arial" w:cs="Arial"/>
          <w:color w:val="000000"/>
          <w:sz w:val="20"/>
          <w:szCs w:val="20"/>
        </w:rPr>
      </w:pPr>
    </w:p>
    <w:p w14:paraId="36403A73" w14:textId="1967269F" w:rsidR="001E5D57" w:rsidRDefault="001E5D57" w:rsidP="008D7980">
      <w:pPr>
        <w:jc w:val="both"/>
        <w:rPr>
          <w:rFonts w:ascii="Arial" w:hAnsi="Arial" w:cs="Arial"/>
          <w:color w:val="000000"/>
          <w:sz w:val="20"/>
          <w:szCs w:val="20"/>
        </w:rPr>
      </w:pPr>
      <w:r>
        <w:rPr>
          <w:rFonts w:ascii="Arial" w:hAnsi="Arial" w:cs="Arial"/>
          <w:color w:val="000000"/>
          <w:sz w:val="20"/>
          <w:szCs w:val="20"/>
        </w:rPr>
        <w:t xml:space="preserve">The VLRC report noted at </w:t>
      </w:r>
      <w:r w:rsidR="003618B5">
        <w:rPr>
          <w:rFonts w:ascii="Arial" w:hAnsi="Arial" w:cs="Arial"/>
          <w:color w:val="000000"/>
          <w:sz w:val="20"/>
          <w:szCs w:val="20"/>
        </w:rPr>
        <w:t>[</w:t>
      </w:r>
      <w:r>
        <w:rPr>
          <w:rFonts w:ascii="Arial" w:hAnsi="Arial" w:cs="Arial"/>
          <w:color w:val="000000"/>
          <w:sz w:val="20"/>
          <w:szCs w:val="20"/>
        </w:rPr>
        <w:t>14.7</w:t>
      </w:r>
      <w:r w:rsidR="003618B5">
        <w:rPr>
          <w:rFonts w:ascii="Arial" w:hAnsi="Arial" w:cs="Arial"/>
          <w:color w:val="000000"/>
          <w:sz w:val="20"/>
          <w:szCs w:val="20"/>
        </w:rPr>
        <w:t>]</w:t>
      </w:r>
      <w:r>
        <w:rPr>
          <w:rFonts w:ascii="Arial" w:hAnsi="Arial" w:cs="Arial"/>
          <w:color w:val="000000"/>
          <w:sz w:val="20"/>
          <w:szCs w:val="20"/>
        </w:rPr>
        <w:t xml:space="preserve"> that “courts consider a number of factors in deciding whether a take-down order is needed:</w:t>
      </w:r>
    </w:p>
    <w:p w14:paraId="3D2858A8" w14:textId="53775720" w:rsidR="001E5D57" w:rsidRDefault="001E5D57" w:rsidP="00C23CF0">
      <w:pPr>
        <w:pStyle w:val="ListParagraph"/>
        <w:numPr>
          <w:ilvl w:val="0"/>
          <w:numId w:val="36"/>
        </w:numPr>
        <w:ind w:left="357" w:hanging="357"/>
        <w:jc w:val="both"/>
        <w:rPr>
          <w:rFonts w:ascii="Arial" w:hAnsi="Arial" w:cs="Arial"/>
          <w:color w:val="000000"/>
          <w:sz w:val="20"/>
        </w:rPr>
      </w:pPr>
      <w:r w:rsidRPr="001F5D53">
        <w:rPr>
          <w:rFonts w:ascii="Arial" w:hAnsi="Arial" w:cs="Arial"/>
          <w:color w:val="000000"/>
          <w:sz w:val="20"/>
        </w:rPr>
        <w:t>when the original publication was published and the currency of the material</w:t>
      </w:r>
      <w:r>
        <w:rPr>
          <w:rFonts w:ascii="Arial" w:hAnsi="Arial" w:cs="Arial"/>
          <w:color w:val="000000"/>
          <w:sz w:val="20"/>
        </w:rPr>
        <w:t>;</w:t>
      </w:r>
    </w:p>
    <w:p w14:paraId="2456360D" w14:textId="4A2EAE66" w:rsidR="001E5D57" w:rsidRDefault="001E5D57" w:rsidP="00C23CF0">
      <w:pPr>
        <w:pStyle w:val="ListParagraph"/>
        <w:numPr>
          <w:ilvl w:val="0"/>
          <w:numId w:val="36"/>
        </w:numPr>
        <w:ind w:left="357" w:hanging="357"/>
        <w:jc w:val="both"/>
        <w:rPr>
          <w:rFonts w:ascii="Arial" w:hAnsi="Arial" w:cs="Arial"/>
          <w:color w:val="000000"/>
          <w:sz w:val="20"/>
        </w:rPr>
      </w:pPr>
      <w:r w:rsidRPr="001F5D53">
        <w:rPr>
          <w:rFonts w:ascii="Arial" w:hAnsi="Arial" w:cs="Arial"/>
          <w:color w:val="000000"/>
          <w:sz w:val="20"/>
        </w:rPr>
        <w:t>whether the article is forced upon a visitor to the website</w:t>
      </w:r>
      <w:r>
        <w:rPr>
          <w:rFonts w:ascii="Arial" w:hAnsi="Arial" w:cs="Arial"/>
          <w:color w:val="000000"/>
          <w:sz w:val="20"/>
        </w:rPr>
        <w:t>;</w:t>
      </w:r>
    </w:p>
    <w:p w14:paraId="7BE54BDA" w14:textId="443EB2FA" w:rsidR="001E5D57" w:rsidRDefault="001E5D57" w:rsidP="00C23CF0">
      <w:pPr>
        <w:pStyle w:val="ListParagraph"/>
        <w:numPr>
          <w:ilvl w:val="0"/>
          <w:numId w:val="36"/>
        </w:numPr>
        <w:ind w:left="357" w:hanging="357"/>
        <w:jc w:val="both"/>
        <w:rPr>
          <w:rFonts w:ascii="Arial" w:hAnsi="Arial" w:cs="Arial"/>
          <w:color w:val="000000"/>
          <w:sz w:val="20"/>
        </w:rPr>
      </w:pPr>
      <w:r w:rsidRPr="001F5D53">
        <w:rPr>
          <w:rFonts w:ascii="Arial" w:hAnsi="Arial" w:cs="Arial"/>
          <w:color w:val="000000"/>
          <w:sz w:val="20"/>
        </w:rPr>
        <w:t>the permanency of the publication and whether a cached version would be available after the publication is taken down</w:t>
      </w:r>
      <w:r>
        <w:rPr>
          <w:rFonts w:ascii="Arial" w:hAnsi="Arial" w:cs="Arial"/>
          <w:color w:val="000000"/>
          <w:sz w:val="20"/>
        </w:rPr>
        <w:t>;</w:t>
      </w:r>
    </w:p>
    <w:p w14:paraId="3464EF6C" w14:textId="568E2A7C" w:rsidR="001E5D57" w:rsidRDefault="001E5D57" w:rsidP="00C23CF0">
      <w:pPr>
        <w:pStyle w:val="ListParagraph"/>
        <w:numPr>
          <w:ilvl w:val="0"/>
          <w:numId w:val="36"/>
        </w:numPr>
        <w:ind w:left="357" w:hanging="357"/>
        <w:jc w:val="both"/>
        <w:rPr>
          <w:rFonts w:ascii="Arial" w:hAnsi="Arial" w:cs="Arial"/>
          <w:color w:val="000000"/>
          <w:sz w:val="20"/>
        </w:rPr>
      </w:pPr>
      <w:r w:rsidRPr="001F5D53">
        <w:rPr>
          <w:rFonts w:ascii="Arial" w:hAnsi="Arial" w:cs="Arial"/>
          <w:color w:val="000000"/>
          <w:sz w:val="20"/>
        </w:rPr>
        <w:t>if the material is taken down from a more reliable website subject to the take-down order, whether more obscure publications may be given greater prominence in a search result</w:t>
      </w:r>
      <w:r>
        <w:rPr>
          <w:rFonts w:ascii="Arial" w:hAnsi="Arial" w:cs="Arial"/>
          <w:color w:val="000000"/>
          <w:sz w:val="20"/>
        </w:rPr>
        <w:t>;</w:t>
      </w:r>
    </w:p>
    <w:p w14:paraId="2700C053" w14:textId="6C7B8722" w:rsidR="001E5D57" w:rsidRDefault="001E5D57" w:rsidP="00C23CF0">
      <w:pPr>
        <w:pStyle w:val="ListParagraph"/>
        <w:numPr>
          <w:ilvl w:val="0"/>
          <w:numId w:val="36"/>
        </w:numPr>
        <w:ind w:left="357" w:hanging="357"/>
        <w:jc w:val="both"/>
        <w:rPr>
          <w:rFonts w:ascii="Arial" w:hAnsi="Arial" w:cs="Arial"/>
          <w:color w:val="000000"/>
          <w:sz w:val="20"/>
        </w:rPr>
      </w:pPr>
      <w:r w:rsidRPr="001F5D53">
        <w:rPr>
          <w:rFonts w:ascii="Arial" w:hAnsi="Arial" w:cs="Arial"/>
          <w:color w:val="000000"/>
          <w:sz w:val="20"/>
        </w:rPr>
        <w:t>the likelihood that jurors, subject to criminal sanction, will undertake research about the trial and will comply with jury directions</w:t>
      </w:r>
      <w:r>
        <w:rPr>
          <w:rFonts w:ascii="Arial" w:hAnsi="Arial" w:cs="Arial"/>
          <w:color w:val="000000"/>
          <w:sz w:val="20"/>
        </w:rPr>
        <w:t>;</w:t>
      </w:r>
    </w:p>
    <w:p w14:paraId="59FC1E02" w14:textId="277AA7C3" w:rsidR="001E5D57" w:rsidRDefault="001E5D57" w:rsidP="00C23CF0">
      <w:pPr>
        <w:pStyle w:val="ListParagraph"/>
        <w:numPr>
          <w:ilvl w:val="0"/>
          <w:numId w:val="36"/>
        </w:numPr>
        <w:ind w:left="357" w:hanging="357"/>
        <w:jc w:val="both"/>
        <w:rPr>
          <w:rFonts w:ascii="Arial" w:hAnsi="Arial" w:cs="Arial"/>
          <w:color w:val="000000"/>
          <w:sz w:val="20"/>
        </w:rPr>
      </w:pPr>
      <w:r w:rsidRPr="001F5D53">
        <w:rPr>
          <w:rFonts w:ascii="Arial" w:hAnsi="Arial" w:cs="Arial"/>
          <w:color w:val="000000"/>
          <w:sz w:val="20"/>
        </w:rPr>
        <w:t>the impossibility of identifying all websites which might have published the material, some of which would be unidentifiable or controlled from overseas.</w:t>
      </w:r>
    </w:p>
    <w:p w14:paraId="27829897" w14:textId="13BAB2A7" w:rsidR="001E5D57" w:rsidRPr="001E5D57" w:rsidRDefault="001E5D57" w:rsidP="001E5D57">
      <w:pPr>
        <w:jc w:val="both"/>
        <w:rPr>
          <w:rFonts w:ascii="Arial" w:hAnsi="Arial" w:cs="Arial"/>
          <w:color w:val="000000"/>
          <w:sz w:val="20"/>
        </w:rPr>
      </w:pPr>
      <w:r>
        <w:rPr>
          <w:rFonts w:ascii="Arial" w:hAnsi="Arial" w:cs="Arial"/>
          <w:color w:val="000000"/>
          <w:sz w:val="20"/>
        </w:rPr>
        <w:t xml:space="preserve">See, </w:t>
      </w:r>
      <w:proofErr w:type="spellStart"/>
      <w:r w:rsidRPr="001E5D57">
        <w:rPr>
          <w:rFonts w:ascii="Arial" w:hAnsi="Arial" w:cs="Arial"/>
          <w:color w:val="000000"/>
          <w:sz w:val="20"/>
          <w:szCs w:val="20"/>
        </w:rPr>
        <w:t>eg</w:t>
      </w:r>
      <w:proofErr w:type="spellEnd"/>
      <w:r w:rsidRPr="001E5D57">
        <w:rPr>
          <w:rFonts w:ascii="Arial" w:hAnsi="Arial" w:cs="Arial"/>
          <w:color w:val="000000"/>
          <w:sz w:val="20"/>
          <w:szCs w:val="20"/>
        </w:rPr>
        <w:t>,</w:t>
      </w:r>
      <w:r>
        <w:rPr>
          <w:rFonts w:ascii="Arial" w:hAnsi="Arial" w:cs="Arial"/>
          <w:color w:val="000000"/>
          <w:sz w:val="20"/>
          <w:szCs w:val="20"/>
        </w:rPr>
        <w:t xml:space="preserve"> </w:t>
      </w:r>
      <w:r w:rsidRPr="001E5D57">
        <w:rPr>
          <w:rFonts w:ascii="Arial" w:hAnsi="Arial" w:cs="Arial"/>
          <w:i/>
          <w:iCs/>
          <w:color w:val="000000"/>
          <w:sz w:val="20"/>
          <w:szCs w:val="20"/>
        </w:rPr>
        <w:t>Nationwide News Pty Ltd v Qaumi </w:t>
      </w:r>
      <w:r w:rsidRPr="001E5D57">
        <w:rPr>
          <w:rFonts w:ascii="Arial" w:hAnsi="Arial" w:cs="Arial"/>
          <w:color w:val="000000"/>
          <w:sz w:val="20"/>
          <w:szCs w:val="20"/>
        </w:rPr>
        <w:t>[2016] NSWCCA 97, (2016) 93 NSWLR 384 [83]–[90]; </w:t>
      </w:r>
      <w:r w:rsidRPr="001E5D57">
        <w:rPr>
          <w:rFonts w:ascii="Arial" w:hAnsi="Arial" w:cs="Arial"/>
          <w:i/>
          <w:iCs/>
          <w:color w:val="000000"/>
          <w:sz w:val="20"/>
          <w:szCs w:val="20"/>
        </w:rPr>
        <w:t>DPP (</w:t>
      </w:r>
      <w:proofErr w:type="spellStart"/>
      <w:r w:rsidRPr="001E5D57">
        <w:rPr>
          <w:rFonts w:ascii="Arial" w:hAnsi="Arial" w:cs="Arial"/>
          <w:i/>
          <w:iCs/>
          <w:color w:val="000000"/>
          <w:sz w:val="20"/>
          <w:szCs w:val="20"/>
        </w:rPr>
        <w:t>Cth</w:t>
      </w:r>
      <w:proofErr w:type="spellEnd"/>
      <w:r w:rsidRPr="001E5D57">
        <w:rPr>
          <w:rFonts w:ascii="Arial" w:hAnsi="Arial" w:cs="Arial"/>
          <w:i/>
          <w:iCs/>
          <w:color w:val="000000"/>
          <w:sz w:val="20"/>
          <w:szCs w:val="20"/>
        </w:rPr>
        <w:t>) v Brady</w:t>
      </w:r>
      <w:r w:rsidRPr="001E5D57">
        <w:rPr>
          <w:rFonts w:ascii="Arial" w:hAnsi="Arial" w:cs="Arial"/>
          <w:color w:val="000000"/>
          <w:sz w:val="20"/>
          <w:szCs w:val="20"/>
        </w:rPr>
        <w:t> [2015] VSC 246 [75]; </w:t>
      </w:r>
      <w:r w:rsidRPr="001E5D57">
        <w:rPr>
          <w:rFonts w:ascii="Arial" w:hAnsi="Arial" w:cs="Arial"/>
          <w:i/>
          <w:iCs/>
          <w:color w:val="000000"/>
          <w:sz w:val="20"/>
          <w:szCs w:val="20"/>
        </w:rPr>
        <w:t>Fairfax Digital Australia and New Zealand Pty Ltd v Ibrahim </w:t>
      </w:r>
      <w:r w:rsidRPr="001E5D57">
        <w:rPr>
          <w:rFonts w:ascii="Arial" w:hAnsi="Arial" w:cs="Arial"/>
          <w:color w:val="000000"/>
          <w:sz w:val="20"/>
          <w:szCs w:val="20"/>
        </w:rPr>
        <w:t>[2012] NSWCCA 125, (2012) 83 NSWLR 52 [74]–[79]; </w:t>
      </w:r>
      <w:r w:rsidRPr="001E5D57">
        <w:rPr>
          <w:rFonts w:ascii="Arial" w:hAnsi="Arial" w:cs="Arial"/>
          <w:i/>
          <w:iCs/>
          <w:color w:val="000000"/>
          <w:sz w:val="20"/>
          <w:szCs w:val="20"/>
        </w:rPr>
        <w:t>News Digital Media Pty Ltd v Mokbel </w:t>
      </w:r>
      <w:r w:rsidRPr="001E5D57">
        <w:rPr>
          <w:rFonts w:ascii="Arial" w:hAnsi="Arial" w:cs="Arial"/>
          <w:color w:val="000000"/>
          <w:sz w:val="20"/>
          <w:szCs w:val="20"/>
        </w:rPr>
        <w:t>[2010] VSCA 51 [74]–[77]; </w:t>
      </w:r>
      <w:r w:rsidRPr="001E5D57">
        <w:rPr>
          <w:rFonts w:ascii="Arial" w:hAnsi="Arial" w:cs="Arial"/>
          <w:i/>
          <w:iCs/>
          <w:color w:val="000000"/>
          <w:sz w:val="20"/>
          <w:szCs w:val="20"/>
        </w:rPr>
        <w:t>R v Rich (Ruling No 7) </w:t>
      </w:r>
      <w:r w:rsidRPr="001E5D57">
        <w:rPr>
          <w:rFonts w:ascii="Arial" w:hAnsi="Arial" w:cs="Arial"/>
          <w:color w:val="000000"/>
          <w:sz w:val="20"/>
          <w:szCs w:val="20"/>
        </w:rPr>
        <w:t>[2008] VSC 437 [20]–[22].</w:t>
      </w:r>
      <w:r w:rsidR="0001019E">
        <w:rPr>
          <w:rFonts w:ascii="Arial" w:hAnsi="Arial" w:cs="Arial"/>
          <w:color w:val="000000"/>
          <w:sz w:val="20"/>
          <w:szCs w:val="20"/>
        </w:rPr>
        <w:t>”</w:t>
      </w:r>
    </w:p>
    <w:p w14:paraId="0D8C59F3" w14:textId="77777777" w:rsidR="003618B5" w:rsidRPr="00D15F9A" w:rsidRDefault="003618B5" w:rsidP="003618B5">
      <w:pPr>
        <w:pStyle w:val="NormalWeb"/>
        <w:shd w:val="clear" w:color="auto" w:fill="FEFEFE"/>
        <w:spacing w:before="0" w:beforeAutospacing="0" w:after="0" w:afterAutospacing="0"/>
        <w:rPr>
          <w:rFonts w:ascii="Arial" w:hAnsi="Arial" w:cs="Arial"/>
          <w:color w:val="000000"/>
          <w:sz w:val="20"/>
          <w:szCs w:val="20"/>
        </w:rPr>
      </w:pPr>
    </w:p>
    <w:p w14:paraId="4F82BE99" w14:textId="74A02653" w:rsidR="00767B71" w:rsidRDefault="00767B71" w:rsidP="00D15F9A">
      <w:pPr>
        <w:jc w:val="both"/>
        <w:rPr>
          <w:rFonts w:ascii="Arial" w:hAnsi="Arial" w:cs="Arial"/>
          <w:color w:val="000000"/>
          <w:sz w:val="20"/>
          <w:szCs w:val="20"/>
        </w:rPr>
      </w:pPr>
      <w:r>
        <w:rPr>
          <w:rFonts w:ascii="Arial" w:hAnsi="Arial" w:cs="Arial"/>
          <w:color w:val="000000"/>
          <w:sz w:val="20"/>
          <w:szCs w:val="20"/>
        </w:rPr>
        <w:t>The VLRC</w:t>
      </w:r>
      <w:r w:rsidR="003618B5">
        <w:rPr>
          <w:rFonts w:ascii="Arial" w:hAnsi="Arial" w:cs="Arial"/>
          <w:color w:val="000000"/>
          <w:sz w:val="20"/>
          <w:szCs w:val="20"/>
        </w:rPr>
        <w:t xml:space="preserve"> </w:t>
      </w:r>
      <w:r w:rsidR="00D15F9A">
        <w:rPr>
          <w:rFonts w:ascii="Arial" w:hAnsi="Arial" w:cs="Arial"/>
          <w:color w:val="000000"/>
          <w:sz w:val="20"/>
          <w:szCs w:val="20"/>
        </w:rPr>
        <w:t>concluded at [14.12]</w:t>
      </w:r>
      <w:r w:rsidR="007D6088">
        <w:rPr>
          <w:rFonts w:ascii="Arial" w:hAnsi="Arial" w:cs="Arial"/>
          <w:color w:val="000000"/>
          <w:sz w:val="20"/>
          <w:szCs w:val="20"/>
        </w:rPr>
        <w:t>:</w:t>
      </w:r>
    </w:p>
    <w:p w14:paraId="0A0CB9BA" w14:textId="03165963" w:rsidR="00767B71" w:rsidRDefault="00767B71" w:rsidP="00767B71">
      <w:pPr>
        <w:tabs>
          <w:tab w:val="left" w:pos="567"/>
        </w:tabs>
        <w:spacing w:before="60"/>
        <w:ind w:left="567" w:right="567"/>
        <w:jc w:val="both"/>
        <w:rPr>
          <w:rFonts w:ascii="Arial" w:hAnsi="Arial" w:cs="Arial"/>
          <w:sz w:val="20"/>
        </w:rPr>
      </w:pPr>
      <w:r>
        <w:rPr>
          <w:rFonts w:ascii="Arial" w:hAnsi="Arial" w:cs="Arial"/>
          <w:color w:val="000000"/>
          <w:sz w:val="20"/>
          <w:szCs w:val="20"/>
        </w:rPr>
        <w:t>“</w:t>
      </w:r>
      <w:r w:rsidRPr="00767B71">
        <w:rPr>
          <w:rFonts w:ascii="Arial" w:hAnsi="Arial" w:cs="Arial"/>
          <w:b/>
          <w:bCs/>
          <w:color w:val="000000"/>
          <w:sz w:val="20"/>
          <w:szCs w:val="20"/>
        </w:rPr>
        <w:t>Courts should retain the power to make take-down orders.</w:t>
      </w:r>
      <w:r w:rsidRPr="001F5D53">
        <w:rPr>
          <w:rFonts w:ascii="Arial" w:hAnsi="Arial" w:cs="Arial"/>
          <w:color w:val="000000"/>
          <w:sz w:val="20"/>
          <w:szCs w:val="20"/>
        </w:rPr>
        <w:t xml:space="preserve"> Despite the challenges posed by modern media technology including the internet, there are times when that power will be useful.</w:t>
      </w:r>
      <w:r>
        <w:rPr>
          <w:rFonts w:ascii="Arial" w:hAnsi="Arial" w:cs="Arial"/>
          <w:color w:val="000000"/>
          <w:sz w:val="20"/>
          <w:szCs w:val="20"/>
        </w:rPr>
        <w:t>” [emphasis added]</w:t>
      </w:r>
    </w:p>
    <w:p w14:paraId="4DAD9DDE" w14:textId="2FB6C6F9" w:rsidR="003618B5" w:rsidRPr="00D15F9A" w:rsidRDefault="003618B5" w:rsidP="00D15F9A">
      <w:pPr>
        <w:jc w:val="both"/>
        <w:rPr>
          <w:rFonts w:ascii="Arial" w:hAnsi="Arial" w:cs="Arial"/>
          <w:color w:val="000000"/>
          <w:sz w:val="20"/>
        </w:rPr>
      </w:pPr>
    </w:p>
    <w:p w14:paraId="0BEA1391" w14:textId="4618CD40" w:rsidR="00D15F9A" w:rsidRDefault="00D15F9A" w:rsidP="00D15F9A">
      <w:pPr>
        <w:jc w:val="both"/>
        <w:rPr>
          <w:rFonts w:ascii="Arial" w:hAnsi="Arial" w:cs="Arial"/>
          <w:color w:val="000000"/>
          <w:sz w:val="20"/>
        </w:rPr>
      </w:pPr>
      <w:r>
        <w:rPr>
          <w:rFonts w:ascii="Arial" w:hAnsi="Arial" w:cs="Arial"/>
          <w:color w:val="000000"/>
          <w:sz w:val="20"/>
        </w:rPr>
        <w:t xml:space="preserve">Ultimately the VLRC </w:t>
      </w:r>
      <w:r w:rsidR="00D0343F">
        <w:rPr>
          <w:rFonts w:ascii="Arial" w:hAnsi="Arial" w:cs="Arial"/>
          <w:color w:val="000000"/>
          <w:sz w:val="20"/>
        </w:rPr>
        <w:t>recommend</w:t>
      </w:r>
      <w:r>
        <w:rPr>
          <w:rFonts w:ascii="Arial" w:hAnsi="Arial" w:cs="Arial"/>
          <w:color w:val="000000"/>
          <w:sz w:val="20"/>
        </w:rPr>
        <w:t>ed at [14.24]</w:t>
      </w:r>
      <w:r w:rsidR="00767B71">
        <w:rPr>
          <w:rFonts w:ascii="Arial" w:hAnsi="Arial" w:cs="Arial"/>
          <w:color w:val="000000"/>
          <w:sz w:val="20"/>
        </w:rPr>
        <w:t>-</w:t>
      </w:r>
      <w:r>
        <w:rPr>
          <w:rFonts w:ascii="Arial" w:hAnsi="Arial" w:cs="Arial"/>
          <w:color w:val="000000"/>
          <w:sz w:val="20"/>
        </w:rPr>
        <w:t>[14.27]:</w:t>
      </w:r>
    </w:p>
    <w:p w14:paraId="34B6D9B4" w14:textId="2A7306D6" w:rsidR="00D15F9A" w:rsidRDefault="00D15F9A" w:rsidP="00C23CF0">
      <w:pPr>
        <w:pStyle w:val="ListParagraph"/>
        <w:numPr>
          <w:ilvl w:val="0"/>
          <w:numId w:val="36"/>
        </w:numPr>
        <w:spacing w:before="60"/>
        <w:ind w:left="357" w:hanging="357"/>
        <w:jc w:val="both"/>
        <w:rPr>
          <w:rFonts w:ascii="Arial" w:hAnsi="Arial" w:cs="Arial"/>
          <w:color w:val="000000"/>
          <w:sz w:val="20"/>
        </w:rPr>
      </w:pPr>
      <w:r w:rsidRPr="001F5D53">
        <w:rPr>
          <w:rFonts w:ascii="Arial" w:hAnsi="Arial" w:cs="Arial"/>
          <w:color w:val="000000"/>
          <w:sz w:val="20"/>
        </w:rPr>
        <w:t>For the purposes of consistency, accessibility and clarity in the law, legislation should set out the courts’ power to make take-down orders.</w:t>
      </w:r>
    </w:p>
    <w:p w14:paraId="19DA11F1" w14:textId="044837C6" w:rsidR="00D15F9A" w:rsidRDefault="00D15F9A" w:rsidP="00C23CF0">
      <w:pPr>
        <w:pStyle w:val="ListParagraph"/>
        <w:numPr>
          <w:ilvl w:val="0"/>
          <w:numId w:val="36"/>
        </w:numPr>
        <w:spacing w:before="60"/>
        <w:ind w:left="357" w:hanging="357"/>
        <w:jc w:val="both"/>
        <w:rPr>
          <w:rFonts w:ascii="Arial" w:hAnsi="Arial" w:cs="Arial"/>
          <w:color w:val="000000"/>
          <w:sz w:val="20"/>
        </w:rPr>
      </w:pPr>
      <w:r w:rsidRPr="001F5D53">
        <w:rPr>
          <w:rFonts w:ascii="Arial" w:hAnsi="Arial" w:cs="Arial"/>
          <w:color w:val="000000"/>
          <w:sz w:val="20"/>
        </w:rPr>
        <w:t xml:space="preserve">Under the legislative provisions, courts should be able to order material to be taken down on the same grounds and subject to the same tests as for suppression orders under </w:t>
      </w:r>
      <w:r>
        <w:rPr>
          <w:rFonts w:ascii="Arial" w:hAnsi="Arial" w:cs="Arial"/>
          <w:color w:val="000000"/>
          <w:sz w:val="20"/>
        </w:rPr>
        <w:t xml:space="preserve">ss.18 &amp; 26 of </w:t>
      </w:r>
      <w:r w:rsidRPr="001F5D53">
        <w:rPr>
          <w:rFonts w:ascii="Arial" w:hAnsi="Arial" w:cs="Arial"/>
          <w:color w:val="000000"/>
          <w:sz w:val="20"/>
        </w:rPr>
        <w:t xml:space="preserve">the </w:t>
      </w:r>
      <w:r>
        <w:rPr>
          <w:rFonts w:ascii="Arial" w:hAnsi="Arial" w:cs="Arial"/>
          <w:color w:val="000000"/>
          <w:sz w:val="20"/>
        </w:rPr>
        <w:t>OCA</w:t>
      </w:r>
      <w:r w:rsidRPr="001F5D53">
        <w:rPr>
          <w:rFonts w:ascii="Arial" w:hAnsi="Arial" w:cs="Arial"/>
          <w:color w:val="000000"/>
          <w:sz w:val="20"/>
        </w:rPr>
        <w:t>.</w:t>
      </w:r>
      <w:r>
        <w:rPr>
          <w:rFonts w:ascii="Arial" w:hAnsi="Arial" w:cs="Arial"/>
          <w:color w:val="000000"/>
          <w:sz w:val="20"/>
        </w:rPr>
        <w:t xml:space="preserve">  </w:t>
      </w:r>
      <w:r w:rsidRPr="001F5D53">
        <w:rPr>
          <w:rFonts w:ascii="Arial" w:hAnsi="Arial" w:cs="Arial"/>
          <w:color w:val="000000"/>
          <w:sz w:val="20"/>
        </w:rPr>
        <w:t>The legislation should also empower the courts to order material to be taken down after it has been proved to breach a restriction on publication.</w:t>
      </w:r>
    </w:p>
    <w:p w14:paraId="61905B3A" w14:textId="3474C748" w:rsidR="00D15F9A" w:rsidRDefault="00D15F9A" w:rsidP="00C23CF0">
      <w:pPr>
        <w:pStyle w:val="ListParagraph"/>
        <w:numPr>
          <w:ilvl w:val="0"/>
          <w:numId w:val="36"/>
        </w:numPr>
        <w:spacing w:before="60"/>
        <w:ind w:left="357" w:hanging="357"/>
        <w:jc w:val="both"/>
        <w:rPr>
          <w:rFonts w:ascii="Arial" w:hAnsi="Arial" w:cs="Arial"/>
          <w:color w:val="000000"/>
          <w:sz w:val="20"/>
        </w:rPr>
      </w:pPr>
      <w:r w:rsidRPr="001F5D53">
        <w:rPr>
          <w:rFonts w:ascii="Arial" w:hAnsi="Arial" w:cs="Arial"/>
          <w:color w:val="000000"/>
          <w:sz w:val="20"/>
        </w:rPr>
        <w:t>These powers should extend to online intermediaries or the owners of public websites where third parties can post material.</w:t>
      </w:r>
    </w:p>
    <w:p w14:paraId="7F0DDBE3" w14:textId="5B561ABF" w:rsidR="00162F3F" w:rsidRDefault="00162F3F" w:rsidP="00C23CF0">
      <w:pPr>
        <w:pStyle w:val="ListParagraph"/>
        <w:numPr>
          <w:ilvl w:val="0"/>
          <w:numId w:val="36"/>
        </w:numPr>
        <w:spacing w:before="60"/>
        <w:ind w:left="357" w:hanging="357"/>
        <w:jc w:val="both"/>
        <w:rPr>
          <w:rFonts w:ascii="Arial" w:hAnsi="Arial" w:cs="Arial"/>
          <w:color w:val="000000"/>
          <w:sz w:val="20"/>
        </w:rPr>
      </w:pPr>
      <w:r w:rsidRPr="001F5D53">
        <w:rPr>
          <w:rFonts w:ascii="Arial" w:hAnsi="Arial" w:cs="Arial"/>
          <w:color w:val="000000"/>
          <w:sz w:val="20"/>
        </w:rPr>
        <w:lastRenderedPageBreak/>
        <w:t>A take-down order should only be made against a party with the capacity to do so. For example, if a person publishes a comment on a public website, they may not be able to delete the material. It is unfair to impose liability when the party cannot comply, and this should be expressed in the legislation.</w:t>
      </w:r>
    </w:p>
    <w:p w14:paraId="26432E2D" w14:textId="7A4F2CEA" w:rsidR="00D15F9A" w:rsidRDefault="00D15F9A" w:rsidP="00D15F9A">
      <w:pPr>
        <w:jc w:val="both"/>
        <w:rPr>
          <w:rFonts w:ascii="Arial" w:hAnsi="Arial" w:cs="Arial"/>
          <w:color w:val="000000"/>
          <w:sz w:val="20"/>
        </w:rPr>
      </w:pPr>
    </w:p>
    <w:p w14:paraId="22F25523" w14:textId="60C9B69B" w:rsidR="00692D54" w:rsidRDefault="00692D54" w:rsidP="00692D54">
      <w:pPr>
        <w:pStyle w:val="Heading3"/>
        <w:keepNext/>
        <w:widowControl/>
        <w:spacing w:after="120" w:line="240" w:lineRule="auto"/>
        <w:rPr>
          <w:rFonts w:ascii="Arial" w:hAnsi="Arial" w:cs="Arial"/>
          <w:b/>
          <w:bCs/>
          <w:sz w:val="20"/>
        </w:rPr>
      </w:pPr>
      <w:bookmarkStart w:id="524" w:name="_2.8.4_Relationship_between"/>
      <w:bookmarkEnd w:id="524"/>
      <w:r>
        <w:rPr>
          <w:rFonts w:ascii="Arial" w:hAnsi="Arial" w:cs="Arial"/>
          <w:b/>
          <w:bCs/>
          <w:sz w:val="20"/>
        </w:rPr>
        <w:t>2.8.4</w:t>
      </w:r>
      <w:r>
        <w:rPr>
          <w:rFonts w:ascii="Arial" w:hAnsi="Arial" w:cs="Arial"/>
          <w:b/>
          <w:bCs/>
          <w:sz w:val="20"/>
        </w:rPr>
        <w:tab/>
        <w:t>Relationship between s.534 CYFA and the Open Courts Act 2013</w:t>
      </w:r>
    </w:p>
    <w:p w14:paraId="0771C461" w14:textId="32F06FCF" w:rsidR="003C5289" w:rsidRDefault="00FE3225" w:rsidP="00F65A9B">
      <w:pPr>
        <w:jc w:val="both"/>
        <w:rPr>
          <w:rFonts w:ascii="Arial" w:hAnsi="Arial" w:cs="Arial"/>
          <w:sz w:val="20"/>
        </w:rPr>
      </w:pPr>
      <w:r>
        <w:rPr>
          <w:rFonts w:ascii="Arial" w:hAnsi="Arial" w:cs="Arial"/>
          <w:sz w:val="20"/>
        </w:rPr>
        <w:t xml:space="preserve">As discussed in </w:t>
      </w:r>
      <w:r w:rsidRPr="00784343">
        <w:rPr>
          <w:rFonts w:ascii="Arial" w:hAnsi="Arial" w:cs="Arial"/>
          <w:b/>
          <w:bCs/>
          <w:sz w:val="20"/>
          <w:shd w:val="clear" w:color="auto" w:fill="C5E0B3"/>
        </w:rPr>
        <w:t>section 2.7.2</w:t>
      </w:r>
      <w:r>
        <w:rPr>
          <w:rFonts w:ascii="Arial" w:hAnsi="Arial" w:cs="Arial"/>
          <w:sz w:val="20"/>
        </w:rPr>
        <w:t xml:space="preserve"> t</w:t>
      </w:r>
      <w:r w:rsidR="00692D54">
        <w:rPr>
          <w:rFonts w:ascii="Arial" w:hAnsi="Arial" w:cs="Arial"/>
          <w:sz w:val="20"/>
        </w:rPr>
        <w:t xml:space="preserve">he </w:t>
      </w:r>
      <w:r w:rsidR="00692D54" w:rsidRPr="00FA1BDE">
        <w:rPr>
          <w:rFonts w:ascii="Arial" w:hAnsi="Arial" w:cs="Arial"/>
          <w:i/>
          <w:iCs/>
          <w:sz w:val="20"/>
        </w:rPr>
        <w:t>Open Courts Act 2013</w:t>
      </w:r>
      <w:r w:rsidR="00692D54" w:rsidRPr="00FA1BDE">
        <w:rPr>
          <w:rFonts w:ascii="Arial" w:hAnsi="Arial" w:cs="Arial"/>
          <w:sz w:val="20"/>
        </w:rPr>
        <w:t xml:space="preserve"> (‘OCA’)</w:t>
      </w:r>
      <w:r w:rsidR="00692D54">
        <w:rPr>
          <w:rFonts w:ascii="Arial" w:hAnsi="Arial" w:cs="Arial"/>
          <w:sz w:val="20"/>
        </w:rPr>
        <w:t xml:space="preserve"> does not</w:t>
      </w:r>
      <w:r w:rsidR="00F167F8">
        <w:rPr>
          <w:rFonts w:ascii="Arial" w:hAnsi="Arial" w:cs="Arial"/>
          <w:sz w:val="20"/>
        </w:rPr>
        <w:t xml:space="preserve"> expressly refer to </w:t>
      </w:r>
      <w:r w:rsidR="00692D54">
        <w:rPr>
          <w:rFonts w:ascii="Arial" w:hAnsi="Arial" w:cs="Arial"/>
          <w:sz w:val="20"/>
        </w:rPr>
        <w:t xml:space="preserve">the Children’s Court: see </w:t>
      </w:r>
      <w:r w:rsidR="00F167F8">
        <w:rPr>
          <w:rFonts w:ascii="Arial" w:hAnsi="Arial" w:cs="Arial"/>
          <w:sz w:val="20"/>
        </w:rPr>
        <w:t xml:space="preserve">the </w:t>
      </w:r>
      <w:r w:rsidR="00692D54">
        <w:rPr>
          <w:rFonts w:ascii="Arial" w:hAnsi="Arial" w:cs="Arial"/>
          <w:sz w:val="20"/>
        </w:rPr>
        <w:t xml:space="preserve">definition of “court or tribunal” in s.3.  Nor has the Children’s Court been prescribed in subordinate legislation as a court falling within limb (f) of the definition. </w:t>
      </w:r>
      <w:r w:rsidR="003C5289">
        <w:rPr>
          <w:rFonts w:ascii="Arial" w:hAnsi="Arial" w:cs="Arial"/>
          <w:sz w:val="20"/>
        </w:rPr>
        <w:t xml:space="preserve">However, </w:t>
      </w:r>
      <w:r w:rsidR="00B8481F">
        <w:rPr>
          <w:rFonts w:ascii="Arial" w:hAnsi="Arial" w:cs="Arial"/>
          <w:sz w:val="20"/>
        </w:rPr>
        <w:t xml:space="preserve">a </w:t>
      </w:r>
      <w:r w:rsidR="00B467EC">
        <w:rPr>
          <w:rFonts w:ascii="Arial" w:hAnsi="Arial" w:cs="Arial"/>
          <w:sz w:val="20"/>
        </w:rPr>
        <w:t xml:space="preserve">Director of Criminal Law Policy of the Department of Justice </w:t>
      </w:r>
      <w:r w:rsidR="000A5CEF">
        <w:rPr>
          <w:rFonts w:ascii="Arial" w:hAnsi="Arial" w:cs="Arial"/>
          <w:sz w:val="20"/>
        </w:rPr>
        <w:t xml:space="preserve">and Community Safety </w:t>
      </w:r>
      <w:r w:rsidR="00B467EC">
        <w:rPr>
          <w:rFonts w:ascii="Arial" w:hAnsi="Arial" w:cs="Arial"/>
          <w:sz w:val="20"/>
        </w:rPr>
        <w:t>has advised the Principal Registrar of the Children’s Court that</w:t>
      </w:r>
      <w:r w:rsidR="00055BA8">
        <w:rPr>
          <w:rFonts w:ascii="Arial" w:hAnsi="Arial" w:cs="Arial"/>
          <w:sz w:val="20"/>
        </w:rPr>
        <w:t>–</w:t>
      </w:r>
    </w:p>
    <w:p w14:paraId="328778CF" w14:textId="42FF114B" w:rsidR="00B467EC" w:rsidRDefault="00B467EC" w:rsidP="00F65A9B">
      <w:pPr>
        <w:spacing w:before="60"/>
        <w:ind w:left="567" w:right="567"/>
        <w:jc w:val="both"/>
        <w:rPr>
          <w:rFonts w:ascii="Helv" w:hAnsi="Helv" w:cs="Helv"/>
          <w:color w:val="000000"/>
          <w:sz w:val="20"/>
          <w:szCs w:val="20"/>
          <w:lang w:eastAsia="en-AU"/>
        </w:rPr>
      </w:pPr>
      <w:r>
        <w:rPr>
          <w:rFonts w:ascii="Arial" w:hAnsi="Arial" w:cs="Arial"/>
          <w:sz w:val="20"/>
        </w:rPr>
        <w:t>“</w:t>
      </w:r>
      <w:r>
        <w:rPr>
          <w:rFonts w:ascii="Helv" w:hAnsi="Helv" w:cs="Helv"/>
          <w:color w:val="000000"/>
          <w:sz w:val="20"/>
          <w:szCs w:val="20"/>
          <w:lang w:eastAsia="en-AU"/>
        </w:rPr>
        <w:t xml:space="preserve">The Children's Court was considered as the </w:t>
      </w:r>
      <w:r w:rsidR="00640E33">
        <w:rPr>
          <w:rFonts w:ascii="Helv" w:hAnsi="Helv" w:cs="Helv"/>
          <w:color w:val="000000"/>
          <w:sz w:val="20"/>
          <w:szCs w:val="20"/>
          <w:lang w:eastAsia="en-AU"/>
        </w:rPr>
        <w:t>[OCA]</w:t>
      </w:r>
      <w:r>
        <w:rPr>
          <w:rFonts w:ascii="Helv" w:hAnsi="Helv" w:cs="Helv"/>
          <w:color w:val="000000"/>
          <w:sz w:val="20"/>
          <w:szCs w:val="20"/>
          <w:lang w:eastAsia="en-AU"/>
        </w:rPr>
        <w:t xml:space="preserve"> was drafted.  It was not specifically listed as a 'court' able to make suppression orders, as the provisions of the CYFA already provided a statutory ban to the publication of material coming out of the Court </w:t>
      </w:r>
      <w:r w:rsidR="00DF1317">
        <w:rPr>
          <w:rFonts w:ascii="Helv" w:hAnsi="Helv" w:cs="Helv"/>
          <w:color w:val="000000"/>
          <w:sz w:val="20"/>
          <w:szCs w:val="20"/>
          <w:lang w:eastAsia="en-AU"/>
        </w:rPr>
        <w:t>–</w:t>
      </w:r>
      <w:r>
        <w:rPr>
          <w:rFonts w:ascii="Helv" w:hAnsi="Helv" w:cs="Helv"/>
          <w:color w:val="000000"/>
          <w:sz w:val="20"/>
          <w:szCs w:val="20"/>
          <w:lang w:eastAsia="en-AU"/>
        </w:rPr>
        <w:t xml:space="preserve"> rather</w:t>
      </w:r>
      <w:r w:rsidR="00DF1317">
        <w:rPr>
          <w:rFonts w:ascii="Helv" w:hAnsi="Helv" w:cs="Helv"/>
          <w:color w:val="000000"/>
          <w:sz w:val="20"/>
          <w:szCs w:val="20"/>
          <w:lang w:eastAsia="en-AU"/>
        </w:rPr>
        <w:t xml:space="preserve"> </w:t>
      </w:r>
      <w:r>
        <w:rPr>
          <w:rFonts w:ascii="Helv" w:hAnsi="Helv" w:cs="Helv"/>
          <w:color w:val="000000"/>
          <w:sz w:val="20"/>
          <w:szCs w:val="20"/>
          <w:lang w:eastAsia="en-AU"/>
        </w:rPr>
        <w:t>than providing the power to make a suppression order.</w:t>
      </w:r>
    </w:p>
    <w:p w14:paraId="12326030" w14:textId="326F3064" w:rsidR="00B467EC" w:rsidRDefault="00B467EC" w:rsidP="00B467EC">
      <w:pPr>
        <w:spacing w:before="60"/>
        <w:ind w:left="567" w:right="567"/>
        <w:jc w:val="both"/>
        <w:rPr>
          <w:rFonts w:ascii="Arial" w:hAnsi="Arial" w:cs="Arial"/>
          <w:sz w:val="20"/>
        </w:rPr>
      </w:pPr>
      <w:r>
        <w:rPr>
          <w:rFonts w:ascii="Helv" w:hAnsi="Helv" w:cs="Helv"/>
          <w:color w:val="000000"/>
          <w:sz w:val="20"/>
          <w:szCs w:val="20"/>
          <w:lang w:eastAsia="en-AU"/>
        </w:rPr>
        <w:t>In developing the provisions about broad suppression orders, the aim was generally to replicate the current powers of the Courts, rather than to create any new powers.  So in so far as the Children's Court can exercise the powers of the Magistrates' Court under s</w:t>
      </w:r>
      <w:r w:rsidR="00FE3D21">
        <w:rPr>
          <w:rFonts w:ascii="Helv" w:hAnsi="Helv" w:cs="Helv"/>
          <w:color w:val="000000"/>
          <w:sz w:val="20"/>
          <w:szCs w:val="20"/>
          <w:lang w:eastAsia="en-AU"/>
        </w:rPr>
        <w:t>.</w:t>
      </w:r>
      <w:r>
        <w:rPr>
          <w:rFonts w:ascii="Helv" w:hAnsi="Helv" w:cs="Helv"/>
          <w:color w:val="000000"/>
          <w:sz w:val="20"/>
          <w:szCs w:val="20"/>
          <w:lang w:eastAsia="en-AU"/>
        </w:rPr>
        <w:t xml:space="preserve">528(1), it retains the power to make any order that the </w:t>
      </w:r>
      <w:smartTag w:uri="urn:schemas-microsoft-com:office:smarttags" w:element="address">
        <w:smartTag w:uri="urn:schemas-microsoft-com:office:smarttags" w:element="Street">
          <w:r>
            <w:rPr>
              <w:rFonts w:ascii="Helv" w:hAnsi="Helv" w:cs="Helv"/>
              <w:color w:val="000000"/>
              <w:sz w:val="20"/>
              <w:szCs w:val="20"/>
              <w:lang w:eastAsia="en-AU"/>
            </w:rPr>
            <w:t>Magistrates Court</w:t>
          </w:r>
        </w:smartTag>
      </w:smartTag>
      <w:r>
        <w:rPr>
          <w:rFonts w:ascii="Helv" w:hAnsi="Helv" w:cs="Helv"/>
          <w:color w:val="000000"/>
          <w:sz w:val="20"/>
          <w:szCs w:val="20"/>
          <w:lang w:eastAsia="en-AU"/>
        </w:rPr>
        <w:t xml:space="preserve"> can make. There was certainly no intention for the OCA to be interpreted as narrowing s</w:t>
      </w:r>
      <w:r w:rsidR="00FE3D21">
        <w:rPr>
          <w:rFonts w:ascii="Helv" w:hAnsi="Helv" w:cs="Helv"/>
          <w:color w:val="000000"/>
          <w:sz w:val="20"/>
          <w:szCs w:val="20"/>
          <w:lang w:eastAsia="en-AU"/>
        </w:rPr>
        <w:t>.</w:t>
      </w:r>
      <w:r>
        <w:rPr>
          <w:rFonts w:ascii="Helv" w:hAnsi="Helv" w:cs="Helv"/>
          <w:color w:val="000000"/>
          <w:sz w:val="20"/>
          <w:szCs w:val="20"/>
          <w:lang w:eastAsia="en-AU"/>
        </w:rPr>
        <w:t>528(1) of the CYFA.</w:t>
      </w:r>
      <w:r w:rsidR="00FE3D21">
        <w:rPr>
          <w:rFonts w:ascii="Arial" w:hAnsi="Arial" w:cs="Arial"/>
          <w:sz w:val="20"/>
        </w:rPr>
        <w:t>”</w:t>
      </w:r>
    </w:p>
    <w:p w14:paraId="31A0D3C0" w14:textId="77777777" w:rsidR="00A506A6" w:rsidRDefault="00A506A6" w:rsidP="00FE3225">
      <w:pPr>
        <w:jc w:val="both"/>
        <w:rPr>
          <w:rFonts w:ascii="Arial" w:hAnsi="Arial" w:cs="Arial"/>
          <w:sz w:val="20"/>
        </w:rPr>
      </w:pPr>
    </w:p>
    <w:p w14:paraId="61BC593F" w14:textId="19286301" w:rsidR="00A506A6" w:rsidRDefault="00FE3225" w:rsidP="00ED4D6D">
      <w:pPr>
        <w:jc w:val="both"/>
        <w:rPr>
          <w:rFonts w:ascii="Arial" w:hAnsi="Arial" w:cs="Arial"/>
          <w:color w:val="000000"/>
          <w:sz w:val="20"/>
        </w:rPr>
      </w:pPr>
      <w:r>
        <w:rPr>
          <w:rFonts w:ascii="Arial" w:hAnsi="Arial" w:cs="Arial"/>
          <w:color w:val="000000"/>
          <w:sz w:val="20"/>
        </w:rPr>
        <w:t xml:space="preserve">It should be noted that </w:t>
      </w:r>
      <w:r w:rsidR="003F02FB">
        <w:rPr>
          <w:rFonts w:ascii="Arial" w:hAnsi="Arial" w:cs="Arial"/>
          <w:color w:val="000000"/>
          <w:sz w:val="20"/>
        </w:rPr>
        <w:t xml:space="preserve">this advice was </w:t>
      </w:r>
      <w:r>
        <w:rPr>
          <w:rFonts w:ascii="Arial" w:hAnsi="Arial" w:cs="Arial"/>
          <w:color w:val="000000"/>
          <w:sz w:val="20"/>
        </w:rPr>
        <w:t>provided</w:t>
      </w:r>
      <w:r w:rsidR="003F02FB">
        <w:rPr>
          <w:rFonts w:ascii="Arial" w:hAnsi="Arial" w:cs="Arial"/>
          <w:color w:val="000000"/>
          <w:sz w:val="20"/>
        </w:rPr>
        <w:t xml:space="preserve"> prior to the </w:t>
      </w:r>
      <w:r w:rsidR="002715BF">
        <w:rPr>
          <w:rFonts w:ascii="Arial" w:hAnsi="Arial" w:cs="Arial"/>
          <w:color w:val="000000"/>
          <w:sz w:val="20"/>
        </w:rPr>
        <w:t xml:space="preserve">amendments to the OCA made by the </w:t>
      </w:r>
      <w:r w:rsidR="002715BF" w:rsidRPr="00FA1BDE">
        <w:rPr>
          <w:rFonts w:ascii="Arial" w:hAnsi="Arial" w:cs="Arial"/>
          <w:i/>
          <w:iCs/>
          <w:color w:val="000000"/>
          <w:sz w:val="20"/>
          <w:szCs w:val="20"/>
          <w:lang w:eastAsia="en-AU"/>
        </w:rPr>
        <w:t>Open Courts and Other Acts Amendment Act 2019</w:t>
      </w:r>
      <w:r w:rsidR="002715BF" w:rsidRPr="002715BF">
        <w:rPr>
          <w:rFonts w:ascii="Arial" w:hAnsi="Arial" w:cs="Arial"/>
          <w:color w:val="000000"/>
          <w:sz w:val="20"/>
          <w:szCs w:val="20"/>
          <w:lang w:eastAsia="en-AU"/>
        </w:rPr>
        <w:t>.  Th</w:t>
      </w:r>
      <w:r w:rsidR="00D10311">
        <w:rPr>
          <w:rFonts w:ascii="Arial" w:hAnsi="Arial" w:cs="Arial"/>
          <w:color w:val="000000"/>
          <w:sz w:val="20"/>
          <w:szCs w:val="20"/>
          <w:lang w:eastAsia="en-AU"/>
        </w:rPr>
        <w:t>o</w:t>
      </w:r>
      <w:r w:rsidR="002715BF" w:rsidRPr="002715BF">
        <w:rPr>
          <w:rFonts w:ascii="Arial" w:hAnsi="Arial" w:cs="Arial"/>
          <w:color w:val="000000"/>
          <w:sz w:val="20"/>
          <w:szCs w:val="20"/>
          <w:lang w:eastAsia="en-AU"/>
        </w:rPr>
        <w:t>se amendments include</w:t>
      </w:r>
      <w:r w:rsidR="0075523B">
        <w:rPr>
          <w:rFonts w:ascii="Arial" w:hAnsi="Arial" w:cs="Arial"/>
          <w:color w:val="000000"/>
          <w:sz w:val="20"/>
          <w:szCs w:val="20"/>
          <w:lang w:eastAsia="en-AU"/>
        </w:rPr>
        <w:t xml:space="preserve"> s.8 which as far as </w:t>
      </w:r>
      <w:r w:rsidR="00ED4D6D">
        <w:rPr>
          <w:rFonts w:ascii="Arial" w:hAnsi="Arial" w:cs="Arial"/>
          <w:color w:val="000000"/>
          <w:sz w:val="20"/>
          <w:szCs w:val="20"/>
          <w:lang w:eastAsia="en-AU"/>
        </w:rPr>
        <w:t xml:space="preserve">is </w:t>
      </w:r>
      <w:r w:rsidR="0075523B">
        <w:rPr>
          <w:rFonts w:ascii="Arial" w:hAnsi="Arial" w:cs="Arial"/>
          <w:color w:val="000000"/>
          <w:sz w:val="20"/>
          <w:szCs w:val="20"/>
          <w:lang w:eastAsia="en-AU"/>
        </w:rPr>
        <w:t>relevant provides</w:t>
      </w:r>
      <w:r w:rsidR="00AF0DA3">
        <w:rPr>
          <w:rFonts w:ascii="Arial" w:hAnsi="Arial" w:cs="Arial"/>
          <w:color w:val="000000"/>
          <w:sz w:val="20"/>
          <w:szCs w:val="20"/>
          <w:lang w:eastAsia="en-AU"/>
        </w:rPr>
        <w:t>:</w:t>
      </w:r>
    </w:p>
    <w:p w14:paraId="03BBB1AF" w14:textId="6EF65F56" w:rsidR="0075523B" w:rsidRDefault="0075523B" w:rsidP="00C23CF0">
      <w:pPr>
        <w:pStyle w:val="ListParagraph"/>
        <w:numPr>
          <w:ilvl w:val="0"/>
          <w:numId w:val="31"/>
        </w:numPr>
        <w:spacing w:before="60"/>
        <w:ind w:left="1021" w:right="567" w:hanging="454"/>
        <w:jc w:val="both"/>
        <w:rPr>
          <w:rFonts w:ascii="Arial" w:hAnsi="Arial" w:cs="Arial"/>
          <w:sz w:val="20"/>
        </w:rPr>
      </w:pPr>
      <w:r w:rsidRPr="0075523B">
        <w:rPr>
          <w:rFonts w:ascii="Arial" w:hAnsi="Arial" w:cs="Arial"/>
          <w:sz w:val="20"/>
        </w:rPr>
        <w:t>This Act does not limit or otherwise affect the operation of a provision made by or under any other Act, including an Act of the Commonwealth, that—</w:t>
      </w:r>
    </w:p>
    <w:p w14:paraId="501DB1F4" w14:textId="60125AD5" w:rsidR="0075523B" w:rsidRDefault="0075523B" w:rsidP="00C23CF0">
      <w:pPr>
        <w:pStyle w:val="DraftHeading3"/>
        <w:numPr>
          <w:ilvl w:val="0"/>
          <w:numId w:val="32"/>
        </w:numPr>
        <w:tabs>
          <w:tab w:val="right" w:pos="1757"/>
        </w:tabs>
        <w:spacing w:before="0"/>
        <w:ind w:left="1475" w:right="567" w:hanging="454"/>
        <w:jc w:val="both"/>
        <w:rPr>
          <w:rFonts w:ascii="Arial" w:hAnsi="Arial" w:cs="Arial"/>
          <w:sz w:val="20"/>
        </w:rPr>
      </w:pPr>
      <w:r w:rsidRPr="0075523B">
        <w:rPr>
          <w:rFonts w:ascii="Arial" w:hAnsi="Arial" w:cs="Arial"/>
          <w:sz w:val="20"/>
        </w:rPr>
        <w:t>prohibits or restricts, or authorises a court or tribunal to prohibit or restrict, the publication or other disclosure of information for or in connection with any proceeding; or</w:t>
      </w:r>
    </w:p>
    <w:p w14:paraId="1E40B815" w14:textId="4E9F5F20" w:rsidR="0075523B" w:rsidRPr="0075523B" w:rsidRDefault="00ED4D6D" w:rsidP="00C23CF0">
      <w:pPr>
        <w:pStyle w:val="DraftHeading3"/>
        <w:numPr>
          <w:ilvl w:val="0"/>
          <w:numId w:val="32"/>
        </w:numPr>
        <w:tabs>
          <w:tab w:val="right" w:pos="1757"/>
        </w:tabs>
        <w:spacing w:before="0"/>
        <w:ind w:left="1475" w:right="567" w:hanging="454"/>
        <w:jc w:val="both"/>
        <w:rPr>
          <w:rFonts w:ascii="Arial" w:hAnsi="Arial" w:cs="Arial"/>
          <w:sz w:val="20"/>
        </w:rPr>
      </w:pPr>
      <w:r w:rsidRPr="0075523B">
        <w:rPr>
          <w:rFonts w:ascii="Arial" w:hAnsi="Arial" w:cs="Arial"/>
          <w:sz w:val="20"/>
        </w:rPr>
        <w:t>requires or authorises a court or tribunal to close any proceeding to the public.</w:t>
      </w:r>
    </w:p>
    <w:p w14:paraId="7B3243A1" w14:textId="18710BEA" w:rsidR="00ED4D6D" w:rsidRPr="00ED4D6D" w:rsidRDefault="00ED4D6D" w:rsidP="00ED4D6D">
      <w:pPr>
        <w:spacing w:before="120"/>
        <w:ind w:left="1021" w:right="567" w:hanging="454"/>
        <w:jc w:val="both"/>
        <w:rPr>
          <w:rFonts w:ascii="Arial" w:hAnsi="Arial" w:cs="Arial"/>
          <w:sz w:val="20"/>
        </w:rPr>
      </w:pPr>
      <w:r>
        <w:rPr>
          <w:rFonts w:ascii="Arial" w:hAnsi="Arial" w:cs="Arial"/>
          <w:sz w:val="20"/>
        </w:rPr>
        <w:t>(1A)</w:t>
      </w:r>
      <w:r>
        <w:rPr>
          <w:rFonts w:ascii="Arial" w:hAnsi="Arial" w:cs="Arial"/>
          <w:sz w:val="20"/>
        </w:rPr>
        <w:tab/>
      </w:r>
      <w:r w:rsidRPr="0075523B">
        <w:rPr>
          <w:rFonts w:ascii="Arial" w:hAnsi="Arial" w:cs="Arial"/>
          <w:sz w:val="20"/>
          <w:szCs w:val="20"/>
        </w:rPr>
        <w:t>If a provision of an Act referred to in subsection (2) prohibits or restricts, or authorises a court or tribunal to prohibit or restrict, the publication or other disclosure of information for or in connection with any</w:t>
      </w:r>
      <w:r w:rsidR="00FE3225">
        <w:rPr>
          <w:rFonts w:ascii="Arial" w:hAnsi="Arial" w:cs="Arial"/>
          <w:sz w:val="20"/>
          <w:szCs w:val="20"/>
        </w:rPr>
        <w:t xml:space="preserve"> </w:t>
      </w:r>
      <w:r w:rsidRPr="0075523B">
        <w:rPr>
          <w:rFonts w:ascii="Arial" w:hAnsi="Arial" w:cs="Arial"/>
          <w:sz w:val="20"/>
          <w:szCs w:val="20"/>
        </w:rPr>
        <w:t>proceeding, a court or tribunal must not make a suppression order that prohibits or restricts the publication or other disclosure of information which is already prohibited or</w:t>
      </w:r>
      <w:r w:rsidR="00FE3225">
        <w:rPr>
          <w:rFonts w:ascii="Arial" w:hAnsi="Arial" w:cs="Arial"/>
          <w:sz w:val="20"/>
          <w:szCs w:val="20"/>
        </w:rPr>
        <w:t xml:space="preserve"> </w:t>
      </w:r>
      <w:r w:rsidRPr="0075523B">
        <w:rPr>
          <w:rFonts w:ascii="Arial" w:hAnsi="Arial" w:cs="Arial"/>
          <w:sz w:val="20"/>
          <w:szCs w:val="20"/>
        </w:rPr>
        <w:t>restricted by that other provision.</w:t>
      </w:r>
    </w:p>
    <w:p w14:paraId="69BCF100" w14:textId="639BD257" w:rsidR="00ED4D6D" w:rsidRPr="00ED4D6D" w:rsidRDefault="00ED4D6D" w:rsidP="00C23CF0">
      <w:pPr>
        <w:pStyle w:val="ListParagraph"/>
        <w:numPr>
          <w:ilvl w:val="0"/>
          <w:numId w:val="31"/>
        </w:numPr>
        <w:spacing w:before="120"/>
        <w:ind w:left="1021" w:right="567" w:hanging="454"/>
        <w:jc w:val="both"/>
        <w:rPr>
          <w:rFonts w:ascii="Arial" w:hAnsi="Arial" w:cs="Arial"/>
          <w:sz w:val="20"/>
        </w:rPr>
      </w:pPr>
      <w:r w:rsidRPr="0075523B">
        <w:rPr>
          <w:rFonts w:ascii="Arial" w:hAnsi="Arial" w:cs="Arial"/>
          <w:sz w:val="20"/>
        </w:rPr>
        <w:t>Without limiting the generality of subsection (1), this Act does not limit the operation of the following provisions—</w:t>
      </w:r>
    </w:p>
    <w:p w14:paraId="0EFAE435" w14:textId="1F48262D" w:rsidR="00ED4D6D" w:rsidRDefault="00ED4D6D" w:rsidP="00C23CF0">
      <w:pPr>
        <w:pStyle w:val="DraftHeading3"/>
        <w:numPr>
          <w:ilvl w:val="0"/>
          <w:numId w:val="33"/>
        </w:numPr>
        <w:tabs>
          <w:tab w:val="right" w:pos="1757"/>
        </w:tabs>
        <w:spacing w:before="0"/>
        <w:ind w:left="1475" w:right="567" w:hanging="454"/>
        <w:jc w:val="both"/>
        <w:rPr>
          <w:rFonts w:ascii="Arial" w:hAnsi="Arial" w:cs="Arial"/>
          <w:sz w:val="20"/>
        </w:rPr>
      </w:pPr>
      <w:r>
        <w:rPr>
          <w:rFonts w:ascii="Arial" w:hAnsi="Arial" w:cs="Arial"/>
          <w:sz w:val="20"/>
        </w:rPr>
        <w:t>…;</w:t>
      </w:r>
    </w:p>
    <w:p w14:paraId="428F6BDC" w14:textId="48260CC8" w:rsidR="00ED4D6D" w:rsidRDefault="00ED4D6D" w:rsidP="00C23CF0">
      <w:pPr>
        <w:pStyle w:val="DraftHeading3"/>
        <w:numPr>
          <w:ilvl w:val="0"/>
          <w:numId w:val="33"/>
        </w:numPr>
        <w:tabs>
          <w:tab w:val="right" w:pos="1757"/>
        </w:tabs>
        <w:spacing w:before="0"/>
        <w:ind w:left="1475" w:right="567" w:hanging="454"/>
        <w:jc w:val="both"/>
        <w:rPr>
          <w:rFonts w:ascii="Arial" w:hAnsi="Arial" w:cs="Arial"/>
          <w:sz w:val="20"/>
        </w:rPr>
      </w:pPr>
      <w:r w:rsidRPr="00FE3225">
        <w:rPr>
          <w:rFonts w:ascii="Arial" w:hAnsi="Arial" w:cs="Arial"/>
          <w:b/>
          <w:bCs/>
          <w:sz w:val="20"/>
        </w:rPr>
        <w:t>section 534 of the</w:t>
      </w:r>
      <w:r w:rsidRPr="0075523B">
        <w:rPr>
          <w:rFonts w:ascii="Arial" w:hAnsi="Arial" w:cs="Arial"/>
          <w:sz w:val="20"/>
        </w:rPr>
        <w:t xml:space="preserve"> </w:t>
      </w:r>
      <w:r w:rsidRPr="00FE3225">
        <w:rPr>
          <w:rFonts w:ascii="Arial" w:hAnsi="Arial" w:cs="Arial"/>
          <w:b/>
          <w:i/>
          <w:iCs/>
          <w:sz w:val="20"/>
        </w:rPr>
        <w:t>Children, Youth and Families Act 2005</w:t>
      </w:r>
      <w:r w:rsidRPr="00ED4D6D">
        <w:rPr>
          <w:rFonts w:ascii="Arial" w:hAnsi="Arial" w:cs="Arial"/>
          <w:sz w:val="20"/>
        </w:rPr>
        <w:t>;…</w:t>
      </w:r>
    </w:p>
    <w:p w14:paraId="525B0201" w14:textId="39A3AF18" w:rsidR="00ED4D6D" w:rsidRDefault="00ED4D6D" w:rsidP="00C23CF0">
      <w:pPr>
        <w:pStyle w:val="DraftHeading3"/>
        <w:numPr>
          <w:ilvl w:val="0"/>
          <w:numId w:val="34"/>
        </w:numPr>
        <w:tabs>
          <w:tab w:val="right" w:pos="1757"/>
        </w:tabs>
        <w:spacing w:before="0"/>
        <w:ind w:left="1475" w:right="567" w:hanging="454"/>
        <w:jc w:val="both"/>
        <w:rPr>
          <w:rFonts w:ascii="Arial" w:hAnsi="Arial" w:cs="Arial"/>
          <w:sz w:val="20"/>
        </w:rPr>
      </w:pPr>
      <w:r w:rsidRPr="0075523B">
        <w:rPr>
          <w:rFonts w:ascii="Arial" w:hAnsi="Arial" w:cs="Arial"/>
          <w:sz w:val="20"/>
        </w:rPr>
        <w:t xml:space="preserve">section 75 of the </w:t>
      </w:r>
      <w:r w:rsidRPr="00FE3225">
        <w:rPr>
          <w:rFonts w:ascii="Arial" w:hAnsi="Arial" w:cs="Arial"/>
          <w:bCs/>
          <w:i/>
          <w:iCs/>
          <w:sz w:val="20"/>
        </w:rPr>
        <w:t>Crimes (Mental Impairment and Unfitness to be Tried) Act 1997</w:t>
      </w:r>
      <w:r w:rsidRPr="0075523B">
        <w:rPr>
          <w:rFonts w:ascii="Arial" w:hAnsi="Arial" w:cs="Arial"/>
          <w:sz w:val="20"/>
        </w:rPr>
        <w:t>;</w:t>
      </w:r>
      <w:r>
        <w:rPr>
          <w:rFonts w:ascii="Arial" w:hAnsi="Arial" w:cs="Arial"/>
          <w:sz w:val="20"/>
        </w:rPr>
        <w:t>…</w:t>
      </w:r>
    </w:p>
    <w:p w14:paraId="1B92B7EE" w14:textId="77777777" w:rsidR="00773019" w:rsidRDefault="00773019" w:rsidP="00C23CF0">
      <w:pPr>
        <w:pStyle w:val="DraftHeading3"/>
        <w:numPr>
          <w:ilvl w:val="0"/>
          <w:numId w:val="35"/>
        </w:numPr>
        <w:tabs>
          <w:tab w:val="right" w:pos="1757"/>
        </w:tabs>
        <w:spacing w:before="0"/>
        <w:ind w:left="1475" w:right="567" w:hanging="454"/>
        <w:jc w:val="both"/>
        <w:rPr>
          <w:rFonts w:ascii="Arial" w:hAnsi="Arial" w:cs="Arial"/>
          <w:sz w:val="20"/>
        </w:rPr>
      </w:pPr>
      <w:r w:rsidRPr="0075523B">
        <w:rPr>
          <w:rFonts w:ascii="Arial" w:hAnsi="Arial" w:cs="Arial"/>
          <w:sz w:val="20"/>
        </w:rPr>
        <w:t xml:space="preserve">sections 32F or 42BQ of the </w:t>
      </w:r>
      <w:r w:rsidRPr="00FE3225">
        <w:rPr>
          <w:rFonts w:ascii="Arial" w:hAnsi="Arial" w:cs="Arial"/>
          <w:bCs/>
          <w:i/>
          <w:iCs/>
          <w:sz w:val="20"/>
        </w:rPr>
        <w:t>Evidence (Miscellaneous Provisions) Act 1958</w:t>
      </w:r>
      <w:r w:rsidRPr="0075523B">
        <w:rPr>
          <w:rFonts w:ascii="Arial" w:hAnsi="Arial" w:cs="Arial"/>
          <w:sz w:val="20"/>
        </w:rPr>
        <w:t>;</w:t>
      </w:r>
    </w:p>
    <w:p w14:paraId="3D80AA11" w14:textId="29EBB439" w:rsidR="00ED4D6D" w:rsidRDefault="00773019" w:rsidP="00C23CF0">
      <w:pPr>
        <w:pStyle w:val="DraftHeading3"/>
        <w:numPr>
          <w:ilvl w:val="0"/>
          <w:numId w:val="35"/>
        </w:numPr>
        <w:tabs>
          <w:tab w:val="right" w:pos="1757"/>
        </w:tabs>
        <w:spacing w:before="0"/>
        <w:ind w:left="1475" w:right="567" w:hanging="454"/>
        <w:jc w:val="both"/>
        <w:rPr>
          <w:rFonts w:ascii="Arial" w:hAnsi="Arial" w:cs="Arial"/>
          <w:sz w:val="20"/>
        </w:rPr>
      </w:pPr>
      <w:r w:rsidRPr="0075523B">
        <w:rPr>
          <w:rFonts w:ascii="Arial" w:hAnsi="Arial" w:cs="Arial"/>
          <w:sz w:val="20"/>
        </w:rPr>
        <w:t xml:space="preserve">sections 166 or 167 of the </w:t>
      </w:r>
      <w:r w:rsidRPr="00FE3225">
        <w:rPr>
          <w:rFonts w:ascii="Arial" w:hAnsi="Arial" w:cs="Arial"/>
          <w:bCs/>
          <w:i/>
          <w:iCs/>
          <w:sz w:val="20"/>
        </w:rPr>
        <w:t>Family Violence Protection Act 2008</w:t>
      </w:r>
      <w:r w:rsidRPr="00773019">
        <w:rPr>
          <w:rFonts w:ascii="Arial" w:hAnsi="Arial" w:cs="Arial"/>
          <w:bCs/>
          <w:sz w:val="20"/>
        </w:rPr>
        <w:t>…</w:t>
      </w:r>
    </w:p>
    <w:p w14:paraId="047675DA" w14:textId="6FD2FD99" w:rsidR="00773019" w:rsidRPr="00ED4D6D" w:rsidRDefault="00773019" w:rsidP="00C23CF0">
      <w:pPr>
        <w:pStyle w:val="ListParagraph"/>
        <w:numPr>
          <w:ilvl w:val="0"/>
          <w:numId w:val="31"/>
        </w:numPr>
        <w:spacing w:before="120"/>
        <w:ind w:left="1021" w:right="567" w:hanging="454"/>
        <w:jc w:val="both"/>
        <w:rPr>
          <w:rFonts w:ascii="Arial" w:hAnsi="Arial" w:cs="Arial"/>
          <w:sz w:val="20"/>
        </w:rPr>
      </w:pPr>
      <w:r w:rsidRPr="0075523B">
        <w:rPr>
          <w:rFonts w:ascii="Arial" w:hAnsi="Arial" w:cs="Arial"/>
          <w:sz w:val="20"/>
        </w:rPr>
        <w:t>A suppression order that prohibits or restricts</w:t>
      </w:r>
      <w:r>
        <w:rPr>
          <w:rFonts w:ascii="Arial" w:hAnsi="Arial" w:cs="Arial"/>
          <w:sz w:val="20"/>
        </w:rPr>
        <w:t xml:space="preserve"> </w:t>
      </w:r>
      <w:r w:rsidRPr="0075523B">
        <w:rPr>
          <w:rFonts w:ascii="Arial" w:hAnsi="Arial" w:cs="Arial"/>
          <w:sz w:val="20"/>
        </w:rPr>
        <w:t>the publication or other disclosure of</w:t>
      </w:r>
      <w:r>
        <w:rPr>
          <w:rFonts w:ascii="Arial" w:hAnsi="Arial" w:cs="Arial"/>
          <w:sz w:val="20"/>
        </w:rPr>
        <w:t xml:space="preserve"> </w:t>
      </w:r>
      <w:r w:rsidRPr="0075523B">
        <w:rPr>
          <w:rFonts w:ascii="Arial" w:hAnsi="Arial" w:cs="Arial"/>
          <w:sz w:val="20"/>
        </w:rPr>
        <w:t>information which is already prohibited or</w:t>
      </w:r>
      <w:r>
        <w:rPr>
          <w:rFonts w:ascii="Arial" w:hAnsi="Arial" w:cs="Arial"/>
          <w:sz w:val="20"/>
        </w:rPr>
        <w:t xml:space="preserve"> </w:t>
      </w:r>
      <w:r w:rsidRPr="0075523B">
        <w:rPr>
          <w:rFonts w:ascii="Arial" w:hAnsi="Arial" w:cs="Arial"/>
          <w:sz w:val="20"/>
        </w:rPr>
        <w:t xml:space="preserve">restricted by </w:t>
      </w:r>
      <w:r w:rsidRPr="0075523B">
        <w:rPr>
          <w:rFonts w:ascii="Arial" w:hAnsi="Arial" w:cs="Arial"/>
          <w:sz w:val="20"/>
          <w:lang w:eastAsia="en-AU"/>
        </w:rPr>
        <w:t>the operation of a provision made by or under any Act</w:t>
      </w:r>
      <w:r w:rsidRPr="0075523B">
        <w:rPr>
          <w:rFonts w:ascii="Arial" w:hAnsi="Arial" w:cs="Arial"/>
          <w:sz w:val="20"/>
        </w:rPr>
        <w:t>, including an Act of the Commonwealth,</w:t>
      </w:r>
      <w:r w:rsidRPr="0075523B">
        <w:rPr>
          <w:rFonts w:ascii="Arial" w:hAnsi="Arial" w:cs="Arial"/>
          <w:sz w:val="20"/>
          <w:lang w:eastAsia="en-AU"/>
        </w:rPr>
        <w:t xml:space="preserve"> is not invalid merely because it covers the same prohibition, restriction or disclosure as the provision of an Act.</w:t>
      </w:r>
    </w:p>
    <w:p w14:paraId="3E8C315A" w14:textId="77777777" w:rsidR="0075523B" w:rsidRPr="0075523B" w:rsidRDefault="0075523B" w:rsidP="0075523B">
      <w:pPr>
        <w:rPr>
          <w:rFonts w:ascii="Arial" w:hAnsi="Arial" w:cs="Arial"/>
          <w:sz w:val="20"/>
          <w:szCs w:val="20"/>
        </w:rPr>
      </w:pPr>
    </w:p>
    <w:p w14:paraId="4DB85A47" w14:textId="4C517825" w:rsidR="00567690" w:rsidRDefault="00773019" w:rsidP="007B0F16">
      <w:pPr>
        <w:jc w:val="both"/>
        <w:rPr>
          <w:rFonts w:ascii="Arial" w:hAnsi="Arial" w:cs="Arial"/>
          <w:color w:val="000000"/>
          <w:sz w:val="20"/>
        </w:rPr>
      </w:pPr>
      <w:r>
        <w:rPr>
          <w:rFonts w:ascii="Arial" w:hAnsi="Arial" w:cs="Arial"/>
          <w:color w:val="000000"/>
          <w:sz w:val="20"/>
        </w:rPr>
        <w:t>It is clear enough from s</w:t>
      </w:r>
      <w:r w:rsidR="001C7180">
        <w:rPr>
          <w:rFonts w:ascii="Arial" w:hAnsi="Arial" w:cs="Arial"/>
          <w:color w:val="000000"/>
          <w:sz w:val="20"/>
        </w:rPr>
        <w:t>s</w:t>
      </w:r>
      <w:r>
        <w:rPr>
          <w:rFonts w:ascii="Arial" w:hAnsi="Arial" w:cs="Arial"/>
          <w:color w:val="000000"/>
          <w:sz w:val="20"/>
        </w:rPr>
        <w:t xml:space="preserve">.8(1) </w:t>
      </w:r>
      <w:r w:rsidR="001C7180">
        <w:rPr>
          <w:rFonts w:ascii="Arial" w:hAnsi="Arial" w:cs="Arial"/>
          <w:color w:val="000000"/>
          <w:sz w:val="20"/>
        </w:rPr>
        <w:t xml:space="preserve">&amp; 8(2)(b) </w:t>
      </w:r>
      <w:r>
        <w:rPr>
          <w:rFonts w:ascii="Arial" w:hAnsi="Arial" w:cs="Arial"/>
          <w:color w:val="000000"/>
          <w:sz w:val="20"/>
        </w:rPr>
        <w:t xml:space="preserve">that the OCA does not limit or otherwise affect the operation of s.534 CYFA or for that matter </w:t>
      </w:r>
      <w:r w:rsidR="00FE3225">
        <w:rPr>
          <w:rFonts w:ascii="Arial" w:hAnsi="Arial" w:cs="Arial"/>
          <w:color w:val="000000"/>
          <w:sz w:val="20"/>
        </w:rPr>
        <w:t xml:space="preserve">of </w:t>
      </w:r>
      <w:r>
        <w:rPr>
          <w:rFonts w:ascii="Arial" w:hAnsi="Arial" w:cs="Arial"/>
          <w:color w:val="000000"/>
          <w:sz w:val="20"/>
        </w:rPr>
        <w:t>s.</w:t>
      </w:r>
      <w:r w:rsidR="007B0F16">
        <w:rPr>
          <w:rFonts w:ascii="Arial" w:hAnsi="Arial" w:cs="Arial"/>
          <w:color w:val="000000"/>
          <w:sz w:val="20"/>
        </w:rPr>
        <w:t>523.</w:t>
      </w:r>
      <w:r w:rsidR="001251F3">
        <w:rPr>
          <w:rFonts w:ascii="Arial" w:hAnsi="Arial" w:cs="Arial"/>
          <w:color w:val="000000"/>
          <w:sz w:val="20"/>
        </w:rPr>
        <w:t xml:space="preserve"> </w:t>
      </w:r>
      <w:r w:rsidR="00243288">
        <w:rPr>
          <w:rFonts w:ascii="Arial" w:hAnsi="Arial" w:cs="Arial"/>
          <w:color w:val="000000"/>
          <w:sz w:val="20"/>
        </w:rPr>
        <w:t xml:space="preserve">The position in relation to ss.8(1A) &amp; 8(3) of the OCA is not so clear. This issue arose as a central aspect of </w:t>
      </w:r>
      <w:r w:rsidR="00243288" w:rsidRPr="00243288">
        <w:rPr>
          <w:rFonts w:ascii="Arial" w:hAnsi="Arial" w:cs="Arial"/>
          <w:i/>
          <w:iCs/>
          <w:color w:val="000000"/>
          <w:sz w:val="20"/>
        </w:rPr>
        <w:t>Re WD (No 2)</w:t>
      </w:r>
      <w:r w:rsidR="00243288">
        <w:rPr>
          <w:rFonts w:ascii="Arial" w:hAnsi="Arial" w:cs="Arial"/>
          <w:color w:val="000000"/>
          <w:sz w:val="20"/>
        </w:rPr>
        <w:t xml:space="preserve"> [2023] VSC 790</w:t>
      </w:r>
      <w:r w:rsidR="00084B7E">
        <w:rPr>
          <w:rFonts w:ascii="Arial" w:hAnsi="Arial" w:cs="Arial"/>
          <w:color w:val="000000"/>
          <w:sz w:val="20"/>
        </w:rPr>
        <w:t xml:space="preserve"> in which the Court dismissed the application of the Secretary DFFH for a proceeding suppression order</w:t>
      </w:r>
      <w:r w:rsidR="00243288">
        <w:rPr>
          <w:rFonts w:ascii="Arial" w:hAnsi="Arial" w:cs="Arial"/>
          <w:color w:val="000000"/>
          <w:sz w:val="20"/>
        </w:rPr>
        <w:t>.  At [100]-[10</w:t>
      </w:r>
      <w:r w:rsidR="001C7180">
        <w:rPr>
          <w:rFonts w:ascii="Arial" w:hAnsi="Arial" w:cs="Arial"/>
          <w:color w:val="000000"/>
          <w:sz w:val="20"/>
        </w:rPr>
        <w:t>2</w:t>
      </w:r>
      <w:r w:rsidR="00243288">
        <w:rPr>
          <w:rFonts w:ascii="Arial" w:hAnsi="Arial" w:cs="Arial"/>
          <w:color w:val="000000"/>
          <w:sz w:val="20"/>
        </w:rPr>
        <w:t>]</w:t>
      </w:r>
      <w:r w:rsidR="00E5442C">
        <w:rPr>
          <w:rFonts w:ascii="Arial" w:hAnsi="Arial" w:cs="Arial"/>
          <w:color w:val="000000"/>
          <w:sz w:val="20"/>
        </w:rPr>
        <w:t>,</w:t>
      </w:r>
      <w:r w:rsidR="001C7180">
        <w:rPr>
          <w:rFonts w:ascii="Arial" w:hAnsi="Arial" w:cs="Arial"/>
          <w:color w:val="000000"/>
          <w:sz w:val="20"/>
        </w:rPr>
        <w:t xml:space="preserve"> [107] </w:t>
      </w:r>
      <w:r w:rsidR="00E5442C">
        <w:rPr>
          <w:rFonts w:ascii="Arial" w:hAnsi="Arial" w:cs="Arial"/>
          <w:color w:val="000000"/>
          <w:sz w:val="20"/>
        </w:rPr>
        <w:t xml:space="preserve">&amp; [110] </w:t>
      </w:r>
      <w:r w:rsidR="00243288">
        <w:rPr>
          <w:rFonts w:ascii="Arial" w:hAnsi="Arial" w:cs="Arial"/>
          <w:color w:val="000000"/>
          <w:sz w:val="20"/>
        </w:rPr>
        <w:t>Elliott</w:t>
      </w:r>
      <w:r w:rsidR="00084B7E">
        <w:rPr>
          <w:rFonts w:ascii="Arial" w:hAnsi="Arial" w:cs="Arial"/>
          <w:color w:val="000000"/>
          <w:sz w:val="20"/>
        </w:rPr>
        <w:t> </w:t>
      </w:r>
      <w:r w:rsidR="00243288">
        <w:rPr>
          <w:rFonts w:ascii="Arial" w:hAnsi="Arial" w:cs="Arial"/>
          <w:color w:val="000000"/>
          <w:sz w:val="20"/>
        </w:rPr>
        <w:t>J said</w:t>
      </w:r>
      <w:r w:rsidR="001C7180">
        <w:rPr>
          <w:rFonts w:ascii="Arial" w:hAnsi="Arial" w:cs="Arial"/>
          <w:color w:val="000000"/>
          <w:sz w:val="20"/>
        </w:rPr>
        <w:t xml:space="preserve"> </w:t>
      </w:r>
      <w:r w:rsidR="001C7180">
        <w:rPr>
          <w:rFonts w:ascii="Arial" w:hAnsi="Arial" w:cs="Arial"/>
          <w:sz w:val="20"/>
        </w:rPr>
        <w:t>(emphasis added but footnotes omitted)</w:t>
      </w:r>
      <w:r w:rsidR="00243288">
        <w:rPr>
          <w:rFonts w:ascii="Arial" w:hAnsi="Arial" w:cs="Arial"/>
          <w:color w:val="000000"/>
          <w:sz w:val="20"/>
        </w:rPr>
        <w:t>:</w:t>
      </w:r>
    </w:p>
    <w:p w14:paraId="7D55CA58" w14:textId="5C889481" w:rsidR="00243288" w:rsidRDefault="00243288" w:rsidP="00243288">
      <w:pPr>
        <w:spacing w:before="60"/>
        <w:ind w:left="567" w:right="567"/>
        <w:jc w:val="both"/>
        <w:rPr>
          <w:rFonts w:ascii="Arial" w:hAnsi="Arial" w:cs="Arial"/>
          <w:color w:val="000000"/>
          <w:sz w:val="20"/>
        </w:rPr>
      </w:pPr>
      <w:r>
        <w:rPr>
          <w:rFonts w:ascii="Arial" w:hAnsi="Arial" w:cs="Arial"/>
          <w:color w:val="000000"/>
          <w:sz w:val="20"/>
        </w:rPr>
        <w:t xml:space="preserve">[100] “In the absence of any prior judicial consideration of the interaction between section 8(1A) and (3), general principles of statutory interpretation must be considered.  The central focus should be on the text of the provision, with its words given their natural and ordinary meaning unless a contrary legislative intent is plain: </w:t>
      </w:r>
      <w:r w:rsidRPr="00243288">
        <w:rPr>
          <w:rFonts w:ascii="Arial" w:hAnsi="Arial" w:cs="Arial"/>
          <w:i/>
          <w:iCs/>
          <w:color w:val="000000"/>
          <w:sz w:val="20"/>
        </w:rPr>
        <w:t>Masson v Parsons</w:t>
      </w:r>
      <w:r>
        <w:rPr>
          <w:rFonts w:ascii="Arial" w:hAnsi="Arial" w:cs="Arial"/>
          <w:color w:val="000000"/>
          <w:sz w:val="20"/>
        </w:rPr>
        <w:t xml:space="preserve"> (2019) 266 CLR 554, 572 [26]; </w:t>
      </w:r>
      <w:r w:rsidRPr="00243288">
        <w:rPr>
          <w:rFonts w:ascii="Arial" w:hAnsi="Arial" w:cs="Arial"/>
          <w:i/>
          <w:iCs/>
          <w:color w:val="000000"/>
          <w:sz w:val="20"/>
        </w:rPr>
        <w:t>Project Blue Sky Inc v Australian Broadcasting Authority</w:t>
      </w:r>
      <w:r>
        <w:rPr>
          <w:rFonts w:ascii="Arial" w:hAnsi="Arial" w:cs="Arial"/>
          <w:color w:val="000000"/>
          <w:sz w:val="20"/>
        </w:rPr>
        <w:t xml:space="preserve"> (1998) 194 CLR </w:t>
      </w:r>
      <w:r>
        <w:rPr>
          <w:rFonts w:ascii="Arial" w:hAnsi="Arial" w:cs="Arial"/>
          <w:color w:val="000000"/>
          <w:sz w:val="20"/>
        </w:rPr>
        <w:lastRenderedPageBreak/>
        <w:t xml:space="preserve">335, 384 [78].  The text of the provision must also be considered in context, including by having regard to the Act as a whole, its purpose and object, and any relevant extrinsic material: </w:t>
      </w:r>
      <w:r w:rsidR="007820C5" w:rsidRPr="00243288">
        <w:rPr>
          <w:rFonts w:ascii="Arial" w:hAnsi="Arial" w:cs="Arial"/>
          <w:i/>
          <w:iCs/>
          <w:color w:val="000000"/>
          <w:sz w:val="20"/>
        </w:rPr>
        <w:t>Project Blue Sky Inc v Australian Broadcasting Authority</w:t>
      </w:r>
      <w:r w:rsidR="007820C5">
        <w:rPr>
          <w:rFonts w:ascii="Arial" w:hAnsi="Arial" w:cs="Arial"/>
          <w:color w:val="000000"/>
          <w:sz w:val="20"/>
        </w:rPr>
        <w:t xml:space="preserve"> (1998) 194 CLR 335, 384 [78]; </w:t>
      </w:r>
      <w:r w:rsidR="007820C5" w:rsidRPr="007820C5">
        <w:rPr>
          <w:rFonts w:ascii="Arial" w:hAnsi="Arial" w:cs="Arial"/>
          <w:i/>
          <w:iCs/>
          <w:color w:val="000000"/>
          <w:sz w:val="20"/>
        </w:rPr>
        <w:t>CIC Insurance Ltd v Bankstown Football Club Ltd</w:t>
      </w:r>
      <w:r w:rsidR="007820C5">
        <w:rPr>
          <w:rFonts w:ascii="Arial" w:hAnsi="Arial" w:cs="Arial"/>
          <w:color w:val="000000"/>
          <w:sz w:val="20"/>
        </w:rPr>
        <w:t xml:space="preserve"> (1997) 187 CLR 384, 408.  A construction of legislation which promotes its underlying purpose or objective is to be preferred to one that does not: </w:t>
      </w:r>
      <w:r w:rsidR="007820C5" w:rsidRPr="007820C5">
        <w:rPr>
          <w:rFonts w:ascii="Arial" w:hAnsi="Arial" w:cs="Arial"/>
          <w:i/>
          <w:iCs/>
          <w:color w:val="000000"/>
          <w:sz w:val="20"/>
        </w:rPr>
        <w:t>Interpretation of Legislation Act 1984</w:t>
      </w:r>
      <w:r w:rsidR="007820C5">
        <w:rPr>
          <w:rFonts w:ascii="Arial" w:hAnsi="Arial" w:cs="Arial"/>
          <w:color w:val="000000"/>
          <w:sz w:val="20"/>
        </w:rPr>
        <w:t xml:space="preserve"> (Vic), s.35(a).</w:t>
      </w:r>
    </w:p>
    <w:p w14:paraId="63A6C997" w14:textId="77777777" w:rsidR="001C7180" w:rsidRDefault="007820C5" w:rsidP="00243288">
      <w:pPr>
        <w:spacing w:before="60"/>
        <w:ind w:left="567" w:right="567"/>
        <w:jc w:val="both"/>
        <w:rPr>
          <w:rFonts w:ascii="Arial" w:hAnsi="Arial" w:cs="Arial"/>
          <w:color w:val="000000"/>
          <w:sz w:val="20"/>
        </w:rPr>
      </w:pPr>
      <w:r>
        <w:rPr>
          <w:rFonts w:ascii="Arial" w:hAnsi="Arial" w:cs="Arial"/>
          <w:color w:val="000000"/>
          <w:sz w:val="20"/>
        </w:rPr>
        <w:t xml:space="preserve">[101] With this in mind, the position so far as section 8(1A) is concerned is relatively straightforward.  As is clear from the text of the provision, it operates to preclude a court from making a suppression order in relation to information the publication or disclosure of which is already prohibited or restricted by the operation of a provision referred to in section 8(2).  Thus, on its face, </w:t>
      </w:r>
      <w:r w:rsidRPr="001C7180">
        <w:rPr>
          <w:rFonts w:ascii="Arial" w:hAnsi="Arial" w:cs="Arial"/>
          <w:b/>
          <w:bCs/>
          <w:color w:val="000000"/>
          <w:sz w:val="20"/>
        </w:rPr>
        <w:t xml:space="preserve">section 8(1A) precludes the court from making the suppression order sought by the Secretary, which proposes to </w:t>
      </w:r>
      <w:r w:rsidR="00261686" w:rsidRPr="001C7180">
        <w:rPr>
          <w:rFonts w:ascii="Arial" w:hAnsi="Arial" w:cs="Arial"/>
          <w:b/>
          <w:bCs/>
          <w:color w:val="000000"/>
          <w:sz w:val="20"/>
        </w:rPr>
        <w:t xml:space="preserve">prohibit the publication or disclosure of information that is already captured by the restriction on publication in section 534 of the </w:t>
      </w:r>
      <w:r w:rsidR="00261686" w:rsidRPr="001C7180">
        <w:rPr>
          <w:rFonts w:ascii="Arial" w:hAnsi="Arial" w:cs="Arial"/>
          <w:b/>
          <w:bCs/>
          <w:i/>
          <w:iCs/>
          <w:color w:val="000000"/>
          <w:sz w:val="20"/>
        </w:rPr>
        <w:t>Children, Youth and Families Act 2005</w:t>
      </w:r>
      <w:r w:rsidR="00261686">
        <w:rPr>
          <w:rFonts w:ascii="Arial" w:hAnsi="Arial" w:cs="Arial"/>
          <w:color w:val="000000"/>
          <w:sz w:val="20"/>
        </w:rPr>
        <w:t>.</w:t>
      </w:r>
    </w:p>
    <w:p w14:paraId="7EB5FC5D" w14:textId="4FB9BA01" w:rsidR="007820C5" w:rsidRDefault="001C7180" w:rsidP="00243288">
      <w:pPr>
        <w:spacing w:before="60"/>
        <w:ind w:left="567" w:right="567"/>
        <w:jc w:val="both"/>
        <w:rPr>
          <w:rFonts w:ascii="Arial" w:hAnsi="Arial" w:cs="Arial"/>
          <w:color w:val="000000"/>
          <w:sz w:val="20"/>
        </w:rPr>
      </w:pPr>
      <w:r>
        <w:rPr>
          <w:rFonts w:ascii="Arial" w:hAnsi="Arial" w:cs="Arial"/>
          <w:color w:val="000000"/>
          <w:sz w:val="20"/>
        </w:rPr>
        <w:t>[102] However, the operation of section 8(3), and particularly the manner in which this subsection interacts with section 8(1A) is less clear…”</w:t>
      </w:r>
    </w:p>
    <w:p w14:paraId="2321A3E3" w14:textId="3D09B3C7" w:rsidR="001C7180" w:rsidRDefault="001C7180" w:rsidP="00243288">
      <w:pPr>
        <w:spacing w:before="60"/>
        <w:ind w:left="567" w:right="567"/>
        <w:jc w:val="both"/>
        <w:rPr>
          <w:rFonts w:ascii="Arial" w:hAnsi="Arial" w:cs="Arial"/>
          <w:color w:val="000000"/>
          <w:sz w:val="20"/>
        </w:rPr>
      </w:pPr>
      <w:r>
        <w:rPr>
          <w:rFonts w:ascii="Arial" w:hAnsi="Arial" w:cs="Arial"/>
          <w:color w:val="000000"/>
          <w:sz w:val="20"/>
        </w:rPr>
        <w:t>…</w:t>
      </w:r>
    </w:p>
    <w:p w14:paraId="513C4376" w14:textId="7053E967" w:rsidR="00567690" w:rsidRDefault="001C7180" w:rsidP="00025A2C">
      <w:pPr>
        <w:spacing w:before="60"/>
        <w:ind w:left="567" w:right="567"/>
        <w:jc w:val="both"/>
        <w:rPr>
          <w:rFonts w:ascii="Arial" w:hAnsi="Arial" w:cs="Arial"/>
          <w:sz w:val="20"/>
          <w:szCs w:val="20"/>
        </w:rPr>
      </w:pPr>
      <w:r>
        <w:rPr>
          <w:rFonts w:ascii="Arial" w:hAnsi="Arial" w:cs="Arial"/>
          <w:color w:val="000000"/>
          <w:sz w:val="20"/>
        </w:rPr>
        <w:t xml:space="preserve">[107] “Ultimately, it is unnecessary to determine the precise scope and operation of section 8(3) for present purposes.  Whatever the position might be, it is clear that the subsection does not operate as an empowering provision.  The language used </w:t>
      </w:r>
      <w:r w:rsidR="00592FA3">
        <w:rPr>
          <w:rFonts w:ascii="Arial" w:hAnsi="Arial" w:cs="Arial"/>
          <w:color w:val="000000"/>
          <w:sz w:val="20"/>
        </w:rPr>
        <w:t xml:space="preserve">in the </w:t>
      </w:r>
      <w:r w:rsidR="00025A2C" w:rsidRPr="00025A2C">
        <w:rPr>
          <w:rFonts w:ascii="Arial" w:hAnsi="Arial" w:cs="Arial"/>
          <w:sz w:val="20"/>
          <w:szCs w:val="20"/>
        </w:rPr>
        <w:t>provision does not in any way evoke a power on the court’s part to make suppression orders where</w:t>
      </w:r>
      <w:r w:rsidR="00025A2C">
        <w:rPr>
          <w:rFonts w:ascii="Arial" w:hAnsi="Arial" w:cs="Arial"/>
          <w:sz w:val="20"/>
          <w:szCs w:val="20"/>
        </w:rPr>
        <w:t xml:space="preserve"> specialised re</w:t>
      </w:r>
      <w:r w:rsidR="00025A2C" w:rsidRPr="00025A2C">
        <w:rPr>
          <w:rFonts w:ascii="Arial" w:hAnsi="Arial" w:cs="Arial"/>
          <w:sz w:val="20"/>
          <w:szCs w:val="20"/>
        </w:rPr>
        <w:t xml:space="preserve">gimes prohibiting or restricting the publication of the relevant information are already in place. Further, the explanatory memorandum to the Open Courts and Other Acts Amendment Bill makes clear that the function of section 8(3) is </w:t>
      </w:r>
      <w:r w:rsidR="00025A2C">
        <w:rPr>
          <w:rFonts w:ascii="Arial" w:hAnsi="Arial" w:cs="Arial"/>
          <w:sz w:val="20"/>
          <w:szCs w:val="20"/>
        </w:rPr>
        <w:t>‘</w:t>
      </w:r>
      <w:r w:rsidR="00025A2C" w:rsidRPr="00025A2C">
        <w:rPr>
          <w:rFonts w:ascii="Arial" w:hAnsi="Arial" w:cs="Arial"/>
          <w:i/>
          <w:iCs/>
          <w:sz w:val="20"/>
          <w:szCs w:val="20"/>
        </w:rPr>
        <w:t>ensuring</w:t>
      </w:r>
      <w:r w:rsidR="00025A2C" w:rsidRPr="00025A2C">
        <w:rPr>
          <w:rFonts w:ascii="Arial" w:hAnsi="Arial" w:cs="Arial"/>
          <w:sz w:val="20"/>
          <w:szCs w:val="20"/>
        </w:rPr>
        <w:t xml:space="preserve"> that a suppression order made … </w:t>
      </w:r>
      <w:r w:rsidR="00025A2C" w:rsidRPr="00025A2C">
        <w:rPr>
          <w:rFonts w:ascii="Arial" w:hAnsi="Arial" w:cs="Arial"/>
          <w:i/>
          <w:iCs/>
          <w:sz w:val="20"/>
          <w:szCs w:val="20"/>
        </w:rPr>
        <w:t>contrary to the statutory requirement</w:t>
      </w:r>
      <w:r w:rsidR="00025A2C" w:rsidRPr="00025A2C">
        <w:rPr>
          <w:rFonts w:ascii="Arial" w:hAnsi="Arial" w:cs="Arial"/>
          <w:sz w:val="20"/>
          <w:szCs w:val="20"/>
        </w:rPr>
        <w:t xml:space="preserve"> in section 8(1A) </w:t>
      </w:r>
      <w:r w:rsidR="00025A2C" w:rsidRPr="00025A2C">
        <w:rPr>
          <w:rFonts w:ascii="Arial" w:hAnsi="Arial" w:cs="Arial"/>
          <w:i/>
          <w:iCs/>
          <w:sz w:val="20"/>
          <w:szCs w:val="20"/>
        </w:rPr>
        <w:t>is not invalid</w:t>
      </w:r>
      <w:r w:rsidR="00025A2C">
        <w:rPr>
          <w:rFonts w:ascii="Arial" w:hAnsi="Arial" w:cs="Arial"/>
          <w:sz w:val="20"/>
          <w:szCs w:val="20"/>
        </w:rPr>
        <w:t>’</w:t>
      </w:r>
      <w:r w:rsidR="00025A2C" w:rsidRPr="00025A2C">
        <w:rPr>
          <w:rFonts w:ascii="Arial" w:hAnsi="Arial" w:cs="Arial"/>
          <w:sz w:val="20"/>
          <w:szCs w:val="20"/>
        </w:rPr>
        <w:t xml:space="preserve"> as a result of covering the same subject matter (emphasis added). This again makes clear that section 8(3) is a safeguard against invalidity, rather than a source of power. In this way, the provision stands in stark contrast to the strong prohibitive language adopted in section 8(1A), which provides that a court </w:t>
      </w:r>
      <w:r w:rsidR="00025A2C">
        <w:rPr>
          <w:rFonts w:ascii="Arial" w:hAnsi="Arial" w:cs="Arial"/>
          <w:sz w:val="20"/>
          <w:szCs w:val="20"/>
        </w:rPr>
        <w:t>‘</w:t>
      </w:r>
      <w:r w:rsidR="00025A2C" w:rsidRPr="00025A2C">
        <w:rPr>
          <w:rFonts w:ascii="Arial" w:hAnsi="Arial" w:cs="Arial"/>
          <w:sz w:val="20"/>
          <w:szCs w:val="20"/>
        </w:rPr>
        <w:t>must not</w:t>
      </w:r>
      <w:r w:rsidR="00025A2C">
        <w:rPr>
          <w:rFonts w:ascii="Arial" w:hAnsi="Arial" w:cs="Arial"/>
          <w:sz w:val="20"/>
          <w:szCs w:val="20"/>
        </w:rPr>
        <w:t>’</w:t>
      </w:r>
      <w:r w:rsidR="00025A2C" w:rsidRPr="00025A2C">
        <w:rPr>
          <w:rFonts w:ascii="Arial" w:hAnsi="Arial" w:cs="Arial"/>
          <w:sz w:val="20"/>
          <w:szCs w:val="20"/>
        </w:rPr>
        <w:t xml:space="preserve"> make a suppression order where the publication or disclosure of the relevant information is already prohibited or limited by the operation of a provision referred to in section 8(2).</w:t>
      </w:r>
      <w:r w:rsidR="00025A2C">
        <w:rPr>
          <w:rFonts w:ascii="Arial" w:hAnsi="Arial" w:cs="Arial"/>
          <w:sz w:val="20"/>
          <w:szCs w:val="20"/>
        </w:rPr>
        <w:t>”</w:t>
      </w:r>
    </w:p>
    <w:p w14:paraId="5E2E0988" w14:textId="36511D18" w:rsidR="00084B7E" w:rsidRDefault="00084B7E" w:rsidP="00025A2C">
      <w:pPr>
        <w:spacing w:before="60"/>
        <w:ind w:left="567" w:right="567"/>
        <w:jc w:val="both"/>
        <w:rPr>
          <w:rFonts w:ascii="Arial" w:hAnsi="Arial" w:cs="Arial"/>
          <w:sz w:val="20"/>
          <w:szCs w:val="20"/>
        </w:rPr>
      </w:pPr>
      <w:r>
        <w:rPr>
          <w:rFonts w:ascii="Arial" w:hAnsi="Arial" w:cs="Arial"/>
          <w:sz w:val="20"/>
          <w:szCs w:val="20"/>
        </w:rPr>
        <w:t>…</w:t>
      </w:r>
    </w:p>
    <w:p w14:paraId="60D5F9C2" w14:textId="16F207FB" w:rsidR="00084B7E" w:rsidRPr="00084B7E" w:rsidRDefault="00084B7E" w:rsidP="00025A2C">
      <w:pPr>
        <w:spacing w:before="60"/>
        <w:ind w:left="567" w:right="567"/>
        <w:jc w:val="both"/>
        <w:rPr>
          <w:rFonts w:ascii="Arial" w:hAnsi="Arial" w:cs="Arial"/>
          <w:color w:val="000000"/>
          <w:sz w:val="20"/>
          <w:szCs w:val="20"/>
        </w:rPr>
      </w:pPr>
      <w:r w:rsidRPr="00084B7E">
        <w:rPr>
          <w:rFonts w:ascii="Arial" w:hAnsi="Arial" w:cs="Arial"/>
          <w:sz w:val="20"/>
          <w:szCs w:val="20"/>
        </w:rPr>
        <w:t xml:space="preserve">[110] “In light of the above, it is not appropriate that a suppression order in the form sought by the Secretary be made.  As is clear from the terms of the proposed order, the information that it seeks to suppress the publication or disclosure of is already captured by the restriction on publication found in section 534 of the </w:t>
      </w:r>
      <w:r w:rsidRPr="00084B7E">
        <w:rPr>
          <w:rFonts w:ascii="Arial" w:hAnsi="Arial" w:cs="Arial"/>
          <w:i/>
          <w:iCs/>
          <w:sz w:val="20"/>
          <w:szCs w:val="20"/>
        </w:rPr>
        <w:t>Children, Youth and Families Act</w:t>
      </w:r>
      <w:r w:rsidRPr="00084B7E">
        <w:rPr>
          <w:rFonts w:ascii="Arial" w:hAnsi="Arial" w:cs="Arial"/>
          <w:sz w:val="20"/>
          <w:szCs w:val="20"/>
        </w:rPr>
        <w:t>.</w:t>
      </w:r>
      <w:r>
        <w:rPr>
          <w:rFonts w:ascii="Arial" w:hAnsi="Arial" w:cs="Arial"/>
          <w:sz w:val="20"/>
          <w:szCs w:val="20"/>
        </w:rPr>
        <w:t xml:space="preserve"> </w:t>
      </w:r>
      <w:r w:rsidRPr="00084B7E">
        <w:rPr>
          <w:rFonts w:ascii="Arial" w:hAnsi="Arial" w:cs="Arial"/>
          <w:sz w:val="20"/>
          <w:szCs w:val="20"/>
        </w:rPr>
        <w:t xml:space="preserve"> To</w:t>
      </w:r>
      <w:r>
        <w:rPr>
          <w:rFonts w:ascii="Arial" w:hAnsi="Arial" w:cs="Arial"/>
          <w:sz w:val="20"/>
          <w:szCs w:val="20"/>
        </w:rPr>
        <w:t> </w:t>
      </w:r>
      <w:r w:rsidRPr="00084B7E">
        <w:rPr>
          <w:rFonts w:ascii="Arial" w:hAnsi="Arial" w:cs="Arial"/>
          <w:sz w:val="20"/>
          <w:szCs w:val="20"/>
        </w:rPr>
        <w:t xml:space="preserve">make a suppression order in these circumstances would be in direct contravention of the statutory prohibition in section 8(1A) of the </w:t>
      </w:r>
      <w:r w:rsidRPr="00084B7E">
        <w:rPr>
          <w:rFonts w:ascii="Arial" w:hAnsi="Arial" w:cs="Arial"/>
          <w:i/>
          <w:iCs/>
          <w:sz w:val="20"/>
          <w:szCs w:val="20"/>
        </w:rPr>
        <w:t>Open Courts Act</w:t>
      </w:r>
      <w:r w:rsidRPr="00084B7E">
        <w:rPr>
          <w:rFonts w:ascii="Arial" w:hAnsi="Arial" w:cs="Arial"/>
          <w:sz w:val="20"/>
          <w:szCs w:val="20"/>
        </w:rPr>
        <w:t>. Even if section 8(3) would be enlivened in the circumstances to prevent such an order being rendered invalid, clearly, this provision could not authorise the making of a suppression order in wilful and flagrant disregard of section 8(1A).</w:t>
      </w:r>
      <w:r>
        <w:rPr>
          <w:rFonts w:ascii="Arial" w:hAnsi="Arial" w:cs="Arial"/>
          <w:sz w:val="20"/>
          <w:szCs w:val="20"/>
        </w:rPr>
        <w:t>”</w:t>
      </w:r>
    </w:p>
    <w:p w14:paraId="3EAA4646" w14:textId="77777777" w:rsidR="00567690" w:rsidRDefault="00567690" w:rsidP="007B0F16">
      <w:pPr>
        <w:jc w:val="both"/>
        <w:rPr>
          <w:rFonts w:ascii="Arial" w:hAnsi="Arial" w:cs="Arial"/>
          <w:color w:val="000000"/>
          <w:sz w:val="20"/>
        </w:rPr>
      </w:pPr>
    </w:p>
    <w:p w14:paraId="0BBB4A00" w14:textId="3727BAD7" w:rsidR="00E03FC4" w:rsidRPr="00025A2C" w:rsidRDefault="00025A2C" w:rsidP="00025A2C">
      <w:pPr>
        <w:jc w:val="both"/>
        <w:rPr>
          <w:rFonts w:ascii="Arial" w:hAnsi="Arial" w:cs="Arial"/>
          <w:color w:val="000000"/>
          <w:sz w:val="20"/>
        </w:rPr>
      </w:pPr>
      <w:r>
        <w:rPr>
          <w:rFonts w:ascii="Arial" w:hAnsi="Arial" w:cs="Arial"/>
          <w:color w:val="000000"/>
          <w:sz w:val="20"/>
        </w:rPr>
        <w:t xml:space="preserve">Although it is clear that </w:t>
      </w:r>
      <w:r w:rsidR="007B0F16" w:rsidRPr="00025A2C">
        <w:rPr>
          <w:rFonts w:ascii="Arial" w:hAnsi="Arial" w:cs="Arial"/>
          <w:color w:val="000000"/>
          <w:sz w:val="20"/>
        </w:rPr>
        <w:t>s</w:t>
      </w:r>
      <w:r w:rsidR="00D10311" w:rsidRPr="00025A2C">
        <w:rPr>
          <w:rFonts w:ascii="Arial" w:hAnsi="Arial" w:cs="Arial"/>
          <w:color w:val="000000"/>
          <w:sz w:val="20"/>
        </w:rPr>
        <w:t>.</w:t>
      </w:r>
      <w:r w:rsidR="007B0F16" w:rsidRPr="00025A2C">
        <w:rPr>
          <w:rFonts w:ascii="Arial" w:hAnsi="Arial" w:cs="Arial"/>
          <w:color w:val="000000"/>
          <w:sz w:val="20"/>
        </w:rPr>
        <w:t xml:space="preserve">8(1A) </w:t>
      </w:r>
      <w:r>
        <w:rPr>
          <w:rFonts w:ascii="Arial" w:hAnsi="Arial" w:cs="Arial"/>
          <w:color w:val="000000"/>
          <w:sz w:val="20"/>
        </w:rPr>
        <w:t xml:space="preserve">of the OCA </w:t>
      </w:r>
      <w:r w:rsidR="007B0F16" w:rsidRPr="00025A2C">
        <w:rPr>
          <w:rFonts w:ascii="Arial" w:hAnsi="Arial" w:cs="Arial"/>
          <w:color w:val="000000"/>
          <w:sz w:val="20"/>
        </w:rPr>
        <w:t>prohibit</w:t>
      </w:r>
      <w:r w:rsidR="00D10311" w:rsidRPr="00025A2C">
        <w:rPr>
          <w:rFonts w:ascii="Arial" w:hAnsi="Arial" w:cs="Arial"/>
          <w:color w:val="000000"/>
          <w:sz w:val="20"/>
        </w:rPr>
        <w:t>s</w:t>
      </w:r>
      <w:r w:rsidR="007B0F16" w:rsidRPr="00025A2C">
        <w:rPr>
          <w:rFonts w:ascii="Arial" w:hAnsi="Arial" w:cs="Arial"/>
          <w:color w:val="000000"/>
          <w:sz w:val="20"/>
        </w:rPr>
        <w:t xml:space="preserve"> the Children’s Court from making a suppression order under the OCA which replicates </w:t>
      </w:r>
      <w:r w:rsidR="00A576BE" w:rsidRPr="00025A2C">
        <w:rPr>
          <w:rFonts w:ascii="Arial" w:hAnsi="Arial" w:cs="Arial"/>
          <w:color w:val="000000"/>
          <w:sz w:val="20"/>
        </w:rPr>
        <w:t xml:space="preserve">any of </w:t>
      </w:r>
      <w:r w:rsidR="007B0F16" w:rsidRPr="00025A2C">
        <w:rPr>
          <w:rFonts w:ascii="Arial" w:hAnsi="Arial" w:cs="Arial"/>
          <w:color w:val="000000"/>
          <w:sz w:val="20"/>
        </w:rPr>
        <w:t xml:space="preserve">the </w:t>
      </w:r>
      <w:r w:rsidR="003D32C5" w:rsidRPr="00025A2C">
        <w:rPr>
          <w:rFonts w:ascii="Arial" w:hAnsi="Arial" w:cs="Arial"/>
          <w:color w:val="000000"/>
          <w:sz w:val="20"/>
        </w:rPr>
        <w:t xml:space="preserve">express </w:t>
      </w:r>
      <w:r w:rsidR="007B0F16" w:rsidRPr="00025A2C">
        <w:rPr>
          <w:rFonts w:ascii="Arial" w:hAnsi="Arial" w:cs="Arial"/>
          <w:color w:val="000000"/>
          <w:sz w:val="20"/>
        </w:rPr>
        <w:t>prohibitions in s.534 CYFA</w:t>
      </w:r>
      <w:r>
        <w:rPr>
          <w:rFonts w:ascii="Arial" w:hAnsi="Arial" w:cs="Arial"/>
          <w:color w:val="000000"/>
          <w:sz w:val="20"/>
        </w:rPr>
        <w:t xml:space="preserve">, the writer considers it probable that </w:t>
      </w:r>
      <w:r w:rsidR="007B0F16" w:rsidRPr="00025A2C">
        <w:rPr>
          <w:rFonts w:ascii="Arial" w:hAnsi="Arial" w:cs="Arial"/>
          <w:color w:val="000000"/>
          <w:sz w:val="20"/>
        </w:rPr>
        <w:t xml:space="preserve">s.8(1A) </w:t>
      </w:r>
      <w:r w:rsidR="00FE3225" w:rsidRPr="00025A2C">
        <w:rPr>
          <w:rFonts w:ascii="Arial" w:hAnsi="Arial" w:cs="Arial"/>
          <w:color w:val="000000"/>
          <w:sz w:val="20"/>
        </w:rPr>
        <w:t xml:space="preserve">is not intended to </w:t>
      </w:r>
      <w:r w:rsidR="007B0F16" w:rsidRPr="00025A2C">
        <w:rPr>
          <w:rFonts w:ascii="Arial" w:hAnsi="Arial" w:cs="Arial"/>
          <w:color w:val="000000"/>
          <w:sz w:val="20"/>
        </w:rPr>
        <w:t>prevent the Children’s Court from making a suppression order under the OCA which contains prohibitions additional to those in s.534 CYFA.</w:t>
      </w:r>
    </w:p>
    <w:p w14:paraId="26FB182C" w14:textId="6C7AFB1B" w:rsidR="009765B8" w:rsidRDefault="00FE3225" w:rsidP="00E03FC4">
      <w:pPr>
        <w:spacing w:before="120"/>
        <w:jc w:val="both"/>
        <w:rPr>
          <w:rFonts w:ascii="Arial" w:hAnsi="Arial" w:cs="Arial"/>
          <w:color w:val="000000"/>
          <w:sz w:val="20"/>
        </w:rPr>
      </w:pPr>
      <w:r>
        <w:rPr>
          <w:rFonts w:ascii="Arial" w:hAnsi="Arial" w:cs="Arial"/>
          <w:color w:val="000000"/>
          <w:sz w:val="20"/>
        </w:rPr>
        <w:t xml:space="preserve">In </w:t>
      </w:r>
      <w:r w:rsidR="005F1766">
        <w:rPr>
          <w:rFonts w:ascii="Arial" w:hAnsi="Arial" w:cs="Arial"/>
          <w:color w:val="000000"/>
          <w:sz w:val="20"/>
        </w:rPr>
        <w:t xml:space="preserve">a case in which </w:t>
      </w:r>
      <w:r w:rsidR="00C76FAC">
        <w:rPr>
          <w:rFonts w:ascii="Arial" w:hAnsi="Arial" w:cs="Arial"/>
          <w:color w:val="000000"/>
          <w:sz w:val="20"/>
        </w:rPr>
        <w:t xml:space="preserve">a number of </w:t>
      </w:r>
      <w:r w:rsidR="00885221">
        <w:rPr>
          <w:rFonts w:ascii="Arial" w:hAnsi="Arial" w:cs="Arial"/>
          <w:color w:val="000000"/>
          <w:sz w:val="20"/>
        </w:rPr>
        <w:t xml:space="preserve">young </w:t>
      </w:r>
      <w:r w:rsidR="005F1766">
        <w:rPr>
          <w:rFonts w:ascii="Arial" w:hAnsi="Arial" w:cs="Arial"/>
          <w:color w:val="000000"/>
          <w:sz w:val="20"/>
        </w:rPr>
        <w:t xml:space="preserve">co-accused had been </w:t>
      </w:r>
      <w:r w:rsidR="009765B8">
        <w:rPr>
          <w:rFonts w:ascii="Arial" w:hAnsi="Arial" w:cs="Arial"/>
          <w:color w:val="000000"/>
          <w:sz w:val="20"/>
        </w:rPr>
        <w:t xml:space="preserve">arrested and </w:t>
      </w:r>
      <w:r w:rsidR="005F1766">
        <w:rPr>
          <w:rFonts w:ascii="Arial" w:hAnsi="Arial" w:cs="Arial"/>
          <w:color w:val="000000"/>
          <w:sz w:val="20"/>
        </w:rPr>
        <w:t xml:space="preserve">charged with </w:t>
      </w:r>
      <w:r w:rsidR="00F167F8">
        <w:rPr>
          <w:rFonts w:ascii="Arial" w:hAnsi="Arial" w:cs="Arial"/>
          <w:color w:val="000000"/>
          <w:sz w:val="20"/>
        </w:rPr>
        <w:t>a very serious offence</w:t>
      </w:r>
      <w:r w:rsidR="005F1766">
        <w:rPr>
          <w:rFonts w:ascii="Arial" w:hAnsi="Arial" w:cs="Arial"/>
          <w:color w:val="000000"/>
          <w:sz w:val="20"/>
        </w:rPr>
        <w:t xml:space="preserve"> and </w:t>
      </w:r>
      <w:r w:rsidR="00C76FAC">
        <w:rPr>
          <w:rFonts w:ascii="Arial" w:hAnsi="Arial" w:cs="Arial"/>
          <w:color w:val="000000"/>
          <w:sz w:val="20"/>
        </w:rPr>
        <w:t>one</w:t>
      </w:r>
      <w:r w:rsidR="00A576BE">
        <w:rPr>
          <w:rFonts w:ascii="Arial" w:hAnsi="Arial" w:cs="Arial"/>
          <w:color w:val="000000"/>
          <w:sz w:val="20"/>
        </w:rPr>
        <w:t xml:space="preserve"> </w:t>
      </w:r>
      <w:r w:rsidR="005F1766">
        <w:rPr>
          <w:rFonts w:ascii="Arial" w:hAnsi="Arial" w:cs="Arial"/>
          <w:color w:val="000000"/>
          <w:sz w:val="20"/>
        </w:rPr>
        <w:t>suspect was still at large</w:t>
      </w:r>
      <w:r w:rsidR="009765B8">
        <w:rPr>
          <w:rFonts w:ascii="Arial" w:hAnsi="Arial" w:cs="Arial"/>
          <w:color w:val="000000"/>
          <w:sz w:val="20"/>
        </w:rPr>
        <w:t xml:space="preserve">, Victoria Police applied for a suppression order on the basis that publication of the material prohibited by the order was likely to hinder the police attempts to locate and arrest the </w:t>
      </w:r>
      <w:r w:rsidR="00C76FAC">
        <w:rPr>
          <w:rFonts w:ascii="Arial" w:hAnsi="Arial" w:cs="Arial"/>
          <w:color w:val="000000"/>
          <w:sz w:val="20"/>
        </w:rPr>
        <w:t xml:space="preserve">remaining </w:t>
      </w:r>
      <w:r w:rsidR="009765B8">
        <w:rPr>
          <w:rFonts w:ascii="Arial" w:hAnsi="Arial" w:cs="Arial"/>
          <w:color w:val="000000"/>
          <w:sz w:val="20"/>
        </w:rPr>
        <w:t>suspect. Being satisfied under s.18</w:t>
      </w:r>
      <w:r w:rsidR="00C76FAC">
        <w:rPr>
          <w:rFonts w:ascii="Arial" w:hAnsi="Arial" w:cs="Arial"/>
          <w:color w:val="000000"/>
          <w:sz w:val="20"/>
        </w:rPr>
        <w:t>(1)</w:t>
      </w:r>
      <w:r w:rsidR="009765B8">
        <w:rPr>
          <w:rFonts w:ascii="Arial" w:hAnsi="Arial" w:cs="Arial"/>
          <w:color w:val="000000"/>
          <w:sz w:val="20"/>
        </w:rPr>
        <w:t xml:space="preserve">(a) OCA that </w:t>
      </w:r>
      <w:r w:rsidR="009765B8" w:rsidRPr="009765B8">
        <w:rPr>
          <w:rFonts w:ascii="Arial" w:hAnsi="Arial" w:cs="Arial"/>
          <w:sz w:val="20"/>
          <w:szCs w:val="16"/>
        </w:rPr>
        <w:t xml:space="preserve">the order </w:t>
      </w:r>
      <w:r w:rsidR="009765B8">
        <w:rPr>
          <w:rFonts w:ascii="Arial" w:hAnsi="Arial" w:cs="Arial"/>
          <w:sz w:val="20"/>
          <w:szCs w:val="16"/>
        </w:rPr>
        <w:t>wa</w:t>
      </w:r>
      <w:r w:rsidR="009765B8" w:rsidRPr="009765B8">
        <w:rPr>
          <w:rFonts w:ascii="Arial" w:hAnsi="Arial" w:cs="Arial"/>
          <w:sz w:val="20"/>
          <w:szCs w:val="16"/>
        </w:rPr>
        <w:t xml:space="preserve">s necessary to prevent a real and substantial risk of prejudice to the proper administration of justice that </w:t>
      </w:r>
      <w:r w:rsidR="009765B8">
        <w:rPr>
          <w:rFonts w:ascii="Arial" w:hAnsi="Arial" w:cs="Arial"/>
          <w:sz w:val="20"/>
          <w:szCs w:val="16"/>
        </w:rPr>
        <w:t>could not</w:t>
      </w:r>
      <w:r w:rsidR="009765B8" w:rsidRPr="009765B8">
        <w:rPr>
          <w:rFonts w:ascii="Arial" w:hAnsi="Arial" w:cs="Arial"/>
          <w:sz w:val="20"/>
          <w:szCs w:val="16"/>
        </w:rPr>
        <w:t xml:space="preserve"> be prevented by other reasonably available means</w:t>
      </w:r>
      <w:r w:rsidR="009765B8">
        <w:rPr>
          <w:rFonts w:ascii="Arial" w:hAnsi="Arial" w:cs="Arial"/>
          <w:sz w:val="20"/>
          <w:szCs w:val="16"/>
        </w:rPr>
        <w:t xml:space="preserve">, </w:t>
      </w:r>
      <w:r w:rsidR="001251F3">
        <w:rPr>
          <w:rFonts w:ascii="Arial" w:hAnsi="Arial" w:cs="Arial"/>
          <w:sz w:val="20"/>
          <w:szCs w:val="16"/>
        </w:rPr>
        <w:t xml:space="preserve">a </w:t>
      </w:r>
      <w:r w:rsidR="009765B8">
        <w:rPr>
          <w:rFonts w:ascii="Arial" w:hAnsi="Arial" w:cs="Arial"/>
          <w:color w:val="000000"/>
          <w:sz w:val="20"/>
        </w:rPr>
        <w:t xml:space="preserve">Children’s Court </w:t>
      </w:r>
      <w:r w:rsidR="001251F3">
        <w:rPr>
          <w:rFonts w:ascii="Arial" w:hAnsi="Arial" w:cs="Arial"/>
          <w:color w:val="000000"/>
          <w:sz w:val="20"/>
        </w:rPr>
        <w:t xml:space="preserve">magistrate </w:t>
      </w:r>
      <w:r w:rsidR="009765B8">
        <w:rPr>
          <w:rFonts w:ascii="Arial" w:hAnsi="Arial" w:cs="Arial"/>
          <w:color w:val="000000"/>
          <w:sz w:val="20"/>
        </w:rPr>
        <w:t xml:space="preserve">made an interim proceeding suppression order </w:t>
      </w:r>
      <w:r w:rsidR="00E03FC4">
        <w:rPr>
          <w:rFonts w:ascii="Arial" w:hAnsi="Arial" w:cs="Arial"/>
          <w:color w:val="000000"/>
          <w:sz w:val="20"/>
        </w:rPr>
        <w:t>on 24/03/</w:t>
      </w:r>
      <w:r w:rsidR="009765B8">
        <w:rPr>
          <w:rFonts w:ascii="Arial" w:hAnsi="Arial" w:cs="Arial"/>
          <w:color w:val="000000"/>
          <w:sz w:val="20"/>
        </w:rPr>
        <w:t>2022 in the following terms:</w:t>
      </w:r>
    </w:p>
    <w:p w14:paraId="61F8429A" w14:textId="2845824A" w:rsidR="00C26F95" w:rsidRPr="009765B8" w:rsidRDefault="00C26F95" w:rsidP="00C23CF0">
      <w:pPr>
        <w:numPr>
          <w:ilvl w:val="0"/>
          <w:numId w:val="38"/>
        </w:numPr>
        <w:spacing w:before="80"/>
        <w:ind w:left="924" w:right="567" w:hanging="357"/>
        <w:jc w:val="both"/>
        <w:rPr>
          <w:rFonts w:ascii="Arial" w:hAnsi="Arial" w:cs="Arial"/>
          <w:sz w:val="18"/>
          <w:szCs w:val="18"/>
        </w:rPr>
      </w:pPr>
      <w:r w:rsidRPr="009765B8">
        <w:rPr>
          <w:rFonts w:ascii="Arial" w:hAnsi="Arial" w:cs="Arial"/>
          <w:sz w:val="18"/>
          <w:szCs w:val="18"/>
        </w:rPr>
        <w:t>Under Section 20(1) of the Act, the Court makes an interim proceeding suppression order, being satisfied the order is necessary under s18(a) of the Act:</w:t>
      </w:r>
    </w:p>
    <w:p w14:paraId="0C1FFC52" w14:textId="77777777" w:rsidR="00C26F95" w:rsidRPr="009765B8" w:rsidRDefault="00C26F95" w:rsidP="005A6305">
      <w:pPr>
        <w:spacing w:before="80"/>
        <w:ind w:left="1304" w:right="1134"/>
        <w:jc w:val="both"/>
        <w:rPr>
          <w:rFonts w:ascii="Arial" w:hAnsi="Arial" w:cs="Arial"/>
          <w:sz w:val="18"/>
          <w:szCs w:val="18"/>
        </w:rPr>
      </w:pPr>
      <w:r w:rsidRPr="009765B8">
        <w:rPr>
          <w:rFonts w:ascii="Arial" w:hAnsi="Arial" w:cs="Arial"/>
          <w:sz w:val="18"/>
          <w:szCs w:val="18"/>
        </w:rPr>
        <w:t>The order prohibits publication of any part of the application in Court for a final suppression order other than the charge sheets and the prosecution summary of the factual allegations against the accused.</w:t>
      </w:r>
    </w:p>
    <w:p w14:paraId="4E0D10F2" w14:textId="77777777" w:rsidR="00C26F95" w:rsidRPr="009765B8" w:rsidRDefault="00C26F95" w:rsidP="00C23CF0">
      <w:pPr>
        <w:numPr>
          <w:ilvl w:val="0"/>
          <w:numId w:val="38"/>
        </w:numPr>
        <w:spacing w:before="80"/>
        <w:ind w:left="924" w:right="567" w:hanging="357"/>
        <w:jc w:val="both"/>
        <w:rPr>
          <w:rFonts w:ascii="Arial" w:hAnsi="Arial" w:cs="Arial"/>
          <w:sz w:val="18"/>
          <w:szCs w:val="18"/>
        </w:rPr>
      </w:pPr>
      <w:r w:rsidRPr="009765B8">
        <w:rPr>
          <w:rFonts w:ascii="Arial" w:hAnsi="Arial" w:cs="Arial"/>
          <w:sz w:val="18"/>
          <w:szCs w:val="18"/>
        </w:rPr>
        <w:t xml:space="preserve">The prohibition on publication in paragraph 1 applies in Australia </w:t>
      </w:r>
    </w:p>
    <w:p w14:paraId="2304DAED" w14:textId="77777777" w:rsidR="00C26F95" w:rsidRPr="009765B8" w:rsidRDefault="00C26F95" w:rsidP="00C23CF0">
      <w:pPr>
        <w:numPr>
          <w:ilvl w:val="0"/>
          <w:numId w:val="38"/>
        </w:numPr>
        <w:spacing w:before="80"/>
        <w:ind w:left="924" w:right="567" w:hanging="357"/>
        <w:jc w:val="both"/>
        <w:rPr>
          <w:rFonts w:ascii="Arial" w:hAnsi="Arial" w:cs="Arial"/>
          <w:sz w:val="18"/>
          <w:szCs w:val="18"/>
        </w:rPr>
      </w:pPr>
      <w:r w:rsidRPr="009765B8">
        <w:rPr>
          <w:rFonts w:ascii="Arial" w:hAnsi="Arial" w:cs="Arial"/>
          <w:sz w:val="18"/>
          <w:szCs w:val="18"/>
        </w:rPr>
        <w:lastRenderedPageBreak/>
        <w:t>The order is necessary to prevent a real and substantial risk of prejudice to the proper administration of justice.</w:t>
      </w:r>
    </w:p>
    <w:p w14:paraId="6004A1E1" w14:textId="54C6FC4A" w:rsidR="00C26F95" w:rsidRDefault="00C26F95" w:rsidP="00C23CF0">
      <w:pPr>
        <w:numPr>
          <w:ilvl w:val="0"/>
          <w:numId w:val="38"/>
        </w:numPr>
        <w:spacing w:before="80"/>
        <w:ind w:left="924" w:right="567" w:hanging="357"/>
        <w:jc w:val="both"/>
        <w:rPr>
          <w:rFonts w:ascii="Arial" w:hAnsi="Arial" w:cs="Arial"/>
          <w:sz w:val="18"/>
          <w:szCs w:val="18"/>
        </w:rPr>
      </w:pPr>
      <w:r w:rsidRPr="009765B8">
        <w:rPr>
          <w:rFonts w:ascii="Arial" w:hAnsi="Arial" w:cs="Arial"/>
          <w:sz w:val="18"/>
          <w:szCs w:val="18"/>
        </w:rPr>
        <w:t xml:space="preserve">For the purposes of this order, publication means the dissemination or provision of access to the public by any means including, publication in a book, newspaper, magazine or other written publication; or broadcast by radio or television; or public exhibition; or broadcast or electronic communication; pursuant to s3 of </w:t>
      </w:r>
      <w:r w:rsidRPr="009765B8">
        <w:rPr>
          <w:rFonts w:ascii="Arial" w:hAnsi="Arial" w:cs="Arial"/>
          <w:i/>
          <w:sz w:val="18"/>
          <w:szCs w:val="18"/>
        </w:rPr>
        <w:t>the Open Courts Act 2013</w:t>
      </w:r>
      <w:r w:rsidRPr="009765B8">
        <w:rPr>
          <w:rFonts w:ascii="Arial" w:hAnsi="Arial" w:cs="Arial"/>
          <w:sz w:val="18"/>
          <w:szCs w:val="18"/>
        </w:rPr>
        <w:t>.</w:t>
      </w:r>
    </w:p>
    <w:p w14:paraId="70C982CA" w14:textId="18CEFF63" w:rsidR="005A6305" w:rsidRPr="009765B8" w:rsidRDefault="005A6305" w:rsidP="00C23CF0">
      <w:pPr>
        <w:numPr>
          <w:ilvl w:val="0"/>
          <w:numId w:val="38"/>
        </w:numPr>
        <w:spacing w:before="80"/>
        <w:ind w:left="924" w:right="567" w:hanging="357"/>
        <w:jc w:val="both"/>
        <w:rPr>
          <w:rFonts w:ascii="Arial" w:hAnsi="Arial" w:cs="Arial"/>
          <w:sz w:val="18"/>
          <w:szCs w:val="18"/>
        </w:rPr>
      </w:pPr>
      <w:r w:rsidRPr="000806B3">
        <w:rPr>
          <w:rFonts w:ascii="Arial" w:hAnsi="Arial" w:cs="Arial"/>
          <w:sz w:val="18"/>
          <w:szCs w:val="18"/>
        </w:rPr>
        <w:t>The interim proceeding suppression order operates until further order unless otherwise ordered.</w:t>
      </w:r>
    </w:p>
    <w:p w14:paraId="6DAFF394" w14:textId="77777777" w:rsidR="00C26F95" w:rsidRDefault="00C26F95" w:rsidP="00E03FC4">
      <w:pPr>
        <w:jc w:val="both"/>
        <w:rPr>
          <w:rFonts w:ascii="Arial" w:hAnsi="Arial" w:cs="Arial"/>
          <w:color w:val="000000"/>
          <w:sz w:val="20"/>
        </w:rPr>
      </w:pPr>
    </w:p>
    <w:p w14:paraId="7B8924D4" w14:textId="6048A481" w:rsidR="00E41D05" w:rsidRDefault="00E41D05" w:rsidP="00E96234">
      <w:pPr>
        <w:pStyle w:val="Heading3"/>
        <w:keepNext/>
        <w:widowControl/>
        <w:spacing w:after="120" w:line="240" w:lineRule="auto"/>
        <w:rPr>
          <w:rFonts w:ascii="Arial" w:hAnsi="Arial" w:cs="Arial"/>
          <w:b/>
          <w:bCs/>
          <w:sz w:val="20"/>
        </w:rPr>
      </w:pPr>
      <w:bookmarkStart w:id="525" w:name="_2.8.3_Section_10(5)"/>
      <w:bookmarkStart w:id="526" w:name="_Toc30608797"/>
      <w:bookmarkStart w:id="527" w:name="_Toc30610011"/>
      <w:bookmarkStart w:id="528" w:name="_Toc30610254"/>
      <w:bookmarkStart w:id="529" w:name="_Toc30638408"/>
      <w:bookmarkStart w:id="530" w:name="_Toc30644217"/>
      <w:bookmarkStart w:id="531" w:name="_Toc30644620"/>
      <w:bookmarkStart w:id="532" w:name="_Toc30645170"/>
      <w:bookmarkStart w:id="533" w:name="_Toc30646374"/>
      <w:bookmarkStart w:id="534" w:name="_Toc30646669"/>
      <w:bookmarkStart w:id="535" w:name="_Toc30646779"/>
      <w:bookmarkStart w:id="536" w:name="_Toc30648136"/>
      <w:bookmarkStart w:id="537" w:name="_Toc30649034"/>
      <w:bookmarkStart w:id="538" w:name="_Toc30649110"/>
      <w:bookmarkStart w:id="539" w:name="_Toc30649371"/>
      <w:bookmarkStart w:id="540" w:name="_Toc30649691"/>
      <w:bookmarkStart w:id="541" w:name="_Toc30651625"/>
      <w:bookmarkStart w:id="542" w:name="_Toc30652609"/>
      <w:bookmarkStart w:id="543" w:name="_Toc30652707"/>
      <w:bookmarkStart w:id="544" w:name="_Toc30654052"/>
      <w:bookmarkStart w:id="545" w:name="_Toc30654403"/>
      <w:bookmarkStart w:id="546" w:name="_Toc30655022"/>
      <w:bookmarkStart w:id="547" w:name="_Toc30655279"/>
      <w:bookmarkStart w:id="548" w:name="_Toc30656955"/>
      <w:bookmarkStart w:id="549" w:name="_Toc30661704"/>
      <w:bookmarkStart w:id="550" w:name="_Toc30666392"/>
      <w:bookmarkStart w:id="551" w:name="_Toc30666622"/>
      <w:bookmarkStart w:id="552" w:name="_Toc30667797"/>
      <w:bookmarkStart w:id="553" w:name="_Toc30669175"/>
      <w:bookmarkStart w:id="554" w:name="_Toc30671391"/>
      <w:bookmarkStart w:id="555" w:name="_Toc30673918"/>
      <w:bookmarkStart w:id="556" w:name="_Toc30691140"/>
      <w:bookmarkStart w:id="557" w:name="_Toc30691511"/>
      <w:bookmarkStart w:id="558" w:name="_Toc30691891"/>
      <w:bookmarkStart w:id="559" w:name="_Toc30692650"/>
      <w:bookmarkStart w:id="560" w:name="_Toc30693029"/>
      <w:bookmarkStart w:id="561" w:name="_Toc30693407"/>
      <w:bookmarkStart w:id="562" w:name="_Toc30693786"/>
      <w:bookmarkStart w:id="563" w:name="_Toc30694167"/>
      <w:bookmarkStart w:id="564" w:name="_Toc30698756"/>
      <w:bookmarkStart w:id="565" w:name="_Toc30699134"/>
      <w:bookmarkStart w:id="566" w:name="_Toc30699519"/>
      <w:bookmarkStart w:id="567" w:name="_Toc30700674"/>
      <w:bookmarkStart w:id="568" w:name="_Toc30701061"/>
      <w:bookmarkStart w:id="569" w:name="_Toc30743670"/>
      <w:bookmarkStart w:id="570" w:name="_Toc30754493"/>
      <w:bookmarkStart w:id="571" w:name="_Toc30756933"/>
      <w:bookmarkStart w:id="572" w:name="_Toc30757482"/>
      <w:bookmarkStart w:id="573" w:name="_Toc30757882"/>
      <w:bookmarkStart w:id="574" w:name="_Toc30762643"/>
      <w:bookmarkStart w:id="575" w:name="_Toc30767297"/>
      <w:bookmarkStart w:id="576" w:name="_Toc34823322"/>
      <w:bookmarkEnd w:id="525"/>
      <w:r>
        <w:rPr>
          <w:rFonts w:ascii="Arial" w:hAnsi="Arial" w:cs="Arial"/>
          <w:b/>
          <w:bCs/>
          <w:sz w:val="20"/>
        </w:rPr>
        <w:t>2.8.</w:t>
      </w:r>
      <w:r w:rsidR="00692D54">
        <w:rPr>
          <w:rFonts w:ascii="Arial" w:hAnsi="Arial" w:cs="Arial"/>
          <w:b/>
          <w:bCs/>
          <w:sz w:val="20"/>
        </w:rPr>
        <w:t>5</w:t>
      </w:r>
      <w:r>
        <w:rPr>
          <w:rFonts w:ascii="Arial" w:hAnsi="Arial" w:cs="Arial"/>
          <w:b/>
          <w:bCs/>
          <w:sz w:val="20"/>
        </w:rPr>
        <w:tab/>
        <w:t xml:space="preserve">Section 10(5) of the </w:t>
      </w:r>
      <w:r w:rsidRPr="005161F3">
        <w:rPr>
          <w:rFonts w:ascii="Arial" w:hAnsi="Arial" w:cs="Arial"/>
          <w:b/>
          <w:bCs/>
          <w:i/>
          <w:iCs/>
          <w:sz w:val="20"/>
        </w:rPr>
        <w:t>Witness Protection Act 1991</w:t>
      </w:r>
    </w:p>
    <w:p w14:paraId="5756C955" w14:textId="34241A7A" w:rsidR="00E41D05" w:rsidRPr="00B46EF1" w:rsidRDefault="00E41D05" w:rsidP="00E41D05">
      <w:pPr>
        <w:jc w:val="both"/>
        <w:rPr>
          <w:rFonts w:ascii="Arial" w:hAnsi="Arial" w:cs="Arial"/>
          <w:color w:val="000000"/>
          <w:sz w:val="20"/>
        </w:rPr>
      </w:pPr>
      <w:r w:rsidRPr="00B46EF1">
        <w:rPr>
          <w:rFonts w:ascii="Arial" w:hAnsi="Arial" w:cs="Arial"/>
          <w:color w:val="000000"/>
          <w:sz w:val="20"/>
        </w:rPr>
        <w:t xml:space="preserve">Section 10(5) of the </w:t>
      </w:r>
      <w:r w:rsidRPr="005161F3">
        <w:rPr>
          <w:rFonts w:ascii="Arial" w:hAnsi="Arial" w:cs="Arial"/>
          <w:i/>
          <w:iCs/>
          <w:color w:val="000000"/>
          <w:sz w:val="20"/>
        </w:rPr>
        <w:t>Witness Protection Act 1991</w:t>
      </w:r>
      <w:r w:rsidRPr="00B46EF1">
        <w:rPr>
          <w:rFonts w:ascii="Arial" w:hAnsi="Arial" w:cs="Arial"/>
          <w:color w:val="000000"/>
          <w:sz w:val="20"/>
        </w:rPr>
        <w:t xml:space="preserve"> prohibits – under a penalty of level 5 imprisonment – a person without lawful authority from disclosing information about the identity or location of a person who is or has been a participant in the witness protection program or that compromises the security of such a person.  </w:t>
      </w:r>
      <w:r w:rsidRPr="00B46EF1">
        <w:rPr>
          <w:rFonts w:ascii="Arial" w:hAnsi="Arial" w:cs="Arial"/>
          <w:color w:val="000000"/>
          <w:sz w:val="20"/>
          <w:szCs w:val="20"/>
        </w:rPr>
        <w:t xml:space="preserve">In </w:t>
      </w:r>
      <w:r w:rsidRPr="00B46EF1">
        <w:rPr>
          <w:rFonts w:ascii="Arial" w:hAnsi="Arial" w:cs="Arial"/>
          <w:i/>
          <w:color w:val="000000"/>
          <w:sz w:val="20"/>
          <w:szCs w:val="20"/>
        </w:rPr>
        <w:t>DPP &amp; Anor v Dale &amp; Ors</w:t>
      </w:r>
      <w:r w:rsidRPr="00B46EF1">
        <w:rPr>
          <w:rFonts w:ascii="Arial" w:hAnsi="Arial" w:cs="Arial"/>
          <w:color w:val="000000"/>
          <w:sz w:val="20"/>
          <w:szCs w:val="20"/>
        </w:rPr>
        <w:t xml:space="preserve"> [2010] VSC 88 Beach J analysed the proper construction and operati</w:t>
      </w:r>
      <w:r w:rsidRPr="00B46EF1">
        <w:rPr>
          <w:rFonts w:ascii="Arial" w:hAnsi="Arial" w:cs="Arial"/>
          <w:color w:val="000000"/>
          <w:sz w:val="20"/>
        </w:rPr>
        <w:t xml:space="preserve">on of s.10(5) and its relationship with s.126 of the </w:t>
      </w:r>
      <w:r w:rsidRPr="005161F3">
        <w:rPr>
          <w:rFonts w:ascii="Arial" w:hAnsi="Arial" w:cs="Arial"/>
          <w:i/>
          <w:iCs/>
          <w:color w:val="000000"/>
          <w:sz w:val="20"/>
        </w:rPr>
        <w:t>Magistrates’ Court Act 1989</w:t>
      </w:r>
      <w:r>
        <w:rPr>
          <w:rFonts w:ascii="Arial" w:hAnsi="Arial" w:cs="Arial"/>
          <w:color w:val="000000"/>
          <w:sz w:val="20"/>
        </w:rPr>
        <w:t xml:space="preserve"> [now s.17 of the OCA]</w:t>
      </w:r>
      <w:r w:rsidRPr="00B46EF1">
        <w:rPr>
          <w:rFonts w:ascii="Arial" w:hAnsi="Arial" w:cs="Arial"/>
          <w:color w:val="000000"/>
          <w:sz w:val="20"/>
        </w:rPr>
        <w:t>.  At [48]-[49] his Honour said:</w:t>
      </w:r>
    </w:p>
    <w:p w14:paraId="3776A682" w14:textId="412B6CC9" w:rsidR="00E41D05" w:rsidRPr="00B46EF1" w:rsidRDefault="00E41D05" w:rsidP="00E41D05">
      <w:pPr>
        <w:spacing w:before="60"/>
        <w:ind w:left="567" w:right="567"/>
        <w:jc w:val="both"/>
        <w:rPr>
          <w:rFonts w:ascii="Arial" w:hAnsi="Arial" w:cs="Arial"/>
          <w:color w:val="000000"/>
          <w:sz w:val="20"/>
          <w:szCs w:val="20"/>
        </w:rPr>
      </w:pPr>
      <w:r w:rsidRPr="00B46EF1">
        <w:rPr>
          <w:rFonts w:ascii="Arial" w:hAnsi="Arial" w:cs="Arial"/>
          <w:color w:val="000000"/>
          <w:sz w:val="20"/>
        </w:rPr>
        <w:t xml:space="preserve">“A </w:t>
      </w:r>
      <w:r w:rsidRPr="00B46EF1">
        <w:rPr>
          <w:rFonts w:ascii="Arial" w:hAnsi="Arial" w:cs="Arial"/>
          <w:color w:val="000000"/>
          <w:sz w:val="20"/>
          <w:szCs w:val="20"/>
        </w:rPr>
        <w:t>potential or threatened breach of s</w:t>
      </w:r>
      <w:r w:rsidR="00AF0DA3">
        <w:rPr>
          <w:rFonts w:ascii="Arial" w:hAnsi="Arial" w:cs="Arial"/>
          <w:color w:val="000000"/>
          <w:sz w:val="20"/>
          <w:szCs w:val="20"/>
        </w:rPr>
        <w:t xml:space="preserve"> </w:t>
      </w:r>
      <w:r w:rsidRPr="00B46EF1">
        <w:rPr>
          <w:rFonts w:ascii="Arial" w:hAnsi="Arial" w:cs="Arial"/>
          <w:color w:val="000000"/>
          <w:sz w:val="20"/>
          <w:szCs w:val="20"/>
        </w:rPr>
        <w:t xml:space="preserve">10(5) of the </w:t>
      </w:r>
      <w:r w:rsidRPr="00B46EF1">
        <w:rPr>
          <w:rFonts w:ascii="Arial" w:hAnsi="Arial" w:cs="Arial"/>
          <w:i/>
          <w:color w:val="000000"/>
          <w:sz w:val="20"/>
          <w:szCs w:val="20"/>
        </w:rPr>
        <w:t>Witness Protection Act</w:t>
      </w:r>
      <w:r w:rsidRPr="00B46EF1">
        <w:rPr>
          <w:rFonts w:ascii="Arial" w:hAnsi="Arial" w:cs="Arial"/>
          <w:color w:val="000000"/>
          <w:sz w:val="20"/>
          <w:szCs w:val="20"/>
        </w:rPr>
        <w:t xml:space="preserve"> does not mandate that in all circumstances the Court must make a non-publication order under s 126 of the </w:t>
      </w:r>
      <w:r w:rsidRPr="00B46EF1">
        <w:rPr>
          <w:rFonts w:ascii="Arial" w:hAnsi="Arial" w:cs="Arial"/>
          <w:i/>
          <w:color w:val="000000"/>
          <w:sz w:val="20"/>
          <w:szCs w:val="20"/>
        </w:rPr>
        <w:t>Magistrates’ Court Act</w:t>
      </w:r>
      <w:r w:rsidRPr="00B46EF1">
        <w:rPr>
          <w:rFonts w:ascii="Arial" w:hAnsi="Arial" w:cs="Arial"/>
          <w:color w:val="000000"/>
          <w:sz w:val="20"/>
          <w:szCs w:val="20"/>
        </w:rPr>
        <w:t xml:space="preserve"> (or its equivalent, ss 18 and 19 of the </w:t>
      </w:r>
      <w:r w:rsidRPr="00B46EF1">
        <w:rPr>
          <w:rFonts w:ascii="Arial" w:hAnsi="Arial" w:cs="Arial"/>
          <w:i/>
          <w:color w:val="000000"/>
          <w:sz w:val="20"/>
          <w:szCs w:val="20"/>
        </w:rPr>
        <w:t>Supreme Court Act</w:t>
      </w:r>
      <w:r w:rsidRPr="00B46EF1">
        <w:rPr>
          <w:rFonts w:ascii="Arial" w:hAnsi="Arial" w:cs="Arial"/>
          <w:color w:val="000000"/>
          <w:sz w:val="20"/>
          <w:szCs w:val="20"/>
        </w:rPr>
        <w:t xml:space="preserve">).  It remains necessary in each case for the Court to consider the terms of s 126 of the </w:t>
      </w:r>
      <w:r w:rsidRPr="00B46EF1">
        <w:rPr>
          <w:rFonts w:ascii="Arial" w:hAnsi="Arial" w:cs="Arial"/>
          <w:i/>
          <w:color w:val="000000"/>
          <w:sz w:val="20"/>
          <w:szCs w:val="20"/>
        </w:rPr>
        <w:t>Magistrates’ Court Act</w:t>
      </w:r>
      <w:r w:rsidRPr="00B46EF1">
        <w:rPr>
          <w:rFonts w:ascii="Arial" w:hAnsi="Arial" w:cs="Arial"/>
          <w:color w:val="000000"/>
          <w:sz w:val="20"/>
          <w:szCs w:val="20"/>
        </w:rPr>
        <w:t>.  That is, the question is whether, in all the circumstances that have been established, is it necessary to make a non-publication order in order not to prejudice the administration of justice or endanger the physical safety of any person (referring only to paragraphs (b) and (c) as relevant in this case).</w:t>
      </w:r>
    </w:p>
    <w:p w14:paraId="5DDEA0E4" w14:textId="276AF93C" w:rsidR="00E41D05" w:rsidRPr="00B46EF1" w:rsidRDefault="00E41D05" w:rsidP="00F65A9B">
      <w:pPr>
        <w:spacing w:before="60"/>
        <w:ind w:left="567" w:right="567"/>
        <w:jc w:val="both"/>
        <w:rPr>
          <w:rFonts w:ascii="Arial" w:hAnsi="Arial" w:cs="Arial"/>
          <w:color w:val="000000"/>
          <w:sz w:val="20"/>
          <w:szCs w:val="20"/>
        </w:rPr>
      </w:pPr>
      <w:r w:rsidRPr="00B46EF1">
        <w:rPr>
          <w:rFonts w:ascii="Arial" w:hAnsi="Arial" w:cs="Arial"/>
          <w:color w:val="000000"/>
          <w:sz w:val="20"/>
          <w:szCs w:val="20"/>
        </w:rPr>
        <w:t>However, it must be said that it would be a very unusual case where a threatened breach of s</w:t>
      </w:r>
      <w:r w:rsidR="00AF0DA3">
        <w:rPr>
          <w:rFonts w:ascii="Arial" w:hAnsi="Arial" w:cs="Arial"/>
          <w:color w:val="000000"/>
          <w:sz w:val="20"/>
          <w:szCs w:val="20"/>
        </w:rPr>
        <w:t xml:space="preserve"> </w:t>
      </w:r>
      <w:r w:rsidRPr="00B46EF1">
        <w:rPr>
          <w:rFonts w:ascii="Arial" w:hAnsi="Arial" w:cs="Arial"/>
          <w:color w:val="000000"/>
          <w:sz w:val="20"/>
          <w:szCs w:val="20"/>
        </w:rPr>
        <w:t>10(5) did not lead to the conclusion that a non-publication order was necessary (giving full allowance to the fact that the requirement that the order be ‘necessary’ imposes a high standard</w:t>
      </w:r>
      <w:r>
        <w:rPr>
          <w:rFonts w:ascii="Arial" w:hAnsi="Arial" w:cs="Arial"/>
          <w:color w:val="000000"/>
          <w:sz w:val="20"/>
          <w:szCs w:val="20"/>
        </w:rPr>
        <w:t>)</w:t>
      </w:r>
      <w:r w:rsidRPr="00B46EF1">
        <w:rPr>
          <w:rFonts w:ascii="Arial" w:hAnsi="Arial" w:cs="Arial"/>
          <w:color w:val="000000"/>
          <w:sz w:val="20"/>
          <w:szCs w:val="20"/>
        </w:rPr>
        <w:t>.”</w:t>
      </w:r>
    </w:p>
    <w:p w14:paraId="631442E4" w14:textId="77777777" w:rsidR="00747E35" w:rsidRDefault="00747E35" w:rsidP="00747E35">
      <w:pPr>
        <w:jc w:val="both"/>
        <w:rPr>
          <w:rFonts w:ascii="Arial" w:hAnsi="Arial" w:cs="Arial"/>
          <w:sz w:val="20"/>
        </w:rPr>
      </w:pPr>
      <w:bookmarkStart w:id="577" w:name="_2.9_Bail_justices"/>
      <w:bookmarkEnd w:id="577"/>
    </w:p>
    <w:p w14:paraId="68BB2364" w14:textId="77777777" w:rsidR="00277B85" w:rsidRDefault="00277B85" w:rsidP="00A47B09">
      <w:pPr>
        <w:pStyle w:val="Heading2"/>
        <w:keepNext/>
        <w:tabs>
          <w:tab w:val="left" w:pos="567"/>
        </w:tabs>
        <w:spacing w:line="240" w:lineRule="auto"/>
        <w:rPr>
          <w:rFonts w:ascii="Arial" w:hAnsi="Arial" w:cs="Arial"/>
          <w:b/>
          <w:bCs/>
        </w:rPr>
      </w:pPr>
      <w:r>
        <w:rPr>
          <w:rFonts w:ascii="Arial" w:hAnsi="Arial" w:cs="Arial"/>
          <w:b/>
          <w:bCs/>
        </w:rPr>
        <w:t>2.9</w:t>
      </w:r>
      <w:r>
        <w:rPr>
          <w:rFonts w:ascii="Arial" w:hAnsi="Arial" w:cs="Arial"/>
          <w:b/>
          <w:bCs/>
        </w:rPr>
        <w:tab/>
        <w:t>Bail justices</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14:paraId="6E499D0D" w14:textId="77777777" w:rsidR="00EE736F" w:rsidRDefault="00EE736F" w:rsidP="00A47B09">
      <w:pPr>
        <w:keepNext/>
        <w:jc w:val="both"/>
        <w:rPr>
          <w:rFonts w:ascii="Arial" w:hAnsi="Arial" w:cs="Arial"/>
          <w:sz w:val="20"/>
        </w:rPr>
      </w:pPr>
    </w:p>
    <w:p w14:paraId="191AE0E1" w14:textId="09F59ADC" w:rsidR="00277B85" w:rsidRDefault="00277B85">
      <w:pPr>
        <w:jc w:val="both"/>
        <w:rPr>
          <w:rFonts w:ascii="Arial" w:hAnsi="Arial" w:cs="Arial"/>
          <w:sz w:val="20"/>
        </w:rPr>
      </w:pPr>
      <w:r>
        <w:rPr>
          <w:rFonts w:ascii="Arial" w:hAnsi="Arial" w:cs="Arial"/>
          <w:sz w:val="20"/>
        </w:rPr>
        <w:t xml:space="preserve">Under </w:t>
      </w:r>
      <w:r w:rsidR="00F272D6">
        <w:rPr>
          <w:rFonts w:ascii="Arial" w:hAnsi="Arial" w:cs="Arial"/>
          <w:sz w:val="20"/>
        </w:rPr>
        <w:t xml:space="preserve">s.14(1) of the </w:t>
      </w:r>
      <w:r w:rsidR="00F272D6" w:rsidRPr="00AE0485">
        <w:rPr>
          <w:rFonts w:ascii="Arial" w:hAnsi="Arial" w:cs="Arial"/>
          <w:i/>
          <w:iCs/>
          <w:sz w:val="20"/>
        </w:rPr>
        <w:t>Honorary Justices Act 2014</w:t>
      </w:r>
      <w:r w:rsidR="005161F3" w:rsidRPr="005161F3">
        <w:rPr>
          <w:rFonts w:ascii="Arial" w:hAnsi="Arial" w:cs="Arial"/>
          <w:sz w:val="20"/>
        </w:rPr>
        <w:t xml:space="preserve"> </w:t>
      </w:r>
      <w:r w:rsidR="00F272D6">
        <w:rPr>
          <w:rFonts w:ascii="Arial" w:hAnsi="Arial" w:cs="Arial"/>
          <w:sz w:val="20"/>
        </w:rPr>
        <w:t xml:space="preserve">[replacing </w:t>
      </w:r>
      <w:r>
        <w:rPr>
          <w:rFonts w:ascii="Arial" w:hAnsi="Arial" w:cs="Arial"/>
          <w:sz w:val="20"/>
        </w:rPr>
        <w:t xml:space="preserve">s.120(1) of the </w:t>
      </w:r>
      <w:r w:rsidRPr="005161F3">
        <w:rPr>
          <w:rFonts w:ascii="Arial" w:hAnsi="Arial" w:cs="Arial"/>
          <w:i/>
          <w:iCs/>
          <w:sz w:val="20"/>
        </w:rPr>
        <w:t>Magistrates' Court Act 1989</w:t>
      </w:r>
      <w:r w:rsidR="00F272D6">
        <w:rPr>
          <w:rFonts w:ascii="Arial" w:hAnsi="Arial" w:cs="Arial"/>
          <w:sz w:val="20"/>
        </w:rPr>
        <w:t>] the Governor-in-Council may appoint eligible</w:t>
      </w:r>
      <w:r>
        <w:rPr>
          <w:rFonts w:ascii="Arial" w:hAnsi="Arial" w:cs="Arial"/>
          <w:sz w:val="20"/>
        </w:rPr>
        <w:t xml:space="preserve"> lay persons as bail justices.</w:t>
      </w:r>
      <w:r w:rsidR="00F272D6">
        <w:rPr>
          <w:rFonts w:ascii="Arial" w:hAnsi="Arial" w:cs="Arial"/>
          <w:sz w:val="20"/>
        </w:rPr>
        <w:t xml:space="preserve">  Eligibility criteria are set out in s.14(2).</w:t>
      </w:r>
    </w:p>
    <w:p w14:paraId="3731D39B" w14:textId="77777777" w:rsidR="00277B85" w:rsidRDefault="00277B85">
      <w:pPr>
        <w:jc w:val="both"/>
        <w:rPr>
          <w:rFonts w:ascii="Arial" w:hAnsi="Arial" w:cs="Arial"/>
          <w:sz w:val="20"/>
        </w:rPr>
      </w:pPr>
    </w:p>
    <w:p w14:paraId="0D8FC02C" w14:textId="77777777" w:rsidR="00277B85" w:rsidRDefault="00F272D6">
      <w:pPr>
        <w:jc w:val="both"/>
        <w:rPr>
          <w:rFonts w:ascii="Arial" w:hAnsi="Arial" w:cs="Arial"/>
          <w:sz w:val="20"/>
        </w:rPr>
      </w:pPr>
      <w:r w:rsidRPr="00F272D6">
        <w:rPr>
          <w:rFonts w:ascii="Arial" w:hAnsi="Arial" w:cs="Arial"/>
          <w:sz w:val="20"/>
          <w:szCs w:val="20"/>
        </w:rPr>
        <w:t xml:space="preserve">Under s.18 </w:t>
      </w:r>
      <w:r w:rsidR="00277B85" w:rsidRPr="00F272D6">
        <w:rPr>
          <w:rFonts w:ascii="Arial" w:hAnsi="Arial" w:cs="Arial"/>
          <w:sz w:val="20"/>
          <w:szCs w:val="20"/>
        </w:rPr>
        <w:t>members of the public service who hold a "prescribed office" classification are bail justices without the need for any other appointment</w:t>
      </w:r>
      <w:r w:rsidRPr="00F272D6">
        <w:rPr>
          <w:rFonts w:ascii="Arial" w:hAnsi="Arial" w:cs="Arial"/>
          <w:sz w:val="20"/>
          <w:szCs w:val="20"/>
        </w:rPr>
        <w:t xml:space="preserve"> provided they have completed a course of training prescribed for the purposes of this section to the satisfaction of the Attorney-General. </w:t>
      </w:r>
      <w:r w:rsidR="00277B85" w:rsidRPr="00F272D6">
        <w:rPr>
          <w:rFonts w:ascii="Arial" w:hAnsi="Arial" w:cs="Arial"/>
          <w:sz w:val="20"/>
          <w:szCs w:val="20"/>
        </w:rPr>
        <w:t>The</w:t>
      </w:r>
      <w:r w:rsidR="00277B85">
        <w:rPr>
          <w:rFonts w:ascii="Arial" w:hAnsi="Arial" w:cs="Arial"/>
          <w:sz w:val="20"/>
        </w:rPr>
        <w:t xml:space="preserve"> "prescribed office" classifications are set out in reg.</w:t>
      </w:r>
      <w:r w:rsidR="00131092">
        <w:rPr>
          <w:rFonts w:ascii="Arial" w:hAnsi="Arial" w:cs="Arial"/>
          <w:sz w:val="20"/>
        </w:rPr>
        <w:t>10</w:t>
      </w:r>
      <w:r w:rsidR="00277B85">
        <w:rPr>
          <w:rFonts w:ascii="Arial" w:hAnsi="Arial" w:cs="Arial"/>
          <w:sz w:val="20"/>
        </w:rPr>
        <w:t xml:space="preserve"> of the </w:t>
      </w:r>
      <w:r w:rsidR="00131092" w:rsidRPr="005161F3">
        <w:rPr>
          <w:rFonts w:ascii="Arial" w:hAnsi="Arial" w:cs="Arial"/>
          <w:i/>
          <w:iCs/>
          <w:sz w:val="20"/>
        </w:rPr>
        <w:t>Honorary Justices</w:t>
      </w:r>
      <w:r w:rsidR="00277B85" w:rsidRPr="005161F3">
        <w:rPr>
          <w:rFonts w:ascii="Arial" w:hAnsi="Arial" w:cs="Arial"/>
          <w:i/>
          <w:iCs/>
          <w:sz w:val="20"/>
        </w:rPr>
        <w:t xml:space="preserve"> Regulations 20</w:t>
      </w:r>
      <w:r w:rsidR="00131092" w:rsidRPr="005161F3">
        <w:rPr>
          <w:rFonts w:ascii="Arial" w:hAnsi="Arial" w:cs="Arial"/>
          <w:i/>
          <w:iCs/>
          <w:sz w:val="20"/>
        </w:rPr>
        <w:t>14</w:t>
      </w:r>
      <w:r w:rsidR="00131092">
        <w:rPr>
          <w:rFonts w:ascii="Arial" w:hAnsi="Arial" w:cs="Arial"/>
          <w:sz w:val="20"/>
        </w:rPr>
        <w:t xml:space="preserve"> [S.R.No.110</w:t>
      </w:r>
      <w:r w:rsidR="00277B85">
        <w:rPr>
          <w:rFonts w:ascii="Arial" w:hAnsi="Arial" w:cs="Arial"/>
          <w:sz w:val="20"/>
        </w:rPr>
        <w:t>/20</w:t>
      </w:r>
      <w:r w:rsidR="00131092">
        <w:rPr>
          <w:rFonts w:ascii="Arial" w:hAnsi="Arial" w:cs="Arial"/>
          <w:sz w:val="20"/>
        </w:rPr>
        <w:t>14</w:t>
      </w:r>
      <w:r w:rsidR="00277B85">
        <w:rPr>
          <w:rFonts w:ascii="Arial" w:hAnsi="Arial" w:cs="Arial"/>
          <w:sz w:val="20"/>
        </w:rPr>
        <w:t>].</w:t>
      </w:r>
    </w:p>
    <w:p w14:paraId="5ECC09CF" w14:textId="77777777" w:rsidR="00277B85" w:rsidRDefault="00277B85">
      <w:pPr>
        <w:jc w:val="both"/>
        <w:rPr>
          <w:rFonts w:ascii="Arial" w:hAnsi="Arial" w:cs="Arial"/>
          <w:sz w:val="20"/>
        </w:rPr>
      </w:pPr>
    </w:p>
    <w:p w14:paraId="54A14262" w14:textId="7EE094B2" w:rsidR="00277B85" w:rsidRDefault="00277B85">
      <w:pPr>
        <w:jc w:val="both"/>
        <w:rPr>
          <w:rFonts w:ascii="Arial" w:hAnsi="Arial" w:cs="Arial"/>
          <w:sz w:val="20"/>
        </w:rPr>
      </w:pPr>
      <w:r>
        <w:rPr>
          <w:rFonts w:ascii="Arial" w:hAnsi="Arial" w:cs="Arial"/>
          <w:sz w:val="20"/>
        </w:rPr>
        <w:t xml:space="preserve">The functions and powers of bail justices are set out in the </w:t>
      </w:r>
      <w:r w:rsidRPr="005161F3">
        <w:rPr>
          <w:rFonts w:ascii="Arial" w:hAnsi="Arial" w:cs="Arial"/>
          <w:i/>
          <w:iCs/>
          <w:sz w:val="20"/>
        </w:rPr>
        <w:t xml:space="preserve">Bail Act 1977 </w:t>
      </w:r>
      <w:r>
        <w:rPr>
          <w:rFonts w:ascii="Arial" w:hAnsi="Arial" w:cs="Arial"/>
          <w:sz w:val="20"/>
        </w:rPr>
        <w:t>[No.9008] and in the CY</w:t>
      </w:r>
      <w:r w:rsidR="000326C3">
        <w:rPr>
          <w:rFonts w:ascii="Arial" w:hAnsi="Arial" w:cs="Arial"/>
          <w:sz w:val="20"/>
        </w:rPr>
        <w:t>F</w:t>
      </w:r>
      <w:r>
        <w:rPr>
          <w:rFonts w:ascii="Arial" w:hAnsi="Arial" w:cs="Arial"/>
          <w:sz w:val="20"/>
        </w:rPr>
        <w:t>A and include the hearing and determination of out-of-sessions applications:</w:t>
      </w:r>
    </w:p>
    <w:p w14:paraId="497C90ED" w14:textId="46937038" w:rsidR="00277B85" w:rsidRDefault="00277B85" w:rsidP="007D2EA2">
      <w:pPr>
        <w:numPr>
          <w:ilvl w:val="0"/>
          <w:numId w:val="2"/>
        </w:numPr>
        <w:tabs>
          <w:tab w:val="num" w:pos="723"/>
        </w:tabs>
        <w:jc w:val="both"/>
        <w:rPr>
          <w:rFonts w:ascii="Arial" w:hAnsi="Arial" w:cs="Arial"/>
          <w:sz w:val="20"/>
        </w:rPr>
      </w:pPr>
      <w:r>
        <w:rPr>
          <w:rFonts w:ascii="Arial" w:hAnsi="Arial" w:cs="Arial"/>
          <w:sz w:val="20"/>
        </w:rPr>
        <w:t xml:space="preserve">for remand or bail in relation to adult &amp; child </w:t>
      </w:r>
      <w:r w:rsidR="00591597">
        <w:rPr>
          <w:rFonts w:ascii="Arial" w:hAnsi="Arial" w:cs="Arial"/>
          <w:sz w:val="20"/>
        </w:rPr>
        <w:t>accused</w:t>
      </w:r>
      <w:r>
        <w:rPr>
          <w:rFonts w:ascii="Arial" w:hAnsi="Arial" w:cs="Arial"/>
          <w:sz w:val="20"/>
        </w:rPr>
        <w:t>; and</w:t>
      </w:r>
    </w:p>
    <w:p w14:paraId="4AD0C072" w14:textId="0BA8AC0F" w:rsidR="00277B85" w:rsidRPr="00BE6441" w:rsidRDefault="00277B85" w:rsidP="007D2EA2">
      <w:pPr>
        <w:numPr>
          <w:ilvl w:val="0"/>
          <w:numId w:val="1"/>
        </w:numPr>
        <w:tabs>
          <w:tab w:val="num" w:pos="723"/>
        </w:tabs>
        <w:jc w:val="both"/>
        <w:rPr>
          <w:rFonts w:ascii="Arial" w:hAnsi="Arial" w:cs="Arial"/>
          <w:color w:val="000000"/>
          <w:sz w:val="20"/>
        </w:rPr>
      </w:pPr>
      <w:r w:rsidRPr="00BE6441">
        <w:rPr>
          <w:rFonts w:ascii="Arial" w:hAnsi="Arial" w:cs="Arial"/>
          <w:color w:val="000000"/>
          <w:sz w:val="20"/>
        </w:rPr>
        <w:t>for interim accomm</w:t>
      </w:r>
      <w:r w:rsidR="001043B0" w:rsidRPr="00BE6441">
        <w:rPr>
          <w:rFonts w:ascii="Arial" w:hAnsi="Arial" w:cs="Arial"/>
          <w:color w:val="000000"/>
          <w:sz w:val="20"/>
        </w:rPr>
        <w:t xml:space="preserve">odation orders in relation to </w:t>
      </w:r>
      <w:r w:rsidRPr="00BE6441">
        <w:rPr>
          <w:rFonts w:ascii="Arial" w:hAnsi="Arial" w:cs="Arial"/>
          <w:color w:val="000000"/>
          <w:sz w:val="20"/>
        </w:rPr>
        <w:t>child</w:t>
      </w:r>
      <w:r w:rsidR="001043B0" w:rsidRPr="00BE6441">
        <w:rPr>
          <w:rFonts w:ascii="Arial" w:hAnsi="Arial" w:cs="Arial"/>
          <w:color w:val="000000"/>
          <w:sz w:val="20"/>
        </w:rPr>
        <w:t>ren</w:t>
      </w:r>
      <w:r w:rsidR="001E3EEE">
        <w:rPr>
          <w:rFonts w:ascii="Arial" w:hAnsi="Arial" w:cs="Arial"/>
          <w:color w:val="000000"/>
          <w:sz w:val="20"/>
        </w:rPr>
        <w:t xml:space="preserve"> who have been taken by DFFH into safe custody but whose cases cannot be heard by the Children’s Court for more than 24 hours</w:t>
      </w:r>
      <w:r w:rsidRPr="00BE6441">
        <w:rPr>
          <w:rFonts w:ascii="Arial" w:hAnsi="Arial" w:cs="Arial"/>
          <w:color w:val="000000"/>
          <w:sz w:val="20"/>
        </w:rPr>
        <w:t>.</w:t>
      </w:r>
    </w:p>
    <w:p w14:paraId="4573A1EA" w14:textId="77777777" w:rsidR="00277B85" w:rsidRDefault="00277B85">
      <w:pPr>
        <w:jc w:val="both"/>
        <w:rPr>
          <w:rFonts w:ascii="Arial" w:hAnsi="Arial" w:cs="Arial"/>
          <w:sz w:val="20"/>
        </w:rPr>
      </w:pPr>
    </w:p>
    <w:p w14:paraId="0017794F" w14:textId="17FB702C" w:rsidR="001043B0" w:rsidRDefault="001043B0" w:rsidP="001043B0">
      <w:pPr>
        <w:keepNext/>
        <w:keepLines/>
        <w:jc w:val="both"/>
        <w:rPr>
          <w:rFonts w:ascii="Arial" w:hAnsi="Arial" w:cs="Arial"/>
          <w:sz w:val="20"/>
        </w:rPr>
      </w:pPr>
      <w:r>
        <w:rPr>
          <w:rFonts w:ascii="Arial" w:hAnsi="Arial" w:cs="Arial"/>
          <w:sz w:val="20"/>
        </w:rPr>
        <w:t>Although their role is of importance for the Children’s Court, bail justices do not fall within the definition of “Court” in s.504(2) of the CYFA, namely that “the Court consists of the President; the magistrates</w:t>
      </w:r>
      <w:r w:rsidR="000326C3">
        <w:rPr>
          <w:rFonts w:ascii="Arial" w:hAnsi="Arial" w:cs="Arial"/>
          <w:sz w:val="20"/>
        </w:rPr>
        <w:t xml:space="preserve">, the judicial registrars and the registrars of the </w:t>
      </w:r>
      <w:r w:rsidR="00384A15">
        <w:rPr>
          <w:rFonts w:ascii="Arial" w:hAnsi="Arial" w:cs="Arial"/>
          <w:sz w:val="20"/>
        </w:rPr>
        <w:t>C</w:t>
      </w:r>
      <w:r w:rsidR="000326C3">
        <w:rPr>
          <w:rFonts w:ascii="Arial" w:hAnsi="Arial" w:cs="Arial"/>
          <w:sz w:val="20"/>
        </w:rPr>
        <w:t>ourt.</w:t>
      </w:r>
      <w:r>
        <w:rPr>
          <w:rFonts w:ascii="Arial" w:hAnsi="Arial" w:cs="Arial"/>
          <w:sz w:val="20"/>
        </w:rPr>
        <w:t>”</w:t>
      </w:r>
    </w:p>
    <w:p w14:paraId="1F958360" w14:textId="77777777" w:rsidR="001043B0" w:rsidRDefault="001043B0">
      <w:pPr>
        <w:jc w:val="both"/>
        <w:rPr>
          <w:rFonts w:ascii="Arial" w:hAnsi="Arial" w:cs="Arial"/>
          <w:sz w:val="20"/>
        </w:rPr>
      </w:pPr>
    </w:p>
    <w:p w14:paraId="45DDABC7" w14:textId="77777777" w:rsidR="00277B85" w:rsidRDefault="00277B85" w:rsidP="00340212">
      <w:pPr>
        <w:keepNext/>
        <w:keepLines/>
        <w:jc w:val="both"/>
        <w:rPr>
          <w:rFonts w:ascii="Arial" w:hAnsi="Arial" w:cs="Arial"/>
          <w:sz w:val="20"/>
        </w:rPr>
      </w:pPr>
      <w:r>
        <w:rPr>
          <w:rFonts w:ascii="Arial" w:hAnsi="Arial" w:cs="Arial"/>
          <w:sz w:val="20"/>
        </w:rPr>
        <w:t>For more information about the roles of bail justices and Justices of the Peace see:</w:t>
      </w:r>
    </w:p>
    <w:p w14:paraId="6413D7B8" w14:textId="77777777" w:rsidR="00277B85" w:rsidRDefault="00277B85" w:rsidP="007D2EA2">
      <w:pPr>
        <w:numPr>
          <w:ilvl w:val="0"/>
          <w:numId w:val="2"/>
        </w:numPr>
        <w:tabs>
          <w:tab w:val="num" w:pos="723"/>
        </w:tabs>
        <w:jc w:val="both"/>
        <w:rPr>
          <w:rFonts w:ascii="Arial" w:hAnsi="Arial" w:cs="Arial"/>
          <w:sz w:val="20"/>
        </w:rPr>
      </w:pPr>
      <w:hyperlink r:id="rId15" w:history="1">
        <w:r>
          <w:rPr>
            <w:rStyle w:val="Hyperlink"/>
            <w:rFonts w:ascii="Arial" w:hAnsi="Arial" w:cs="Arial"/>
            <w:sz w:val="20"/>
          </w:rPr>
          <w:t>http://www.justice.vic.gov.au/justices</w:t>
        </w:r>
      </w:hyperlink>
      <w:r>
        <w:rPr>
          <w:rFonts w:ascii="Arial" w:hAnsi="Arial" w:cs="Arial"/>
          <w:sz w:val="20"/>
        </w:rPr>
        <w:t xml:space="preserve"> (maintained by the Victorian Department of Justice</w:t>
      </w:r>
      <w:r w:rsidR="000A5CEF">
        <w:rPr>
          <w:rFonts w:ascii="Arial" w:hAnsi="Arial" w:cs="Arial"/>
          <w:sz w:val="20"/>
        </w:rPr>
        <w:t xml:space="preserve"> and Community Safety</w:t>
      </w:r>
      <w:r>
        <w:rPr>
          <w:rFonts w:ascii="Arial" w:hAnsi="Arial" w:cs="Arial"/>
          <w:sz w:val="20"/>
        </w:rPr>
        <w:t>);</w:t>
      </w:r>
    </w:p>
    <w:p w14:paraId="6847934B" w14:textId="77777777" w:rsidR="00277B85" w:rsidRDefault="00277B85" w:rsidP="007D2EA2">
      <w:pPr>
        <w:numPr>
          <w:ilvl w:val="0"/>
          <w:numId w:val="2"/>
        </w:numPr>
        <w:tabs>
          <w:tab w:val="num" w:pos="723"/>
        </w:tabs>
        <w:jc w:val="both"/>
        <w:rPr>
          <w:rFonts w:ascii="Arial" w:hAnsi="Arial" w:cs="Arial"/>
          <w:sz w:val="20"/>
        </w:rPr>
      </w:pPr>
      <w:hyperlink r:id="rId16" w:history="1">
        <w:r>
          <w:rPr>
            <w:rStyle w:val="Hyperlink"/>
            <w:rFonts w:ascii="Arial" w:hAnsi="Arial" w:cs="Arial"/>
            <w:sz w:val="20"/>
          </w:rPr>
          <w:t>http://www.rvahj.org.au</w:t>
        </w:r>
      </w:hyperlink>
      <w:r>
        <w:rPr>
          <w:rFonts w:ascii="Arial" w:hAnsi="Arial" w:cs="Arial"/>
          <w:sz w:val="20"/>
        </w:rPr>
        <w:t xml:space="preserve"> (maintained by the Royal Victorian Association of Honorary Justices).</w:t>
      </w:r>
    </w:p>
    <w:p w14:paraId="5D9A574F" w14:textId="77777777" w:rsidR="00E16BD0" w:rsidRDefault="00E16BD0" w:rsidP="00E16BD0">
      <w:pPr>
        <w:jc w:val="both"/>
        <w:rPr>
          <w:rFonts w:ascii="Arial" w:hAnsi="Arial" w:cs="Arial"/>
          <w:sz w:val="20"/>
        </w:rPr>
      </w:pPr>
      <w:bookmarkStart w:id="578" w:name="_2.10_Court_services"/>
      <w:bookmarkStart w:id="579" w:name="_Toc30608798"/>
      <w:bookmarkStart w:id="580" w:name="_Toc30610012"/>
      <w:bookmarkStart w:id="581" w:name="_Toc30610255"/>
      <w:bookmarkStart w:id="582" w:name="_Toc30638409"/>
      <w:bookmarkStart w:id="583" w:name="_Toc30644218"/>
      <w:bookmarkStart w:id="584" w:name="_Toc30644621"/>
      <w:bookmarkStart w:id="585" w:name="_Toc30645171"/>
      <w:bookmarkStart w:id="586" w:name="_Toc30646375"/>
      <w:bookmarkStart w:id="587" w:name="_Toc30646670"/>
      <w:bookmarkStart w:id="588" w:name="_Toc30646780"/>
      <w:bookmarkStart w:id="589" w:name="_Toc30648137"/>
      <w:bookmarkStart w:id="590" w:name="_Toc30649035"/>
      <w:bookmarkStart w:id="591" w:name="_Toc30649111"/>
      <w:bookmarkStart w:id="592" w:name="_Toc30649372"/>
      <w:bookmarkStart w:id="593" w:name="_Toc30649692"/>
      <w:bookmarkStart w:id="594" w:name="_Toc30651626"/>
      <w:bookmarkStart w:id="595" w:name="_Toc30652610"/>
      <w:bookmarkStart w:id="596" w:name="_Toc30652708"/>
      <w:bookmarkStart w:id="597" w:name="_Toc30654053"/>
      <w:bookmarkStart w:id="598" w:name="_Toc30654404"/>
      <w:bookmarkStart w:id="599" w:name="_Toc30655023"/>
      <w:bookmarkStart w:id="600" w:name="_Toc30655280"/>
      <w:bookmarkStart w:id="601" w:name="_Toc30656956"/>
      <w:bookmarkStart w:id="602" w:name="_Toc30661705"/>
      <w:bookmarkStart w:id="603" w:name="_Toc30666393"/>
      <w:bookmarkStart w:id="604" w:name="_Toc30666623"/>
      <w:bookmarkStart w:id="605" w:name="_Toc30667798"/>
      <w:bookmarkStart w:id="606" w:name="_Toc30669176"/>
      <w:bookmarkStart w:id="607" w:name="_Toc30671392"/>
      <w:bookmarkStart w:id="608" w:name="_Toc30673919"/>
      <w:bookmarkStart w:id="609" w:name="_Toc30691141"/>
      <w:bookmarkStart w:id="610" w:name="_Toc30691512"/>
      <w:bookmarkStart w:id="611" w:name="_Toc30691892"/>
      <w:bookmarkStart w:id="612" w:name="_Toc30692651"/>
      <w:bookmarkStart w:id="613" w:name="_Toc30693030"/>
      <w:bookmarkStart w:id="614" w:name="_Toc30693408"/>
      <w:bookmarkStart w:id="615" w:name="_Toc30693787"/>
      <w:bookmarkStart w:id="616" w:name="_Toc30694168"/>
      <w:bookmarkStart w:id="617" w:name="_Toc30698757"/>
      <w:bookmarkStart w:id="618" w:name="_Toc30699135"/>
      <w:bookmarkStart w:id="619" w:name="_Toc30699520"/>
      <w:bookmarkStart w:id="620" w:name="_Toc30700675"/>
      <w:bookmarkStart w:id="621" w:name="_Toc30701062"/>
      <w:bookmarkStart w:id="622" w:name="_Toc30743671"/>
      <w:bookmarkStart w:id="623" w:name="_Toc30754494"/>
      <w:bookmarkStart w:id="624" w:name="_Toc30756934"/>
      <w:bookmarkStart w:id="625" w:name="_Toc30757483"/>
      <w:bookmarkStart w:id="626" w:name="_Toc30757883"/>
      <w:bookmarkStart w:id="627" w:name="_Toc30762644"/>
      <w:bookmarkStart w:id="628" w:name="_Toc30767298"/>
      <w:bookmarkStart w:id="629" w:name="_Toc34823323"/>
      <w:bookmarkEnd w:id="578"/>
    </w:p>
    <w:p w14:paraId="705D6554" w14:textId="67DC2B74" w:rsidR="00277B85" w:rsidRDefault="00277B85" w:rsidP="00B63241">
      <w:pPr>
        <w:pStyle w:val="Heading2"/>
        <w:keepNext/>
        <w:keepLines/>
        <w:widowControl/>
        <w:tabs>
          <w:tab w:val="left" w:pos="567"/>
        </w:tabs>
        <w:spacing w:line="240" w:lineRule="auto"/>
        <w:rPr>
          <w:rFonts w:ascii="Arial" w:hAnsi="Arial" w:cs="Arial"/>
          <w:b/>
          <w:bCs/>
        </w:rPr>
      </w:pPr>
      <w:r>
        <w:rPr>
          <w:rFonts w:ascii="Arial" w:hAnsi="Arial" w:cs="Arial"/>
          <w:b/>
          <w:bCs/>
        </w:rPr>
        <w:t>2.10</w:t>
      </w:r>
      <w:r>
        <w:rPr>
          <w:rFonts w:ascii="Arial" w:hAnsi="Arial" w:cs="Arial"/>
          <w:b/>
          <w:bCs/>
        </w:rPr>
        <w:tab/>
        <w:t>Court services</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p>
    <w:p w14:paraId="4A052972" w14:textId="3F052047" w:rsidR="00277B85" w:rsidRDefault="00277B85" w:rsidP="00B63241">
      <w:pPr>
        <w:keepNext/>
        <w:keepLines/>
        <w:jc w:val="both"/>
        <w:rPr>
          <w:rFonts w:ascii="Arial" w:hAnsi="Arial" w:cs="Arial"/>
          <w:sz w:val="20"/>
          <w:szCs w:val="20"/>
        </w:rPr>
      </w:pPr>
    </w:p>
    <w:p w14:paraId="1112D659" w14:textId="01EF5E97" w:rsidR="00F65A9B" w:rsidRDefault="00F65A9B" w:rsidP="00F65A9B">
      <w:pPr>
        <w:jc w:val="both"/>
        <w:rPr>
          <w:rFonts w:ascii="Arial" w:hAnsi="Arial" w:cs="Arial"/>
          <w:sz w:val="20"/>
        </w:rPr>
      </w:pPr>
      <w:r>
        <w:rPr>
          <w:rFonts w:ascii="Arial" w:hAnsi="Arial" w:cs="Arial"/>
          <w:sz w:val="20"/>
        </w:rPr>
        <w:t xml:space="preserve">For many years the </w:t>
      </w:r>
      <w:r w:rsidRPr="00F65A9B">
        <w:rPr>
          <w:rFonts w:ascii="Arial" w:hAnsi="Arial" w:cs="Arial"/>
          <w:b/>
          <w:bCs/>
          <w:sz w:val="20"/>
        </w:rPr>
        <w:t>Salvation Army</w:t>
      </w:r>
      <w:r>
        <w:rPr>
          <w:rFonts w:ascii="Arial" w:hAnsi="Arial" w:cs="Arial"/>
          <w:sz w:val="20"/>
        </w:rPr>
        <w:t xml:space="preserve"> had maintained a daily information and support service at the Melbourne Children's Court and some suburban &amp; regional Children's Courts.  The Salvation Army has now reprioritised its mission and no longer provide</w:t>
      </w:r>
      <w:r w:rsidR="006F0082">
        <w:rPr>
          <w:rFonts w:ascii="Arial" w:hAnsi="Arial" w:cs="Arial"/>
          <w:sz w:val="20"/>
        </w:rPr>
        <w:t>s</w:t>
      </w:r>
      <w:r>
        <w:rPr>
          <w:rFonts w:ascii="Arial" w:hAnsi="Arial" w:cs="Arial"/>
          <w:sz w:val="20"/>
        </w:rPr>
        <w:t xml:space="preserve"> services </w:t>
      </w:r>
      <w:r w:rsidR="0019473A">
        <w:rPr>
          <w:rFonts w:ascii="Arial" w:hAnsi="Arial" w:cs="Arial"/>
          <w:sz w:val="20"/>
        </w:rPr>
        <w:t>at</w:t>
      </w:r>
      <w:r>
        <w:rPr>
          <w:rFonts w:ascii="Arial" w:hAnsi="Arial" w:cs="Arial"/>
          <w:sz w:val="20"/>
        </w:rPr>
        <w:t xml:space="preserve"> the Court.  Special tribute should be paid to Brigadier Doreen Griffiths who provided generations of clients with support and succour at </w:t>
      </w:r>
      <w:r>
        <w:rPr>
          <w:rFonts w:ascii="Arial" w:hAnsi="Arial" w:cs="Arial"/>
          <w:sz w:val="20"/>
        </w:rPr>
        <w:lastRenderedPageBreak/>
        <w:t xml:space="preserve">Melbourne Children's Court and to Major Vicki McMahon who was transferred to </w:t>
      </w:r>
      <w:proofErr w:type="spellStart"/>
      <w:r>
        <w:rPr>
          <w:rFonts w:ascii="Arial" w:hAnsi="Arial" w:cs="Arial"/>
          <w:sz w:val="20"/>
        </w:rPr>
        <w:t>Bridgehaven</w:t>
      </w:r>
      <w:proofErr w:type="spellEnd"/>
      <w:r>
        <w:rPr>
          <w:rFonts w:ascii="Arial" w:hAnsi="Arial" w:cs="Arial"/>
          <w:sz w:val="20"/>
        </w:rPr>
        <w:t xml:space="preserve"> after supporting children, parents and family members at Melbourne Children’s Court for 13 years.</w:t>
      </w:r>
    </w:p>
    <w:p w14:paraId="1AB5D2AD" w14:textId="55EE0E9B" w:rsidR="00F65A9B" w:rsidRDefault="00F65A9B" w:rsidP="00F65A9B">
      <w:pPr>
        <w:jc w:val="both"/>
        <w:rPr>
          <w:rFonts w:ascii="Arial" w:hAnsi="Arial" w:cs="Arial"/>
          <w:sz w:val="20"/>
        </w:rPr>
      </w:pPr>
    </w:p>
    <w:p w14:paraId="28B33D08" w14:textId="0316CC33" w:rsidR="0019473A" w:rsidRDefault="0019473A" w:rsidP="00F65A9B">
      <w:pPr>
        <w:jc w:val="both"/>
        <w:rPr>
          <w:rFonts w:ascii="Arial" w:hAnsi="Arial" w:cs="Arial"/>
          <w:sz w:val="20"/>
        </w:rPr>
      </w:pPr>
      <w:r>
        <w:rPr>
          <w:rFonts w:ascii="Arial" w:hAnsi="Arial" w:cs="Arial"/>
          <w:sz w:val="20"/>
        </w:rPr>
        <w:t xml:space="preserve">However, the Salvation Army still provides a wide range of services for clients of the Court.  These services – described in more detail on </w:t>
      </w:r>
      <w:r>
        <w:rPr>
          <w:rFonts w:ascii="Arial" w:hAnsi="Arial" w:cs="Arial"/>
          <w:color w:val="000000"/>
          <w:sz w:val="20"/>
        </w:rPr>
        <w:t xml:space="preserve">the Children’s Court website [tab “Help and Support” </w:t>
      </w:r>
      <w:r>
        <w:rPr>
          <w:rFonts w:ascii="Arial" w:hAnsi="Arial" w:cs="Arial"/>
          <w:color w:val="000000"/>
          <w:sz w:val="20"/>
        </w:rPr>
        <w:sym w:font="Wingdings" w:char="F0E8"/>
      </w:r>
      <w:r>
        <w:rPr>
          <w:rFonts w:ascii="Arial" w:hAnsi="Arial" w:cs="Arial"/>
          <w:color w:val="000000"/>
          <w:sz w:val="20"/>
        </w:rPr>
        <w:t xml:space="preserve"> “Support Services at Court” </w:t>
      </w:r>
      <w:r>
        <w:rPr>
          <w:rFonts w:ascii="Arial" w:hAnsi="Arial" w:cs="Arial"/>
          <w:color w:val="000000"/>
          <w:sz w:val="20"/>
        </w:rPr>
        <w:sym w:font="Wingdings" w:char="F0E8"/>
      </w:r>
      <w:r>
        <w:rPr>
          <w:rFonts w:ascii="Arial" w:hAnsi="Arial" w:cs="Arial"/>
          <w:color w:val="000000"/>
          <w:sz w:val="20"/>
        </w:rPr>
        <w:t xml:space="preserve"> “Salvation Army”] </w:t>
      </w:r>
      <w:r w:rsidR="006F0082">
        <w:rPr>
          <w:rFonts w:ascii="Arial" w:hAnsi="Arial" w:cs="Arial"/>
          <w:color w:val="000000"/>
          <w:sz w:val="20"/>
        </w:rPr>
        <w:t xml:space="preserve">– </w:t>
      </w:r>
      <w:r>
        <w:rPr>
          <w:rFonts w:ascii="Arial" w:hAnsi="Arial" w:cs="Arial"/>
          <w:color w:val="000000"/>
          <w:sz w:val="20"/>
        </w:rPr>
        <w:t>include</w:t>
      </w:r>
      <w:r w:rsidR="00055BA8">
        <w:rPr>
          <w:rFonts w:ascii="Arial" w:hAnsi="Arial" w:cs="Arial"/>
          <w:sz w:val="20"/>
        </w:rPr>
        <w:t>–</w:t>
      </w:r>
    </w:p>
    <w:p w14:paraId="6F8D30B8" w14:textId="4E48F58A" w:rsidR="00CD1893" w:rsidRDefault="00CD1893" w:rsidP="00C23CF0">
      <w:pPr>
        <w:pStyle w:val="ListParagraph"/>
        <w:numPr>
          <w:ilvl w:val="0"/>
          <w:numId w:val="20"/>
        </w:numPr>
        <w:ind w:left="357" w:hanging="357"/>
        <w:jc w:val="both"/>
        <w:rPr>
          <w:rFonts w:ascii="Arial" w:hAnsi="Arial" w:cs="Arial"/>
          <w:sz w:val="20"/>
        </w:rPr>
      </w:pPr>
      <w:r>
        <w:rPr>
          <w:rFonts w:ascii="Arial" w:hAnsi="Arial" w:cs="Arial"/>
          <w:sz w:val="20"/>
        </w:rPr>
        <w:t>Aboriginal and Torres Strait Islander programs;</w:t>
      </w:r>
    </w:p>
    <w:p w14:paraId="1692EF0B" w14:textId="04B7463B" w:rsidR="00CD1893" w:rsidRDefault="00CD1893" w:rsidP="00C23CF0">
      <w:pPr>
        <w:pStyle w:val="ListParagraph"/>
        <w:numPr>
          <w:ilvl w:val="0"/>
          <w:numId w:val="20"/>
        </w:numPr>
        <w:ind w:left="357" w:hanging="357"/>
        <w:jc w:val="both"/>
        <w:rPr>
          <w:rFonts w:ascii="Arial" w:hAnsi="Arial" w:cs="Arial"/>
          <w:sz w:val="20"/>
        </w:rPr>
      </w:pPr>
      <w:r>
        <w:rPr>
          <w:rFonts w:ascii="Arial" w:hAnsi="Arial" w:cs="Arial"/>
          <w:sz w:val="20"/>
        </w:rPr>
        <w:t>Homelessness services;</w:t>
      </w:r>
    </w:p>
    <w:p w14:paraId="1DE93790" w14:textId="46A4E1EB" w:rsidR="00CD1893" w:rsidRDefault="00CD1893" w:rsidP="00C23CF0">
      <w:pPr>
        <w:pStyle w:val="ListParagraph"/>
        <w:numPr>
          <w:ilvl w:val="0"/>
          <w:numId w:val="20"/>
        </w:numPr>
        <w:ind w:left="357" w:hanging="357"/>
        <w:jc w:val="both"/>
        <w:rPr>
          <w:rFonts w:ascii="Arial" w:hAnsi="Arial" w:cs="Arial"/>
          <w:sz w:val="20"/>
        </w:rPr>
      </w:pPr>
      <w:r>
        <w:rPr>
          <w:rFonts w:ascii="Arial" w:hAnsi="Arial" w:cs="Arial"/>
          <w:sz w:val="20"/>
        </w:rPr>
        <w:t>Alcohol and other drug services;</w:t>
      </w:r>
    </w:p>
    <w:p w14:paraId="17055C7E" w14:textId="55441EF1" w:rsidR="00CD1893" w:rsidRDefault="00CD1893" w:rsidP="00C23CF0">
      <w:pPr>
        <w:pStyle w:val="ListParagraph"/>
        <w:numPr>
          <w:ilvl w:val="0"/>
          <w:numId w:val="20"/>
        </w:numPr>
        <w:ind w:left="357" w:hanging="357"/>
        <w:jc w:val="both"/>
        <w:rPr>
          <w:rFonts w:ascii="Arial" w:hAnsi="Arial" w:cs="Arial"/>
          <w:sz w:val="20"/>
        </w:rPr>
      </w:pPr>
      <w:r>
        <w:rPr>
          <w:rFonts w:ascii="Arial" w:hAnsi="Arial" w:cs="Arial"/>
          <w:sz w:val="20"/>
        </w:rPr>
        <w:t>Employment Plus;</w:t>
      </w:r>
    </w:p>
    <w:p w14:paraId="43BA04B2" w14:textId="6A8BDD7F" w:rsidR="00CD1893" w:rsidRDefault="00CD1893" w:rsidP="00C23CF0">
      <w:pPr>
        <w:pStyle w:val="ListParagraph"/>
        <w:numPr>
          <w:ilvl w:val="0"/>
          <w:numId w:val="20"/>
        </w:numPr>
        <w:ind w:left="357" w:hanging="357"/>
        <w:jc w:val="both"/>
        <w:rPr>
          <w:rFonts w:ascii="Arial" w:hAnsi="Arial" w:cs="Arial"/>
          <w:sz w:val="20"/>
        </w:rPr>
      </w:pPr>
      <w:r>
        <w:rPr>
          <w:rFonts w:ascii="Arial" w:hAnsi="Arial" w:cs="Arial"/>
          <w:sz w:val="20"/>
        </w:rPr>
        <w:t>Youth support networks and programs.</w:t>
      </w:r>
    </w:p>
    <w:p w14:paraId="4E48EF28" w14:textId="77777777" w:rsidR="0019473A" w:rsidRDefault="0019473A" w:rsidP="00F65A9B">
      <w:pPr>
        <w:jc w:val="both"/>
        <w:rPr>
          <w:rFonts w:ascii="Arial" w:hAnsi="Arial" w:cs="Arial"/>
          <w:sz w:val="20"/>
        </w:rPr>
      </w:pPr>
    </w:p>
    <w:p w14:paraId="29A24D18" w14:textId="4C1E878A" w:rsidR="00F65A9B" w:rsidRDefault="00F65A9B" w:rsidP="00F65A9B">
      <w:pPr>
        <w:jc w:val="both"/>
        <w:rPr>
          <w:rFonts w:ascii="Arial" w:hAnsi="Arial" w:cs="Arial"/>
          <w:sz w:val="20"/>
        </w:rPr>
      </w:pPr>
      <w:r>
        <w:rPr>
          <w:rFonts w:ascii="Arial" w:hAnsi="Arial" w:cs="Arial"/>
          <w:sz w:val="20"/>
        </w:rPr>
        <w:t xml:space="preserve">The following three court organisations provide </w:t>
      </w:r>
      <w:r w:rsidR="00444BCB">
        <w:rPr>
          <w:rFonts w:ascii="Arial" w:hAnsi="Arial" w:cs="Arial"/>
          <w:sz w:val="20"/>
        </w:rPr>
        <w:t xml:space="preserve">free </w:t>
      </w:r>
      <w:r>
        <w:rPr>
          <w:rFonts w:ascii="Arial" w:hAnsi="Arial" w:cs="Arial"/>
          <w:sz w:val="20"/>
        </w:rPr>
        <w:t>services at various Children’s Courts:</w:t>
      </w:r>
    </w:p>
    <w:p w14:paraId="53416D4F" w14:textId="77777777" w:rsidR="00F65A9B" w:rsidRDefault="00F65A9B" w:rsidP="00F65A9B">
      <w:pPr>
        <w:jc w:val="both"/>
        <w:rPr>
          <w:rFonts w:ascii="Arial" w:hAnsi="Arial" w:cs="Arial"/>
          <w:sz w:val="20"/>
        </w:rPr>
      </w:pPr>
    </w:p>
    <w:p w14:paraId="7C0459DB" w14:textId="699ED795" w:rsidR="002643C7" w:rsidRDefault="00316730" w:rsidP="002643C7">
      <w:pPr>
        <w:jc w:val="both"/>
        <w:rPr>
          <w:rFonts w:ascii="Arial" w:hAnsi="Arial" w:cs="Arial"/>
          <w:sz w:val="20"/>
          <w:szCs w:val="20"/>
        </w:rPr>
      </w:pPr>
      <w:r>
        <w:rPr>
          <w:rFonts w:ascii="Arial" w:hAnsi="Arial" w:cs="Arial"/>
          <w:sz w:val="20"/>
          <w:szCs w:val="20"/>
        </w:rPr>
        <w:t xml:space="preserve">The </w:t>
      </w:r>
      <w:r w:rsidRPr="00316730">
        <w:rPr>
          <w:rFonts w:ascii="Arial" w:hAnsi="Arial" w:cs="Arial"/>
          <w:b/>
          <w:bCs/>
          <w:sz w:val="20"/>
          <w:szCs w:val="20"/>
        </w:rPr>
        <w:t>Court Registry</w:t>
      </w:r>
      <w:r>
        <w:rPr>
          <w:rFonts w:ascii="Arial" w:hAnsi="Arial" w:cs="Arial"/>
          <w:sz w:val="20"/>
          <w:szCs w:val="20"/>
        </w:rPr>
        <w:t xml:space="preserve"> is where all documents relating to a case in that venue of the Children’s Court are filed.  Registry staff cannot give legal advice or complete court forms on a person’s behalf but can provide assistance such as</w:t>
      </w:r>
      <w:r w:rsidR="00055BA8">
        <w:rPr>
          <w:rFonts w:ascii="Arial" w:hAnsi="Arial" w:cs="Arial"/>
          <w:sz w:val="20"/>
        </w:rPr>
        <w:t>–</w:t>
      </w:r>
    </w:p>
    <w:p w14:paraId="4FE62C8D" w14:textId="43E0CC76" w:rsidR="00316730" w:rsidRDefault="00316730" w:rsidP="00C23CF0">
      <w:pPr>
        <w:pStyle w:val="ListParagraph"/>
        <w:numPr>
          <w:ilvl w:val="0"/>
          <w:numId w:val="20"/>
        </w:numPr>
        <w:ind w:left="357" w:hanging="357"/>
        <w:jc w:val="both"/>
        <w:rPr>
          <w:rFonts w:ascii="Arial" w:hAnsi="Arial" w:cs="Arial"/>
          <w:sz w:val="20"/>
        </w:rPr>
      </w:pPr>
      <w:r>
        <w:rPr>
          <w:rFonts w:ascii="Arial" w:hAnsi="Arial" w:cs="Arial"/>
          <w:sz w:val="20"/>
        </w:rPr>
        <w:t>help with finding forms and court lists;</w:t>
      </w:r>
    </w:p>
    <w:p w14:paraId="22109E1D" w14:textId="3F79DEB6" w:rsidR="00316730" w:rsidRDefault="00316730" w:rsidP="00C23CF0">
      <w:pPr>
        <w:pStyle w:val="ListParagraph"/>
        <w:numPr>
          <w:ilvl w:val="0"/>
          <w:numId w:val="20"/>
        </w:numPr>
        <w:ind w:left="357" w:hanging="357"/>
        <w:jc w:val="both"/>
        <w:rPr>
          <w:rFonts w:ascii="Arial" w:hAnsi="Arial" w:cs="Arial"/>
          <w:sz w:val="20"/>
        </w:rPr>
      </w:pPr>
      <w:r>
        <w:rPr>
          <w:rFonts w:ascii="Arial" w:hAnsi="Arial" w:cs="Arial"/>
          <w:sz w:val="20"/>
        </w:rPr>
        <w:t>explaining court processes and procedures;</w:t>
      </w:r>
    </w:p>
    <w:p w14:paraId="4161D012" w14:textId="5503489E" w:rsidR="00316730" w:rsidRDefault="00316730" w:rsidP="00C23CF0">
      <w:pPr>
        <w:pStyle w:val="ListParagraph"/>
        <w:numPr>
          <w:ilvl w:val="0"/>
          <w:numId w:val="20"/>
        </w:numPr>
        <w:ind w:left="357" w:hanging="357"/>
        <w:jc w:val="both"/>
        <w:rPr>
          <w:rFonts w:ascii="Arial" w:hAnsi="Arial" w:cs="Arial"/>
          <w:sz w:val="20"/>
        </w:rPr>
      </w:pPr>
      <w:r>
        <w:rPr>
          <w:rFonts w:ascii="Arial" w:hAnsi="Arial" w:cs="Arial"/>
          <w:sz w:val="20"/>
        </w:rPr>
        <w:t>explaining legal phrases or terms, rules and practices;</w:t>
      </w:r>
    </w:p>
    <w:p w14:paraId="7A05C03E" w14:textId="16F2559E" w:rsidR="00316730" w:rsidRDefault="00316730" w:rsidP="00C23CF0">
      <w:pPr>
        <w:pStyle w:val="ListParagraph"/>
        <w:numPr>
          <w:ilvl w:val="0"/>
          <w:numId w:val="20"/>
        </w:numPr>
        <w:ind w:left="357" w:hanging="357"/>
        <w:jc w:val="both"/>
        <w:rPr>
          <w:rFonts w:ascii="Arial" w:hAnsi="Arial" w:cs="Arial"/>
          <w:sz w:val="20"/>
        </w:rPr>
      </w:pPr>
      <w:r>
        <w:rPr>
          <w:rFonts w:ascii="Arial" w:hAnsi="Arial" w:cs="Arial"/>
          <w:sz w:val="20"/>
        </w:rPr>
        <w:t>giving information about how the Victorian court system works;</w:t>
      </w:r>
    </w:p>
    <w:p w14:paraId="69CB483E" w14:textId="626EAEBF" w:rsidR="00316730" w:rsidRDefault="00316730" w:rsidP="00C23CF0">
      <w:pPr>
        <w:pStyle w:val="ListParagraph"/>
        <w:numPr>
          <w:ilvl w:val="0"/>
          <w:numId w:val="20"/>
        </w:numPr>
        <w:ind w:left="357" w:hanging="357"/>
        <w:jc w:val="both"/>
        <w:rPr>
          <w:rFonts w:ascii="Arial" w:hAnsi="Arial" w:cs="Arial"/>
          <w:sz w:val="20"/>
        </w:rPr>
      </w:pPr>
      <w:r>
        <w:rPr>
          <w:rFonts w:ascii="Arial" w:hAnsi="Arial" w:cs="Arial"/>
          <w:sz w:val="20"/>
        </w:rPr>
        <w:t xml:space="preserve">providing general advice to </w:t>
      </w:r>
      <w:r w:rsidR="00DD1183">
        <w:rPr>
          <w:rFonts w:ascii="Arial" w:hAnsi="Arial" w:cs="Arial"/>
          <w:sz w:val="20"/>
        </w:rPr>
        <w:t xml:space="preserve">enable a person to </w:t>
      </w:r>
      <w:r>
        <w:rPr>
          <w:rFonts w:ascii="Arial" w:hAnsi="Arial" w:cs="Arial"/>
          <w:sz w:val="20"/>
        </w:rPr>
        <w:t>complete court forms;</w:t>
      </w:r>
    </w:p>
    <w:p w14:paraId="3E99942F" w14:textId="661FA47C" w:rsidR="00316730" w:rsidRPr="00316730" w:rsidRDefault="00316730" w:rsidP="00C23CF0">
      <w:pPr>
        <w:pStyle w:val="ListParagraph"/>
        <w:numPr>
          <w:ilvl w:val="0"/>
          <w:numId w:val="20"/>
        </w:numPr>
        <w:ind w:left="357" w:hanging="357"/>
        <w:jc w:val="both"/>
        <w:rPr>
          <w:rFonts w:ascii="Arial" w:hAnsi="Arial" w:cs="Arial"/>
          <w:sz w:val="20"/>
        </w:rPr>
      </w:pPr>
      <w:r>
        <w:rPr>
          <w:rFonts w:ascii="Arial" w:hAnsi="Arial" w:cs="Arial"/>
          <w:sz w:val="20"/>
        </w:rPr>
        <w:t>providing suggestions about other agencies that can give legal advice.</w:t>
      </w:r>
    </w:p>
    <w:p w14:paraId="2A697A5C" w14:textId="77777777" w:rsidR="00316730" w:rsidRPr="002643C7" w:rsidRDefault="00316730" w:rsidP="002643C7">
      <w:pPr>
        <w:jc w:val="both"/>
        <w:rPr>
          <w:rFonts w:ascii="Arial" w:hAnsi="Arial" w:cs="Arial"/>
          <w:sz w:val="20"/>
          <w:szCs w:val="20"/>
        </w:rPr>
      </w:pPr>
    </w:p>
    <w:p w14:paraId="5E59E7EE" w14:textId="70091519" w:rsidR="002643C7" w:rsidRDefault="002643C7" w:rsidP="002643C7">
      <w:pPr>
        <w:jc w:val="both"/>
        <w:rPr>
          <w:rFonts w:ascii="Arial" w:hAnsi="Arial" w:cs="Arial"/>
          <w:sz w:val="20"/>
        </w:rPr>
      </w:pPr>
      <w:r>
        <w:rPr>
          <w:rFonts w:ascii="Arial" w:hAnsi="Arial" w:cs="Arial"/>
          <w:sz w:val="20"/>
        </w:rPr>
        <w:t xml:space="preserve">A </w:t>
      </w:r>
      <w:r w:rsidRPr="002643C7">
        <w:rPr>
          <w:rFonts w:ascii="Arial" w:hAnsi="Arial" w:cs="Arial"/>
          <w:b/>
          <w:bCs/>
          <w:sz w:val="20"/>
        </w:rPr>
        <w:t>Court Support Coordinator</w:t>
      </w:r>
      <w:r>
        <w:rPr>
          <w:rFonts w:ascii="Arial" w:hAnsi="Arial" w:cs="Arial"/>
          <w:sz w:val="20"/>
        </w:rPr>
        <w:t xml:space="preserve"> [CSC] is a specialist court staff member who has a background in social work and is available to provide information and </w:t>
      </w:r>
      <w:r w:rsidR="00B90646">
        <w:rPr>
          <w:rFonts w:ascii="Arial" w:hAnsi="Arial" w:cs="Arial"/>
          <w:sz w:val="20"/>
        </w:rPr>
        <w:t xml:space="preserve">to </w:t>
      </w:r>
      <w:r>
        <w:rPr>
          <w:rFonts w:ascii="Arial" w:hAnsi="Arial" w:cs="Arial"/>
          <w:sz w:val="20"/>
        </w:rPr>
        <w:t xml:space="preserve">support court users whose cases are listed at Melbourne, Broadmeadows and Moorabbin Children’s Courts.  </w:t>
      </w:r>
      <w:r w:rsidR="00A43E83">
        <w:rPr>
          <w:rFonts w:ascii="Arial" w:hAnsi="Arial" w:cs="Arial"/>
          <w:sz w:val="20"/>
        </w:rPr>
        <w:t xml:space="preserve">A </w:t>
      </w:r>
      <w:r w:rsidR="00316730">
        <w:rPr>
          <w:rFonts w:ascii="Arial" w:hAnsi="Arial" w:cs="Arial"/>
          <w:sz w:val="20"/>
        </w:rPr>
        <w:t>CSC</w:t>
      </w:r>
      <w:r w:rsidR="00A43E83">
        <w:rPr>
          <w:rFonts w:ascii="Arial" w:hAnsi="Arial" w:cs="Arial"/>
          <w:sz w:val="20"/>
        </w:rPr>
        <w:t>’s role includes provision of</w:t>
      </w:r>
      <w:r w:rsidR="00ED7EFC">
        <w:rPr>
          <w:rFonts w:ascii="Arial" w:hAnsi="Arial" w:cs="Arial"/>
          <w:sz w:val="20"/>
        </w:rPr>
        <w:t>–</w:t>
      </w:r>
    </w:p>
    <w:p w14:paraId="3E1D490F" w14:textId="72076C6A" w:rsidR="00316730" w:rsidRDefault="00B90646" w:rsidP="00C23CF0">
      <w:pPr>
        <w:pStyle w:val="ListParagraph"/>
        <w:numPr>
          <w:ilvl w:val="0"/>
          <w:numId w:val="20"/>
        </w:numPr>
        <w:ind w:left="357" w:hanging="357"/>
        <w:jc w:val="both"/>
        <w:rPr>
          <w:rFonts w:ascii="Arial" w:hAnsi="Arial" w:cs="Arial"/>
          <w:sz w:val="20"/>
        </w:rPr>
      </w:pPr>
      <w:r>
        <w:rPr>
          <w:rFonts w:ascii="Arial" w:hAnsi="Arial" w:cs="Arial"/>
          <w:sz w:val="20"/>
        </w:rPr>
        <w:t>referrals to community support services</w:t>
      </w:r>
      <w:r w:rsidR="00010B30">
        <w:rPr>
          <w:rFonts w:ascii="Arial" w:hAnsi="Arial" w:cs="Arial"/>
          <w:sz w:val="20"/>
        </w:rPr>
        <w:t>, including drug and alcohol, housing, youth support and family violence</w:t>
      </w:r>
      <w:r w:rsidR="0031468B">
        <w:rPr>
          <w:rFonts w:ascii="Arial" w:hAnsi="Arial" w:cs="Arial"/>
          <w:sz w:val="20"/>
        </w:rPr>
        <w:t>;</w:t>
      </w:r>
    </w:p>
    <w:p w14:paraId="6D33F0B4" w14:textId="76B8816C" w:rsidR="00B90646" w:rsidRDefault="00B90646" w:rsidP="00C23CF0">
      <w:pPr>
        <w:pStyle w:val="ListParagraph"/>
        <w:numPr>
          <w:ilvl w:val="0"/>
          <w:numId w:val="20"/>
        </w:numPr>
        <w:ind w:left="357" w:hanging="357"/>
        <w:jc w:val="both"/>
        <w:rPr>
          <w:rFonts w:ascii="Arial" w:hAnsi="Arial" w:cs="Arial"/>
          <w:sz w:val="20"/>
        </w:rPr>
      </w:pPr>
      <w:r>
        <w:rPr>
          <w:rFonts w:ascii="Arial" w:hAnsi="Arial" w:cs="Arial"/>
          <w:sz w:val="20"/>
        </w:rPr>
        <w:t xml:space="preserve">information about court processes </w:t>
      </w:r>
      <w:r w:rsidR="00010B30">
        <w:rPr>
          <w:rFonts w:ascii="Arial" w:hAnsi="Arial" w:cs="Arial"/>
          <w:sz w:val="20"/>
        </w:rPr>
        <w:t xml:space="preserve">and procedures </w:t>
      </w:r>
      <w:r>
        <w:rPr>
          <w:rFonts w:ascii="Arial" w:hAnsi="Arial" w:cs="Arial"/>
          <w:sz w:val="20"/>
        </w:rPr>
        <w:t>to people who do not have legal representation;</w:t>
      </w:r>
    </w:p>
    <w:p w14:paraId="476CFD4F" w14:textId="77777777" w:rsidR="00ED7EFC" w:rsidRDefault="00010B30" w:rsidP="00C23CF0">
      <w:pPr>
        <w:pStyle w:val="ListParagraph"/>
        <w:numPr>
          <w:ilvl w:val="0"/>
          <w:numId w:val="20"/>
        </w:numPr>
        <w:ind w:left="357" w:hanging="357"/>
        <w:jc w:val="both"/>
        <w:rPr>
          <w:rFonts w:ascii="Arial" w:hAnsi="Arial" w:cs="Arial"/>
          <w:sz w:val="20"/>
        </w:rPr>
      </w:pPr>
      <w:r>
        <w:rPr>
          <w:rFonts w:ascii="Arial" w:hAnsi="Arial" w:cs="Arial"/>
          <w:sz w:val="20"/>
        </w:rPr>
        <w:t xml:space="preserve">physical and </w:t>
      </w:r>
      <w:r w:rsidR="00B90646">
        <w:rPr>
          <w:rFonts w:ascii="Arial" w:hAnsi="Arial" w:cs="Arial"/>
          <w:sz w:val="20"/>
        </w:rPr>
        <w:t xml:space="preserve">emotional support to people who are </w:t>
      </w:r>
      <w:r w:rsidR="00ED7EFC">
        <w:rPr>
          <w:rFonts w:ascii="Arial" w:hAnsi="Arial" w:cs="Arial"/>
          <w:sz w:val="20"/>
        </w:rPr>
        <w:t>distressed</w:t>
      </w:r>
      <w:r w:rsidR="00B90646">
        <w:rPr>
          <w:rFonts w:ascii="Arial" w:hAnsi="Arial" w:cs="Arial"/>
          <w:sz w:val="20"/>
        </w:rPr>
        <w:t xml:space="preserve"> or seeking help</w:t>
      </w:r>
      <w:r w:rsidR="00ED7EFC">
        <w:rPr>
          <w:rFonts w:ascii="Arial" w:hAnsi="Arial" w:cs="Arial"/>
          <w:sz w:val="20"/>
        </w:rPr>
        <w:t>;</w:t>
      </w:r>
    </w:p>
    <w:p w14:paraId="3E19FC48" w14:textId="134EA5C1" w:rsidR="00B90646" w:rsidRDefault="00ED7EFC" w:rsidP="00C23CF0">
      <w:pPr>
        <w:pStyle w:val="ListParagraph"/>
        <w:numPr>
          <w:ilvl w:val="0"/>
          <w:numId w:val="20"/>
        </w:numPr>
        <w:ind w:left="357" w:hanging="357"/>
        <w:jc w:val="both"/>
        <w:rPr>
          <w:rFonts w:ascii="Arial" w:hAnsi="Arial" w:cs="Arial"/>
          <w:sz w:val="20"/>
        </w:rPr>
      </w:pPr>
      <w:r>
        <w:rPr>
          <w:rFonts w:ascii="Arial" w:hAnsi="Arial" w:cs="Arial"/>
          <w:sz w:val="20"/>
        </w:rPr>
        <w:t>assistance to join online hearings and support during hearings</w:t>
      </w:r>
      <w:r w:rsidR="00B90646">
        <w:rPr>
          <w:rFonts w:ascii="Arial" w:hAnsi="Arial" w:cs="Arial"/>
          <w:sz w:val="20"/>
        </w:rPr>
        <w:t>.</w:t>
      </w:r>
    </w:p>
    <w:p w14:paraId="1CEAB729" w14:textId="77777777" w:rsidR="00010B30" w:rsidRPr="0006258E" w:rsidRDefault="00010B30" w:rsidP="00ED7EFC">
      <w:pPr>
        <w:spacing w:before="120"/>
        <w:jc w:val="both"/>
        <w:rPr>
          <w:rFonts w:ascii="Arial" w:hAnsi="Arial" w:cs="Arial"/>
          <w:sz w:val="20"/>
        </w:rPr>
      </w:pPr>
      <w:r>
        <w:rPr>
          <w:rFonts w:ascii="Arial" w:hAnsi="Arial" w:cs="Arial"/>
          <w:sz w:val="20"/>
        </w:rPr>
        <w:t>In the 2022/23 financial year CSPs provided support to over 1,844 court users, including 1,292 self-represented parties.</w:t>
      </w:r>
    </w:p>
    <w:p w14:paraId="27606D1A" w14:textId="77777777" w:rsidR="00010B30" w:rsidRDefault="00010B30" w:rsidP="002643C7">
      <w:pPr>
        <w:jc w:val="both"/>
        <w:rPr>
          <w:rFonts w:ascii="Arial" w:hAnsi="Arial" w:cs="Arial"/>
          <w:sz w:val="20"/>
        </w:rPr>
      </w:pPr>
    </w:p>
    <w:p w14:paraId="08BEA8A6" w14:textId="77A3EC58" w:rsidR="00A43E83" w:rsidRDefault="00A43E83" w:rsidP="002643C7">
      <w:pPr>
        <w:jc w:val="both"/>
        <w:rPr>
          <w:rFonts w:ascii="Arial" w:hAnsi="Arial" w:cs="Arial"/>
          <w:sz w:val="20"/>
        </w:rPr>
      </w:pPr>
      <w:r>
        <w:rPr>
          <w:rFonts w:ascii="Arial" w:hAnsi="Arial" w:cs="Arial"/>
          <w:sz w:val="20"/>
        </w:rPr>
        <w:t xml:space="preserve">A </w:t>
      </w:r>
      <w:r w:rsidR="0031468B" w:rsidRPr="0031468B">
        <w:rPr>
          <w:rFonts w:ascii="Arial" w:hAnsi="Arial" w:cs="Arial"/>
          <w:b/>
          <w:bCs/>
          <w:sz w:val="20"/>
        </w:rPr>
        <w:t>Family Violence Practitioner</w:t>
      </w:r>
      <w:r w:rsidR="0031468B">
        <w:rPr>
          <w:rFonts w:ascii="Arial" w:hAnsi="Arial" w:cs="Arial"/>
          <w:sz w:val="20"/>
        </w:rPr>
        <w:t xml:space="preserve"> [FVP] is a specialist court staff member who provides support and assistance to persons attending the Melbourne Children’s Court for proceedings related to family violence.  If a person is attending the court either as a result of experiencing or using violence, the FVP can assist the person</w:t>
      </w:r>
      <w:r w:rsidR="00055BA8">
        <w:rPr>
          <w:rFonts w:ascii="Arial" w:hAnsi="Arial" w:cs="Arial"/>
          <w:sz w:val="20"/>
        </w:rPr>
        <w:t>–</w:t>
      </w:r>
    </w:p>
    <w:p w14:paraId="51FE243F" w14:textId="5C4F702C" w:rsidR="0031468B" w:rsidRDefault="0031468B" w:rsidP="00C23CF0">
      <w:pPr>
        <w:pStyle w:val="ListParagraph"/>
        <w:numPr>
          <w:ilvl w:val="0"/>
          <w:numId w:val="20"/>
        </w:numPr>
        <w:ind w:left="357" w:hanging="357"/>
        <w:jc w:val="both"/>
        <w:rPr>
          <w:rFonts w:ascii="Arial" w:hAnsi="Arial" w:cs="Arial"/>
          <w:sz w:val="20"/>
        </w:rPr>
      </w:pPr>
      <w:r>
        <w:rPr>
          <w:rFonts w:ascii="Arial" w:hAnsi="Arial" w:cs="Arial"/>
          <w:sz w:val="20"/>
        </w:rPr>
        <w:t>to understand the court process including what will happen at the court hearing and the different types of orders that can be made;</w:t>
      </w:r>
    </w:p>
    <w:p w14:paraId="6E8F275E" w14:textId="04DEF6D9" w:rsidR="0031468B" w:rsidRDefault="0031468B" w:rsidP="00C23CF0">
      <w:pPr>
        <w:pStyle w:val="ListParagraph"/>
        <w:numPr>
          <w:ilvl w:val="0"/>
          <w:numId w:val="20"/>
        </w:numPr>
        <w:ind w:left="357" w:hanging="357"/>
        <w:jc w:val="both"/>
        <w:rPr>
          <w:rFonts w:ascii="Arial" w:hAnsi="Arial" w:cs="Arial"/>
          <w:sz w:val="20"/>
        </w:rPr>
      </w:pPr>
      <w:r>
        <w:rPr>
          <w:rFonts w:ascii="Arial" w:hAnsi="Arial" w:cs="Arial"/>
          <w:sz w:val="20"/>
        </w:rPr>
        <w:t>to prepare a plan to keep the person safe at home and in and around the court buildings;</w:t>
      </w:r>
    </w:p>
    <w:p w14:paraId="1DC1743C" w14:textId="5310D179" w:rsidR="0031468B" w:rsidRDefault="0031468B" w:rsidP="00C23CF0">
      <w:pPr>
        <w:pStyle w:val="ListParagraph"/>
        <w:numPr>
          <w:ilvl w:val="0"/>
          <w:numId w:val="20"/>
        </w:numPr>
        <w:ind w:left="357" w:hanging="357"/>
        <w:jc w:val="both"/>
        <w:rPr>
          <w:rFonts w:ascii="Arial" w:hAnsi="Arial" w:cs="Arial"/>
          <w:sz w:val="20"/>
        </w:rPr>
      </w:pPr>
      <w:r>
        <w:rPr>
          <w:rFonts w:ascii="Arial" w:hAnsi="Arial" w:cs="Arial"/>
          <w:sz w:val="20"/>
        </w:rPr>
        <w:t>to access available services in the community, including education, employment, crisis accommodation, counselling and wellbeing services;</w:t>
      </w:r>
    </w:p>
    <w:p w14:paraId="2194D221" w14:textId="65646874" w:rsidR="0031468B" w:rsidRDefault="0031468B" w:rsidP="00C23CF0">
      <w:pPr>
        <w:pStyle w:val="ListParagraph"/>
        <w:numPr>
          <w:ilvl w:val="0"/>
          <w:numId w:val="20"/>
        </w:numPr>
        <w:ind w:left="357" w:hanging="357"/>
        <w:jc w:val="both"/>
        <w:rPr>
          <w:rFonts w:ascii="Arial" w:hAnsi="Arial" w:cs="Arial"/>
          <w:sz w:val="20"/>
        </w:rPr>
      </w:pPr>
      <w:r>
        <w:rPr>
          <w:rFonts w:ascii="Arial" w:hAnsi="Arial" w:cs="Arial"/>
          <w:sz w:val="20"/>
        </w:rPr>
        <w:t>to access available services and programs in the community to stop using family violence.</w:t>
      </w:r>
    </w:p>
    <w:p w14:paraId="654DF588" w14:textId="6733367E" w:rsidR="0031468B" w:rsidRPr="0031468B" w:rsidRDefault="0031468B" w:rsidP="0031468B">
      <w:pPr>
        <w:jc w:val="both"/>
        <w:rPr>
          <w:rFonts w:ascii="Arial" w:hAnsi="Arial" w:cs="Arial"/>
          <w:sz w:val="20"/>
        </w:rPr>
      </w:pPr>
      <w:r>
        <w:rPr>
          <w:rFonts w:ascii="Arial" w:hAnsi="Arial" w:cs="Arial"/>
          <w:sz w:val="20"/>
        </w:rPr>
        <w:t xml:space="preserve">However, the FVP is not able to provide mental health assessments, financial support or legal advice </w:t>
      </w:r>
      <w:r w:rsidR="008D75A3">
        <w:rPr>
          <w:rFonts w:ascii="Arial" w:hAnsi="Arial" w:cs="Arial"/>
          <w:sz w:val="20"/>
        </w:rPr>
        <w:t>and is unable</w:t>
      </w:r>
      <w:r>
        <w:rPr>
          <w:rFonts w:ascii="Arial" w:hAnsi="Arial" w:cs="Arial"/>
          <w:sz w:val="20"/>
        </w:rPr>
        <w:t xml:space="preserve"> to negotiate matters with other parties.</w:t>
      </w:r>
    </w:p>
    <w:p w14:paraId="64E6B20F" w14:textId="22C99534" w:rsidR="0031468B" w:rsidRDefault="0031468B" w:rsidP="002643C7">
      <w:pPr>
        <w:jc w:val="both"/>
        <w:rPr>
          <w:rFonts w:ascii="Arial" w:hAnsi="Arial" w:cs="Arial"/>
          <w:sz w:val="20"/>
        </w:rPr>
      </w:pPr>
    </w:p>
    <w:p w14:paraId="4313E3D7" w14:textId="12252210" w:rsidR="00277B85" w:rsidRDefault="00277B85" w:rsidP="002643C7">
      <w:pPr>
        <w:jc w:val="both"/>
        <w:rPr>
          <w:rFonts w:ascii="Arial" w:hAnsi="Arial" w:cs="Arial"/>
          <w:sz w:val="20"/>
        </w:rPr>
      </w:pPr>
      <w:r>
        <w:rPr>
          <w:rFonts w:ascii="Arial" w:hAnsi="Arial" w:cs="Arial"/>
          <w:sz w:val="20"/>
        </w:rPr>
        <w:t xml:space="preserve">A number of </w:t>
      </w:r>
      <w:r w:rsidR="002643C7">
        <w:rPr>
          <w:rFonts w:ascii="Arial" w:hAnsi="Arial" w:cs="Arial"/>
          <w:sz w:val="20"/>
        </w:rPr>
        <w:t xml:space="preserve">other </w:t>
      </w:r>
      <w:r>
        <w:rPr>
          <w:rFonts w:ascii="Arial" w:hAnsi="Arial" w:cs="Arial"/>
          <w:sz w:val="20"/>
        </w:rPr>
        <w:t>organisations provide services for and</w:t>
      </w:r>
      <w:r w:rsidR="009E5C51">
        <w:rPr>
          <w:rFonts w:ascii="Arial" w:hAnsi="Arial" w:cs="Arial"/>
          <w:sz w:val="20"/>
        </w:rPr>
        <w:t>/or</w:t>
      </w:r>
      <w:r>
        <w:rPr>
          <w:rFonts w:ascii="Arial" w:hAnsi="Arial" w:cs="Arial"/>
          <w:sz w:val="20"/>
        </w:rPr>
        <w:t xml:space="preserve"> at the Children's Court.  These include the following:</w:t>
      </w:r>
    </w:p>
    <w:p w14:paraId="6D187862" w14:textId="77777777" w:rsidR="00277B85" w:rsidRDefault="00277B85">
      <w:pPr>
        <w:jc w:val="both"/>
        <w:rPr>
          <w:rFonts w:ascii="Arial" w:hAnsi="Arial" w:cs="Arial"/>
          <w:sz w:val="20"/>
        </w:rPr>
      </w:pPr>
    </w:p>
    <w:p w14:paraId="5ECF3A2A" w14:textId="77777777" w:rsidR="00277B85" w:rsidRDefault="00277B85" w:rsidP="00CD02A3">
      <w:pPr>
        <w:pStyle w:val="Heading3"/>
        <w:keepNext/>
        <w:keepLines/>
        <w:widowControl/>
        <w:spacing w:after="120" w:line="240" w:lineRule="auto"/>
        <w:rPr>
          <w:rFonts w:ascii="Arial" w:hAnsi="Arial" w:cs="Arial"/>
          <w:b/>
          <w:bCs/>
          <w:sz w:val="20"/>
        </w:rPr>
      </w:pPr>
      <w:bookmarkStart w:id="630" w:name="_2.10.1_Youth_Justice"/>
      <w:bookmarkStart w:id="631" w:name="_Toc30656957"/>
      <w:bookmarkStart w:id="632" w:name="_Toc30661706"/>
      <w:bookmarkStart w:id="633" w:name="_Toc30666394"/>
      <w:bookmarkStart w:id="634" w:name="_Toc30666624"/>
      <w:bookmarkStart w:id="635" w:name="_Toc30667799"/>
      <w:bookmarkStart w:id="636" w:name="_Toc30669177"/>
      <w:bookmarkStart w:id="637" w:name="_Toc30671393"/>
      <w:bookmarkStart w:id="638" w:name="_Toc30673920"/>
      <w:bookmarkStart w:id="639" w:name="_Toc30691142"/>
      <w:bookmarkStart w:id="640" w:name="_Toc30691513"/>
      <w:bookmarkStart w:id="641" w:name="_Toc30691893"/>
      <w:bookmarkStart w:id="642" w:name="_Toc30692652"/>
      <w:bookmarkStart w:id="643" w:name="_Toc30693031"/>
      <w:bookmarkStart w:id="644" w:name="_Toc30693409"/>
      <w:bookmarkStart w:id="645" w:name="_Toc30693788"/>
      <w:bookmarkStart w:id="646" w:name="_Toc30694169"/>
      <w:bookmarkStart w:id="647" w:name="_Toc30698758"/>
      <w:bookmarkStart w:id="648" w:name="_Toc30699136"/>
      <w:bookmarkStart w:id="649" w:name="_Toc30699521"/>
      <w:bookmarkStart w:id="650" w:name="_Toc30700676"/>
      <w:bookmarkStart w:id="651" w:name="_Toc30701063"/>
      <w:bookmarkStart w:id="652" w:name="_Toc30743672"/>
      <w:bookmarkStart w:id="653" w:name="_Toc30754495"/>
      <w:bookmarkStart w:id="654" w:name="_Toc30756935"/>
      <w:bookmarkStart w:id="655" w:name="_Toc30757484"/>
      <w:bookmarkStart w:id="656" w:name="_Toc30757884"/>
      <w:bookmarkStart w:id="657" w:name="_Toc30762645"/>
      <w:bookmarkStart w:id="658" w:name="_Toc30767299"/>
      <w:bookmarkStart w:id="659" w:name="_Toc34823324"/>
      <w:bookmarkStart w:id="660" w:name="_Toc30608799"/>
      <w:bookmarkStart w:id="661" w:name="_Toc30610013"/>
      <w:bookmarkStart w:id="662" w:name="_Toc30610256"/>
      <w:bookmarkStart w:id="663" w:name="_Toc30638410"/>
      <w:bookmarkStart w:id="664" w:name="_Toc30644219"/>
      <w:bookmarkStart w:id="665" w:name="_Toc30644622"/>
      <w:bookmarkStart w:id="666" w:name="_Toc30645172"/>
      <w:bookmarkStart w:id="667" w:name="_Toc30646376"/>
      <w:bookmarkStart w:id="668" w:name="_Toc30646671"/>
      <w:bookmarkStart w:id="669" w:name="_Toc30646781"/>
      <w:bookmarkStart w:id="670" w:name="_Toc30648138"/>
      <w:bookmarkStart w:id="671" w:name="_Toc30649036"/>
      <w:bookmarkStart w:id="672" w:name="_Toc30649112"/>
      <w:bookmarkStart w:id="673" w:name="_Toc30649373"/>
      <w:bookmarkStart w:id="674" w:name="_Toc30649693"/>
      <w:bookmarkStart w:id="675" w:name="_Toc30651627"/>
      <w:bookmarkStart w:id="676" w:name="_Toc30652611"/>
      <w:bookmarkStart w:id="677" w:name="_Toc30652709"/>
      <w:bookmarkStart w:id="678" w:name="_Toc30654054"/>
      <w:bookmarkStart w:id="679" w:name="_Toc30654405"/>
      <w:bookmarkStart w:id="680" w:name="_Toc30655024"/>
      <w:bookmarkStart w:id="681" w:name="_Toc30655281"/>
      <w:bookmarkEnd w:id="630"/>
      <w:r>
        <w:rPr>
          <w:rFonts w:ascii="Arial" w:hAnsi="Arial" w:cs="Arial"/>
          <w:b/>
          <w:bCs/>
          <w:sz w:val="20"/>
        </w:rPr>
        <w:t>2.10.1</w:t>
      </w:r>
      <w:r>
        <w:rPr>
          <w:rFonts w:ascii="Arial" w:hAnsi="Arial" w:cs="Arial"/>
          <w:b/>
          <w:bCs/>
          <w:sz w:val="20"/>
        </w:rPr>
        <w:tab/>
      </w:r>
      <w:r w:rsidR="00192C85">
        <w:rPr>
          <w:rFonts w:ascii="Arial" w:hAnsi="Arial" w:cs="Arial"/>
          <w:b/>
          <w:bCs/>
          <w:sz w:val="20"/>
        </w:rPr>
        <w:t>Youth</w:t>
      </w:r>
      <w:r>
        <w:rPr>
          <w:rFonts w:ascii="Arial" w:hAnsi="Arial" w:cs="Arial"/>
          <w:b/>
          <w:bCs/>
          <w:sz w:val="20"/>
        </w:rPr>
        <w:t xml:space="preserve"> Justice</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14:paraId="4EF7531F" w14:textId="51CEC57D" w:rsidR="00CA279A" w:rsidRDefault="00277B85" w:rsidP="00CD1893">
      <w:pPr>
        <w:jc w:val="both"/>
        <w:rPr>
          <w:rFonts w:ascii="Arial" w:hAnsi="Arial" w:cs="Arial"/>
          <w:sz w:val="20"/>
        </w:rPr>
      </w:pPr>
      <w:bookmarkStart w:id="682" w:name="_Toc30698759"/>
      <w:bookmarkStart w:id="683" w:name="_Toc30699137"/>
      <w:bookmarkStart w:id="684" w:name="_Toc30699522"/>
      <w:bookmarkStart w:id="685" w:name="_Toc30700677"/>
      <w:bookmarkStart w:id="686" w:name="_Toc30701064"/>
      <w:bookmarkStart w:id="687" w:name="_Toc30743673"/>
      <w:r>
        <w:rPr>
          <w:rFonts w:ascii="Arial" w:hAnsi="Arial" w:cs="Arial"/>
          <w:sz w:val="20"/>
        </w:rPr>
        <w:t xml:space="preserve">At Melbourne Children's Court and at many other Children's Courts the </w:t>
      </w:r>
      <w:r w:rsidR="00192C85">
        <w:rPr>
          <w:rFonts w:ascii="Arial" w:hAnsi="Arial" w:cs="Arial"/>
          <w:sz w:val="20"/>
        </w:rPr>
        <w:t>Youth</w:t>
      </w:r>
      <w:r>
        <w:rPr>
          <w:rFonts w:ascii="Arial" w:hAnsi="Arial" w:cs="Arial"/>
          <w:sz w:val="20"/>
        </w:rPr>
        <w:t xml:space="preserve"> Justice Division of the Department of </w:t>
      </w:r>
      <w:bookmarkEnd w:id="682"/>
      <w:bookmarkEnd w:id="683"/>
      <w:bookmarkEnd w:id="684"/>
      <w:bookmarkEnd w:id="685"/>
      <w:bookmarkEnd w:id="686"/>
      <w:r w:rsidR="0099637C">
        <w:rPr>
          <w:rFonts w:ascii="Arial" w:hAnsi="Arial" w:cs="Arial"/>
          <w:sz w:val="20"/>
        </w:rPr>
        <w:t>Justice and Community Safety</w:t>
      </w:r>
      <w:r w:rsidR="00192C85">
        <w:rPr>
          <w:rFonts w:ascii="Arial" w:hAnsi="Arial" w:cs="Arial"/>
          <w:sz w:val="20"/>
        </w:rPr>
        <w:t xml:space="preserve"> has </w:t>
      </w:r>
      <w:r>
        <w:rPr>
          <w:rFonts w:ascii="Arial" w:hAnsi="Arial" w:cs="Arial"/>
          <w:sz w:val="20"/>
        </w:rPr>
        <w:t>officer</w:t>
      </w:r>
      <w:r w:rsidR="00192C85">
        <w:rPr>
          <w:rFonts w:ascii="Arial" w:hAnsi="Arial" w:cs="Arial"/>
          <w:sz w:val="20"/>
        </w:rPr>
        <w:t>s</w:t>
      </w:r>
      <w:r>
        <w:rPr>
          <w:rFonts w:ascii="Arial" w:hAnsi="Arial" w:cs="Arial"/>
          <w:sz w:val="20"/>
        </w:rPr>
        <w:t xml:space="preserve"> in attendance </w:t>
      </w:r>
      <w:r w:rsidR="00192C85">
        <w:rPr>
          <w:rFonts w:ascii="Arial" w:hAnsi="Arial" w:cs="Arial"/>
          <w:sz w:val="20"/>
        </w:rPr>
        <w:t xml:space="preserve">on each court sitting day </w:t>
      </w:r>
      <w:r>
        <w:rPr>
          <w:rFonts w:ascii="Arial" w:hAnsi="Arial" w:cs="Arial"/>
          <w:sz w:val="20"/>
        </w:rPr>
        <w:t>to provide support</w:t>
      </w:r>
      <w:r w:rsidR="00A65E0E">
        <w:rPr>
          <w:rFonts w:ascii="Arial" w:hAnsi="Arial" w:cs="Arial"/>
          <w:sz w:val="20"/>
        </w:rPr>
        <w:t>, advice a</w:t>
      </w:r>
      <w:r>
        <w:rPr>
          <w:rFonts w:ascii="Arial" w:hAnsi="Arial" w:cs="Arial"/>
          <w:sz w:val="20"/>
        </w:rPr>
        <w:t xml:space="preserve">nd practical assistance (which may include assistance in arranging accommodation) for young </w:t>
      </w:r>
      <w:r w:rsidR="00192C85">
        <w:rPr>
          <w:rFonts w:ascii="Arial" w:hAnsi="Arial" w:cs="Arial"/>
          <w:sz w:val="20"/>
        </w:rPr>
        <w:t>accused</w:t>
      </w:r>
      <w:r>
        <w:rPr>
          <w:rFonts w:ascii="Arial" w:hAnsi="Arial" w:cs="Arial"/>
          <w:sz w:val="20"/>
        </w:rPr>
        <w:t xml:space="preserve"> attending or brought before the Court.  The officer</w:t>
      </w:r>
      <w:r w:rsidR="00ED088F">
        <w:rPr>
          <w:rFonts w:ascii="Arial" w:hAnsi="Arial" w:cs="Arial"/>
          <w:sz w:val="20"/>
        </w:rPr>
        <w:t>s</w:t>
      </w:r>
      <w:r>
        <w:rPr>
          <w:rFonts w:ascii="Arial" w:hAnsi="Arial" w:cs="Arial"/>
          <w:sz w:val="20"/>
        </w:rPr>
        <w:t xml:space="preserve"> also coordinate arrangements between regional offices of the Department and young persons who have been placed on supervisory sentencing orders by the Court or in respect of whom a deferral of sentence has been ordered</w:t>
      </w:r>
      <w:bookmarkEnd w:id="687"/>
      <w:r w:rsidR="00ED088F">
        <w:rPr>
          <w:rFonts w:ascii="Arial" w:hAnsi="Arial" w:cs="Arial"/>
          <w:sz w:val="20"/>
        </w:rPr>
        <w:t xml:space="preserve">.  Youth Justice </w:t>
      </w:r>
      <w:r w:rsidR="00893262">
        <w:rPr>
          <w:rFonts w:ascii="Arial" w:hAnsi="Arial" w:cs="Arial"/>
          <w:sz w:val="20"/>
        </w:rPr>
        <w:t xml:space="preserve">officers are </w:t>
      </w:r>
      <w:r w:rsidR="00ED088F">
        <w:rPr>
          <w:rFonts w:ascii="Arial" w:hAnsi="Arial" w:cs="Arial"/>
          <w:sz w:val="20"/>
        </w:rPr>
        <w:t xml:space="preserve">also </w:t>
      </w:r>
      <w:r w:rsidR="00893262">
        <w:rPr>
          <w:rFonts w:ascii="Arial" w:hAnsi="Arial" w:cs="Arial"/>
          <w:sz w:val="20"/>
        </w:rPr>
        <w:t xml:space="preserve">involved in the </w:t>
      </w:r>
      <w:r w:rsidR="00ED088F">
        <w:rPr>
          <w:rFonts w:ascii="Arial" w:hAnsi="Arial" w:cs="Arial"/>
          <w:sz w:val="20"/>
        </w:rPr>
        <w:t>diversion</w:t>
      </w:r>
      <w:r w:rsidR="00384A15">
        <w:rPr>
          <w:rFonts w:ascii="Arial" w:hAnsi="Arial" w:cs="Arial"/>
          <w:sz w:val="20"/>
        </w:rPr>
        <w:t xml:space="preserve"> process</w:t>
      </w:r>
      <w:r w:rsidR="00ED088F">
        <w:rPr>
          <w:rFonts w:ascii="Arial" w:hAnsi="Arial" w:cs="Arial"/>
          <w:sz w:val="20"/>
        </w:rPr>
        <w:t>.</w:t>
      </w:r>
      <w:r w:rsidR="00CA279A">
        <w:rPr>
          <w:rFonts w:ascii="Arial" w:hAnsi="Arial" w:cs="Arial"/>
          <w:sz w:val="20"/>
        </w:rPr>
        <w:t xml:space="preserve">  There is also a dedicated diversion officer – entitled </w:t>
      </w:r>
      <w:r w:rsidR="00E678BA">
        <w:rPr>
          <w:rFonts w:ascii="Arial" w:hAnsi="Arial" w:cs="Arial"/>
          <w:sz w:val="20"/>
        </w:rPr>
        <w:t>Children’s Court Youth Diversion Coordinator</w:t>
      </w:r>
      <w:r w:rsidR="00CA279A">
        <w:rPr>
          <w:rFonts w:ascii="Arial" w:hAnsi="Arial" w:cs="Arial"/>
          <w:sz w:val="20"/>
        </w:rPr>
        <w:t xml:space="preserve"> </w:t>
      </w:r>
      <w:r w:rsidR="00E678BA">
        <w:rPr>
          <w:rFonts w:ascii="Arial" w:hAnsi="Arial" w:cs="Arial"/>
          <w:sz w:val="20"/>
        </w:rPr>
        <w:t>–</w:t>
      </w:r>
      <w:r w:rsidR="00CA279A">
        <w:rPr>
          <w:rFonts w:ascii="Arial" w:hAnsi="Arial" w:cs="Arial"/>
          <w:sz w:val="20"/>
        </w:rPr>
        <w:t xml:space="preserve"> present</w:t>
      </w:r>
      <w:r w:rsidR="00E678BA">
        <w:rPr>
          <w:rFonts w:ascii="Arial" w:hAnsi="Arial" w:cs="Arial"/>
          <w:sz w:val="20"/>
        </w:rPr>
        <w:t xml:space="preserve"> </w:t>
      </w:r>
      <w:r w:rsidR="00CA279A">
        <w:rPr>
          <w:rFonts w:ascii="Arial" w:hAnsi="Arial" w:cs="Arial"/>
          <w:sz w:val="20"/>
        </w:rPr>
        <w:t xml:space="preserve">at each Children’s </w:t>
      </w:r>
      <w:r w:rsidR="00CA279A">
        <w:rPr>
          <w:rFonts w:ascii="Arial" w:hAnsi="Arial" w:cs="Arial"/>
          <w:sz w:val="20"/>
        </w:rPr>
        <w:lastRenderedPageBreak/>
        <w:t xml:space="preserve">Court Criminal Division sitting.  The role of the diversion officer is to undertake diversion assessments and make recommendations to the presiding judicial officer in relation to </w:t>
      </w:r>
      <w:r w:rsidR="00CB0D71">
        <w:rPr>
          <w:rFonts w:ascii="Arial" w:hAnsi="Arial" w:cs="Arial"/>
          <w:sz w:val="20"/>
        </w:rPr>
        <w:t xml:space="preserve">individual </w:t>
      </w:r>
      <w:r w:rsidR="00CA279A">
        <w:rPr>
          <w:rFonts w:ascii="Arial" w:hAnsi="Arial" w:cs="Arial"/>
          <w:sz w:val="20"/>
        </w:rPr>
        <w:t>diversion plan</w:t>
      </w:r>
      <w:r w:rsidR="00CB0D71">
        <w:rPr>
          <w:rFonts w:ascii="Arial" w:hAnsi="Arial" w:cs="Arial"/>
          <w:sz w:val="20"/>
        </w:rPr>
        <w:t>s</w:t>
      </w:r>
      <w:r w:rsidR="00CA279A">
        <w:rPr>
          <w:rFonts w:ascii="Arial" w:hAnsi="Arial" w:cs="Arial"/>
          <w:sz w:val="20"/>
        </w:rPr>
        <w:t>.</w:t>
      </w:r>
    </w:p>
    <w:p w14:paraId="013C9B64" w14:textId="77777777" w:rsidR="00CA279A" w:rsidRDefault="00CA279A">
      <w:pPr>
        <w:pStyle w:val="Heading3"/>
        <w:spacing w:line="240" w:lineRule="auto"/>
        <w:rPr>
          <w:rFonts w:ascii="Arial" w:hAnsi="Arial" w:cs="Arial"/>
          <w:sz w:val="20"/>
        </w:rPr>
      </w:pPr>
    </w:p>
    <w:p w14:paraId="0D21F79D" w14:textId="77777777" w:rsidR="00F05325" w:rsidRDefault="00F05325" w:rsidP="003F2A6C">
      <w:pPr>
        <w:pStyle w:val="Heading3"/>
        <w:widowControl/>
        <w:spacing w:after="120" w:line="240" w:lineRule="auto"/>
        <w:rPr>
          <w:rFonts w:ascii="Arial" w:hAnsi="Arial" w:cs="Arial"/>
          <w:b/>
          <w:bCs/>
        </w:rPr>
      </w:pPr>
      <w:bookmarkStart w:id="688" w:name="_2.10.2_Salvation_Army"/>
      <w:bookmarkStart w:id="689" w:name="_2.10.3_Court_Network"/>
      <w:bookmarkStart w:id="690" w:name="_2.10.2_Child_Witness"/>
      <w:bookmarkStart w:id="691" w:name="_Toc30608800"/>
      <w:bookmarkStart w:id="692" w:name="_Toc30610014"/>
      <w:bookmarkStart w:id="693" w:name="_Toc30610257"/>
      <w:bookmarkStart w:id="694" w:name="_Toc30638411"/>
      <w:bookmarkStart w:id="695" w:name="_Toc30644220"/>
      <w:bookmarkStart w:id="696" w:name="_Toc30644623"/>
      <w:bookmarkStart w:id="697" w:name="_Toc30645173"/>
      <w:bookmarkStart w:id="698" w:name="_Toc30646377"/>
      <w:bookmarkStart w:id="699" w:name="_Toc30646672"/>
      <w:bookmarkStart w:id="700" w:name="_Toc30646782"/>
      <w:bookmarkStart w:id="701" w:name="_Toc30648139"/>
      <w:bookmarkStart w:id="702" w:name="_Toc30649037"/>
      <w:bookmarkStart w:id="703" w:name="_Toc30649113"/>
      <w:bookmarkStart w:id="704" w:name="_Toc30649374"/>
      <w:bookmarkStart w:id="705" w:name="_Toc30649694"/>
      <w:bookmarkStart w:id="706" w:name="_Toc30651628"/>
      <w:bookmarkStart w:id="707" w:name="_Toc30652612"/>
      <w:bookmarkStart w:id="708" w:name="_Toc30652710"/>
      <w:bookmarkStart w:id="709" w:name="_Toc30654055"/>
      <w:bookmarkStart w:id="710" w:name="_Toc30654406"/>
      <w:bookmarkStart w:id="711" w:name="_Toc30655025"/>
      <w:bookmarkStart w:id="712" w:name="_Toc30655282"/>
      <w:bookmarkStart w:id="713" w:name="_Toc30656960"/>
      <w:bookmarkStart w:id="714" w:name="_Toc30661709"/>
      <w:bookmarkStart w:id="715" w:name="_Toc30666397"/>
      <w:bookmarkStart w:id="716" w:name="_Toc30666627"/>
      <w:bookmarkStart w:id="717" w:name="_Toc30667802"/>
      <w:bookmarkStart w:id="718" w:name="_Toc30669180"/>
      <w:bookmarkStart w:id="719" w:name="_Toc30671396"/>
      <w:bookmarkStart w:id="720" w:name="_Toc30673923"/>
      <w:bookmarkStart w:id="721" w:name="_Toc30691145"/>
      <w:bookmarkStart w:id="722" w:name="_Toc30691516"/>
      <w:bookmarkStart w:id="723" w:name="_Toc30691896"/>
      <w:bookmarkStart w:id="724" w:name="_Toc30692655"/>
      <w:bookmarkStart w:id="725" w:name="_Toc30693034"/>
      <w:bookmarkStart w:id="726" w:name="_Toc30693412"/>
      <w:bookmarkStart w:id="727" w:name="_Toc30693791"/>
      <w:bookmarkStart w:id="728" w:name="_Toc30694172"/>
      <w:bookmarkStart w:id="729" w:name="_Toc30698761"/>
      <w:bookmarkStart w:id="730" w:name="_Toc30699139"/>
      <w:bookmarkStart w:id="731" w:name="_Toc30699524"/>
      <w:bookmarkStart w:id="732" w:name="_Toc30700679"/>
      <w:bookmarkStart w:id="733" w:name="_Toc30701066"/>
      <w:bookmarkStart w:id="734" w:name="_Toc30743675"/>
      <w:bookmarkStart w:id="735" w:name="_Toc30754497"/>
      <w:bookmarkStart w:id="736" w:name="_Toc30756937"/>
      <w:bookmarkStart w:id="737" w:name="_Toc30757486"/>
      <w:bookmarkStart w:id="738" w:name="_Toc30757886"/>
      <w:bookmarkStart w:id="739" w:name="_Toc30762647"/>
      <w:bookmarkStart w:id="740" w:name="_Toc30767301"/>
      <w:bookmarkStart w:id="741" w:name="_Toc34823326"/>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8"/>
      <w:bookmarkEnd w:id="689"/>
      <w:bookmarkEnd w:id="690"/>
      <w:r>
        <w:rPr>
          <w:rFonts w:ascii="Arial" w:hAnsi="Arial" w:cs="Arial"/>
          <w:b/>
          <w:bCs/>
          <w:sz w:val="20"/>
        </w:rPr>
        <w:t>2.10.2</w:t>
      </w:r>
      <w:r>
        <w:rPr>
          <w:rFonts w:ascii="Arial" w:hAnsi="Arial" w:cs="Arial"/>
          <w:b/>
          <w:bCs/>
          <w:sz w:val="20"/>
        </w:rPr>
        <w:tab/>
        <w:t>Child Witness Service</w:t>
      </w:r>
    </w:p>
    <w:p w14:paraId="10D5A40E" w14:textId="1FE7F631" w:rsidR="008E72CA" w:rsidRDefault="00F05325" w:rsidP="008E72CA">
      <w:pPr>
        <w:jc w:val="both"/>
        <w:rPr>
          <w:rFonts w:ascii="Arial" w:hAnsi="Arial" w:cs="Arial"/>
          <w:color w:val="000000"/>
          <w:sz w:val="20"/>
        </w:rPr>
      </w:pPr>
      <w:r w:rsidRPr="00B46EF1">
        <w:rPr>
          <w:rFonts w:ascii="Arial" w:hAnsi="Arial" w:cs="Arial"/>
          <w:color w:val="000000"/>
          <w:sz w:val="20"/>
        </w:rPr>
        <w:t>The Child Witness Service [</w:t>
      </w:r>
      <w:r w:rsidR="005161F3">
        <w:rPr>
          <w:rFonts w:ascii="Arial" w:hAnsi="Arial" w:cs="Arial"/>
          <w:color w:val="000000"/>
          <w:sz w:val="20"/>
        </w:rPr>
        <w:t>‘</w:t>
      </w:r>
      <w:r w:rsidRPr="00B46EF1">
        <w:rPr>
          <w:rFonts w:ascii="Arial" w:hAnsi="Arial" w:cs="Arial"/>
          <w:color w:val="000000"/>
          <w:sz w:val="20"/>
        </w:rPr>
        <w:t>CWS</w:t>
      </w:r>
      <w:r w:rsidR="005161F3">
        <w:rPr>
          <w:rFonts w:ascii="Arial" w:hAnsi="Arial" w:cs="Arial"/>
          <w:color w:val="000000"/>
          <w:sz w:val="20"/>
        </w:rPr>
        <w:t>’</w:t>
      </w:r>
      <w:r w:rsidRPr="00B46EF1">
        <w:rPr>
          <w:rFonts w:ascii="Arial" w:hAnsi="Arial" w:cs="Arial"/>
          <w:color w:val="000000"/>
          <w:sz w:val="20"/>
        </w:rPr>
        <w:t xml:space="preserve">] – which commenced operation in 2007 – is a specialist agency of the Department of Justice </w:t>
      </w:r>
      <w:r w:rsidR="000A5CEF">
        <w:rPr>
          <w:rFonts w:ascii="Arial" w:hAnsi="Arial" w:cs="Arial"/>
          <w:color w:val="000000"/>
          <w:sz w:val="20"/>
        </w:rPr>
        <w:t xml:space="preserve">and Community Safety </w:t>
      </w:r>
      <w:r w:rsidRPr="00B46EF1">
        <w:rPr>
          <w:rFonts w:ascii="Arial" w:hAnsi="Arial" w:cs="Arial"/>
          <w:color w:val="000000"/>
          <w:sz w:val="20"/>
        </w:rPr>
        <w:t>but is separate from the courts.  The role of the CWS is to offer specialised support and practical preparation to assist children and young persons under the age of 18 years who are victims of or witnesses to a criminal offence and who may be required to give evidence in the Magistrates’ Court, the Children’s Court, the County Court or the Supreme Court.</w:t>
      </w:r>
    </w:p>
    <w:p w14:paraId="05EE089E" w14:textId="77777777" w:rsidR="00F05325" w:rsidRPr="00B46EF1" w:rsidRDefault="00F05325" w:rsidP="00F05325">
      <w:pPr>
        <w:jc w:val="both"/>
        <w:rPr>
          <w:rFonts w:ascii="Arial" w:hAnsi="Arial" w:cs="Arial"/>
          <w:color w:val="000000"/>
          <w:sz w:val="20"/>
        </w:rPr>
      </w:pPr>
    </w:p>
    <w:p w14:paraId="17CD4E6C" w14:textId="77777777" w:rsidR="00F05325" w:rsidRPr="00B46EF1" w:rsidRDefault="00F05325" w:rsidP="00F05325">
      <w:pPr>
        <w:jc w:val="both"/>
        <w:rPr>
          <w:rFonts w:ascii="Arial" w:hAnsi="Arial" w:cs="Arial"/>
          <w:color w:val="000000"/>
          <w:sz w:val="20"/>
        </w:rPr>
      </w:pPr>
      <w:r w:rsidRPr="00B46EF1">
        <w:rPr>
          <w:rFonts w:ascii="Arial" w:hAnsi="Arial" w:cs="Arial"/>
          <w:color w:val="000000"/>
          <w:sz w:val="20"/>
        </w:rPr>
        <w:t>The CWS’ specialist team of six social workers and psychologists help prepare child witnesses for court and support them during and after the case, fully explaining the case and providing a link with police and prosecutors and victims’ services.  The CWS aims to reduce the trauma and stress which may be experienced by a child witness by:</w:t>
      </w:r>
    </w:p>
    <w:p w14:paraId="3A46417A" w14:textId="77777777" w:rsidR="00F05325" w:rsidRPr="00B46EF1" w:rsidRDefault="00F05325" w:rsidP="00F05325">
      <w:pPr>
        <w:numPr>
          <w:ilvl w:val="0"/>
          <w:numId w:val="2"/>
        </w:numPr>
        <w:tabs>
          <w:tab w:val="num" w:pos="723"/>
        </w:tabs>
        <w:jc w:val="both"/>
        <w:rPr>
          <w:rFonts w:ascii="Arial" w:hAnsi="Arial" w:cs="Arial"/>
          <w:color w:val="000000"/>
          <w:sz w:val="20"/>
        </w:rPr>
      </w:pPr>
      <w:r w:rsidRPr="00B46EF1">
        <w:rPr>
          <w:rFonts w:ascii="Arial" w:hAnsi="Arial" w:cs="Arial"/>
          <w:color w:val="000000"/>
          <w:sz w:val="20"/>
        </w:rPr>
        <w:t>preparing the witness for the process of providing his or her evidence;</w:t>
      </w:r>
    </w:p>
    <w:p w14:paraId="344AC0A9" w14:textId="77777777" w:rsidR="00F05325" w:rsidRPr="00B46EF1" w:rsidRDefault="00F05325" w:rsidP="00F05325">
      <w:pPr>
        <w:numPr>
          <w:ilvl w:val="0"/>
          <w:numId w:val="2"/>
        </w:numPr>
        <w:tabs>
          <w:tab w:val="num" w:pos="723"/>
        </w:tabs>
        <w:jc w:val="both"/>
        <w:rPr>
          <w:rFonts w:ascii="Arial" w:hAnsi="Arial" w:cs="Arial"/>
          <w:color w:val="000000"/>
          <w:sz w:val="20"/>
        </w:rPr>
      </w:pPr>
      <w:r w:rsidRPr="00B46EF1">
        <w:rPr>
          <w:rFonts w:ascii="Arial" w:hAnsi="Arial" w:cs="Arial"/>
          <w:color w:val="000000"/>
          <w:sz w:val="20"/>
        </w:rPr>
        <w:t>familiarising the witness with the court process and personnel;</w:t>
      </w:r>
    </w:p>
    <w:p w14:paraId="32CDD6FB" w14:textId="77777777" w:rsidR="00F05325" w:rsidRPr="00B46EF1" w:rsidRDefault="00F05325" w:rsidP="00F05325">
      <w:pPr>
        <w:numPr>
          <w:ilvl w:val="0"/>
          <w:numId w:val="2"/>
        </w:numPr>
        <w:tabs>
          <w:tab w:val="num" w:pos="723"/>
        </w:tabs>
        <w:jc w:val="both"/>
        <w:rPr>
          <w:rFonts w:ascii="Arial" w:hAnsi="Arial" w:cs="Arial"/>
          <w:color w:val="000000"/>
          <w:sz w:val="20"/>
        </w:rPr>
      </w:pPr>
      <w:r w:rsidRPr="00B46EF1">
        <w:rPr>
          <w:rFonts w:ascii="Arial" w:hAnsi="Arial" w:cs="Arial"/>
          <w:color w:val="000000"/>
          <w:sz w:val="20"/>
        </w:rPr>
        <w:t>supporting the witness through the criminal proceedings and court hearing; and</w:t>
      </w:r>
    </w:p>
    <w:p w14:paraId="1DBD2EE2" w14:textId="77777777" w:rsidR="00F05325" w:rsidRPr="00B46EF1" w:rsidRDefault="00F05325" w:rsidP="00F05325">
      <w:pPr>
        <w:numPr>
          <w:ilvl w:val="0"/>
          <w:numId w:val="2"/>
        </w:numPr>
        <w:tabs>
          <w:tab w:val="num" w:pos="723"/>
        </w:tabs>
        <w:jc w:val="both"/>
        <w:rPr>
          <w:rFonts w:ascii="Arial" w:hAnsi="Arial" w:cs="Arial"/>
          <w:color w:val="000000"/>
          <w:sz w:val="20"/>
        </w:rPr>
      </w:pPr>
      <w:r w:rsidRPr="00B46EF1">
        <w:rPr>
          <w:rFonts w:ascii="Arial" w:hAnsi="Arial" w:cs="Arial"/>
          <w:color w:val="000000"/>
          <w:sz w:val="20"/>
        </w:rPr>
        <w:t>supporting the principal carer throughout the legal process.</w:t>
      </w:r>
    </w:p>
    <w:p w14:paraId="7DBC4374" w14:textId="77777777" w:rsidR="00F05325" w:rsidRPr="00B46EF1" w:rsidRDefault="00F05325" w:rsidP="00F05325">
      <w:pPr>
        <w:jc w:val="both"/>
        <w:rPr>
          <w:rFonts w:ascii="Arial" w:hAnsi="Arial" w:cs="Arial"/>
          <w:color w:val="000000"/>
          <w:sz w:val="20"/>
        </w:rPr>
      </w:pPr>
      <w:r w:rsidRPr="00B46EF1">
        <w:rPr>
          <w:rFonts w:ascii="Arial" w:hAnsi="Arial" w:cs="Arial"/>
          <w:color w:val="000000"/>
          <w:sz w:val="20"/>
        </w:rPr>
        <w:t>However, although the CWS supports and prepares child witnesses on an individual basis, the evidence is never discussed.</w:t>
      </w:r>
    </w:p>
    <w:p w14:paraId="3A74B18D" w14:textId="77777777" w:rsidR="00F05325" w:rsidRPr="00B46EF1" w:rsidRDefault="00F05325" w:rsidP="00F05325">
      <w:pPr>
        <w:jc w:val="both"/>
        <w:rPr>
          <w:rFonts w:ascii="Arial" w:hAnsi="Arial" w:cs="Arial"/>
          <w:color w:val="000000"/>
          <w:sz w:val="20"/>
        </w:rPr>
      </w:pPr>
    </w:p>
    <w:p w14:paraId="29CC442B" w14:textId="77777777" w:rsidR="00F05325" w:rsidRPr="00B46EF1" w:rsidRDefault="00F05325" w:rsidP="00F05325">
      <w:pPr>
        <w:jc w:val="both"/>
        <w:rPr>
          <w:rFonts w:ascii="Arial" w:hAnsi="Arial" w:cs="Arial"/>
          <w:color w:val="000000"/>
          <w:sz w:val="20"/>
        </w:rPr>
      </w:pPr>
      <w:r w:rsidRPr="00B46EF1">
        <w:rPr>
          <w:rFonts w:ascii="Arial" w:hAnsi="Arial" w:cs="Arial"/>
          <w:color w:val="000000"/>
          <w:sz w:val="20"/>
        </w:rPr>
        <w:t>A dedicated unit, with child-friendly surrounds, the CWS also provides remote witness facilities by means of which a child witness is able – if the court so orders – to give evidence without being in the presence of the accused person in the courtroom or to have his or her evidence pre-recorded by a court officer.</w:t>
      </w:r>
    </w:p>
    <w:p w14:paraId="1C5FE636" w14:textId="77777777" w:rsidR="00F05325" w:rsidRPr="00B46EF1" w:rsidRDefault="00F05325" w:rsidP="00F05325">
      <w:pPr>
        <w:jc w:val="both"/>
        <w:rPr>
          <w:rFonts w:ascii="Arial" w:hAnsi="Arial" w:cs="Arial"/>
          <w:color w:val="000000"/>
          <w:sz w:val="20"/>
        </w:rPr>
      </w:pPr>
    </w:p>
    <w:p w14:paraId="260F6F20" w14:textId="77777777" w:rsidR="00F05325" w:rsidRPr="00B46EF1" w:rsidRDefault="00F05325" w:rsidP="00F05325">
      <w:pPr>
        <w:jc w:val="both"/>
        <w:rPr>
          <w:rFonts w:ascii="Arial" w:hAnsi="Arial" w:cs="Arial"/>
          <w:color w:val="000000"/>
          <w:sz w:val="20"/>
        </w:rPr>
      </w:pPr>
      <w:r w:rsidRPr="00B46EF1">
        <w:rPr>
          <w:rFonts w:ascii="Arial" w:hAnsi="Arial" w:cs="Arial"/>
          <w:color w:val="000000"/>
          <w:sz w:val="20"/>
        </w:rPr>
        <w:t>The CWS does not provide a counselling service but can make referrals to appropriate agencies if additional support is requested.</w:t>
      </w:r>
    </w:p>
    <w:p w14:paraId="3926D95F" w14:textId="77777777" w:rsidR="00F05325" w:rsidRPr="00B46EF1" w:rsidRDefault="00F05325" w:rsidP="00F05325">
      <w:pPr>
        <w:jc w:val="both"/>
        <w:rPr>
          <w:rFonts w:ascii="Arial" w:hAnsi="Arial" w:cs="Arial"/>
          <w:color w:val="000000"/>
          <w:sz w:val="20"/>
        </w:rPr>
      </w:pPr>
    </w:p>
    <w:p w14:paraId="226DD493" w14:textId="77777777" w:rsidR="00F05325" w:rsidRPr="00B46EF1" w:rsidRDefault="00F05325" w:rsidP="00F05325">
      <w:pPr>
        <w:jc w:val="both"/>
        <w:rPr>
          <w:rFonts w:ascii="Arial" w:hAnsi="Arial" w:cs="Arial"/>
          <w:color w:val="000000"/>
          <w:sz w:val="20"/>
        </w:rPr>
      </w:pPr>
      <w:r w:rsidRPr="00B46EF1">
        <w:rPr>
          <w:rFonts w:ascii="Arial" w:hAnsi="Arial" w:cs="Arial"/>
          <w:color w:val="000000"/>
          <w:sz w:val="20"/>
        </w:rPr>
        <w:t xml:space="preserve">Although the CWS is based in the </w:t>
      </w:r>
      <w:smartTag w:uri="urn:schemas-microsoft-com:office:smarttags" w:element="City">
        <w:r w:rsidRPr="00B46EF1">
          <w:rPr>
            <w:rFonts w:ascii="Arial" w:hAnsi="Arial" w:cs="Arial"/>
            <w:color w:val="000000"/>
            <w:sz w:val="20"/>
          </w:rPr>
          <w:t>Melbourne</w:t>
        </w:r>
      </w:smartTag>
      <w:r w:rsidRPr="00B46EF1">
        <w:rPr>
          <w:rFonts w:ascii="Arial" w:hAnsi="Arial" w:cs="Arial"/>
          <w:color w:val="000000"/>
          <w:sz w:val="20"/>
        </w:rPr>
        <w:t xml:space="preserve"> legal precinct, the service is state-wide and will support children giving evidence in rural regions as well as those giving evidence in metropolitan </w:t>
      </w:r>
      <w:smartTag w:uri="urn:schemas-microsoft-com:office:smarttags" w:element="City">
        <w:smartTag w:uri="urn:schemas-microsoft-com:office:smarttags" w:element="place">
          <w:r w:rsidRPr="00B46EF1">
            <w:rPr>
              <w:rFonts w:ascii="Arial" w:hAnsi="Arial" w:cs="Arial"/>
              <w:color w:val="000000"/>
              <w:sz w:val="20"/>
            </w:rPr>
            <w:t>Melbourne</w:t>
          </w:r>
        </w:smartTag>
      </w:smartTag>
      <w:r w:rsidRPr="00B46EF1">
        <w:rPr>
          <w:rFonts w:ascii="Arial" w:hAnsi="Arial" w:cs="Arial"/>
          <w:color w:val="000000"/>
          <w:sz w:val="20"/>
        </w:rPr>
        <w:t>.</w:t>
      </w:r>
    </w:p>
    <w:p w14:paraId="6A80D4AE" w14:textId="77777777" w:rsidR="00F05325" w:rsidRPr="00B46EF1" w:rsidRDefault="00F05325" w:rsidP="00F05325">
      <w:pPr>
        <w:jc w:val="both"/>
        <w:rPr>
          <w:rFonts w:ascii="Arial" w:hAnsi="Arial" w:cs="Arial"/>
          <w:color w:val="000000"/>
          <w:sz w:val="20"/>
        </w:rPr>
      </w:pPr>
    </w:p>
    <w:p w14:paraId="6B6C09C6" w14:textId="77777777" w:rsidR="00F05325" w:rsidRPr="00B46EF1" w:rsidRDefault="00F05325" w:rsidP="00F05325">
      <w:pPr>
        <w:jc w:val="both"/>
        <w:rPr>
          <w:rFonts w:ascii="Arial" w:hAnsi="Arial" w:cs="Arial"/>
          <w:color w:val="000000"/>
          <w:sz w:val="20"/>
        </w:rPr>
      </w:pPr>
      <w:r w:rsidRPr="00B46EF1">
        <w:rPr>
          <w:rFonts w:ascii="Arial" w:hAnsi="Arial" w:cs="Arial"/>
          <w:color w:val="000000"/>
          <w:sz w:val="20"/>
        </w:rPr>
        <w:t xml:space="preserve">Referrals to the CWS can be made by anyone.  This includes </w:t>
      </w:r>
      <w:smartTag w:uri="urn:schemas-microsoft-com:office:smarttags" w:element="place">
        <w:smartTag w:uri="urn:schemas-microsoft-com:office:smarttags" w:element="State">
          <w:r w:rsidRPr="00B46EF1">
            <w:rPr>
              <w:rFonts w:ascii="Arial" w:hAnsi="Arial" w:cs="Arial"/>
              <w:color w:val="000000"/>
              <w:sz w:val="20"/>
            </w:rPr>
            <w:t>Victoria</w:t>
          </w:r>
        </w:smartTag>
      </w:smartTag>
      <w:r w:rsidRPr="00B46EF1">
        <w:rPr>
          <w:rFonts w:ascii="Arial" w:hAnsi="Arial" w:cs="Arial"/>
          <w:color w:val="000000"/>
          <w:sz w:val="20"/>
        </w:rPr>
        <w:t xml:space="preserve"> police members, the Office of Public Prosecutions, legal professionals, other professionals or directly by the child or young person or his or her family.  This can be done by phone, fax or email:</w:t>
      </w:r>
    </w:p>
    <w:p w14:paraId="2ABFE6B8" w14:textId="77777777" w:rsidR="00F05325" w:rsidRPr="00B46EF1" w:rsidRDefault="00F05325" w:rsidP="00F05325">
      <w:pPr>
        <w:jc w:val="both"/>
        <w:rPr>
          <w:rFonts w:ascii="Arial" w:hAnsi="Arial" w:cs="Arial"/>
          <w:color w:val="000000"/>
          <w:sz w:val="20"/>
        </w:rPr>
      </w:pPr>
      <w:r w:rsidRPr="00B46EF1">
        <w:rPr>
          <w:rFonts w:ascii="Arial" w:hAnsi="Arial" w:cs="Arial"/>
          <w:color w:val="000000"/>
          <w:sz w:val="20"/>
        </w:rPr>
        <w:t>Phone:</w:t>
      </w:r>
      <w:r w:rsidRPr="00B46EF1">
        <w:rPr>
          <w:rFonts w:ascii="Arial" w:hAnsi="Arial" w:cs="Arial"/>
          <w:color w:val="000000"/>
          <w:sz w:val="20"/>
        </w:rPr>
        <w:tab/>
        <w:t>1300 790 540</w:t>
      </w:r>
    </w:p>
    <w:p w14:paraId="1F02E901" w14:textId="77777777" w:rsidR="00F05325" w:rsidRPr="00B46EF1" w:rsidRDefault="00F05325" w:rsidP="00F05325">
      <w:pPr>
        <w:jc w:val="both"/>
        <w:rPr>
          <w:rFonts w:ascii="Arial" w:hAnsi="Arial" w:cs="Arial"/>
          <w:color w:val="000000"/>
          <w:sz w:val="20"/>
        </w:rPr>
      </w:pPr>
      <w:r w:rsidRPr="00B46EF1">
        <w:rPr>
          <w:rFonts w:ascii="Arial" w:hAnsi="Arial" w:cs="Arial"/>
          <w:color w:val="000000"/>
          <w:sz w:val="20"/>
        </w:rPr>
        <w:t>Fax:</w:t>
      </w:r>
      <w:r w:rsidRPr="00B46EF1">
        <w:rPr>
          <w:rFonts w:ascii="Arial" w:hAnsi="Arial" w:cs="Arial"/>
          <w:color w:val="000000"/>
          <w:sz w:val="20"/>
        </w:rPr>
        <w:tab/>
        <w:t>9603 9202</w:t>
      </w:r>
    </w:p>
    <w:p w14:paraId="4DB17BC4" w14:textId="77777777" w:rsidR="00F05325" w:rsidRDefault="00F05325" w:rsidP="00F05325">
      <w:pPr>
        <w:jc w:val="both"/>
        <w:rPr>
          <w:rFonts w:ascii="Arial" w:hAnsi="Arial" w:cs="Arial"/>
          <w:sz w:val="20"/>
        </w:rPr>
      </w:pPr>
      <w:r w:rsidRPr="00B46EF1">
        <w:rPr>
          <w:rFonts w:ascii="Arial" w:hAnsi="Arial" w:cs="Arial"/>
          <w:color w:val="000000"/>
          <w:sz w:val="20"/>
        </w:rPr>
        <w:t>Email:</w:t>
      </w:r>
      <w:r>
        <w:rPr>
          <w:rFonts w:ascii="Arial" w:hAnsi="Arial" w:cs="Arial"/>
          <w:sz w:val="20"/>
        </w:rPr>
        <w:tab/>
      </w:r>
      <w:hyperlink r:id="rId17" w:history="1">
        <w:r w:rsidRPr="000007FB">
          <w:rPr>
            <w:rStyle w:val="Hyperlink"/>
            <w:rFonts w:ascii="Arial" w:hAnsi="Arial" w:cs="Arial"/>
            <w:sz w:val="20"/>
          </w:rPr>
          <w:t>childwitnessservice@justice.vic.gov.au</w:t>
        </w:r>
      </w:hyperlink>
      <w:r>
        <w:rPr>
          <w:rFonts w:ascii="Arial" w:hAnsi="Arial" w:cs="Arial"/>
          <w:sz w:val="20"/>
        </w:rPr>
        <w:t>.</w:t>
      </w:r>
    </w:p>
    <w:p w14:paraId="2CE5F515" w14:textId="77777777" w:rsidR="00F05325" w:rsidRDefault="00F05325" w:rsidP="00F05325">
      <w:pPr>
        <w:jc w:val="both"/>
        <w:rPr>
          <w:rFonts w:ascii="Arial" w:hAnsi="Arial" w:cs="Arial"/>
          <w:sz w:val="20"/>
        </w:rPr>
      </w:pPr>
    </w:p>
    <w:p w14:paraId="0CF7E92B" w14:textId="77777777" w:rsidR="00F05325" w:rsidRPr="00B46EF1" w:rsidRDefault="00F05325" w:rsidP="00F05325">
      <w:pPr>
        <w:jc w:val="both"/>
        <w:rPr>
          <w:rFonts w:ascii="Arial" w:hAnsi="Arial" w:cs="Arial"/>
          <w:color w:val="000000"/>
          <w:sz w:val="20"/>
        </w:rPr>
      </w:pPr>
      <w:r w:rsidRPr="00B46EF1">
        <w:rPr>
          <w:rFonts w:ascii="Arial" w:hAnsi="Arial" w:cs="Arial"/>
          <w:color w:val="000000"/>
          <w:sz w:val="20"/>
        </w:rPr>
        <w:t>The CWS considers it important that a child or young person who may be required to give evidence is referred to the service as soon as possible after charges have been laid.  It does not matter whether a decision has been made about whether the child or young person will need to give evidence.</w:t>
      </w:r>
    </w:p>
    <w:p w14:paraId="1DB8D57D" w14:textId="77777777" w:rsidR="00F05325" w:rsidRPr="00B46EF1" w:rsidRDefault="00F05325" w:rsidP="00F05325">
      <w:pPr>
        <w:jc w:val="both"/>
        <w:rPr>
          <w:rFonts w:ascii="Arial" w:hAnsi="Arial" w:cs="Arial"/>
          <w:color w:val="000000"/>
          <w:sz w:val="20"/>
        </w:rPr>
      </w:pPr>
    </w:p>
    <w:p w14:paraId="56E2DF18" w14:textId="77777777" w:rsidR="00F05325" w:rsidRPr="00B46EF1" w:rsidRDefault="00F05325" w:rsidP="00F05325">
      <w:pPr>
        <w:jc w:val="both"/>
        <w:rPr>
          <w:rFonts w:ascii="Arial" w:hAnsi="Arial" w:cs="Arial"/>
          <w:color w:val="000000"/>
          <w:sz w:val="20"/>
        </w:rPr>
      </w:pPr>
      <w:r w:rsidRPr="00B46EF1">
        <w:rPr>
          <w:rFonts w:ascii="Arial" w:hAnsi="Arial" w:cs="Arial"/>
          <w:color w:val="000000"/>
          <w:sz w:val="20"/>
        </w:rPr>
        <w:t xml:space="preserve">The CWS has been assisting approximately 500 child witnesses in </w:t>
      </w:r>
      <w:smartTag w:uri="urn:schemas-microsoft-com:office:smarttags" w:element="place">
        <w:smartTag w:uri="urn:schemas-microsoft-com:office:smarttags" w:element="State">
          <w:r w:rsidRPr="00B46EF1">
            <w:rPr>
              <w:rFonts w:ascii="Arial" w:hAnsi="Arial" w:cs="Arial"/>
              <w:color w:val="000000"/>
              <w:sz w:val="20"/>
            </w:rPr>
            <w:t>Victoria</w:t>
          </w:r>
        </w:smartTag>
      </w:smartTag>
      <w:r w:rsidRPr="00B46EF1">
        <w:rPr>
          <w:rFonts w:ascii="Arial" w:hAnsi="Arial" w:cs="Arial"/>
          <w:color w:val="000000"/>
          <w:sz w:val="20"/>
        </w:rPr>
        <w:t xml:space="preserve"> each year, many of whom are victims of serious crimes such as sexual assault or physical assault.</w:t>
      </w:r>
    </w:p>
    <w:p w14:paraId="28F2CFE8" w14:textId="77777777" w:rsidR="00E85AF4" w:rsidRPr="00E85AF4" w:rsidRDefault="00E85AF4" w:rsidP="00E85AF4">
      <w:pPr>
        <w:jc w:val="both"/>
        <w:rPr>
          <w:rFonts w:ascii="Arial" w:hAnsi="Arial" w:cs="Arial"/>
          <w:color w:val="000000"/>
          <w:sz w:val="20"/>
        </w:rPr>
      </w:pPr>
    </w:p>
    <w:p w14:paraId="061ED29F" w14:textId="77777777" w:rsidR="00E85AF4" w:rsidRPr="00E85AF4" w:rsidRDefault="00E85AF4" w:rsidP="00E85AF4">
      <w:pPr>
        <w:spacing w:after="120"/>
        <w:jc w:val="both"/>
        <w:rPr>
          <w:rFonts w:ascii="Arial" w:hAnsi="Arial" w:cs="Arial"/>
          <w:b/>
          <w:bCs/>
          <w:color w:val="000000"/>
          <w:sz w:val="20"/>
          <w:lang w:val="en-GB"/>
        </w:rPr>
      </w:pPr>
      <w:r w:rsidRPr="00E85AF4">
        <w:rPr>
          <w:rFonts w:ascii="Arial" w:hAnsi="Arial" w:cs="Arial"/>
          <w:b/>
          <w:bCs/>
          <w:color w:val="000000"/>
          <w:sz w:val="20"/>
          <w:lang w:val="en-GB"/>
        </w:rPr>
        <w:t>2.10.3</w:t>
      </w:r>
      <w:r w:rsidRPr="00E85AF4">
        <w:rPr>
          <w:rFonts w:ascii="Arial" w:hAnsi="Arial" w:cs="Arial"/>
          <w:b/>
          <w:bCs/>
          <w:color w:val="000000"/>
          <w:sz w:val="20"/>
          <w:lang w:val="en-GB"/>
        </w:rPr>
        <w:tab/>
        <w:t>Court Network</w:t>
      </w:r>
    </w:p>
    <w:p w14:paraId="6782E158" w14:textId="065477D7" w:rsidR="00E85AF4" w:rsidRPr="00E85AF4" w:rsidRDefault="00E85AF4" w:rsidP="00E85AF4">
      <w:pPr>
        <w:jc w:val="both"/>
        <w:rPr>
          <w:rFonts w:ascii="Arial" w:hAnsi="Arial" w:cs="Arial"/>
          <w:color w:val="000000"/>
          <w:sz w:val="20"/>
        </w:rPr>
      </w:pPr>
      <w:r w:rsidRPr="00E85AF4">
        <w:rPr>
          <w:rFonts w:ascii="Arial" w:hAnsi="Arial" w:cs="Arial"/>
          <w:color w:val="000000"/>
          <w:sz w:val="20"/>
        </w:rPr>
        <w:t>Since 2003 Court Network has provided volunteer "Networkers" each sitting day at Melbourne Children’s Court and most other Children’s Court locations to give information, assistance and support to court users.</w:t>
      </w:r>
      <w:r>
        <w:rPr>
          <w:rFonts w:ascii="Arial" w:hAnsi="Arial" w:cs="Arial"/>
          <w:color w:val="000000"/>
          <w:sz w:val="20"/>
        </w:rPr>
        <w:t xml:space="preserve"> For more information see </w:t>
      </w:r>
      <w:hyperlink r:id="rId18" w:history="1">
        <w:r w:rsidRPr="00134264">
          <w:rPr>
            <w:rStyle w:val="Hyperlink"/>
            <w:rFonts w:ascii="Arial" w:hAnsi="Arial" w:cs="Arial"/>
            <w:sz w:val="20"/>
          </w:rPr>
          <w:t>https://courtnetwork.com.au/</w:t>
        </w:r>
      </w:hyperlink>
      <w:r>
        <w:rPr>
          <w:rFonts w:ascii="Arial" w:hAnsi="Arial" w:cs="Arial"/>
          <w:color w:val="000000"/>
          <w:sz w:val="20"/>
        </w:rPr>
        <w:t>.</w:t>
      </w:r>
    </w:p>
    <w:p w14:paraId="230BE707" w14:textId="77777777" w:rsidR="00E85AF4" w:rsidRPr="00E85AF4" w:rsidRDefault="00E85AF4" w:rsidP="00E85AF4">
      <w:pPr>
        <w:jc w:val="both"/>
        <w:rPr>
          <w:rFonts w:ascii="Arial" w:hAnsi="Arial" w:cs="Arial"/>
          <w:color w:val="000000"/>
          <w:sz w:val="20"/>
        </w:rPr>
      </w:pPr>
    </w:p>
    <w:p w14:paraId="4DECB79F" w14:textId="77777777" w:rsidR="00277B85" w:rsidRDefault="00277B85" w:rsidP="00CD02A3">
      <w:pPr>
        <w:pStyle w:val="Heading3"/>
        <w:keepNext/>
        <w:keepLines/>
        <w:widowControl/>
        <w:spacing w:after="120" w:line="240" w:lineRule="auto"/>
        <w:rPr>
          <w:rFonts w:ascii="Arial" w:hAnsi="Arial" w:cs="Arial"/>
          <w:b/>
          <w:bCs/>
        </w:rPr>
      </w:pPr>
      <w:bookmarkStart w:id="742" w:name="_2.10.4_Victoria_Legal"/>
      <w:bookmarkStart w:id="743" w:name="_Toc34823327"/>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r>
        <w:rPr>
          <w:rFonts w:ascii="Arial" w:hAnsi="Arial" w:cs="Arial"/>
          <w:b/>
          <w:bCs/>
          <w:sz w:val="20"/>
        </w:rPr>
        <w:t>2.10.4</w:t>
      </w:r>
      <w:r>
        <w:rPr>
          <w:rFonts w:ascii="Arial" w:hAnsi="Arial" w:cs="Arial"/>
          <w:b/>
          <w:bCs/>
          <w:sz w:val="20"/>
        </w:rPr>
        <w:tab/>
        <w:t>Victoria Legal Aid</w:t>
      </w:r>
      <w:bookmarkEnd w:id="743"/>
    </w:p>
    <w:p w14:paraId="0D4D1A85" w14:textId="77777777" w:rsidR="00277B85" w:rsidRDefault="00277B85">
      <w:pPr>
        <w:jc w:val="both"/>
        <w:rPr>
          <w:rFonts w:ascii="Arial" w:hAnsi="Arial" w:cs="Arial"/>
          <w:sz w:val="20"/>
        </w:rPr>
      </w:pPr>
      <w:r>
        <w:rPr>
          <w:rFonts w:ascii="Arial" w:hAnsi="Arial" w:cs="Arial"/>
          <w:sz w:val="20"/>
        </w:rPr>
        <w:t xml:space="preserve">There are duty lawyers from Victoria Legal Aid at all Children's Courts in the </w:t>
      </w:r>
      <w:smartTag w:uri="urn:schemas-microsoft-com:office:smarttags" w:element="City">
        <w:r>
          <w:rPr>
            <w:rFonts w:ascii="Arial" w:hAnsi="Arial" w:cs="Arial"/>
            <w:sz w:val="20"/>
          </w:rPr>
          <w:t>Melbourne</w:t>
        </w:r>
      </w:smartTag>
      <w:r>
        <w:rPr>
          <w:rFonts w:ascii="Arial" w:hAnsi="Arial" w:cs="Arial"/>
          <w:sz w:val="20"/>
        </w:rPr>
        <w:t xml:space="preserve"> metropolitan area and on mention days at all other Children's Courts in </w:t>
      </w:r>
      <w:smartTag w:uri="urn:schemas-microsoft-com:office:smarttags" w:element="State">
        <w:smartTag w:uri="urn:schemas-microsoft-com:office:smarttags" w:element="place">
          <w:r>
            <w:rPr>
              <w:rFonts w:ascii="Arial" w:hAnsi="Arial" w:cs="Arial"/>
              <w:sz w:val="20"/>
            </w:rPr>
            <w:t>Victoria</w:t>
          </w:r>
        </w:smartTag>
      </w:smartTag>
      <w:r>
        <w:rPr>
          <w:rFonts w:ascii="Arial" w:hAnsi="Arial" w:cs="Arial"/>
          <w:sz w:val="20"/>
        </w:rPr>
        <w:t>.  They are available for children in family or criminal cases, and parents of children in family cases who need legal advice or representation in court.  Most children are able to obtain legal aid free of charge.</w:t>
      </w:r>
    </w:p>
    <w:p w14:paraId="61FF05EE" w14:textId="77777777" w:rsidR="00277B85" w:rsidRDefault="00277B85">
      <w:pPr>
        <w:jc w:val="both"/>
        <w:rPr>
          <w:rFonts w:ascii="Arial" w:hAnsi="Arial" w:cs="Arial"/>
          <w:sz w:val="20"/>
        </w:rPr>
      </w:pPr>
    </w:p>
    <w:p w14:paraId="0F935C59" w14:textId="77777777" w:rsidR="00277B85" w:rsidRDefault="00277B85">
      <w:pPr>
        <w:jc w:val="both"/>
        <w:rPr>
          <w:rFonts w:ascii="Arial" w:hAnsi="Arial" w:cs="Arial"/>
          <w:sz w:val="20"/>
        </w:rPr>
      </w:pPr>
      <w:r>
        <w:rPr>
          <w:rFonts w:ascii="Arial" w:hAnsi="Arial" w:cs="Arial"/>
          <w:sz w:val="20"/>
        </w:rPr>
        <w:t xml:space="preserve">For more information, call Victoria Legal Aid on (03) 9269 0120 or 1800 677 402 (for country callers) between </w:t>
      </w:r>
      <w:smartTag w:uri="urn:schemas-microsoft-com:office:smarttags" w:element="time">
        <w:smartTagPr>
          <w:attr w:name="Minute" w:val="0"/>
          <w:attr w:name="Hour" w:val="9"/>
        </w:smartTagPr>
        <w:r>
          <w:rPr>
            <w:rFonts w:ascii="Arial" w:hAnsi="Arial" w:cs="Arial"/>
            <w:sz w:val="20"/>
          </w:rPr>
          <w:t>9.00 am</w:t>
        </w:r>
      </w:smartTag>
      <w:r>
        <w:rPr>
          <w:rFonts w:ascii="Arial" w:hAnsi="Arial" w:cs="Arial"/>
          <w:sz w:val="20"/>
        </w:rPr>
        <w:t xml:space="preserve"> and </w:t>
      </w:r>
      <w:smartTag w:uri="urn:schemas-microsoft-com:office:smarttags" w:element="time">
        <w:smartTagPr>
          <w:attr w:name="Minute" w:val="0"/>
          <w:attr w:name="Hour" w:val="17"/>
        </w:smartTagPr>
        <w:r>
          <w:rPr>
            <w:rFonts w:ascii="Arial" w:hAnsi="Arial" w:cs="Arial"/>
            <w:sz w:val="20"/>
          </w:rPr>
          <w:t>5.00 pm</w:t>
        </w:r>
      </w:smartTag>
      <w:r>
        <w:rPr>
          <w:rFonts w:ascii="Arial" w:hAnsi="Arial" w:cs="Arial"/>
          <w:sz w:val="20"/>
        </w:rPr>
        <w:t xml:space="preserve">.  Multilingual telephone information is provided in English and 11 community languages at certain times each week. </w:t>
      </w:r>
    </w:p>
    <w:p w14:paraId="234A707D" w14:textId="77777777" w:rsidR="00277B85" w:rsidRPr="00F05325" w:rsidRDefault="00277B85">
      <w:pPr>
        <w:jc w:val="both"/>
        <w:rPr>
          <w:rFonts w:ascii="Arial" w:hAnsi="Arial" w:cs="Arial"/>
          <w:sz w:val="20"/>
          <w:szCs w:val="20"/>
        </w:rPr>
      </w:pPr>
    </w:p>
    <w:p w14:paraId="79CA410D" w14:textId="77777777" w:rsidR="00277B85" w:rsidRDefault="00277B85" w:rsidP="001561BE">
      <w:pPr>
        <w:pStyle w:val="Heading3"/>
        <w:widowControl/>
        <w:spacing w:after="120" w:line="240" w:lineRule="auto"/>
        <w:rPr>
          <w:rFonts w:ascii="Arial" w:hAnsi="Arial" w:cs="Arial"/>
          <w:b/>
          <w:bCs/>
        </w:rPr>
      </w:pPr>
      <w:bookmarkStart w:id="744" w:name="_2.10.5_Interpreters"/>
      <w:bookmarkStart w:id="745" w:name="_Toc34823328"/>
      <w:bookmarkEnd w:id="744"/>
      <w:r>
        <w:rPr>
          <w:rFonts w:ascii="Arial" w:hAnsi="Arial" w:cs="Arial"/>
          <w:b/>
          <w:bCs/>
          <w:sz w:val="20"/>
        </w:rPr>
        <w:t>2.10.5</w:t>
      </w:r>
      <w:r>
        <w:rPr>
          <w:rFonts w:ascii="Arial" w:hAnsi="Arial" w:cs="Arial"/>
          <w:b/>
          <w:bCs/>
          <w:sz w:val="20"/>
        </w:rPr>
        <w:tab/>
        <w:t>Interpreters</w:t>
      </w:r>
      <w:bookmarkEnd w:id="745"/>
    </w:p>
    <w:p w14:paraId="5F2E812A" w14:textId="3A08A21C" w:rsidR="00277B85" w:rsidRDefault="00F06621" w:rsidP="001561BE">
      <w:pPr>
        <w:jc w:val="both"/>
        <w:rPr>
          <w:rFonts w:ascii="Arial" w:hAnsi="Arial" w:cs="Arial"/>
          <w:sz w:val="20"/>
        </w:rPr>
      </w:pPr>
      <w:r>
        <w:rPr>
          <w:rFonts w:ascii="Arial" w:hAnsi="Arial" w:cs="Arial"/>
          <w:sz w:val="20"/>
        </w:rPr>
        <w:lastRenderedPageBreak/>
        <w:t xml:space="preserve">Section 526 of the CYFA prohibits the Court from hearing and determining a proceeding without an interpreter if the Court is satisfied that a child, a parent or any other party to the proceeding has a difficulty in communicating in the English language that is sufficient to prevent him or her from understanding or participating in the proceeding.  </w:t>
      </w:r>
      <w:r w:rsidR="00DF0E3F" w:rsidRPr="001138E0">
        <w:rPr>
          <w:rFonts w:ascii="Arial" w:hAnsi="Arial" w:cs="Arial"/>
          <w:sz w:val="20"/>
          <w:szCs w:val="20"/>
        </w:rPr>
        <w:t xml:space="preserve">The role of a court interpreter </w:t>
      </w:r>
      <w:r w:rsidR="00DF0E3F">
        <w:rPr>
          <w:rFonts w:ascii="Arial" w:hAnsi="Arial" w:cs="Arial"/>
          <w:sz w:val="20"/>
          <w:szCs w:val="20"/>
        </w:rPr>
        <w:t>and the effect of an alleged mistranslation were</w:t>
      </w:r>
      <w:r w:rsidR="00DF0E3F" w:rsidRPr="001138E0">
        <w:rPr>
          <w:rFonts w:ascii="Arial" w:hAnsi="Arial" w:cs="Arial"/>
          <w:sz w:val="20"/>
          <w:szCs w:val="20"/>
        </w:rPr>
        <w:t xml:space="preserve"> </w:t>
      </w:r>
      <w:r w:rsidR="00DF0E3F">
        <w:rPr>
          <w:rFonts w:ascii="Arial" w:hAnsi="Arial" w:cs="Arial"/>
          <w:sz w:val="20"/>
          <w:szCs w:val="20"/>
        </w:rPr>
        <w:t>explained</w:t>
      </w:r>
      <w:r w:rsidR="00DF0E3F" w:rsidRPr="001138E0">
        <w:rPr>
          <w:rFonts w:ascii="Arial" w:hAnsi="Arial" w:cs="Arial"/>
          <w:sz w:val="20"/>
          <w:szCs w:val="20"/>
        </w:rPr>
        <w:t xml:space="preserve"> by the High Court in </w:t>
      </w:r>
      <w:r w:rsidR="00DF0E3F" w:rsidRPr="001138E0">
        <w:rPr>
          <w:rFonts w:ascii="Arial" w:hAnsi="Arial" w:cs="Arial"/>
          <w:i/>
          <w:iCs/>
          <w:sz w:val="20"/>
          <w:szCs w:val="20"/>
        </w:rPr>
        <w:t>DVO16 v Minister for Immigration and Border Protection; BNB17 v Minister for Immigration and Border Protection</w:t>
      </w:r>
      <w:r w:rsidR="00DF0E3F" w:rsidRPr="001138E0">
        <w:rPr>
          <w:rFonts w:ascii="Arial" w:hAnsi="Arial" w:cs="Arial"/>
          <w:sz w:val="20"/>
          <w:szCs w:val="20"/>
        </w:rPr>
        <w:t xml:space="preserve"> [2021] HCA 12 at [</w:t>
      </w:r>
      <w:r w:rsidR="00DF0E3F">
        <w:rPr>
          <w:rFonts w:ascii="Arial" w:hAnsi="Arial" w:cs="Arial"/>
          <w:sz w:val="20"/>
          <w:szCs w:val="20"/>
        </w:rPr>
        <w:t>4</w:t>
      </w:r>
      <w:r w:rsidR="00DF0E3F" w:rsidRPr="001138E0">
        <w:rPr>
          <w:rFonts w:ascii="Arial" w:hAnsi="Arial" w:cs="Arial"/>
          <w:sz w:val="20"/>
          <w:szCs w:val="20"/>
        </w:rPr>
        <w:t>]</w:t>
      </w:r>
      <w:r w:rsidR="00DF0E3F">
        <w:rPr>
          <w:rFonts w:ascii="Arial" w:hAnsi="Arial" w:cs="Arial"/>
          <w:sz w:val="20"/>
          <w:szCs w:val="20"/>
        </w:rPr>
        <w:noBreakHyphen/>
      </w:r>
      <w:r w:rsidR="00DF0E3F" w:rsidRPr="001138E0">
        <w:rPr>
          <w:rFonts w:ascii="Arial" w:hAnsi="Arial" w:cs="Arial"/>
          <w:sz w:val="20"/>
          <w:szCs w:val="20"/>
        </w:rPr>
        <w:t>[</w:t>
      </w:r>
      <w:r w:rsidR="00DF0E3F">
        <w:rPr>
          <w:rFonts w:ascii="Arial" w:hAnsi="Arial" w:cs="Arial"/>
          <w:sz w:val="20"/>
          <w:szCs w:val="20"/>
        </w:rPr>
        <w:t>8</w:t>
      </w:r>
      <w:r w:rsidR="00DF0E3F" w:rsidRPr="001138E0">
        <w:rPr>
          <w:rFonts w:ascii="Arial" w:hAnsi="Arial" w:cs="Arial"/>
          <w:sz w:val="20"/>
          <w:szCs w:val="20"/>
        </w:rPr>
        <w:t>]</w:t>
      </w:r>
      <w:r w:rsidR="00DF0E3F">
        <w:rPr>
          <w:rFonts w:ascii="Arial" w:hAnsi="Arial" w:cs="Arial"/>
          <w:sz w:val="20"/>
          <w:szCs w:val="20"/>
        </w:rPr>
        <w:t xml:space="preserve">.  </w:t>
      </w:r>
      <w:r w:rsidR="00277B85">
        <w:rPr>
          <w:rFonts w:ascii="Arial" w:hAnsi="Arial" w:cs="Arial"/>
          <w:sz w:val="20"/>
        </w:rPr>
        <w:t>Qualified and accredited interpreters are available when needed and can be booked through the registry of the relevant Children’s Court.  Arrangements must be made with as much notice as possible to ensure that an appropriate interpreter is available.</w:t>
      </w:r>
    </w:p>
    <w:p w14:paraId="37B34B80" w14:textId="77777777" w:rsidR="00F65A9B" w:rsidRDefault="00F65A9B" w:rsidP="00F65A9B">
      <w:pPr>
        <w:jc w:val="both"/>
        <w:rPr>
          <w:rFonts w:ascii="Arial" w:hAnsi="Arial" w:cs="Arial"/>
          <w:sz w:val="20"/>
        </w:rPr>
      </w:pPr>
    </w:p>
    <w:p w14:paraId="74644D08" w14:textId="6110B890" w:rsidR="00F65A9B" w:rsidRPr="00BE6441" w:rsidRDefault="00F65A9B" w:rsidP="00F65A9B">
      <w:pPr>
        <w:pStyle w:val="Heading3"/>
        <w:widowControl/>
        <w:spacing w:after="120" w:line="240" w:lineRule="auto"/>
        <w:rPr>
          <w:rFonts w:ascii="Arial" w:hAnsi="Arial" w:cs="Arial"/>
          <w:b/>
          <w:bCs/>
          <w:color w:val="000000"/>
          <w:sz w:val="20"/>
        </w:rPr>
      </w:pPr>
      <w:bookmarkStart w:id="746" w:name="_2.10.7_Mental_Health"/>
      <w:bookmarkEnd w:id="746"/>
      <w:r w:rsidRPr="00BE6441">
        <w:rPr>
          <w:rFonts w:ascii="Arial" w:hAnsi="Arial" w:cs="Arial"/>
          <w:b/>
          <w:bCs/>
          <w:color w:val="000000"/>
          <w:sz w:val="20"/>
        </w:rPr>
        <w:t>2.10.</w:t>
      </w:r>
      <w:r>
        <w:rPr>
          <w:rFonts w:ascii="Arial" w:hAnsi="Arial" w:cs="Arial"/>
          <w:b/>
          <w:bCs/>
          <w:color w:val="000000"/>
          <w:sz w:val="20"/>
        </w:rPr>
        <w:t>6</w:t>
      </w:r>
      <w:r w:rsidRPr="00BE6441">
        <w:rPr>
          <w:rFonts w:ascii="Arial" w:hAnsi="Arial" w:cs="Arial"/>
          <w:b/>
          <w:bCs/>
          <w:color w:val="000000"/>
          <w:sz w:val="20"/>
        </w:rPr>
        <w:tab/>
      </w:r>
      <w:r>
        <w:rPr>
          <w:rFonts w:ascii="Arial" w:hAnsi="Arial" w:cs="Arial"/>
          <w:b/>
          <w:bCs/>
          <w:color w:val="000000"/>
          <w:sz w:val="20"/>
        </w:rPr>
        <w:t>Mental Health Advice and Response Service</w:t>
      </w:r>
      <w:r w:rsidR="00CD1893">
        <w:rPr>
          <w:rFonts w:ascii="Arial" w:hAnsi="Arial" w:cs="Arial"/>
          <w:b/>
          <w:bCs/>
          <w:color w:val="000000"/>
          <w:sz w:val="20"/>
        </w:rPr>
        <w:t xml:space="preserve"> [MHARS]</w:t>
      </w:r>
    </w:p>
    <w:p w14:paraId="46EC1C73" w14:textId="5EEF2E02" w:rsidR="00F65A9B" w:rsidRDefault="00F65A9B" w:rsidP="00F65A9B">
      <w:pPr>
        <w:jc w:val="both"/>
        <w:rPr>
          <w:rFonts w:ascii="Arial" w:hAnsi="Arial" w:cs="Arial"/>
          <w:color w:val="000000"/>
          <w:sz w:val="20"/>
        </w:rPr>
      </w:pPr>
      <w:r>
        <w:rPr>
          <w:rFonts w:ascii="Arial" w:hAnsi="Arial" w:cs="Arial"/>
          <w:sz w:val="20"/>
        </w:rPr>
        <w:t xml:space="preserve">The Children’s Court </w:t>
      </w:r>
      <w:r w:rsidRPr="00E215A7">
        <w:rPr>
          <w:rFonts w:ascii="Arial" w:hAnsi="Arial" w:cs="Arial"/>
          <w:color w:val="000000"/>
          <w:sz w:val="20"/>
        </w:rPr>
        <w:t>Mental Health Advice and Response Service</w:t>
      </w:r>
      <w:r>
        <w:rPr>
          <w:rFonts w:ascii="Arial" w:hAnsi="Arial" w:cs="Arial"/>
          <w:color w:val="000000"/>
          <w:sz w:val="20"/>
        </w:rPr>
        <w:t xml:space="preserve"> is a specialist mental health service delivered by </w:t>
      </w:r>
      <w:proofErr w:type="spellStart"/>
      <w:r>
        <w:rPr>
          <w:rFonts w:ascii="Arial" w:hAnsi="Arial" w:cs="Arial"/>
          <w:color w:val="000000"/>
          <w:sz w:val="20"/>
        </w:rPr>
        <w:t>Orygen</w:t>
      </w:r>
      <w:proofErr w:type="spellEnd"/>
      <w:r>
        <w:rPr>
          <w:rFonts w:ascii="Arial" w:hAnsi="Arial" w:cs="Arial"/>
          <w:color w:val="000000"/>
          <w:sz w:val="20"/>
        </w:rPr>
        <w:t xml:space="preserve"> Youth Health at Melbourne Children’s Court.  The MHARS clinician is available</w:t>
      </w:r>
      <w:r w:rsidR="00055BA8">
        <w:rPr>
          <w:rFonts w:ascii="Arial" w:hAnsi="Arial" w:cs="Arial"/>
          <w:sz w:val="20"/>
        </w:rPr>
        <w:t>–</w:t>
      </w:r>
    </w:p>
    <w:p w14:paraId="6B0C3B05" w14:textId="77777777" w:rsidR="00F65A9B" w:rsidRPr="00E215A7" w:rsidRDefault="00F65A9B" w:rsidP="00C23CF0">
      <w:pPr>
        <w:pStyle w:val="ListParagraph"/>
        <w:numPr>
          <w:ilvl w:val="0"/>
          <w:numId w:val="20"/>
        </w:numPr>
        <w:ind w:left="357" w:hanging="357"/>
        <w:jc w:val="both"/>
        <w:rPr>
          <w:rFonts w:ascii="Arial" w:hAnsi="Arial" w:cs="Arial"/>
          <w:sz w:val="20"/>
        </w:rPr>
      </w:pPr>
      <w:r>
        <w:rPr>
          <w:rFonts w:ascii="Arial" w:hAnsi="Arial" w:cs="Arial"/>
          <w:sz w:val="20"/>
        </w:rPr>
        <w:t xml:space="preserve">to provide mental health assessments for eligible young people appearing before the Children’s Court who present </w:t>
      </w:r>
      <w:r w:rsidRPr="00E215A7">
        <w:rPr>
          <w:rFonts w:ascii="Arial" w:hAnsi="Arial" w:cs="Arial"/>
          <w:sz w:val="20"/>
        </w:rPr>
        <w:t xml:space="preserve">with suicidality, acute mental health </w:t>
      </w:r>
      <w:r>
        <w:rPr>
          <w:rFonts w:ascii="Arial" w:hAnsi="Arial" w:cs="Arial"/>
          <w:sz w:val="20"/>
        </w:rPr>
        <w:t>concern</w:t>
      </w:r>
      <w:r w:rsidRPr="00E215A7">
        <w:rPr>
          <w:rFonts w:ascii="Arial" w:hAnsi="Arial" w:cs="Arial"/>
          <w:sz w:val="20"/>
        </w:rPr>
        <w:t xml:space="preserve">s and/or distress while awaiting </w:t>
      </w:r>
      <w:r w:rsidRPr="00E215A7">
        <w:rPr>
          <w:rFonts w:ascii="Arial" w:hAnsi="Arial" w:cs="Arial"/>
          <w:color w:val="000000"/>
          <w:sz w:val="20"/>
        </w:rPr>
        <w:t>their court appearance;</w:t>
      </w:r>
    </w:p>
    <w:p w14:paraId="4F412773" w14:textId="77777777" w:rsidR="00F65A9B" w:rsidRDefault="00F65A9B" w:rsidP="00C23CF0">
      <w:pPr>
        <w:pStyle w:val="ListParagraph"/>
        <w:numPr>
          <w:ilvl w:val="0"/>
          <w:numId w:val="20"/>
        </w:numPr>
        <w:ind w:left="357" w:hanging="357"/>
        <w:jc w:val="both"/>
        <w:rPr>
          <w:rFonts w:ascii="Arial" w:hAnsi="Arial" w:cs="Arial"/>
          <w:sz w:val="20"/>
        </w:rPr>
      </w:pPr>
      <w:r>
        <w:rPr>
          <w:rFonts w:ascii="Arial" w:hAnsi="Arial" w:cs="Arial"/>
          <w:sz w:val="20"/>
        </w:rPr>
        <w:t>to advise the Court whether mental health concerns are present or whether factors related to mental health may have a bearing on the proceedings;</w:t>
      </w:r>
    </w:p>
    <w:p w14:paraId="119351B4" w14:textId="46D70B70" w:rsidR="00F65A9B" w:rsidRDefault="00F65A9B" w:rsidP="00C23CF0">
      <w:pPr>
        <w:pStyle w:val="ListParagraph"/>
        <w:numPr>
          <w:ilvl w:val="0"/>
          <w:numId w:val="20"/>
        </w:numPr>
        <w:ind w:left="357" w:hanging="357"/>
        <w:jc w:val="both"/>
        <w:rPr>
          <w:rFonts w:ascii="Arial" w:hAnsi="Arial" w:cs="Arial"/>
          <w:sz w:val="20"/>
        </w:rPr>
      </w:pPr>
      <w:r>
        <w:rPr>
          <w:rFonts w:ascii="Arial" w:hAnsi="Arial" w:cs="Arial"/>
          <w:sz w:val="20"/>
        </w:rPr>
        <w:t>to facilit</w:t>
      </w:r>
      <w:r w:rsidR="00CD1893">
        <w:rPr>
          <w:rFonts w:ascii="Arial" w:hAnsi="Arial" w:cs="Arial"/>
          <w:sz w:val="20"/>
        </w:rPr>
        <w:t>ate</w:t>
      </w:r>
      <w:r>
        <w:rPr>
          <w:rFonts w:ascii="Arial" w:hAnsi="Arial" w:cs="Arial"/>
          <w:sz w:val="20"/>
        </w:rPr>
        <w:t xml:space="preserve"> timely access for an eligible child to appropriate treatment and mental health support.</w:t>
      </w:r>
    </w:p>
    <w:p w14:paraId="5BB22195" w14:textId="77777777" w:rsidR="00F65A9B" w:rsidRDefault="00F65A9B" w:rsidP="00F65A9B">
      <w:pPr>
        <w:jc w:val="both"/>
        <w:rPr>
          <w:rFonts w:ascii="Arial" w:hAnsi="Arial" w:cs="Arial"/>
          <w:sz w:val="20"/>
        </w:rPr>
      </w:pPr>
    </w:p>
    <w:p w14:paraId="5BBF3E00" w14:textId="5390955F" w:rsidR="00F65A9B" w:rsidRDefault="00F65A9B" w:rsidP="00F65A9B">
      <w:pPr>
        <w:jc w:val="both"/>
        <w:rPr>
          <w:rFonts w:ascii="Arial" w:hAnsi="Arial" w:cs="Arial"/>
          <w:sz w:val="20"/>
        </w:rPr>
      </w:pPr>
      <w:r>
        <w:rPr>
          <w:rFonts w:ascii="Arial" w:hAnsi="Arial" w:cs="Arial"/>
          <w:sz w:val="20"/>
        </w:rPr>
        <w:t>To be eligible for assistance by MHARS a young person</w:t>
      </w:r>
      <w:r w:rsidR="00055BA8">
        <w:rPr>
          <w:rFonts w:ascii="Arial" w:hAnsi="Arial" w:cs="Arial"/>
          <w:sz w:val="20"/>
        </w:rPr>
        <w:t>–</w:t>
      </w:r>
    </w:p>
    <w:p w14:paraId="52BA5CEA" w14:textId="77777777" w:rsidR="00F65A9B" w:rsidRDefault="00F65A9B" w:rsidP="00C23CF0">
      <w:pPr>
        <w:pStyle w:val="ListParagraph"/>
        <w:numPr>
          <w:ilvl w:val="0"/>
          <w:numId w:val="20"/>
        </w:numPr>
        <w:ind w:left="357" w:hanging="357"/>
        <w:jc w:val="both"/>
        <w:rPr>
          <w:rFonts w:ascii="Arial" w:hAnsi="Arial" w:cs="Arial"/>
          <w:sz w:val="20"/>
        </w:rPr>
      </w:pPr>
      <w:r>
        <w:rPr>
          <w:rFonts w:ascii="Arial" w:hAnsi="Arial" w:cs="Arial"/>
          <w:sz w:val="20"/>
        </w:rPr>
        <w:t>must be aged 10-18; and</w:t>
      </w:r>
    </w:p>
    <w:p w14:paraId="528B71D2" w14:textId="77777777" w:rsidR="00F65A9B" w:rsidRDefault="00F65A9B" w:rsidP="00C23CF0">
      <w:pPr>
        <w:pStyle w:val="ListParagraph"/>
        <w:numPr>
          <w:ilvl w:val="0"/>
          <w:numId w:val="20"/>
        </w:numPr>
        <w:ind w:left="357" w:hanging="357"/>
        <w:jc w:val="both"/>
        <w:rPr>
          <w:rFonts w:ascii="Arial" w:hAnsi="Arial" w:cs="Arial"/>
          <w:sz w:val="20"/>
        </w:rPr>
      </w:pPr>
      <w:r>
        <w:rPr>
          <w:rFonts w:ascii="Arial" w:hAnsi="Arial" w:cs="Arial"/>
          <w:sz w:val="20"/>
        </w:rPr>
        <w:t>must be an accused in proceedings in the Criminal Division of the Children’s Court or be subject to Family Division proceedings in which a secure welfare placement is possible; and</w:t>
      </w:r>
    </w:p>
    <w:p w14:paraId="4A9A65F2" w14:textId="01B5071A" w:rsidR="00F65A9B" w:rsidRDefault="00F65A9B" w:rsidP="00C23CF0">
      <w:pPr>
        <w:pStyle w:val="ListParagraph"/>
        <w:numPr>
          <w:ilvl w:val="0"/>
          <w:numId w:val="20"/>
        </w:numPr>
        <w:ind w:left="357" w:hanging="357"/>
        <w:jc w:val="both"/>
        <w:rPr>
          <w:rFonts w:ascii="Arial" w:hAnsi="Arial" w:cs="Arial"/>
          <w:sz w:val="20"/>
        </w:rPr>
      </w:pPr>
      <w:r>
        <w:rPr>
          <w:rFonts w:ascii="Arial" w:hAnsi="Arial" w:cs="Arial"/>
          <w:sz w:val="20"/>
        </w:rPr>
        <w:t>at least one of the following criteria must also be met</w:t>
      </w:r>
      <w:r w:rsidR="00055BA8">
        <w:rPr>
          <w:rFonts w:ascii="Arial" w:hAnsi="Arial" w:cs="Arial"/>
          <w:sz w:val="20"/>
        </w:rPr>
        <w:t>–</w:t>
      </w:r>
    </w:p>
    <w:p w14:paraId="2045DAE5" w14:textId="77777777" w:rsidR="00F65A9B" w:rsidRDefault="00F65A9B" w:rsidP="00C23CF0">
      <w:pPr>
        <w:pStyle w:val="ListParagraph"/>
        <w:numPr>
          <w:ilvl w:val="0"/>
          <w:numId w:val="21"/>
        </w:numPr>
        <w:ind w:left="714" w:hanging="357"/>
        <w:jc w:val="both"/>
        <w:rPr>
          <w:rFonts w:ascii="Arial" w:hAnsi="Arial" w:cs="Arial"/>
          <w:sz w:val="20"/>
        </w:rPr>
      </w:pPr>
      <w:r>
        <w:rPr>
          <w:rFonts w:ascii="Arial" w:hAnsi="Arial" w:cs="Arial"/>
          <w:sz w:val="20"/>
        </w:rPr>
        <w:t>there are concerns about the mental health and wellbeing of the young person; or</w:t>
      </w:r>
    </w:p>
    <w:p w14:paraId="32EB3ED6" w14:textId="77777777" w:rsidR="00F65A9B" w:rsidRDefault="00F65A9B" w:rsidP="00C23CF0">
      <w:pPr>
        <w:pStyle w:val="ListParagraph"/>
        <w:numPr>
          <w:ilvl w:val="0"/>
          <w:numId w:val="21"/>
        </w:numPr>
        <w:jc w:val="both"/>
        <w:rPr>
          <w:rFonts w:ascii="Arial" w:hAnsi="Arial" w:cs="Arial"/>
          <w:sz w:val="20"/>
        </w:rPr>
      </w:pPr>
      <w:r>
        <w:rPr>
          <w:rFonts w:ascii="Arial" w:hAnsi="Arial" w:cs="Arial"/>
          <w:sz w:val="20"/>
        </w:rPr>
        <w:t>the young person is engaging in expressing a desire to engage in deliberate self-harming behaviours, or is expressing suicidal ideation, or is having thoughts to harm others; or</w:t>
      </w:r>
    </w:p>
    <w:p w14:paraId="05D661B3" w14:textId="77777777" w:rsidR="00F65A9B" w:rsidRPr="00E215A7" w:rsidRDefault="00F65A9B" w:rsidP="00C23CF0">
      <w:pPr>
        <w:pStyle w:val="ListParagraph"/>
        <w:numPr>
          <w:ilvl w:val="0"/>
          <w:numId w:val="21"/>
        </w:numPr>
        <w:jc w:val="both"/>
        <w:rPr>
          <w:rFonts w:ascii="Arial" w:hAnsi="Arial" w:cs="Arial"/>
          <w:sz w:val="20"/>
        </w:rPr>
      </w:pPr>
      <w:r>
        <w:rPr>
          <w:rFonts w:ascii="Arial" w:hAnsi="Arial" w:cs="Arial"/>
          <w:sz w:val="20"/>
        </w:rPr>
        <w:t>the young person’s judgment is severely impaired due to the effects of drugs and/or alcohol use or any undetermined reason.</w:t>
      </w:r>
    </w:p>
    <w:p w14:paraId="0C6ECE39" w14:textId="77777777" w:rsidR="00F65A9B" w:rsidRDefault="00F65A9B" w:rsidP="00F65A9B">
      <w:pPr>
        <w:jc w:val="both"/>
        <w:rPr>
          <w:rFonts w:ascii="Arial" w:hAnsi="Arial" w:cs="Arial"/>
          <w:sz w:val="20"/>
        </w:rPr>
      </w:pPr>
    </w:p>
    <w:p w14:paraId="11EA0B0B" w14:textId="1A5785F7" w:rsidR="00F65A9B" w:rsidRDefault="00F65A9B" w:rsidP="00F65A9B">
      <w:pPr>
        <w:jc w:val="both"/>
        <w:rPr>
          <w:rFonts w:ascii="Arial" w:hAnsi="Arial" w:cs="Arial"/>
          <w:sz w:val="20"/>
        </w:rPr>
      </w:pPr>
      <w:r>
        <w:rPr>
          <w:rFonts w:ascii="Arial" w:hAnsi="Arial" w:cs="Arial"/>
          <w:sz w:val="20"/>
        </w:rPr>
        <w:t>Referrals to MHARS may be made by phone or email and may be initiated by a wide range of people, including</w:t>
      </w:r>
      <w:r w:rsidR="00055BA8">
        <w:rPr>
          <w:rFonts w:ascii="Arial" w:hAnsi="Arial" w:cs="Arial"/>
          <w:sz w:val="20"/>
        </w:rPr>
        <w:t>–</w:t>
      </w:r>
    </w:p>
    <w:p w14:paraId="5AB67086" w14:textId="77777777" w:rsidR="00F65A9B" w:rsidRDefault="00F65A9B" w:rsidP="00C23CF0">
      <w:pPr>
        <w:pStyle w:val="ListParagraph"/>
        <w:numPr>
          <w:ilvl w:val="0"/>
          <w:numId w:val="20"/>
        </w:numPr>
        <w:ind w:left="357" w:hanging="357"/>
        <w:jc w:val="both"/>
        <w:rPr>
          <w:rFonts w:ascii="Arial" w:hAnsi="Arial" w:cs="Arial"/>
          <w:sz w:val="20"/>
        </w:rPr>
      </w:pPr>
      <w:r>
        <w:rPr>
          <w:rFonts w:ascii="Arial" w:hAnsi="Arial" w:cs="Arial"/>
          <w:sz w:val="20"/>
        </w:rPr>
        <w:t>judicial officers and Court personnel;</w:t>
      </w:r>
    </w:p>
    <w:p w14:paraId="2407A21E" w14:textId="77777777" w:rsidR="00F65A9B" w:rsidRDefault="00F65A9B" w:rsidP="00C23CF0">
      <w:pPr>
        <w:pStyle w:val="ListParagraph"/>
        <w:numPr>
          <w:ilvl w:val="0"/>
          <w:numId w:val="20"/>
        </w:numPr>
        <w:ind w:left="357" w:hanging="357"/>
        <w:jc w:val="both"/>
        <w:rPr>
          <w:rFonts w:ascii="Arial" w:hAnsi="Arial" w:cs="Arial"/>
          <w:sz w:val="20"/>
        </w:rPr>
      </w:pPr>
      <w:r>
        <w:rPr>
          <w:rFonts w:ascii="Arial" w:hAnsi="Arial" w:cs="Arial"/>
          <w:sz w:val="20"/>
        </w:rPr>
        <w:t>legal practitioners;</w:t>
      </w:r>
    </w:p>
    <w:p w14:paraId="53E31FC8" w14:textId="77777777" w:rsidR="00F65A9B" w:rsidRDefault="00F65A9B" w:rsidP="00C23CF0">
      <w:pPr>
        <w:pStyle w:val="ListParagraph"/>
        <w:numPr>
          <w:ilvl w:val="0"/>
          <w:numId w:val="20"/>
        </w:numPr>
        <w:ind w:left="357" w:hanging="357"/>
        <w:jc w:val="both"/>
        <w:rPr>
          <w:rFonts w:ascii="Arial" w:hAnsi="Arial" w:cs="Arial"/>
          <w:sz w:val="20"/>
        </w:rPr>
      </w:pPr>
      <w:r>
        <w:rPr>
          <w:rFonts w:ascii="Arial" w:hAnsi="Arial" w:cs="Arial"/>
          <w:sz w:val="20"/>
        </w:rPr>
        <w:t>Victoria Police, DFFH and Youth Justice;</w:t>
      </w:r>
    </w:p>
    <w:p w14:paraId="4B470F0D" w14:textId="77777777" w:rsidR="00F65A9B" w:rsidRDefault="00F65A9B" w:rsidP="00C23CF0">
      <w:pPr>
        <w:pStyle w:val="ListParagraph"/>
        <w:numPr>
          <w:ilvl w:val="0"/>
          <w:numId w:val="20"/>
        </w:numPr>
        <w:ind w:left="357" w:hanging="357"/>
        <w:jc w:val="both"/>
        <w:rPr>
          <w:rFonts w:ascii="Arial" w:hAnsi="Arial" w:cs="Arial"/>
          <w:sz w:val="20"/>
        </w:rPr>
      </w:pPr>
      <w:r>
        <w:rPr>
          <w:rFonts w:ascii="Arial" w:hAnsi="Arial" w:cs="Arial"/>
          <w:sz w:val="20"/>
        </w:rPr>
        <w:t>family, support people and self-referrals.</w:t>
      </w:r>
    </w:p>
    <w:p w14:paraId="001945EF" w14:textId="77777777" w:rsidR="00F65A9B" w:rsidRDefault="00F65A9B" w:rsidP="00F65A9B">
      <w:pPr>
        <w:jc w:val="both"/>
        <w:rPr>
          <w:rFonts w:ascii="Arial" w:hAnsi="Arial" w:cs="Arial"/>
          <w:sz w:val="20"/>
        </w:rPr>
      </w:pPr>
    </w:p>
    <w:p w14:paraId="649C9DFD" w14:textId="77777777" w:rsidR="00F65A9B" w:rsidRDefault="00F65A9B" w:rsidP="00F65A9B">
      <w:pPr>
        <w:jc w:val="both"/>
        <w:rPr>
          <w:rFonts w:ascii="Arial" w:hAnsi="Arial" w:cs="Arial"/>
          <w:sz w:val="20"/>
        </w:rPr>
      </w:pPr>
      <w:r>
        <w:rPr>
          <w:rFonts w:ascii="Arial" w:hAnsi="Arial" w:cs="Arial"/>
          <w:sz w:val="20"/>
        </w:rPr>
        <w:t xml:space="preserve">On </w:t>
      </w:r>
      <w:r>
        <w:rPr>
          <w:rFonts w:ascii="Arial" w:hAnsi="Arial" w:cs="Arial"/>
          <w:color w:val="000000"/>
          <w:sz w:val="20"/>
        </w:rPr>
        <w:t xml:space="preserve">the Children’s Court website tab “Help and Support” </w:t>
      </w:r>
      <w:r>
        <w:rPr>
          <w:rFonts w:ascii="Arial" w:hAnsi="Arial" w:cs="Arial"/>
          <w:color w:val="000000"/>
          <w:sz w:val="20"/>
        </w:rPr>
        <w:sym w:font="Wingdings" w:char="F0E8"/>
      </w:r>
      <w:r>
        <w:rPr>
          <w:rFonts w:ascii="Arial" w:hAnsi="Arial" w:cs="Arial"/>
          <w:color w:val="000000"/>
          <w:sz w:val="20"/>
        </w:rPr>
        <w:t xml:space="preserve"> “Support Services at Court” </w:t>
      </w:r>
      <w:r>
        <w:rPr>
          <w:rFonts w:ascii="Arial" w:hAnsi="Arial" w:cs="Arial"/>
          <w:color w:val="000000"/>
          <w:sz w:val="20"/>
        </w:rPr>
        <w:sym w:font="Wingdings" w:char="F0E8"/>
      </w:r>
      <w:r>
        <w:rPr>
          <w:rFonts w:ascii="Arial" w:hAnsi="Arial" w:cs="Arial"/>
          <w:color w:val="000000"/>
          <w:sz w:val="20"/>
        </w:rPr>
        <w:t xml:space="preserve"> “MHARS”.</w:t>
      </w:r>
    </w:p>
    <w:p w14:paraId="161E0266" w14:textId="34892543" w:rsidR="00B85F7F" w:rsidRDefault="00B85F7F">
      <w:pPr>
        <w:jc w:val="both"/>
        <w:rPr>
          <w:rFonts w:ascii="Arial" w:hAnsi="Arial" w:cs="Arial"/>
          <w:sz w:val="20"/>
        </w:rPr>
      </w:pPr>
    </w:p>
    <w:p w14:paraId="0F845771" w14:textId="2869E15A" w:rsidR="00384A15" w:rsidRPr="00BE6441" w:rsidRDefault="00384A15" w:rsidP="006C17E0">
      <w:pPr>
        <w:pStyle w:val="Heading3"/>
        <w:keepNext/>
        <w:keepLines/>
        <w:widowControl/>
        <w:spacing w:after="120" w:line="240" w:lineRule="auto"/>
        <w:rPr>
          <w:rFonts w:ascii="Arial" w:hAnsi="Arial" w:cs="Arial"/>
          <w:b/>
          <w:bCs/>
          <w:color w:val="000000"/>
          <w:sz w:val="20"/>
        </w:rPr>
      </w:pPr>
      <w:bookmarkStart w:id="747" w:name="_2.10.6_Education_Justice"/>
      <w:bookmarkEnd w:id="747"/>
      <w:r w:rsidRPr="00BE6441">
        <w:rPr>
          <w:rFonts w:ascii="Arial" w:hAnsi="Arial" w:cs="Arial"/>
          <w:b/>
          <w:bCs/>
          <w:color w:val="000000"/>
          <w:sz w:val="20"/>
        </w:rPr>
        <w:t>2.10.</w:t>
      </w:r>
      <w:r w:rsidR="00F65A9B">
        <w:rPr>
          <w:rFonts w:ascii="Arial" w:hAnsi="Arial" w:cs="Arial"/>
          <w:b/>
          <w:bCs/>
          <w:color w:val="000000"/>
          <w:sz w:val="20"/>
        </w:rPr>
        <w:t>7</w:t>
      </w:r>
      <w:r w:rsidRPr="00BE6441">
        <w:rPr>
          <w:rFonts w:ascii="Arial" w:hAnsi="Arial" w:cs="Arial"/>
          <w:b/>
          <w:bCs/>
          <w:color w:val="000000"/>
          <w:sz w:val="20"/>
        </w:rPr>
        <w:tab/>
      </w:r>
      <w:r>
        <w:rPr>
          <w:rFonts w:ascii="Arial" w:hAnsi="Arial" w:cs="Arial"/>
          <w:b/>
          <w:bCs/>
          <w:color w:val="000000"/>
          <w:sz w:val="20"/>
        </w:rPr>
        <w:t>Education Justice Initiative</w:t>
      </w:r>
    </w:p>
    <w:p w14:paraId="44A2EE80" w14:textId="76C08FC9" w:rsidR="00384A15" w:rsidRDefault="00384A15">
      <w:pPr>
        <w:jc w:val="both"/>
        <w:rPr>
          <w:rFonts w:ascii="Arial" w:hAnsi="Arial" w:cs="Arial"/>
          <w:sz w:val="20"/>
        </w:rPr>
      </w:pPr>
      <w:r>
        <w:rPr>
          <w:rFonts w:ascii="Arial" w:hAnsi="Arial" w:cs="Arial"/>
          <w:sz w:val="20"/>
        </w:rPr>
        <w:t xml:space="preserve">The Victorian Government’s Education Justice Initiative [EJI] is a program run by the Department of Education and Training [DET] and supported by the Children’s Court of Victoria.  </w:t>
      </w:r>
      <w:r w:rsidR="00D22EF2">
        <w:rPr>
          <w:rFonts w:ascii="Arial" w:hAnsi="Arial" w:cs="Arial"/>
          <w:sz w:val="20"/>
        </w:rPr>
        <w:t>It re/connects young people appearing before the Criminal Division of the Children’s Court with supported educational pathways that suit their needs and interests.</w:t>
      </w:r>
    </w:p>
    <w:p w14:paraId="545905A2" w14:textId="4B52A0CF" w:rsidR="00D22EF2" w:rsidRDefault="00D22EF2">
      <w:pPr>
        <w:jc w:val="both"/>
        <w:rPr>
          <w:rFonts w:ascii="Arial" w:hAnsi="Arial" w:cs="Arial"/>
          <w:sz w:val="20"/>
        </w:rPr>
      </w:pPr>
    </w:p>
    <w:p w14:paraId="3BF011EC" w14:textId="134812E8" w:rsidR="0007594B" w:rsidRDefault="0007594B">
      <w:pPr>
        <w:jc w:val="both"/>
        <w:rPr>
          <w:rFonts w:ascii="Arial" w:hAnsi="Arial" w:cs="Arial"/>
          <w:sz w:val="20"/>
        </w:rPr>
      </w:pPr>
      <w:bookmarkStart w:id="748" w:name="_Hlk98397064"/>
      <w:r>
        <w:rPr>
          <w:rFonts w:ascii="Arial" w:hAnsi="Arial" w:cs="Arial"/>
          <w:sz w:val="20"/>
        </w:rPr>
        <w:t xml:space="preserve">In </w:t>
      </w:r>
      <w:r w:rsidRPr="0007594B">
        <w:rPr>
          <w:rFonts w:ascii="Arial" w:hAnsi="Arial" w:cs="Arial"/>
          <w:i/>
          <w:iCs/>
          <w:sz w:val="20"/>
        </w:rPr>
        <w:t>DPP v Nelis</w:t>
      </w:r>
      <w:r>
        <w:rPr>
          <w:rFonts w:ascii="Arial" w:hAnsi="Arial" w:cs="Arial"/>
          <w:sz w:val="20"/>
        </w:rPr>
        <w:t xml:space="preserve"> [2022] VSC 50, in the context of sentencing a 38 year old offender on a charge of manslaughter based on criminal negligence, Lasry J said at [22] [emphasis added]:</w:t>
      </w:r>
    </w:p>
    <w:p w14:paraId="5098A2A0" w14:textId="23D19032" w:rsidR="0007594B" w:rsidRPr="00B46EF1" w:rsidRDefault="0007594B" w:rsidP="0007594B">
      <w:pPr>
        <w:spacing w:before="60"/>
        <w:ind w:left="567" w:right="567"/>
        <w:jc w:val="both"/>
        <w:rPr>
          <w:rFonts w:ascii="Arial" w:hAnsi="Arial" w:cs="Arial"/>
          <w:color w:val="000000"/>
          <w:sz w:val="20"/>
          <w:szCs w:val="20"/>
        </w:rPr>
      </w:pPr>
      <w:r>
        <w:rPr>
          <w:rFonts w:ascii="Arial" w:hAnsi="Arial" w:cs="Arial"/>
          <w:color w:val="000000"/>
          <w:sz w:val="20"/>
          <w:szCs w:val="20"/>
        </w:rPr>
        <w:t>“</w:t>
      </w:r>
      <w:r w:rsidRPr="0007594B">
        <w:rPr>
          <w:rFonts w:ascii="Arial" w:hAnsi="Arial" w:cs="Arial"/>
          <w:sz w:val="20"/>
          <w:szCs w:val="20"/>
        </w:rPr>
        <w:t xml:space="preserve">Your childhood was affected by violence and instability.  As a teenager you lived in Geelong and Perth.  You were in the latter city because of </w:t>
      </w:r>
      <w:r w:rsidRPr="0007594B">
        <w:rPr>
          <w:rFonts w:ascii="Arial" w:eastAsia="Book Antiqua" w:hAnsi="Arial" w:cs="Arial"/>
          <w:sz w:val="20"/>
          <w:szCs w:val="20"/>
        </w:rPr>
        <w:t xml:space="preserve">your mother’s new </w:t>
      </w:r>
      <w:r w:rsidRPr="0007594B">
        <w:rPr>
          <w:rFonts w:ascii="Arial" w:hAnsi="Arial" w:cs="Arial"/>
          <w:sz w:val="20"/>
          <w:szCs w:val="20"/>
        </w:rPr>
        <w:t>relationship.  Y</w:t>
      </w:r>
      <w:r w:rsidRPr="0007594B">
        <w:rPr>
          <w:rFonts w:ascii="Arial" w:eastAsia="Book Antiqua" w:hAnsi="Arial" w:cs="Arial"/>
          <w:sz w:val="20"/>
          <w:szCs w:val="20"/>
        </w:rPr>
        <w:t>ou suffered at the hands of both your mother’s partner and an uncle</w:t>
      </w:r>
      <w:r w:rsidRPr="0007594B">
        <w:rPr>
          <w:rFonts w:ascii="Arial" w:hAnsi="Arial" w:cs="Arial"/>
          <w:sz w:val="20"/>
          <w:szCs w:val="20"/>
        </w:rPr>
        <w:t xml:space="preserve"> while you were there.  You returned to Victoria after spending six months in Perth.  Your education finished after year 11, having been intermittent for several years.  I pause to note that this is a typical scenario</w:t>
      </w:r>
      <w:r w:rsidRPr="003F71AC">
        <w:rPr>
          <w:rFonts w:ascii="Arial" w:hAnsi="Arial" w:cs="Arial"/>
          <w:b/>
          <w:bCs/>
          <w:sz w:val="20"/>
          <w:szCs w:val="20"/>
        </w:rPr>
        <w:t>.  It is the case that a very large number of troubled individuals who find themselves in the criminal justice system have an incomplete and unsatisfactory education.</w:t>
      </w:r>
      <w:r w:rsidRPr="0007594B">
        <w:rPr>
          <w:rFonts w:ascii="Arial" w:hAnsi="Arial" w:cs="Arial"/>
          <w:sz w:val="20"/>
          <w:szCs w:val="20"/>
        </w:rPr>
        <w:t xml:space="preserve">  </w:t>
      </w:r>
      <w:r w:rsidRPr="007719D0">
        <w:rPr>
          <w:rFonts w:ascii="Arial" w:hAnsi="Arial" w:cs="Arial"/>
          <w:b/>
          <w:bCs/>
          <w:sz w:val="20"/>
          <w:szCs w:val="20"/>
        </w:rPr>
        <w:t>Those who are vocal about reducing criminal activity should pay careful attention to education as a means of diverting young people away from being tempted to commit criminal offences, particularly when a drug habit has become entrenched in their lives.</w:t>
      </w:r>
      <w:r w:rsidR="007719D0">
        <w:rPr>
          <w:rFonts w:ascii="Arial" w:hAnsi="Arial" w:cs="Arial"/>
          <w:sz w:val="20"/>
          <w:szCs w:val="20"/>
        </w:rPr>
        <w:t>”</w:t>
      </w:r>
    </w:p>
    <w:p w14:paraId="1C546A2D" w14:textId="77BDB693" w:rsidR="0007594B" w:rsidRDefault="0007594B">
      <w:pPr>
        <w:jc w:val="both"/>
        <w:rPr>
          <w:rFonts w:ascii="Arial" w:hAnsi="Arial" w:cs="Arial"/>
          <w:sz w:val="20"/>
        </w:rPr>
      </w:pPr>
    </w:p>
    <w:p w14:paraId="441225D4" w14:textId="0DE45605" w:rsidR="0007594B" w:rsidRDefault="007719D0">
      <w:pPr>
        <w:jc w:val="both"/>
        <w:rPr>
          <w:rFonts w:ascii="Arial" w:hAnsi="Arial" w:cs="Arial"/>
          <w:sz w:val="20"/>
        </w:rPr>
      </w:pPr>
      <w:r>
        <w:rPr>
          <w:rFonts w:ascii="Arial" w:hAnsi="Arial" w:cs="Arial"/>
          <w:sz w:val="20"/>
        </w:rPr>
        <w:lastRenderedPageBreak/>
        <w:t xml:space="preserve">It was precisely this philosophy that led to the setting-up of the EJI </w:t>
      </w:r>
      <w:r w:rsidR="006F0082">
        <w:rPr>
          <w:rFonts w:ascii="Arial" w:hAnsi="Arial" w:cs="Arial"/>
          <w:sz w:val="20"/>
        </w:rPr>
        <w:t xml:space="preserve">as an initiative of Judge </w:t>
      </w:r>
      <w:r w:rsidR="009627D0">
        <w:rPr>
          <w:rFonts w:ascii="Arial" w:hAnsi="Arial" w:cs="Arial"/>
          <w:sz w:val="20"/>
        </w:rPr>
        <w:t>Couzens</w:t>
      </w:r>
      <w:r w:rsidR="006F0082">
        <w:rPr>
          <w:rFonts w:ascii="Arial" w:hAnsi="Arial" w:cs="Arial"/>
          <w:sz w:val="20"/>
        </w:rPr>
        <w:t>, a</w:t>
      </w:r>
      <w:r w:rsidR="009627D0">
        <w:rPr>
          <w:rFonts w:ascii="Arial" w:hAnsi="Arial" w:cs="Arial"/>
          <w:sz w:val="20"/>
        </w:rPr>
        <w:t> </w:t>
      </w:r>
      <w:r w:rsidR="006F0082">
        <w:rPr>
          <w:rFonts w:ascii="Arial" w:hAnsi="Arial" w:cs="Arial"/>
          <w:sz w:val="20"/>
        </w:rPr>
        <w:t xml:space="preserve">former President of the Children’s Court, in </w:t>
      </w:r>
      <w:r w:rsidR="009627D0">
        <w:rPr>
          <w:rFonts w:ascii="Arial" w:hAnsi="Arial" w:cs="Arial"/>
          <w:sz w:val="20"/>
        </w:rPr>
        <w:t xml:space="preserve">August </w:t>
      </w:r>
      <w:r w:rsidR="006F0082">
        <w:rPr>
          <w:rFonts w:ascii="Arial" w:hAnsi="Arial" w:cs="Arial"/>
          <w:sz w:val="20"/>
        </w:rPr>
        <w:t>201</w:t>
      </w:r>
      <w:r w:rsidR="009627D0">
        <w:rPr>
          <w:rFonts w:ascii="Arial" w:hAnsi="Arial" w:cs="Arial"/>
          <w:sz w:val="20"/>
        </w:rPr>
        <w:t>4</w:t>
      </w:r>
      <w:r w:rsidR="006F0082">
        <w:rPr>
          <w:rFonts w:ascii="Arial" w:hAnsi="Arial" w:cs="Arial"/>
          <w:sz w:val="20"/>
        </w:rPr>
        <w:t>.</w:t>
      </w:r>
    </w:p>
    <w:p w14:paraId="0E557FFD" w14:textId="77777777" w:rsidR="0007594B" w:rsidRDefault="0007594B">
      <w:pPr>
        <w:jc w:val="both"/>
        <w:rPr>
          <w:rFonts w:ascii="Arial" w:hAnsi="Arial" w:cs="Arial"/>
          <w:sz w:val="20"/>
        </w:rPr>
      </w:pPr>
    </w:p>
    <w:bookmarkEnd w:id="748"/>
    <w:p w14:paraId="298C52DE" w14:textId="2F6B8603" w:rsidR="00D22EF2" w:rsidRDefault="00D22EF2">
      <w:pPr>
        <w:jc w:val="both"/>
        <w:rPr>
          <w:rFonts w:ascii="Arial" w:hAnsi="Arial" w:cs="Arial"/>
          <w:sz w:val="20"/>
        </w:rPr>
      </w:pPr>
      <w:r>
        <w:rPr>
          <w:rFonts w:ascii="Arial" w:hAnsi="Arial" w:cs="Arial"/>
          <w:sz w:val="20"/>
        </w:rPr>
        <w:t>The EJI is available to young people who are 10-17 years of age and who currently have a matter before the Criminal Division of a Children’s Court at locations listed below or at any Koori Children’s Court</w:t>
      </w:r>
      <w:r w:rsidR="00123BB8">
        <w:rPr>
          <w:rFonts w:ascii="Arial" w:hAnsi="Arial" w:cs="Arial"/>
          <w:sz w:val="20"/>
        </w:rPr>
        <w:t>.</w:t>
      </w:r>
    </w:p>
    <w:p w14:paraId="1C60BC79" w14:textId="561E5E2B" w:rsidR="00D22EF2" w:rsidRDefault="00D22EF2">
      <w:pPr>
        <w:jc w:val="both"/>
        <w:rPr>
          <w:rFonts w:ascii="Arial" w:hAnsi="Arial" w:cs="Arial"/>
          <w:sz w:val="20"/>
        </w:rPr>
      </w:pPr>
    </w:p>
    <w:tbl>
      <w:tblPr>
        <w:tblStyle w:val="TableGrid"/>
        <w:tblW w:w="0" w:type="auto"/>
        <w:tblLook w:val="04A0" w:firstRow="1" w:lastRow="0" w:firstColumn="1" w:lastColumn="0" w:noHBand="0" w:noVBand="1"/>
      </w:tblPr>
      <w:tblGrid>
        <w:gridCol w:w="4530"/>
        <w:gridCol w:w="4530"/>
      </w:tblGrid>
      <w:tr w:rsidR="00123BB8" w:rsidRPr="00123BB8" w14:paraId="3E2191B1" w14:textId="77777777" w:rsidTr="006848A8">
        <w:tc>
          <w:tcPr>
            <w:tcW w:w="9060" w:type="dxa"/>
            <w:gridSpan w:val="2"/>
            <w:shd w:val="clear" w:color="auto" w:fill="000000" w:themeFill="text1"/>
          </w:tcPr>
          <w:p w14:paraId="2D94BCF3" w14:textId="09B7E6EC" w:rsidR="00123BB8" w:rsidRPr="00123BB8" w:rsidRDefault="00123BB8" w:rsidP="00596E53">
            <w:pPr>
              <w:keepNext/>
              <w:keepLines/>
              <w:jc w:val="center"/>
              <w:rPr>
                <w:rFonts w:ascii="Arial" w:hAnsi="Arial" w:cs="Arial"/>
                <w:b/>
                <w:bCs/>
                <w:color w:val="FFFFFF" w:themeColor="background1"/>
                <w:szCs w:val="32"/>
              </w:rPr>
            </w:pPr>
            <w:r w:rsidRPr="00123BB8">
              <w:rPr>
                <w:rFonts w:ascii="Arial" w:hAnsi="Arial" w:cs="Arial"/>
                <w:b/>
                <w:bCs/>
                <w:color w:val="FFFFFF" w:themeColor="background1"/>
                <w:szCs w:val="32"/>
              </w:rPr>
              <w:t>CHILDREN’S COURTS WITH EJI SERVICE</w:t>
            </w:r>
          </w:p>
        </w:tc>
      </w:tr>
      <w:tr w:rsidR="00123BB8" w14:paraId="1CE8CCA0" w14:textId="77777777" w:rsidTr="00123BB8">
        <w:tc>
          <w:tcPr>
            <w:tcW w:w="4530" w:type="dxa"/>
            <w:shd w:val="clear" w:color="auto" w:fill="000000" w:themeFill="text1"/>
          </w:tcPr>
          <w:p w14:paraId="21AC5DFE" w14:textId="49F0CFD4" w:rsidR="00123BB8" w:rsidRPr="00123BB8" w:rsidRDefault="00123BB8" w:rsidP="00596E53">
            <w:pPr>
              <w:keepNext/>
              <w:keepLines/>
              <w:jc w:val="center"/>
              <w:rPr>
                <w:rFonts w:ascii="Arial" w:hAnsi="Arial" w:cs="Arial"/>
                <w:b/>
                <w:bCs/>
                <w:color w:val="FFFFFF" w:themeColor="background1"/>
                <w:sz w:val="20"/>
              </w:rPr>
            </w:pPr>
            <w:r w:rsidRPr="00123BB8">
              <w:rPr>
                <w:rFonts w:ascii="Arial" w:hAnsi="Arial" w:cs="Arial"/>
                <w:b/>
                <w:bCs/>
                <w:color w:val="FFFFFF" w:themeColor="background1"/>
                <w:sz w:val="20"/>
              </w:rPr>
              <w:t>MAINSTREAM CHILDREN’S COURT</w:t>
            </w:r>
          </w:p>
        </w:tc>
        <w:tc>
          <w:tcPr>
            <w:tcW w:w="4530" w:type="dxa"/>
            <w:shd w:val="clear" w:color="auto" w:fill="000000" w:themeFill="text1"/>
          </w:tcPr>
          <w:p w14:paraId="6C9EA33A" w14:textId="340A9354" w:rsidR="00123BB8" w:rsidRPr="00123BB8" w:rsidRDefault="00123BB8" w:rsidP="00596E53">
            <w:pPr>
              <w:keepNext/>
              <w:keepLines/>
              <w:jc w:val="center"/>
              <w:rPr>
                <w:rFonts w:ascii="Arial" w:hAnsi="Arial" w:cs="Arial"/>
                <w:b/>
                <w:bCs/>
                <w:color w:val="FFFFFF" w:themeColor="background1"/>
                <w:sz w:val="20"/>
              </w:rPr>
            </w:pPr>
            <w:r w:rsidRPr="00123BB8">
              <w:rPr>
                <w:rFonts w:ascii="Arial" w:hAnsi="Arial" w:cs="Arial"/>
                <w:b/>
                <w:bCs/>
                <w:color w:val="FFFFFF" w:themeColor="background1"/>
                <w:sz w:val="20"/>
              </w:rPr>
              <w:t>KOORI CHILDREN’S COURT</w:t>
            </w:r>
          </w:p>
        </w:tc>
      </w:tr>
      <w:tr w:rsidR="00123BB8" w14:paraId="316FADEE" w14:textId="77777777" w:rsidTr="00123BB8">
        <w:tc>
          <w:tcPr>
            <w:tcW w:w="4530" w:type="dxa"/>
          </w:tcPr>
          <w:p w14:paraId="29FEE6F9" w14:textId="17FBAD06" w:rsidR="00123BB8" w:rsidRDefault="00123BB8" w:rsidP="00596E53">
            <w:pPr>
              <w:keepNext/>
              <w:keepLines/>
              <w:jc w:val="center"/>
              <w:rPr>
                <w:rFonts w:ascii="Arial" w:hAnsi="Arial" w:cs="Arial"/>
                <w:sz w:val="20"/>
              </w:rPr>
            </w:pPr>
            <w:r>
              <w:rPr>
                <w:rFonts w:ascii="Arial" w:hAnsi="Arial" w:cs="Arial"/>
                <w:sz w:val="20"/>
              </w:rPr>
              <w:t>Melbourne</w:t>
            </w:r>
          </w:p>
        </w:tc>
        <w:tc>
          <w:tcPr>
            <w:tcW w:w="4530" w:type="dxa"/>
          </w:tcPr>
          <w:p w14:paraId="32EFB7EC" w14:textId="410C30EE" w:rsidR="00123BB8" w:rsidRDefault="00123BB8" w:rsidP="00596E53">
            <w:pPr>
              <w:keepNext/>
              <w:keepLines/>
              <w:jc w:val="center"/>
              <w:rPr>
                <w:rFonts w:ascii="Arial" w:hAnsi="Arial" w:cs="Arial"/>
                <w:sz w:val="20"/>
              </w:rPr>
            </w:pPr>
            <w:r>
              <w:rPr>
                <w:rFonts w:ascii="Arial" w:hAnsi="Arial" w:cs="Arial"/>
                <w:sz w:val="20"/>
              </w:rPr>
              <w:t>Melbourne</w:t>
            </w:r>
          </w:p>
        </w:tc>
      </w:tr>
      <w:tr w:rsidR="00123BB8" w14:paraId="578C23E6" w14:textId="77777777" w:rsidTr="00123BB8">
        <w:tc>
          <w:tcPr>
            <w:tcW w:w="4530" w:type="dxa"/>
            <w:shd w:val="clear" w:color="auto" w:fill="DDDDDD"/>
          </w:tcPr>
          <w:p w14:paraId="24704B18" w14:textId="693FCD07" w:rsidR="00123BB8" w:rsidRDefault="00123BB8" w:rsidP="00123BB8">
            <w:pPr>
              <w:jc w:val="center"/>
              <w:rPr>
                <w:rFonts w:ascii="Arial" w:hAnsi="Arial" w:cs="Arial"/>
                <w:sz w:val="20"/>
              </w:rPr>
            </w:pPr>
            <w:r>
              <w:rPr>
                <w:rFonts w:ascii="Arial" w:hAnsi="Arial" w:cs="Arial"/>
                <w:sz w:val="20"/>
              </w:rPr>
              <w:t>Bairnsdale</w:t>
            </w:r>
          </w:p>
        </w:tc>
        <w:tc>
          <w:tcPr>
            <w:tcW w:w="4530" w:type="dxa"/>
            <w:shd w:val="clear" w:color="auto" w:fill="DDDDDD"/>
          </w:tcPr>
          <w:p w14:paraId="02FDA413" w14:textId="7A134EF8" w:rsidR="00123BB8" w:rsidRDefault="00123BB8" w:rsidP="00123BB8">
            <w:pPr>
              <w:jc w:val="center"/>
              <w:rPr>
                <w:rFonts w:ascii="Arial" w:hAnsi="Arial" w:cs="Arial"/>
                <w:sz w:val="20"/>
              </w:rPr>
            </w:pPr>
            <w:r>
              <w:rPr>
                <w:rFonts w:ascii="Arial" w:hAnsi="Arial" w:cs="Arial"/>
                <w:sz w:val="20"/>
              </w:rPr>
              <w:t>Bairnsdale</w:t>
            </w:r>
          </w:p>
        </w:tc>
      </w:tr>
      <w:tr w:rsidR="00123BB8" w14:paraId="5F9DD752" w14:textId="77777777" w:rsidTr="00123BB8">
        <w:tc>
          <w:tcPr>
            <w:tcW w:w="4530" w:type="dxa"/>
          </w:tcPr>
          <w:p w14:paraId="364A14D6" w14:textId="6DFE8A22" w:rsidR="00123BB8" w:rsidRDefault="00123BB8" w:rsidP="00123BB8">
            <w:pPr>
              <w:jc w:val="center"/>
              <w:rPr>
                <w:rFonts w:ascii="Arial" w:hAnsi="Arial" w:cs="Arial"/>
                <w:sz w:val="20"/>
              </w:rPr>
            </w:pPr>
            <w:r>
              <w:rPr>
                <w:rFonts w:ascii="Arial" w:hAnsi="Arial" w:cs="Arial"/>
                <w:sz w:val="20"/>
              </w:rPr>
              <w:t>Ballarat</w:t>
            </w:r>
          </w:p>
        </w:tc>
        <w:tc>
          <w:tcPr>
            <w:tcW w:w="4530" w:type="dxa"/>
          </w:tcPr>
          <w:p w14:paraId="530E1DE6" w14:textId="77777777" w:rsidR="00123BB8" w:rsidRDefault="00123BB8" w:rsidP="00123BB8">
            <w:pPr>
              <w:jc w:val="center"/>
              <w:rPr>
                <w:rFonts w:ascii="Arial" w:hAnsi="Arial" w:cs="Arial"/>
                <w:sz w:val="20"/>
              </w:rPr>
            </w:pPr>
          </w:p>
        </w:tc>
      </w:tr>
      <w:tr w:rsidR="00123BB8" w14:paraId="3CE78F43" w14:textId="77777777" w:rsidTr="00123BB8">
        <w:tc>
          <w:tcPr>
            <w:tcW w:w="4530" w:type="dxa"/>
            <w:shd w:val="clear" w:color="auto" w:fill="DDDDDD"/>
          </w:tcPr>
          <w:p w14:paraId="455A4BAA" w14:textId="38D170F0" w:rsidR="00123BB8" w:rsidRDefault="00123BB8" w:rsidP="00123BB8">
            <w:pPr>
              <w:jc w:val="center"/>
              <w:rPr>
                <w:rFonts w:ascii="Arial" w:hAnsi="Arial" w:cs="Arial"/>
                <w:sz w:val="20"/>
              </w:rPr>
            </w:pPr>
            <w:r>
              <w:rPr>
                <w:rFonts w:ascii="Arial" w:hAnsi="Arial" w:cs="Arial"/>
                <w:sz w:val="20"/>
              </w:rPr>
              <w:t>Benalla</w:t>
            </w:r>
          </w:p>
        </w:tc>
        <w:tc>
          <w:tcPr>
            <w:tcW w:w="4530" w:type="dxa"/>
            <w:shd w:val="clear" w:color="auto" w:fill="DDDDDD"/>
          </w:tcPr>
          <w:p w14:paraId="3415A1A9" w14:textId="77777777" w:rsidR="00123BB8" w:rsidRDefault="00123BB8" w:rsidP="00123BB8">
            <w:pPr>
              <w:jc w:val="center"/>
              <w:rPr>
                <w:rFonts w:ascii="Arial" w:hAnsi="Arial" w:cs="Arial"/>
                <w:sz w:val="20"/>
              </w:rPr>
            </w:pPr>
          </w:p>
        </w:tc>
      </w:tr>
      <w:tr w:rsidR="00123BB8" w14:paraId="7FD5A5C6" w14:textId="77777777" w:rsidTr="00123BB8">
        <w:tc>
          <w:tcPr>
            <w:tcW w:w="4530" w:type="dxa"/>
          </w:tcPr>
          <w:p w14:paraId="1A6FC007" w14:textId="572E735F" w:rsidR="00123BB8" w:rsidRDefault="00123BB8" w:rsidP="00123BB8">
            <w:pPr>
              <w:jc w:val="center"/>
              <w:rPr>
                <w:rFonts w:ascii="Arial" w:hAnsi="Arial" w:cs="Arial"/>
                <w:sz w:val="20"/>
              </w:rPr>
            </w:pPr>
            <w:r>
              <w:rPr>
                <w:rFonts w:ascii="Arial" w:hAnsi="Arial" w:cs="Arial"/>
                <w:sz w:val="20"/>
              </w:rPr>
              <w:t>Bendigo</w:t>
            </w:r>
          </w:p>
        </w:tc>
        <w:tc>
          <w:tcPr>
            <w:tcW w:w="4530" w:type="dxa"/>
          </w:tcPr>
          <w:p w14:paraId="4C269958" w14:textId="77777777" w:rsidR="00123BB8" w:rsidRDefault="00123BB8" w:rsidP="00123BB8">
            <w:pPr>
              <w:jc w:val="center"/>
              <w:rPr>
                <w:rFonts w:ascii="Arial" w:hAnsi="Arial" w:cs="Arial"/>
                <w:sz w:val="20"/>
              </w:rPr>
            </w:pPr>
          </w:p>
        </w:tc>
      </w:tr>
      <w:tr w:rsidR="00123BB8" w14:paraId="04C41060" w14:textId="77777777" w:rsidTr="00123BB8">
        <w:tc>
          <w:tcPr>
            <w:tcW w:w="4530" w:type="dxa"/>
            <w:shd w:val="clear" w:color="auto" w:fill="DDDDDD"/>
          </w:tcPr>
          <w:p w14:paraId="424590D8" w14:textId="2C0CD6AF" w:rsidR="00123BB8" w:rsidRDefault="00123BB8" w:rsidP="00123BB8">
            <w:pPr>
              <w:jc w:val="center"/>
              <w:rPr>
                <w:rFonts w:ascii="Arial" w:hAnsi="Arial" w:cs="Arial"/>
                <w:sz w:val="20"/>
              </w:rPr>
            </w:pPr>
            <w:r>
              <w:rPr>
                <w:rFonts w:ascii="Arial" w:hAnsi="Arial" w:cs="Arial"/>
                <w:sz w:val="20"/>
              </w:rPr>
              <w:t>Broadmeadows</w:t>
            </w:r>
          </w:p>
        </w:tc>
        <w:tc>
          <w:tcPr>
            <w:tcW w:w="4530" w:type="dxa"/>
            <w:shd w:val="clear" w:color="auto" w:fill="DDDDDD"/>
          </w:tcPr>
          <w:p w14:paraId="01D28850" w14:textId="77777777" w:rsidR="00123BB8" w:rsidRDefault="00123BB8" w:rsidP="00123BB8">
            <w:pPr>
              <w:jc w:val="center"/>
              <w:rPr>
                <w:rFonts w:ascii="Arial" w:hAnsi="Arial" w:cs="Arial"/>
                <w:sz w:val="20"/>
              </w:rPr>
            </w:pPr>
          </w:p>
        </w:tc>
      </w:tr>
      <w:tr w:rsidR="00123BB8" w14:paraId="6EDF7C8D" w14:textId="77777777" w:rsidTr="00123BB8">
        <w:tc>
          <w:tcPr>
            <w:tcW w:w="4530" w:type="dxa"/>
          </w:tcPr>
          <w:p w14:paraId="70B4E5E7" w14:textId="0394C2E2" w:rsidR="00123BB8" w:rsidRDefault="00123BB8" w:rsidP="00123BB8">
            <w:pPr>
              <w:jc w:val="center"/>
              <w:rPr>
                <w:rFonts w:ascii="Arial" w:hAnsi="Arial" w:cs="Arial"/>
                <w:sz w:val="20"/>
              </w:rPr>
            </w:pPr>
            <w:r>
              <w:rPr>
                <w:rFonts w:ascii="Arial" w:hAnsi="Arial" w:cs="Arial"/>
                <w:sz w:val="20"/>
              </w:rPr>
              <w:t>Dandenong</w:t>
            </w:r>
          </w:p>
        </w:tc>
        <w:tc>
          <w:tcPr>
            <w:tcW w:w="4530" w:type="dxa"/>
          </w:tcPr>
          <w:p w14:paraId="66E4B422" w14:textId="5130E6D6" w:rsidR="00123BB8" w:rsidRDefault="00123BB8" w:rsidP="00123BB8">
            <w:pPr>
              <w:jc w:val="center"/>
              <w:rPr>
                <w:rFonts w:ascii="Arial" w:hAnsi="Arial" w:cs="Arial"/>
                <w:sz w:val="20"/>
              </w:rPr>
            </w:pPr>
          </w:p>
        </w:tc>
      </w:tr>
      <w:tr w:rsidR="00123BB8" w14:paraId="635F4B93" w14:textId="77777777" w:rsidTr="00123BB8">
        <w:tc>
          <w:tcPr>
            <w:tcW w:w="4530" w:type="dxa"/>
          </w:tcPr>
          <w:p w14:paraId="1EE2EA78" w14:textId="4301FC50" w:rsidR="00123BB8" w:rsidRDefault="00123BB8" w:rsidP="00123BB8">
            <w:pPr>
              <w:jc w:val="center"/>
              <w:rPr>
                <w:rFonts w:ascii="Arial" w:hAnsi="Arial" w:cs="Arial"/>
                <w:sz w:val="20"/>
              </w:rPr>
            </w:pPr>
            <w:r>
              <w:rPr>
                <w:rFonts w:ascii="Arial" w:hAnsi="Arial" w:cs="Arial"/>
                <w:sz w:val="20"/>
              </w:rPr>
              <w:t>Geelong</w:t>
            </w:r>
          </w:p>
        </w:tc>
        <w:tc>
          <w:tcPr>
            <w:tcW w:w="4530" w:type="dxa"/>
          </w:tcPr>
          <w:p w14:paraId="0249C6E1" w14:textId="3D18F5E0" w:rsidR="00123BB8" w:rsidRDefault="00123BB8" w:rsidP="00123BB8">
            <w:pPr>
              <w:jc w:val="center"/>
              <w:rPr>
                <w:rFonts w:ascii="Arial" w:hAnsi="Arial" w:cs="Arial"/>
                <w:sz w:val="20"/>
              </w:rPr>
            </w:pPr>
            <w:r>
              <w:rPr>
                <w:rFonts w:ascii="Arial" w:hAnsi="Arial" w:cs="Arial"/>
                <w:sz w:val="20"/>
              </w:rPr>
              <w:t>Geelong</w:t>
            </w:r>
          </w:p>
        </w:tc>
      </w:tr>
      <w:tr w:rsidR="00123BB8" w14:paraId="0C436512" w14:textId="77777777" w:rsidTr="00123BB8">
        <w:tc>
          <w:tcPr>
            <w:tcW w:w="4530" w:type="dxa"/>
            <w:shd w:val="clear" w:color="auto" w:fill="DDDDDD"/>
          </w:tcPr>
          <w:p w14:paraId="59E33C31" w14:textId="3BBCA844" w:rsidR="00123BB8" w:rsidRDefault="00123BB8" w:rsidP="00123BB8">
            <w:pPr>
              <w:jc w:val="center"/>
              <w:rPr>
                <w:rFonts w:ascii="Arial" w:hAnsi="Arial" w:cs="Arial"/>
                <w:sz w:val="20"/>
              </w:rPr>
            </w:pPr>
          </w:p>
        </w:tc>
        <w:tc>
          <w:tcPr>
            <w:tcW w:w="4530" w:type="dxa"/>
            <w:shd w:val="clear" w:color="auto" w:fill="DDDDDD"/>
          </w:tcPr>
          <w:p w14:paraId="7D8902F5" w14:textId="019D7150" w:rsidR="00123BB8" w:rsidRDefault="00123BB8" w:rsidP="00123BB8">
            <w:pPr>
              <w:jc w:val="center"/>
              <w:rPr>
                <w:rFonts w:ascii="Arial" w:hAnsi="Arial" w:cs="Arial"/>
                <w:sz w:val="20"/>
              </w:rPr>
            </w:pPr>
            <w:r>
              <w:rPr>
                <w:rFonts w:ascii="Arial" w:hAnsi="Arial" w:cs="Arial"/>
                <w:sz w:val="20"/>
              </w:rPr>
              <w:t>Hamilton</w:t>
            </w:r>
          </w:p>
        </w:tc>
      </w:tr>
      <w:tr w:rsidR="00123BB8" w14:paraId="0A783A33" w14:textId="77777777" w:rsidTr="00123BB8">
        <w:tc>
          <w:tcPr>
            <w:tcW w:w="4530" w:type="dxa"/>
            <w:shd w:val="clear" w:color="auto" w:fill="DDDDDD"/>
          </w:tcPr>
          <w:p w14:paraId="50941478" w14:textId="0C744EA0" w:rsidR="00123BB8" w:rsidRDefault="00123BB8" w:rsidP="00123BB8">
            <w:pPr>
              <w:jc w:val="center"/>
              <w:rPr>
                <w:rFonts w:ascii="Arial" w:hAnsi="Arial" w:cs="Arial"/>
                <w:sz w:val="20"/>
              </w:rPr>
            </w:pPr>
            <w:r>
              <w:rPr>
                <w:rFonts w:ascii="Arial" w:hAnsi="Arial" w:cs="Arial"/>
                <w:sz w:val="20"/>
              </w:rPr>
              <w:t>Latrobe Valley</w:t>
            </w:r>
          </w:p>
        </w:tc>
        <w:tc>
          <w:tcPr>
            <w:tcW w:w="4530" w:type="dxa"/>
            <w:shd w:val="clear" w:color="auto" w:fill="DDDDDD"/>
          </w:tcPr>
          <w:p w14:paraId="5BE20F77" w14:textId="5B776C68" w:rsidR="00123BB8" w:rsidRDefault="00123BB8" w:rsidP="00123BB8">
            <w:pPr>
              <w:jc w:val="center"/>
              <w:rPr>
                <w:rFonts w:ascii="Arial" w:hAnsi="Arial" w:cs="Arial"/>
                <w:sz w:val="20"/>
              </w:rPr>
            </w:pPr>
            <w:r>
              <w:rPr>
                <w:rFonts w:ascii="Arial" w:hAnsi="Arial" w:cs="Arial"/>
                <w:sz w:val="20"/>
              </w:rPr>
              <w:t>Latrobe Valley</w:t>
            </w:r>
          </w:p>
        </w:tc>
      </w:tr>
      <w:tr w:rsidR="00123BB8" w14:paraId="77F6D73D" w14:textId="77777777" w:rsidTr="00123BB8">
        <w:tc>
          <w:tcPr>
            <w:tcW w:w="4530" w:type="dxa"/>
          </w:tcPr>
          <w:p w14:paraId="415D7491" w14:textId="4C94E5FF" w:rsidR="00123BB8" w:rsidRDefault="00123BB8" w:rsidP="00123BB8">
            <w:pPr>
              <w:jc w:val="center"/>
              <w:rPr>
                <w:rFonts w:ascii="Arial" w:hAnsi="Arial" w:cs="Arial"/>
                <w:sz w:val="20"/>
              </w:rPr>
            </w:pPr>
            <w:r>
              <w:rPr>
                <w:rFonts w:ascii="Arial" w:hAnsi="Arial" w:cs="Arial"/>
                <w:sz w:val="20"/>
              </w:rPr>
              <w:t>Mildura</w:t>
            </w:r>
          </w:p>
        </w:tc>
        <w:tc>
          <w:tcPr>
            <w:tcW w:w="4530" w:type="dxa"/>
          </w:tcPr>
          <w:p w14:paraId="394DC7CD" w14:textId="661AD244" w:rsidR="00123BB8" w:rsidRDefault="00123BB8" w:rsidP="00123BB8">
            <w:pPr>
              <w:jc w:val="center"/>
              <w:rPr>
                <w:rFonts w:ascii="Arial" w:hAnsi="Arial" w:cs="Arial"/>
                <w:sz w:val="20"/>
              </w:rPr>
            </w:pPr>
            <w:r>
              <w:rPr>
                <w:rFonts w:ascii="Arial" w:hAnsi="Arial" w:cs="Arial"/>
                <w:sz w:val="20"/>
              </w:rPr>
              <w:t>Mildura</w:t>
            </w:r>
          </w:p>
        </w:tc>
      </w:tr>
      <w:tr w:rsidR="00123BB8" w14:paraId="28B38D9C" w14:textId="77777777" w:rsidTr="00123BB8">
        <w:tc>
          <w:tcPr>
            <w:tcW w:w="4530" w:type="dxa"/>
            <w:shd w:val="clear" w:color="auto" w:fill="DDDDDD"/>
          </w:tcPr>
          <w:p w14:paraId="53AC4235" w14:textId="132FE3E7" w:rsidR="00123BB8" w:rsidRDefault="00123BB8" w:rsidP="00123BB8">
            <w:pPr>
              <w:jc w:val="center"/>
              <w:rPr>
                <w:rFonts w:ascii="Arial" w:hAnsi="Arial" w:cs="Arial"/>
                <w:sz w:val="20"/>
              </w:rPr>
            </w:pPr>
            <w:r>
              <w:rPr>
                <w:rFonts w:ascii="Arial" w:hAnsi="Arial" w:cs="Arial"/>
                <w:sz w:val="20"/>
              </w:rPr>
              <w:t>Moorabbin</w:t>
            </w:r>
          </w:p>
        </w:tc>
        <w:tc>
          <w:tcPr>
            <w:tcW w:w="4530" w:type="dxa"/>
            <w:shd w:val="clear" w:color="auto" w:fill="DDDDDD"/>
          </w:tcPr>
          <w:p w14:paraId="1274DF9F" w14:textId="77777777" w:rsidR="00123BB8" w:rsidRDefault="00123BB8" w:rsidP="00123BB8">
            <w:pPr>
              <w:jc w:val="center"/>
              <w:rPr>
                <w:rFonts w:ascii="Arial" w:hAnsi="Arial" w:cs="Arial"/>
                <w:sz w:val="20"/>
              </w:rPr>
            </w:pPr>
          </w:p>
        </w:tc>
      </w:tr>
      <w:tr w:rsidR="00123BB8" w14:paraId="465FAFEA" w14:textId="77777777" w:rsidTr="00123BB8">
        <w:tc>
          <w:tcPr>
            <w:tcW w:w="4530" w:type="dxa"/>
          </w:tcPr>
          <w:p w14:paraId="0B4C7204" w14:textId="77777777" w:rsidR="00123BB8" w:rsidRDefault="00123BB8" w:rsidP="00123BB8">
            <w:pPr>
              <w:jc w:val="center"/>
              <w:rPr>
                <w:rFonts w:ascii="Arial" w:hAnsi="Arial" w:cs="Arial"/>
                <w:sz w:val="20"/>
              </w:rPr>
            </w:pPr>
          </w:p>
        </w:tc>
        <w:tc>
          <w:tcPr>
            <w:tcW w:w="4530" w:type="dxa"/>
          </w:tcPr>
          <w:p w14:paraId="0EBEBCDA" w14:textId="113729AF" w:rsidR="00123BB8" w:rsidRDefault="00123BB8" w:rsidP="00123BB8">
            <w:pPr>
              <w:jc w:val="center"/>
              <w:rPr>
                <w:rFonts w:ascii="Arial" w:hAnsi="Arial" w:cs="Arial"/>
                <w:sz w:val="20"/>
              </w:rPr>
            </w:pPr>
            <w:r>
              <w:rPr>
                <w:rFonts w:ascii="Arial" w:hAnsi="Arial" w:cs="Arial"/>
                <w:sz w:val="20"/>
              </w:rPr>
              <w:t>Portland</w:t>
            </w:r>
          </w:p>
        </w:tc>
      </w:tr>
      <w:tr w:rsidR="00123BB8" w14:paraId="14F166CF" w14:textId="77777777" w:rsidTr="00123BB8">
        <w:tc>
          <w:tcPr>
            <w:tcW w:w="4530" w:type="dxa"/>
            <w:shd w:val="clear" w:color="auto" w:fill="DDDDDD"/>
          </w:tcPr>
          <w:p w14:paraId="09433B7E" w14:textId="515E5458" w:rsidR="00123BB8" w:rsidRDefault="00594275" w:rsidP="00123BB8">
            <w:pPr>
              <w:jc w:val="center"/>
              <w:rPr>
                <w:rFonts w:ascii="Arial" w:hAnsi="Arial" w:cs="Arial"/>
                <w:sz w:val="20"/>
              </w:rPr>
            </w:pPr>
            <w:r>
              <w:rPr>
                <w:rFonts w:ascii="Arial" w:hAnsi="Arial" w:cs="Arial"/>
                <w:sz w:val="20"/>
              </w:rPr>
              <w:t>Robinvale</w:t>
            </w:r>
          </w:p>
        </w:tc>
        <w:tc>
          <w:tcPr>
            <w:tcW w:w="4530" w:type="dxa"/>
            <w:shd w:val="clear" w:color="auto" w:fill="DDDDDD"/>
          </w:tcPr>
          <w:p w14:paraId="734E110F" w14:textId="4F85157B" w:rsidR="00123BB8" w:rsidRDefault="00123BB8" w:rsidP="00123BB8">
            <w:pPr>
              <w:jc w:val="center"/>
              <w:rPr>
                <w:rFonts w:ascii="Arial" w:hAnsi="Arial" w:cs="Arial"/>
                <w:sz w:val="20"/>
              </w:rPr>
            </w:pPr>
          </w:p>
        </w:tc>
      </w:tr>
      <w:tr w:rsidR="00594275" w14:paraId="44A2A447" w14:textId="77777777" w:rsidTr="00123BB8">
        <w:tc>
          <w:tcPr>
            <w:tcW w:w="4530" w:type="dxa"/>
          </w:tcPr>
          <w:p w14:paraId="2A71CCF0" w14:textId="3D3EFC86" w:rsidR="00594275" w:rsidRDefault="00594275" w:rsidP="00594275">
            <w:pPr>
              <w:jc w:val="center"/>
              <w:rPr>
                <w:rFonts w:ascii="Arial" w:hAnsi="Arial" w:cs="Arial"/>
                <w:sz w:val="20"/>
              </w:rPr>
            </w:pPr>
            <w:r>
              <w:rPr>
                <w:rFonts w:ascii="Arial" w:hAnsi="Arial" w:cs="Arial"/>
                <w:sz w:val="20"/>
              </w:rPr>
              <w:t>Sale</w:t>
            </w:r>
          </w:p>
        </w:tc>
        <w:tc>
          <w:tcPr>
            <w:tcW w:w="4530" w:type="dxa"/>
          </w:tcPr>
          <w:p w14:paraId="6ACFE575" w14:textId="419ECA6B" w:rsidR="00594275" w:rsidRDefault="00594275" w:rsidP="00594275">
            <w:pPr>
              <w:jc w:val="center"/>
              <w:rPr>
                <w:rFonts w:ascii="Arial" w:hAnsi="Arial" w:cs="Arial"/>
                <w:sz w:val="20"/>
              </w:rPr>
            </w:pPr>
          </w:p>
        </w:tc>
      </w:tr>
      <w:tr w:rsidR="00594275" w14:paraId="3ACAE5B3" w14:textId="77777777" w:rsidTr="00123BB8">
        <w:tc>
          <w:tcPr>
            <w:tcW w:w="4530" w:type="dxa"/>
            <w:shd w:val="clear" w:color="auto" w:fill="DDDDDD"/>
          </w:tcPr>
          <w:p w14:paraId="19A4140A" w14:textId="346A6F95" w:rsidR="00594275" w:rsidRDefault="00594275" w:rsidP="00594275">
            <w:pPr>
              <w:jc w:val="center"/>
              <w:rPr>
                <w:rFonts w:ascii="Arial" w:hAnsi="Arial" w:cs="Arial"/>
                <w:sz w:val="20"/>
              </w:rPr>
            </w:pPr>
            <w:r>
              <w:rPr>
                <w:rFonts w:ascii="Arial" w:hAnsi="Arial" w:cs="Arial"/>
                <w:sz w:val="20"/>
              </w:rPr>
              <w:t>Shepparton</w:t>
            </w:r>
          </w:p>
        </w:tc>
        <w:tc>
          <w:tcPr>
            <w:tcW w:w="4530" w:type="dxa"/>
            <w:shd w:val="clear" w:color="auto" w:fill="DDDDDD"/>
          </w:tcPr>
          <w:p w14:paraId="46A17323" w14:textId="0BD7F7FE" w:rsidR="00594275" w:rsidRDefault="00594275" w:rsidP="00594275">
            <w:pPr>
              <w:jc w:val="center"/>
              <w:rPr>
                <w:rFonts w:ascii="Arial" w:hAnsi="Arial" w:cs="Arial"/>
                <w:sz w:val="20"/>
              </w:rPr>
            </w:pPr>
            <w:r>
              <w:rPr>
                <w:rFonts w:ascii="Arial" w:hAnsi="Arial" w:cs="Arial"/>
                <w:sz w:val="20"/>
              </w:rPr>
              <w:t>Shepparton</w:t>
            </w:r>
          </w:p>
        </w:tc>
      </w:tr>
      <w:tr w:rsidR="00594275" w14:paraId="0F7BF562" w14:textId="77777777" w:rsidTr="00123BB8">
        <w:tc>
          <w:tcPr>
            <w:tcW w:w="4530" w:type="dxa"/>
            <w:shd w:val="clear" w:color="auto" w:fill="DDDDDD"/>
          </w:tcPr>
          <w:p w14:paraId="4FAD186E" w14:textId="37F58C43" w:rsidR="00594275" w:rsidRDefault="00594275" w:rsidP="00594275">
            <w:pPr>
              <w:jc w:val="center"/>
              <w:rPr>
                <w:rFonts w:ascii="Arial" w:hAnsi="Arial" w:cs="Arial"/>
                <w:sz w:val="20"/>
              </w:rPr>
            </w:pPr>
            <w:r>
              <w:rPr>
                <w:rFonts w:ascii="Arial" w:hAnsi="Arial" w:cs="Arial"/>
                <w:sz w:val="20"/>
              </w:rPr>
              <w:t>Swan Hill</w:t>
            </w:r>
          </w:p>
        </w:tc>
        <w:tc>
          <w:tcPr>
            <w:tcW w:w="4530" w:type="dxa"/>
            <w:shd w:val="clear" w:color="auto" w:fill="DDDDDD"/>
          </w:tcPr>
          <w:p w14:paraId="3E8F033C" w14:textId="77518ABC" w:rsidR="00594275" w:rsidRDefault="00594275" w:rsidP="00594275">
            <w:pPr>
              <w:jc w:val="center"/>
              <w:rPr>
                <w:rFonts w:ascii="Arial" w:hAnsi="Arial" w:cs="Arial"/>
                <w:sz w:val="20"/>
              </w:rPr>
            </w:pPr>
            <w:r>
              <w:rPr>
                <w:rFonts w:ascii="Arial" w:hAnsi="Arial" w:cs="Arial"/>
                <w:sz w:val="20"/>
              </w:rPr>
              <w:t xml:space="preserve">Swan </w:t>
            </w:r>
            <w:proofErr w:type="spellStart"/>
            <w:r>
              <w:rPr>
                <w:rFonts w:ascii="Arial" w:hAnsi="Arial" w:cs="Arial"/>
                <w:sz w:val="20"/>
              </w:rPr>
              <w:t>HIll</w:t>
            </w:r>
            <w:proofErr w:type="spellEnd"/>
          </w:p>
        </w:tc>
      </w:tr>
      <w:tr w:rsidR="00594275" w14:paraId="58673097" w14:textId="77777777" w:rsidTr="00594275">
        <w:tc>
          <w:tcPr>
            <w:tcW w:w="4530" w:type="dxa"/>
          </w:tcPr>
          <w:p w14:paraId="0D185C48" w14:textId="6212CAAB" w:rsidR="00594275" w:rsidRDefault="00594275" w:rsidP="00594275">
            <w:pPr>
              <w:jc w:val="center"/>
              <w:rPr>
                <w:rFonts w:ascii="Arial" w:hAnsi="Arial" w:cs="Arial"/>
                <w:sz w:val="20"/>
              </w:rPr>
            </w:pPr>
            <w:r>
              <w:rPr>
                <w:rFonts w:ascii="Arial" w:hAnsi="Arial" w:cs="Arial"/>
                <w:sz w:val="20"/>
              </w:rPr>
              <w:t>Warrnambool</w:t>
            </w:r>
          </w:p>
        </w:tc>
        <w:tc>
          <w:tcPr>
            <w:tcW w:w="4530" w:type="dxa"/>
          </w:tcPr>
          <w:p w14:paraId="7A98F11F" w14:textId="0E4448BC" w:rsidR="00594275" w:rsidRDefault="00594275" w:rsidP="00594275">
            <w:pPr>
              <w:jc w:val="center"/>
              <w:rPr>
                <w:rFonts w:ascii="Arial" w:hAnsi="Arial" w:cs="Arial"/>
                <w:sz w:val="20"/>
              </w:rPr>
            </w:pPr>
            <w:r>
              <w:rPr>
                <w:rFonts w:ascii="Arial" w:hAnsi="Arial" w:cs="Arial"/>
                <w:sz w:val="20"/>
              </w:rPr>
              <w:t>Warrnambool</w:t>
            </w:r>
          </w:p>
        </w:tc>
      </w:tr>
      <w:tr w:rsidR="00594275" w14:paraId="15D27ADA" w14:textId="77777777" w:rsidTr="00594275">
        <w:tc>
          <w:tcPr>
            <w:tcW w:w="4530" w:type="dxa"/>
          </w:tcPr>
          <w:p w14:paraId="42F791E8" w14:textId="343C7EAD" w:rsidR="00594275" w:rsidRDefault="00E64018" w:rsidP="00594275">
            <w:pPr>
              <w:jc w:val="center"/>
              <w:rPr>
                <w:rFonts w:ascii="Arial" w:hAnsi="Arial" w:cs="Arial"/>
                <w:sz w:val="20"/>
              </w:rPr>
            </w:pPr>
            <w:r>
              <w:rPr>
                <w:rFonts w:ascii="Arial" w:hAnsi="Arial" w:cs="Arial"/>
                <w:sz w:val="20"/>
              </w:rPr>
              <w:t>Wodonga</w:t>
            </w:r>
          </w:p>
        </w:tc>
        <w:tc>
          <w:tcPr>
            <w:tcW w:w="4530" w:type="dxa"/>
          </w:tcPr>
          <w:p w14:paraId="2EA54846" w14:textId="77777777" w:rsidR="00594275" w:rsidRDefault="00594275" w:rsidP="00594275">
            <w:pPr>
              <w:jc w:val="center"/>
              <w:rPr>
                <w:rFonts w:ascii="Arial" w:hAnsi="Arial" w:cs="Arial"/>
                <w:sz w:val="20"/>
              </w:rPr>
            </w:pPr>
          </w:p>
        </w:tc>
      </w:tr>
    </w:tbl>
    <w:p w14:paraId="2A52F057" w14:textId="5B3C8C55" w:rsidR="00384A15" w:rsidRDefault="00384A15">
      <w:pPr>
        <w:jc w:val="both"/>
        <w:rPr>
          <w:rFonts w:ascii="Arial" w:hAnsi="Arial" w:cs="Arial"/>
          <w:sz w:val="20"/>
        </w:rPr>
      </w:pPr>
    </w:p>
    <w:p w14:paraId="04CF90C9" w14:textId="7520A161" w:rsidR="00107E94" w:rsidRPr="00107E94" w:rsidRDefault="00107E94" w:rsidP="00107E94">
      <w:pPr>
        <w:jc w:val="both"/>
        <w:rPr>
          <w:rFonts w:ascii="Arial" w:hAnsi="Arial" w:cs="Arial"/>
          <w:sz w:val="20"/>
        </w:rPr>
      </w:pPr>
      <w:r>
        <w:rPr>
          <w:rFonts w:ascii="Arial" w:hAnsi="Arial" w:cs="Arial"/>
          <w:sz w:val="20"/>
        </w:rPr>
        <w:t xml:space="preserve">In </w:t>
      </w:r>
      <w:r w:rsidR="00876913">
        <w:rPr>
          <w:rFonts w:ascii="Arial" w:hAnsi="Arial" w:cs="Arial"/>
          <w:sz w:val="20"/>
        </w:rPr>
        <w:t xml:space="preserve">addition to the above, in </w:t>
      </w:r>
      <w:r>
        <w:rPr>
          <w:rFonts w:ascii="Arial" w:hAnsi="Arial" w:cs="Arial"/>
          <w:sz w:val="20"/>
        </w:rPr>
        <w:t xml:space="preserve">the </w:t>
      </w:r>
      <w:r w:rsidR="00C0680E">
        <w:rPr>
          <w:rFonts w:ascii="Arial" w:hAnsi="Arial" w:cs="Arial"/>
          <w:sz w:val="20"/>
        </w:rPr>
        <w:t>2024-</w:t>
      </w:r>
      <w:r>
        <w:rPr>
          <w:rFonts w:ascii="Arial" w:hAnsi="Arial" w:cs="Arial"/>
          <w:sz w:val="20"/>
        </w:rPr>
        <w:t>202</w:t>
      </w:r>
      <w:r w:rsidR="00876913">
        <w:rPr>
          <w:rFonts w:ascii="Arial" w:hAnsi="Arial" w:cs="Arial"/>
          <w:sz w:val="20"/>
        </w:rPr>
        <w:t>5</w:t>
      </w:r>
      <w:r>
        <w:rPr>
          <w:rFonts w:ascii="Arial" w:hAnsi="Arial" w:cs="Arial"/>
          <w:sz w:val="20"/>
        </w:rPr>
        <w:t xml:space="preserve"> Victorian Budget t</w:t>
      </w:r>
      <w:r w:rsidRPr="00107E94">
        <w:rPr>
          <w:rFonts w:ascii="Arial" w:hAnsi="Arial" w:cs="Arial"/>
          <w:sz w:val="20"/>
        </w:rPr>
        <w:t xml:space="preserve">he Victorian Government funded </w:t>
      </w:r>
      <w:r>
        <w:rPr>
          <w:rFonts w:ascii="Arial" w:hAnsi="Arial" w:cs="Arial"/>
          <w:sz w:val="20"/>
        </w:rPr>
        <w:t>an</w:t>
      </w:r>
      <w:r w:rsidRPr="00107E94">
        <w:rPr>
          <w:rFonts w:ascii="Arial" w:hAnsi="Arial" w:cs="Arial"/>
          <w:sz w:val="20"/>
        </w:rPr>
        <w:t xml:space="preserve"> expansion of the EJI</w:t>
      </w:r>
      <w:r>
        <w:rPr>
          <w:rFonts w:ascii="Arial" w:hAnsi="Arial" w:cs="Arial"/>
          <w:sz w:val="20"/>
        </w:rPr>
        <w:t xml:space="preserve"> to the following areas:</w:t>
      </w:r>
    </w:p>
    <w:p w14:paraId="5E5C5254" w14:textId="77777777" w:rsidR="00107E94" w:rsidRPr="00107E94" w:rsidRDefault="00107E94" w:rsidP="006264A9">
      <w:pPr>
        <w:numPr>
          <w:ilvl w:val="0"/>
          <w:numId w:val="55"/>
        </w:numPr>
        <w:spacing w:before="60"/>
        <w:ind w:left="357" w:hanging="357"/>
        <w:jc w:val="both"/>
        <w:rPr>
          <w:rFonts w:ascii="Arial" w:hAnsi="Arial" w:cs="Arial"/>
          <w:sz w:val="20"/>
        </w:rPr>
      </w:pPr>
      <w:r w:rsidRPr="00107E94">
        <w:rPr>
          <w:rFonts w:ascii="Arial" w:hAnsi="Arial" w:cs="Arial"/>
          <w:b/>
          <w:bCs/>
          <w:sz w:val="20"/>
        </w:rPr>
        <w:t>Extending EJI into the Family Division</w:t>
      </w:r>
      <w:r w:rsidRPr="00107E94">
        <w:rPr>
          <w:rFonts w:ascii="Arial" w:hAnsi="Arial" w:cs="Arial"/>
          <w:sz w:val="20"/>
        </w:rPr>
        <w:t xml:space="preserve"> of the Children’s Court to six Children’s Court locations (Melbourne, Broadmeadows, Dandenong, Sale, Bairnsdale and Latrobe) and Marram-Ngala </w:t>
      </w:r>
      <w:proofErr w:type="spellStart"/>
      <w:r w:rsidRPr="00107E94">
        <w:rPr>
          <w:rFonts w:ascii="Arial" w:hAnsi="Arial" w:cs="Arial"/>
          <w:sz w:val="20"/>
        </w:rPr>
        <w:t>Ganbu</w:t>
      </w:r>
      <w:proofErr w:type="spellEnd"/>
      <w:r w:rsidRPr="00107E94">
        <w:rPr>
          <w:rFonts w:ascii="Arial" w:hAnsi="Arial" w:cs="Arial"/>
          <w:sz w:val="20"/>
        </w:rPr>
        <w:t xml:space="preserve"> (Koori Family Hearing Day) as a pilot over the next 3 years; and</w:t>
      </w:r>
    </w:p>
    <w:p w14:paraId="16CF4898" w14:textId="6265B28B" w:rsidR="00107E94" w:rsidRPr="00107E94" w:rsidRDefault="00107E94" w:rsidP="006264A9">
      <w:pPr>
        <w:numPr>
          <w:ilvl w:val="0"/>
          <w:numId w:val="55"/>
        </w:numPr>
        <w:ind w:left="357" w:hanging="357"/>
        <w:jc w:val="both"/>
        <w:rPr>
          <w:rFonts w:ascii="Arial" w:hAnsi="Arial" w:cs="Arial"/>
          <w:sz w:val="20"/>
        </w:rPr>
      </w:pPr>
      <w:r w:rsidRPr="00107E94">
        <w:rPr>
          <w:rFonts w:ascii="Arial" w:hAnsi="Arial" w:cs="Arial"/>
          <w:b/>
          <w:bCs/>
          <w:sz w:val="20"/>
        </w:rPr>
        <w:t>Expansion of EJI in the Criminal Division</w:t>
      </w:r>
      <w:r>
        <w:rPr>
          <w:rFonts w:ascii="Arial" w:hAnsi="Arial" w:cs="Arial"/>
          <w:sz w:val="20"/>
        </w:rPr>
        <w:t xml:space="preserve"> </w:t>
      </w:r>
      <w:r w:rsidRPr="00107E94">
        <w:rPr>
          <w:rFonts w:ascii="Arial" w:hAnsi="Arial" w:cs="Arial"/>
          <w:sz w:val="20"/>
        </w:rPr>
        <w:t>so that more young people can access education support through additional Regional Education Court Liaison Officers (RECCLOS) and Koorie Children’s Court Liaison Officers (KECCLOs) to work from the Children’s Court in both high-volume metropolitan and regional locations.</w:t>
      </w:r>
    </w:p>
    <w:p w14:paraId="5A3FF8B4" w14:textId="77777777" w:rsidR="00107E94" w:rsidRDefault="00107E94">
      <w:pPr>
        <w:jc w:val="both"/>
        <w:rPr>
          <w:rFonts w:ascii="Arial" w:hAnsi="Arial" w:cs="Arial"/>
          <w:sz w:val="20"/>
        </w:rPr>
      </w:pPr>
    </w:p>
    <w:p w14:paraId="3CE087B3" w14:textId="1AA71C6D" w:rsidR="00E64018" w:rsidRDefault="00E64018">
      <w:pPr>
        <w:jc w:val="both"/>
        <w:rPr>
          <w:rFonts w:ascii="Arial" w:hAnsi="Arial" w:cs="Arial"/>
          <w:sz w:val="20"/>
        </w:rPr>
      </w:pPr>
      <w:r>
        <w:rPr>
          <w:rFonts w:ascii="Arial" w:hAnsi="Arial" w:cs="Arial"/>
          <w:sz w:val="20"/>
        </w:rPr>
        <w:t>On receipt of a referral, EJI will work with the young person and their family or support person and/or case worker to link with the most appropriate school, education or training provider.  The EJI accepts referrals from:</w:t>
      </w:r>
    </w:p>
    <w:p w14:paraId="17FA518D" w14:textId="07E562B4" w:rsidR="00E64018" w:rsidRDefault="00E64018" w:rsidP="00C23CF0">
      <w:pPr>
        <w:pStyle w:val="ListParagraph"/>
        <w:numPr>
          <w:ilvl w:val="0"/>
          <w:numId w:val="19"/>
        </w:numPr>
        <w:jc w:val="both"/>
        <w:rPr>
          <w:rFonts w:ascii="Arial" w:hAnsi="Arial" w:cs="Arial"/>
          <w:sz w:val="20"/>
        </w:rPr>
      </w:pPr>
      <w:r>
        <w:rPr>
          <w:rFonts w:ascii="Arial" w:hAnsi="Arial" w:cs="Arial"/>
          <w:sz w:val="20"/>
        </w:rPr>
        <w:t>young people and/or their families;</w:t>
      </w:r>
    </w:p>
    <w:p w14:paraId="06084273" w14:textId="4216AAEF" w:rsidR="00E64018" w:rsidRDefault="00E64018" w:rsidP="00C23CF0">
      <w:pPr>
        <w:pStyle w:val="ListParagraph"/>
        <w:numPr>
          <w:ilvl w:val="0"/>
          <w:numId w:val="19"/>
        </w:numPr>
        <w:jc w:val="both"/>
        <w:rPr>
          <w:rFonts w:ascii="Arial" w:hAnsi="Arial" w:cs="Arial"/>
          <w:sz w:val="20"/>
        </w:rPr>
      </w:pPr>
      <w:r>
        <w:rPr>
          <w:rFonts w:ascii="Arial" w:hAnsi="Arial" w:cs="Arial"/>
          <w:sz w:val="20"/>
        </w:rPr>
        <w:t>judicial officers;</w:t>
      </w:r>
    </w:p>
    <w:p w14:paraId="7AA86086" w14:textId="633F738D" w:rsidR="00E64018" w:rsidRDefault="00E64018" w:rsidP="00C23CF0">
      <w:pPr>
        <w:pStyle w:val="ListParagraph"/>
        <w:numPr>
          <w:ilvl w:val="0"/>
          <w:numId w:val="19"/>
        </w:numPr>
        <w:jc w:val="both"/>
        <w:rPr>
          <w:rFonts w:ascii="Arial" w:hAnsi="Arial" w:cs="Arial"/>
          <w:sz w:val="20"/>
        </w:rPr>
      </w:pPr>
      <w:r>
        <w:rPr>
          <w:rFonts w:ascii="Arial" w:hAnsi="Arial" w:cs="Arial"/>
          <w:sz w:val="20"/>
        </w:rPr>
        <w:t>Victoria Police;</w:t>
      </w:r>
    </w:p>
    <w:p w14:paraId="1440D95E" w14:textId="5F9892B0" w:rsidR="00E64018" w:rsidRDefault="00E64018" w:rsidP="00C23CF0">
      <w:pPr>
        <w:pStyle w:val="ListParagraph"/>
        <w:numPr>
          <w:ilvl w:val="0"/>
          <w:numId w:val="19"/>
        </w:numPr>
        <w:jc w:val="both"/>
        <w:rPr>
          <w:rFonts w:ascii="Arial" w:hAnsi="Arial" w:cs="Arial"/>
          <w:sz w:val="20"/>
        </w:rPr>
      </w:pPr>
      <w:r>
        <w:rPr>
          <w:rFonts w:ascii="Arial" w:hAnsi="Arial" w:cs="Arial"/>
          <w:sz w:val="20"/>
        </w:rPr>
        <w:t>Department of Justice and Community Safety officers;</w:t>
      </w:r>
    </w:p>
    <w:p w14:paraId="7B405801" w14:textId="5CB7245C" w:rsidR="00E64018" w:rsidRDefault="00E64018" w:rsidP="00C23CF0">
      <w:pPr>
        <w:pStyle w:val="ListParagraph"/>
        <w:numPr>
          <w:ilvl w:val="0"/>
          <w:numId w:val="19"/>
        </w:numPr>
        <w:jc w:val="both"/>
        <w:rPr>
          <w:rFonts w:ascii="Arial" w:hAnsi="Arial" w:cs="Arial"/>
          <w:sz w:val="20"/>
        </w:rPr>
      </w:pPr>
      <w:r>
        <w:rPr>
          <w:rFonts w:ascii="Arial" w:hAnsi="Arial" w:cs="Arial"/>
          <w:sz w:val="20"/>
        </w:rPr>
        <w:t>Department of Families, Fairness and Housing officers;</w:t>
      </w:r>
    </w:p>
    <w:p w14:paraId="78FAC3FF" w14:textId="1B46D741" w:rsidR="00E64018" w:rsidRDefault="00E64018" w:rsidP="00C23CF0">
      <w:pPr>
        <w:pStyle w:val="ListParagraph"/>
        <w:numPr>
          <w:ilvl w:val="0"/>
          <w:numId w:val="19"/>
        </w:numPr>
        <w:jc w:val="both"/>
        <w:rPr>
          <w:rFonts w:ascii="Arial" w:hAnsi="Arial" w:cs="Arial"/>
          <w:sz w:val="20"/>
        </w:rPr>
      </w:pPr>
      <w:r>
        <w:rPr>
          <w:rFonts w:ascii="Arial" w:hAnsi="Arial" w:cs="Arial"/>
          <w:sz w:val="20"/>
        </w:rPr>
        <w:t>other relevant support services the young person may be involved with;</w:t>
      </w:r>
    </w:p>
    <w:p w14:paraId="5DBA6CD6" w14:textId="0836C269" w:rsidR="00E64018" w:rsidRDefault="00E64018" w:rsidP="00C23CF0">
      <w:pPr>
        <w:pStyle w:val="ListParagraph"/>
        <w:numPr>
          <w:ilvl w:val="0"/>
          <w:numId w:val="19"/>
        </w:numPr>
        <w:jc w:val="both"/>
        <w:rPr>
          <w:rFonts w:ascii="Arial" w:hAnsi="Arial" w:cs="Arial"/>
          <w:sz w:val="20"/>
        </w:rPr>
      </w:pPr>
      <w:r>
        <w:rPr>
          <w:rFonts w:ascii="Arial" w:hAnsi="Arial" w:cs="Arial"/>
          <w:sz w:val="20"/>
        </w:rPr>
        <w:t>legal representatives;</w:t>
      </w:r>
    </w:p>
    <w:p w14:paraId="37CCE400" w14:textId="15995306" w:rsidR="00E64018" w:rsidRDefault="00E64018" w:rsidP="00C23CF0">
      <w:pPr>
        <w:pStyle w:val="ListParagraph"/>
        <w:numPr>
          <w:ilvl w:val="0"/>
          <w:numId w:val="19"/>
        </w:numPr>
        <w:jc w:val="both"/>
        <w:rPr>
          <w:rFonts w:ascii="Arial" w:hAnsi="Arial" w:cs="Arial"/>
          <w:sz w:val="20"/>
        </w:rPr>
      </w:pPr>
      <w:r>
        <w:rPr>
          <w:rFonts w:ascii="Arial" w:hAnsi="Arial" w:cs="Arial"/>
          <w:sz w:val="20"/>
        </w:rPr>
        <w:t>past schools or training providers;</w:t>
      </w:r>
    </w:p>
    <w:p w14:paraId="3612D24D" w14:textId="53C339E3" w:rsidR="00E64018" w:rsidRDefault="00E64018" w:rsidP="00C23CF0">
      <w:pPr>
        <w:pStyle w:val="ListParagraph"/>
        <w:numPr>
          <w:ilvl w:val="0"/>
          <w:numId w:val="19"/>
        </w:numPr>
        <w:jc w:val="both"/>
        <w:rPr>
          <w:rFonts w:ascii="Arial" w:hAnsi="Arial" w:cs="Arial"/>
          <w:sz w:val="20"/>
        </w:rPr>
      </w:pPr>
      <w:r>
        <w:rPr>
          <w:rFonts w:ascii="Arial" w:hAnsi="Arial" w:cs="Arial"/>
          <w:sz w:val="20"/>
        </w:rPr>
        <w:t>other Department of Education staff.</w:t>
      </w:r>
    </w:p>
    <w:p w14:paraId="0B296E3F" w14:textId="4F772A19" w:rsidR="00E64018" w:rsidRDefault="00E64018">
      <w:pPr>
        <w:jc w:val="both"/>
        <w:rPr>
          <w:rFonts w:ascii="Arial" w:hAnsi="Arial" w:cs="Arial"/>
          <w:sz w:val="20"/>
        </w:rPr>
      </w:pPr>
    </w:p>
    <w:p w14:paraId="2996D84D" w14:textId="26873D56" w:rsidR="00E64018" w:rsidRDefault="00E64018" w:rsidP="00050677">
      <w:pPr>
        <w:jc w:val="both"/>
        <w:rPr>
          <w:rFonts w:ascii="Arial" w:hAnsi="Arial" w:cs="Arial"/>
          <w:sz w:val="20"/>
        </w:rPr>
      </w:pPr>
      <w:r>
        <w:rPr>
          <w:rFonts w:ascii="Arial" w:hAnsi="Arial" w:cs="Arial"/>
          <w:sz w:val="20"/>
        </w:rPr>
        <w:t>To make a referral to EJI, download and complete an EJI referral form from the Department of Education website, ensuring that the child (if a mature minor) or the child’s parent or person who has parental responsibility for the child (in any other case) has read, understood and signed the form.</w:t>
      </w:r>
    </w:p>
    <w:p w14:paraId="230C48BB" w14:textId="1BDDFD80" w:rsidR="00E64018" w:rsidRDefault="00E64018">
      <w:pPr>
        <w:jc w:val="both"/>
        <w:rPr>
          <w:rFonts w:ascii="Arial" w:hAnsi="Arial" w:cs="Arial"/>
          <w:sz w:val="20"/>
        </w:rPr>
      </w:pPr>
    </w:p>
    <w:p w14:paraId="2E52D46B" w14:textId="0FA45AE7" w:rsidR="00E64018" w:rsidRDefault="00A43E83">
      <w:pPr>
        <w:jc w:val="both"/>
        <w:rPr>
          <w:rFonts w:ascii="Arial" w:hAnsi="Arial" w:cs="Arial"/>
          <w:color w:val="000000"/>
          <w:sz w:val="20"/>
        </w:rPr>
      </w:pPr>
      <w:r>
        <w:rPr>
          <w:rFonts w:ascii="Arial" w:hAnsi="Arial" w:cs="Arial"/>
          <w:sz w:val="20"/>
        </w:rPr>
        <w:t>On</w:t>
      </w:r>
      <w:r w:rsidR="00E64018">
        <w:rPr>
          <w:rFonts w:ascii="Arial" w:hAnsi="Arial" w:cs="Arial"/>
          <w:sz w:val="20"/>
        </w:rPr>
        <w:t xml:space="preserve"> </w:t>
      </w:r>
      <w:r w:rsidR="00E64018">
        <w:rPr>
          <w:rFonts w:ascii="Arial" w:hAnsi="Arial" w:cs="Arial"/>
          <w:color w:val="000000"/>
          <w:sz w:val="20"/>
        </w:rPr>
        <w:t>the Children’s Court website</w:t>
      </w:r>
      <w:r>
        <w:rPr>
          <w:rFonts w:ascii="Arial" w:hAnsi="Arial" w:cs="Arial"/>
          <w:color w:val="000000"/>
          <w:sz w:val="20"/>
        </w:rPr>
        <w:t xml:space="preserve"> </w:t>
      </w:r>
      <w:r w:rsidR="00E64018">
        <w:rPr>
          <w:rFonts w:ascii="Arial" w:hAnsi="Arial" w:cs="Arial"/>
          <w:color w:val="000000"/>
          <w:sz w:val="20"/>
        </w:rPr>
        <w:t>tab “</w:t>
      </w:r>
      <w:r>
        <w:rPr>
          <w:rFonts w:ascii="Arial" w:hAnsi="Arial" w:cs="Arial"/>
          <w:color w:val="000000"/>
          <w:sz w:val="20"/>
        </w:rPr>
        <w:t>Help and Support</w:t>
      </w:r>
      <w:r w:rsidR="00E64018">
        <w:rPr>
          <w:rFonts w:ascii="Arial" w:hAnsi="Arial" w:cs="Arial"/>
          <w:color w:val="000000"/>
          <w:sz w:val="20"/>
        </w:rPr>
        <w:t xml:space="preserve">” </w:t>
      </w:r>
      <w:r w:rsidR="00E64018">
        <w:rPr>
          <w:rFonts w:ascii="Arial" w:hAnsi="Arial" w:cs="Arial"/>
          <w:color w:val="000000"/>
          <w:sz w:val="20"/>
        </w:rPr>
        <w:sym w:font="Wingdings" w:char="F0E8"/>
      </w:r>
      <w:r w:rsidR="00E64018">
        <w:rPr>
          <w:rFonts w:ascii="Arial" w:hAnsi="Arial" w:cs="Arial"/>
          <w:color w:val="000000"/>
          <w:sz w:val="20"/>
        </w:rPr>
        <w:t xml:space="preserve"> “</w:t>
      </w:r>
      <w:r>
        <w:rPr>
          <w:rFonts w:ascii="Arial" w:hAnsi="Arial" w:cs="Arial"/>
          <w:color w:val="000000"/>
          <w:sz w:val="20"/>
        </w:rPr>
        <w:t>Support Services at Court</w:t>
      </w:r>
      <w:r w:rsidR="00E64018">
        <w:rPr>
          <w:rFonts w:ascii="Arial" w:hAnsi="Arial" w:cs="Arial"/>
          <w:color w:val="000000"/>
          <w:sz w:val="20"/>
        </w:rPr>
        <w:t xml:space="preserve">” </w:t>
      </w:r>
      <w:r w:rsidR="00E64018">
        <w:rPr>
          <w:rFonts w:ascii="Arial" w:hAnsi="Arial" w:cs="Arial"/>
          <w:color w:val="000000"/>
          <w:sz w:val="20"/>
        </w:rPr>
        <w:sym w:font="Wingdings" w:char="F0E8"/>
      </w:r>
      <w:r w:rsidR="00E64018">
        <w:rPr>
          <w:rFonts w:ascii="Arial" w:hAnsi="Arial" w:cs="Arial"/>
          <w:color w:val="000000"/>
          <w:sz w:val="20"/>
        </w:rPr>
        <w:t xml:space="preserve"> “</w:t>
      </w:r>
      <w:r>
        <w:rPr>
          <w:rFonts w:ascii="Arial" w:hAnsi="Arial" w:cs="Arial"/>
          <w:color w:val="000000"/>
          <w:sz w:val="20"/>
        </w:rPr>
        <w:t>EJI</w:t>
      </w:r>
      <w:r w:rsidR="00E64018">
        <w:rPr>
          <w:rFonts w:ascii="Arial" w:hAnsi="Arial" w:cs="Arial"/>
          <w:color w:val="000000"/>
          <w:sz w:val="20"/>
        </w:rPr>
        <w:t>”.</w:t>
      </w:r>
    </w:p>
    <w:p w14:paraId="623336BF" w14:textId="77777777" w:rsidR="00E85AF4" w:rsidRDefault="00E85AF4" w:rsidP="00E85AF4">
      <w:pPr>
        <w:jc w:val="both"/>
        <w:rPr>
          <w:rFonts w:ascii="Arial" w:hAnsi="Arial" w:cs="Arial"/>
          <w:color w:val="000000"/>
          <w:sz w:val="20"/>
        </w:rPr>
      </w:pPr>
      <w:bookmarkStart w:id="749" w:name="_2.10.8_Court_Support"/>
      <w:bookmarkEnd w:id="749"/>
    </w:p>
    <w:p w14:paraId="549FF8B3" w14:textId="3035B18B" w:rsidR="00E85AF4" w:rsidRPr="00BE6441" w:rsidRDefault="00E85AF4" w:rsidP="00E85AF4">
      <w:pPr>
        <w:pStyle w:val="Heading3"/>
        <w:keepNext/>
        <w:keepLines/>
        <w:widowControl/>
        <w:spacing w:after="120" w:line="240" w:lineRule="auto"/>
        <w:rPr>
          <w:rFonts w:ascii="Arial" w:hAnsi="Arial" w:cs="Arial"/>
          <w:b/>
          <w:bCs/>
          <w:color w:val="000000"/>
          <w:sz w:val="20"/>
        </w:rPr>
      </w:pPr>
      <w:bookmarkStart w:id="750" w:name="_2.10.3_Court_Network_1"/>
      <w:bookmarkEnd w:id="750"/>
      <w:r w:rsidRPr="00BE6441">
        <w:rPr>
          <w:rFonts w:ascii="Arial" w:hAnsi="Arial" w:cs="Arial"/>
          <w:b/>
          <w:bCs/>
          <w:color w:val="000000"/>
          <w:sz w:val="20"/>
        </w:rPr>
        <w:lastRenderedPageBreak/>
        <w:t>2.10.</w:t>
      </w:r>
      <w:r>
        <w:rPr>
          <w:rFonts w:ascii="Arial" w:hAnsi="Arial" w:cs="Arial"/>
          <w:b/>
          <w:bCs/>
          <w:color w:val="000000"/>
          <w:sz w:val="20"/>
        </w:rPr>
        <w:t>8</w:t>
      </w:r>
      <w:r w:rsidRPr="00BE6441">
        <w:rPr>
          <w:rFonts w:ascii="Arial" w:hAnsi="Arial" w:cs="Arial"/>
          <w:b/>
          <w:bCs/>
          <w:color w:val="000000"/>
          <w:sz w:val="20"/>
        </w:rPr>
        <w:tab/>
      </w:r>
      <w:r>
        <w:rPr>
          <w:rFonts w:ascii="Arial" w:hAnsi="Arial" w:cs="Arial"/>
          <w:b/>
          <w:bCs/>
          <w:color w:val="000000"/>
          <w:sz w:val="20"/>
        </w:rPr>
        <w:t>Court Support Coordinators</w:t>
      </w:r>
    </w:p>
    <w:p w14:paraId="1814BD27" w14:textId="77777777" w:rsidR="00E85AF4" w:rsidRPr="00A3448C" w:rsidRDefault="00E85AF4" w:rsidP="00E85AF4">
      <w:pPr>
        <w:jc w:val="both"/>
        <w:rPr>
          <w:rFonts w:ascii="Arial" w:hAnsi="Arial" w:cs="Arial"/>
          <w:sz w:val="20"/>
        </w:rPr>
      </w:pPr>
      <w:r w:rsidRPr="00A3448C">
        <w:rPr>
          <w:rFonts w:ascii="Arial" w:hAnsi="Arial" w:cs="Arial"/>
          <w:sz w:val="20"/>
        </w:rPr>
        <w:t xml:space="preserve">Court Support Coordinators </w:t>
      </w:r>
      <w:r>
        <w:rPr>
          <w:rFonts w:ascii="Arial" w:hAnsi="Arial" w:cs="Arial"/>
          <w:sz w:val="20"/>
        </w:rPr>
        <w:t xml:space="preserve">(CSC) </w:t>
      </w:r>
      <w:r w:rsidRPr="00A3448C">
        <w:rPr>
          <w:rFonts w:ascii="Arial" w:hAnsi="Arial" w:cs="Arial"/>
          <w:sz w:val="20"/>
        </w:rPr>
        <w:t>provide support and procedural information to court users who have cases listed at Melbourne, Broadmeadows, Moorabbin and Dandenong Children’s Courts.</w:t>
      </w:r>
      <w:r>
        <w:rPr>
          <w:rFonts w:ascii="Arial" w:hAnsi="Arial" w:cs="Arial"/>
          <w:sz w:val="20"/>
        </w:rPr>
        <w:t xml:space="preserve"> Their primary role is to </w:t>
      </w:r>
      <w:r w:rsidRPr="00A3448C">
        <w:rPr>
          <w:rFonts w:ascii="Arial" w:hAnsi="Arial" w:cs="Arial"/>
          <w:sz w:val="20"/>
        </w:rPr>
        <w:t>assist and support court users to navigate the court process.</w:t>
      </w:r>
    </w:p>
    <w:p w14:paraId="6EA937A3" w14:textId="77777777" w:rsidR="00E85AF4" w:rsidRDefault="00E85AF4" w:rsidP="00E85AF4">
      <w:pPr>
        <w:jc w:val="both"/>
        <w:rPr>
          <w:rFonts w:ascii="Arial" w:hAnsi="Arial" w:cs="Arial"/>
          <w:sz w:val="20"/>
        </w:rPr>
      </w:pPr>
    </w:p>
    <w:p w14:paraId="6CC86A70" w14:textId="77777777" w:rsidR="00E85AF4" w:rsidRPr="00A3448C" w:rsidRDefault="00E85AF4" w:rsidP="00E85AF4">
      <w:pPr>
        <w:jc w:val="both"/>
        <w:rPr>
          <w:rFonts w:ascii="Arial" w:hAnsi="Arial" w:cs="Arial"/>
          <w:sz w:val="20"/>
        </w:rPr>
      </w:pPr>
      <w:r w:rsidRPr="00A3448C">
        <w:rPr>
          <w:rFonts w:ascii="Arial" w:hAnsi="Arial" w:cs="Arial"/>
          <w:sz w:val="20"/>
        </w:rPr>
        <w:t xml:space="preserve">The CSC is a therapeutic role and can </w:t>
      </w:r>
      <w:r>
        <w:rPr>
          <w:rFonts w:ascii="Arial" w:hAnsi="Arial" w:cs="Arial"/>
          <w:sz w:val="20"/>
        </w:rPr>
        <w:t xml:space="preserve">also </w:t>
      </w:r>
      <w:r w:rsidRPr="00A3448C">
        <w:rPr>
          <w:rFonts w:ascii="Arial" w:hAnsi="Arial" w:cs="Arial"/>
          <w:sz w:val="20"/>
        </w:rPr>
        <w:t xml:space="preserve">provide referrals to external services, targeted practical support and information to all court users. </w:t>
      </w:r>
      <w:r>
        <w:rPr>
          <w:rFonts w:ascii="Arial" w:hAnsi="Arial" w:cs="Arial"/>
          <w:sz w:val="20"/>
        </w:rPr>
        <w:t xml:space="preserve">The ChCV website notes that </w:t>
      </w:r>
      <w:r w:rsidRPr="00A3448C">
        <w:rPr>
          <w:rFonts w:ascii="Arial" w:hAnsi="Arial" w:cs="Arial"/>
          <w:sz w:val="20"/>
        </w:rPr>
        <w:t>CSCs provide:</w:t>
      </w:r>
    </w:p>
    <w:p w14:paraId="5FA83F33" w14:textId="77777777" w:rsidR="00E85AF4" w:rsidRPr="00A3448C" w:rsidRDefault="00E85AF4" w:rsidP="006264A9">
      <w:pPr>
        <w:numPr>
          <w:ilvl w:val="0"/>
          <w:numId w:val="54"/>
        </w:numPr>
        <w:jc w:val="both"/>
        <w:rPr>
          <w:rFonts w:ascii="Arial" w:hAnsi="Arial" w:cs="Arial"/>
          <w:sz w:val="20"/>
        </w:rPr>
      </w:pPr>
      <w:r>
        <w:rPr>
          <w:rFonts w:ascii="Arial" w:hAnsi="Arial" w:cs="Arial"/>
          <w:sz w:val="20"/>
        </w:rPr>
        <w:t>s</w:t>
      </w:r>
      <w:r w:rsidRPr="00A3448C">
        <w:rPr>
          <w:rFonts w:ascii="Arial" w:hAnsi="Arial" w:cs="Arial"/>
          <w:sz w:val="20"/>
        </w:rPr>
        <w:t>upport and non-legal advocacy to self-represented people</w:t>
      </w:r>
      <w:r>
        <w:rPr>
          <w:rFonts w:ascii="Arial" w:hAnsi="Arial" w:cs="Arial"/>
          <w:sz w:val="20"/>
        </w:rPr>
        <w:t>;</w:t>
      </w:r>
    </w:p>
    <w:p w14:paraId="548D72C0" w14:textId="77777777" w:rsidR="00E85AF4" w:rsidRPr="00A3448C" w:rsidRDefault="00E85AF4" w:rsidP="006264A9">
      <w:pPr>
        <w:numPr>
          <w:ilvl w:val="0"/>
          <w:numId w:val="54"/>
        </w:numPr>
        <w:jc w:val="both"/>
        <w:rPr>
          <w:rFonts w:ascii="Arial" w:hAnsi="Arial" w:cs="Arial"/>
          <w:sz w:val="20"/>
        </w:rPr>
      </w:pPr>
      <w:r w:rsidRPr="00A3448C">
        <w:rPr>
          <w:rFonts w:ascii="Arial" w:hAnsi="Arial" w:cs="Arial"/>
          <w:sz w:val="20"/>
        </w:rPr>
        <w:t>referrals to community support services, including drug and alcohol, disability, housing, youth support, and family violence</w:t>
      </w:r>
      <w:r>
        <w:rPr>
          <w:rFonts w:ascii="Arial" w:hAnsi="Arial" w:cs="Arial"/>
          <w:sz w:val="20"/>
        </w:rPr>
        <w:t>;</w:t>
      </w:r>
    </w:p>
    <w:p w14:paraId="517806D1" w14:textId="77777777" w:rsidR="00E85AF4" w:rsidRPr="00A3448C" w:rsidRDefault="00E85AF4" w:rsidP="006264A9">
      <w:pPr>
        <w:numPr>
          <w:ilvl w:val="0"/>
          <w:numId w:val="54"/>
        </w:numPr>
        <w:jc w:val="both"/>
        <w:rPr>
          <w:rFonts w:ascii="Arial" w:hAnsi="Arial" w:cs="Arial"/>
          <w:sz w:val="20"/>
        </w:rPr>
      </w:pPr>
      <w:r w:rsidRPr="00A3448C">
        <w:rPr>
          <w:rFonts w:ascii="Arial" w:hAnsi="Arial" w:cs="Arial"/>
          <w:sz w:val="20"/>
        </w:rPr>
        <w:t>information about court processes and procedures</w:t>
      </w:r>
      <w:r>
        <w:rPr>
          <w:rFonts w:ascii="Arial" w:hAnsi="Arial" w:cs="Arial"/>
          <w:sz w:val="20"/>
        </w:rPr>
        <w:t>;</w:t>
      </w:r>
    </w:p>
    <w:p w14:paraId="04AA5C51" w14:textId="77777777" w:rsidR="00E85AF4" w:rsidRPr="00A3448C" w:rsidRDefault="00E85AF4" w:rsidP="006264A9">
      <w:pPr>
        <w:numPr>
          <w:ilvl w:val="0"/>
          <w:numId w:val="54"/>
        </w:numPr>
        <w:jc w:val="both"/>
        <w:rPr>
          <w:rFonts w:ascii="Arial" w:hAnsi="Arial" w:cs="Arial"/>
          <w:sz w:val="20"/>
        </w:rPr>
      </w:pPr>
      <w:r w:rsidRPr="00A3448C">
        <w:rPr>
          <w:rFonts w:ascii="Arial" w:hAnsi="Arial" w:cs="Arial"/>
          <w:sz w:val="20"/>
        </w:rPr>
        <w:t>assistance to join online hearings, and support during hearings</w:t>
      </w:r>
      <w:r>
        <w:rPr>
          <w:rFonts w:ascii="Arial" w:hAnsi="Arial" w:cs="Arial"/>
          <w:sz w:val="20"/>
        </w:rPr>
        <w:t>;</w:t>
      </w:r>
    </w:p>
    <w:p w14:paraId="16A4417B" w14:textId="77777777" w:rsidR="00E85AF4" w:rsidRPr="00A3448C" w:rsidRDefault="00E85AF4" w:rsidP="006264A9">
      <w:pPr>
        <w:numPr>
          <w:ilvl w:val="0"/>
          <w:numId w:val="54"/>
        </w:numPr>
        <w:jc w:val="both"/>
        <w:rPr>
          <w:rFonts w:ascii="Arial" w:hAnsi="Arial" w:cs="Arial"/>
          <w:sz w:val="20"/>
        </w:rPr>
      </w:pPr>
      <w:r w:rsidRPr="00A3448C">
        <w:rPr>
          <w:rFonts w:ascii="Arial" w:hAnsi="Arial" w:cs="Arial"/>
          <w:sz w:val="20"/>
        </w:rPr>
        <w:t>safe response to family violence issues and risks</w:t>
      </w:r>
      <w:r>
        <w:rPr>
          <w:rFonts w:ascii="Arial" w:hAnsi="Arial" w:cs="Arial"/>
          <w:sz w:val="20"/>
        </w:rPr>
        <w:t>; and</w:t>
      </w:r>
    </w:p>
    <w:p w14:paraId="3670CC0C" w14:textId="77777777" w:rsidR="00E85AF4" w:rsidRPr="00A3448C" w:rsidRDefault="00E85AF4" w:rsidP="006264A9">
      <w:pPr>
        <w:numPr>
          <w:ilvl w:val="0"/>
          <w:numId w:val="54"/>
        </w:numPr>
        <w:jc w:val="both"/>
        <w:rPr>
          <w:rFonts w:ascii="Arial" w:hAnsi="Arial" w:cs="Arial"/>
          <w:sz w:val="20"/>
        </w:rPr>
      </w:pPr>
      <w:r w:rsidRPr="00A3448C">
        <w:rPr>
          <w:rFonts w:ascii="Arial" w:hAnsi="Arial" w:cs="Arial"/>
          <w:sz w:val="20"/>
        </w:rPr>
        <w:t>culturally safe and sensitive practice.</w:t>
      </w:r>
    </w:p>
    <w:p w14:paraId="2050C353" w14:textId="77777777" w:rsidR="00E85AF4" w:rsidRDefault="00E85AF4" w:rsidP="00E85AF4">
      <w:pPr>
        <w:jc w:val="both"/>
        <w:rPr>
          <w:rFonts w:ascii="Arial" w:hAnsi="Arial" w:cs="Arial"/>
          <w:sz w:val="20"/>
        </w:rPr>
      </w:pPr>
    </w:p>
    <w:p w14:paraId="55620E42" w14:textId="77777777" w:rsidR="00E85AF4" w:rsidRPr="00A3448C" w:rsidRDefault="00E85AF4" w:rsidP="00E85AF4">
      <w:pPr>
        <w:jc w:val="both"/>
        <w:rPr>
          <w:rFonts w:ascii="Arial" w:hAnsi="Arial" w:cs="Arial"/>
          <w:sz w:val="20"/>
        </w:rPr>
      </w:pPr>
      <w:r w:rsidRPr="00A3448C">
        <w:rPr>
          <w:rFonts w:ascii="Arial" w:hAnsi="Arial" w:cs="Arial"/>
          <w:sz w:val="20"/>
        </w:rPr>
        <w:t>Referrals to CSC can be received from other support services, court users, registry staff, judicial officers and lawyers. CSC have a centralised intake email address for referrals:</w:t>
      </w:r>
      <w:r>
        <w:rPr>
          <w:rFonts w:ascii="Arial" w:hAnsi="Arial" w:cs="Arial"/>
          <w:sz w:val="20"/>
        </w:rPr>
        <w:t xml:space="preserve"> </w:t>
      </w:r>
      <w:hyperlink r:id="rId19" w:history="1">
        <w:r w:rsidRPr="00A3448C">
          <w:rPr>
            <w:rStyle w:val="Hyperlink"/>
            <w:rFonts w:ascii="Arial" w:hAnsi="Arial" w:cs="Arial"/>
            <w:sz w:val="20"/>
          </w:rPr>
          <w:t>csc.childrens@courts.vic.gov.au</w:t>
        </w:r>
      </w:hyperlink>
      <w:r w:rsidRPr="00A3448C">
        <w:rPr>
          <w:rFonts w:ascii="Arial" w:hAnsi="Arial" w:cs="Arial"/>
          <w:sz w:val="20"/>
        </w:rPr>
        <w:t>.</w:t>
      </w:r>
      <w:r>
        <w:rPr>
          <w:rFonts w:ascii="Arial" w:hAnsi="Arial" w:cs="Arial"/>
          <w:sz w:val="20"/>
        </w:rPr>
        <w:t xml:space="preserve">  </w:t>
      </w:r>
    </w:p>
    <w:p w14:paraId="2DC9E247" w14:textId="77777777" w:rsidR="00E85AF4" w:rsidRDefault="00E85AF4" w:rsidP="00E85AF4">
      <w:pPr>
        <w:jc w:val="both"/>
        <w:rPr>
          <w:rFonts w:ascii="Arial" w:hAnsi="Arial" w:cs="Arial"/>
          <w:sz w:val="20"/>
        </w:rPr>
      </w:pPr>
    </w:p>
    <w:p w14:paraId="34FA91A4" w14:textId="77777777" w:rsidR="00E85AF4" w:rsidRDefault="00E85AF4" w:rsidP="00E85AF4">
      <w:pPr>
        <w:jc w:val="both"/>
        <w:rPr>
          <w:rFonts w:ascii="Arial" w:hAnsi="Arial" w:cs="Arial"/>
          <w:sz w:val="20"/>
        </w:rPr>
      </w:pPr>
      <w:r w:rsidRPr="00C844B9">
        <w:rPr>
          <w:rFonts w:ascii="Arial" w:hAnsi="Arial" w:cs="Arial"/>
          <w:sz w:val="20"/>
        </w:rPr>
        <w:t xml:space="preserve">CSC </w:t>
      </w:r>
      <w:r>
        <w:rPr>
          <w:rFonts w:ascii="Arial" w:hAnsi="Arial" w:cs="Arial"/>
          <w:sz w:val="20"/>
        </w:rPr>
        <w:t>also</w:t>
      </w:r>
      <w:r w:rsidRPr="00C844B9">
        <w:rPr>
          <w:rFonts w:ascii="Arial" w:hAnsi="Arial" w:cs="Arial"/>
          <w:sz w:val="20"/>
        </w:rPr>
        <w:t xml:space="preserve"> offer</w:t>
      </w:r>
      <w:r>
        <w:rPr>
          <w:rFonts w:ascii="Arial" w:hAnsi="Arial" w:cs="Arial"/>
          <w:sz w:val="20"/>
        </w:rPr>
        <w:t>s</w:t>
      </w:r>
      <w:r w:rsidRPr="00C844B9">
        <w:rPr>
          <w:rFonts w:ascii="Arial" w:hAnsi="Arial" w:cs="Arial"/>
          <w:sz w:val="20"/>
        </w:rPr>
        <w:t xml:space="preserve"> information and support to court users by telephone and can be contacted </w:t>
      </w:r>
      <w:r>
        <w:rPr>
          <w:rFonts w:ascii="Arial" w:hAnsi="Arial" w:cs="Arial"/>
          <w:sz w:val="20"/>
        </w:rPr>
        <w:t xml:space="preserve">on the numbers provided on </w:t>
      </w:r>
      <w:r>
        <w:rPr>
          <w:rFonts w:ascii="Arial" w:hAnsi="Arial" w:cs="Arial"/>
          <w:color w:val="000000"/>
          <w:sz w:val="20"/>
        </w:rPr>
        <w:t xml:space="preserve">the Children’s Court website by tabbing “Help and Support” </w:t>
      </w:r>
      <w:r>
        <w:rPr>
          <w:rFonts w:ascii="Arial" w:hAnsi="Arial" w:cs="Arial"/>
          <w:color w:val="000000"/>
          <w:sz w:val="20"/>
        </w:rPr>
        <w:sym w:font="Wingdings" w:char="F0E8"/>
      </w:r>
      <w:r>
        <w:rPr>
          <w:rFonts w:ascii="Arial" w:hAnsi="Arial" w:cs="Arial"/>
          <w:color w:val="000000"/>
          <w:sz w:val="20"/>
        </w:rPr>
        <w:t xml:space="preserve"> “Support Services at Court”.</w:t>
      </w:r>
    </w:p>
    <w:p w14:paraId="01ABD6A5" w14:textId="77777777" w:rsidR="00A3448C" w:rsidRDefault="00A3448C" w:rsidP="0006258E">
      <w:pPr>
        <w:jc w:val="both"/>
        <w:rPr>
          <w:rFonts w:ascii="Arial" w:hAnsi="Arial" w:cs="Arial"/>
          <w:sz w:val="20"/>
        </w:rPr>
      </w:pPr>
    </w:p>
    <w:p w14:paraId="36A369A6" w14:textId="6EF4ACFC" w:rsidR="00277B85" w:rsidRDefault="00C47D81" w:rsidP="001561BE">
      <w:pPr>
        <w:spacing w:before="120"/>
        <w:jc w:val="center"/>
        <w:rPr>
          <w:rFonts w:ascii="Arial" w:hAnsi="Arial" w:cs="Arial"/>
        </w:rPr>
      </w:pPr>
      <w:r>
        <w:rPr>
          <w:noProof/>
        </w:rPr>
        <w:drawing>
          <wp:inline distT="0" distB="0" distL="0" distR="0" wp14:anchorId="5B477438" wp14:editId="3B0CA3CC">
            <wp:extent cx="1801495" cy="4210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01495" cy="421005"/>
                    </a:xfrm>
                    <a:prstGeom prst="rect">
                      <a:avLst/>
                    </a:prstGeom>
                    <a:noFill/>
                    <a:ln>
                      <a:noFill/>
                    </a:ln>
                  </pic:spPr>
                </pic:pic>
              </a:graphicData>
            </a:graphic>
          </wp:inline>
        </w:drawing>
      </w:r>
    </w:p>
    <w:sectPr w:rsidR="00277B85" w:rsidSect="00CB6559">
      <w:headerReference w:type="even" r:id="rId21"/>
      <w:headerReference w:type="default" r:id="rId22"/>
      <w:footerReference w:type="even" r:id="rId23"/>
      <w:footerReference w:type="default" r:id="rId24"/>
      <w:headerReference w:type="first" r:id="rId25"/>
      <w:footerReference w:type="first" r:id="rId26"/>
      <w:pgSz w:w="11906" w:h="16838"/>
      <w:pgMar w:top="1191" w:right="1418" w:bottom="1191"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02F70" w14:textId="77777777" w:rsidR="00B562D3" w:rsidRDefault="00B562D3">
      <w:r>
        <w:separator/>
      </w:r>
    </w:p>
  </w:endnote>
  <w:endnote w:type="continuationSeparator" w:id="0">
    <w:p w14:paraId="294423E1" w14:textId="77777777" w:rsidR="00B562D3" w:rsidRDefault="00B56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59794" w14:textId="77777777" w:rsidR="00DF6220" w:rsidRDefault="00DF62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C0159" w14:textId="77777777" w:rsidR="0002691F" w:rsidRPr="007C6569" w:rsidRDefault="0002691F">
    <w:pPr>
      <w:pStyle w:val="Footer"/>
      <w:pBdr>
        <w:top w:val="single" w:sz="4" w:space="1" w:color="auto"/>
      </w:pBdr>
      <w:rPr>
        <w:rStyle w:val="PageNumber"/>
        <w:rFonts w:ascii="Arial" w:hAnsi="Arial" w:cs="Arial"/>
        <w:b/>
        <w:bCs/>
        <w:color w:val="000000"/>
        <w:sz w:val="16"/>
      </w:rPr>
    </w:pPr>
    <w:r>
      <w:rPr>
        <w:rStyle w:val="PageNumber"/>
        <w:rFonts w:ascii="Arial" w:hAnsi="Arial" w:cs="Arial"/>
        <w:b/>
        <w:bCs/>
        <w:sz w:val="16"/>
      </w:rPr>
      <w:t xml:space="preserve">Produced </w:t>
    </w:r>
    <w:r w:rsidRPr="007C6569">
      <w:rPr>
        <w:rStyle w:val="PageNumber"/>
        <w:rFonts w:ascii="Arial" w:hAnsi="Arial" w:cs="Arial"/>
        <w:b/>
        <w:bCs/>
        <w:color w:val="000000"/>
        <w:sz w:val="16"/>
      </w:rPr>
      <w:t xml:space="preserve">by </w:t>
    </w:r>
    <w:r w:rsidR="0058558A">
      <w:rPr>
        <w:rStyle w:val="PageNumber"/>
        <w:rFonts w:ascii="Arial" w:hAnsi="Arial" w:cs="Arial"/>
        <w:b/>
        <w:bCs/>
        <w:color w:val="000000"/>
        <w:sz w:val="16"/>
      </w:rPr>
      <w:t xml:space="preserve">former </w:t>
    </w:r>
    <w:r w:rsidRPr="007C6569">
      <w:rPr>
        <w:rStyle w:val="PageNumber"/>
        <w:rFonts w:ascii="Arial" w:hAnsi="Arial" w:cs="Arial"/>
        <w:b/>
        <w:bCs/>
        <w:color w:val="000000"/>
        <w:sz w:val="16"/>
      </w:rPr>
      <w:t>Magistrate Peter Power for the Children's Court of Victoria</w:t>
    </w:r>
  </w:p>
  <w:p w14:paraId="359C8036" w14:textId="6077AD78" w:rsidR="0002691F" w:rsidRDefault="0002691F">
    <w:pPr>
      <w:pStyle w:val="Footer"/>
    </w:pPr>
    <w:r w:rsidRPr="007C6569">
      <w:rPr>
        <w:rStyle w:val="PageNumber"/>
        <w:rFonts w:ascii="Arial" w:hAnsi="Arial" w:cs="Arial"/>
        <w:b/>
        <w:bCs/>
        <w:color w:val="000000"/>
        <w:sz w:val="16"/>
      </w:rPr>
      <w:t xml:space="preserve">Last updated </w:t>
    </w:r>
    <w:r w:rsidR="00DF6220">
      <w:rPr>
        <w:rStyle w:val="PageNumber"/>
        <w:rFonts w:ascii="Arial" w:hAnsi="Arial" w:cs="Arial"/>
        <w:b/>
        <w:bCs/>
        <w:color w:val="000000"/>
        <w:sz w:val="16"/>
      </w:rPr>
      <w:t xml:space="preserve">4 </w:t>
    </w:r>
    <w:r w:rsidR="00DF6220">
      <w:rPr>
        <w:rStyle w:val="PageNumber"/>
        <w:rFonts w:ascii="Arial" w:hAnsi="Arial" w:cs="Arial"/>
        <w:b/>
        <w:bCs/>
        <w:color w:val="000000"/>
        <w:sz w:val="16"/>
      </w:rPr>
      <w:t>September</w:t>
    </w:r>
    <w:r w:rsidR="003D46D8">
      <w:rPr>
        <w:rStyle w:val="PageNumber"/>
        <w:rFonts w:ascii="Arial" w:hAnsi="Arial" w:cs="Arial"/>
        <w:b/>
        <w:bCs/>
        <w:color w:val="000000"/>
        <w:sz w:val="16"/>
      </w:rPr>
      <w:t xml:space="preserve"> 2026</w:t>
    </w:r>
    <w:r>
      <w:rPr>
        <w:rStyle w:val="PageNumber"/>
        <w:rFonts w:ascii="Arial" w:hAnsi="Arial" w:cs="Arial"/>
        <w:b/>
        <w:bCs/>
        <w:sz w:val="18"/>
      </w:rPr>
      <w:tab/>
    </w:r>
    <w:r>
      <w:rPr>
        <w:rStyle w:val="PageNumber"/>
        <w:rFonts w:ascii="Arial" w:hAnsi="Arial" w:cs="Arial"/>
        <w:b/>
        <w:bCs/>
        <w:sz w:val="18"/>
      </w:rPr>
      <w:tab/>
    </w:r>
    <w:r>
      <w:rPr>
        <w:rStyle w:val="PageNumber"/>
        <w:rFonts w:ascii="Arial" w:hAnsi="Arial" w:cs="Arial"/>
        <w:b/>
        <w:bCs/>
      </w:rPr>
      <w:tab/>
    </w:r>
    <w:r>
      <w:rPr>
        <w:rStyle w:val="PageNumber"/>
        <w:rFonts w:ascii="Arial" w:hAnsi="Arial" w:cs="Arial"/>
        <w:b/>
        <w:bCs/>
        <w:sz w:val="16"/>
      </w:rPr>
      <w:t>2.</w:t>
    </w:r>
    <w:r>
      <w:rPr>
        <w:rStyle w:val="PageNumber"/>
        <w:rFonts w:ascii="Arial" w:hAnsi="Arial" w:cs="Arial"/>
        <w:b/>
        <w:bCs/>
        <w:sz w:val="16"/>
      </w:rPr>
      <w:fldChar w:fldCharType="begin"/>
    </w:r>
    <w:r>
      <w:rPr>
        <w:rStyle w:val="PageNumber"/>
        <w:rFonts w:ascii="Arial" w:hAnsi="Arial" w:cs="Arial"/>
        <w:b/>
        <w:bCs/>
        <w:sz w:val="16"/>
      </w:rPr>
      <w:instrText xml:space="preserve"> PAGE </w:instrText>
    </w:r>
    <w:r>
      <w:rPr>
        <w:rStyle w:val="PageNumber"/>
        <w:rFonts w:ascii="Arial" w:hAnsi="Arial" w:cs="Arial"/>
        <w:b/>
        <w:bCs/>
        <w:sz w:val="16"/>
      </w:rPr>
      <w:fldChar w:fldCharType="separate"/>
    </w:r>
    <w:r w:rsidR="00E46907">
      <w:rPr>
        <w:rStyle w:val="PageNumber"/>
        <w:rFonts w:ascii="Arial" w:hAnsi="Arial" w:cs="Arial"/>
        <w:b/>
        <w:bCs/>
        <w:noProof/>
        <w:sz w:val="16"/>
      </w:rPr>
      <w:t>1</w:t>
    </w:r>
    <w:r>
      <w:rPr>
        <w:rStyle w:val="PageNumber"/>
        <w:rFonts w:ascii="Arial" w:hAnsi="Arial" w:cs="Arial"/>
        <w:b/>
        <w:bCs/>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BE287" w14:textId="77777777" w:rsidR="00DF6220" w:rsidRDefault="00DF6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9CF82" w14:textId="77777777" w:rsidR="00B562D3" w:rsidRDefault="00B562D3">
      <w:r>
        <w:separator/>
      </w:r>
    </w:p>
  </w:footnote>
  <w:footnote w:type="continuationSeparator" w:id="0">
    <w:p w14:paraId="2FDB1058" w14:textId="77777777" w:rsidR="00B562D3" w:rsidRDefault="00B56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A93D8" w14:textId="77777777" w:rsidR="00DF6220" w:rsidRDefault="00DF62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77F34" w14:textId="77777777" w:rsidR="00DF6220" w:rsidRDefault="00DF62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EA12F" w14:textId="77777777" w:rsidR="00DF6220" w:rsidRDefault="00DF62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3F36"/>
    <w:multiLevelType w:val="hybridMultilevel"/>
    <w:tmpl w:val="8954C99C"/>
    <w:lvl w:ilvl="0" w:tplc="35E61FE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E470DD"/>
    <w:multiLevelType w:val="hybridMultilevel"/>
    <w:tmpl w:val="34282986"/>
    <w:lvl w:ilvl="0" w:tplc="B7CEFD5E">
      <w:start w:val="2"/>
      <w:numFmt w:val="bullet"/>
      <w:lvlText w:val=""/>
      <w:lvlJc w:val="left"/>
      <w:pPr>
        <w:tabs>
          <w:tab w:val="num" w:pos="420"/>
        </w:tabs>
        <w:ind w:left="60" w:firstLine="0"/>
      </w:pPr>
      <w:rPr>
        <w:rFonts w:ascii="Wingdings 2" w:hAnsi="Wingdings 2" w:hint="default"/>
        <w:sz w:val="20"/>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9E54883"/>
    <w:multiLevelType w:val="hybridMultilevel"/>
    <w:tmpl w:val="F54613F8"/>
    <w:lvl w:ilvl="0" w:tplc="3CE21550">
      <w:start w:val="1"/>
      <w:numFmt w:val="lowerLetter"/>
      <w:lvlText w:val="(%1)"/>
      <w:lvlJc w:val="left"/>
      <w:pPr>
        <w:tabs>
          <w:tab w:val="num" w:pos="927"/>
        </w:tabs>
        <w:ind w:left="927"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0A2025F9"/>
    <w:multiLevelType w:val="hybridMultilevel"/>
    <w:tmpl w:val="7FEE4B66"/>
    <w:lvl w:ilvl="0" w:tplc="9DECE7F6">
      <w:start w:val="6"/>
      <w:numFmt w:val="lowerLetter"/>
      <w:lvlText w:val="(%1)"/>
      <w:lvlJc w:val="left"/>
      <w:pPr>
        <w:ind w:left="1284" w:hanging="360"/>
      </w:pPr>
      <w:rPr>
        <w:rFonts w:ascii="Arial" w:hAnsi="Arial"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EF115E"/>
    <w:multiLevelType w:val="hybridMultilevel"/>
    <w:tmpl w:val="92CC0526"/>
    <w:lvl w:ilvl="0" w:tplc="89FCF44C">
      <w:start w:val="1"/>
      <w:numFmt w:val="lowerRoman"/>
      <w:lvlText w:val="(%1)"/>
      <w:lvlJc w:val="left"/>
      <w:pPr>
        <w:ind w:left="1077" w:hanging="72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5" w15:restartNumberingAfterBreak="0">
    <w:nsid w:val="0FFA15AF"/>
    <w:multiLevelType w:val="hybridMultilevel"/>
    <w:tmpl w:val="1AE87EA2"/>
    <w:lvl w:ilvl="0" w:tplc="D1704400">
      <w:start w:val="2"/>
      <w:numFmt w:val="bullet"/>
      <w:lvlText w:val=""/>
      <w:lvlJc w:val="left"/>
      <w:pPr>
        <w:tabs>
          <w:tab w:val="num" w:pos="363"/>
        </w:tabs>
        <w:ind w:left="363" w:hanging="363"/>
      </w:pPr>
      <w:rPr>
        <w:rFonts w:ascii="Wingdings 2" w:hAnsi="Wingdings 2"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2929B5"/>
    <w:multiLevelType w:val="hybridMultilevel"/>
    <w:tmpl w:val="7ADE226E"/>
    <w:lvl w:ilvl="0" w:tplc="FFFFFFFF">
      <w:start w:val="1"/>
      <w:numFmt w:val="decimal"/>
      <w:lvlText w:val="%1."/>
      <w:lvlJc w:val="left"/>
      <w:pPr>
        <w:ind w:left="720" w:hanging="360"/>
      </w:pPr>
      <w:rPr>
        <w:rFonts w:ascii="Arial" w:hAnsi="Arial" w:cs="Arial" w:hint="default"/>
        <w:b w:val="0"/>
        <w:bCs/>
        <w:i w:val="0"/>
        <w:iCs w:val="0"/>
        <w:color w:val="auto"/>
        <w:sz w:val="20"/>
        <w:szCs w:val="22"/>
      </w:rPr>
    </w:lvl>
    <w:lvl w:ilvl="1" w:tplc="F7504868">
      <w:start w:val="1"/>
      <w:numFmt w:val="lowerLetter"/>
      <w:lvlText w:val="%2."/>
      <w:lvlJc w:val="left"/>
      <w:pPr>
        <w:ind w:left="1440" w:hanging="360"/>
      </w:pPr>
      <w:rPr>
        <w:rFonts w:ascii="Arial" w:hAnsi="Arial" w:hint="default"/>
        <w:b w:val="0"/>
        <w:bCs/>
        <w:color w:val="auto"/>
        <w:sz w:val="2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16B6A1BE">
      <w:start w:val="1"/>
      <w:numFmt w:val="lowerRoman"/>
      <w:lvlText w:val="(%5)"/>
      <w:lvlJc w:val="left"/>
      <w:pPr>
        <w:ind w:left="3960" w:hanging="720"/>
      </w:pPr>
      <w:rPr>
        <w:rFonts w:hint="default"/>
        <w:sz w:val="20"/>
      </w:rPr>
    </w:lvl>
    <w:lvl w:ilvl="5" w:tplc="F2F89C7A">
      <w:start w:val="1"/>
      <w:numFmt w:val="decimal"/>
      <w:lvlText w:val="(%6)"/>
      <w:lvlJc w:val="left"/>
      <w:pPr>
        <w:ind w:left="4500" w:hanging="360"/>
      </w:pPr>
      <w:rPr>
        <w:rFonts w:hint="default"/>
      </w:rPr>
    </w:lvl>
    <w:lvl w:ilvl="6" w:tplc="4E68788C">
      <w:start w:val="1"/>
      <w:numFmt w:val="lowerLetter"/>
      <w:lvlText w:val="(%7)"/>
      <w:lvlJc w:val="left"/>
      <w:pPr>
        <w:ind w:left="5138" w:hanging="458"/>
      </w:pPr>
      <w:rPr>
        <w:rFonts w:hint="default"/>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33149B"/>
    <w:multiLevelType w:val="hybridMultilevel"/>
    <w:tmpl w:val="66AC62EE"/>
    <w:lvl w:ilvl="0" w:tplc="6FCC837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1713DAF"/>
    <w:multiLevelType w:val="hybridMultilevel"/>
    <w:tmpl w:val="4588F658"/>
    <w:lvl w:ilvl="0" w:tplc="0C09000B">
      <w:start w:val="1"/>
      <w:numFmt w:val="bullet"/>
      <w:lvlText w:val=""/>
      <w:lvlJc w:val="left"/>
      <w:pPr>
        <w:ind w:left="1627" w:hanging="360"/>
      </w:pPr>
      <w:rPr>
        <w:rFonts w:ascii="Wingdings" w:hAnsi="Wingdings" w:hint="default"/>
      </w:rPr>
    </w:lvl>
    <w:lvl w:ilvl="1" w:tplc="0C090003" w:tentative="1">
      <w:start w:val="1"/>
      <w:numFmt w:val="bullet"/>
      <w:lvlText w:val="o"/>
      <w:lvlJc w:val="left"/>
      <w:pPr>
        <w:ind w:left="2347" w:hanging="360"/>
      </w:pPr>
      <w:rPr>
        <w:rFonts w:ascii="Courier New" w:hAnsi="Courier New" w:cs="Courier New" w:hint="default"/>
      </w:rPr>
    </w:lvl>
    <w:lvl w:ilvl="2" w:tplc="0C090005" w:tentative="1">
      <w:start w:val="1"/>
      <w:numFmt w:val="bullet"/>
      <w:lvlText w:val=""/>
      <w:lvlJc w:val="left"/>
      <w:pPr>
        <w:ind w:left="3067" w:hanging="360"/>
      </w:pPr>
      <w:rPr>
        <w:rFonts w:ascii="Wingdings" w:hAnsi="Wingdings" w:hint="default"/>
      </w:rPr>
    </w:lvl>
    <w:lvl w:ilvl="3" w:tplc="0C090001" w:tentative="1">
      <w:start w:val="1"/>
      <w:numFmt w:val="bullet"/>
      <w:lvlText w:val=""/>
      <w:lvlJc w:val="left"/>
      <w:pPr>
        <w:ind w:left="3787" w:hanging="360"/>
      </w:pPr>
      <w:rPr>
        <w:rFonts w:ascii="Symbol" w:hAnsi="Symbol" w:hint="default"/>
      </w:rPr>
    </w:lvl>
    <w:lvl w:ilvl="4" w:tplc="0C090003" w:tentative="1">
      <w:start w:val="1"/>
      <w:numFmt w:val="bullet"/>
      <w:lvlText w:val="o"/>
      <w:lvlJc w:val="left"/>
      <w:pPr>
        <w:ind w:left="4507" w:hanging="360"/>
      </w:pPr>
      <w:rPr>
        <w:rFonts w:ascii="Courier New" w:hAnsi="Courier New" w:cs="Courier New" w:hint="default"/>
      </w:rPr>
    </w:lvl>
    <w:lvl w:ilvl="5" w:tplc="0C090005" w:tentative="1">
      <w:start w:val="1"/>
      <w:numFmt w:val="bullet"/>
      <w:lvlText w:val=""/>
      <w:lvlJc w:val="left"/>
      <w:pPr>
        <w:ind w:left="5227" w:hanging="360"/>
      </w:pPr>
      <w:rPr>
        <w:rFonts w:ascii="Wingdings" w:hAnsi="Wingdings" w:hint="default"/>
      </w:rPr>
    </w:lvl>
    <w:lvl w:ilvl="6" w:tplc="0C090001" w:tentative="1">
      <w:start w:val="1"/>
      <w:numFmt w:val="bullet"/>
      <w:lvlText w:val=""/>
      <w:lvlJc w:val="left"/>
      <w:pPr>
        <w:ind w:left="5947" w:hanging="360"/>
      </w:pPr>
      <w:rPr>
        <w:rFonts w:ascii="Symbol" w:hAnsi="Symbol" w:hint="default"/>
      </w:rPr>
    </w:lvl>
    <w:lvl w:ilvl="7" w:tplc="0C090003" w:tentative="1">
      <w:start w:val="1"/>
      <w:numFmt w:val="bullet"/>
      <w:lvlText w:val="o"/>
      <w:lvlJc w:val="left"/>
      <w:pPr>
        <w:ind w:left="6667" w:hanging="360"/>
      </w:pPr>
      <w:rPr>
        <w:rFonts w:ascii="Courier New" w:hAnsi="Courier New" w:cs="Courier New" w:hint="default"/>
      </w:rPr>
    </w:lvl>
    <w:lvl w:ilvl="8" w:tplc="0C090005" w:tentative="1">
      <w:start w:val="1"/>
      <w:numFmt w:val="bullet"/>
      <w:lvlText w:val=""/>
      <w:lvlJc w:val="left"/>
      <w:pPr>
        <w:ind w:left="7387" w:hanging="360"/>
      </w:pPr>
      <w:rPr>
        <w:rFonts w:ascii="Wingdings" w:hAnsi="Wingdings" w:hint="default"/>
      </w:rPr>
    </w:lvl>
  </w:abstractNum>
  <w:abstractNum w:abstractNumId="9" w15:restartNumberingAfterBreak="0">
    <w:nsid w:val="14430516"/>
    <w:multiLevelType w:val="hybridMultilevel"/>
    <w:tmpl w:val="01080CCA"/>
    <w:lvl w:ilvl="0" w:tplc="37BA3F3A">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0" w15:restartNumberingAfterBreak="0">
    <w:nsid w:val="14DE35BF"/>
    <w:multiLevelType w:val="multilevel"/>
    <w:tmpl w:val="51F48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5229C7"/>
    <w:multiLevelType w:val="hybridMultilevel"/>
    <w:tmpl w:val="C8D29D9E"/>
    <w:lvl w:ilvl="0" w:tplc="8FF2C78C">
      <w:start w:val="2"/>
      <w:numFmt w:val="bullet"/>
      <w:lvlText w:val=""/>
      <w:lvlJc w:val="left"/>
      <w:pPr>
        <w:tabs>
          <w:tab w:val="num" w:pos="363"/>
        </w:tabs>
        <w:ind w:left="363" w:hanging="363"/>
      </w:pPr>
      <w:rPr>
        <w:rFonts w:ascii="Wingdings 2" w:hAnsi="Wingdings 2"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432E73"/>
    <w:multiLevelType w:val="hybridMultilevel"/>
    <w:tmpl w:val="A446A69C"/>
    <w:lvl w:ilvl="0" w:tplc="103E951A">
      <w:start w:val="1"/>
      <w:numFmt w:val="bullet"/>
      <w:lvlText w:val=""/>
      <w:lvlJc w:val="left"/>
      <w:pPr>
        <w:ind w:left="720" w:hanging="360"/>
      </w:pPr>
      <w:rPr>
        <w:rFonts w:ascii="Symbol" w:hAnsi="Symbol" w:hint="default"/>
        <w:color w:val="000000" w:themeColor="text1"/>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AF43B59"/>
    <w:multiLevelType w:val="hybridMultilevel"/>
    <w:tmpl w:val="1C78A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8D4D02"/>
    <w:multiLevelType w:val="hybridMultilevel"/>
    <w:tmpl w:val="221E1EA6"/>
    <w:lvl w:ilvl="0" w:tplc="FFFFFFFF">
      <w:start w:val="1"/>
      <w:numFmt w:val="lowerLetter"/>
      <w:lvlText w:val="(%1)"/>
      <w:lvlJc w:val="left"/>
      <w:pPr>
        <w:ind w:left="1284" w:hanging="360"/>
      </w:pPr>
      <w:rPr>
        <w:rFonts w:hint="default"/>
      </w:rPr>
    </w:lvl>
    <w:lvl w:ilvl="1" w:tplc="FFFFFFFF" w:tentative="1">
      <w:start w:val="1"/>
      <w:numFmt w:val="lowerLetter"/>
      <w:lvlText w:val="%2."/>
      <w:lvlJc w:val="left"/>
      <w:pPr>
        <w:ind w:left="2004" w:hanging="360"/>
      </w:pPr>
    </w:lvl>
    <w:lvl w:ilvl="2" w:tplc="FFFFFFFF" w:tentative="1">
      <w:start w:val="1"/>
      <w:numFmt w:val="lowerRoman"/>
      <w:lvlText w:val="%3."/>
      <w:lvlJc w:val="right"/>
      <w:pPr>
        <w:ind w:left="2724" w:hanging="180"/>
      </w:pPr>
    </w:lvl>
    <w:lvl w:ilvl="3" w:tplc="FFFFFFFF" w:tentative="1">
      <w:start w:val="1"/>
      <w:numFmt w:val="decimal"/>
      <w:lvlText w:val="%4."/>
      <w:lvlJc w:val="left"/>
      <w:pPr>
        <w:ind w:left="3444" w:hanging="360"/>
      </w:pPr>
    </w:lvl>
    <w:lvl w:ilvl="4" w:tplc="FFFFFFFF" w:tentative="1">
      <w:start w:val="1"/>
      <w:numFmt w:val="lowerLetter"/>
      <w:lvlText w:val="%5."/>
      <w:lvlJc w:val="left"/>
      <w:pPr>
        <w:ind w:left="4164" w:hanging="360"/>
      </w:pPr>
    </w:lvl>
    <w:lvl w:ilvl="5" w:tplc="FFFFFFFF" w:tentative="1">
      <w:start w:val="1"/>
      <w:numFmt w:val="lowerRoman"/>
      <w:lvlText w:val="%6."/>
      <w:lvlJc w:val="right"/>
      <w:pPr>
        <w:ind w:left="4884" w:hanging="180"/>
      </w:pPr>
    </w:lvl>
    <w:lvl w:ilvl="6" w:tplc="FFFFFFFF" w:tentative="1">
      <w:start w:val="1"/>
      <w:numFmt w:val="decimal"/>
      <w:lvlText w:val="%7."/>
      <w:lvlJc w:val="left"/>
      <w:pPr>
        <w:ind w:left="5604" w:hanging="360"/>
      </w:pPr>
    </w:lvl>
    <w:lvl w:ilvl="7" w:tplc="FFFFFFFF" w:tentative="1">
      <w:start w:val="1"/>
      <w:numFmt w:val="lowerLetter"/>
      <w:lvlText w:val="%8."/>
      <w:lvlJc w:val="left"/>
      <w:pPr>
        <w:ind w:left="6324" w:hanging="360"/>
      </w:pPr>
    </w:lvl>
    <w:lvl w:ilvl="8" w:tplc="FFFFFFFF" w:tentative="1">
      <w:start w:val="1"/>
      <w:numFmt w:val="lowerRoman"/>
      <w:lvlText w:val="%9."/>
      <w:lvlJc w:val="right"/>
      <w:pPr>
        <w:ind w:left="7044" w:hanging="180"/>
      </w:pPr>
    </w:lvl>
  </w:abstractNum>
  <w:abstractNum w:abstractNumId="15" w15:restartNumberingAfterBreak="0">
    <w:nsid w:val="237B5A4E"/>
    <w:multiLevelType w:val="hybridMultilevel"/>
    <w:tmpl w:val="5AA25C4C"/>
    <w:lvl w:ilvl="0" w:tplc="1B04A6CE">
      <w:start w:val="4"/>
      <w:numFmt w:val="lowerLetter"/>
      <w:lvlText w:val="(%1)"/>
      <w:lvlJc w:val="left"/>
      <w:pPr>
        <w:ind w:left="128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38C5BA9"/>
    <w:multiLevelType w:val="hybridMultilevel"/>
    <w:tmpl w:val="55C02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F63BE5"/>
    <w:multiLevelType w:val="hybridMultilevel"/>
    <w:tmpl w:val="54743BA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56E1E06"/>
    <w:multiLevelType w:val="hybridMultilevel"/>
    <w:tmpl w:val="17E291C2"/>
    <w:lvl w:ilvl="0" w:tplc="2CB215A8">
      <w:start w:val="1"/>
      <w:numFmt w:val="lowerRoman"/>
      <w:lvlText w:val="(%1)"/>
      <w:lvlJc w:val="left"/>
      <w:pPr>
        <w:ind w:left="1077" w:hanging="72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9" w15:restartNumberingAfterBreak="0">
    <w:nsid w:val="25834F21"/>
    <w:multiLevelType w:val="hybridMultilevel"/>
    <w:tmpl w:val="DAAEDA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2673C2"/>
    <w:multiLevelType w:val="hybridMultilevel"/>
    <w:tmpl w:val="DA28EB0A"/>
    <w:lvl w:ilvl="0" w:tplc="C7B60F4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DBF42AD"/>
    <w:multiLevelType w:val="hybridMultilevel"/>
    <w:tmpl w:val="5B58A964"/>
    <w:lvl w:ilvl="0" w:tplc="8FF2C78C">
      <w:start w:val="2"/>
      <w:numFmt w:val="bullet"/>
      <w:lvlText w:val=""/>
      <w:lvlJc w:val="left"/>
      <w:pPr>
        <w:tabs>
          <w:tab w:val="num" w:pos="363"/>
        </w:tabs>
        <w:ind w:left="363" w:hanging="363"/>
      </w:pPr>
      <w:rPr>
        <w:rFonts w:ascii="Wingdings 2" w:hAnsi="Wingdings 2" w:hint="default"/>
        <w:sz w:val="20"/>
      </w:rPr>
    </w:lvl>
    <w:lvl w:ilvl="1" w:tplc="191236A6">
      <w:start w:val="2"/>
      <w:numFmt w:val="bullet"/>
      <w:lvlText w:val=""/>
      <w:lvlJc w:val="left"/>
      <w:pPr>
        <w:tabs>
          <w:tab w:val="num" w:pos="1440"/>
        </w:tabs>
        <w:ind w:left="1080" w:firstLine="0"/>
      </w:pPr>
      <w:rPr>
        <w:rFonts w:ascii="Wingdings 2" w:hAnsi="Wingdings 2"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2DF60B1"/>
    <w:multiLevelType w:val="singleLevel"/>
    <w:tmpl w:val="F0825DD4"/>
    <w:lvl w:ilvl="0">
      <w:start w:val="1"/>
      <w:numFmt w:val="decimal"/>
      <w:pStyle w:val="Heading1"/>
      <w:lvlText w:val="%1"/>
      <w:lvlJc w:val="left"/>
      <w:pPr>
        <w:tabs>
          <w:tab w:val="num" w:pos="360"/>
        </w:tabs>
        <w:ind w:left="0" w:firstLine="0"/>
      </w:pPr>
      <w:rPr>
        <w:sz w:val="20"/>
      </w:rPr>
    </w:lvl>
  </w:abstractNum>
  <w:abstractNum w:abstractNumId="23" w15:restartNumberingAfterBreak="0">
    <w:nsid w:val="33A02FB2"/>
    <w:multiLevelType w:val="hybridMultilevel"/>
    <w:tmpl w:val="01080CC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4" w15:restartNumberingAfterBreak="0">
    <w:nsid w:val="34F729D1"/>
    <w:multiLevelType w:val="hybridMultilevel"/>
    <w:tmpl w:val="023C0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65F0C2A"/>
    <w:multiLevelType w:val="multilevel"/>
    <w:tmpl w:val="D7E64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6ED4DD4"/>
    <w:multiLevelType w:val="hybridMultilevel"/>
    <w:tmpl w:val="221E1EA6"/>
    <w:lvl w:ilvl="0" w:tplc="616830C8">
      <w:start w:val="1"/>
      <w:numFmt w:val="lowerLetter"/>
      <w:lvlText w:val="(%1)"/>
      <w:lvlJc w:val="left"/>
      <w:pPr>
        <w:ind w:left="1284" w:hanging="360"/>
      </w:pPr>
      <w:rPr>
        <w:rFonts w:hint="default"/>
      </w:rPr>
    </w:lvl>
    <w:lvl w:ilvl="1" w:tplc="0C090019" w:tentative="1">
      <w:start w:val="1"/>
      <w:numFmt w:val="lowerLetter"/>
      <w:lvlText w:val="%2."/>
      <w:lvlJc w:val="left"/>
      <w:pPr>
        <w:ind w:left="2004" w:hanging="360"/>
      </w:pPr>
    </w:lvl>
    <w:lvl w:ilvl="2" w:tplc="0C09001B" w:tentative="1">
      <w:start w:val="1"/>
      <w:numFmt w:val="lowerRoman"/>
      <w:lvlText w:val="%3."/>
      <w:lvlJc w:val="right"/>
      <w:pPr>
        <w:ind w:left="2724" w:hanging="180"/>
      </w:pPr>
    </w:lvl>
    <w:lvl w:ilvl="3" w:tplc="0C09000F" w:tentative="1">
      <w:start w:val="1"/>
      <w:numFmt w:val="decimal"/>
      <w:lvlText w:val="%4."/>
      <w:lvlJc w:val="left"/>
      <w:pPr>
        <w:ind w:left="3444" w:hanging="360"/>
      </w:pPr>
    </w:lvl>
    <w:lvl w:ilvl="4" w:tplc="0C090019" w:tentative="1">
      <w:start w:val="1"/>
      <w:numFmt w:val="lowerLetter"/>
      <w:lvlText w:val="%5."/>
      <w:lvlJc w:val="left"/>
      <w:pPr>
        <w:ind w:left="4164" w:hanging="360"/>
      </w:pPr>
    </w:lvl>
    <w:lvl w:ilvl="5" w:tplc="0C09001B" w:tentative="1">
      <w:start w:val="1"/>
      <w:numFmt w:val="lowerRoman"/>
      <w:lvlText w:val="%6."/>
      <w:lvlJc w:val="right"/>
      <w:pPr>
        <w:ind w:left="4884" w:hanging="180"/>
      </w:pPr>
    </w:lvl>
    <w:lvl w:ilvl="6" w:tplc="0C09000F" w:tentative="1">
      <w:start w:val="1"/>
      <w:numFmt w:val="decimal"/>
      <w:lvlText w:val="%7."/>
      <w:lvlJc w:val="left"/>
      <w:pPr>
        <w:ind w:left="5604" w:hanging="360"/>
      </w:pPr>
    </w:lvl>
    <w:lvl w:ilvl="7" w:tplc="0C090019" w:tentative="1">
      <w:start w:val="1"/>
      <w:numFmt w:val="lowerLetter"/>
      <w:lvlText w:val="%8."/>
      <w:lvlJc w:val="left"/>
      <w:pPr>
        <w:ind w:left="6324" w:hanging="360"/>
      </w:pPr>
    </w:lvl>
    <w:lvl w:ilvl="8" w:tplc="0C09001B" w:tentative="1">
      <w:start w:val="1"/>
      <w:numFmt w:val="lowerRoman"/>
      <w:lvlText w:val="%9."/>
      <w:lvlJc w:val="right"/>
      <w:pPr>
        <w:ind w:left="7044" w:hanging="180"/>
      </w:pPr>
    </w:lvl>
  </w:abstractNum>
  <w:abstractNum w:abstractNumId="27" w15:restartNumberingAfterBreak="0">
    <w:nsid w:val="380547F3"/>
    <w:multiLevelType w:val="hybridMultilevel"/>
    <w:tmpl w:val="DBCA6760"/>
    <w:lvl w:ilvl="0" w:tplc="43603BE6">
      <w:start w:val="1"/>
      <w:numFmt w:val="bullet"/>
      <w:lvlText w:val=""/>
      <w:lvlJc w:val="left"/>
      <w:pPr>
        <w:ind w:left="774" w:hanging="360"/>
      </w:pPr>
      <w:rPr>
        <w:rFonts w:ascii="Symbol" w:hAnsi="Symbol" w:hint="default"/>
        <w:sz w:val="20"/>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28" w15:restartNumberingAfterBreak="0">
    <w:nsid w:val="3A034F39"/>
    <w:multiLevelType w:val="hybridMultilevel"/>
    <w:tmpl w:val="04AA3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DAB79E8"/>
    <w:multiLevelType w:val="hybridMultilevel"/>
    <w:tmpl w:val="39BEACE2"/>
    <w:lvl w:ilvl="0" w:tplc="6F76619C">
      <w:start w:val="1"/>
      <w:numFmt w:val="decimal"/>
      <w:lvlText w:val="%1."/>
      <w:lvlJc w:val="left"/>
      <w:pPr>
        <w:ind w:left="720" w:hanging="360"/>
      </w:pPr>
      <w:rPr>
        <w:rFonts w:ascii="Arial" w:hAnsi="Arial" w:cs="Arial" w:hint="default"/>
        <w:b w:val="0"/>
        <w:bCs/>
        <w:i w:val="0"/>
        <w:iCs w:val="0"/>
        <w:color w:val="auto"/>
        <w:sz w:val="20"/>
        <w:szCs w:val="22"/>
      </w:rPr>
    </w:lvl>
    <w:lvl w:ilvl="1" w:tplc="73785160">
      <w:start w:val="1"/>
      <w:numFmt w:val="lowerLetter"/>
      <w:lvlText w:val="%2."/>
      <w:lvlJc w:val="left"/>
      <w:pPr>
        <w:ind w:left="1440" w:hanging="360"/>
      </w:pPr>
      <w:rPr>
        <w:rFonts w:hint="default"/>
        <w:b w:val="0"/>
        <w:bCs/>
        <w:color w:val="auto"/>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41663602">
      <w:start w:val="2"/>
      <w:numFmt w:val="lowerLetter"/>
      <w:lvlText w:val="(%5)"/>
      <w:lvlJc w:val="left"/>
      <w:pPr>
        <w:ind w:left="3904" w:hanging="360"/>
      </w:pPr>
      <w:rPr>
        <w:rFonts w:hint="default"/>
      </w:rPr>
    </w:lvl>
    <w:lvl w:ilvl="5" w:tplc="DE4C9A92">
      <w:start w:val="1"/>
      <w:numFmt w:val="decimal"/>
      <w:lvlText w:val="(%6)"/>
      <w:lvlJc w:val="left"/>
      <w:pPr>
        <w:ind w:left="4590" w:hanging="450"/>
      </w:pPr>
      <w:rPr>
        <w:rFonts w:hint="default"/>
      </w:rPr>
    </w:lvl>
    <w:lvl w:ilvl="6" w:tplc="89DC53CE">
      <w:start w:val="1"/>
      <w:numFmt w:val="decimal"/>
      <w:lvlText w:val="(%7)"/>
      <w:lvlJc w:val="left"/>
      <w:pPr>
        <w:ind w:left="5040" w:hanging="360"/>
      </w:pPr>
      <w:rPr>
        <w:rFonts w:hint="default"/>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FFC67C7"/>
    <w:multiLevelType w:val="hybridMultilevel"/>
    <w:tmpl w:val="39F00A58"/>
    <w:lvl w:ilvl="0" w:tplc="FC84FB98">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34F7CAA"/>
    <w:multiLevelType w:val="multilevel"/>
    <w:tmpl w:val="AD3E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5F34990"/>
    <w:multiLevelType w:val="hybridMultilevel"/>
    <w:tmpl w:val="DB26C454"/>
    <w:lvl w:ilvl="0" w:tplc="33E8C3AE">
      <w:start w:val="1"/>
      <w:numFmt w:val="bullet"/>
      <w:lvlText w:val=""/>
      <w:lvlJc w:val="left"/>
      <w:pPr>
        <w:tabs>
          <w:tab w:val="num" w:pos="874"/>
        </w:tabs>
        <w:ind w:left="816" w:hanging="396"/>
      </w:pPr>
      <w:rPr>
        <w:rFonts w:ascii="Symbol" w:hAnsi="Symbol" w:hint="default"/>
        <w:color w:val="000000"/>
        <w:sz w:val="20"/>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47990B77"/>
    <w:multiLevelType w:val="hybridMultilevel"/>
    <w:tmpl w:val="7682D8A4"/>
    <w:lvl w:ilvl="0" w:tplc="0F6E3828">
      <w:start w:val="2"/>
      <w:numFmt w:val="bullet"/>
      <w:lvlText w:val=""/>
      <w:lvlJc w:val="left"/>
      <w:pPr>
        <w:ind w:left="774" w:hanging="360"/>
      </w:pPr>
      <w:rPr>
        <w:rFonts w:ascii="Wingdings 2" w:hAnsi="Wingdings 2" w:hint="default"/>
        <w:color w:val="000000" w:themeColor="text1"/>
        <w:sz w:val="18"/>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4" w15:restartNumberingAfterBreak="0">
    <w:nsid w:val="49B3275F"/>
    <w:multiLevelType w:val="hybridMultilevel"/>
    <w:tmpl w:val="405439A0"/>
    <w:lvl w:ilvl="0" w:tplc="7E62D282">
      <w:start w:val="1"/>
      <w:numFmt w:val="lowerLetter"/>
      <w:lvlText w:val="(%1)"/>
      <w:lvlJc w:val="left"/>
      <w:pPr>
        <w:tabs>
          <w:tab w:val="num" w:pos="927"/>
        </w:tabs>
        <w:ind w:left="927" w:hanging="360"/>
      </w:pPr>
      <w:rPr>
        <w:rFonts w:hint="default"/>
      </w:rPr>
    </w:lvl>
    <w:lvl w:ilvl="1" w:tplc="0C090019" w:tentative="1">
      <w:start w:val="1"/>
      <w:numFmt w:val="lowerLetter"/>
      <w:lvlText w:val="%2."/>
      <w:lvlJc w:val="left"/>
      <w:pPr>
        <w:tabs>
          <w:tab w:val="num" w:pos="1647"/>
        </w:tabs>
        <w:ind w:left="1647" w:hanging="360"/>
      </w:pPr>
    </w:lvl>
    <w:lvl w:ilvl="2" w:tplc="0C09001B" w:tentative="1">
      <w:start w:val="1"/>
      <w:numFmt w:val="lowerRoman"/>
      <w:lvlText w:val="%3."/>
      <w:lvlJc w:val="right"/>
      <w:pPr>
        <w:tabs>
          <w:tab w:val="num" w:pos="2367"/>
        </w:tabs>
        <w:ind w:left="2367" w:hanging="180"/>
      </w:pPr>
    </w:lvl>
    <w:lvl w:ilvl="3" w:tplc="0C09000F" w:tentative="1">
      <w:start w:val="1"/>
      <w:numFmt w:val="decimal"/>
      <w:lvlText w:val="%4."/>
      <w:lvlJc w:val="left"/>
      <w:pPr>
        <w:tabs>
          <w:tab w:val="num" w:pos="3087"/>
        </w:tabs>
        <w:ind w:left="3087" w:hanging="360"/>
      </w:pPr>
    </w:lvl>
    <w:lvl w:ilvl="4" w:tplc="0C090019" w:tentative="1">
      <w:start w:val="1"/>
      <w:numFmt w:val="lowerLetter"/>
      <w:lvlText w:val="%5."/>
      <w:lvlJc w:val="left"/>
      <w:pPr>
        <w:tabs>
          <w:tab w:val="num" w:pos="3807"/>
        </w:tabs>
        <w:ind w:left="3807" w:hanging="360"/>
      </w:pPr>
    </w:lvl>
    <w:lvl w:ilvl="5" w:tplc="0C09001B" w:tentative="1">
      <w:start w:val="1"/>
      <w:numFmt w:val="lowerRoman"/>
      <w:lvlText w:val="%6."/>
      <w:lvlJc w:val="right"/>
      <w:pPr>
        <w:tabs>
          <w:tab w:val="num" w:pos="4527"/>
        </w:tabs>
        <w:ind w:left="4527" w:hanging="180"/>
      </w:pPr>
    </w:lvl>
    <w:lvl w:ilvl="6" w:tplc="0C09000F" w:tentative="1">
      <w:start w:val="1"/>
      <w:numFmt w:val="decimal"/>
      <w:lvlText w:val="%7."/>
      <w:lvlJc w:val="left"/>
      <w:pPr>
        <w:tabs>
          <w:tab w:val="num" w:pos="5247"/>
        </w:tabs>
        <w:ind w:left="5247" w:hanging="360"/>
      </w:pPr>
    </w:lvl>
    <w:lvl w:ilvl="7" w:tplc="0C090019" w:tentative="1">
      <w:start w:val="1"/>
      <w:numFmt w:val="lowerLetter"/>
      <w:lvlText w:val="%8."/>
      <w:lvlJc w:val="left"/>
      <w:pPr>
        <w:tabs>
          <w:tab w:val="num" w:pos="5967"/>
        </w:tabs>
        <w:ind w:left="5967" w:hanging="360"/>
      </w:pPr>
    </w:lvl>
    <w:lvl w:ilvl="8" w:tplc="0C09001B" w:tentative="1">
      <w:start w:val="1"/>
      <w:numFmt w:val="lowerRoman"/>
      <w:lvlText w:val="%9."/>
      <w:lvlJc w:val="right"/>
      <w:pPr>
        <w:tabs>
          <w:tab w:val="num" w:pos="6687"/>
        </w:tabs>
        <w:ind w:left="6687" w:hanging="180"/>
      </w:pPr>
    </w:lvl>
  </w:abstractNum>
  <w:abstractNum w:abstractNumId="35" w15:restartNumberingAfterBreak="0">
    <w:nsid w:val="4A514922"/>
    <w:multiLevelType w:val="hybridMultilevel"/>
    <w:tmpl w:val="E0A25E70"/>
    <w:lvl w:ilvl="0" w:tplc="62E2EA16">
      <w:start w:val="2"/>
      <w:numFmt w:val="bullet"/>
      <w:lvlText w:val=""/>
      <w:lvlJc w:val="left"/>
      <w:pPr>
        <w:ind w:left="1287" w:hanging="360"/>
      </w:pPr>
      <w:rPr>
        <w:rFonts w:ascii="Wingdings 2" w:hAnsi="Wingdings 2" w:hint="default"/>
        <w:color w:val="000000" w:themeColor="text1"/>
        <w:sz w:val="2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6" w15:restartNumberingAfterBreak="0">
    <w:nsid w:val="4ABA00E5"/>
    <w:multiLevelType w:val="hybridMultilevel"/>
    <w:tmpl w:val="AD4A7E40"/>
    <w:lvl w:ilvl="0" w:tplc="71928542">
      <w:start w:val="1"/>
      <w:numFmt w:val="lowerLetter"/>
      <w:lvlText w:val="(%1)"/>
      <w:lvlJc w:val="left"/>
      <w:pPr>
        <w:ind w:left="720" w:hanging="360"/>
      </w:pPr>
      <w:rPr>
        <w:rFonts w:ascii="Arial" w:hAnsi="Arial" w:cs="Times New Roman" w:hint="default"/>
        <w:b w:val="0"/>
        <w:i w:val="0"/>
        <w:strike w:val="0"/>
        <w:dstrike w:val="0"/>
        <w:color w:val="000000"/>
        <w:sz w:val="20"/>
        <w:szCs w:val="24"/>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B315D63"/>
    <w:multiLevelType w:val="hybridMultilevel"/>
    <w:tmpl w:val="8084E116"/>
    <w:lvl w:ilvl="0" w:tplc="52D04EBA">
      <w:start w:val="2"/>
      <w:numFmt w:val="bullet"/>
      <w:lvlText w:val=""/>
      <w:lvlJc w:val="left"/>
      <w:pPr>
        <w:tabs>
          <w:tab w:val="num" w:pos="363"/>
        </w:tabs>
        <w:ind w:left="363" w:hanging="363"/>
      </w:pPr>
      <w:rPr>
        <w:rFonts w:ascii="Wingdings 2" w:hAnsi="Wingdings 2"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E5A0C83"/>
    <w:multiLevelType w:val="hybridMultilevel"/>
    <w:tmpl w:val="8088657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9" w15:restartNumberingAfterBreak="0">
    <w:nsid w:val="4EBF3C8D"/>
    <w:multiLevelType w:val="hybridMultilevel"/>
    <w:tmpl w:val="0FB6FACA"/>
    <w:lvl w:ilvl="0" w:tplc="3F70F99C">
      <w:start w:val="2"/>
      <w:numFmt w:val="bullet"/>
      <w:lvlText w:val=""/>
      <w:lvlJc w:val="left"/>
      <w:pPr>
        <w:tabs>
          <w:tab w:val="num" w:pos="363"/>
        </w:tabs>
        <w:ind w:left="363" w:hanging="363"/>
      </w:pPr>
      <w:rPr>
        <w:rFonts w:ascii="Wingdings 2" w:hAnsi="Wingdings 2"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1045CE0"/>
    <w:multiLevelType w:val="hybridMultilevel"/>
    <w:tmpl w:val="7286E7DC"/>
    <w:lvl w:ilvl="0" w:tplc="9C2486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56402160"/>
    <w:multiLevelType w:val="hybridMultilevel"/>
    <w:tmpl w:val="0FB6FACA"/>
    <w:lvl w:ilvl="0" w:tplc="C1B83DF8">
      <w:start w:val="2"/>
      <w:numFmt w:val="bullet"/>
      <w:lvlText w:val=""/>
      <w:lvlJc w:val="left"/>
      <w:pPr>
        <w:tabs>
          <w:tab w:val="num" w:pos="363"/>
        </w:tabs>
        <w:ind w:left="363" w:hanging="363"/>
      </w:pPr>
      <w:rPr>
        <w:rFonts w:ascii="Wingdings 2" w:hAnsi="Wingdings 2"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28C6834"/>
    <w:multiLevelType w:val="hybridMultilevel"/>
    <w:tmpl w:val="1AE87EA2"/>
    <w:lvl w:ilvl="0" w:tplc="1CC07910">
      <w:start w:val="2"/>
      <w:numFmt w:val="bullet"/>
      <w:lvlText w:val=""/>
      <w:lvlJc w:val="left"/>
      <w:pPr>
        <w:tabs>
          <w:tab w:val="num" w:pos="363"/>
        </w:tabs>
        <w:ind w:left="363" w:hanging="363"/>
      </w:pPr>
      <w:rPr>
        <w:rFonts w:ascii="Wingdings 2" w:hAnsi="Wingdings 2"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3645A6"/>
    <w:multiLevelType w:val="hybridMultilevel"/>
    <w:tmpl w:val="068C6406"/>
    <w:lvl w:ilvl="0" w:tplc="0C09000F">
      <w:start w:val="18"/>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4EE4459"/>
    <w:multiLevelType w:val="hybridMultilevel"/>
    <w:tmpl w:val="7536F67A"/>
    <w:lvl w:ilvl="0" w:tplc="66425D82">
      <w:start w:val="1"/>
      <w:numFmt w:val="lowerLetter"/>
      <w:lvlText w:val="(%1)"/>
      <w:lvlJc w:val="left"/>
      <w:pPr>
        <w:ind w:left="720" w:hanging="360"/>
      </w:pPr>
      <w:rPr>
        <w:rFonts w:ascii="Arial" w:hAnsi="Arial" w:cs="Times New Roman" w:hint="default"/>
        <w:b w:val="0"/>
        <w:i w:val="0"/>
        <w:strike w:val="0"/>
        <w:dstrike w:val="0"/>
        <w:color w:val="000000"/>
        <w:sz w:val="20"/>
        <w:szCs w:val="24"/>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65B40895"/>
    <w:multiLevelType w:val="hybridMultilevel"/>
    <w:tmpl w:val="D8F84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A534F09"/>
    <w:multiLevelType w:val="hybridMultilevel"/>
    <w:tmpl w:val="67F23F7A"/>
    <w:lvl w:ilvl="0" w:tplc="7E0E800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6CCE5D2D"/>
    <w:multiLevelType w:val="hybridMultilevel"/>
    <w:tmpl w:val="0BB22D7A"/>
    <w:lvl w:ilvl="0" w:tplc="02EEBFC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1103FE8"/>
    <w:multiLevelType w:val="hybridMultilevel"/>
    <w:tmpl w:val="D054A458"/>
    <w:lvl w:ilvl="0" w:tplc="CC8EEF54">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38E6DBC"/>
    <w:multiLevelType w:val="hybridMultilevel"/>
    <w:tmpl w:val="F3CEADC0"/>
    <w:lvl w:ilvl="0" w:tplc="D9566194">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50" w15:restartNumberingAfterBreak="0">
    <w:nsid w:val="75284D51"/>
    <w:multiLevelType w:val="hybridMultilevel"/>
    <w:tmpl w:val="F7BCB3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76FA16F3"/>
    <w:multiLevelType w:val="hybridMultilevel"/>
    <w:tmpl w:val="1F82169E"/>
    <w:lvl w:ilvl="0" w:tplc="F0DE0A8A">
      <w:start w:val="18"/>
      <w:numFmt w:val="decimal"/>
      <w:lvlText w:val="%1"/>
      <w:lvlJc w:val="left"/>
      <w:pPr>
        <w:ind w:left="722"/>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CD34FD6C">
      <w:start w:val="1"/>
      <w:numFmt w:val="lowerLetter"/>
      <w:lvlText w:val="%2"/>
      <w:lvlJc w:val="left"/>
      <w:pPr>
        <w:ind w:left="10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2" w:tplc="D1E24322">
      <w:start w:val="1"/>
      <w:numFmt w:val="lowerRoman"/>
      <w:lvlText w:val="%3"/>
      <w:lvlJc w:val="left"/>
      <w:pPr>
        <w:ind w:left="18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D13EC9EE">
      <w:start w:val="1"/>
      <w:numFmt w:val="decimal"/>
      <w:lvlText w:val="%4"/>
      <w:lvlJc w:val="left"/>
      <w:pPr>
        <w:ind w:left="25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42343F96">
      <w:start w:val="1"/>
      <w:numFmt w:val="lowerLetter"/>
      <w:lvlText w:val="%5"/>
      <w:lvlJc w:val="left"/>
      <w:pPr>
        <w:ind w:left="32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D4348524">
      <w:start w:val="1"/>
      <w:numFmt w:val="lowerRoman"/>
      <w:lvlText w:val="%6"/>
      <w:lvlJc w:val="left"/>
      <w:pPr>
        <w:ind w:left="39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42646000">
      <w:start w:val="1"/>
      <w:numFmt w:val="decimal"/>
      <w:lvlText w:val="%7"/>
      <w:lvlJc w:val="left"/>
      <w:pPr>
        <w:ind w:left="46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73A600F4">
      <w:start w:val="1"/>
      <w:numFmt w:val="lowerLetter"/>
      <w:lvlText w:val="%8"/>
      <w:lvlJc w:val="left"/>
      <w:pPr>
        <w:ind w:left="54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F6523ED8">
      <w:start w:val="1"/>
      <w:numFmt w:val="lowerRoman"/>
      <w:lvlText w:val="%9"/>
      <w:lvlJc w:val="left"/>
      <w:pPr>
        <w:ind w:left="61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787E4CF2"/>
    <w:multiLevelType w:val="hybridMultilevel"/>
    <w:tmpl w:val="F88A4710"/>
    <w:lvl w:ilvl="0" w:tplc="4CF0E4AA">
      <w:start w:val="1"/>
      <w:numFmt w:val="lowerLetter"/>
      <w:lvlText w:val="(%1)"/>
      <w:lvlJc w:val="left"/>
      <w:pPr>
        <w:tabs>
          <w:tab w:val="num" w:pos="717"/>
        </w:tabs>
        <w:ind w:left="717" w:hanging="360"/>
      </w:pPr>
      <w:rPr>
        <w:rFonts w:hint="default"/>
      </w:rPr>
    </w:lvl>
    <w:lvl w:ilvl="1" w:tplc="0C090019" w:tentative="1">
      <w:start w:val="1"/>
      <w:numFmt w:val="lowerLetter"/>
      <w:lvlText w:val="%2."/>
      <w:lvlJc w:val="left"/>
      <w:pPr>
        <w:tabs>
          <w:tab w:val="num" w:pos="1437"/>
        </w:tabs>
        <w:ind w:left="1437" w:hanging="360"/>
      </w:pPr>
    </w:lvl>
    <w:lvl w:ilvl="2" w:tplc="0C09001B" w:tentative="1">
      <w:start w:val="1"/>
      <w:numFmt w:val="lowerRoman"/>
      <w:lvlText w:val="%3."/>
      <w:lvlJc w:val="right"/>
      <w:pPr>
        <w:tabs>
          <w:tab w:val="num" w:pos="2157"/>
        </w:tabs>
        <w:ind w:left="2157" w:hanging="180"/>
      </w:pPr>
    </w:lvl>
    <w:lvl w:ilvl="3" w:tplc="0C09000F" w:tentative="1">
      <w:start w:val="1"/>
      <w:numFmt w:val="decimal"/>
      <w:lvlText w:val="%4."/>
      <w:lvlJc w:val="left"/>
      <w:pPr>
        <w:tabs>
          <w:tab w:val="num" w:pos="2877"/>
        </w:tabs>
        <w:ind w:left="2877" w:hanging="360"/>
      </w:pPr>
    </w:lvl>
    <w:lvl w:ilvl="4" w:tplc="0C090019" w:tentative="1">
      <w:start w:val="1"/>
      <w:numFmt w:val="lowerLetter"/>
      <w:lvlText w:val="%5."/>
      <w:lvlJc w:val="left"/>
      <w:pPr>
        <w:tabs>
          <w:tab w:val="num" w:pos="3597"/>
        </w:tabs>
        <w:ind w:left="3597" w:hanging="360"/>
      </w:pPr>
    </w:lvl>
    <w:lvl w:ilvl="5" w:tplc="0C09001B" w:tentative="1">
      <w:start w:val="1"/>
      <w:numFmt w:val="lowerRoman"/>
      <w:lvlText w:val="%6."/>
      <w:lvlJc w:val="right"/>
      <w:pPr>
        <w:tabs>
          <w:tab w:val="num" w:pos="4317"/>
        </w:tabs>
        <w:ind w:left="4317" w:hanging="180"/>
      </w:pPr>
    </w:lvl>
    <w:lvl w:ilvl="6" w:tplc="0C09000F" w:tentative="1">
      <w:start w:val="1"/>
      <w:numFmt w:val="decimal"/>
      <w:lvlText w:val="%7."/>
      <w:lvlJc w:val="left"/>
      <w:pPr>
        <w:tabs>
          <w:tab w:val="num" w:pos="5037"/>
        </w:tabs>
        <w:ind w:left="5037" w:hanging="360"/>
      </w:pPr>
    </w:lvl>
    <w:lvl w:ilvl="7" w:tplc="0C090019" w:tentative="1">
      <w:start w:val="1"/>
      <w:numFmt w:val="lowerLetter"/>
      <w:lvlText w:val="%8."/>
      <w:lvlJc w:val="left"/>
      <w:pPr>
        <w:tabs>
          <w:tab w:val="num" w:pos="5757"/>
        </w:tabs>
        <w:ind w:left="5757" w:hanging="360"/>
      </w:pPr>
    </w:lvl>
    <w:lvl w:ilvl="8" w:tplc="0C09001B" w:tentative="1">
      <w:start w:val="1"/>
      <w:numFmt w:val="lowerRoman"/>
      <w:lvlText w:val="%9."/>
      <w:lvlJc w:val="right"/>
      <w:pPr>
        <w:tabs>
          <w:tab w:val="num" w:pos="6477"/>
        </w:tabs>
        <w:ind w:left="6477" w:hanging="180"/>
      </w:pPr>
    </w:lvl>
  </w:abstractNum>
  <w:abstractNum w:abstractNumId="53" w15:restartNumberingAfterBreak="0">
    <w:nsid w:val="7A1D0639"/>
    <w:multiLevelType w:val="hybridMultilevel"/>
    <w:tmpl w:val="B2BA2E46"/>
    <w:lvl w:ilvl="0" w:tplc="CAAA6C18">
      <w:start w:val="1"/>
      <w:numFmt w:val="bullet"/>
      <w:lvlText w:val=""/>
      <w:lvlJc w:val="left"/>
      <w:pPr>
        <w:ind w:left="720" w:hanging="360"/>
      </w:pPr>
      <w:rPr>
        <w:rFonts w:ascii="Wingdings" w:hAnsi="Wingdings"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BC62949"/>
    <w:multiLevelType w:val="hybridMultilevel"/>
    <w:tmpl w:val="311C60F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7DC9621D"/>
    <w:multiLevelType w:val="hybridMultilevel"/>
    <w:tmpl w:val="74C8A9B8"/>
    <w:lvl w:ilvl="0" w:tplc="84A637BA">
      <w:start w:val="1"/>
      <w:numFmt w:val="bullet"/>
      <w:lvlText w:val=""/>
      <w:lvlJc w:val="left"/>
      <w:pPr>
        <w:ind w:left="720" w:hanging="360"/>
      </w:pPr>
      <w:rPr>
        <w:rFonts w:ascii="Symbol" w:hAnsi="Symbol" w:hint="default"/>
        <w:color w:val="000000" w:themeColor="text1"/>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E253338"/>
    <w:multiLevelType w:val="hybridMultilevel"/>
    <w:tmpl w:val="330CB052"/>
    <w:lvl w:ilvl="0" w:tplc="10EA4A6E">
      <w:start w:val="1"/>
      <w:numFmt w:val="lowerRoman"/>
      <w:lvlText w:val="(%1)"/>
      <w:lvlJc w:val="left"/>
      <w:pPr>
        <w:tabs>
          <w:tab w:val="num" w:pos="927"/>
        </w:tabs>
        <w:ind w:left="927"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7" w15:restartNumberingAfterBreak="0">
    <w:nsid w:val="7E4856A9"/>
    <w:multiLevelType w:val="hybridMultilevel"/>
    <w:tmpl w:val="F948F528"/>
    <w:lvl w:ilvl="0" w:tplc="6616C4A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0556493">
    <w:abstractNumId w:val="11"/>
  </w:num>
  <w:num w:numId="2" w16cid:durableId="1648821920">
    <w:abstractNumId w:val="21"/>
  </w:num>
  <w:num w:numId="3" w16cid:durableId="1889562224">
    <w:abstractNumId w:val="22"/>
  </w:num>
  <w:num w:numId="4" w16cid:durableId="449591311">
    <w:abstractNumId w:val="39"/>
  </w:num>
  <w:num w:numId="5" w16cid:durableId="1026446513">
    <w:abstractNumId w:val="37"/>
  </w:num>
  <w:num w:numId="6" w16cid:durableId="1529760220">
    <w:abstractNumId w:val="41"/>
  </w:num>
  <w:num w:numId="7" w16cid:durableId="127405106">
    <w:abstractNumId w:val="42"/>
  </w:num>
  <w:num w:numId="8" w16cid:durableId="1500000335">
    <w:abstractNumId w:val="5"/>
  </w:num>
  <w:num w:numId="9" w16cid:durableId="2029596328">
    <w:abstractNumId w:val="1"/>
  </w:num>
  <w:num w:numId="10" w16cid:durableId="2034645510">
    <w:abstractNumId w:val="52"/>
  </w:num>
  <w:num w:numId="11" w16cid:durableId="480391707">
    <w:abstractNumId w:val="32"/>
  </w:num>
  <w:num w:numId="12" w16cid:durableId="2124228317">
    <w:abstractNumId w:val="34"/>
  </w:num>
  <w:num w:numId="13" w16cid:durableId="136996392">
    <w:abstractNumId w:val="2"/>
  </w:num>
  <w:num w:numId="14" w16cid:durableId="1413623989">
    <w:abstractNumId w:val="56"/>
  </w:num>
  <w:num w:numId="15" w16cid:durableId="80562738">
    <w:abstractNumId w:val="57"/>
  </w:num>
  <w:num w:numId="16" w16cid:durableId="1084377019">
    <w:abstractNumId w:val="18"/>
  </w:num>
  <w:num w:numId="17" w16cid:durableId="2034722486">
    <w:abstractNumId w:val="36"/>
  </w:num>
  <w:num w:numId="18" w16cid:durableId="1428384899">
    <w:abstractNumId w:val="44"/>
  </w:num>
  <w:num w:numId="19" w16cid:durableId="515115777">
    <w:abstractNumId w:val="13"/>
  </w:num>
  <w:num w:numId="20" w16cid:durableId="366684901">
    <w:abstractNumId w:val="28"/>
  </w:num>
  <w:num w:numId="21" w16cid:durableId="1897357721">
    <w:abstractNumId w:val="53"/>
  </w:num>
  <w:num w:numId="22" w16cid:durableId="1968970808">
    <w:abstractNumId w:val="20"/>
  </w:num>
  <w:num w:numId="23" w16cid:durableId="1324626883">
    <w:abstractNumId w:val="4"/>
  </w:num>
  <w:num w:numId="24" w16cid:durableId="1198196148">
    <w:abstractNumId w:val="30"/>
  </w:num>
  <w:num w:numId="25" w16cid:durableId="942148356">
    <w:abstractNumId w:val="10"/>
  </w:num>
  <w:num w:numId="26" w16cid:durableId="1516964496">
    <w:abstractNumId w:val="8"/>
  </w:num>
  <w:num w:numId="27" w16cid:durableId="1435437900">
    <w:abstractNumId w:val="50"/>
  </w:num>
  <w:num w:numId="28" w16cid:durableId="1797672966">
    <w:abstractNumId w:val="48"/>
  </w:num>
  <w:num w:numId="29" w16cid:durableId="1966228952">
    <w:abstractNumId w:val="27"/>
  </w:num>
  <w:num w:numId="30" w16cid:durableId="1363749163">
    <w:abstractNumId w:val="9"/>
  </w:num>
  <w:num w:numId="31" w16cid:durableId="2115399456">
    <w:abstractNumId w:val="23"/>
  </w:num>
  <w:num w:numId="32" w16cid:durableId="125124399">
    <w:abstractNumId w:val="26"/>
  </w:num>
  <w:num w:numId="33" w16cid:durableId="46339771">
    <w:abstractNumId w:val="14"/>
  </w:num>
  <w:num w:numId="34" w16cid:durableId="1334845449">
    <w:abstractNumId w:val="15"/>
  </w:num>
  <w:num w:numId="35" w16cid:durableId="882987340">
    <w:abstractNumId w:val="3"/>
  </w:num>
  <w:num w:numId="36" w16cid:durableId="758722292">
    <w:abstractNumId w:val="55"/>
  </w:num>
  <w:num w:numId="37" w16cid:durableId="610170182">
    <w:abstractNumId w:val="12"/>
  </w:num>
  <w:num w:numId="38" w16cid:durableId="2033679621">
    <w:abstractNumId w:val="17"/>
  </w:num>
  <w:num w:numId="39" w16cid:durableId="1989623508">
    <w:abstractNumId w:val="43"/>
  </w:num>
  <w:num w:numId="40" w16cid:durableId="1685404393">
    <w:abstractNumId w:val="40"/>
  </w:num>
  <w:num w:numId="41" w16cid:durableId="654645325">
    <w:abstractNumId w:val="45"/>
  </w:num>
  <w:num w:numId="42" w16cid:durableId="392705985">
    <w:abstractNumId w:val="29"/>
  </w:num>
  <w:num w:numId="43" w16cid:durableId="1360201041">
    <w:abstractNumId w:val="6"/>
  </w:num>
  <w:num w:numId="44" w16cid:durableId="1289779561">
    <w:abstractNumId w:val="47"/>
  </w:num>
  <w:num w:numId="45" w16cid:durableId="1409233146">
    <w:abstractNumId w:val="0"/>
  </w:num>
  <w:num w:numId="46" w16cid:durableId="22748602">
    <w:abstractNumId w:val="16"/>
  </w:num>
  <w:num w:numId="47" w16cid:durableId="1344939698">
    <w:abstractNumId w:val="19"/>
  </w:num>
  <w:num w:numId="48" w16cid:durableId="1367094910">
    <w:abstractNumId w:val="7"/>
  </w:num>
  <w:num w:numId="49" w16cid:durableId="1274091540">
    <w:abstractNumId w:val="49"/>
  </w:num>
  <w:num w:numId="50" w16cid:durableId="1933314169">
    <w:abstractNumId w:val="33"/>
  </w:num>
  <w:num w:numId="51" w16cid:durableId="1055661731">
    <w:abstractNumId w:val="54"/>
  </w:num>
  <w:num w:numId="52" w16cid:durableId="1482968050">
    <w:abstractNumId w:val="35"/>
  </w:num>
  <w:num w:numId="53" w16cid:durableId="752162928">
    <w:abstractNumId w:val="46"/>
  </w:num>
  <w:num w:numId="54" w16cid:durableId="240795318">
    <w:abstractNumId w:val="31"/>
  </w:num>
  <w:num w:numId="55" w16cid:durableId="1491870113">
    <w:abstractNumId w:val="25"/>
  </w:num>
  <w:num w:numId="56" w16cid:durableId="1078945410">
    <w:abstractNumId w:val="38"/>
  </w:num>
  <w:num w:numId="57" w16cid:durableId="980423893">
    <w:abstractNumId w:val="51"/>
  </w:num>
  <w:num w:numId="58" w16cid:durableId="1475171648">
    <w:abstractNumId w:val="2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08E"/>
    <w:rsid w:val="00001BC6"/>
    <w:rsid w:val="00002349"/>
    <w:rsid w:val="00007AAD"/>
    <w:rsid w:val="0001019E"/>
    <w:rsid w:val="00010678"/>
    <w:rsid w:val="00010B30"/>
    <w:rsid w:val="00012988"/>
    <w:rsid w:val="00013199"/>
    <w:rsid w:val="00015A24"/>
    <w:rsid w:val="00016A6C"/>
    <w:rsid w:val="00017D3C"/>
    <w:rsid w:val="00020527"/>
    <w:rsid w:val="0002118A"/>
    <w:rsid w:val="00023F40"/>
    <w:rsid w:val="00025A2C"/>
    <w:rsid w:val="0002691F"/>
    <w:rsid w:val="00026D60"/>
    <w:rsid w:val="000274EC"/>
    <w:rsid w:val="00027514"/>
    <w:rsid w:val="000326C3"/>
    <w:rsid w:val="00034616"/>
    <w:rsid w:val="0004009A"/>
    <w:rsid w:val="000414C5"/>
    <w:rsid w:val="000419A1"/>
    <w:rsid w:val="000425F8"/>
    <w:rsid w:val="000429CA"/>
    <w:rsid w:val="0004519A"/>
    <w:rsid w:val="0004552E"/>
    <w:rsid w:val="000456A2"/>
    <w:rsid w:val="00047318"/>
    <w:rsid w:val="00050677"/>
    <w:rsid w:val="0005114C"/>
    <w:rsid w:val="00052294"/>
    <w:rsid w:val="00053A4D"/>
    <w:rsid w:val="000554A7"/>
    <w:rsid w:val="00055BA8"/>
    <w:rsid w:val="000603D0"/>
    <w:rsid w:val="0006092B"/>
    <w:rsid w:val="00061E5B"/>
    <w:rsid w:val="00062290"/>
    <w:rsid w:val="0006258E"/>
    <w:rsid w:val="00064AF0"/>
    <w:rsid w:val="00067CAF"/>
    <w:rsid w:val="00070668"/>
    <w:rsid w:val="00070B6F"/>
    <w:rsid w:val="00070B9C"/>
    <w:rsid w:val="00070DB5"/>
    <w:rsid w:val="00074B0F"/>
    <w:rsid w:val="0007594B"/>
    <w:rsid w:val="00076C19"/>
    <w:rsid w:val="0007780B"/>
    <w:rsid w:val="00077D71"/>
    <w:rsid w:val="00077D99"/>
    <w:rsid w:val="00080420"/>
    <w:rsid w:val="000806B3"/>
    <w:rsid w:val="000824A4"/>
    <w:rsid w:val="000843B5"/>
    <w:rsid w:val="0008446E"/>
    <w:rsid w:val="00084B7E"/>
    <w:rsid w:val="00085547"/>
    <w:rsid w:val="00085F78"/>
    <w:rsid w:val="0008770D"/>
    <w:rsid w:val="00090232"/>
    <w:rsid w:val="0009196C"/>
    <w:rsid w:val="00091B0B"/>
    <w:rsid w:val="00093D00"/>
    <w:rsid w:val="000940B7"/>
    <w:rsid w:val="000A0549"/>
    <w:rsid w:val="000A4AEE"/>
    <w:rsid w:val="000A5028"/>
    <w:rsid w:val="000A53B9"/>
    <w:rsid w:val="000A5CEF"/>
    <w:rsid w:val="000B2AC4"/>
    <w:rsid w:val="000B38AE"/>
    <w:rsid w:val="000B4F9E"/>
    <w:rsid w:val="000B5587"/>
    <w:rsid w:val="000B752E"/>
    <w:rsid w:val="000C0D71"/>
    <w:rsid w:val="000C22A0"/>
    <w:rsid w:val="000C36F7"/>
    <w:rsid w:val="000C73E6"/>
    <w:rsid w:val="000C7D5F"/>
    <w:rsid w:val="000D597F"/>
    <w:rsid w:val="000D762E"/>
    <w:rsid w:val="000D7D82"/>
    <w:rsid w:val="000D7DAB"/>
    <w:rsid w:val="000E259B"/>
    <w:rsid w:val="000E3D52"/>
    <w:rsid w:val="000E3F7A"/>
    <w:rsid w:val="000E416F"/>
    <w:rsid w:val="000E6664"/>
    <w:rsid w:val="000E67DB"/>
    <w:rsid w:val="000E6E4C"/>
    <w:rsid w:val="000E7FB4"/>
    <w:rsid w:val="000F1534"/>
    <w:rsid w:val="000F3B10"/>
    <w:rsid w:val="000F5140"/>
    <w:rsid w:val="000F542D"/>
    <w:rsid w:val="00100AC4"/>
    <w:rsid w:val="00100D3D"/>
    <w:rsid w:val="00101438"/>
    <w:rsid w:val="001014F8"/>
    <w:rsid w:val="00102EE9"/>
    <w:rsid w:val="00103EAD"/>
    <w:rsid w:val="001043B0"/>
    <w:rsid w:val="00107E94"/>
    <w:rsid w:val="001138E0"/>
    <w:rsid w:val="00116847"/>
    <w:rsid w:val="00117610"/>
    <w:rsid w:val="00121D89"/>
    <w:rsid w:val="00122811"/>
    <w:rsid w:val="00123188"/>
    <w:rsid w:val="00123566"/>
    <w:rsid w:val="00123BB8"/>
    <w:rsid w:val="00123E94"/>
    <w:rsid w:val="001251F3"/>
    <w:rsid w:val="001255F0"/>
    <w:rsid w:val="0012651A"/>
    <w:rsid w:val="00126586"/>
    <w:rsid w:val="00130C7E"/>
    <w:rsid w:val="00131092"/>
    <w:rsid w:val="00131752"/>
    <w:rsid w:val="0013399B"/>
    <w:rsid w:val="00134FBB"/>
    <w:rsid w:val="00140278"/>
    <w:rsid w:val="00141992"/>
    <w:rsid w:val="00143EF9"/>
    <w:rsid w:val="00145AC3"/>
    <w:rsid w:val="00146E61"/>
    <w:rsid w:val="001471CA"/>
    <w:rsid w:val="001477AD"/>
    <w:rsid w:val="00150904"/>
    <w:rsid w:val="00151CC0"/>
    <w:rsid w:val="00151CEA"/>
    <w:rsid w:val="00154453"/>
    <w:rsid w:val="00155A48"/>
    <w:rsid w:val="001561BE"/>
    <w:rsid w:val="00157364"/>
    <w:rsid w:val="001601CE"/>
    <w:rsid w:val="00162F3F"/>
    <w:rsid w:val="001653A7"/>
    <w:rsid w:val="00170971"/>
    <w:rsid w:val="00170DEA"/>
    <w:rsid w:val="00173CFF"/>
    <w:rsid w:val="001750D0"/>
    <w:rsid w:val="001761A2"/>
    <w:rsid w:val="00177515"/>
    <w:rsid w:val="00177867"/>
    <w:rsid w:val="00177F0E"/>
    <w:rsid w:val="00177F52"/>
    <w:rsid w:val="0018039F"/>
    <w:rsid w:val="00180AC7"/>
    <w:rsid w:val="00181608"/>
    <w:rsid w:val="001851B4"/>
    <w:rsid w:val="001855EE"/>
    <w:rsid w:val="001918FD"/>
    <w:rsid w:val="001922E5"/>
    <w:rsid w:val="00192C85"/>
    <w:rsid w:val="0019473A"/>
    <w:rsid w:val="0019667E"/>
    <w:rsid w:val="001A03B6"/>
    <w:rsid w:val="001A06B5"/>
    <w:rsid w:val="001A07B1"/>
    <w:rsid w:val="001A0846"/>
    <w:rsid w:val="001A0E2A"/>
    <w:rsid w:val="001A11CA"/>
    <w:rsid w:val="001A161B"/>
    <w:rsid w:val="001A18AD"/>
    <w:rsid w:val="001A25AD"/>
    <w:rsid w:val="001A2EA9"/>
    <w:rsid w:val="001A61A9"/>
    <w:rsid w:val="001B0902"/>
    <w:rsid w:val="001B1190"/>
    <w:rsid w:val="001B2673"/>
    <w:rsid w:val="001B3366"/>
    <w:rsid w:val="001B40C1"/>
    <w:rsid w:val="001B50ED"/>
    <w:rsid w:val="001B53D9"/>
    <w:rsid w:val="001C37FC"/>
    <w:rsid w:val="001C4F13"/>
    <w:rsid w:val="001C5F30"/>
    <w:rsid w:val="001C705D"/>
    <w:rsid w:val="001C7180"/>
    <w:rsid w:val="001C742F"/>
    <w:rsid w:val="001C7A54"/>
    <w:rsid w:val="001D0E3A"/>
    <w:rsid w:val="001D0F78"/>
    <w:rsid w:val="001D2AAB"/>
    <w:rsid w:val="001D2E33"/>
    <w:rsid w:val="001D4301"/>
    <w:rsid w:val="001D4AF4"/>
    <w:rsid w:val="001E0142"/>
    <w:rsid w:val="001E1241"/>
    <w:rsid w:val="001E3057"/>
    <w:rsid w:val="001E3EEE"/>
    <w:rsid w:val="001E5D57"/>
    <w:rsid w:val="001E671F"/>
    <w:rsid w:val="001E79F7"/>
    <w:rsid w:val="001E7D37"/>
    <w:rsid w:val="001F05F6"/>
    <w:rsid w:val="001F1AE5"/>
    <w:rsid w:val="001F230B"/>
    <w:rsid w:val="001F3D22"/>
    <w:rsid w:val="001F5D53"/>
    <w:rsid w:val="00200C08"/>
    <w:rsid w:val="00200E72"/>
    <w:rsid w:val="00201F14"/>
    <w:rsid w:val="00202B86"/>
    <w:rsid w:val="00205731"/>
    <w:rsid w:val="0020729F"/>
    <w:rsid w:val="0020769F"/>
    <w:rsid w:val="00211AB3"/>
    <w:rsid w:val="002121C6"/>
    <w:rsid w:val="00213ED2"/>
    <w:rsid w:val="002151F2"/>
    <w:rsid w:val="00217D88"/>
    <w:rsid w:val="002209EB"/>
    <w:rsid w:val="00221710"/>
    <w:rsid w:val="002218AB"/>
    <w:rsid w:val="0022232F"/>
    <w:rsid w:val="00223255"/>
    <w:rsid w:val="002275C3"/>
    <w:rsid w:val="00227C49"/>
    <w:rsid w:val="00230BB7"/>
    <w:rsid w:val="00231976"/>
    <w:rsid w:val="00231A42"/>
    <w:rsid w:val="0023525C"/>
    <w:rsid w:val="00235390"/>
    <w:rsid w:val="00236028"/>
    <w:rsid w:val="00236626"/>
    <w:rsid w:val="00236EE0"/>
    <w:rsid w:val="0023791E"/>
    <w:rsid w:val="00237CD1"/>
    <w:rsid w:val="00241DE8"/>
    <w:rsid w:val="00242597"/>
    <w:rsid w:val="0024311D"/>
    <w:rsid w:val="00243288"/>
    <w:rsid w:val="0024351E"/>
    <w:rsid w:val="002450B3"/>
    <w:rsid w:val="00245E02"/>
    <w:rsid w:val="00253300"/>
    <w:rsid w:val="002534D3"/>
    <w:rsid w:val="00253D11"/>
    <w:rsid w:val="00255605"/>
    <w:rsid w:val="002559FB"/>
    <w:rsid w:val="002573C8"/>
    <w:rsid w:val="002578A0"/>
    <w:rsid w:val="00260125"/>
    <w:rsid w:val="00261686"/>
    <w:rsid w:val="002643C7"/>
    <w:rsid w:val="00264D31"/>
    <w:rsid w:val="00264E08"/>
    <w:rsid w:val="0027102E"/>
    <w:rsid w:val="002715BF"/>
    <w:rsid w:val="002726F0"/>
    <w:rsid w:val="00273AB8"/>
    <w:rsid w:val="002740BB"/>
    <w:rsid w:val="00275C19"/>
    <w:rsid w:val="00276279"/>
    <w:rsid w:val="00277B85"/>
    <w:rsid w:val="00281352"/>
    <w:rsid w:val="002823A2"/>
    <w:rsid w:val="00283D31"/>
    <w:rsid w:val="00285138"/>
    <w:rsid w:val="0028588B"/>
    <w:rsid w:val="00286B57"/>
    <w:rsid w:val="002871E6"/>
    <w:rsid w:val="00287734"/>
    <w:rsid w:val="00292249"/>
    <w:rsid w:val="0029269A"/>
    <w:rsid w:val="00292DFB"/>
    <w:rsid w:val="00297EA2"/>
    <w:rsid w:val="002A07DC"/>
    <w:rsid w:val="002A0A99"/>
    <w:rsid w:val="002A1C96"/>
    <w:rsid w:val="002A2807"/>
    <w:rsid w:val="002A6FD7"/>
    <w:rsid w:val="002A73BD"/>
    <w:rsid w:val="002B1A27"/>
    <w:rsid w:val="002B468B"/>
    <w:rsid w:val="002B7C02"/>
    <w:rsid w:val="002C0C8E"/>
    <w:rsid w:val="002C484C"/>
    <w:rsid w:val="002C5DB3"/>
    <w:rsid w:val="002C7D74"/>
    <w:rsid w:val="002D0524"/>
    <w:rsid w:val="002D0B39"/>
    <w:rsid w:val="002D165C"/>
    <w:rsid w:val="002D292D"/>
    <w:rsid w:val="002D4403"/>
    <w:rsid w:val="002D4F6F"/>
    <w:rsid w:val="002E4DDD"/>
    <w:rsid w:val="002F006B"/>
    <w:rsid w:val="002F0382"/>
    <w:rsid w:val="002F1E7F"/>
    <w:rsid w:val="002F222E"/>
    <w:rsid w:val="002F328B"/>
    <w:rsid w:val="002F50C4"/>
    <w:rsid w:val="002F5A52"/>
    <w:rsid w:val="002F6C7E"/>
    <w:rsid w:val="002F72B7"/>
    <w:rsid w:val="002F79AC"/>
    <w:rsid w:val="002F7CB1"/>
    <w:rsid w:val="002F7E4E"/>
    <w:rsid w:val="003000EE"/>
    <w:rsid w:val="003011B5"/>
    <w:rsid w:val="00301409"/>
    <w:rsid w:val="00301518"/>
    <w:rsid w:val="00301C9D"/>
    <w:rsid w:val="00302784"/>
    <w:rsid w:val="00302A94"/>
    <w:rsid w:val="00302DA0"/>
    <w:rsid w:val="00306354"/>
    <w:rsid w:val="00307CB5"/>
    <w:rsid w:val="0031003A"/>
    <w:rsid w:val="00311E41"/>
    <w:rsid w:val="00313C4C"/>
    <w:rsid w:val="00313C97"/>
    <w:rsid w:val="0031468B"/>
    <w:rsid w:val="0031485E"/>
    <w:rsid w:val="003148C0"/>
    <w:rsid w:val="00314FEE"/>
    <w:rsid w:val="003163ED"/>
    <w:rsid w:val="00316730"/>
    <w:rsid w:val="0031701F"/>
    <w:rsid w:val="00321476"/>
    <w:rsid w:val="00321F1C"/>
    <w:rsid w:val="00322C08"/>
    <w:rsid w:val="00323B89"/>
    <w:rsid w:val="003242FE"/>
    <w:rsid w:val="003258E0"/>
    <w:rsid w:val="0033100B"/>
    <w:rsid w:val="00331F27"/>
    <w:rsid w:val="003325EA"/>
    <w:rsid w:val="00335FC3"/>
    <w:rsid w:val="0033638D"/>
    <w:rsid w:val="003369AE"/>
    <w:rsid w:val="00340212"/>
    <w:rsid w:val="00340322"/>
    <w:rsid w:val="00341113"/>
    <w:rsid w:val="003446EC"/>
    <w:rsid w:val="00344DA3"/>
    <w:rsid w:val="003455A8"/>
    <w:rsid w:val="003456D6"/>
    <w:rsid w:val="0034745A"/>
    <w:rsid w:val="00350643"/>
    <w:rsid w:val="00351DB0"/>
    <w:rsid w:val="00352320"/>
    <w:rsid w:val="003526EB"/>
    <w:rsid w:val="00352DEB"/>
    <w:rsid w:val="0035516B"/>
    <w:rsid w:val="00355387"/>
    <w:rsid w:val="003555BE"/>
    <w:rsid w:val="003573C8"/>
    <w:rsid w:val="003618B5"/>
    <w:rsid w:val="00362859"/>
    <w:rsid w:val="00362C55"/>
    <w:rsid w:val="00364FB6"/>
    <w:rsid w:val="003667B7"/>
    <w:rsid w:val="00367DE2"/>
    <w:rsid w:val="00370B71"/>
    <w:rsid w:val="00371371"/>
    <w:rsid w:val="003729F5"/>
    <w:rsid w:val="00373AD0"/>
    <w:rsid w:val="003740C2"/>
    <w:rsid w:val="00375FDF"/>
    <w:rsid w:val="00381395"/>
    <w:rsid w:val="00383525"/>
    <w:rsid w:val="00384A15"/>
    <w:rsid w:val="003852AB"/>
    <w:rsid w:val="003855A7"/>
    <w:rsid w:val="003874D2"/>
    <w:rsid w:val="003937C7"/>
    <w:rsid w:val="00393AB6"/>
    <w:rsid w:val="003948EE"/>
    <w:rsid w:val="003963D6"/>
    <w:rsid w:val="003A0BEC"/>
    <w:rsid w:val="003A27B7"/>
    <w:rsid w:val="003A321D"/>
    <w:rsid w:val="003A4CA3"/>
    <w:rsid w:val="003A606A"/>
    <w:rsid w:val="003A6167"/>
    <w:rsid w:val="003C0042"/>
    <w:rsid w:val="003C1275"/>
    <w:rsid w:val="003C1A21"/>
    <w:rsid w:val="003C1D92"/>
    <w:rsid w:val="003C2609"/>
    <w:rsid w:val="003C2984"/>
    <w:rsid w:val="003C4096"/>
    <w:rsid w:val="003C46A1"/>
    <w:rsid w:val="003C48CA"/>
    <w:rsid w:val="003C51E3"/>
    <w:rsid w:val="003C5289"/>
    <w:rsid w:val="003C6706"/>
    <w:rsid w:val="003C6DA0"/>
    <w:rsid w:val="003D02C1"/>
    <w:rsid w:val="003D04F9"/>
    <w:rsid w:val="003D09F7"/>
    <w:rsid w:val="003D128A"/>
    <w:rsid w:val="003D20BC"/>
    <w:rsid w:val="003D2E2F"/>
    <w:rsid w:val="003D32C5"/>
    <w:rsid w:val="003D46D8"/>
    <w:rsid w:val="003D5A8D"/>
    <w:rsid w:val="003D6E91"/>
    <w:rsid w:val="003E147E"/>
    <w:rsid w:val="003E2ADB"/>
    <w:rsid w:val="003E3D72"/>
    <w:rsid w:val="003E42AA"/>
    <w:rsid w:val="003E4E97"/>
    <w:rsid w:val="003E5D29"/>
    <w:rsid w:val="003E5F81"/>
    <w:rsid w:val="003E7DEA"/>
    <w:rsid w:val="003F02FB"/>
    <w:rsid w:val="003F1462"/>
    <w:rsid w:val="003F2654"/>
    <w:rsid w:val="003F2A6C"/>
    <w:rsid w:val="003F3037"/>
    <w:rsid w:val="003F3249"/>
    <w:rsid w:val="003F38B8"/>
    <w:rsid w:val="003F3E2C"/>
    <w:rsid w:val="003F41B4"/>
    <w:rsid w:val="003F4BE5"/>
    <w:rsid w:val="003F71AC"/>
    <w:rsid w:val="004005E7"/>
    <w:rsid w:val="00400CF8"/>
    <w:rsid w:val="00400CFC"/>
    <w:rsid w:val="0040221B"/>
    <w:rsid w:val="00402E54"/>
    <w:rsid w:val="00412CFF"/>
    <w:rsid w:val="00412F6C"/>
    <w:rsid w:val="00414A89"/>
    <w:rsid w:val="00420FC2"/>
    <w:rsid w:val="004235AF"/>
    <w:rsid w:val="004248AC"/>
    <w:rsid w:val="0042528B"/>
    <w:rsid w:val="0042742F"/>
    <w:rsid w:val="00430E7B"/>
    <w:rsid w:val="00431BC7"/>
    <w:rsid w:val="00431BCB"/>
    <w:rsid w:val="00433AA7"/>
    <w:rsid w:val="004365D6"/>
    <w:rsid w:val="00436B8A"/>
    <w:rsid w:val="00440188"/>
    <w:rsid w:val="004414AE"/>
    <w:rsid w:val="004425F2"/>
    <w:rsid w:val="00442FB5"/>
    <w:rsid w:val="00443B8A"/>
    <w:rsid w:val="00444555"/>
    <w:rsid w:val="00444BCB"/>
    <w:rsid w:val="00445AC5"/>
    <w:rsid w:val="0044647A"/>
    <w:rsid w:val="00446E2F"/>
    <w:rsid w:val="00450475"/>
    <w:rsid w:val="00451631"/>
    <w:rsid w:val="004537C9"/>
    <w:rsid w:val="004541D3"/>
    <w:rsid w:val="004553E5"/>
    <w:rsid w:val="00455703"/>
    <w:rsid w:val="004569F0"/>
    <w:rsid w:val="00457798"/>
    <w:rsid w:val="00460E07"/>
    <w:rsid w:val="00461AF6"/>
    <w:rsid w:val="00464CB4"/>
    <w:rsid w:val="00467EBF"/>
    <w:rsid w:val="0047250D"/>
    <w:rsid w:val="00473774"/>
    <w:rsid w:val="00473C68"/>
    <w:rsid w:val="00474A52"/>
    <w:rsid w:val="00476200"/>
    <w:rsid w:val="004808ED"/>
    <w:rsid w:val="00480F1C"/>
    <w:rsid w:val="004831C6"/>
    <w:rsid w:val="004838FB"/>
    <w:rsid w:val="0048396A"/>
    <w:rsid w:val="004861C0"/>
    <w:rsid w:val="004865C7"/>
    <w:rsid w:val="00486BDC"/>
    <w:rsid w:val="004919C0"/>
    <w:rsid w:val="00491B07"/>
    <w:rsid w:val="00492279"/>
    <w:rsid w:val="0049367C"/>
    <w:rsid w:val="004938D3"/>
    <w:rsid w:val="00493C76"/>
    <w:rsid w:val="00497630"/>
    <w:rsid w:val="004A1572"/>
    <w:rsid w:val="004A65A2"/>
    <w:rsid w:val="004A7A03"/>
    <w:rsid w:val="004B0B4A"/>
    <w:rsid w:val="004B36F9"/>
    <w:rsid w:val="004B4613"/>
    <w:rsid w:val="004B7B57"/>
    <w:rsid w:val="004C64DA"/>
    <w:rsid w:val="004C74EB"/>
    <w:rsid w:val="004D07D7"/>
    <w:rsid w:val="004D12DB"/>
    <w:rsid w:val="004E0CAB"/>
    <w:rsid w:val="004E3146"/>
    <w:rsid w:val="004E36B5"/>
    <w:rsid w:val="004E3B0E"/>
    <w:rsid w:val="004E5CA3"/>
    <w:rsid w:val="004E6875"/>
    <w:rsid w:val="004F0EF6"/>
    <w:rsid w:val="004F293B"/>
    <w:rsid w:val="004F31BB"/>
    <w:rsid w:val="004F440A"/>
    <w:rsid w:val="004F4C22"/>
    <w:rsid w:val="004F6597"/>
    <w:rsid w:val="00501694"/>
    <w:rsid w:val="00502805"/>
    <w:rsid w:val="00504243"/>
    <w:rsid w:val="00505E8B"/>
    <w:rsid w:val="00510651"/>
    <w:rsid w:val="00510C6E"/>
    <w:rsid w:val="005115F8"/>
    <w:rsid w:val="0051296B"/>
    <w:rsid w:val="005161F3"/>
    <w:rsid w:val="0051799D"/>
    <w:rsid w:val="00517DFE"/>
    <w:rsid w:val="00517E7C"/>
    <w:rsid w:val="00520020"/>
    <w:rsid w:val="00521E1D"/>
    <w:rsid w:val="00522070"/>
    <w:rsid w:val="005231A9"/>
    <w:rsid w:val="005247FC"/>
    <w:rsid w:val="0052502D"/>
    <w:rsid w:val="005272DF"/>
    <w:rsid w:val="00527474"/>
    <w:rsid w:val="005329E0"/>
    <w:rsid w:val="00537365"/>
    <w:rsid w:val="005379C9"/>
    <w:rsid w:val="00541057"/>
    <w:rsid w:val="00542042"/>
    <w:rsid w:val="005439BD"/>
    <w:rsid w:val="005443E4"/>
    <w:rsid w:val="00545C6B"/>
    <w:rsid w:val="005460C0"/>
    <w:rsid w:val="005469BA"/>
    <w:rsid w:val="0054782A"/>
    <w:rsid w:val="00547E0A"/>
    <w:rsid w:val="00551E88"/>
    <w:rsid w:val="005534CC"/>
    <w:rsid w:val="00554B6A"/>
    <w:rsid w:val="005601AA"/>
    <w:rsid w:val="005619BF"/>
    <w:rsid w:val="00562343"/>
    <w:rsid w:val="005667AD"/>
    <w:rsid w:val="00566F5E"/>
    <w:rsid w:val="0056718A"/>
    <w:rsid w:val="00567690"/>
    <w:rsid w:val="00567754"/>
    <w:rsid w:val="005711EB"/>
    <w:rsid w:val="00571B98"/>
    <w:rsid w:val="0057464B"/>
    <w:rsid w:val="0058105A"/>
    <w:rsid w:val="005818AF"/>
    <w:rsid w:val="005827ED"/>
    <w:rsid w:val="005837FB"/>
    <w:rsid w:val="00584986"/>
    <w:rsid w:val="0058558A"/>
    <w:rsid w:val="005858A8"/>
    <w:rsid w:val="00586426"/>
    <w:rsid w:val="00591597"/>
    <w:rsid w:val="0059263E"/>
    <w:rsid w:val="00592FA3"/>
    <w:rsid w:val="00593294"/>
    <w:rsid w:val="00594275"/>
    <w:rsid w:val="00596E53"/>
    <w:rsid w:val="00597F15"/>
    <w:rsid w:val="005A01A1"/>
    <w:rsid w:val="005A1A47"/>
    <w:rsid w:val="005A21CD"/>
    <w:rsid w:val="005A2984"/>
    <w:rsid w:val="005A35D9"/>
    <w:rsid w:val="005A3CE6"/>
    <w:rsid w:val="005A54E3"/>
    <w:rsid w:val="005A6305"/>
    <w:rsid w:val="005A7811"/>
    <w:rsid w:val="005A7F56"/>
    <w:rsid w:val="005B1093"/>
    <w:rsid w:val="005B1A20"/>
    <w:rsid w:val="005B346D"/>
    <w:rsid w:val="005B5090"/>
    <w:rsid w:val="005B7359"/>
    <w:rsid w:val="005B73F4"/>
    <w:rsid w:val="005B78F6"/>
    <w:rsid w:val="005C06FA"/>
    <w:rsid w:val="005C0F5F"/>
    <w:rsid w:val="005C2F21"/>
    <w:rsid w:val="005C5BD4"/>
    <w:rsid w:val="005D0A79"/>
    <w:rsid w:val="005D4078"/>
    <w:rsid w:val="005D4121"/>
    <w:rsid w:val="005D4536"/>
    <w:rsid w:val="005D6A31"/>
    <w:rsid w:val="005D7C41"/>
    <w:rsid w:val="005D7F96"/>
    <w:rsid w:val="005E1DB8"/>
    <w:rsid w:val="005E1F7A"/>
    <w:rsid w:val="005E22A2"/>
    <w:rsid w:val="005E26FC"/>
    <w:rsid w:val="005E2AD4"/>
    <w:rsid w:val="005E2B86"/>
    <w:rsid w:val="005E33F2"/>
    <w:rsid w:val="005E41CC"/>
    <w:rsid w:val="005F1766"/>
    <w:rsid w:val="005F2CAA"/>
    <w:rsid w:val="005F6151"/>
    <w:rsid w:val="006007BB"/>
    <w:rsid w:val="00601E98"/>
    <w:rsid w:val="006027E2"/>
    <w:rsid w:val="00606536"/>
    <w:rsid w:val="00607153"/>
    <w:rsid w:val="006072D3"/>
    <w:rsid w:val="0060767C"/>
    <w:rsid w:val="006112FE"/>
    <w:rsid w:val="0061224E"/>
    <w:rsid w:val="0061276F"/>
    <w:rsid w:val="00613165"/>
    <w:rsid w:val="00613320"/>
    <w:rsid w:val="006142A7"/>
    <w:rsid w:val="006172A2"/>
    <w:rsid w:val="00617527"/>
    <w:rsid w:val="006177B4"/>
    <w:rsid w:val="00617CC1"/>
    <w:rsid w:val="006203E2"/>
    <w:rsid w:val="0062119E"/>
    <w:rsid w:val="00622DD2"/>
    <w:rsid w:val="006256FD"/>
    <w:rsid w:val="00625A0B"/>
    <w:rsid w:val="006264A9"/>
    <w:rsid w:val="0062749D"/>
    <w:rsid w:val="00632747"/>
    <w:rsid w:val="00635F5B"/>
    <w:rsid w:val="0063674B"/>
    <w:rsid w:val="00637BB3"/>
    <w:rsid w:val="00640E33"/>
    <w:rsid w:val="006415F6"/>
    <w:rsid w:val="006438EF"/>
    <w:rsid w:val="00643D44"/>
    <w:rsid w:val="00644262"/>
    <w:rsid w:val="006457C3"/>
    <w:rsid w:val="00645F18"/>
    <w:rsid w:val="006461A4"/>
    <w:rsid w:val="006469B0"/>
    <w:rsid w:val="006478B8"/>
    <w:rsid w:val="00651342"/>
    <w:rsid w:val="00651719"/>
    <w:rsid w:val="00654116"/>
    <w:rsid w:val="006541FB"/>
    <w:rsid w:val="006545C9"/>
    <w:rsid w:val="006607C6"/>
    <w:rsid w:val="006618DD"/>
    <w:rsid w:val="00662397"/>
    <w:rsid w:val="00664E5B"/>
    <w:rsid w:val="006658F4"/>
    <w:rsid w:val="006667DA"/>
    <w:rsid w:val="00675BCE"/>
    <w:rsid w:val="006761C4"/>
    <w:rsid w:val="006769AE"/>
    <w:rsid w:val="00676DE7"/>
    <w:rsid w:val="00681DD6"/>
    <w:rsid w:val="00681EA4"/>
    <w:rsid w:val="006835EC"/>
    <w:rsid w:val="00683781"/>
    <w:rsid w:val="0068596D"/>
    <w:rsid w:val="00685ADA"/>
    <w:rsid w:val="00687E03"/>
    <w:rsid w:val="00690A76"/>
    <w:rsid w:val="00692394"/>
    <w:rsid w:val="00692D54"/>
    <w:rsid w:val="0069375F"/>
    <w:rsid w:val="00695824"/>
    <w:rsid w:val="00697ED5"/>
    <w:rsid w:val="006A0B0E"/>
    <w:rsid w:val="006A1077"/>
    <w:rsid w:val="006A18A1"/>
    <w:rsid w:val="006A1998"/>
    <w:rsid w:val="006A6D46"/>
    <w:rsid w:val="006B1E2B"/>
    <w:rsid w:val="006B3EF1"/>
    <w:rsid w:val="006B5306"/>
    <w:rsid w:val="006B5C61"/>
    <w:rsid w:val="006B7966"/>
    <w:rsid w:val="006C17E0"/>
    <w:rsid w:val="006C2428"/>
    <w:rsid w:val="006C49BD"/>
    <w:rsid w:val="006C516D"/>
    <w:rsid w:val="006C56A3"/>
    <w:rsid w:val="006D0140"/>
    <w:rsid w:val="006D3A9E"/>
    <w:rsid w:val="006D439A"/>
    <w:rsid w:val="006D43F9"/>
    <w:rsid w:val="006D592F"/>
    <w:rsid w:val="006D5EFF"/>
    <w:rsid w:val="006E0E0C"/>
    <w:rsid w:val="006E1304"/>
    <w:rsid w:val="006E37D4"/>
    <w:rsid w:val="006E3A7F"/>
    <w:rsid w:val="006E3BF5"/>
    <w:rsid w:val="006E3EB3"/>
    <w:rsid w:val="006E4458"/>
    <w:rsid w:val="006E4705"/>
    <w:rsid w:val="006E4A3F"/>
    <w:rsid w:val="006E5411"/>
    <w:rsid w:val="006F0082"/>
    <w:rsid w:val="006F0AC7"/>
    <w:rsid w:val="006F2612"/>
    <w:rsid w:val="006F3E94"/>
    <w:rsid w:val="006F421C"/>
    <w:rsid w:val="006F5F0F"/>
    <w:rsid w:val="00700BCA"/>
    <w:rsid w:val="00702F7D"/>
    <w:rsid w:val="007038B4"/>
    <w:rsid w:val="007046CF"/>
    <w:rsid w:val="00711205"/>
    <w:rsid w:val="00715F0C"/>
    <w:rsid w:val="00716C29"/>
    <w:rsid w:val="007213A9"/>
    <w:rsid w:val="00721B81"/>
    <w:rsid w:val="0072450F"/>
    <w:rsid w:val="00727BA1"/>
    <w:rsid w:val="00731350"/>
    <w:rsid w:val="0073273F"/>
    <w:rsid w:val="00732B86"/>
    <w:rsid w:val="0073607A"/>
    <w:rsid w:val="00736D39"/>
    <w:rsid w:val="0073729A"/>
    <w:rsid w:val="007403F4"/>
    <w:rsid w:val="007412B0"/>
    <w:rsid w:val="00741721"/>
    <w:rsid w:val="00741D39"/>
    <w:rsid w:val="0074465E"/>
    <w:rsid w:val="007474F2"/>
    <w:rsid w:val="00747E35"/>
    <w:rsid w:val="007501C2"/>
    <w:rsid w:val="00750820"/>
    <w:rsid w:val="00752441"/>
    <w:rsid w:val="00754459"/>
    <w:rsid w:val="0075523B"/>
    <w:rsid w:val="00755C32"/>
    <w:rsid w:val="00755FF0"/>
    <w:rsid w:val="007604F0"/>
    <w:rsid w:val="007624A7"/>
    <w:rsid w:val="007632DF"/>
    <w:rsid w:val="00763D83"/>
    <w:rsid w:val="00767B71"/>
    <w:rsid w:val="007719D0"/>
    <w:rsid w:val="00773019"/>
    <w:rsid w:val="0077374B"/>
    <w:rsid w:val="00780597"/>
    <w:rsid w:val="007820C5"/>
    <w:rsid w:val="00783267"/>
    <w:rsid w:val="00784343"/>
    <w:rsid w:val="00785D74"/>
    <w:rsid w:val="00786621"/>
    <w:rsid w:val="00786C96"/>
    <w:rsid w:val="007910C0"/>
    <w:rsid w:val="00793882"/>
    <w:rsid w:val="00793910"/>
    <w:rsid w:val="00794632"/>
    <w:rsid w:val="00794E1E"/>
    <w:rsid w:val="00796BEB"/>
    <w:rsid w:val="007A0022"/>
    <w:rsid w:val="007A0547"/>
    <w:rsid w:val="007A1953"/>
    <w:rsid w:val="007A1A7D"/>
    <w:rsid w:val="007A4788"/>
    <w:rsid w:val="007A48F5"/>
    <w:rsid w:val="007A48FF"/>
    <w:rsid w:val="007A4D20"/>
    <w:rsid w:val="007A5A38"/>
    <w:rsid w:val="007B0D7C"/>
    <w:rsid w:val="007B0F16"/>
    <w:rsid w:val="007C31E4"/>
    <w:rsid w:val="007C64AE"/>
    <w:rsid w:val="007C6569"/>
    <w:rsid w:val="007C73F6"/>
    <w:rsid w:val="007D0039"/>
    <w:rsid w:val="007D2EA2"/>
    <w:rsid w:val="007D5307"/>
    <w:rsid w:val="007D5561"/>
    <w:rsid w:val="007D5AB8"/>
    <w:rsid w:val="007D6088"/>
    <w:rsid w:val="007D6098"/>
    <w:rsid w:val="007E090D"/>
    <w:rsid w:val="007E161F"/>
    <w:rsid w:val="007E182D"/>
    <w:rsid w:val="007E7BB0"/>
    <w:rsid w:val="007F29F0"/>
    <w:rsid w:val="007F440B"/>
    <w:rsid w:val="007F45FD"/>
    <w:rsid w:val="007F5109"/>
    <w:rsid w:val="007F528D"/>
    <w:rsid w:val="007F5545"/>
    <w:rsid w:val="007F5E7D"/>
    <w:rsid w:val="007F6A7A"/>
    <w:rsid w:val="007F70D3"/>
    <w:rsid w:val="007F76AD"/>
    <w:rsid w:val="008000DA"/>
    <w:rsid w:val="008004D3"/>
    <w:rsid w:val="00800B0E"/>
    <w:rsid w:val="00802684"/>
    <w:rsid w:val="00802BEB"/>
    <w:rsid w:val="00803940"/>
    <w:rsid w:val="00804C59"/>
    <w:rsid w:val="00805983"/>
    <w:rsid w:val="00806394"/>
    <w:rsid w:val="008063F9"/>
    <w:rsid w:val="00810609"/>
    <w:rsid w:val="0081147C"/>
    <w:rsid w:val="00814361"/>
    <w:rsid w:val="00817ED6"/>
    <w:rsid w:val="00821023"/>
    <w:rsid w:val="00822450"/>
    <w:rsid w:val="008242B1"/>
    <w:rsid w:val="00825BCE"/>
    <w:rsid w:val="00827F9A"/>
    <w:rsid w:val="008301E9"/>
    <w:rsid w:val="008328B2"/>
    <w:rsid w:val="00832A7F"/>
    <w:rsid w:val="008334DE"/>
    <w:rsid w:val="0083512F"/>
    <w:rsid w:val="008359C2"/>
    <w:rsid w:val="00840AB4"/>
    <w:rsid w:val="008442CF"/>
    <w:rsid w:val="00844A00"/>
    <w:rsid w:val="0084688B"/>
    <w:rsid w:val="00850E06"/>
    <w:rsid w:val="00850F5C"/>
    <w:rsid w:val="0085189E"/>
    <w:rsid w:val="00852DB1"/>
    <w:rsid w:val="0085466C"/>
    <w:rsid w:val="00855962"/>
    <w:rsid w:val="00856148"/>
    <w:rsid w:val="00856C05"/>
    <w:rsid w:val="00856CC0"/>
    <w:rsid w:val="00861301"/>
    <w:rsid w:val="00861944"/>
    <w:rsid w:val="00866492"/>
    <w:rsid w:val="00867BE2"/>
    <w:rsid w:val="008704CC"/>
    <w:rsid w:val="0087070F"/>
    <w:rsid w:val="008723AF"/>
    <w:rsid w:val="00872875"/>
    <w:rsid w:val="00876913"/>
    <w:rsid w:val="00880F7D"/>
    <w:rsid w:val="008823B3"/>
    <w:rsid w:val="008825EB"/>
    <w:rsid w:val="008835BE"/>
    <w:rsid w:val="008838B4"/>
    <w:rsid w:val="00885221"/>
    <w:rsid w:val="00885636"/>
    <w:rsid w:val="00886658"/>
    <w:rsid w:val="00891733"/>
    <w:rsid w:val="00892054"/>
    <w:rsid w:val="008929CF"/>
    <w:rsid w:val="00893262"/>
    <w:rsid w:val="008938AE"/>
    <w:rsid w:val="008939E1"/>
    <w:rsid w:val="0089405F"/>
    <w:rsid w:val="00894D03"/>
    <w:rsid w:val="00894F5A"/>
    <w:rsid w:val="00895060"/>
    <w:rsid w:val="00896FD2"/>
    <w:rsid w:val="008A052A"/>
    <w:rsid w:val="008A0767"/>
    <w:rsid w:val="008A0AFD"/>
    <w:rsid w:val="008A0CA3"/>
    <w:rsid w:val="008A30C3"/>
    <w:rsid w:val="008A673E"/>
    <w:rsid w:val="008A796C"/>
    <w:rsid w:val="008B0CDE"/>
    <w:rsid w:val="008B1570"/>
    <w:rsid w:val="008B16F5"/>
    <w:rsid w:val="008B3398"/>
    <w:rsid w:val="008B3791"/>
    <w:rsid w:val="008B3F0A"/>
    <w:rsid w:val="008B5706"/>
    <w:rsid w:val="008B6E33"/>
    <w:rsid w:val="008B7045"/>
    <w:rsid w:val="008B7CA5"/>
    <w:rsid w:val="008C037C"/>
    <w:rsid w:val="008C04D7"/>
    <w:rsid w:val="008C06ED"/>
    <w:rsid w:val="008C2BD9"/>
    <w:rsid w:val="008C5C7B"/>
    <w:rsid w:val="008C5F5F"/>
    <w:rsid w:val="008D06DB"/>
    <w:rsid w:val="008D378A"/>
    <w:rsid w:val="008D391C"/>
    <w:rsid w:val="008D3F79"/>
    <w:rsid w:val="008D4596"/>
    <w:rsid w:val="008D53A3"/>
    <w:rsid w:val="008D56D2"/>
    <w:rsid w:val="008D73DB"/>
    <w:rsid w:val="008D75A3"/>
    <w:rsid w:val="008D7980"/>
    <w:rsid w:val="008D7F1E"/>
    <w:rsid w:val="008E2FCD"/>
    <w:rsid w:val="008E312A"/>
    <w:rsid w:val="008E6784"/>
    <w:rsid w:val="008E6FEC"/>
    <w:rsid w:val="008E72CA"/>
    <w:rsid w:val="008F00D6"/>
    <w:rsid w:val="008F0DD1"/>
    <w:rsid w:val="008F53E7"/>
    <w:rsid w:val="008F6EA0"/>
    <w:rsid w:val="008F6FD5"/>
    <w:rsid w:val="008F7E29"/>
    <w:rsid w:val="00903CBC"/>
    <w:rsid w:val="00903D53"/>
    <w:rsid w:val="009068C8"/>
    <w:rsid w:val="00911EDE"/>
    <w:rsid w:val="00913CF1"/>
    <w:rsid w:val="009143DB"/>
    <w:rsid w:val="009164F0"/>
    <w:rsid w:val="00920460"/>
    <w:rsid w:val="00923DC8"/>
    <w:rsid w:val="009252DC"/>
    <w:rsid w:val="009253A3"/>
    <w:rsid w:val="009255EC"/>
    <w:rsid w:val="00925793"/>
    <w:rsid w:val="009274E4"/>
    <w:rsid w:val="009301F1"/>
    <w:rsid w:val="0093162A"/>
    <w:rsid w:val="00933B98"/>
    <w:rsid w:val="00933BDE"/>
    <w:rsid w:val="00934377"/>
    <w:rsid w:val="00934B08"/>
    <w:rsid w:val="00935948"/>
    <w:rsid w:val="00935AC0"/>
    <w:rsid w:val="00935F23"/>
    <w:rsid w:val="00936E4B"/>
    <w:rsid w:val="00936EC2"/>
    <w:rsid w:val="009378B4"/>
    <w:rsid w:val="0094108A"/>
    <w:rsid w:val="00942E93"/>
    <w:rsid w:val="00944B64"/>
    <w:rsid w:val="00946AA6"/>
    <w:rsid w:val="00947D15"/>
    <w:rsid w:val="0095172F"/>
    <w:rsid w:val="009521F6"/>
    <w:rsid w:val="009531AB"/>
    <w:rsid w:val="009536D4"/>
    <w:rsid w:val="00955865"/>
    <w:rsid w:val="0095605A"/>
    <w:rsid w:val="009564DE"/>
    <w:rsid w:val="00960F57"/>
    <w:rsid w:val="009627D0"/>
    <w:rsid w:val="00962CA3"/>
    <w:rsid w:val="0096607C"/>
    <w:rsid w:val="00966095"/>
    <w:rsid w:val="0096635C"/>
    <w:rsid w:val="00972491"/>
    <w:rsid w:val="00975D38"/>
    <w:rsid w:val="00976104"/>
    <w:rsid w:val="009762E3"/>
    <w:rsid w:val="009765B8"/>
    <w:rsid w:val="00977BB2"/>
    <w:rsid w:val="00980592"/>
    <w:rsid w:val="00980FB0"/>
    <w:rsid w:val="009811B4"/>
    <w:rsid w:val="009820A5"/>
    <w:rsid w:val="009867E9"/>
    <w:rsid w:val="0098692B"/>
    <w:rsid w:val="0099065D"/>
    <w:rsid w:val="009909EA"/>
    <w:rsid w:val="00990D19"/>
    <w:rsid w:val="0099169D"/>
    <w:rsid w:val="0099389C"/>
    <w:rsid w:val="00993D3E"/>
    <w:rsid w:val="009941A8"/>
    <w:rsid w:val="009958D2"/>
    <w:rsid w:val="00995EC5"/>
    <w:rsid w:val="0099635D"/>
    <w:rsid w:val="0099637C"/>
    <w:rsid w:val="00996393"/>
    <w:rsid w:val="009A0CB9"/>
    <w:rsid w:val="009A1773"/>
    <w:rsid w:val="009A207B"/>
    <w:rsid w:val="009A23A8"/>
    <w:rsid w:val="009A38EE"/>
    <w:rsid w:val="009A4C04"/>
    <w:rsid w:val="009A4EE1"/>
    <w:rsid w:val="009A4FED"/>
    <w:rsid w:val="009A5A2A"/>
    <w:rsid w:val="009A6220"/>
    <w:rsid w:val="009A770D"/>
    <w:rsid w:val="009B2A46"/>
    <w:rsid w:val="009B2B5A"/>
    <w:rsid w:val="009B3562"/>
    <w:rsid w:val="009B3CD4"/>
    <w:rsid w:val="009B5323"/>
    <w:rsid w:val="009B5C8F"/>
    <w:rsid w:val="009B67F7"/>
    <w:rsid w:val="009B7B15"/>
    <w:rsid w:val="009C0D74"/>
    <w:rsid w:val="009C2582"/>
    <w:rsid w:val="009C2698"/>
    <w:rsid w:val="009C333B"/>
    <w:rsid w:val="009C3A6D"/>
    <w:rsid w:val="009C3E12"/>
    <w:rsid w:val="009C44AF"/>
    <w:rsid w:val="009C456B"/>
    <w:rsid w:val="009C57A7"/>
    <w:rsid w:val="009D16ED"/>
    <w:rsid w:val="009D2258"/>
    <w:rsid w:val="009D2654"/>
    <w:rsid w:val="009D3986"/>
    <w:rsid w:val="009D684E"/>
    <w:rsid w:val="009E0F6D"/>
    <w:rsid w:val="009E1306"/>
    <w:rsid w:val="009E1C4F"/>
    <w:rsid w:val="009E304F"/>
    <w:rsid w:val="009E356C"/>
    <w:rsid w:val="009E3D32"/>
    <w:rsid w:val="009E40EE"/>
    <w:rsid w:val="009E5C51"/>
    <w:rsid w:val="009F20D0"/>
    <w:rsid w:val="009F216A"/>
    <w:rsid w:val="009F27F8"/>
    <w:rsid w:val="009F3C1C"/>
    <w:rsid w:val="009F4E2D"/>
    <w:rsid w:val="00A03186"/>
    <w:rsid w:val="00A060D2"/>
    <w:rsid w:val="00A06CF1"/>
    <w:rsid w:val="00A1211A"/>
    <w:rsid w:val="00A13354"/>
    <w:rsid w:val="00A1492E"/>
    <w:rsid w:val="00A17187"/>
    <w:rsid w:val="00A20ED1"/>
    <w:rsid w:val="00A21C16"/>
    <w:rsid w:val="00A21DF3"/>
    <w:rsid w:val="00A21F7F"/>
    <w:rsid w:val="00A2307E"/>
    <w:rsid w:val="00A24CD0"/>
    <w:rsid w:val="00A27B71"/>
    <w:rsid w:val="00A30311"/>
    <w:rsid w:val="00A3032C"/>
    <w:rsid w:val="00A31CBC"/>
    <w:rsid w:val="00A31F51"/>
    <w:rsid w:val="00A32C68"/>
    <w:rsid w:val="00A3448C"/>
    <w:rsid w:val="00A34933"/>
    <w:rsid w:val="00A34BBC"/>
    <w:rsid w:val="00A3515B"/>
    <w:rsid w:val="00A352AC"/>
    <w:rsid w:val="00A356F2"/>
    <w:rsid w:val="00A3571D"/>
    <w:rsid w:val="00A35920"/>
    <w:rsid w:val="00A377A5"/>
    <w:rsid w:val="00A42763"/>
    <w:rsid w:val="00A433FD"/>
    <w:rsid w:val="00A43E83"/>
    <w:rsid w:val="00A44F87"/>
    <w:rsid w:val="00A47B09"/>
    <w:rsid w:val="00A47FA1"/>
    <w:rsid w:val="00A506A6"/>
    <w:rsid w:val="00A51124"/>
    <w:rsid w:val="00A51F56"/>
    <w:rsid w:val="00A53522"/>
    <w:rsid w:val="00A5356E"/>
    <w:rsid w:val="00A53845"/>
    <w:rsid w:val="00A5707C"/>
    <w:rsid w:val="00A576BE"/>
    <w:rsid w:val="00A57C18"/>
    <w:rsid w:val="00A6199F"/>
    <w:rsid w:val="00A63D6D"/>
    <w:rsid w:val="00A641B4"/>
    <w:rsid w:val="00A642DC"/>
    <w:rsid w:val="00A65E0E"/>
    <w:rsid w:val="00A6700E"/>
    <w:rsid w:val="00A678C6"/>
    <w:rsid w:val="00A71759"/>
    <w:rsid w:val="00A71A73"/>
    <w:rsid w:val="00A751BE"/>
    <w:rsid w:val="00A76B88"/>
    <w:rsid w:val="00A76DC5"/>
    <w:rsid w:val="00A776DB"/>
    <w:rsid w:val="00A831D1"/>
    <w:rsid w:val="00A839FC"/>
    <w:rsid w:val="00A84484"/>
    <w:rsid w:val="00A851F4"/>
    <w:rsid w:val="00A90526"/>
    <w:rsid w:val="00A9388B"/>
    <w:rsid w:val="00A948A6"/>
    <w:rsid w:val="00A9618F"/>
    <w:rsid w:val="00A96D2A"/>
    <w:rsid w:val="00A96E0A"/>
    <w:rsid w:val="00A96F35"/>
    <w:rsid w:val="00AA0002"/>
    <w:rsid w:val="00AA0EAC"/>
    <w:rsid w:val="00AA15AD"/>
    <w:rsid w:val="00AA15C8"/>
    <w:rsid w:val="00AA2A36"/>
    <w:rsid w:val="00AA521B"/>
    <w:rsid w:val="00AA708E"/>
    <w:rsid w:val="00AA7C53"/>
    <w:rsid w:val="00AB4318"/>
    <w:rsid w:val="00AB5620"/>
    <w:rsid w:val="00AB5703"/>
    <w:rsid w:val="00AC01DC"/>
    <w:rsid w:val="00AC4D58"/>
    <w:rsid w:val="00AC5E15"/>
    <w:rsid w:val="00AC6ADD"/>
    <w:rsid w:val="00AD2094"/>
    <w:rsid w:val="00AD5306"/>
    <w:rsid w:val="00AD6B1D"/>
    <w:rsid w:val="00AD721F"/>
    <w:rsid w:val="00AE0485"/>
    <w:rsid w:val="00AE2EB6"/>
    <w:rsid w:val="00AE75DD"/>
    <w:rsid w:val="00AE7954"/>
    <w:rsid w:val="00AF0B99"/>
    <w:rsid w:val="00AF0DA3"/>
    <w:rsid w:val="00AF180E"/>
    <w:rsid w:val="00AF2CAF"/>
    <w:rsid w:val="00AF349B"/>
    <w:rsid w:val="00AF3D07"/>
    <w:rsid w:val="00AF442F"/>
    <w:rsid w:val="00AF4AC1"/>
    <w:rsid w:val="00AF502F"/>
    <w:rsid w:val="00AF7E6C"/>
    <w:rsid w:val="00B00204"/>
    <w:rsid w:val="00B026D3"/>
    <w:rsid w:val="00B04149"/>
    <w:rsid w:val="00B05551"/>
    <w:rsid w:val="00B0580C"/>
    <w:rsid w:val="00B0709C"/>
    <w:rsid w:val="00B12D7F"/>
    <w:rsid w:val="00B1319F"/>
    <w:rsid w:val="00B13691"/>
    <w:rsid w:val="00B148C2"/>
    <w:rsid w:val="00B14A0C"/>
    <w:rsid w:val="00B23B5A"/>
    <w:rsid w:val="00B257F5"/>
    <w:rsid w:val="00B27B6D"/>
    <w:rsid w:val="00B27FAA"/>
    <w:rsid w:val="00B302ED"/>
    <w:rsid w:val="00B31185"/>
    <w:rsid w:val="00B3128C"/>
    <w:rsid w:val="00B31E90"/>
    <w:rsid w:val="00B32CBA"/>
    <w:rsid w:val="00B36396"/>
    <w:rsid w:val="00B366C6"/>
    <w:rsid w:val="00B416F5"/>
    <w:rsid w:val="00B437A4"/>
    <w:rsid w:val="00B45139"/>
    <w:rsid w:val="00B461AE"/>
    <w:rsid w:val="00B467EC"/>
    <w:rsid w:val="00B46EF1"/>
    <w:rsid w:val="00B50036"/>
    <w:rsid w:val="00B5082E"/>
    <w:rsid w:val="00B562D3"/>
    <w:rsid w:val="00B568D9"/>
    <w:rsid w:val="00B60CD2"/>
    <w:rsid w:val="00B61BB8"/>
    <w:rsid w:val="00B6304A"/>
    <w:rsid w:val="00B63241"/>
    <w:rsid w:val="00B64DFE"/>
    <w:rsid w:val="00B65D57"/>
    <w:rsid w:val="00B70C62"/>
    <w:rsid w:val="00B72EE4"/>
    <w:rsid w:val="00B72F2B"/>
    <w:rsid w:val="00B76641"/>
    <w:rsid w:val="00B80452"/>
    <w:rsid w:val="00B80A2B"/>
    <w:rsid w:val="00B83938"/>
    <w:rsid w:val="00B83B38"/>
    <w:rsid w:val="00B8481F"/>
    <w:rsid w:val="00B84C58"/>
    <w:rsid w:val="00B85F7F"/>
    <w:rsid w:val="00B86C2D"/>
    <w:rsid w:val="00B90646"/>
    <w:rsid w:val="00B91F6E"/>
    <w:rsid w:val="00B9626D"/>
    <w:rsid w:val="00B97DFE"/>
    <w:rsid w:val="00BA07C6"/>
    <w:rsid w:val="00BA09C1"/>
    <w:rsid w:val="00BA0DA0"/>
    <w:rsid w:val="00BA1E1D"/>
    <w:rsid w:val="00BA3401"/>
    <w:rsid w:val="00BA4065"/>
    <w:rsid w:val="00BA5E91"/>
    <w:rsid w:val="00BA634D"/>
    <w:rsid w:val="00BA76DB"/>
    <w:rsid w:val="00BA7858"/>
    <w:rsid w:val="00BA7894"/>
    <w:rsid w:val="00BB08A1"/>
    <w:rsid w:val="00BB0F75"/>
    <w:rsid w:val="00BB6334"/>
    <w:rsid w:val="00BB6BB0"/>
    <w:rsid w:val="00BB6D2F"/>
    <w:rsid w:val="00BB7723"/>
    <w:rsid w:val="00BB7A7B"/>
    <w:rsid w:val="00BC6723"/>
    <w:rsid w:val="00BD1718"/>
    <w:rsid w:val="00BD1863"/>
    <w:rsid w:val="00BD4479"/>
    <w:rsid w:val="00BD4B32"/>
    <w:rsid w:val="00BD52EC"/>
    <w:rsid w:val="00BD5BB2"/>
    <w:rsid w:val="00BD754A"/>
    <w:rsid w:val="00BD7FAC"/>
    <w:rsid w:val="00BE1AD5"/>
    <w:rsid w:val="00BE39DE"/>
    <w:rsid w:val="00BE4AFA"/>
    <w:rsid w:val="00BE6441"/>
    <w:rsid w:val="00BE7B86"/>
    <w:rsid w:val="00BF24E8"/>
    <w:rsid w:val="00BF2ACC"/>
    <w:rsid w:val="00BF33B8"/>
    <w:rsid w:val="00BF3418"/>
    <w:rsid w:val="00BF392B"/>
    <w:rsid w:val="00BF3DE5"/>
    <w:rsid w:val="00BF4024"/>
    <w:rsid w:val="00BF4B80"/>
    <w:rsid w:val="00BF57BD"/>
    <w:rsid w:val="00BF5E63"/>
    <w:rsid w:val="00C0003A"/>
    <w:rsid w:val="00C01E13"/>
    <w:rsid w:val="00C02A48"/>
    <w:rsid w:val="00C047EE"/>
    <w:rsid w:val="00C0680E"/>
    <w:rsid w:val="00C06AA7"/>
    <w:rsid w:val="00C10470"/>
    <w:rsid w:val="00C15721"/>
    <w:rsid w:val="00C172FE"/>
    <w:rsid w:val="00C203EB"/>
    <w:rsid w:val="00C23119"/>
    <w:rsid w:val="00C23CF0"/>
    <w:rsid w:val="00C24B2A"/>
    <w:rsid w:val="00C252CA"/>
    <w:rsid w:val="00C2530F"/>
    <w:rsid w:val="00C26129"/>
    <w:rsid w:val="00C26F95"/>
    <w:rsid w:val="00C27E34"/>
    <w:rsid w:val="00C30B25"/>
    <w:rsid w:val="00C32A6C"/>
    <w:rsid w:val="00C3300E"/>
    <w:rsid w:val="00C34079"/>
    <w:rsid w:val="00C34F32"/>
    <w:rsid w:val="00C353D1"/>
    <w:rsid w:val="00C35DB1"/>
    <w:rsid w:val="00C36F08"/>
    <w:rsid w:val="00C373E8"/>
    <w:rsid w:val="00C43188"/>
    <w:rsid w:val="00C444AC"/>
    <w:rsid w:val="00C464BF"/>
    <w:rsid w:val="00C4650B"/>
    <w:rsid w:val="00C466F2"/>
    <w:rsid w:val="00C47D81"/>
    <w:rsid w:val="00C50315"/>
    <w:rsid w:val="00C50B71"/>
    <w:rsid w:val="00C53B12"/>
    <w:rsid w:val="00C6041D"/>
    <w:rsid w:val="00C60F04"/>
    <w:rsid w:val="00C62ADD"/>
    <w:rsid w:val="00C632AD"/>
    <w:rsid w:val="00C65F2C"/>
    <w:rsid w:val="00C7075C"/>
    <w:rsid w:val="00C70A3E"/>
    <w:rsid w:val="00C719C4"/>
    <w:rsid w:val="00C71C2E"/>
    <w:rsid w:val="00C72D34"/>
    <w:rsid w:val="00C72E5B"/>
    <w:rsid w:val="00C74EA7"/>
    <w:rsid w:val="00C7627B"/>
    <w:rsid w:val="00C76FAC"/>
    <w:rsid w:val="00C77992"/>
    <w:rsid w:val="00C801FE"/>
    <w:rsid w:val="00C8399C"/>
    <w:rsid w:val="00C83A58"/>
    <w:rsid w:val="00C841C2"/>
    <w:rsid w:val="00C844B9"/>
    <w:rsid w:val="00C87DE3"/>
    <w:rsid w:val="00C90BBC"/>
    <w:rsid w:val="00C94638"/>
    <w:rsid w:val="00C95F65"/>
    <w:rsid w:val="00C96FAF"/>
    <w:rsid w:val="00CA061D"/>
    <w:rsid w:val="00CA279A"/>
    <w:rsid w:val="00CA6976"/>
    <w:rsid w:val="00CA70F7"/>
    <w:rsid w:val="00CA7479"/>
    <w:rsid w:val="00CA7FF6"/>
    <w:rsid w:val="00CB0D71"/>
    <w:rsid w:val="00CB3539"/>
    <w:rsid w:val="00CB35FF"/>
    <w:rsid w:val="00CB3774"/>
    <w:rsid w:val="00CB6559"/>
    <w:rsid w:val="00CC13FB"/>
    <w:rsid w:val="00CC1E7C"/>
    <w:rsid w:val="00CC1EA5"/>
    <w:rsid w:val="00CC2059"/>
    <w:rsid w:val="00CC2807"/>
    <w:rsid w:val="00CC3405"/>
    <w:rsid w:val="00CC731A"/>
    <w:rsid w:val="00CD02A3"/>
    <w:rsid w:val="00CD1893"/>
    <w:rsid w:val="00CD1A94"/>
    <w:rsid w:val="00CD1F64"/>
    <w:rsid w:val="00CD35B2"/>
    <w:rsid w:val="00CD4244"/>
    <w:rsid w:val="00CD5A68"/>
    <w:rsid w:val="00CD5BD3"/>
    <w:rsid w:val="00CE026B"/>
    <w:rsid w:val="00CE2851"/>
    <w:rsid w:val="00CE36B3"/>
    <w:rsid w:val="00CE3BD2"/>
    <w:rsid w:val="00CE3FAB"/>
    <w:rsid w:val="00CE404E"/>
    <w:rsid w:val="00CE7BD0"/>
    <w:rsid w:val="00CF10A9"/>
    <w:rsid w:val="00CF593B"/>
    <w:rsid w:val="00CF62F9"/>
    <w:rsid w:val="00D000AA"/>
    <w:rsid w:val="00D00AFB"/>
    <w:rsid w:val="00D01632"/>
    <w:rsid w:val="00D0343F"/>
    <w:rsid w:val="00D0388F"/>
    <w:rsid w:val="00D03F68"/>
    <w:rsid w:val="00D0497A"/>
    <w:rsid w:val="00D051E4"/>
    <w:rsid w:val="00D057EA"/>
    <w:rsid w:val="00D05CFD"/>
    <w:rsid w:val="00D10311"/>
    <w:rsid w:val="00D13025"/>
    <w:rsid w:val="00D147C9"/>
    <w:rsid w:val="00D15F9A"/>
    <w:rsid w:val="00D15FA3"/>
    <w:rsid w:val="00D16426"/>
    <w:rsid w:val="00D20874"/>
    <w:rsid w:val="00D22EF2"/>
    <w:rsid w:val="00D24533"/>
    <w:rsid w:val="00D26003"/>
    <w:rsid w:val="00D3315D"/>
    <w:rsid w:val="00D35B56"/>
    <w:rsid w:val="00D372B7"/>
    <w:rsid w:val="00D40703"/>
    <w:rsid w:val="00D41B26"/>
    <w:rsid w:val="00D4337A"/>
    <w:rsid w:val="00D43B97"/>
    <w:rsid w:val="00D47400"/>
    <w:rsid w:val="00D5189F"/>
    <w:rsid w:val="00D52216"/>
    <w:rsid w:val="00D5293C"/>
    <w:rsid w:val="00D52BC7"/>
    <w:rsid w:val="00D55BDF"/>
    <w:rsid w:val="00D563A2"/>
    <w:rsid w:val="00D56DF6"/>
    <w:rsid w:val="00D620A8"/>
    <w:rsid w:val="00D62343"/>
    <w:rsid w:val="00D62811"/>
    <w:rsid w:val="00D62CA9"/>
    <w:rsid w:val="00D650B4"/>
    <w:rsid w:val="00D6666A"/>
    <w:rsid w:val="00D67085"/>
    <w:rsid w:val="00D675E3"/>
    <w:rsid w:val="00D67737"/>
    <w:rsid w:val="00D714F4"/>
    <w:rsid w:val="00D72AF0"/>
    <w:rsid w:val="00D73F4F"/>
    <w:rsid w:val="00D74591"/>
    <w:rsid w:val="00D757A5"/>
    <w:rsid w:val="00D75980"/>
    <w:rsid w:val="00D807A6"/>
    <w:rsid w:val="00D8096D"/>
    <w:rsid w:val="00D80DEF"/>
    <w:rsid w:val="00D80EB1"/>
    <w:rsid w:val="00D81AA5"/>
    <w:rsid w:val="00D8241C"/>
    <w:rsid w:val="00D864CE"/>
    <w:rsid w:val="00D871F1"/>
    <w:rsid w:val="00D91405"/>
    <w:rsid w:val="00D92152"/>
    <w:rsid w:val="00D933AD"/>
    <w:rsid w:val="00D93B7F"/>
    <w:rsid w:val="00D957CC"/>
    <w:rsid w:val="00DA0C37"/>
    <w:rsid w:val="00DA2D4A"/>
    <w:rsid w:val="00DA3C4D"/>
    <w:rsid w:val="00DA49C0"/>
    <w:rsid w:val="00DB202A"/>
    <w:rsid w:val="00DB27B7"/>
    <w:rsid w:val="00DB4051"/>
    <w:rsid w:val="00DB526A"/>
    <w:rsid w:val="00DB7436"/>
    <w:rsid w:val="00DB7EFC"/>
    <w:rsid w:val="00DC2B47"/>
    <w:rsid w:val="00DC5E52"/>
    <w:rsid w:val="00DC6425"/>
    <w:rsid w:val="00DD0025"/>
    <w:rsid w:val="00DD00B7"/>
    <w:rsid w:val="00DD0361"/>
    <w:rsid w:val="00DD1183"/>
    <w:rsid w:val="00DD13C2"/>
    <w:rsid w:val="00DD2EA9"/>
    <w:rsid w:val="00DE418C"/>
    <w:rsid w:val="00DE545C"/>
    <w:rsid w:val="00DE5662"/>
    <w:rsid w:val="00DE5680"/>
    <w:rsid w:val="00DE6548"/>
    <w:rsid w:val="00DE73E5"/>
    <w:rsid w:val="00DF0E3F"/>
    <w:rsid w:val="00DF1317"/>
    <w:rsid w:val="00DF27A6"/>
    <w:rsid w:val="00DF2EF9"/>
    <w:rsid w:val="00DF4074"/>
    <w:rsid w:val="00DF58AB"/>
    <w:rsid w:val="00DF6220"/>
    <w:rsid w:val="00DF6C06"/>
    <w:rsid w:val="00E00239"/>
    <w:rsid w:val="00E00E2D"/>
    <w:rsid w:val="00E03FC4"/>
    <w:rsid w:val="00E06114"/>
    <w:rsid w:val="00E079C6"/>
    <w:rsid w:val="00E1013A"/>
    <w:rsid w:val="00E10AB9"/>
    <w:rsid w:val="00E11477"/>
    <w:rsid w:val="00E12FA6"/>
    <w:rsid w:val="00E14930"/>
    <w:rsid w:val="00E16BD0"/>
    <w:rsid w:val="00E16C52"/>
    <w:rsid w:val="00E16CEA"/>
    <w:rsid w:val="00E215A7"/>
    <w:rsid w:val="00E21F12"/>
    <w:rsid w:val="00E23012"/>
    <w:rsid w:val="00E23B5A"/>
    <w:rsid w:val="00E24716"/>
    <w:rsid w:val="00E24AE7"/>
    <w:rsid w:val="00E25099"/>
    <w:rsid w:val="00E250AE"/>
    <w:rsid w:val="00E259B1"/>
    <w:rsid w:val="00E25C2E"/>
    <w:rsid w:val="00E25D8D"/>
    <w:rsid w:val="00E26721"/>
    <w:rsid w:val="00E35AAD"/>
    <w:rsid w:val="00E41D05"/>
    <w:rsid w:val="00E4385F"/>
    <w:rsid w:val="00E446F5"/>
    <w:rsid w:val="00E45BF8"/>
    <w:rsid w:val="00E46907"/>
    <w:rsid w:val="00E46F6A"/>
    <w:rsid w:val="00E5000B"/>
    <w:rsid w:val="00E51335"/>
    <w:rsid w:val="00E5215E"/>
    <w:rsid w:val="00E5442C"/>
    <w:rsid w:val="00E54921"/>
    <w:rsid w:val="00E557DA"/>
    <w:rsid w:val="00E55FCE"/>
    <w:rsid w:val="00E56D87"/>
    <w:rsid w:val="00E64018"/>
    <w:rsid w:val="00E652AF"/>
    <w:rsid w:val="00E66371"/>
    <w:rsid w:val="00E66605"/>
    <w:rsid w:val="00E678BA"/>
    <w:rsid w:val="00E74A77"/>
    <w:rsid w:val="00E74DE3"/>
    <w:rsid w:val="00E803C6"/>
    <w:rsid w:val="00E83AF3"/>
    <w:rsid w:val="00E85AF4"/>
    <w:rsid w:val="00E86FEF"/>
    <w:rsid w:val="00E900BB"/>
    <w:rsid w:val="00E9170A"/>
    <w:rsid w:val="00E92997"/>
    <w:rsid w:val="00E9321E"/>
    <w:rsid w:val="00E93486"/>
    <w:rsid w:val="00E96234"/>
    <w:rsid w:val="00EA196D"/>
    <w:rsid w:val="00EA3F46"/>
    <w:rsid w:val="00EA67C0"/>
    <w:rsid w:val="00EB2835"/>
    <w:rsid w:val="00EB35DC"/>
    <w:rsid w:val="00EB38DA"/>
    <w:rsid w:val="00EB4495"/>
    <w:rsid w:val="00EB6384"/>
    <w:rsid w:val="00EB66A9"/>
    <w:rsid w:val="00EC151A"/>
    <w:rsid w:val="00EC4E5B"/>
    <w:rsid w:val="00EC7B7C"/>
    <w:rsid w:val="00ED04EC"/>
    <w:rsid w:val="00ED088F"/>
    <w:rsid w:val="00ED2E8A"/>
    <w:rsid w:val="00ED4465"/>
    <w:rsid w:val="00ED45F7"/>
    <w:rsid w:val="00ED4D6D"/>
    <w:rsid w:val="00ED6BFF"/>
    <w:rsid w:val="00ED7097"/>
    <w:rsid w:val="00ED7BDC"/>
    <w:rsid w:val="00ED7EFC"/>
    <w:rsid w:val="00EE36C2"/>
    <w:rsid w:val="00EE419A"/>
    <w:rsid w:val="00EE5381"/>
    <w:rsid w:val="00EE58CA"/>
    <w:rsid w:val="00EE686C"/>
    <w:rsid w:val="00EE6DE7"/>
    <w:rsid w:val="00EE736F"/>
    <w:rsid w:val="00EE7DFF"/>
    <w:rsid w:val="00EF0357"/>
    <w:rsid w:val="00EF3118"/>
    <w:rsid w:val="00EF498E"/>
    <w:rsid w:val="00EF5214"/>
    <w:rsid w:val="00EF7219"/>
    <w:rsid w:val="00F016B0"/>
    <w:rsid w:val="00F02C4D"/>
    <w:rsid w:val="00F03A8B"/>
    <w:rsid w:val="00F049CE"/>
    <w:rsid w:val="00F05325"/>
    <w:rsid w:val="00F06621"/>
    <w:rsid w:val="00F06D54"/>
    <w:rsid w:val="00F072D7"/>
    <w:rsid w:val="00F07E5F"/>
    <w:rsid w:val="00F10653"/>
    <w:rsid w:val="00F108E1"/>
    <w:rsid w:val="00F109B2"/>
    <w:rsid w:val="00F1358B"/>
    <w:rsid w:val="00F15EBA"/>
    <w:rsid w:val="00F167F8"/>
    <w:rsid w:val="00F21488"/>
    <w:rsid w:val="00F24967"/>
    <w:rsid w:val="00F24BB5"/>
    <w:rsid w:val="00F24E80"/>
    <w:rsid w:val="00F256D3"/>
    <w:rsid w:val="00F266E6"/>
    <w:rsid w:val="00F272D6"/>
    <w:rsid w:val="00F31500"/>
    <w:rsid w:val="00F31DCB"/>
    <w:rsid w:val="00F32C85"/>
    <w:rsid w:val="00F36632"/>
    <w:rsid w:val="00F36804"/>
    <w:rsid w:val="00F3742D"/>
    <w:rsid w:val="00F378E0"/>
    <w:rsid w:val="00F4073C"/>
    <w:rsid w:val="00F42304"/>
    <w:rsid w:val="00F4287D"/>
    <w:rsid w:val="00F4427C"/>
    <w:rsid w:val="00F46093"/>
    <w:rsid w:val="00F4698B"/>
    <w:rsid w:val="00F51123"/>
    <w:rsid w:val="00F54BBB"/>
    <w:rsid w:val="00F565AE"/>
    <w:rsid w:val="00F60089"/>
    <w:rsid w:val="00F65A9B"/>
    <w:rsid w:val="00F65B44"/>
    <w:rsid w:val="00F66CA4"/>
    <w:rsid w:val="00F72C19"/>
    <w:rsid w:val="00F73B09"/>
    <w:rsid w:val="00F73D7A"/>
    <w:rsid w:val="00F77652"/>
    <w:rsid w:val="00F80A55"/>
    <w:rsid w:val="00F829F1"/>
    <w:rsid w:val="00F82B9C"/>
    <w:rsid w:val="00F843DE"/>
    <w:rsid w:val="00F8689D"/>
    <w:rsid w:val="00F873BF"/>
    <w:rsid w:val="00F87B46"/>
    <w:rsid w:val="00F90B6B"/>
    <w:rsid w:val="00F91EB7"/>
    <w:rsid w:val="00F926CF"/>
    <w:rsid w:val="00F940A4"/>
    <w:rsid w:val="00F960B4"/>
    <w:rsid w:val="00F9755C"/>
    <w:rsid w:val="00F97751"/>
    <w:rsid w:val="00FA0D0B"/>
    <w:rsid w:val="00FA0F42"/>
    <w:rsid w:val="00FA1BDE"/>
    <w:rsid w:val="00FA4CB5"/>
    <w:rsid w:val="00FA5744"/>
    <w:rsid w:val="00FA6104"/>
    <w:rsid w:val="00FA6EC5"/>
    <w:rsid w:val="00FB31A3"/>
    <w:rsid w:val="00FB41BD"/>
    <w:rsid w:val="00FB4A40"/>
    <w:rsid w:val="00FB4A73"/>
    <w:rsid w:val="00FB6B1B"/>
    <w:rsid w:val="00FB7D75"/>
    <w:rsid w:val="00FC0028"/>
    <w:rsid w:val="00FC26ED"/>
    <w:rsid w:val="00FC30E9"/>
    <w:rsid w:val="00FC57C8"/>
    <w:rsid w:val="00FC6860"/>
    <w:rsid w:val="00FC6931"/>
    <w:rsid w:val="00FC6C22"/>
    <w:rsid w:val="00FC7E84"/>
    <w:rsid w:val="00FD01FF"/>
    <w:rsid w:val="00FD0B3E"/>
    <w:rsid w:val="00FD556B"/>
    <w:rsid w:val="00FD5E9E"/>
    <w:rsid w:val="00FD6D96"/>
    <w:rsid w:val="00FE01C2"/>
    <w:rsid w:val="00FE3225"/>
    <w:rsid w:val="00FE3D21"/>
    <w:rsid w:val="00FE4659"/>
    <w:rsid w:val="00FE6642"/>
    <w:rsid w:val="00FE6664"/>
    <w:rsid w:val="00FE6808"/>
    <w:rsid w:val="00FF0306"/>
    <w:rsid w:val="00FF0568"/>
    <w:rsid w:val="00FF57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country-region"/>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martTagType w:namespaceuri="urn:schemas-microsoft-com:office:smarttags" w:name="date"/>
  <w:shapeDefaults>
    <o:shapedefaults v:ext="edit" spidmax="2050"/>
    <o:shapelayout v:ext="edit">
      <o:idmap v:ext="edit" data="2"/>
    </o:shapelayout>
  </w:shapeDefaults>
  <w:decimalSymbol w:val="."/>
  <w:listSeparator w:val=","/>
  <w14:docId w14:val="373A9D44"/>
  <w15:chartTrackingRefBased/>
  <w15:docId w15:val="{1297426D-6005-465C-92E6-60DB2303D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annotation text"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qFormat/>
    <w:pPr>
      <w:widowControl w:val="0"/>
      <w:numPr>
        <w:numId w:val="3"/>
      </w:numPr>
      <w:tabs>
        <w:tab w:val="clear" w:pos="360"/>
        <w:tab w:val="left" w:pos="1440"/>
      </w:tabs>
      <w:spacing w:before="240" w:line="480" w:lineRule="atLeast"/>
      <w:ind w:left="720" w:hanging="720"/>
      <w:jc w:val="both"/>
      <w:outlineLvl w:val="0"/>
    </w:pPr>
    <w:rPr>
      <w:rFonts w:ascii="Book Antiqua" w:hAnsi="Book Antiqua"/>
      <w:kern w:val="28"/>
      <w:szCs w:val="20"/>
    </w:rPr>
  </w:style>
  <w:style w:type="paragraph" w:styleId="Heading2">
    <w:name w:val="heading 2"/>
    <w:basedOn w:val="Normal"/>
    <w:link w:val="Heading2Char"/>
    <w:qFormat/>
    <w:pPr>
      <w:widowControl w:val="0"/>
      <w:spacing w:line="480" w:lineRule="atLeast"/>
      <w:jc w:val="both"/>
      <w:outlineLvl w:val="1"/>
    </w:pPr>
    <w:rPr>
      <w:rFonts w:ascii="Book Antiqua" w:hAnsi="Book Antiqua"/>
      <w:kern w:val="28"/>
      <w:szCs w:val="20"/>
      <w:lang w:val="en-GB"/>
    </w:rPr>
  </w:style>
  <w:style w:type="paragraph" w:styleId="Heading3">
    <w:name w:val="heading 3"/>
    <w:basedOn w:val="Normal"/>
    <w:qFormat/>
    <w:pPr>
      <w:widowControl w:val="0"/>
      <w:spacing w:line="480" w:lineRule="atLeast"/>
      <w:jc w:val="both"/>
      <w:outlineLvl w:val="2"/>
    </w:pPr>
    <w:rPr>
      <w:rFonts w:ascii="Book Antiqua" w:hAnsi="Book Antiqua"/>
      <w:kern w:val="28"/>
      <w:szCs w:val="20"/>
      <w:lang w:val="en-GB"/>
    </w:rPr>
  </w:style>
  <w:style w:type="paragraph" w:styleId="Heading4">
    <w:name w:val="heading 4"/>
    <w:basedOn w:val="Normal"/>
    <w:next w:val="Normal"/>
    <w:link w:val="Heading4Char"/>
    <w:semiHidden/>
    <w:unhideWhenUsed/>
    <w:qFormat/>
    <w:rsid w:val="001F5D5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9">
    <w:name w:val="heading 9"/>
    <w:basedOn w:val="Normal"/>
    <w:next w:val="Normal"/>
    <w:qFormat/>
    <w:pPr>
      <w:keepNext/>
      <w:jc w:val="center"/>
      <w:outlineLvl w:val="8"/>
    </w:pPr>
    <w:rPr>
      <w:b/>
      <w:i/>
      <w:color w:val="000080"/>
      <w:sz w:val="7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Hyperlink">
    <w:name w:val="Hyperlink"/>
    <w:rPr>
      <w:color w:val="0000FF"/>
      <w:u w:val="single"/>
    </w:rPr>
  </w:style>
  <w:style w:type="paragraph" w:styleId="CommentText">
    <w:name w:val="annotation text"/>
    <w:basedOn w:val="Normal"/>
    <w:link w:val="CommentTextChar"/>
    <w:uiPriority w:val="99"/>
    <w:rPr>
      <w:sz w:val="20"/>
      <w:szCs w:val="20"/>
    </w:rPr>
  </w:style>
  <w:style w:type="paragraph" w:customStyle="1" w:styleId="Normal-Cover">
    <w:name w:val="Normal-Cover"/>
    <w:basedOn w:val="Normal"/>
    <w:pPr>
      <w:widowControl w:val="0"/>
    </w:pPr>
    <w:rPr>
      <w:rFonts w:ascii="Book Antiqua" w:hAnsi="Book Antiqua"/>
      <w:szCs w:val="20"/>
    </w:rPr>
  </w:style>
  <w:style w:type="paragraph" w:styleId="FootnoteText">
    <w:name w:val="footnote text"/>
    <w:basedOn w:val="Normal"/>
    <w:link w:val="FootnoteTextChar"/>
    <w:semiHidden/>
    <w:pPr>
      <w:widowControl w:val="0"/>
      <w:spacing w:before="120"/>
      <w:ind w:left="1440" w:hanging="720"/>
      <w:jc w:val="both"/>
    </w:pPr>
    <w:rPr>
      <w:rFonts w:ascii="Book Antiqua" w:hAnsi="Book Antiqua"/>
      <w:sz w:val="20"/>
      <w:szCs w:val="20"/>
    </w:rPr>
  </w:style>
  <w:style w:type="character" w:styleId="FootnoteReference">
    <w:name w:val="footnote reference"/>
    <w:semiHidden/>
    <w:rPr>
      <w:vertAlign w:val="superscript"/>
    </w:rPr>
  </w:style>
  <w:style w:type="paragraph" w:customStyle="1" w:styleId="Footer-Web">
    <w:name w:val="Footer-Web"/>
    <w:basedOn w:val="Footer"/>
    <w:pPr>
      <w:widowControl w:val="0"/>
      <w:tabs>
        <w:tab w:val="clear" w:pos="4153"/>
        <w:tab w:val="clear" w:pos="8306"/>
        <w:tab w:val="center" w:pos="4896"/>
        <w:tab w:val="right" w:pos="9792"/>
      </w:tabs>
    </w:pPr>
    <w:rPr>
      <w:rFonts w:ascii="Book Antiqua" w:hAnsi="Book Antiqua"/>
      <w:sz w:val="18"/>
      <w:szCs w:val="20"/>
    </w:rPr>
  </w:style>
  <w:style w:type="paragraph" w:customStyle="1" w:styleId="NormalWeb1">
    <w:name w:val="Normal (Web)1"/>
    <w:basedOn w:val="Normal"/>
    <w:rsid w:val="00584986"/>
    <w:pPr>
      <w:spacing w:before="240" w:after="240" w:line="336" w:lineRule="auto"/>
    </w:pPr>
    <w:rPr>
      <w:lang w:eastAsia="en-AU"/>
    </w:rPr>
  </w:style>
  <w:style w:type="character" w:customStyle="1" w:styleId="byline1">
    <w:name w:val="byline1"/>
    <w:rsid w:val="00584986"/>
    <w:rPr>
      <w:rFonts w:ascii="Verdana" w:hAnsi="Verdana" w:hint="default"/>
      <w:b w:val="0"/>
      <w:bCs w:val="0"/>
      <w:color w:val="666666"/>
      <w:sz w:val="19"/>
      <w:szCs w:val="19"/>
    </w:rPr>
  </w:style>
  <w:style w:type="paragraph" w:customStyle="1" w:styleId="Quote1">
    <w:name w:val="Quote1"/>
    <w:basedOn w:val="Normal"/>
    <w:rsid w:val="00C53B12"/>
    <w:pPr>
      <w:widowControl w:val="0"/>
      <w:spacing w:before="240"/>
      <w:ind w:left="1440" w:right="720"/>
      <w:jc w:val="both"/>
    </w:pPr>
    <w:rPr>
      <w:rFonts w:ascii="Book Antiqua" w:hAnsi="Book Antiqua"/>
      <w:sz w:val="22"/>
      <w:szCs w:val="20"/>
    </w:rPr>
  </w:style>
  <w:style w:type="paragraph" w:customStyle="1" w:styleId="Catchwords">
    <w:name w:val="Catchwords"/>
    <w:basedOn w:val="Normal"/>
    <w:rsid w:val="008D3F79"/>
    <w:pPr>
      <w:widowControl w:val="0"/>
      <w:jc w:val="both"/>
    </w:pPr>
    <w:rPr>
      <w:rFonts w:ascii="Book Antiqua" w:hAnsi="Book Antiqua"/>
      <w:szCs w:val="20"/>
    </w:rPr>
  </w:style>
  <w:style w:type="table" w:styleId="TableGrid">
    <w:name w:val="Table Grid"/>
    <w:basedOn w:val="TableNormal"/>
    <w:rsid w:val="00CD1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5082E"/>
    <w:rPr>
      <w:b/>
      <w:bCs/>
    </w:rPr>
  </w:style>
  <w:style w:type="paragraph" w:customStyle="1" w:styleId="BodySectionSub">
    <w:name w:val="Body Section (Sub)"/>
    <w:next w:val="Normal"/>
    <w:link w:val="BodySectionSubChar"/>
    <w:rsid w:val="00FE6808"/>
    <w:pPr>
      <w:overflowPunct w:val="0"/>
      <w:autoSpaceDE w:val="0"/>
      <w:autoSpaceDN w:val="0"/>
      <w:adjustRightInd w:val="0"/>
      <w:spacing w:before="120"/>
      <w:ind w:left="1361"/>
      <w:textAlignment w:val="baseline"/>
    </w:pPr>
    <w:rPr>
      <w:sz w:val="24"/>
      <w:lang w:eastAsia="en-US"/>
    </w:rPr>
  </w:style>
  <w:style w:type="paragraph" w:customStyle="1" w:styleId="DraftHeading3">
    <w:name w:val="Draft Heading 3"/>
    <w:basedOn w:val="Normal"/>
    <w:next w:val="Normal"/>
    <w:rsid w:val="00FE6808"/>
    <w:pPr>
      <w:overflowPunct w:val="0"/>
      <w:autoSpaceDE w:val="0"/>
      <w:autoSpaceDN w:val="0"/>
      <w:adjustRightInd w:val="0"/>
      <w:spacing w:before="120"/>
      <w:textAlignment w:val="baseline"/>
    </w:pPr>
    <w:rPr>
      <w:szCs w:val="20"/>
    </w:rPr>
  </w:style>
  <w:style w:type="paragraph" w:customStyle="1" w:styleId="DraftHeading4">
    <w:name w:val="Draft Heading 4"/>
    <w:basedOn w:val="Normal"/>
    <w:next w:val="Normal"/>
    <w:link w:val="DraftHeading4Char"/>
    <w:rsid w:val="00FE6808"/>
    <w:pPr>
      <w:overflowPunct w:val="0"/>
      <w:autoSpaceDE w:val="0"/>
      <w:autoSpaceDN w:val="0"/>
      <w:adjustRightInd w:val="0"/>
      <w:spacing w:before="120"/>
      <w:textAlignment w:val="baseline"/>
    </w:pPr>
    <w:rPr>
      <w:szCs w:val="20"/>
    </w:rPr>
  </w:style>
  <w:style w:type="paragraph" w:customStyle="1" w:styleId="Normal-Indent">
    <w:name w:val="Normal - Indent"/>
    <w:basedOn w:val="Normal"/>
    <w:rsid w:val="006E0E0C"/>
    <w:pPr>
      <w:widowControl w:val="0"/>
      <w:spacing w:after="240" w:line="480" w:lineRule="atLeast"/>
      <w:ind w:left="720"/>
      <w:jc w:val="both"/>
    </w:pPr>
    <w:rPr>
      <w:rFonts w:ascii="Book Antiqua" w:hAnsi="Book Antiqua"/>
      <w:szCs w:val="20"/>
    </w:rPr>
  </w:style>
  <w:style w:type="character" w:customStyle="1" w:styleId="FootnoteTextChar">
    <w:name w:val="Footnote Text Char"/>
    <w:link w:val="FootnoteText"/>
    <w:semiHidden/>
    <w:rsid w:val="006E0E0C"/>
    <w:rPr>
      <w:rFonts w:ascii="Book Antiqua" w:hAnsi="Book Antiqua"/>
      <w:lang w:val="en-AU" w:eastAsia="en-US" w:bidi="ar-SA"/>
    </w:rPr>
  </w:style>
  <w:style w:type="character" w:customStyle="1" w:styleId="footnotedescriptionChar">
    <w:name w:val="footnote description Char"/>
    <w:link w:val="footnotedescription"/>
    <w:locked/>
    <w:rsid w:val="00E11477"/>
    <w:rPr>
      <w:rFonts w:ascii="Book Antiqua" w:eastAsia="Book Antiqua" w:hAnsi="Book Antiqua" w:cs="Book Antiqua"/>
      <w:color w:val="000000"/>
    </w:rPr>
  </w:style>
  <w:style w:type="paragraph" w:customStyle="1" w:styleId="footnotedescription">
    <w:name w:val="footnote description"/>
    <w:next w:val="Normal"/>
    <w:link w:val="footnotedescriptionChar"/>
    <w:rsid w:val="00E11477"/>
    <w:pPr>
      <w:spacing w:line="256" w:lineRule="auto"/>
    </w:pPr>
    <w:rPr>
      <w:rFonts w:ascii="Book Antiqua" w:eastAsia="Book Antiqua" w:hAnsi="Book Antiqua" w:cs="Book Antiqua"/>
      <w:color w:val="000000"/>
    </w:rPr>
  </w:style>
  <w:style w:type="character" w:customStyle="1" w:styleId="footnotemark">
    <w:name w:val="footnote mark"/>
    <w:rsid w:val="00E11477"/>
    <w:rPr>
      <w:rFonts w:ascii="Book Antiqua" w:eastAsia="Book Antiqua" w:hAnsi="Book Antiqua" w:cs="Book Antiqua" w:hint="default"/>
      <w:color w:val="000000"/>
      <w:sz w:val="20"/>
      <w:vertAlign w:val="superscript"/>
    </w:rPr>
  </w:style>
  <w:style w:type="table" w:customStyle="1" w:styleId="TableGrid0">
    <w:name w:val="TableGrid"/>
    <w:rsid w:val="00A21C16"/>
    <w:rPr>
      <w:rFonts w:ascii="Calibri" w:hAnsi="Calibri"/>
      <w:sz w:val="22"/>
      <w:szCs w:val="22"/>
    </w:rPr>
    <w:tblPr>
      <w:tblCellMar>
        <w:top w:w="0" w:type="dxa"/>
        <w:left w:w="0" w:type="dxa"/>
        <w:bottom w:w="0" w:type="dxa"/>
        <w:right w:w="0" w:type="dxa"/>
      </w:tblCellMar>
    </w:tblPr>
  </w:style>
  <w:style w:type="character" w:styleId="UnresolvedMention">
    <w:name w:val="Unresolved Mention"/>
    <w:uiPriority w:val="99"/>
    <w:semiHidden/>
    <w:unhideWhenUsed/>
    <w:rsid w:val="00A21C16"/>
    <w:rPr>
      <w:color w:val="605E5C"/>
      <w:shd w:val="clear" w:color="auto" w:fill="E1DFDD"/>
    </w:rPr>
  </w:style>
  <w:style w:type="character" w:styleId="FollowedHyperlink">
    <w:name w:val="FollowedHyperlink"/>
    <w:rsid w:val="00A21C16"/>
    <w:rPr>
      <w:color w:val="954F72"/>
      <w:u w:val="single"/>
    </w:rPr>
  </w:style>
  <w:style w:type="paragraph" w:styleId="ListParagraph">
    <w:name w:val="List Paragraph"/>
    <w:aliases w:val="Bullet,List Paragraph1,List Paragraph11,Bullet point,L,Recommendation,DDM Gen Text,List Paragraph - bullets,NFP GP Bulleted List,bullet point list,Bullet points,Content descriptions,Bullet Point,Number,List Paragraph111,F5 List Paragraph"/>
    <w:basedOn w:val="Normal"/>
    <w:link w:val="ListParagraphChar"/>
    <w:uiPriority w:val="34"/>
    <w:qFormat/>
    <w:rsid w:val="00780597"/>
    <w:pPr>
      <w:ind w:left="720"/>
    </w:pPr>
    <w:rPr>
      <w:szCs w:val="20"/>
    </w:rPr>
  </w:style>
  <w:style w:type="character" w:customStyle="1" w:styleId="Heading2Char">
    <w:name w:val="Heading 2 Char"/>
    <w:link w:val="Heading2"/>
    <w:rsid w:val="000D7DAB"/>
    <w:rPr>
      <w:rFonts w:ascii="Book Antiqua" w:hAnsi="Book Antiqua"/>
      <w:kern w:val="28"/>
      <w:sz w:val="24"/>
      <w:lang w:val="en-GB" w:eastAsia="en-US"/>
    </w:rPr>
  </w:style>
  <w:style w:type="paragraph" w:styleId="BalloonText">
    <w:name w:val="Balloon Text"/>
    <w:basedOn w:val="Normal"/>
    <w:link w:val="BalloonTextChar"/>
    <w:rsid w:val="00591597"/>
    <w:rPr>
      <w:rFonts w:ascii="Segoe UI" w:hAnsi="Segoe UI" w:cs="Segoe UI"/>
      <w:sz w:val="18"/>
      <w:szCs w:val="18"/>
    </w:rPr>
  </w:style>
  <w:style w:type="character" w:customStyle="1" w:styleId="BalloonTextChar">
    <w:name w:val="Balloon Text Char"/>
    <w:basedOn w:val="DefaultParagraphFont"/>
    <w:link w:val="BalloonText"/>
    <w:rsid w:val="00591597"/>
    <w:rPr>
      <w:rFonts w:ascii="Segoe UI" w:hAnsi="Segoe UI" w:cs="Segoe UI"/>
      <w:sz w:val="18"/>
      <w:szCs w:val="18"/>
      <w:lang w:eastAsia="en-US"/>
    </w:rPr>
  </w:style>
  <w:style w:type="paragraph" w:styleId="NormalWeb">
    <w:name w:val="Normal (Web)"/>
    <w:basedOn w:val="Normal"/>
    <w:uiPriority w:val="99"/>
    <w:unhideWhenUsed/>
    <w:rsid w:val="00C0003A"/>
    <w:pPr>
      <w:spacing w:before="100" w:beforeAutospacing="1" w:after="100" w:afterAutospacing="1"/>
    </w:pPr>
    <w:rPr>
      <w:lang w:eastAsia="en-AU"/>
    </w:rPr>
  </w:style>
  <w:style w:type="character" w:styleId="CommentReference">
    <w:name w:val="annotation reference"/>
    <w:basedOn w:val="DefaultParagraphFont"/>
    <w:rsid w:val="00464CB4"/>
    <w:rPr>
      <w:sz w:val="16"/>
      <w:szCs w:val="16"/>
    </w:rPr>
  </w:style>
  <w:style w:type="paragraph" w:styleId="CommentSubject">
    <w:name w:val="annotation subject"/>
    <w:basedOn w:val="CommentText"/>
    <w:next w:val="CommentText"/>
    <w:link w:val="CommentSubjectChar"/>
    <w:rsid w:val="00464CB4"/>
    <w:rPr>
      <w:b/>
      <w:bCs/>
    </w:rPr>
  </w:style>
  <w:style w:type="character" w:customStyle="1" w:styleId="CommentTextChar">
    <w:name w:val="Comment Text Char"/>
    <w:basedOn w:val="DefaultParagraphFont"/>
    <w:link w:val="CommentText"/>
    <w:uiPriority w:val="99"/>
    <w:rsid w:val="00464CB4"/>
    <w:rPr>
      <w:lang w:eastAsia="en-US"/>
    </w:rPr>
  </w:style>
  <w:style w:type="character" w:customStyle="1" w:styleId="CommentSubjectChar">
    <w:name w:val="Comment Subject Char"/>
    <w:basedOn w:val="CommentTextChar"/>
    <w:link w:val="CommentSubject"/>
    <w:rsid w:val="00464CB4"/>
    <w:rPr>
      <w:b/>
      <w:bCs/>
      <w:lang w:eastAsia="en-US"/>
    </w:rPr>
  </w:style>
  <w:style w:type="character" w:customStyle="1" w:styleId="popup-wrap">
    <w:name w:val="popup-wrap"/>
    <w:basedOn w:val="DefaultParagraphFont"/>
    <w:rsid w:val="00BD4B32"/>
  </w:style>
  <w:style w:type="paragraph" w:customStyle="1" w:styleId="BodySection">
    <w:name w:val="Body Section"/>
    <w:next w:val="Normal"/>
    <w:rsid w:val="00BD4B32"/>
    <w:pPr>
      <w:overflowPunct w:val="0"/>
      <w:autoSpaceDE w:val="0"/>
      <w:autoSpaceDN w:val="0"/>
      <w:adjustRightInd w:val="0"/>
      <w:spacing w:before="120"/>
      <w:ind w:left="1361"/>
      <w:textAlignment w:val="baseline"/>
    </w:pPr>
    <w:rPr>
      <w:sz w:val="24"/>
      <w:lang w:eastAsia="en-US"/>
    </w:rPr>
  </w:style>
  <w:style w:type="paragraph" w:customStyle="1" w:styleId="DraftHeading1">
    <w:name w:val="Draft Heading 1"/>
    <w:basedOn w:val="Normal"/>
    <w:link w:val="DraftHeading1Char"/>
    <w:rsid w:val="00064AF0"/>
    <w:pPr>
      <w:overflowPunct w:val="0"/>
      <w:autoSpaceDE w:val="0"/>
      <w:autoSpaceDN w:val="0"/>
      <w:spacing w:before="120"/>
    </w:pPr>
    <w:rPr>
      <w:rFonts w:eastAsiaTheme="minorHAnsi"/>
      <w:b/>
      <w:bCs/>
    </w:rPr>
  </w:style>
  <w:style w:type="paragraph" w:customStyle="1" w:styleId="DraftHeading2">
    <w:name w:val="Draft Heading 2"/>
    <w:basedOn w:val="Normal"/>
    <w:link w:val="DraftHeading2Char"/>
    <w:rsid w:val="00064AF0"/>
    <w:pPr>
      <w:overflowPunct w:val="0"/>
      <w:autoSpaceDE w:val="0"/>
      <w:autoSpaceDN w:val="0"/>
      <w:spacing w:before="120"/>
    </w:pPr>
    <w:rPr>
      <w:rFonts w:eastAsiaTheme="minorHAnsi"/>
    </w:rPr>
  </w:style>
  <w:style w:type="paragraph" w:customStyle="1" w:styleId="SideNote">
    <w:name w:val="Side Note"/>
    <w:basedOn w:val="Normal"/>
    <w:rsid w:val="00064AF0"/>
    <w:pPr>
      <w:framePr w:w="964" w:h="340" w:hSpace="180" w:vSpace="180" w:wrap="around" w:vAnchor="text" w:hAnchor="page" w:xAlign="outside" w:y="1"/>
      <w:overflowPunct w:val="0"/>
      <w:autoSpaceDE w:val="0"/>
      <w:autoSpaceDN w:val="0"/>
      <w:spacing w:before="120"/>
    </w:pPr>
    <w:rPr>
      <w:rFonts w:ascii="Arial" w:eastAsiaTheme="minorHAnsi" w:hAnsi="Arial" w:cs="Arial"/>
      <w:b/>
      <w:bCs/>
      <w:spacing w:val="-10"/>
      <w:sz w:val="16"/>
      <w:szCs w:val="16"/>
    </w:rPr>
  </w:style>
  <w:style w:type="paragraph" w:customStyle="1" w:styleId="DraftPenalty2">
    <w:name w:val="Draft Penalty 2"/>
    <w:basedOn w:val="Normal"/>
    <w:rsid w:val="00064AF0"/>
    <w:pPr>
      <w:overflowPunct w:val="0"/>
      <w:autoSpaceDE w:val="0"/>
      <w:autoSpaceDN w:val="0"/>
      <w:spacing w:before="120"/>
      <w:ind w:left="2382" w:hanging="1021"/>
    </w:pPr>
    <w:rPr>
      <w:rFonts w:eastAsiaTheme="minorHAnsi"/>
    </w:rPr>
  </w:style>
  <w:style w:type="paragraph" w:customStyle="1" w:styleId="DraftSub-sectionEg">
    <w:name w:val="Draft Sub-section Eg"/>
    <w:basedOn w:val="Normal"/>
    <w:rsid w:val="00064AF0"/>
    <w:pPr>
      <w:spacing w:before="120"/>
      <w:ind w:left="1361"/>
    </w:pPr>
    <w:rPr>
      <w:rFonts w:eastAsiaTheme="minorHAnsi"/>
      <w:sz w:val="20"/>
      <w:szCs w:val="20"/>
    </w:rPr>
  </w:style>
  <w:style w:type="paragraph" w:customStyle="1" w:styleId="xmsonormal">
    <w:name w:val="x_msonormal"/>
    <w:basedOn w:val="Normal"/>
    <w:rsid w:val="00593294"/>
    <w:rPr>
      <w:rFonts w:ascii="Calibri" w:eastAsiaTheme="minorHAnsi" w:hAnsi="Calibri" w:cs="Calibri"/>
      <w:sz w:val="22"/>
      <w:szCs w:val="22"/>
      <w:lang w:eastAsia="en-AU"/>
    </w:rPr>
  </w:style>
  <w:style w:type="paragraph" w:customStyle="1" w:styleId="AmendHeading1">
    <w:name w:val="Amend. Heading 1"/>
    <w:basedOn w:val="Normal"/>
    <w:next w:val="Normal"/>
    <w:rsid w:val="00D15FA3"/>
    <w:pPr>
      <w:overflowPunct w:val="0"/>
      <w:autoSpaceDE w:val="0"/>
      <w:autoSpaceDN w:val="0"/>
      <w:adjustRightInd w:val="0"/>
      <w:spacing w:before="120"/>
      <w:textAlignment w:val="baseline"/>
    </w:pPr>
    <w:rPr>
      <w:szCs w:val="20"/>
    </w:rPr>
  </w:style>
  <w:style w:type="character" w:customStyle="1" w:styleId="BodySectionSubChar">
    <w:name w:val="Body Section (Sub) Char"/>
    <w:basedOn w:val="DefaultParagraphFont"/>
    <w:link w:val="BodySectionSub"/>
    <w:locked/>
    <w:rsid w:val="00D15FA3"/>
    <w:rPr>
      <w:sz w:val="24"/>
      <w:lang w:eastAsia="en-US"/>
    </w:rPr>
  </w:style>
  <w:style w:type="paragraph" w:customStyle="1" w:styleId="DraftSub-sectionNote">
    <w:name w:val="Draft Sub-section Note"/>
    <w:next w:val="Normal"/>
    <w:rsid w:val="0075523B"/>
    <w:pPr>
      <w:spacing w:before="120"/>
    </w:pPr>
    <w:rPr>
      <w:lang w:eastAsia="en-US"/>
    </w:rPr>
  </w:style>
  <w:style w:type="character" w:customStyle="1" w:styleId="hgkelc">
    <w:name w:val="hgkelc"/>
    <w:basedOn w:val="DefaultParagraphFont"/>
    <w:rsid w:val="00692D54"/>
  </w:style>
  <w:style w:type="character" w:customStyle="1" w:styleId="kx21rb">
    <w:name w:val="kx21rb"/>
    <w:basedOn w:val="DefaultParagraphFont"/>
    <w:rsid w:val="00692D54"/>
  </w:style>
  <w:style w:type="character" w:customStyle="1" w:styleId="Heading4Char">
    <w:name w:val="Heading 4 Char"/>
    <w:basedOn w:val="DefaultParagraphFont"/>
    <w:link w:val="Heading4"/>
    <w:semiHidden/>
    <w:rsid w:val="001F5D53"/>
    <w:rPr>
      <w:rFonts w:asciiTheme="majorHAnsi" w:eastAsiaTheme="majorEastAsia" w:hAnsiTheme="majorHAnsi" w:cstheme="majorBidi"/>
      <w:i/>
      <w:iCs/>
      <w:color w:val="2F5496" w:themeColor="accent1" w:themeShade="BF"/>
      <w:sz w:val="24"/>
      <w:szCs w:val="24"/>
      <w:lang w:eastAsia="en-US"/>
    </w:rPr>
  </w:style>
  <w:style w:type="paragraph" w:customStyle="1" w:styleId="published-date">
    <w:name w:val="published-date"/>
    <w:basedOn w:val="Normal"/>
    <w:rsid w:val="001F5D53"/>
    <w:pPr>
      <w:spacing w:before="100" w:beforeAutospacing="1" w:after="100" w:afterAutospacing="1"/>
    </w:pPr>
    <w:rPr>
      <w:lang w:eastAsia="en-AU"/>
    </w:rPr>
  </w:style>
  <w:style w:type="character" w:customStyle="1" w:styleId="apple-converted-space">
    <w:name w:val="apple-converted-space"/>
    <w:rsid w:val="00C26F95"/>
  </w:style>
  <w:style w:type="character" w:styleId="Emphasis">
    <w:name w:val="Emphasis"/>
    <w:uiPriority w:val="20"/>
    <w:qFormat/>
    <w:rsid w:val="00C26F95"/>
    <w:rPr>
      <w:i/>
      <w:iCs/>
    </w:rPr>
  </w:style>
  <w:style w:type="character" w:customStyle="1" w:styleId="ListParagraphChar">
    <w:name w:val="List Paragraph Char"/>
    <w:aliases w:val="Bullet Char,List Paragraph1 Char,List Paragraph11 Char,Bullet point Char,L Char,Recommendation Char,DDM Gen Text Char,List Paragraph - bullets Char,NFP GP Bulleted List Char,bullet point list Char,Bullet points Char,Bullet Point Char"/>
    <w:basedOn w:val="DefaultParagraphFont"/>
    <w:link w:val="ListParagraph"/>
    <w:uiPriority w:val="34"/>
    <w:qFormat/>
    <w:locked/>
    <w:rsid w:val="00C23CF0"/>
    <w:rPr>
      <w:sz w:val="24"/>
      <w:lang w:eastAsia="en-US"/>
    </w:rPr>
  </w:style>
  <w:style w:type="paragraph" w:customStyle="1" w:styleId="DraftDefinition2">
    <w:name w:val="Draft Definition 2"/>
    <w:next w:val="Normal"/>
    <w:rsid w:val="00A13354"/>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character" w:customStyle="1" w:styleId="DraftHeading2Char">
    <w:name w:val="Draft Heading 2 Char"/>
    <w:basedOn w:val="DefaultParagraphFont"/>
    <w:link w:val="DraftHeading2"/>
    <w:rsid w:val="00241DE8"/>
    <w:rPr>
      <w:rFonts w:eastAsiaTheme="minorHAnsi"/>
      <w:sz w:val="24"/>
      <w:szCs w:val="24"/>
      <w:lang w:eastAsia="en-US"/>
    </w:rPr>
  </w:style>
  <w:style w:type="paragraph" w:customStyle="1" w:styleId="Heading-PART">
    <w:name w:val="Heading - PART"/>
    <w:next w:val="Normal"/>
    <w:link w:val="Heading-PARTChar"/>
    <w:rsid w:val="00141992"/>
    <w:pPr>
      <w:overflowPunct w:val="0"/>
      <w:autoSpaceDE w:val="0"/>
      <w:autoSpaceDN w:val="0"/>
      <w:adjustRightInd w:val="0"/>
      <w:spacing w:before="240" w:after="120"/>
      <w:jc w:val="center"/>
      <w:textAlignment w:val="baseline"/>
      <w:outlineLvl w:val="0"/>
    </w:pPr>
    <w:rPr>
      <w:b/>
      <w:caps/>
      <w:sz w:val="22"/>
      <w:lang w:eastAsia="en-US"/>
    </w:rPr>
  </w:style>
  <w:style w:type="paragraph" w:customStyle="1" w:styleId="Stars">
    <w:name w:val="Stars"/>
    <w:basedOn w:val="BodySection"/>
    <w:next w:val="Normal"/>
    <w:rsid w:val="00141992"/>
    <w:pPr>
      <w:tabs>
        <w:tab w:val="right" w:pos="1418"/>
        <w:tab w:val="right" w:pos="2552"/>
        <w:tab w:val="right" w:pos="3686"/>
        <w:tab w:val="right" w:pos="4820"/>
        <w:tab w:val="right" w:pos="5954"/>
      </w:tabs>
      <w:ind w:left="851"/>
    </w:pPr>
  </w:style>
  <w:style w:type="paragraph" w:customStyle="1" w:styleId="DraftSectionNote">
    <w:name w:val="Draft Section Note"/>
    <w:next w:val="Normal"/>
    <w:rsid w:val="00141992"/>
    <w:pPr>
      <w:spacing w:before="120"/>
    </w:pPr>
    <w:rPr>
      <w:lang w:eastAsia="en-US"/>
    </w:rPr>
  </w:style>
  <w:style w:type="character" w:customStyle="1" w:styleId="DraftHeading1Char">
    <w:name w:val="Draft Heading 1 Char"/>
    <w:basedOn w:val="DefaultParagraphFont"/>
    <w:link w:val="DraftHeading1"/>
    <w:locked/>
    <w:rsid w:val="00141992"/>
    <w:rPr>
      <w:rFonts w:eastAsiaTheme="minorHAnsi"/>
      <w:b/>
      <w:bCs/>
      <w:sz w:val="24"/>
      <w:szCs w:val="24"/>
      <w:lang w:eastAsia="en-US"/>
    </w:rPr>
  </w:style>
  <w:style w:type="character" w:customStyle="1" w:styleId="Heading-PARTChar">
    <w:name w:val="Heading - PART Char"/>
    <w:basedOn w:val="DefaultParagraphFont"/>
    <w:link w:val="Heading-PART"/>
    <w:rsid w:val="00141992"/>
    <w:rPr>
      <w:b/>
      <w:caps/>
      <w:sz w:val="22"/>
      <w:lang w:eastAsia="en-US"/>
    </w:rPr>
  </w:style>
  <w:style w:type="character" w:customStyle="1" w:styleId="DraftHeading4Char">
    <w:name w:val="Draft Heading 4 Char"/>
    <w:basedOn w:val="DefaultParagraphFont"/>
    <w:link w:val="DraftHeading4"/>
    <w:rsid w:val="00141992"/>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257">
      <w:bodyDiv w:val="1"/>
      <w:marLeft w:val="0"/>
      <w:marRight w:val="0"/>
      <w:marTop w:val="0"/>
      <w:marBottom w:val="0"/>
      <w:divBdr>
        <w:top w:val="none" w:sz="0" w:space="0" w:color="auto"/>
        <w:left w:val="none" w:sz="0" w:space="0" w:color="auto"/>
        <w:bottom w:val="none" w:sz="0" w:space="0" w:color="auto"/>
        <w:right w:val="none" w:sz="0" w:space="0" w:color="auto"/>
      </w:divBdr>
    </w:div>
    <w:div w:id="8339125">
      <w:bodyDiv w:val="1"/>
      <w:marLeft w:val="0"/>
      <w:marRight w:val="0"/>
      <w:marTop w:val="0"/>
      <w:marBottom w:val="0"/>
      <w:divBdr>
        <w:top w:val="none" w:sz="0" w:space="0" w:color="auto"/>
        <w:left w:val="none" w:sz="0" w:space="0" w:color="auto"/>
        <w:bottom w:val="none" w:sz="0" w:space="0" w:color="auto"/>
        <w:right w:val="none" w:sz="0" w:space="0" w:color="auto"/>
      </w:divBdr>
    </w:div>
    <w:div w:id="76827923">
      <w:bodyDiv w:val="1"/>
      <w:marLeft w:val="0"/>
      <w:marRight w:val="0"/>
      <w:marTop w:val="0"/>
      <w:marBottom w:val="0"/>
      <w:divBdr>
        <w:top w:val="none" w:sz="0" w:space="0" w:color="auto"/>
        <w:left w:val="none" w:sz="0" w:space="0" w:color="auto"/>
        <w:bottom w:val="none" w:sz="0" w:space="0" w:color="auto"/>
        <w:right w:val="none" w:sz="0" w:space="0" w:color="auto"/>
      </w:divBdr>
    </w:div>
    <w:div w:id="101729550">
      <w:bodyDiv w:val="1"/>
      <w:marLeft w:val="0"/>
      <w:marRight w:val="0"/>
      <w:marTop w:val="0"/>
      <w:marBottom w:val="0"/>
      <w:divBdr>
        <w:top w:val="none" w:sz="0" w:space="0" w:color="auto"/>
        <w:left w:val="none" w:sz="0" w:space="0" w:color="auto"/>
        <w:bottom w:val="none" w:sz="0" w:space="0" w:color="auto"/>
        <w:right w:val="none" w:sz="0" w:space="0" w:color="auto"/>
      </w:divBdr>
    </w:div>
    <w:div w:id="102769595">
      <w:bodyDiv w:val="1"/>
      <w:marLeft w:val="0"/>
      <w:marRight w:val="0"/>
      <w:marTop w:val="0"/>
      <w:marBottom w:val="0"/>
      <w:divBdr>
        <w:top w:val="none" w:sz="0" w:space="0" w:color="auto"/>
        <w:left w:val="none" w:sz="0" w:space="0" w:color="auto"/>
        <w:bottom w:val="none" w:sz="0" w:space="0" w:color="auto"/>
        <w:right w:val="none" w:sz="0" w:space="0" w:color="auto"/>
      </w:divBdr>
    </w:div>
    <w:div w:id="119037186">
      <w:bodyDiv w:val="1"/>
      <w:marLeft w:val="0"/>
      <w:marRight w:val="0"/>
      <w:marTop w:val="0"/>
      <w:marBottom w:val="0"/>
      <w:divBdr>
        <w:top w:val="none" w:sz="0" w:space="0" w:color="auto"/>
        <w:left w:val="none" w:sz="0" w:space="0" w:color="auto"/>
        <w:bottom w:val="none" w:sz="0" w:space="0" w:color="auto"/>
        <w:right w:val="none" w:sz="0" w:space="0" w:color="auto"/>
      </w:divBdr>
    </w:div>
    <w:div w:id="181551882">
      <w:bodyDiv w:val="1"/>
      <w:marLeft w:val="0"/>
      <w:marRight w:val="0"/>
      <w:marTop w:val="0"/>
      <w:marBottom w:val="0"/>
      <w:divBdr>
        <w:top w:val="none" w:sz="0" w:space="0" w:color="auto"/>
        <w:left w:val="none" w:sz="0" w:space="0" w:color="auto"/>
        <w:bottom w:val="none" w:sz="0" w:space="0" w:color="auto"/>
        <w:right w:val="none" w:sz="0" w:space="0" w:color="auto"/>
      </w:divBdr>
    </w:div>
    <w:div w:id="187529730">
      <w:bodyDiv w:val="1"/>
      <w:marLeft w:val="0"/>
      <w:marRight w:val="0"/>
      <w:marTop w:val="0"/>
      <w:marBottom w:val="0"/>
      <w:divBdr>
        <w:top w:val="none" w:sz="0" w:space="0" w:color="auto"/>
        <w:left w:val="none" w:sz="0" w:space="0" w:color="auto"/>
        <w:bottom w:val="none" w:sz="0" w:space="0" w:color="auto"/>
        <w:right w:val="none" w:sz="0" w:space="0" w:color="auto"/>
      </w:divBdr>
    </w:div>
    <w:div w:id="232085516">
      <w:bodyDiv w:val="1"/>
      <w:marLeft w:val="0"/>
      <w:marRight w:val="0"/>
      <w:marTop w:val="0"/>
      <w:marBottom w:val="0"/>
      <w:divBdr>
        <w:top w:val="none" w:sz="0" w:space="0" w:color="auto"/>
        <w:left w:val="none" w:sz="0" w:space="0" w:color="auto"/>
        <w:bottom w:val="none" w:sz="0" w:space="0" w:color="auto"/>
        <w:right w:val="none" w:sz="0" w:space="0" w:color="auto"/>
      </w:divBdr>
    </w:div>
    <w:div w:id="327178390">
      <w:bodyDiv w:val="1"/>
      <w:marLeft w:val="0"/>
      <w:marRight w:val="0"/>
      <w:marTop w:val="0"/>
      <w:marBottom w:val="0"/>
      <w:divBdr>
        <w:top w:val="none" w:sz="0" w:space="0" w:color="auto"/>
        <w:left w:val="none" w:sz="0" w:space="0" w:color="auto"/>
        <w:bottom w:val="none" w:sz="0" w:space="0" w:color="auto"/>
        <w:right w:val="none" w:sz="0" w:space="0" w:color="auto"/>
      </w:divBdr>
    </w:div>
    <w:div w:id="345520569">
      <w:bodyDiv w:val="1"/>
      <w:marLeft w:val="0"/>
      <w:marRight w:val="0"/>
      <w:marTop w:val="0"/>
      <w:marBottom w:val="0"/>
      <w:divBdr>
        <w:top w:val="none" w:sz="0" w:space="0" w:color="auto"/>
        <w:left w:val="none" w:sz="0" w:space="0" w:color="auto"/>
        <w:bottom w:val="none" w:sz="0" w:space="0" w:color="auto"/>
        <w:right w:val="none" w:sz="0" w:space="0" w:color="auto"/>
      </w:divBdr>
    </w:div>
    <w:div w:id="364019490">
      <w:bodyDiv w:val="1"/>
      <w:marLeft w:val="0"/>
      <w:marRight w:val="0"/>
      <w:marTop w:val="0"/>
      <w:marBottom w:val="0"/>
      <w:divBdr>
        <w:top w:val="none" w:sz="0" w:space="0" w:color="auto"/>
        <w:left w:val="none" w:sz="0" w:space="0" w:color="auto"/>
        <w:bottom w:val="none" w:sz="0" w:space="0" w:color="auto"/>
        <w:right w:val="none" w:sz="0" w:space="0" w:color="auto"/>
      </w:divBdr>
    </w:div>
    <w:div w:id="370694010">
      <w:bodyDiv w:val="1"/>
      <w:marLeft w:val="0"/>
      <w:marRight w:val="0"/>
      <w:marTop w:val="0"/>
      <w:marBottom w:val="0"/>
      <w:divBdr>
        <w:top w:val="none" w:sz="0" w:space="0" w:color="auto"/>
        <w:left w:val="none" w:sz="0" w:space="0" w:color="auto"/>
        <w:bottom w:val="none" w:sz="0" w:space="0" w:color="auto"/>
        <w:right w:val="none" w:sz="0" w:space="0" w:color="auto"/>
      </w:divBdr>
    </w:div>
    <w:div w:id="381441462">
      <w:bodyDiv w:val="1"/>
      <w:marLeft w:val="0"/>
      <w:marRight w:val="0"/>
      <w:marTop w:val="0"/>
      <w:marBottom w:val="0"/>
      <w:divBdr>
        <w:top w:val="none" w:sz="0" w:space="0" w:color="auto"/>
        <w:left w:val="none" w:sz="0" w:space="0" w:color="auto"/>
        <w:bottom w:val="none" w:sz="0" w:space="0" w:color="auto"/>
        <w:right w:val="none" w:sz="0" w:space="0" w:color="auto"/>
      </w:divBdr>
    </w:div>
    <w:div w:id="454953205">
      <w:bodyDiv w:val="1"/>
      <w:marLeft w:val="0"/>
      <w:marRight w:val="0"/>
      <w:marTop w:val="0"/>
      <w:marBottom w:val="0"/>
      <w:divBdr>
        <w:top w:val="none" w:sz="0" w:space="0" w:color="auto"/>
        <w:left w:val="none" w:sz="0" w:space="0" w:color="auto"/>
        <w:bottom w:val="none" w:sz="0" w:space="0" w:color="auto"/>
        <w:right w:val="none" w:sz="0" w:space="0" w:color="auto"/>
      </w:divBdr>
    </w:div>
    <w:div w:id="456218106">
      <w:bodyDiv w:val="1"/>
      <w:marLeft w:val="0"/>
      <w:marRight w:val="0"/>
      <w:marTop w:val="0"/>
      <w:marBottom w:val="0"/>
      <w:divBdr>
        <w:top w:val="none" w:sz="0" w:space="0" w:color="auto"/>
        <w:left w:val="none" w:sz="0" w:space="0" w:color="auto"/>
        <w:bottom w:val="none" w:sz="0" w:space="0" w:color="auto"/>
        <w:right w:val="none" w:sz="0" w:space="0" w:color="auto"/>
      </w:divBdr>
    </w:div>
    <w:div w:id="529956436">
      <w:bodyDiv w:val="1"/>
      <w:marLeft w:val="0"/>
      <w:marRight w:val="0"/>
      <w:marTop w:val="0"/>
      <w:marBottom w:val="0"/>
      <w:divBdr>
        <w:top w:val="none" w:sz="0" w:space="0" w:color="auto"/>
        <w:left w:val="none" w:sz="0" w:space="0" w:color="auto"/>
        <w:bottom w:val="none" w:sz="0" w:space="0" w:color="auto"/>
        <w:right w:val="none" w:sz="0" w:space="0" w:color="auto"/>
      </w:divBdr>
      <w:divsChild>
        <w:div w:id="1059552273">
          <w:marLeft w:val="0"/>
          <w:marRight w:val="0"/>
          <w:marTop w:val="0"/>
          <w:marBottom w:val="0"/>
          <w:divBdr>
            <w:top w:val="none" w:sz="0" w:space="0" w:color="auto"/>
            <w:left w:val="none" w:sz="0" w:space="0" w:color="auto"/>
            <w:bottom w:val="none" w:sz="0" w:space="0" w:color="auto"/>
            <w:right w:val="none" w:sz="0" w:space="0" w:color="auto"/>
          </w:divBdr>
          <w:divsChild>
            <w:div w:id="723453812">
              <w:marLeft w:val="0"/>
              <w:marRight w:val="0"/>
              <w:marTop w:val="0"/>
              <w:marBottom w:val="0"/>
              <w:divBdr>
                <w:top w:val="none" w:sz="0" w:space="0" w:color="auto"/>
                <w:left w:val="none" w:sz="0" w:space="0" w:color="auto"/>
                <w:bottom w:val="none" w:sz="0" w:space="0" w:color="auto"/>
                <w:right w:val="none" w:sz="0" w:space="0" w:color="auto"/>
              </w:divBdr>
            </w:div>
            <w:div w:id="2007980187">
              <w:marLeft w:val="0"/>
              <w:marRight w:val="0"/>
              <w:marTop w:val="0"/>
              <w:marBottom w:val="0"/>
              <w:divBdr>
                <w:top w:val="none" w:sz="0" w:space="0" w:color="auto"/>
                <w:left w:val="none" w:sz="0" w:space="0" w:color="auto"/>
                <w:bottom w:val="none" w:sz="0" w:space="0" w:color="auto"/>
                <w:right w:val="none" w:sz="0" w:space="0" w:color="auto"/>
              </w:divBdr>
            </w:div>
            <w:div w:id="1546016676">
              <w:marLeft w:val="0"/>
              <w:marRight w:val="0"/>
              <w:marTop w:val="0"/>
              <w:marBottom w:val="0"/>
              <w:divBdr>
                <w:top w:val="none" w:sz="0" w:space="0" w:color="auto"/>
                <w:left w:val="none" w:sz="0" w:space="0" w:color="auto"/>
                <w:bottom w:val="none" w:sz="0" w:space="0" w:color="auto"/>
                <w:right w:val="none" w:sz="0" w:space="0" w:color="auto"/>
              </w:divBdr>
            </w:div>
            <w:div w:id="1305771686">
              <w:marLeft w:val="0"/>
              <w:marRight w:val="0"/>
              <w:marTop w:val="0"/>
              <w:marBottom w:val="0"/>
              <w:divBdr>
                <w:top w:val="none" w:sz="0" w:space="0" w:color="auto"/>
                <w:left w:val="none" w:sz="0" w:space="0" w:color="auto"/>
                <w:bottom w:val="none" w:sz="0" w:space="0" w:color="auto"/>
                <w:right w:val="none" w:sz="0" w:space="0" w:color="auto"/>
              </w:divBdr>
            </w:div>
          </w:divsChild>
        </w:div>
        <w:div w:id="1043407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5159454">
      <w:bodyDiv w:val="1"/>
      <w:marLeft w:val="0"/>
      <w:marRight w:val="0"/>
      <w:marTop w:val="0"/>
      <w:marBottom w:val="0"/>
      <w:divBdr>
        <w:top w:val="none" w:sz="0" w:space="0" w:color="auto"/>
        <w:left w:val="none" w:sz="0" w:space="0" w:color="auto"/>
        <w:bottom w:val="none" w:sz="0" w:space="0" w:color="auto"/>
        <w:right w:val="none" w:sz="0" w:space="0" w:color="auto"/>
      </w:divBdr>
      <w:divsChild>
        <w:div w:id="411859053">
          <w:marLeft w:val="0"/>
          <w:marRight w:val="0"/>
          <w:marTop w:val="0"/>
          <w:marBottom w:val="0"/>
          <w:divBdr>
            <w:top w:val="none" w:sz="0" w:space="0" w:color="auto"/>
            <w:left w:val="none" w:sz="0" w:space="0" w:color="auto"/>
            <w:bottom w:val="none" w:sz="0" w:space="0" w:color="auto"/>
            <w:right w:val="none" w:sz="0" w:space="0" w:color="auto"/>
          </w:divBdr>
          <w:divsChild>
            <w:div w:id="1148210756">
              <w:marLeft w:val="0"/>
              <w:marRight w:val="0"/>
              <w:marTop w:val="0"/>
              <w:marBottom w:val="0"/>
              <w:divBdr>
                <w:top w:val="none" w:sz="0" w:space="0" w:color="auto"/>
                <w:left w:val="none" w:sz="0" w:space="0" w:color="auto"/>
                <w:bottom w:val="none" w:sz="0" w:space="0" w:color="auto"/>
                <w:right w:val="none" w:sz="0" w:space="0" w:color="auto"/>
              </w:divBdr>
              <w:divsChild>
                <w:div w:id="1612779149">
                  <w:marLeft w:val="0"/>
                  <w:marRight w:val="0"/>
                  <w:marTop w:val="0"/>
                  <w:marBottom w:val="0"/>
                  <w:divBdr>
                    <w:top w:val="none" w:sz="0" w:space="0" w:color="auto"/>
                    <w:left w:val="none" w:sz="0" w:space="0" w:color="auto"/>
                    <w:bottom w:val="none" w:sz="0" w:space="0" w:color="auto"/>
                    <w:right w:val="none" w:sz="0" w:space="0" w:color="auto"/>
                  </w:divBdr>
                  <w:divsChild>
                    <w:div w:id="1755056274">
                      <w:marLeft w:val="0"/>
                      <w:marRight w:val="0"/>
                      <w:marTop w:val="0"/>
                      <w:marBottom w:val="0"/>
                      <w:divBdr>
                        <w:top w:val="none" w:sz="0" w:space="0" w:color="auto"/>
                        <w:left w:val="none" w:sz="0" w:space="0" w:color="auto"/>
                        <w:bottom w:val="none" w:sz="0" w:space="0" w:color="auto"/>
                        <w:right w:val="none" w:sz="0" w:space="0" w:color="auto"/>
                      </w:divBdr>
                      <w:divsChild>
                        <w:div w:id="124318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6664281">
      <w:bodyDiv w:val="1"/>
      <w:marLeft w:val="0"/>
      <w:marRight w:val="0"/>
      <w:marTop w:val="0"/>
      <w:marBottom w:val="0"/>
      <w:divBdr>
        <w:top w:val="none" w:sz="0" w:space="0" w:color="auto"/>
        <w:left w:val="none" w:sz="0" w:space="0" w:color="auto"/>
        <w:bottom w:val="none" w:sz="0" w:space="0" w:color="auto"/>
        <w:right w:val="none" w:sz="0" w:space="0" w:color="auto"/>
      </w:divBdr>
    </w:div>
    <w:div w:id="654651822">
      <w:bodyDiv w:val="1"/>
      <w:marLeft w:val="0"/>
      <w:marRight w:val="0"/>
      <w:marTop w:val="0"/>
      <w:marBottom w:val="0"/>
      <w:divBdr>
        <w:top w:val="none" w:sz="0" w:space="0" w:color="auto"/>
        <w:left w:val="none" w:sz="0" w:space="0" w:color="auto"/>
        <w:bottom w:val="none" w:sz="0" w:space="0" w:color="auto"/>
        <w:right w:val="none" w:sz="0" w:space="0" w:color="auto"/>
      </w:divBdr>
    </w:div>
    <w:div w:id="707880392">
      <w:bodyDiv w:val="1"/>
      <w:marLeft w:val="0"/>
      <w:marRight w:val="0"/>
      <w:marTop w:val="0"/>
      <w:marBottom w:val="0"/>
      <w:divBdr>
        <w:top w:val="none" w:sz="0" w:space="0" w:color="auto"/>
        <w:left w:val="none" w:sz="0" w:space="0" w:color="auto"/>
        <w:bottom w:val="none" w:sz="0" w:space="0" w:color="auto"/>
        <w:right w:val="none" w:sz="0" w:space="0" w:color="auto"/>
      </w:divBdr>
    </w:div>
    <w:div w:id="711460308">
      <w:bodyDiv w:val="1"/>
      <w:marLeft w:val="0"/>
      <w:marRight w:val="0"/>
      <w:marTop w:val="0"/>
      <w:marBottom w:val="0"/>
      <w:divBdr>
        <w:top w:val="none" w:sz="0" w:space="0" w:color="auto"/>
        <w:left w:val="none" w:sz="0" w:space="0" w:color="auto"/>
        <w:bottom w:val="none" w:sz="0" w:space="0" w:color="auto"/>
        <w:right w:val="none" w:sz="0" w:space="0" w:color="auto"/>
      </w:divBdr>
    </w:div>
    <w:div w:id="718669564">
      <w:bodyDiv w:val="1"/>
      <w:marLeft w:val="0"/>
      <w:marRight w:val="0"/>
      <w:marTop w:val="0"/>
      <w:marBottom w:val="0"/>
      <w:divBdr>
        <w:top w:val="none" w:sz="0" w:space="0" w:color="auto"/>
        <w:left w:val="none" w:sz="0" w:space="0" w:color="auto"/>
        <w:bottom w:val="none" w:sz="0" w:space="0" w:color="auto"/>
        <w:right w:val="none" w:sz="0" w:space="0" w:color="auto"/>
      </w:divBdr>
    </w:div>
    <w:div w:id="763915604">
      <w:bodyDiv w:val="1"/>
      <w:marLeft w:val="0"/>
      <w:marRight w:val="0"/>
      <w:marTop w:val="0"/>
      <w:marBottom w:val="0"/>
      <w:divBdr>
        <w:top w:val="none" w:sz="0" w:space="0" w:color="auto"/>
        <w:left w:val="none" w:sz="0" w:space="0" w:color="auto"/>
        <w:bottom w:val="none" w:sz="0" w:space="0" w:color="auto"/>
        <w:right w:val="none" w:sz="0" w:space="0" w:color="auto"/>
      </w:divBdr>
      <w:divsChild>
        <w:div w:id="1405490782">
          <w:marLeft w:val="0"/>
          <w:marRight w:val="0"/>
          <w:marTop w:val="0"/>
          <w:marBottom w:val="0"/>
          <w:divBdr>
            <w:top w:val="none" w:sz="0" w:space="0" w:color="auto"/>
            <w:left w:val="none" w:sz="0" w:space="0" w:color="auto"/>
            <w:bottom w:val="none" w:sz="0" w:space="0" w:color="auto"/>
            <w:right w:val="none" w:sz="0" w:space="0" w:color="auto"/>
          </w:divBdr>
          <w:divsChild>
            <w:div w:id="1447310569">
              <w:marLeft w:val="0"/>
              <w:marRight w:val="0"/>
              <w:marTop w:val="0"/>
              <w:marBottom w:val="0"/>
              <w:divBdr>
                <w:top w:val="none" w:sz="0" w:space="0" w:color="auto"/>
                <w:left w:val="none" w:sz="0" w:space="0" w:color="auto"/>
                <w:bottom w:val="none" w:sz="0" w:space="0" w:color="auto"/>
                <w:right w:val="none" w:sz="0" w:space="0" w:color="auto"/>
              </w:divBdr>
              <w:divsChild>
                <w:div w:id="854996768">
                  <w:marLeft w:val="0"/>
                  <w:marRight w:val="0"/>
                  <w:marTop w:val="0"/>
                  <w:marBottom w:val="0"/>
                  <w:divBdr>
                    <w:top w:val="none" w:sz="0" w:space="0" w:color="auto"/>
                    <w:left w:val="none" w:sz="0" w:space="0" w:color="auto"/>
                    <w:bottom w:val="none" w:sz="0" w:space="0" w:color="auto"/>
                    <w:right w:val="none" w:sz="0" w:space="0" w:color="auto"/>
                  </w:divBdr>
                  <w:divsChild>
                    <w:div w:id="855731342">
                      <w:marLeft w:val="0"/>
                      <w:marRight w:val="0"/>
                      <w:marTop w:val="0"/>
                      <w:marBottom w:val="0"/>
                      <w:divBdr>
                        <w:top w:val="none" w:sz="0" w:space="0" w:color="auto"/>
                        <w:left w:val="none" w:sz="0" w:space="0" w:color="auto"/>
                        <w:bottom w:val="none" w:sz="0" w:space="0" w:color="auto"/>
                        <w:right w:val="none" w:sz="0" w:space="0" w:color="auto"/>
                      </w:divBdr>
                      <w:divsChild>
                        <w:div w:id="162734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042668">
      <w:bodyDiv w:val="1"/>
      <w:marLeft w:val="0"/>
      <w:marRight w:val="0"/>
      <w:marTop w:val="0"/>
      <w:marBottom w:val="0"/>
      <w:divBdr>
        <w:top w:val="none" w:sz="0" w:space="0" w:color="auto"/>
        <w:left w:val="none" w:sz="0" w:space="0" w:color="auto"/>
        <w:bottom w:val="none" w:sz="0" w:space="0" w:color="auto"/>
        <w:right w:val="none" w:sz="0" w:space="0" w:color="auto"/>
      </w:divBdr>
    </w:div>
    <w:div w:id="768624732">
      <w:bodyDiv w:val="1"/>
      <w:marLeft w:val="0"/>
      <w:marRight w:val="0"/>
      <w:marTop w:val="0"/>
      <w:marBottom w:val="0"/>
      <w:divBdr>
        <w:top w:val="none" w:sz="0" w:space="0" w:color="auto"/>
        <w:left w:val="none" w:sz="0" w:space="0" w:color="auto"/>
        <w:bottom w:val="none" w:sz="0" w:space="0" w:color="auto"/>
        <w:right w:val="none" w:sz="0" w:space="0" w:color="auto"/>
      </w:divBdr>
    </w:div>
    <w:div w:id="781077339">
      <w:bodyDiv w:val="1"/>
      <w:marLeft w:val="0"/>
      <w:marRight w:val="0"/>
      <w:marTop w:val="0"/>
      <w:marBottom w:val="0"/>
      <w:divBdr>
        <w:top w:val="none" w:sz="0" w:space="0" w:color="auto"/>
        <w:left w:val="none" w:sz="0" w:space="0" w:color="auto"/>
        <w:bottom w:val="none" w:sz="0" w:space="0" w:color="auto"/>
        <w:right w:val="none" w:sz="0" w:space="0" w:color="auto"/>
      </w:divBdr>
    </w:div>
    <w:div w:id="868303406">
      <w:bodyDiv w:val="1"/>
      <w:marLeft w:val="0"/>
      <w:marRight w:val="0"/>
      <w:marTop w:val="0"/>
      <w:marBottom w:val="0"/>
      <w:divBdr>
        <w:top w:val="none" w:sz="0" w:space="0" w:color="auto"/>
        <w:left w:val="none" w:sz="0" w:space="0" w:color="auto"/>
        <w:bottom w:val="none" w:sz="0" w:space="0" w:color="auto"/>
        <w:right w:val="none" w:sz="0" w:space="0" w:color="auto"/>
      </w:divBdr>
    </w:div>
    <w:div w:id="909539989">
      <w:bodyDiv w:val="1"/>
      <w:marLeft w:val="0"/>
      <w:marRight w:val="0"/>
      <w:marTop w:val="0"/>
      <w:marBottom w:val="0"/>
      <w:divBdr>
        <w:top w:val="none" w:sz="0" w:space="0" w:color="auto"/>
        <w:left w:val="none" w:sz="0" w:space="0" w:color="auto"/>
        <w:bottom w:val="none" w:sz="0" w:space="0" w:color="auto"/>
        <w:right w:val="none" w:sz="0" w:space="0" w:color="auto"/>
      </w:divBdr>
    </w:div>
    <w:div w:id="986667284">
      <w:bodyDiv w:val="1"/>
      <w:marLeft w:val="0"/>
      <w:marRight w:val="0"/>
      <w:marTop w:val="0"/>
      <w:marBottom w:val="0"/>
      <w:divBdr>
        <w:top w:val="none" w:sz="0" w:space="0" w:color="auto"/>
        <w:left w:val="none" w:sz="0" w:space="0" w:color="auto"/>
        <w:bottom w:val="none" w:sz="0" w:space="0" w:color="auto"/>
        <w:right w:val="none" w:sz="0" w:space="0" w:color="auto"/>
      </w:divBdr>
    </w:div>
    <w:div w:id="1023047975">
      <w:bodyDiv w:val="1"/>
      <w:marLeft w:val="0"/>
      <w:marRight w:val="0"/>
      <w:marTop w:val="0"/>
      <w:marBottom w:val="0"/>
      <w:divBdr>
        <w:top w:val="none" w:sz="0" w:space="0" w:color="auto"/>
        <w:left w:val="none" w:sz="0" w:space="0" w:color="auto"/>
        <w:bottom w:val="none" w:sz="0" w:space="0" w:color="auto"/>
        <w:right w:val="none" w:sz="0" w:space="0" w:color="auto"/>
      </w:divBdr>
    </w:div>
    <w:div w:id="1060052251">
      <w:bodyDiv w:val="1"/>
      <w:marLeft w:val="0"/>
      <w:marRight w:val="0"/>
      <w:marTop w:val="0"/>
      <w:marBottom w:val="0"/>
      <w:divBdr>
        <w:top w:val="none" w:sz="0" w:space="0" w:color="auto"/>
        <w:left w:val="none" w:sz="0" w:space="0" w:color="auto"/>
        <w:bottom w:val="none" w:sz="0" w:space="0" w:color="auto"/>
        <w:right w:val="none" w:sz="0" w:space="0" w:color="auto"/>
      </w:divBdr>
    </w:div>
    <w:div w:id="1131821540">
      <w:bodyDiv w:val="1"/>
      <w:marLeft w:val="0"/>
      <w:marRight w:val="0"/>
      <w:marTop w:val="0"/>
      <w:marBottom w:val="0"/>
      <w:divBdr>
        <w:top w:val="none" w:sz="0" w:space="0" w:color="auto"/>
        <w:left w:val="none" w:sz="0" w:space="0" w:color="auto"/>
        <w:bottom w:val="none" w:sz="0" w:space="0" w:color="auto"/>
        <w:right w:val="none" w:sz="0" w:space="0" w:color="auto"/>
      </w:divBdr>
    </w:div>
    <w:div w:id="1238251336">
      <w:bodyDiv w:val="1"/>
      <w:marLeft w:val="0"/>
      <w:marRight w:val="0"/>
      <w:marTop w:val="0"/>
      <w:marBottom w:val="0"/>
      <w:divBdr>
        <w:top w:val="none" w:sz="0" w:space="0" w:color="auto"/>
        <w:left w:val="none" w:sz="0" w:space="0" w:color="auto"/>
        <w:bottom w:val="none" w:sz="0" w:space="0" w:color="auto"/>
        <w:right w:val="none" w:sz="0" w:space="0" w:color="auto"/>
      </w:divBdr>
    </w:div>
    <w:div w:id="1315446615">
      <w:bodyDiv w:val="1"/>
      <w:marLeft w:val="0"/>
      <w:marRight w:val="0"/>
      <w:marTop w:val="0"/>
      <w:marBottom w:val="0"/>
      <w:divBdr>
        <w:top w:val="none" w:sz="0" w:space="0" w:color="auto"/>
        <w:left w:val="none" w:sz="0" w:space="0" w:color="auto"/>
        <w:bottom w:val="none" w:sz="0" w:space="0" w:color="auto"/>
        <w:right w:val="none" w:sz="0" w:space="0" w:color="auto"/>
      </w:divBdr>
    </w:div>
    <w:div w:id="1457983775">
      <w:bodyDiv w:val="1"/>
      <w:marLeft w:val="0"/>
      <w:marRight w:val="0"/>
      <w:marTop w:val="0"/>
      <w:marBottom w:val="0"/>
      <w:divBdr>
        <w:top w:val="none" w:sz="0" w:space="0" w:color="auto"/>
        <w:left w:val="none" w:sz="0" w:space="0" w:color="auto"/>
        <w:bottom w:val="none" w:sz="0" w:space="0" w:color="auto"/>
        <w:right w:val="none" w:sz="0" w:space="0" w:color="auto"/>
      </w:divBdr>
    </w:div>
    <w:div w:id="1479148587">
      <w:bodyDiv w:val="1"/>
      <w:marLeft w:val="0"/>
      <w:marRight w:val="0"/>
      <w:marTop w:val="0"/>
      <w:marBottom w:val="0"/>
      <w:divBdr>
        <w:top w:val="none" w:sz="0" w:space="0" w:color="auto"/>
        <w:left w:val="none" w:sz="0" w:space="0" w:color="auto"/>
        <w:bottom w:val="none" w:sz="0" w:space="0" w:color="auto"/>
        <w:right w:val="none" w:sz="0" w:space="0" w:color="auto"/>
      </w:divBdr>
    </w:div>
    <w:div w:id="1505172039">
      <w:bodyDiv w:val="1"/>
      <w:marLeft w:val="0"/>
      <w:marRight w:val="0"/>
      <w:marTop w:val="0"/>
      <w:marBottom w:val="0"/>
      <w:divBdr>
        <w:top w:val="none" w:sz="0" w:space="0" w:color="auto"/>
        <w:left w:val="none" w:sz="0" w:space="0" w:color="auto"/>
        <w:bottom w:val="none" w:sz="0" w:space="0" w:color="auto"/>
        <w:right w:val="none" w:sz="0" w:space="0" w:color="auto"/>
      </w:divBdr>
      <w:divsChild>
        <w:div w:id="7215114">
          <w:marLeft w:val="0"/>
          <w:marRight w:val="0"/>
          <w:marTop w:val="0"/>
          <w:marBottom w:val="0"/>
          <w:divBdr>
            <w:top w:val="none" w:sz="0" w:space="0" w:color="auto"/>
            <w:left w:val="none" w:sz="0" w:space="0" w:color="auto"/>
            <w:bottom w:val="none" w:sz="0" w:space="0" w:color="auto"/>
            <w:right w:val="none" w:sz="0" w:space="0" w:color="auto"/>
          </w:divBdr>
          <w:divsChild>
            <w:div w:id="393771307">
              <w:marLeft w:val="0"/>
              <w:marRight w:val="0"/>
              <w:marTop w:val="0"/>
              <w:marBottom w:val="0"/>
              <w:divBdr>
                <w:top w:val="none" w:sz="0" w:space="0" w:color="auto"/>
                <w:left w:val="none" w:sz="0" w:space="0" w:color="auto"/>
                <w:bottom w:val="none" w:sz="0" w:space="0" w:color="auto"/>
                <w:right w:val="none" w:sz="0" w:space="0" w:color="auto"/>
              </w:divBdr>
              <w:divsChild>
                <w:div w:id="1514613306">
                  <w:marLeft w:val="0"/>
                  <w:marRight w:val="0"/>
                  <w:marTop w:val="0"/>
                  <w:marBottom w:val="0"/>
                  <w:divBdr>
                    <w:top w:val="none" w:sz="0" w:space="0" w:color="auto"/>
                    <w:left w:val="none" w:sz="0" w:space="0" w:color="auto"/>
                    <w:bottom w:val="none" w:sz="0" w:space="0" w:color="auto"/>
                    <w:right w:val="none" w:sz="0" w:space="0" w:color="auto"/>
                  </w:divBdr>
                  <w:divsChild>
                    <w:div w:id="332345760">
                      <w:marLeft w:val="0"/>
                      <w:marRight w:val="0"/>
                      <w:marTop w:val="0"/>
                      <w:marBottom w:val="0"/>
                      <w:divBdr>
                        <w:top w:val="none" w:sz="0" w:space="0" w:color="auto"/>
                        <w:left w:val="none" w:sz="0" w:space="0" w:color="auto"/>
                        <w:bottom w:val="none" w:sz="0" w:space="0" w:color="auto"/>
                        <w:right w:val="none" w:sz="0" w:space="0" w:color="auto"/>
                      </w:divBdr>
                      <w:divsChild>
                        <w:div w:id="73382033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9292760">
      <w:bodyDiv w:val="1"/>
      <w:marLeft w:val="0"/>
      <w:marRight w:val="0"/>
      <w:marTop w:val="0"/>
      <w:marBottom w:val="0"/>
      <w:divBdr>
        <w:top w:val="none" w:sz="0" w:space="0" w:color="auto"/>
        <w:left w:val="none" w:sz="0" w:space="0" w:color="auto"/>
        <w:bottom w:val="none" w:sz="0" w:space="0" w:color="auto"/>
        <w:right w:val="none" w:sz="0" w:space="0" w:color="auto"/>
      </w:divBdr>
    </w:div>
    <w:div w:id="1661230175">
      <w:bodyDiv w:val="1"/>
      <w:marLeft w:val="0"/>
      <w:marRight w:val="0"/>
      <w:marTop w:val="0"/>
      <w:marBottom w:val="0"/>
      <w:divBdr>
        <w:top w:val="none" w:sz="0" w:space="0" w:color="auto"/>
        <w:left w:val="none" w:sz="0" w:space="0" w:color="auto"/>
        <w:bottom w:val="none" w:sz="0" w:space="0" w:color="auto"/>
        <w:right w:val="none" w:sz="0" w:space="0" w:color="auto"/>
      </w:divBdr>
    </w:div>
    <w:div w:id="1701660692">
      <w:bodyDiv w:val="1"/>
      <w:marLeft w:val="0"/>
      <w:marRight w:val="0"/>
      <w:marTop w:val="0"/>
      <w:marBottom w:val="0"/>
      <w:divBdr>
        <w:top w:val="none" w:sz="0" w:space="0" w:color="auto"/>
        <w:left w:val="none" w:sz="0" w:space="0" w:color="auto"/>
        <w:bottom w:val="none" w:sz="0" w:space="0" w:color="auto"/>
        <w:right w:val="none" w:sz="0" w:space="0" w:color="auto"/>
      </w:divBdr>
      <w:divsChild>
        <w:div w:id="1570186363">
          <w:blockQuote w:val="1"/>
          <w:marLeft w:val="720"/>
          <w:marRight w:val="720"/>
          <w:marTop w:val="100"/>
          <w:marBottom w:val="100"/>
          <w:divBdr>
            <w:top w:val="none" w:sz="0" w:space="0" w:color="auto"/>
            <w:left w:val="none" w:sz="0" w:space="0" w:color="auto"/>
            <w:bottom w:val="none" w:sz="0" w:space="0" w:color="auto"/>
            <w:right w:val="none" w:sz="0" w:space="0" w:color="auto"/>
          </w:divBdr>
        </w:div>
        <w:div w:id="928076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078670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3888128">
      <w:bodyDiv w:val="1"/>
      <w:marLeft w:val="0"/>
      <w:marRight w:val="0"/>
      <w:marTop w:val="0"/>
      <w:marBottom w:val="0"/>
      <w:divBdr>
        <w:top w:val="none" w:sz="0" w:space="0" w:color="auto"/>
        <w:left w:val="none" w:sz="0" w:space="0" w:color="auto"/>
        <w:bottom w:val="none" w:sz="0" w:space="0" w:color="auto"/>
        <w:right w:val="none" w:sz="0" w:space="0" w:color="auto"/>
      </w:divBdr>
    </w:div>
    <w:div w:id="1842232071">
      <w:bodyDiv w:val="1"/>
      <w:marLeft w:val="0"/>
      <w:marRight w:val="0"/>
      <w:marTop w:val="0"/>
      <w:marBottom w:val="0"/>
      <w:divBdr>
        <w:top w:val="none" w:sz="0" w:space="0" w:color="auto"/>
        <w:left w:val="none" w:sz="0" w:space="0" w:color="auto"/>
        <w:bottom w:val="none" w:sz="0" w:space="0" w:color="auto"/>
        <w:right w:val="none" w:sz="0" w:space="0" w:color="auto"/>
      </w:divBdr>
    </w:div>
    <w:div w:id="1997564562">
      <w:bodyDiv w:val="1"/>
      <w:marLeft w:val="0"/>
      <w:marRight w:val="0"/>
      <w:marTop w:val="0"/>
      <w:marBottom w:val="0"/>
      <w:divBdr>
        <w:top w:val="none" w:sz="0" w:space="0" w:color="auto"/>
        <w:left w:val="none" w:sz="0" w:space="0" w:color="auto"/>
        <w:bottom w:val="none" w:sz="0" w:space="0" w:color="auto"/>
        <w:right w:val="none" w:sz="0" w:space="0" w:color="auto"/>
      </w:divBdr>
    </w:div>
    <w:div w:id="207338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awreform.vic.gov.au/publication/contempt-of-court-report/14-take-down-orders/" TargetMode="External"/><Relationship Id="rId18" Type="http://schemas.openxmlformats.org/officeDocument/2006/relationships/hyperlink" Target="https://courtnetwork.com.au/"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childrenscourt.vic.gov.au/court-forms/general-forms" TargetMode="External"/><Relationship Id="rId17" Type="http://schemas.openxmlformats.org/officeDocument/2006/relationships/hyperlink" Target="mailto:childwitnessservice@justice.vic.gov.au"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rvahj.org.au" TargetMode="External"/><Relationship Id="rId20"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cv.vic.gov.au/going-court/documents-and-recordings"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justice.vic.gov.au/justice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yoorrookforjustice.org.au/wp-content/uploads/2023/08/Yoorrook-for-justice-report.pdf" TargetMode="External"/><Relationship Id="rId19" Type="http://schemas.openxmlformats.org/officeDocument/2006/relationships/hyperlink" Target="mailto:csc.childrens@courts.vic.gov.a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judicialcollege.vic.edu.au/bench-books-open-courts-bench-book"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1AD7D2-C546-4F6F-B9CF-40155F750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35675</Words>
  <Characters>203348</Characters>
  <Application>Microsoft Office Word</Application>
  <DocSecurity>0</DocSecurity>
  <Lines>1694</Lines>
  <Paragraphs>477</Paragraphs>
  <ScaleCrop>false</ScaleCrop>
  <HeadingPairs>
    <vt:vector size="2" baseType="variant">
      <vt:variant>
        <vt:lpstr>Title</vt:lpstr>
      </vt:variant>
      <vt:variant>
        <vt:i4>1</vt:i4>
      </vt:variant>
    </vt:vector>
  </HeadingPairs>
  <TitlesOfParts>
    <vt:vector size="1" baseType="lpstr">
      <vt:lpstr>2</vt:lpstr>
    </vt:vector>
  </TitlesOfParts>
  <Company>Hewlett-Packard</Company>
  <LinksUpToDate>false</LinksUpToDate>
  <CharactersWithSpaces>238546</CharactersWithSpaces>
  <SharedDoc>false</SharedDoc>
  <HLinks>
    <vt:vector size="168" baseType="variant">
      <vt:variant>
        <vt:i4>327713</vt:i4>
      </vt:variant>
      <vt:variant>
        <vt:i4>84</vt:i4>
      </vt:variant>
      <vt:variant>
        <vt:i4>0</vt:i4>
      </vt:variant>
      <vt:variant>
        <vt:i4>5</vt:i4>
      </vt:variant>
      <vt:variant>
        <vt:lpwstr>mailto:childwitnessservice@justice.vic.gov.au</vt:lpwstr>
      </vt:variant>
      <vt:variant>
        <vt:lpwstr/>
      </vt:variant>
      <vt:variant>
        <vt:i4>1310793</vt:i4>
      </vt:variant>
      <vt:variant>
        <vt:i4>81</vt:i4>
      </vt:variant>
      <vt:variant>
        <vt:i4>0</vt:i4>
      </vt:variant>
      <vt:variant>
        <vt:i4>5</vt:i4>
      </vt:variant>
      <vt:variant>
        <vt:lpwstr>http://www.rvahj.org.au/</vt:lpwstr>
      </vt:variant>
      <vt:variant>
        <vt:lpwstr/>
      </vt:variant>
      <vt:variant>
        <vt:i4>6619258</vt:i4>
      </vt:variant>
      <vt:variant>
        <vt:i4>78</vt:i4>
      </vt:variant>
      <vt:variant>
        <vt:i4>0</vt:i4>
      </vt:variant>
      <vt:variant>
        <vt:i4>5</vt:i4>
      </vt:variant>
      <vt:variant>
        <vt:lpwstr>http://www.justice.vic.gov.au/justices</vt:lpwstr>
      </vt:variant>
      <vt:variant>
        <vt:lpwstr/>
      </vt:variant>
      <vt:variant>
        <vt:i4>2752514</vt:i4>
      </vt:variant>
      <vt:variant>
        <vt:i4>72</vt:i4>
      </vt:variant>
      <vt:variant>
        <vt:i4>0</vt:i4>
      </vt:variant>
      <vt:variant>
        <vt:i4>5</vt:i4>
      </vt:variant>
      <vt:variant>
        <vt:lpwstr/>
      </vt:variant>
      <vt:variant>
        <vt:lpwstr>_2.10.6_Salvation_Army</vt:lpwstr>
      </vt:variant>
      <vt:variant>
        <vt:i4>7995503</vt:i4>
      </vt:variant>
      <vt:variant>
        <vt:i4>69</vt:i4>
      </vt:variant>
      <vt:variant>
        <vt:i4>0</vt:i4>
      </vt:variant>
      <vt:variant>
        <vt:i4>5</vt:i4>
      </vt:variant>
      <vt:variant>
        <vt:lpwstr/>
      </vt:variant>
      <vt:variant>
        <vt:lpwstr>_2.10.5_Interpreters</vt:lpwstr>
      </vt:variant>
      <vt:variant>
        <vt:i4>1769533</vt:i4>
      </vt:variant>
      <vt:variant>
        <vt:i4>66</vt:i4>
      </vt:variant>
      <vt:variant>
        <vt:i4>0</vt:i4>
      </vt:variant>
      <vt:variant>
        <vt:i4>5</vt:i4>
      </vt:variant>
      <vt:variant>
        <vt:lpwstr/>
      </vt:variant>
      <vt:variant>
        <vt:lpwstr>_2.10.4_Victoria_Legal</vt:lpwstr>
      </vt:variant>
      <vt:variant>
        <vt:i4>983054</vt:i4>
      </vt:variant>
      <vt:variant>
        <vt:i4>63</vt:i4>
      </vt:variant>
      <vt:variant>
        <vt:i4>0</vt:i4>
      </vt:variant>
      <vt:variant>
        <vt:i4>5</vt:i4>
      </vt:variant>
      <vt:variant>
        <vt:lpwstr/>
      </vt:variant>
      <vt:variant>
        <vt:lpwstr>_2.10.3_Court_Network_1</vt:lpwstr>
      </vt:variant>
      <vt:variant>
        <vt:i4>6094971</vt:i4>
      </vt:variant>
      <vt:variant>
        <vt:i4>60</vt:i4>
      </vt:variant>
      <vt:variant>
        <vt:i4>0</vt:i4>
      </vt:variant>
      <vt:variant>
        <vt:i4>5</vt:i4>
      </vt:variant>
      <vt:variant>
        <vt:lpwstr/>
      </vt:variant>
      <vt:variant>
        <vt:lpwstr>_2.10.2_Child_Witness</vt:lpwstr>
      </vt:variant>
      <vt:variant>
        <vt:i4>5505124</vt:i4>
      </vt:variant>
      <vt:variant>
        <vt:i4>57</vt:i4>
      </vt:variant>
      <vt:variant>
        <vt:i4>0</vt:i4>
      </vt:variant>
      <vt:variant>
        <vt:i4>5</vt:i4>
      </vt:variant>
      <vt:variant>
        <vt:lpwstr/>
      </vt:variant>
      <vt:variant>
        <vt:lpwstr>_2.10.1_Youth_Justice</vt:lpwstr>
      </vt:variant>
      <vt:variant>
        <vt:i4>1900590</vt:i4>
      </vt:variant>
      <vt:variant>
        <vt:i4>54</vt:i4>
      </vt:variant>
      <vt:variant>
        <vt:i4>0</vt:i4>
      </vt:variant>
      <vt:variant>
        <vt:i4>5</vt:i4>
      </vt:variant>
      <vt:variant>
        <vt:lpwstr/>
      </vt:variant>
      <vt:variant>
        <vt:lpwstr>_2.10_Court_services</vt:lpwstr>
      </vt:variant>
      <vt:variant>
        <vt:i4>5111862</vt:i4>
      </vt:variant>
      <vt:variant>
        <vt:i4>51</vt:i4>
      </vt:variant>
      <vt:variant>
        <vt:i4>0</vt:i4>
      </vt:variant>
      <vt:variant>
        <vt:i4>5</vt:i4>
      </vt:variant>
      <vt:variant>
        <vt:lpwstr/>
      </vt:variant>
      <vt:variant>
        <vt:lpwstr>_2.9_Bail_justices</vt:lpwstr>
      </vt:variant>
      <vt:variant>
        <vt:i4>1966116</vt:i4>
      </vt:variant>
      <vt:variant>
        <vt:i4>48</vt:i4>
      </vt:variant>
      <vt:variant>
        <vt:i4>0</vt:i4>
      </vt:variant>
      <vt:variant>
        <vt:i4>5</vt:i4>
      </vt:variant>
      <vt:variant>
        <vt:lpwstr/>
      </vt:variant>
      <vt:variant>
        <vt:lpwstr>_2.8.3_Section_10(5)</vt:lpwstr>
      </vt:variant>
      <vt:variant>
        <vt:i4>4456500</vt:i4>
      </vt:variant>
      <vt:variant>
        <vt:i4>45</vt:i4>
      </vt:variant>
      <vt:variant>
        <vt:i4>0</vt:i4>
      </vt:variant>
      <vt:variant>
        <vt:i4>5</vt:i4>
      </vt:variant>
      <vt:variant>
        <vt:lpwstr/>
      </vt:variant>
      <vt:variant>
        <vt:lpwstr>_2.8.2_Suppression_orders</vt:lpwstr>
      </vt:variant>
      <vt:variant>
        <vt:i4>5374010</vt:i4>
      </vt:variant>
      <vt:variant>
        <vt:i4>42</vt:i4>
      </vt:variant>
      <vt:variant>
        <vt:i4>0</vt:i4>
      </vt:variant>
      <vt:variant>
        <vt:i4>5</vt:i4>
      </vt:variant>
      <vt:variant>
        <vt:lpwstr/>
      </vt:variant>
      <vt:variant>
        <vt:lpwstr>_2.8.1_Statutory_prohibition</vt:lpwstr>
      </vt:variant>
      <vt:variant>
        <vt:i4>7471122</vt:i4>
      </vt:variant>
      <vt:variant>
        <vt:i4>39</vt:i4>
      </vt:variant>
      <vt:variant>
        <vt:i4>0</vt:i4>
      </vt:variant>
      <vt:variant>
        <vt:i4>5</vt:i4>
      </vt:variant>
      <vt:variant>
        <vt:lpwstr/>
      </vt:variant>
      <vt:variant>
        <vt:lpwstr>_2.8_Restriction_on</vt:lpwstr>
      </vt:variant>
      <vt:variant>
        <vt:i4>1638468</vt:i4>
      </vt:variant>
      <vt:variant>
        <vt:i4>36</vt:i4>
      </vt:variant>
      <vt:variant>
        <vt:i4>0</vt:i4>
      </vt:variant>
      <vt:variant>
        <vt:i4>5</vt:i4>
      </vt:variant>
      <vt:variant>
        <vt:lpwstr/>
      </vt:variant>
      <vt:variant>
        <vt:lpwstr>_2.7.5_Media_applications_1</vt:lpwstr>
      </vt:variant>
      <vt:variant>
        <vt:i4>4653111</vt:i4>
      </vt:variant>
      <vt:variant>
        <vt:i4>33</vt:i4>
      </vt:variant>
      <vt:variant>
        <vt:i4>0</vt:i4>
      </vt:variant>
      <vt:variant>
        <vt:i4>5</vt:i4>
      </vt:variant>
      <vt:variant>
        <vt:lpwstr/>
      </vt:variant>
      <vt:variant>
        <vt:lpwstr>_2.7.4_Media_applications</vt:lpwstr>
      </vt:variant>
      <vt:variant>
        <vt:i4>3997784</vt:i4>
      </vt:variant>
      <vt:variant>
        <vt:i4>30</vt:i4>
      </vt:variant>
      <vt:variant>
        <vt:i4>0</vt:i4>
      </vt:variant>
      <vt:variant>
        <vt:i4>5</vt:i4>
      </vt:variant>
      <vt:variant>
        <vt:lpwstr/>
      </vt:variant>
      <vt:variant>
        <vt:lpwstr>_2.7.3_Pseudonym_orders</vt:lpwstr>
      </vt:variant>
      <vt:variant>
        <vt:i4>4653119</vt:i4>
      </vt:variant>
      <vt:variant>
        <vt:i4>27</vt:i4>
      </vt:variant>
      <vt:variant>
        <vt:i4>0</vt:i4>
      </vt:variant>
      <vt:variant>
        <vt:i4>5</vt:i4>
      </vt:variant>
      <vt:variant>
        <vt:lpwstr/>
      </vt:variant>
      <vt:variant>
        <vt:lpwstr>_2.7.2_Sections_28</vt:lpwstr>
      </vt:variant>
      <vt:variant>
        <vt:i4>2424851</vt:i4>
      </vt:variant>
      <vt:variant>
        <vt:i4>24</vt:i4>
      </vt:variant>
      <vt:variant>
        <vt:i4>0</vt:i4>
      </vt:variant>
      <vt:variant>
        <vt:i4>5</vt:i4>
      </vt:variant>
      <vt:variant>
        <vt:lpwstr/>
      </vt:variant>
      <vt:variant>
        <vt:lpwstr>_2.7.1_Section_523</vt:lpwstr>
      </vt:variant>
      <vt:variant>
        <vt:i4>7733252</vt:i4>
      </vt:variant>
      <vt:variant>
        <vt:i4>21</vt:i4>
      </vt:variant>
      <vt:variant>
        <vt:i4>0</vt:i4>
      </vt:variant>
      <vt:variant>
        <vt:i4>5</vt:i4>
      </vt:variant>
      <vt:variant>
        <vt:lpwstr/>
      </vt:variant>
      <vt:variant>
        <vt:lpwstr>_2.7_The_Court</vt:lpwstr>
      </vt:variant>
      <vt:variant>
        <vt:i4>327786</vt:i4>
      </vt:variant>
      <vt:variant>
        <vt:i4>18</vt:i4>
      </vt:variant>
      <vt:variant>
        <vt:i4>0</vt:i4>
      </vt:variant>
      <vt:variant>
        <vt:i4>5</vt:i4>
      </vt:variant>
      <vt:variant>
        <vt:lpwstr/>
      </vt:variant>
      <vt:variant>
        <vt:lpwstr>_2.6_A_specialist</vt:lpwstr>
      </vt:variant>
      <vt:variant>
        <vt:i4>4390946</vt:i4>
      </vt:variant>
      <vt:variant>
        <vt:i4>15</vt:i4>
      </vt:variant>
      <vt:variant>
        <vt:i4>0</vt:i4>
      </vt:variant>
      <vt:variant>
        <vt:i4>5</vt:i4>
      </vt:variant>
      <vt:variant>
        <vt:lpwstr/>
      </vt:variant>
      <vt:variant>
        <vt:lpwstr>_2.5_Venues_of</vt:lpwstr>
      </vt:variant>
      <vt:variant>
        <vt:i4>1310838</vt:i4>
      </vt:variant>
      <vt:variant>
        <vt:i4>12</vt:i4>
      </vt:variant>
      <vt:variant>
        <vt:i4>0</vt:i4>
      </vt:variant>
      <vt:variant>
        <vt:i4>5</vt:i4>
      </vt:variant>
      <vt:variant>
        <vt:lpwstr/>
      </vt:variant>
      <vt:variant>
        <vt:lpwstr>_2.4_Divisions_of</vt:lpwstr>
      </vt:variant>
      <vt:variant>
        <vt:i4>3539017</vt:i4>
      </vt:variant>
      <vt:variant>
        <vt:i4>9</vt:i4>
      </vt:variant>
      <vt:variant>
        <vt:i4>0</vt:i4>
      </vt:variant>
      <vt:variant>
        <vt:i4>5</vt:i4>
      </vt:variant>
      <vt:variant>
        <vt:lpwstr/>
      </vt:variant>
      <vt:variant>
        <vt:lpwstr>_2.3_Organisational_structure</vt:lpwstr>
      </vt:variant>
      <vt:variant>
        <vt:i4>5439543</vt:i4>
      </vt:variant>
      <vt:variant>
        <vt:i4>6</vt:i4>
      </vt:variant>
      <vt:variant>
        <vt:i4>0</vt:i4>
      </vt:variant>
      <vt:variant>
        <vt:i4>5</vt:i4>
      </vt:variant>
      <vt:variant>
        <vt:lpwstr/>
      </vt:variant>
      <vt:variant>
        <vt:lpwstr>_2.2_Judicial_&amp;</vt:lpwstr>
      </vt:variant>
      <vt:variant>
        <vt:i4>5308518</vt:i4>
      </vt:variant>
      <vt:variant>
        <vt:i4>3</vt:i4>
      </vt:variant>
      <vt:variant>
        <vt:i4>0</vt:i4>
      </vt:variant>
      <vt:variant>
        <vt:i4>5</vt:i4>
      </vt:variant>
      <vt:variant>
        <vt:lpwstr/>
      </vt:variant>
      <vt:variant>
        <vt:lpwstr>_2.1_Establishment,_Vision</vt:lpwstr>
      </vt:variant>
      <vt:variant>
        <vt:i4>983091</vt:i4>
      </vt:variant>
      <vt:variant>
        <vt:i4>0</vt:i4>
      </vt:variant>
      <vt:variant>
        <vt:i4>0</vt:i4>
      </vt:variant>
      <vt:variant>
        <vt:i4>5</vt:i4>
      </vt:variant>
      <vt:variant>
        <vt:lpwstr/>
      </vt:variant>
      <vt:variant>
        <vt:lpwstr>_2.__COURT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Peter Power</dc:creator>
  <cp:keywords/>
  <cp:lastModifiedBy>Peter Power (CSV)</cp:lastModifiedBy>
  <cp:revision>2</cp:revision>
  <cp:lastPrinted>2026-03-09T23:08:00Z</cp:lastPrinted>
  <dcterms:created xsi:type="dcterms:W3CDTF">2026-09-04T05:03:00Z</dcterms:created>
  <dcterms:modified xsi:type="dcterms:W3CDTF">2026-09-04T05:03:00Z</dcterms:modified>
</cp:coreProperties>
</file>