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19012E" w:rsidRDefault="00B22584">
      <w:pPr>
        <w:jc w:val="both"/>
        <w:rPr>
          <w:rFonts w:ascii="Arial" w:hAnsi="Arial" w:cs="Arial"/>
          <w:color w:val="000000"/>
          <w:sz w:val="8"/>
          <w:szCs w:val="8"/>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364290C7"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w:t>
        </w:r>
        <w:r w:rsidR="00C76023" w:rsidRPr="00BD7F2A">
          <w:rPr>
            <w:rStyle w:val="Hyperlink"/>
            <w:rFonts w:ascii="Arial" w:hAnsi="Arial" w:cs="Arial"/>
            <w:b/>
            <w:bCs/>
            <w:sz w:val="20"/>
            <w:u w:val="none"/>
          </w:rPr>
          <w:t xml:space="preserve"> </w:t>
        </w:r>
        <w:r w:rsidR="00C76023" w:rsidRPr="00BD7F2A">
          <w:rPr>
            <w:rStyle w:val="Hyperlink"/>
            <w:rFonts w:ascii="Arial" w:hAnsi="Arial" w:cs="Arial"/>
            <w:b/>
            <w:bCs/>
            <w:sz w:val="20"/>
            <w:u w:val="none"/>
          </w:rPr>
          <w:t>offending from 2008/09 to 20</w:t>
        </w:r>
        <w:r w:rsidR="00AA1B86">
          <w:rPr>
            <w:rStyle w:val="Hyperlink"/>
            <w:rFonts w:ascii="Arial" w:hAnsi="Arial" w:cs="Arial"/>
            <w:b/>
            <w:bCs/>
            <w:sz w:val="20"/>
            <w:u w:val="none"/>
          </w:rPr>
          <w:t>2</w:t>
        </w:r>
        <w:r w:rsidR="00C25504">
          <w:rPr>
            <w:rStyle w:val="Hyperlink"/>
            <w:rFonts w:ascii="Arial" w:hAnsi="Arial" w:cs="Arial"/>
            <w:b/>
            <w:bCs/>
            <w:sz w:val="20"/>
            <w:u w:val="none"/>
          </w:rPr>
          <w:t>4</w:t>
        </w:r>
        <w:r w:rsidR="00C76023" w:rsidRPr="00BD7F2A">
          <w:rPr>
            <w:rStyle w:val="Hyperlink"/>
            <w:rFonts w:ascii="Arial" w:hAnsi="Arial" w:cs="Arial"/>
            <w:b/>
            <w:bCs/>
            <w:sz w:val="20"/>
            <w:u w:val="none"/>
          </w:rPr>
          <w:t>/2</w:t>
        </w:r>
        <w:r w:rsidR="00C25504">
          <w:rPr>
            <w:rStyle w:val="Hyperlink"/>
            <w:rFonts w:ascii="Arial" w:hAnsi="Arial" w:cs="Arial"/>
            <w:b/>
            <w:bCs/>
            <w:sz w:val="20"/>
            <w:u w:val="none"/>
          </w:rPr>
          <w:t>5</w:t>
        </w:r>
      </w:hyperlink>
    </w:p>
    <w:p w14:paraId="79C60738" w14:textId="0D8EF2B4"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Abor</w:t>
        </w:r>
        <w:r w:rsidR="0013035F" w:rsidRPr="0013035F">
          <w:rPr>
            <w:rStyle w:val="Hyperlink"/>
            <w:rFonts w:ascii="Arial" w:hAnsi="Arial" w:cs="Arial"/>
            <w:b/>
            <w:bCs/>
            <w:sz w:val="20"/>
            <w:u w:val="none"/>
          </w:rPr>
          <w:t>i</w:t>
        </w:r>
        <w:r w:rsidR="0013035F" w:rsidRPr="0013035F">
          <w:rPr>
            <w:rStyle w:val="Hyperlink"/>
            <w:rFonts w:ascii="Arial" w:hAnsi="Arial" w:cs="Arial"/>
            <w:b/>
            <w:bCs/>
            <w:sz w:val="20"/>
            <w:u w:val="none"/>
          </w:rPr>
          <w:t>gin</w:t>
        </w:r>
        <w:r w:rsidR="0013035F" w:rsidRPr="0013035F">
          <w:rPr>
            <w:rStyle w:val="Hyperlink"/>
            <w:rFonts w:ascii="Arial" w:hAnsi="Arial" w:cs="Arial"/>
            <w:b/>
            <w:bCs/>
            <w:sz w:val="20"/>
            <w:u w:val="none"/>
          </w:rPr>
          <w:t>a</w:t>
        </w:r>
        <w:r w:rsidR="0013035F" w:rsidRPr="0013035F">
          <w:rPr>
            <w:rStyle w:val="Hyperlink"/>
            <w:rFonts w:ascii="Arial" w:hAnsi="Arial" w:cs="Arial"/>
            <w:b/>
            <w:bCs/>
            <w:sz w:val="20"/>
            <w:u w:val="none"/>
          </w:rPr>
          <w:t xml:space="preserve">l </w:t>
        </w:r>
        <w:r w:rsidR="0077202C">
          <w:rPr>
            <w:rStyle w:val="Hyperlink"/>
            <w:rFonts w:ascii="Arial" w:hAnsi="Arial" w:cs="Arial"/>
            <w:b/>
            <w:bCs/>
            <w:sz w:val="20"/>
            <w:u w:val="none"/>
          </w:rPr>
          <w:t>a</w:t>
        </w:r>
        <w:r w:rsidR="0077202C">
          <w:rPr>
            <w:rStyle w:val="Hyperlink"/>
            <w:rFonts w:ascii="Arial" w:hAnsi="Arial" w:cs="Arial"/>
            <w:b/>
            <w:bCs/>
            <w:sz w:val="20"/>
            <w:u w:val="none"/>
          </w:rPr>
          <w:t>n</w:t>
        </w:r>
        <w:r w:rsidR="0077202C">
          <w:rPr>
            <w:rStyle w:val="Hyperlink"/>
            <w:rFonts w:ascii="Arial" w:hAnsi="Arial" w:cs="Arial"/>
            <w:b/>
            <w:bCs/>
            <w:sz w:val="20"/>
            <w:u w:val="none"/>
          </w:rPr>
          <w:t>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1B1486EF" w14:textId="33279988" w:rsidR="0019012E" w:rsidRPr="006928A5" w:rsidRDefault="0019012E" w:rsidP="0019012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7_Theft" w:history="1">
        <w:r w:rsidRPr="006928A5">
          <w:rPr>
            <w:rStyle w:val="Hyperlink"/>
            <w:rFonts w:ascii="Arial" w:hAnsi="Arial" w:cs="Arial"/>
            <w:b/>
            <w:bCs/>
            <w:sz w:val="20"/>
            <w:u w:val="none"/>
          </w:rPr>
          <w:t>7.12.</w:t>
        </w:r>
        <w:r>
          <w:rPr>
            <w:rStyle w:val="Hyperlink"/>
            <w:rFonts w:ascii="Arial" w:hAnsi="Arial" w:cs="Arial"/>
            <w:b/>
            <w:bCs/>
            <w:sz w:val="20"/>
            <w:u w:val="none"/>
          </w:rPr>
          <w:t>7</w:t>
        </w:r>
        <w:r w:rsidRPr="006928A5">
          <w:rPr>
            <w:rStyle w:val="Hyperlink"/>
            <w:rFonts w:ascii="Arial" w:hAnsi="Arial" w:cs="Arial"/>
            <w:b/>
            <w:bCs/>
            <w:sz w:val="20"/>
            <w:u w:val="none"/>
          </w:rPr>
          <w:tab/>
        </w:r>
        <w:r>
          <w:rPr>
            <w:rStyle w:val="Hyperlink"/>
            <w:rFonts w:ascii="Arial" w:hAnsi="Arial" w:cs="Arial"/>
            <w:b/>
            <w:bCs/>
            <w:sz w:val="20"/>
            <w:u w:val="none"/>
          </w:rPr>
          <w:t>Theft</w:t>
        </w:r>
      </w:hyperlink>
    </w:p>
    <w:p w14:paraId="24084362" w14:textId="75A54AD5" w:rsidR="00F22097" w:rsidRDefault="00F22097"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r>
        <w:r w:rsidR="004336F6">
          <w:rPr>
            <w:rStyle w:val="Hyperlink"/>
            <w:rFonts w:ascii="Arial" w:hAnsi="Arial" w:cs="Arial"/>
            <w:b/>
            <w:bCs/>
            <w:u w:val="none"/>
          </w:rPr>
          <w:t>I</w:t>
        </w:r>
        <w:r w:rsidRPr="00F22097">
          <w:rPr>
            <w:rStyle w:val="Hyperlink"/>
            <w:rFonts w:ascii="Arial" w:hAnsi="Arial" w:cs="Arial"/>
            <w:b/>
            <w:bCs/>
            <w:u w:val="none"/>
          </w:rPr>
          <w:t xml:space="preserve">mpact of a child’s </w:t>
        </w:r>
        <w:r w:rsidR="004336F6">
          <w:rPr>
            <w:rStyle w:val="Hyperlink"/>
            <w:rFonts w:ascii="Arial" w:hAnsi="Arial" w:cs="Arial"/>
            <w:b/>
            <w:bCs/>
            <w:u w:val="none"/>
          </w:rPr>
          <w:t xml:space="preserve">/ young adult’s </w:t>
        </w:r>
        <w:r w:rsidRPr="00F22097">
          <w:rPr>
            <w:rStyle w:val="Hyperlink"/>
            <w:rFonts w:ascii="Arial" w:hAnsi="Arial" w:cs="Arial"/>
            <w:b/>
            <w:bCs/>
            <w:u w:val="none"/>
          </w:rPr>
          <w:t xml:space="preserve">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5BF7921E"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hear and determine summarily all charges against children for indictable offences other than the following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6D4A42FC" w14:textId="56179B73" w:rsidR="00285AFB" w:rsidRDefault="00285AFB" w:rsidP="00DF6B3E">
      <w:pPr>
        <w:ind w:left="720" w:hanging="357"/>
        <w:jc w:val="both"/>
        <w:rPr>
          <w:rFonts w:ascii="Arial" w:hAnsi="Arial" w:cs="Arial"/>
          <w:color w:val="000000"/>
          <w:sz w:val="20"/>
        </w:rPr>
      </w:pPr>
      <w:r>
        <w:rPr>
          <w:rFonts w:ascii="Arial" w:hAnsi="Arial" w:cs="Arial"/>
          <w:color w:val="000000"/>
          <w:sz w:val="20"/>
        </w:rPr>
        <w:sym w:font="Wingdings" w:char="F093"/>
      </w:r>
      <w:r w:rsidRPr="00F51496">
        <w:rPr>
          <w:rFonts w:ascii="Arial" w:hAnsi="Arial" w:cs="Arial"/>
          <w:color w:val="000000"/>
          <w:sz w:val="20"/>
        </w:rPr>
        <w:tab/>
      </w:r>
      <w:r>
        <w:rPr>
          <w:rFonts w:ascii="Arial" w:hAnsi="Arial" w:cs="Arial"/>
          <w:color w:val="000000"/>
          <w:sz w:val="20"/>
        </w:rPr>
        <w:t xml:space="preserve">a </w:t>
      </w:r>
      <w:r w:rsidRPr="00285AFB">
        <w:rPr>
          <w:rFonts w:ascii="Arial" w:hAnsi="Arial" w:cs="Arial"/>
          <w:b/>
          <w:bCs/>
          <w:color w:val="000000"/>
          <w:sz w:val="20"/>
        </w:rPr>
        <w:t>designated offence</w:t>
      </w:r>
      <w:r>
        <w:rPr>
          <w:rFonts w:ascii="Arial" w:hAnsi="Arial" w:cs="Arial"/>
          <w:color w:val="000000"/>
          <w:sz w:val="20"/>
        </w:rPr>
        <w:t xml:space="preserve"> committed on or after 27/02/2026 when the child was aged 15 years or over]; in s.516(7) </w:t>
      </w:r>
      <w:r w:rsidR="00B1701A">
        <w:rPr>
          <w:rFonts w:ascii="Arial" w:hAnsi="Arial" w:cs="Arial"/>
          <w:color w:val="000000"/>
          <w:sz w:val="20"/>
        </w:rPr>
        <w:t xml:space="preserve">CYFA </w:t>
      </w:r>
      <w:r>
        <w:rPr>
          <w:rFonts w:ascii="Arial" w:hAnsi="Arial" w:cs="Arial"/>
          <w:color w:val="000000"/>
          <w:sz w:val="20"/>
        </w:rPr>
        <w:t xml:space="preserve">the </w:t>
      </w:r>
      <w:r w:rsidRPr="00285AFB">
        <w:rPr>
          <w:rFonts w:ascii="Arial" w:hAnsi="Arial" w:cs="Arial"/>
          <w:b/>
          <w:bCs/>
          <w:color w:val="000000"/>
          <w:sz w:val="20"/>
        </w:rPr>
        <w:t>designated offences</w:t>
      </w:r>
      <w:r>
        <w:rPr>
          <w:rFonts w:ascii="Arial" w:hAnsi="Arial" w:cs="Arial"/>
          <w:color w:val="000000"/>
          <w:sz w:val="20"/>
        </w:rPr>
        <w:t xml:space="preserve"> are defined as offences against any of the following sections of the </w:t>
      </w:r>
      <w:r w:rsidRPr="00285AFB">
        <w:rPr>
          <w:rFonts w:ascii="Arial" w:hAnsi="Arial" w:cs="Arial"/>
          <w:i/>
          <w:iCs/>
          <w:color w:val="000000"/>
          <w:sz w:val="20"/>
        </w:rPr>
        <w:t>Crimes Act 1958</w:t>
      </w:r>
      <w:r>
        <w:rPr>
          <w:rFonts w:ascii="Arial" w:hAnsi="Arial" w:cs="Arial"/>
          <w:color w:val="000000"/>
          <w:sz w:val="20"/>
        </w:rPr>
        <w:t>:</w:t>
      </w:r>
    </w:p>
    <w:p w14:paraId="191BFC92" w14:textId="5EA222E0"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15A (causing serious injury intentionally in circumstances of gross violence);</w:t>
      </w:r>
    </w:p>
    <w:p w14:paraId="2AD97C36" w14:textId="11C8BD54"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 xml:space="preserve">section 15B (causing serious injury </w:t>
      </w:r>
      <w:r w:rsidR="008D59EE" w:rsidRPr="009856E2">
        <w:rPr>
          <w:rFonts w:ascii="Arial" w:hAnsi="Arial" w:cs="Arial"/>
          <w:color w:val="000000"/>
          <w:sz w:val="20"/>
        </w:rPr>
        <w:t xml:space="preserve">recklessly </w:t>
      </w:r>
      <w:r w:rsidRPr="009856E2">
        <w:rPr>
          <w:rFonts w:ascii="Arial" w:hAnsi="Arial" w:cs="Arial"/>
          <w:color w:val="000000"/>
          <w:sz w:val="20"/>
        </w:rPr>
        <w:t>in circumstances of gross violence);</w:t>
      </w:r>
    </w:p>
    <w:p w14:paraId="4735BE85" w14:textId="36B2759F"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77A (home invasion);</w:t>
      </w:r>
    </w:p>
    <w:p w14:paraId="2CDB9DEE" w14:textId="2055CD22"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77B (aggravated home invasion);</w:t>
      </w:r>
    </w:p>
    <w:p w14:paraId="28944F1A" w14:textId="5A4E9C6E"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79A (aggravated carjacking).</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VChC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lastRenderedPageBreak/>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Start w:id="97" w:name="_Hlk221598983"/>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bookmarkEnd w:id="97"/>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6BA7F713"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F370B5">
        <w:rPr>
          <w:rFonts w:ascii="Arial" w:hAnsi="Arial" w:cs="Arial"/>
          <w:color w:val="000000"/>
          <w:sz w:val="20"/>
        </w:rPr>
        <w:t>d</w:t>
      </w:r>
      <w:r w:rsidR="0032132F">
        <w:rPr>
          <w:rFonts w:ascii="Arial" w:hAnsi="Arial" w:cs="Arial"/>
          <w:color w:val="000000"/>
          <w:sz w:val="20"/>
        </w:rPr>
        <w:t xml:space="preserve">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8" w:name="_7.1.3_No_criminal"/>
      <w:bookmarkStart w:id="99" w:name="_Hlk110232499"/>
      <w:bookmarkEnd w:id="98"/>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9"/>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who are 10 or 11 years of age</w:t>
      </w:r>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lastRenderedPageBreak/>
        <w:t>Commencing on 30/09/2025</w:t>
      </w:r>
      <w:r w:rsidR="00324A3A">
        <w:rPr>
          <w:rFonts w:ascii="Arial" w:hAnsi="Arial" w:cs="Arial"/>
          <w:bCs/>
          <w:color w:val="000000"/>
          <w:sz w:val="20"/>
          <w:szCs w:val="22"/>
        </w:rPr>
        <w:t>–</w:t>
      </w:r>
    </w:p>
    <w:p w14:paraId="50FE0243" w14:textId="3A03F650" w:rsidR="00324A3A" w:rsidRPr="00324A3A" w:rsidRDefault="00324A3A" w:rsidP="00591749">
      <w:pPr>
        <w:numPr>
          <w:ilvl w:val="0"/>
          <w:numId w:val="50"/>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591749">
      <w:pPr>
        <w:numPr>
          <w:ilvl w:val="0"/>
          <w:numId w:val="50"/>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591749">
      <w:pPr>
        <w:numPr>
          <w:ilvl w:val="0"/>
          <w:numId w:val="50"/>
        </w:numPr>
        <w:spacing w:before="60"/>
        <w:ind w:left="357" w:hanging="357"/>
        <w:rPr>
          <w:rFonts w:ascii="Arial" w:hAnsi="Arial" w:cs="Arial"/>
          <w:color w:val="000000"/>
          <w:sz w:val="20"/>
        </w:rPr>
      </w:pPr>
      <w:r w:rsidRPr="00325CBE">
        <w:rPr>
          <w:rFonts w:ascii="Arial" w:hAnsi="Arial" w:cs="Arial"/>
          <w:b/>
          <w:bCs/>
          <w:color w:val="000000"/>
          <w:sz w:val="20"/>
          <w:u w:val="single"/>
        </w:rPr>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591749">
      <w:pPr>
        <w:pStyle w:val="ListParagraph"/>
        <w:numPr>
          <w:ilvl w:val="0"/>
          <w:numId w:val="62"/>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591749">
      <w:pPr>
        <w:pStyle w:val="ListParagraph"/>
        <w:numPr>
          <w:ilvl w:val="0"/>
          <w:numId w:val="62"/>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591749">
      <w:pPr>
        <w:numPr>
          <w:ilvl w:val="0"/>
          <w:numId w:val="50"/>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591749">
      <w:pPr>
        <w:numPr>
          <w:ilvl w:val="0"/>
          <w:numId w:val="50"/>
        </w:numPr>
        <w:ind w:left="357" w:hanging="357"/>
        <w:jc w:val="both"/>
        <w:rPr>
          <w:rFonts w:ascii="Arial" w:hAnsi="Arial" w:cs="Arial"/>
          <w:color w:val="000000"/>
          <w:sz w:val="20"/>
        </w:rPr>
      </w:pPr>
      <w:bookmarkStart w:id="100" w:name="_Hlk221600740"/>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591749">
      <w:pPr>
        <w:numPr>
          <w:ilvl w:val="0"/>
          <w:numId w:val="50"/>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591749">
      <w:pPr>
        <w:numPr>
          <w:ilvl w:val="0"/>
          <w:numId w:val="50"/>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591749">
      <w:pPr>
        <w:numPr>
          <w:ilvl w:val="0"/>
          <w:numId w:val="50"/>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bookmarkEnd w:id="100"/>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591749">
      <w:pPr>
        <w:numPr>
          <w:ilvl w:val="0"/>
          <w:numId w:val="50"/>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591749">
      <w:pPr>
        <w:numPr>
          <w:ilvl w:val="0"/>
          <w:numId w:val="50"/>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591749">
      <w:pPr>
        <w:numPr>
          <w:ilvl w:val="0"/>
          <w:numId w:val="50"/>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w:t>
      </w:r>
      <w:bookmarkStart w:id="101" w:name="_Hlk221599661"/>
      <w:r w:rsidR="00C56D94">
        <w:rPr>
          <w:rFonts w:ascii="Arial" w:hAnsi="Arial" w:cs="Arial"/>
          <w:color w:val="000000"/>
          <w:sz w:val="20"/>
        </w:rPr>
        <w:t xml:space="preserve">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w:t>
      </w:r>
      <w:bookmarkEnd w:id="101"/>
      <w:r w:rsidR="00C56D94">
        <w:rPr>
          <w:rFonts w:ascii="Arial" w:hAnsi="Arial" w:cs="Arial"/>
          <w:color w:val="000000"/>
          <w:sz w:val="20"/>
        </w:rPr>
        <w:t xml:space="preserve">(a)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591749">
      <w:pPr>
        <w:numPr>
          <w:ilvl w:val="0"/>
          <w:numId w:val="50"/>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25BE7443"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591749">
      <w:pPr>
        <w:numPr>
          <w:ilvl w:val="0"/>
          <w:numId w:val="50"/>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591749">
      <w:pPr>
        <w:numPr>
          <w:ilvl w:val="0"/>
          <w:numId w:val="50"/>
        </w:numPr>
        <w:ind w:left="357" w:hanging="357"/>
        <w:jc w:val="both"/>
        <w:rPr>
          <w:rFonts w:ascii="Arial" w:hAnsi="Arial" w:cs="Arial"/>
          <w:color w:val="000000"/>
          <w:sz w:val="20"/>
        </w:rPr>
      </w:pPr>
      <w:r>
        <w:rPr>
          <w:rFonts w:ascii="Arial" w:hAnsi="Arial" w:cs="Arial"/>
          <w:color w:val="000000"/>
          <w:sz w:val="20"/>
        </w:rPr>
        <w:lastRenderedPageBreak/>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102" w:name="_7.1.3_Police_powers"/>
      <w:bookmarkStart w:id="103" w:name="_Hlk221599274"/>
      <w:bookmarkEnd w:id="102"/>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bookmarkStart w:id="104" w:name="_Hlk221599335"/>
      <w:bookmarkEnd w:id="103"/>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officer to take a child aged 10 or 11 into care and control if the police officer believes on reasonable grounds that–</w:t>
      </w:r>
    </w:p>
    <w:p w14:paraId="1789FD02" w14:textId="514BB49E" w:rsidR="000C13A2"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bookmarkEnd w:id="104"/>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591749">
      <w:pPr>
        <w:numPr>
          <w:ilvl w:val="0"/>
          <w:numId w:val="8"/>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5" w:name="_7.1.4_Transfer_of"/>
      <w:bookmarkEnd w:id="105"/>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591749">
      <w:pPr>
        <w:numPr>
          <w:ilvl w:val="0"/>
          <w:numId w:val="8"/>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lastRenderedPageBreak/>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6"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7" w:name="_7.1.5_Age_of"/>
      <w:bookmarkStart w:id="108" w:name="_7.1.5_Breach,_variation"/>
      <w:bookmarkEnd w:id="107"/>
      <w:bookmarkEnd w:id="108"/>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 xml:space="preserve">3 [breach of YSO] &amp; s.408 [breach of YAO], all of which now </w:t>
      </w:r>
      <w:r w:rsidR="00475125" w:rsidRPr="00F51496">
        <w:rPr>
          <w:rFonts w:ascii="Arial" w:hAnsi="Arial" w:cs="Arial"/>
          <w:color w:val="000000"/>
          <w:sz w:val="20"/>
        </w:rPr>
        <w:lastRenderedPageBreak/>
        <w:t>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9" w:name="_7.1.6_Proceedings_for"/>
      <w:bookmarkEnd w:id="106"/>
      <w:bookmarkEnd w:id="109"/>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10" w:name="_7.2_General_powers"/>
      <w:bookmarkStart w:id="111" w:name="_Hlk536093363"/>
      <w:bookmarkEnd w:id="110"/>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11"/>
    <w:p w14:paraId="45782496"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591749">
      <w:pPr>
        <w:numPr>
          <w:ilvl w:val="0"/>
          <w:numId w:val="47"/>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591749">
      <w:pPr>
        <w:numPr>
          <w:ilvl w:val="1"/>
          <w:numId w:val="47"/>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591749">
      <w:pPr>
        <w:numPr>
          <w:ilvl w:val="1"/>
          <w:numId w:val="47"/>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591749">
      <w:pPr>
        <w:numPr>
          <w:ilvl w:val="0"/>
          <w:numId w:val="47"/>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591749">
      <w:pPr>
        <w:pStyle w:val="Subheading1Char"/>
        <w:keepNext w:val="0"/>
        <w:keepLines w:val="0"/>
        <w:widowControl w:val="0"/>
        <w:numPr>
          <w:ilvl w:val="0"/>
          <w:numId w:val="47"/>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591749">
      <w:pPr>
        <w:widowControl w:val="0"/>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591749">
      <w:pPr>
        <w:keepNext/>
        <w:keepLines/>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lastRenderedPageBreak/>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591749">
      <w:pPr>
        <w:pStyle w:val="Subheading1Char"/>
        <w:keepNext w:val="0"/>
        <w:keepLines w:val="0"/>
        <w:widowControl w:val="0"/>
        <w:numPr>
          <w:ilvl w:val="0"/>
          <w:numId w:val="47"/>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591749">
      <w:pPr>
        <w:pStyle w:val="Subheading1Char"/>
        <w:keepNext w:val="0"/>
        <w:keepLines w:val="0"/>
        <w:numPr>
          <w:ilvl w:val="0"/>
          <w:numId w:val="47"/>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12"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12"/>
    </w:p>
    <w:p w14:paraId="44A4E77D" w14:textId="77777777" w:rsidR="00BA5BE3" w:rsidRPr="005D78D5" w:rsidRDefault="00BA5BE3" w:rsidP="00591749">
      <w:pPr>
        <w:pStyle w:val="Subheading1Char"/>
        <w:keepNext w:val="0"/>
        <w:keepLines w:val="0"/>
        <w:numPr>
          <w:ilvl w:val="0"/>
          <w:numId w:val="47"/>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591749">
      <w:pPr>
        <w:pStyle w:val="Subheading1Char"/>
        <w:keepNext w:val="0"/>
        <w:keepLines w:val="0"/>
        <w:widowControl w:val="0"/>
        <w:numPr>
          <w:ilvl w:val="0"/>
          <w:numId w:val="47"/>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591749">
      <w:pPr>
        <w:widowControl w:val="0"/>
        <w:numPr>
          <w:ilvl w:val="0"/>
          <w:numId w:val="7"/>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591749">
      <w:pPr>
        <w:pStyle w:val="Subheading1Char"/>
        <w:keepNext w:val="0"/>
        <w:keepLines w:val="0"/>
        <w:numPr>
          <w:ilvl w:val="0"/>
          <w:numId w:val="47"/>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591749">
      <w:pPr>
        <w:pStyle w:val="Subheading1Char"/>
        <w:keepNext w:val="0"/>
        <w:keepLines w:val="0"/>
        <w:numPr>
          <w:ilvl w:val="0"/>
          <w:numId w:val="47"/>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591749">
      <w:pPr>
        <w:widowControl w:val="0"/>
        <w:numPr>
          <w:ilvl w:val="1"/>
          <w:numId w:val="47"/>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591749">
      <w:pPr>
        <w:widowControl w:val="0"/>
        <w:numPr>
          <w:ilvl w:val="0"/>
          <w:numId w:val="47"/>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13"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w:t>
      </w:r>
      <w:r w:rsidRPr="005D78D5">
        <w:rPr>
          <w:rFonts w:ascii="Arial" w:hAnsi="Arial" w:cs="Arial"/>
          <w:sz w:val="20"/>
          <w:szCs w:val="20"/>
        </w:rPr>
        <w:lastRenderedPageBreak/>
        <w:t xml:space="preserve">of mind (e.g. belief, suspicion) in a reasonable </w:t>
      </w:r>
      <w:bookmarkStart w:id="114" w:name="_Hlk536626266"/>
      <w:r w:rsidRPr="005D78D5">
        <w:rPr>
          <w:rFonts w:ascii="Arial" w:hAnsi="Arial" w:cs="Arial"/>
          <w:sz w:val="20"/>
          <w:szCs w:val="20"/>
        </w:rPr>
        <w:t>person (</w:t>
      </w:r>
      <w:bookmarkStart w:id="115"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14"/>
    <w:bookmarkEnd w:id="115"/>
    <w:p w14:paraId="3BAE09A6" w14:textId="77777777"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6"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6"/>
      <w:r w:rsidRPr="005D78D5">
        <w:rPr>
          <w:rFonts w:ascii="Arial" w:hAnsi="Arial" w:cs="Arial"/>
          <w:sz w:val="20"/>
          <w:szCs w:val="20"/>
        </w:rPr>
        <w:t xml:space="preserve">). </w:t>
      </w:r>
    </w:p>
    <w:p w14:paraId="130D3789" w14:textId="5C34D6DC"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13"/>
    <w:p w14:paraId="275E441C" w14:textId="0122B565"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591749">
      <w:pPr>
        <w:numPr>
          <w:ilvl w:val="0"/>
          <w:numId w:val="47"/>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591749">
      <w:pPr>
        <w:widowControl w:val="0"/>
        <w:numPr>
          <w:ilvl w:val="0"/>
          <w:numId w:val="47"/>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bookmarkStart w:id="117"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7"/>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591749">
      <w:pPr>
        <w:widowControl w:val="0"/>
        <w:numPr>
          <w:ilvl w:val="0"/>
          <w:numId w:val="47"/>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8" w:name="_Hlk536624263"/>
      <w:r w:rsidRPr="005D78D5">
        <w:rPr>
          <w:rFonts w:ascii="Arial" w:hAnsi="Arial" w:cs="Arial"/>
          <w:sz w:val="20"/>
          <w:szCs w:val="20"/>
        </w:rPr>
        <w:t>(</w:t>
      </w:r>
      <w:bookmarkStart w:id="119"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8"/>
    </w:p>
    <w:bookmarkEnd w:id="119"/>
    <w:p w14:paraId="36B152E5" w14:textId="77777777" w:rsidR="00BA5BE3" w:rsidRPr="005D78D5" w:rsidRDefault="00BA5BE3" w:rsidP="00591749">
      <w:pPr>
        <w:widowControl w:val="0"/>
        <w:numPr>
          <w:ilvl w:val="0"/>
          <w:numId w:val="47"/>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591749">
      <w:pPr>
        <w:widowControl w:val="0"/>
        <w:numPr>
          <w:ilvl w:val="1"/>
          <w:numId w:val="47"/>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lastRenderedPageBreak/>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lang w:val="en"/>
        </w:rPr>
      </w:pPr>
      <w:bookmarkStart w:id="120"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20"/>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bookmarkStart w:id="121"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21"/>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22"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22"/>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23"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23"/>
    </w:p>
    <w:p w14:paraId="4487A274" w14:textId="77777777" w:rsidR="00BA5BE3" w:rsidRPr="005D78D5" w:rsidRDefault="00BA5BE3" w:rsidP="00591749">
      <w:pPr>
        <w:numPr>
          <w:ilvl w:val="0"/>
          <w:numId w:val="47"/>
        </w:numPr>
        <w:spacing w:before="120"/>
        <w:ind w:left="714" w:hanging="357"/>
        <w:jc w:val="both"/>
        <w:rPr>
          <w:rFonts w:ascii="Arial" w:hAnsi="Arial" w:cs="Arial"/>
          <w:sz w:val="20"/>
          <w:szCs w:val="20"/>
        </w:rPr>
      </w:pPr>
      <w:bookmarkStart w:id="124"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5"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5"/>
      <w:r w:rsidRPr="005D78D5">
        <w:rPr>
          <w:rFonts w:ascii="Arial" w:hAnsi="Arial" w:cs="Arial"/>
          <w:sz w:val="20"/>
          <w:szCs w:val="20"/>
        </w:rPr>
        <w:t xml:space="preserve">; </w:t>
      </w:r>
    </w:p>
    <w:p w14:paraId="3ECEE976"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591749">
      <w:pPr>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24"/>
    </w:p>
    <w:p w14:paraId="7B27AA8D"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Mr Slaveski’s</w:t>
      </w:r>
      <w:r w:rsidRPr="00EE6EDF">
        <w:rPr>
          <w:rFonts w:ascii="Arial" w:hAnsi="Arial" w:cs="Arial"/>
          <w:sz w:val="20"/>
          <w:szCs w:val="20"/>
        </w:rPr>
        <w:t xml:space="preserve"> shop for 30 minutes longer than was </w:t>
      </w:r>
      <w:r w:rsidRPr="00EE6EDF">
        <w:rPr>
          <w:rFonts w:ascii="Arial" w:hAnsi="Arial" w:cs="Arial"/>
          <w:sz w:val="20"/>
          <w:szCs w:val="20"/>
        </w:rPr>
        <w:lastRenderedPageBreak/>
        <w:t xml:space="preserve">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1DC72275"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val="0"/>
          <w:bCs/>
          <w:sz w:val="20"/>
          <w:lang w:val="en-US"/>
        </w:rPr>
        <w:t>Error! Bookmark not defined.</w:t>
      </w:r>
      <w:r w:rsidRPr="008F100D">
        <w:rPr>
          <w:rFonts w:ascii="Arial" w:hAnsi="Arial" w:cs="Arial"/>
          <w:sz w:val="20"/>
        </w:rPr>
        <w:fldChar w:fldCharType="end"/>
      </w:r>
    </w:p>
    <w:p w14:paraId="473CFCEB" w14:textId="0E78F68A"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val="0"/>
          <w:bCs/>
          <w:sz w:val="20"/>
          <w:lang w:val="en-US"/>
        </w:rPr>
        <w:t>Error! Bookmark not defined.</w:t>
      </w:r>
      <w:r w:rsidRPr="008F100D">
        <w:rPr>
          <w:rFonts w:ascii="Arial" w:hAnsi="Arial" w:cs="Arial"/>
          <w:sz w:val="20"/>
        </w:rPr>
        <w:fldChar w:fldCharType="end"/>
      </w:r>
    </w:p>
    <w:p w14:paraId="09BFA72E" w14:textId="6F11B72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187D4117" w14:textId="0F11A845"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1836DDBC" w14:textId="035F9CAF"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8F100D">
        <w:rPr>
          <w:rFonts w:ascii="Arial" w:hAnsi="Arial" w:cs="Arial"/>
          <w:sz w:val="18"/>
          <w:szCs w:val="18"/>
        </w:rPr>
        <w:fldChar w:fldCharType="end"/>
      </w:r>
    </w:p>
    <w:p w14:paraId="0BE528A0" w14:textId="39904450"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8F100D">
        <w:rPr>
          <w:rFonts w:ascii="Arial" w:hAnsi="Arial" w:cs="Arial"/>
          <w:sz w:val="18"/>
          <w:szCs w:val="18"/>
        </w:rPr>
        <w:fldChar w:fldCharType="end"/>
      </w:r>
    </w:p>
    <w:p w14:paraId="715445DC" w14:textId="59119282"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8F100D">
        <w:rPr>
          <w:rFonts w:ascii="Arial" w:hAnsi="Arial" w:cs="Arial"/>
          <w:sz w:val="18"/>
          <w:szCs w:val="18"/>
        </w:rPr>
        <w:fldChar w:fldCharType="end"/>
      </w:r>
    </w:p>
    <w:p w14:paraId="4908EA8E" w14:textId="770D00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761B1722" w14:textId="294ACA05"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0853737C" w14:textId="3E9E4560"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0482008A" w14:textId="75320F7A"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0A5B7338" w14:textId="06196882"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val="0"/>
          <w:bCs/>
          <w:sz w:val="20"/>
          <w:lang w:val="en-US"/>
        </w:rPr>
        <w:t>Error! Bookmark not defined.</w:t>
      </w:r>
      <w:r w:rsidRPr="008F100D">
        <w:rPr>
          <w:rFonts w:ascii="Arial" w:hAnsi="Arial" w:cs="Arial"/>
          <w:sz w:val="20"/>
        </w:rPr>
        <w:fldChar w:fldCharType="end"/>
      </w:r>
    </w:p>
    <w:p w14:paraId="715FF0F3" w14:textId="3B917EFB"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val="0"/>
          <w:bCs/>
          <w:sz w:val="20"/>
          <w:lang w:val="en-US"/>
        </w:rPr>
        <w:t>Error! Bookmark not defined.</w:t>
      </w:r>
      <w:r w:rsidRPr="008F100D">
        <w:rPr>
          <w:rFonts w:ascii="Arial" w:hAnsi="Arial" w:cs="Arial"/>
          <w:sz w:val="20"/>
        </w:rPr>
        <w:fldChar w:fldCharType="end"/>
      </w:r>
    </w:p>
    <w:p w14:paraId="08AB90AB" w14:textId="4B025572"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38D9A34C" w14:textId="4EEC2429"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105A76C6" w14:textId="0279CF9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798B4D70" w14:textId="07A628EF"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484CE2">
        <w:rPr>
          <w:rFonts w:ascii="Arial" w:hAnsi="Arial" w:cs="Arial"/>
          <w:sz w:val="18"/>
          <w:szCs w:val="18"/>
        </w:rPr>
        <w:fldChar w:fldCharType="end"/>
      </w:r>
    </w:p>
    <w:p w14:paraId="7026B4C6" w14:textId="4024701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484CE2">
        <w:rPr>
          <w:rFonts w:ascii="Arial" w:hAnsi="Arial" w:cs="Arial"/>
          <w:sz w:val="18"/>
          <w:szCs w:val="18"/>
        </w:rPr>
        <w:fldChar w:fldCharType="end"/>
      </w:r>
    </w:p>
    <w:p w14:paraId="17F21023" w14:textId="251AB5CA"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0029408E">
        <w:rPr>
          <w:rFonts w:ascii="Arial" w:hAnsi="Arial" w:cs="Arial"/>
          <w:b/>
          <w:bCs/>
          <w:noProof/>
          <w:sz w:val="18"/>
          <w:szCs w:val="18"/>
          <w:lang w:val="en-US"/>
        </w:rPr>
        <w:t>Error! Bookmark not defined.</w:t>
      </w:r>
      <w:r w:rsidRPr="00484CE2">
        <w:rPr>
          <w:rFonts w:ascii="Arial" w:hAnsi="Arial" w:cs="Arial"/>
          <w:sz w:val="18"/>
          <w:szCs w:val="18"/>
        </w:rPr>
        <w:fldChar w:fldCharType="end"/>
      </w:r>
    </w:p>
    <w:p w14:paraId="3C61BA19" w14:textId="5F071C15"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0C2D3171" w14:textId="32636C68"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0029408E">
        <w:rPr>
          <w:rFonts w:ascii="Arial" w:hAnsi="Arial" w:cs="Arial"/>
          <w:b/>
          <w:bCs/>
          <w:sz w:val="20"/>
          <w:lang w:val="en-US"/>
        </w:rPr>
        <w:t>Error! Bookmark not defined.</w:t>
      </w:r>
      <w:r w:rsidRPr="008F100D">
        <w:rPr>
          <w:rFonts w:ascii="Arial" w:hAnsi="Arial" w:cs="Arial"/>
          <w:sz w:val="20"/>
        </w:rPr>
        <w:fldChar w:fldCharType="end"/>
      </w:r>
    </w:p>
    <w:p w14:paraId="3CCE8628" w14:textId="09CA3224"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val="0"/>
          <w:bCs/>
          <w:sz w:val="20"/>
          <w:lang w:val="en-US"/>
        </w:rPr>
        <w:t>Error! Bookmark not defined.</w:t>
      </w:r>
      <w:r w:rsidRPr="00EE6EDF">
        <w:rPr>
          <w:rFonts w:ascii="Arial" w:hAnsi="Arial" w:cs="Arial"/>
          <w:sz w:val="20"/>
        </w:rPr>
        <w:fldChar w:fldCharType="end"/>
      </w:r>
    </w:p>
    <w:p w14:paraId="59FD78A8" w14:textId="2A323382"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6C0AB3D9" w14:textId="624191DC"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71A27E78" w14:textId="6524A91F"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01DABE81" w14:textId="6BBAB0DE"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3FCB068C" w14:textId="013B38D2"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6AC6FEBA" w14:textId="15707A3F"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6F271C8E" w14:textId="52D266C9"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4A7F5E82" w14:textId="4C2B81BA"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135982DC" w14:textId="6A32B70E"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6BFDFF65" w14:textId="3AECAF9A"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0029408E">
        <w:rPr>
          <w:rFonts w:ascii="Arial" w:hAnsi="Arial" w:cs="Arial"/>
          <w:b/>
          <w:bCs/>
          <w:sz w:val="20"/>
          <w:lang w:val="en-US"/>
        </w:rPr>
        <w:t>Error! Bookmark not defined.</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591749">
      <w:pPr>
        <w:pStyle w:val="ListParagraph"/>
        <w:numPr>
          <w:ilvl w:val="0"/>
          <w:numId w:val="65"/>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591749">
      <w:pPr>
        <w:numPr>
          <w:ilvl w:val="0"/>
          <w:numId w:val="66"/>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591749">
      <w:pPr>
        <w:numPr>
          <w:ilvl w:val="0"/>
          <w:numId w:val="66"/>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591749">
      <w:pPr>
        <w:pStyle w:val="ListParagraph"/>
        <w:numPr>
          <w:ilvl w:val="0"/>
          <w:numId w:val="65"/>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591749">
      <w:pPr>
        <w:numPr>
          <w:ilvl w:val="0"/>
          <w:numId w:val="67"/>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591749">
      <w:pPr>
        <w:numPr>
          <w:ilvl w:val="0"/>
          <w:numId w:val="67"/>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591749">
      <w:pPr>
        <w:pStyle w:val="ListParagraph"/>
        <w:numPr>
          <w:ilvl w:val="0"/>
          <w:numId w:val="6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591749">
      <w:pPr>
        <w:numPr>
          <w:ilvl w:val="0"/>
          <w:numId w:val="69"/>
        </w:numPr>
        <w:spacing w:before="25"/>
        <w:ind w:left="1004" w:hanging="284"/>
        <w:jc w:val="both"/>
        <w:rPr>
          <w:rFonts w:ascii="Arial" w:hAnsi="Arial" w:cs="Arial"/>
          <w:sz w:val="20"/>
        </w:rPr>
      </w:pPr>
      <w:r>
        <w:rPr>
          <w:rFonts w:ascii="Arial" w:hAnsi="Arial" w:cs="Arial"/>
          <w:sz w:val="20"/>
        </w:rPr>
        <w:lastRenderedPageBreak/>
        <w:t>is remanded in custody in the remand centre; and</w:t>
      </w:r>
    </w:p>
    <w:p w14:paraId="18EEAB17" w14:textId="77777777" w:rsidR="00621E7D" w:rsidRDefault="00621E7D" w:rsidP="00591749">
      <w:pPr>
        <w:numPr>
          <w:ilvl w:val="0"/>
          <w:numId w:val="69"/>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591749">
      <w:pPr>
        <w:pStyle w:val="ListParagraph"/>
        <w:numPr>
          <w:ilvl w:val="0"/>
          <w:numId w:val="68"/>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591749">
      <w:pPr>
        <w:numPr>
          <w:ilvl w:val="0"/>
          <w:numId w:val="70"/>
        </w:numPr>
        <w:ind w:left="1004" w:hanging="284"/>
        <w:jc w:val="both"/>
        <w:rPr>
          <w:rFonts w:ascii="Arial" w:hAnsi="Arial" w:cs="Arial"/>
          <w:sz w:val="20"/>
        </w:rPr>
      </w:pPr>
      <w:r>
        <w:rPr>
          <w:rFonts w:ascii="Arial" w:hAnsi="Arial" w:cs="Arial"/>
          <w:sz w:val="20"/>
        </w:rPr>
        <w:t>has engaged in conduct that threatens the good order and safe operation of the remand centre; and</w:t>
      </w:r>
    </w:p>
    <w:p w14:paraId="5F6872BB" w14:textId="77777777" w:rsidR="00621E7D" w:rsidRDefault="00621E7D" w:rsidP="00591749">
      <w:pPr>
        <w:numPr>
          <w:ilvl w:val="0"/>
          <w:numId w:val="70"/>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6" w:name="_7.3_Victoria_Police"/>
      <w:bookmarkStart w:id="127" w:name="_Toc30669419"/>
      <w:bookmarkStart w:id="128" w:name="_Toc30671635"/>
      <w:bookmarkStart w:id="129" w:name="_Toc30674162"/>
      <w:bookmarkStart w:id="130" w:name="_Toc30691384"/>
      <w:bookmarkStart w:id="131" w:name="_Toc30691759"/>
      <w:bookmarkStart w:id="132" w:name="_Toc30692139"/>
      <w:bookmarkStart w:id="133" w:name="_Toc30692898"/>
      <w:bookmarkStart w:id="134" w:name="_Toc30693277"/>
      <w:bookmarkStart w:id="135" w:name="_Toc30693655"/>
      <w:bookmarkStart w:id="136" w:name="_Toc30694033"/>
      <w:bookmarkStart w:id="137" w:name="_Toc30694414"/>
      <w:bookmarkStart w:id="138" w:name="_Toc30699003"/>
      <w:bookmarkStart w:id="139" w:name="_Toc30699381"/>
      <w:bookmarkStart w:id="140" w:name="_Toc30699766"/>
      <w:bookmarkStart w:id="141" w:name="_Toc30700921"/>
      <w:bookmarkStart w:id="142" w:name="_Toc30701308"/>
      <w:bookmarkStart w:id="143" w:name="_Toc30743919"/>
      <w:bookmarkStart w:id="144" w:name="_Toc30754742"/>
      <w:bookmarkStart w:id="145" w:name="_Toc30757183"/>
      <w:bookmarkStart w:id="146" w:name="_Toc30757731"/>
      <w:bookmarkStart w:id="147" w:name="_Toc30758131"/>
      <w:bookmarkStart w:id="148" w:name="_Toc30762892"/>
      <w:bookmarkStart w:id="149" w:name="_Toc30767546"/>
      <w:bookmarkStart w:id="150" w:name="_Toc34823564"/>
      <w:bookmarkEnd w:id="126"/>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51" w:name="_7.3.1_Personal_searches"/>
      <w:bookmarkEnd w:id="151"/>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52" w:name="_7.3.2_Legal_analysis"/>
      <w:bookmarkEnd w:id="152"/>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53"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53"/>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bookmarkStart w:id="154"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54"/>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5" w:name="_Toc14707177"/>
      <w:bookmarkStart w:id="156" w:name="_Toc15049954"/>
      <w:r w:rsidRPr="000438D8">
        <w:rPr>
          <w:rFonts w:ascii="Arial" w:hAnsi="Arial" w:cs="Arial"/>
          <w:b/>
          <w:bCs/>
          <w:sz w:val="20"/>
          <w:szCs w:val="20"/>
          <w:u w:val="single"/>
        </w:rPr>
        <w:t>Statutory powers independent of an arrest</w:t>
      </w:r>
      <w:bookmarkEnd w:id="155"/>
      <w:bookmarkEnd w:id="156"/>
    </w:p>
    <w:p w14:paraId="4C54F0B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591749">
      <w:pPr>
        <w:numPr>
          <w:ilvl w:val="0"/>
          <w:numId w:val="26"/>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7" w:name="_7.3.3_Three_types"/>
      <w:bookmarkEnd w:id="157"/>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591749">
      <w:pPr>
        <w:pStyle w:val="DraftDefinition2"/>
        <w:keepNext/>
        <w:keepLines/>
        <w:numPr>
          <w:ilvl w:val="0"/>
          <w:numId w:val="29"/>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8" w:name="_7.3.4_Statutory_police"/>
      <w:bookmarkEnd w:id="158"/>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591749">
      <w:pPr>
        <w:pStyle w:val="ListParagraph"/>
        <w:numPr>
          <w:ilvl w:val="0"/>
          <w:numId w:val="24"/>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591749">
      <w:pPr>
        <w:pStyle w:val="ListParagraph"/>
        <w:numPr>
          <w:ilvl w:val="0"/>
          <w:numId w:val="3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591749">
      <w:pPr>
        <w:pStyle w:val="ListParagraph"/>
        <w:numPr>
          <w:ilvl w:val="0"/>
          <w:numId w:val="39"/>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591749">
      <w:pPr>
        <w:pStyle w:val="ListParagraph"/>
        <w:numPr>
          <w:ilvl w:val="0"/>
          <w:numId w:val="41"/>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591749">
      <w:pPr>
        <w:pStyle w:val="ListParagraph"/>
        <w:numPr>
          <w:ilvl w:val="0"/>
          <w:numId w:val="22"/>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591749">
      <w:pPr>
        <w:pStyle w:val="ListParagraph"/>
        <w:numPr>
          <w:ilvl w:val="0"/>
          <w:numId w:val="23"/>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591749">
      <w:pPr>
        <w:pStyle w:val="ListParagraph"/>
        <w:numPr>
          <w:ilvl w:val="0"/>
          <w:numId w:val="23"/>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9" w:name="_7.3.5_Personal_searches"/>
      <w:bookmarkEnd w:id="159"/>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60" w:name="_7.3.6_Personal_searches"/>
      <w:bookmarkEnd w:id="160"/>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591749">
      <w:pPr>
        <w:pStyle w:val="DraftHeading3"/>
        <w:numPr>
          <w:ilvl w:val="2"/>
          <w:numId w:val="43"/>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591749">
      <w:pPr>
        <w:pStyle w:val="DraftHeading3"/>
        <w:numPr>
          <w:ilvl w:val="2"/>
          <w:numId w:val="43"/>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591749">
      <w:pPr>
        <w:pStyle w:val="ListParagraph"/>
        <w:numPr>
          <w:ilvl w:val="0"/>
          <w:numId w:val="31"/>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591749">
      <w:pPr>
        <w:pStyle w:val="ListParagraph"/>
        <w:numPr>
          <w:ilvl w:val="0"/>
          <w:numId w:val="31"/>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591749">
      <w:pPr>
        <w:pStyle w:val="ListParagraph"/>
        <w:numPr>
          <w:ilvl w:val="0"/>
          <w:numId w:val="31"/>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591749">
      <w:pPr>
        <w:pStyle w:val="ListParagraph"/>
        <w:numPr>
          <w:ilvl w:val="0"/>
          <w:numId w:val="31"/>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61"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61"/>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62"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62"/>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63"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63"/>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591749">
      <w:pPr>
        <w:numPr>
          <w:ilvl w:val="0"/>
          <w:numId w:val="44"/>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591749">
      <w:pPr>
        <w:numPr>
          <w:ilvl w:val="0"/>
          <w:numId w:val="44"/>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64" w:name="_7.4_&quot;Police_Cautioning"/>
      <w:bookmarkEnd w:id="164"/>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5" w:name="_7.5_Commencement_of"/>
      <w:bookmarkStart w:id="166" w:name="_Toc30669422"/>
      <w:bookmarkStart w:id="167" w:name="_Toc30671638"/>
      <w:bookmarkStart w:id="168" w:name="_Toc30674165"/>
      <w:bookmarkStart w:id="169" w:name="_Toc30691387"/>
      <w:bookmarkStart w:id="170" w:name="_Toc30691762"/>
      <w:bookmarkStart w:id="171" w:name="_Toc30692142"/>
      <w:bookmarkStart w:id="172" w:name="_Toc30692901"/>
      <w:bookmarkStart w:id="173" w:name="_Toc30693280"/>
      <w:bookmarkStart w:id="174" w:name="_Toc30693658"/>
      <w:bookmarkStart w:id="175" w:name="_Toc30694036"/>
      <w:bookmarkStart w:id="176" w:name="_Toc30694416"/>
      <w:bookmarkStart w:id="177" w:name="_Toc30699005"/>
      <w:bookmarkStart w:id="178" w:name="_Toc30699383"/>
      <w:bookmarkStart w:id="179" w:name="_Toc30699768"/>
      <w:bookmarkStart w:id="180" w:name="_Toc30700923"/>
      <w:bookmarkStart w:id="181" w:name="_Toc30701310"/>
      <w:bookmarkStart w:id="182" w:name="_Toc30743921"/>
      <w:bookmarkStart w:id="183" w:name="_Toc30754744"/>
      <w:bookmarkStart w:id="184" w:name="_Toc30757185"/>
      <w:bookmarkStart w:id="185" w:name="_Toc30757733"/>
      <w:bookmarkStart w:id="186" w:name="_Toc30758133"/>
      <w:bookmarkStart w:id="187" w:name="_Toc30762894"/>
      <w:bookmarkStart w:id="188" w:name="_Toc30767548"/>
      <w:bookmarkStart w:id="189" w:name="_Toc34823566"/>
      <w:bookmarkEnd w:id="165"/>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90" w:name="_7.5.1_Charge-sheet"/>
      <w:bookmarkStart w:id="191" w:name="_Toc30669423"/>
      <w:bookmarkStart w:id="192" w:name="_Toc30671639"/>
      <w:bookmarkStart w:id="193" w:name="_Toc30674166"/>
      <w:bookmarkStart w:id="194" w:name="_Toc30691388"/>
      <w:bookmarkStart w:id="195" w:name="_Toc30691763"/>
      <w:bookmarkStart w:id="196" w:name="_Toc30692143"/>
      <w:bookmarkStart w:id="197" w:name="_Toc30692902"/>
      <w:bookmarkStart w:id="198" w:name="_Toc30693281"/>
      <w:bookmarkStart w:id="199" w:name="_Toc30693659"/>
      <w:bookmarkStart w:id="200" w:name="_Toc30694037"/>
      <w:bookmarkStart w:id="201" w:name="_Toc30694417"/>
      <w:bookmarkStart w:id="202" w:name="_Toc30699006"/>
      <w:bookmarkStart w:id="203" w:name="_Toc30699384"/>
      <w:bookmarkStart w:id="204" w:name="_Toc30699769"/>
      <w:bookmarkStart w:id="205" w:name="_Toc30700924"/>
      <w:bookmarkStart w:id="206" w:name="_Toc30701311"/>
      <w:bookmarkStart w:id="207" w:name="_Toc30743922"/>
      <w:bookmarkStart w:id="208" w:name="_Toc30754745"/>
      <w:bookmarkStart w:id="209" w:name="_Toc30757186"/>
      <w:bookmarkStart w:id="210" w:name="_Toc30757734"/>
      <w:bookmarkStart w:id="211" w:name="_Toc30758134"/>
      <w:bookmarkStart w:id="212" w:name="_Toc30762895"/>
      <w:bookmarkStart w:id="213" w:name="_Toc30767549"/>
      <w:bookmarkStart w:id="214" w:name="_Toc34823567"/>
      <w:bookmarkEnd w:id="1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5" w:name="_7.5.2_Time_limits"/>
      <w:bookmarkEnd w:id="21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6" w:name="_7.5.3_Notice_to"/>
      <w:bookmarkStart w:id="217" w:name="_Toc30669424"/>
      <w:bookmarkStart w:id="218" w:name="_Toc30671640"/>
      <w:bookmarkStart w:id="219" w:name="_Toc30674167"/>
      <w:bookmarkStart w:id="220" w:name="_Toc30691389"/>
      <w:bookmarkStart w:id="221" w:name="_Toc30691764"/>
      <w:bookmarkStart w:id="222" w:name="_Toc30692144"/>
      <w:bookmarkStart w:id="223" w:name="_Toc30692903"/>
      <w:bookmarkStart w:id="224" w:name="_Toc30693282"/>
      <w:bookmarkStart w:id="225" w:name="_Toc30693660"/>
      <w:bookmarkStart w:id="226" w:name="_Toc30694038"/>
      <w:bookmarkStart w:id="227" w:name="_Toc30694418"/>
      <w:bookmarkStart w:id="228" w:name="_Toc30699007"/>
      <w:bookmarkStart w:id="229" w:name="_Toc30699385"/>
      <w:bookmarkStart w:id="230" w:name="_Toc30699770"/>
      <w:bookmarkStart w:id="231" w:name="_Toc30700925"/>
      <w:bookmarkStart w:id="232" w:name="_Toc30701312"/>
      <w:bookmarkStart w:id="233" w:name="_Toc30743923"/>
      <w:bookmarkStart w:id="234" w:name="_Toc30754746"/>
      <w:bookmarkStart w:id="235" w:name="_Toc30757187"/>
      <w:bookmarkStart w:id="236" w:name="_Toc30757735"/>
      <w:bookmarkStart w:id="237" w:name="_Toc30758135"/>
      <w:bookmarkStart w:id="238" w:name="_Toc30762896"/>
      <w:bookmarkStart w:id="239" w:name="_Toc30767550"/>
      <w:bookmarkStart w:id="240" w:name="_Toc34823568"/>
      <w:bookmarkEnd w:id="21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41" w:name="_7.5.4_Securing_attendance"/>
      <w:bookmarkStart w:id="242" w:name="_Toc30669425"/>
      <w:bookmarkStart w:id="243" w:name="_Toc30671641"/>
      <w:bookmarkStart w:id="244" w:name="_Toc30674168"/>
      <w:bookmarkStart w:id="245" w:name="_Toc30691390"/>
      <w:bookmarkStart w:id="246" w:name="_Toc30691765"/>
      <w:bookmarkStart w:id="247" w:name="_Toc30692145"/>
      <w:bookmarkStart w:id="248" w:name="_Toc30692904"/>
      <w:bookmarkStart w:id="249" w:name="_Toc30693283"/>
      <w:bookmarkStart w:id="250" w:name="_Toc30693661"/>
      <w:bookmarkStart w:id="251" w:name="_Toc30694039"/>
      <w:bookmarkStart w:id="252" w:name="_Toc30694419"/>
      <w:bookmarkStart w:id="253" w:name="_Toc30699008"/>
      <w:bookmarkStart w:id="254" w:name="_Toc30699386"/>
      <w:bookmarkStart w:id="255" w:name="_Toc30699771"/>
      <w:bookmarkStart w:id="256" w:name="_Toc30700926"/>
      <w:bookmarkStart w:id="257" w:name="_Toc30701313"/>
      <w:bookmarkStart w:id="258" w:name="_Toc30743924"/>
      <w:bookmarkStart w:id="259" w:name="_Toc30754747"/>
      <w:bookmarkStart w:id="260" w:name="_Toc30757188"/>
      <w:bookmarkStart w:id="261" w:name="_Toc30757736"/>
      <w:bookmarkStart w:id="262" w:name="_Toc30758136"/>
      <w:bookmarkStart w:id="263" w:name="_Toc30762897"/>
      <w:bookmarkStart w:id="264" w:name="_Toc30767551"/>
      <w:bookmarkStart w:id="265" w:name="_Toc34823569"/>
      <w:bookmarkEnd w:id="24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6" w:name="_Toc30669427"/>
      <w:bookmarkStart w:id="267" w:name="_Toc30671643"/>
      <w:bookmarkStart w:id="268" w:name="_Toc30674170"/>
      <w:bookmarkStart w:id="269" w:name="_Toc30691392"/>
      <w:bookmarkStart w:id="270" w:name="_Toc30691767"/>
      <w:bookmarkStart w:id="271" w:name="_Toc30692147"/>
      <w:bookmarkStart w:id="272" w:name="_Toc30692906"/>
      <w:bookmarkStart w:id="273" w:name="_Toc30693285"/>
      <w:bookmarkStart w:id="274" w:name="_Toc30693663"/>
      <w:bookmarkStart w:id="275" w:name="_Toc30694041"/>
      <w:bookmarkStart w:id="276" w:name="_Toc30694421"/>
      <w:bookmarkStart w:id="277" w:name="_Toc30699010"/>
      <w:bookmarkStart w:id="278" w:name="_Toc30699388"/>
      <w:bookmarkStart w:id="279" w:name="_Toc30699773"/>
      <w:bookmarkStart w:id="280" w:name="_Toc30700928"/>
      <w:bookmarkStart w:id="281" w:name="_Toc30701315"/>
      <w:bookmarkStart w:id="282" w:name="_Toc30743926"/>
      <w:bookmarkStart w:id="283" w:name="_Toc30754749"/>
      <w:bookmarkStart w:id="284" w:name="_Toc30757190"/>
      <w:bookmarkStart w:id="285" w:name="_Toc30757738"/>
      <w:bookmarkStart w:id="286" w:name="_Toc30758138"/>
      <w:bookmarkStart w:id="287" w:name="_Toc30762899"/>
      <w:bookmarkStart w:id="288" w:name="_Toc30767553"/>
      <w:bookmarkStart w:id="289"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90" w:name="_7.5.5_Amendment_of"/>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91"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91"/>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92" w:name="_7.5.6_Proper_Venue"/>
      <w:bookmarkEnd w:id="292"/>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591749">
      <w:pPr>
        <w:pStyle w:val="ListParagraph"/>
        <w:numPr>
          <w:ilvl w:val="0"/>
          <w:numId w:val="55"/>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591749">
      <w:pPr>
        <w:pStyle w:val="ListParagraph"/>
        <w:numPr>
          <w:ilvl w:val="0"/>
          <w:numId w:val="55"/>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93"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93"/>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94"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5"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5"/>
      <w:r w:rsidR="00DB79DE">
        <w:rPr>
          <w:rFonts w:ascii="Arial" w:eastAsia="Book Antiqua" w:hAnsi="Arial" w:cs="Arial"/>
          <w:sz w:val="20"/>
          <w:szCs w:val="22"/>
        </w:rPr>
        <w:t>.</w:t>
      </w:r>
    </w:p>
    <w:bookmarkEnd w:id="294"/>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6" w:name="_7.5.6_Venue_of"/>
      <w:bookmarkEnd w:id="29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Rossi v Martland</w:t>
      </w:r>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7" w:name="_7.5.7_Criminal_Division"/>
      <w:bookmarkEnd w:id="297"/>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NJC-C’wood</w:t>
            </w:r>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591749">
      <w:pPr>
        <w:pStyle w:val="ListParagraph"/>
        <w:numPr>
          <w:ilvl w:val="0"/>
          <w:numId w:val="5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8" w:name="_7.6_Children_and"/>
      <w:bookmarkEnd w:id="298"/>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9" w:name="_7.7_Youth_and"/>
      <w:bookmarkEnd w:id="299"/>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300" w:name="_7.7.1_Youth_and"/>
      <w:bookmarkEnd w:id="300"/>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301" w:name="_Toc30669420"/>
      <w:bookmarkStart w:id="302" w:name="_Toc30671636"/>
      <w:bookmarkStart w:id="303" w:name="_Toc30674163"/>
      <w:bookmarkStart w:id="304" w:name="_Toc30691385"/>
      <w:bookmarkStart w:id="305" w:name="_Toc30691760"/>
      <w:bookmarkStart w:id="306" w:name="_Toc30692140"/>
      <w:bookmarkStart w:id="307" w:name="_Toc30692899"/>
      <w:bookmarkStart w:id="308" w:name="_Toc30693278"/>
      <w:bookmarkStart w:id="309" w:name="_Toc30693656"/>
      <w:bookmarkStart w:id="310" w:name="_Toc30694034"/>
      <w:bookmarkStart w:id="311" w:name="_Toc30669421"/>
      <w:bookmarkStart w:id="312" w:name="_Toc30671637"/>
      <w:bookmarkStart w:id="313" w:name="_Toc30674164"/>
      <w:bookmarkStart w:id="314" w:name="_Toc30691386"/>
      <w:bookmarkStart w:id="315" w:name="_Toc30691761"/>
      <w:bookmarkStart w:id="316" w:name="_Toc30692141"/>
      <w:bookmarkStart w:id="317" w:name="_Toc30692900"/>
      <w:bookmarkStart w:id="318" w:name="_Toc30693279"/>
      <w:bookmarkStart w:id="319" w:name="_Toc30693657"/>
      <w:bookmarkStart w:id="320"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21" w:name="_Toc30694415"/>
      <w:bookmarkStart w:id="322" w:name="_Toc30699004"/>
      <w:bookmarkStart w:id="323" w:name="_Toc30699382"/>
      <w:bookmarkStart w:id="324" w:name="_Toc30699767"/>
      <w:bookmarkStart w:id="325" w:name="_Toc30700922"/>
      <w:bookmarkStart w:id="326" w:name="_Toc30701309"/>
      <w:bookmarkStart w:id="327" w:name="_Toc30743920"/>
      <w:bookmarkStart w:id="328" w:name="_Toc30754743"/>
      <w:bookmarkStart w:id="329" w:name="_Toc30757184"/>
      <w:bookmarkStart w:id="330" w:name="_Toc30757732"/>
      <w:bookmarkStart w:id="331" w:name="_Toc30758132"/>
      <w:bookmarkStart w:id="332" w:name="_Toc30762893"/>
      <w:bookmarkStart w:id="333" w:name="_Toc30767547"/>
      <w:bookmarkStart w:id="334"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3EB03884" w:rsidR="00C76023" w:rsidRDefault="00134C5C" w:rsidP="00FC09A7">
      <w:pPr>
        <w:pStyle w:val="Heading3"/>
        <w:keepNext/>
        <w:spacing w:line="240" w:lineRule="auto"/>
        <w:rPr>
          <w:rFonts w:ascii="Arial" w:hAnsi="Arial" w:cs="Arial"/>
          <w:b/>
          <w:bCs/>
          <w:color w:val="000000"/>
          <w:sz w:val="20"/>
        </w:rPr>
      </w:pPr>
      <w:bookmarkStart w:id="335" w:name="_7.7.2_Youth_offending"/>
      <w:bookmarkStart w:id="336" w:name="_Toc30671644"/>
      <w:bookmarkStart w:id="337" w:name="_Toc30674171"/>
      <w:bookmarkStart w:id="338" w:name="_Toc30691393"/>
      <w:bookmarkStart w:id="339" w:name="_Toc30691768"/>
      <w:bookmarkStart w:id="340" w:name="_Toc30692148"/>
      <w:bookmarkStart w:id="341" w:name="_Toc30692907"/>
      <w:bookmarkStart w:id="342" w:name="_Toc30693286"/>
      <w:bookmarkStart w:id="343" w:name="_Toc30693664"/>
      <w:bookmarkStart w:id="344" w:name="_Toc30694042"/>
      <w:bookmarkStart w:id="345" w:name="_Toc30694422"/>
      <w:bookmarkStart w:id="346" w:name="_Toc30699011"/>
      <w:bookmarkStart w:id="347" w:name="_Toc30699389"/>
      <w:bookmarkStart w:id="348" w:name="_Toc30699774"/>
      <w:bookmarkStart w:id="349" w:name="_Toc30700929"/>
      <w:bookmarkStart w:id="350" w:name="_Toc30701316"/>
      <w:bookmarkStart w:id="351" w:name="_Toc30743927"/>
      <w:bookmarkStart w:id="352" w:name="_Toc30754750"/>
      <w:bookmarkStart w:id="353" w:name="_Toc30757191"/>
      <w:bookmarkStart w:id="354" w:name="_Toc30757739"/>
      <w:bookmarkStart w:id="355" w:name="_Toc30758139"/>
      <w:bookmarkStart w:id="356" w:name="_Toc30762900"/>
      <w:bookmarkStart w:id="357" w:name="_Toc30767554"/>
      <w:bookmarkStart w:id="358" w:name="_Toc3482357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C25504">
        <w:rPr>
          <w:rFonts w:ascii="Arial" w:hAnsi="Arial" w:cs="Arial"/>
          <w:b/>
          <w:bCs/>
          <w:color w:val="000000"/>
          <w:sz w:val="20"/>
        </w:rPr>
        <w:t>4</w:t>
      </w:r>
      <w:r w:rsidR="00F12894">
        <w:rPr>
          <w:rFonts w:ascii="Arial" w:hAnsi="Arial" w:cs="Arial"/>
          <w:b/>
          <w:bCs/>
          <w:color w:val="000000"/>
          <w:sz w:val="20"/>
        </w:rPr>
        <w:t>/2</w:t>
      </w:r>
      <w:r w:rsidR="00C25504">
        <w:rPr>
          <w:rFonts w:ascii="Arial" w:hAnsi="Arial" w:cs="Arial"/>
          <w:b/>
          <w:bCs/>
          <w:color w:val="000000"/>
          <w:sz w:val="20"/>
        </w:rPr>
        <w:t>5</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767620D1" w14:textId="5EF9B382" w:rsidR="009112B4" w:rsidRDefault="009112B4" w:rsidP="00FC09A7">
      <w:pPr>
        <w:spacing w:after="120"/>
        <w:jc w:val="both"/>
        <w:rPr>
          <w:rFonts w:ascii="Arial" w:hAnsi="Arial" w:cs="Arial"/>
          <w:color w:val="000000"/>
          <w:sz w:val="20"/>
        </w:rPr>
      </w:pPr>
      <w:r>
        <w:rPr>
          <w:rFonts w:ascii="Arial" w:hAnsi="Arial" w:cs="Arial"/>
          <w:color w:val="000000"/>
          <w:sz w:val="20"/>
        </w:rPr>
        <w:lastRenderedPageBreak/>
        <w:t xml:space="preserve">And it is clear from the following chart that the downward trend in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2015/16 to 2024/25 has by and large continued.</w:t>
      </w:r>
    </w:p>
    <w:p w14:paraId="24DF42F2" w14:textId="055F3A2E" w:rsidR="009112B4" w:rsidRDefault="009112B4" w:rsidP="00FC09A7">
      <w:pPr>
        <w:spacing w:after="120"/>
        <w:jc w:val="both"/>
        <w:rPr>
          <w:rFonts w:ascii="Arial" w:hAnsi="Arial" w:cs="Arial"/>
          <w:color w:val="000000"/>
          <w:sz w:val="20"/>
        </w:rPr>
      </w:pPr>
      <w:r>
        <w:rPr>
          <w:noProof/>
        </w:rPr>
        <w:drawing>
          <wp:inline distT="0" distB="0" distL="0" distR="0" wp14:anchorId="3147BC2C" wp14:editId="016D49B4">
            <wp:extent cx="5759450" cy="4319905"/>
            <wp:effectExtent l="0" t="0" r="0" b="4445"/>
            <wp:docPr id="806187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793"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59450" cy="4319905"/>
                    </a:xfrm>
                    <a:prstGeom prst="rect">
                      <a:avLst/>
                    </a:prstGeom>
                  </pic:spPr>
                </pic:pic>
              </a:graphicData>
            </a:graphic>
          </wp:inline>
        </w:drawing>
      </w:r>
    </w:p>
    <w:p w14:paraId="32AF82D2" w14:textId="67B2A70B" w:rsidR="00EA0A44" w:rsidRDefault="00AB4EA8" w:rsidP="00FC09A7">
      <w:pPr>
        <w:spacing w:after="120"/>
        <w:jc w:val="both"/>
        <w:rPr>
          <w:rFonts w:ascii="Arial" w:hAnsi="Arial" w:cs="Arial"/>
          <w:color w:val="000000"/>
          <w:sz w:val="20"/>
        </w:rPr>
      </w:pPr>
      <w:r>
        <w:rPr>
          <w:rFonts w:ascii="Arial" w:hAnsi="Arial" w:cs="Arial"/>
          <w:color w:val="000000"/>
          <w:sz w:val="20"/>
        </w:rPr>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31"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2"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Ogloff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Ogloff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E702A">
      <w:pPr>
        <w:keepNext/>
        <w:keepLines/>
        <w:spacing w:after="5" w:line="250" w:lineRule="auto"/>
        <w:ind w:left="-6"/>
        <w:jc w:val="center"/>
      </w:pPr>
      <w:r>
        <w:rPr>
          <w:rFonts w:ascii="Arial" w:eastAsia="Arial" w:hAnsi="Arial" w:cs="Arial"/>
          <w:i/>
        </w:rPr>
        <w:lastRenderedPageBreak/>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3"/>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4"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591749">
      <w:pPr>
        <w:pStyle w:val="ListParagraph"/>
        <w:numPr>
          <w:ilvl w:val="0"/>
          <w:numId w:val="58"/>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 xml:space="preserve">per cent of young people aged 10–17 in detention were unsentenced. The high proportion of unsentenced young people in detention is a national trend, with almost three </w:t>
      </w:r>
      <w:r w:rsidRPr="00124048">
        <w:rPr>
          <w:rFonts w:ascii="Arial" w:hAnsi="Arial" w:cs="Arial"/>
          <w:sz w:val="20"/>
          <w:szCs w:val="20"/>
        </w:rPr>
        <w:lastRenderedPageBreak/>
        <w:t>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25442F30" w14:textId="77777777" w:rsidR="008E702A" w:rsidRDefault="008E702A" w:rsidP="008E702A">
      <w:pPr>
        <w:ind w:left="720" w:hanging="720"/>
        <w:jc w:val="both"/>
        <w:rPr>
          <w:rFonts w:ascii="Arial" w:hAnsi="Arial" w:cs="Arial"/>
          <w:sz w:val="20"/>
          <w:szCs w:val="20"/>
        </w:rPr>
      </w:pPr>
    </w:p>
    <w:p w14:paraId="1A941C7C" w14:textId="5F8A92FF" w:rsidR="009A304A" w:rsidRDefault="009A304A" w:rsidP="009A304A">
      <w:pPr>
        <w:pStyle w:val="Heading3"/>
        <w:keepNext/>
        <w:spacing w:line="240" w:lineRule="auto"/>
        <w:rPr>
          <w:rFonts w:ascii="Arial" w:hAnsi="Arial" w:cs="Arial"/>
          <w:b/>
          <w:bCs/>
          <w:color w:val="000000"/>
          <w:sz w:val="20"/>
        </w:rPr>
      </w:pPr>
      <w:bookmarkStart w:id="359" w:name="_7.7.3_Aboriginal_and"/>
      <w:bookmarkEnd w:id="359"/>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60"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60"/>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8E702A">
      <w:pPr>
        <w:spacing w:before="60" w:after="12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615949B6" w14:textId="4B60B80B" w:rsidR="006A0484" w:rsidRDefault="006A0484" w:rsidP="008E702A">
      <w:pPr>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26106F4D">
                <wp:extent cx="5796000" cy="2916000"/>
                <wp:effectExtent l="0" t="0" r="14605" b="36830"/>
                <wp:docPr id="247325" name="Group 247325"/>
                <wp:cNvGraphicFramePr/>
                <a:graphic xmlns:a="http://schemas.openxmlformats.org/drawingml/2006/main">
                  <a:graphicData uri="http://schemas.microsoft.com/office/word/2010/wordprocessingGroup">
                    <wpg:wgp>
                      <wpg:cNvGrpSpPr/>
                      <wpg:grpSpPr>
                        <a:xfrm>
                          <a:off x="0" y="0"/>
                          <a:ext cx="5796000" cy="2916000"/>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229.6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1205E46D" w:rsidR="007025E9" w:rsidRDefault="007025E9" w:rsidP="008E702A">
      <w:pPr>
        <w:pStyle w:val="Heading3"/>
        <w:spacing w:line="240" w:lineRule="auto"/>
        <w:rPr>
          <w:rFonts w:ascii="Arial" w:hAnsi="Arial" w:cs="Arial"/>
          <w:sz w:val="18"/>
        </w:rPr>
      </w:pPr>
    </w:p>
    <w:p w14:paraId="3853833D" w14:textId="77777777" w:rsidR="008E702A" w:rsidRDefault="008E702A" w:rsidP="008E702A">
      <w:pPr>
        <w:spacing w:before="60"/>
        <w:ind w:left="567" w:right="567"/>
        <w:jc w:val="both"/>
        <w:rPr>
          <w:rFonts w:ascii="Arial" w:hAnsi="Arial" w:cs="Arial"/>
          <w:sz w:val="20"/>
          <w:szCs w:val="20"/>
        </w:rPr>
      </w:pPr>
      <w:r w:rsidRPr="00885E49">
        <w:rPr>
          <w:rFonts w:ascii="Arial" w:hAnsi="Arial" w:cs="Arial"/>
          <w:sz w:val="20"/>
          <w:szCs w:val="20"/>
        </w:rPr>
        <w:lastRenderedPageBreak/>
        <w:t>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76DE9A3E" w14:textId="77777777" w:rsidR="008E702A" w:rsidRDefault="008E702A" w:rsidP="008E702A">
      <w:pPr>
        <w:numPr>
          <w:ilvl w:val="0"/>
          <w:numId w:val="57"/>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Pr>
          <w:rFonts w:ascii="Arial" w:hAnsi="Arial" w:cs="Arial"/>
          <w:sz w:val="20"/>
          <w:szCs w:val="20"/>
        </w:rPr>
        <w:t>;</w:t>
      </w:r>
    </w:p>
    <w:p w14:paraId="54D0299E" w14:textId="77777777" w:rsidR="008E702A" w:rsidRDefault="008E702A" w:rsidP="008E702A">
      <w:pPr>
        <w:numPr>
          <w:ilvl w:val="0"/>
          <w:numId w:val="57"/>
        </w:numPr>
        <w:ind w:left="924" w:hanging="357"/>
        <w:jc w:val="both"/>
        <w:rPr>
          <w:rFonts w:ascii="Arial" w:hAnsi="Arial" w:cs="Arial"/>
          <w:sz w:val="20"/>
          <w:szCs w:val="20"/>
        </w:rPr>
      </w:pPr>
      <w:r w:rsidRPr="00CE1EC8">
        <w:rPr>
          <w:rFonts w:ascii="Arial" w:hAnsi="Arial" w:cs="Arial"/>
          <w:sz w:val="20"/>
          <w:szCs w:val="20"/>
        </w:rPr>
        <w:t>9 times more likely than their non-Aboriginal counterparts to be in youth justice detention</w:t>
      </w:r>
      <w:r>
        <w:rPr>
          <w:rFonts w:ascii="Arial" w:hAnsi="Arial" w:cs="Arial"/>
          <w:sz w:val="20"/>
          <w:szCs w:val="20"/>
        </w:rPr>
        <w:t>;</w:t>
      </w:r>
    </w:p>
    <w:p w14:paraId="50D97E38" w14:textId="77777777" w:rsidR="008E702A" w:rsidRPr="00CE1EC8" w:rsidRDefault="008E702A" w:rsidP="008E702A">
      <w:pPr>
        <w:numPr>
          <w:ilvl w:val="0"/>
          <w:numId w:val="57"/>
        </w:numPr>
        <w:ind w:left="924" w:hanging="357"/>
        <w:jc w:val="both"/>
        <w:rPr>
          <w:rFonts w:ascii="Arial" w:hAnsi="Arial" w:cs="Arial"/>
          <w:sz w:val="20"/>
          <w:szCs w:val="20"/>
        </w:rPr>
      </w:pPr>
      <w:r w:rsidRPr="00885E49">
        <w:rPr>
          <w:rFonts w:ascii="Arial" w:hAnsi="Arial" w:cs="Arial"/>
          <w:sz w:val="20"/>
          <w:szCs w:val="20"/>
        </w:rPr>
        <w:t xml:space="preserve">10 times more likely than they non-Aboriginal counterparts to be under youth justice </w:t>
      </w:r>
      <w:proofErr w:type="gramStart"/>
      <w:r w:rsidRPr="00885E49">
        <w:rPr>
          <w:rFonts w:ascii="Arial" w:hAnsi="Arial" w:cs="Arial"/>
          <w:sz w:val="20"/>
          <w:szCs w:val="20"/>
        </w:rPr>
        <w:t>community</w:t>
      </w:r>
      <w:r>
        <w:rPr>
          <w:rFonts w:ascii="Arial" w:hAnsi="Arial" w:cs="Arial"/>
          <w:sz w:val="20"/>
          <w:szCs w:val="20"/>
        </w:rPr>
        <w:t xml:space="preserve"> </w:t>
      </w:r>
      <w:r w:rsidRPr="00885E49">
        <w:rPr>
          <w:rFonts w:ascii="Arial" w:hAnsi="Arial" w:cs="Arial"/>
          <w:sz w:val="20"/>
          <w:szCs w:val="20"/>
        </w:rPr>
        <w:t>based</w:t>
      </w:r>
      <w:proofErr w:type="gramEnd"/>
      <w:r w:rsidRPr="00885E49">
        <w:rPr>
          <w:rFonts w:ascii="Arial" w:hAnsi="Arial" w:cs="Arial"/>
          <w:sz w:val="20"/>
          <w:szCs w:val="20"/>
        </w:rPr>
        <w:t xml:space="preserve"> supervision.</w:t>
      </w:r>
      <w:r>
        <w:rPr>
          <w:rFonts w:ascii="Arial" w:hAnsi="Arial" w:cs="Arial"/>
          <w:sz w:val="20"/>
          <w:szCs w:val="20"/>
        </w:rPr>
        <w:t>”</w:t>
      </w:r>
    </w:p>
    <w:p w14:paraId="42CC12CB" w14:textId="77777777" w:rsidR="008E702A" w:rsidRPr="00885E49" w:rsidRDefault="008E702A" w:rsidP="008E702A">
      <w:pPr>
        <w:jc w:val="both"/>
        <w:rPr>
          <w:rFonts w:ascii="Arial" w:hAnsi="Arial" w:cs="Arial"/>
          <w:sz w:val="20"/>
          <w:szCs w:val="20"/>
        </w:rPr>
      </w:pPr>
    </w:p>
    <w:p w14:paraId="1B63ED86" w14:textId="77777777" w:rsidR="007E165E" w:rsidRPr="00124048" w:rsidRDefault="007025E9" w:rsidP="007E165E">
      <w:pPr>
        <w:jc w:val="both"/>
        <w:rPr>
          <w:rFonts w:ascii="Arial" w:hAnsi="Arial" w:cs="Arial"/>
          <w:color w:val="000000"/>
          <w:sz w:val="20"/>
          <w:szCs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5"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0755858D" w14:textId="15004D37" w:rsidR="008E702A" w:rsidRDefault="008E702A" w:rsidP="008E702A">
      <w:pPr>
        <w:pStyle w:val="Heading3"/>
        <w:spacing w:line="240" w:lineRule="auto"/>
        <w:jc w:val="center"/>
        <w:rPr>
          <w:rFonts w:ascii="Arial" w:hAnsi="Arial" w:cs="Arial"/>
          <w:sz w:val="18"/>
        </w:rPr>
      </w:pPr>
      <w:r w:rsidRPr="00CC2DC7">
        <w:rPr>
          <w:noProof/>
          <w:bdr w:val="single" w:sz="8" w:space="0" w:color="auto"/>
        </w:rPr>
        <w:drawing>
          <wp:inline distT="0" distB="0" distL="0" distR="0" wp14:anchorId="479EF3BF" wp14:editId="296E2F69">
            <wp:extent cx="4068000" cy="4580560"/>
            <wp:effectExtent l="19050" t="19050" r="27940" b="10795"/>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6" cstate="print">
                      <a:extLst>
                        <a:ext uri="{28A0092B-C50C-407E-A947-70E740481C1C}">
                          <a14:useLocalDpi xmlns:a14="http://schemas.microsoft.com/office/drawing/2010/main" val="0"/>
                        </a:ext>
                      </a:extLst>
                    </a:blip>
                    <a:srcRect l="8740" t="8192" r="9019" b="26021"/>
                    <a:stretch/>
                  </pic:blipFill>
                  <pic:spPr bwMode="auto">
                    <a:xfrm>
                      <a:off x="0" y="0"/>
                      <a:ext cx="4068000" cy="45805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6FEBE1C" w14:textId="77777777" w:rsidR="008E702A" w:rsidRDefault="008E702A" w:rsidP="008E702A">
      <w:pPr>
        <w:ind w:left="720" w:hanging="720"/>
        <w:jc w:val="both"/>
        <w:rPr>
          <w:rFonts w:ascii="Arial" w:hAnsi="Arial" w:cs="Arial"/>
          <w:sz w:val="20"/>
          <w:szCs w:val="20"/>
        </w:rPr>
      </w:pPr>
      <w:bookmarkStart w:id="361" w:name="_7.7.3_Youth_offending"/>
      <w:bookmarkStart w:id="362" w:name="_7.7.3_Offending_by"/>
      <w:bookmarkEnd w:id="361"/>
      <w:bookmarkEnd w:id="362"/>
    </w:p>
    <w:p w14:paraId="45CFEAAC" w14:textId="77777777" w:rsidR="008E702A" w:rsidRPr="000510E3" w:rsidRDefault="008E702A" w:rsidP="008E702A">
      <w:pPr>
        <w:ind w:left="720" w:hanging="720"/>
        <w:jc w:val="center"/>
        <w:rPr>
          <w:rFonts w:ascii="Arial" w:hAnsi="Arial" w:cs="Arial"/>
          <w:b/>
          <w:bCs/>
        </w:rPr>
      </w:pPr>
      <w:r w:rsidRPr="000510E3">
        <w:rPr>
          <w:rFonts w:ascii="Arial" w:hAnsi="Arial" w:cs="Arial"/>
          <w:b/>
          <w:bCs/>
        </w:rPr>
        <w:t>THE REST OF THIS PAGE IS BLANK</w:t>
      </w:r>
    </w:p>
    <w:p w14:paraId="546AB2A8" w14:textId="77777777" w:rsidR="008E702A" w:rsidRDefault="008E702A" w:rsidP="008E702A">
      <w:pPr>
        <w:rPr>
          <w:rFonts w:ascii="Arial" w:hAnsi="Arial" w:cs="Arial"/>
          <w:sz w:val="20"/>
          <w:szCs w:val="20"/>
        </w:rPr>
      </w:pPr>
    </w:p>
    <w:p w14:paraId="1C54BFA2" w14:textId="77777777" w:rsidR="008E702A" w:rsidRDefault="008E702A" w:rsidP="008E702A">
      <w:pPr>
        <w:rPr>
          <w:rFonts w:ascii="Arial" w:hAnsi="Arial" w:cs="Arial"/>
          <w:sz w:val="20"/>
          <w:szCs w:val="20"/>
        </w:rPr>
      </w:pPr>
      <w:r>
        <w:rPr>
          <w:rFonts w:ascii="Arial" w:hAnsi="Arial" w:cs="Arial"/>
          <w:sz w:val="20"/>
          <w:szCs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tcPr>
          <w:p w14:paraId="0D545E00" w14:textId="77777777" w:rsidR="006B1DE9" w:rsidRPr="00EA0CF2" w:rsidRDefault="006B1DE9" w:rsidP="00EA0CF2">
            <w:pPr>
              <w:jc w:val="center"/>
              <w:rPr>
                <w:sz w:val="20"/>
                <w:szCs w:val="20"/>
              </w:rPr>
            </w:pPr>
            <w:r w:rsidRPr="00EA0CF2">
              <w:rPr>
                <w:sz w:val="20"/>
                <w:szCs w:val="20"/>
              </w:rPr>
              <w:t>1</w:t>
            </w:r>
          </w:p>
        </w:tc>
        <w:tc>
          <w:tcPr>
            <w:tcW w:w="794" w:type="dxa"/>
          </w:tcPr>
          <w:p w14:paraId="78A6EA55" w14:textId="77777777" w:rsidR="006B1DE9" w:rsidRPr="00EA0CF2" w:rsidRDefault="006B1DE9" w:rsidP="00EA0CF2">
            <w:pPr>
              <w:jc w:val="center"/>
              <w:rPr>
                <w:sz w:val="20"/>
                <w:szCs w:val="20"/>
              </w:rPr>
            </w:pPr>
            <w:r w:rsidRPr="00EA0CF2">
              <w:rPr>
                <w:sz w:val="20"/>
                <w:szCs w:val="20"/>
              </w:rPr>
              <w:t>0</w:t>
            </w:r>
          </w:p>
        </w:tc>
        <w:tc>
          <w:tcPr>
            <w:tcW w:w="794" w:type="dxa"/>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tcPr>
          <w:p w14:paraId="5EB4E437" w14:textId="77777777" w:rsidR="006B1DE9" w:rsidRPr="00EA0CF2" w:rsidRDefault="006B1DE9" w:rsidP="00EA0CF2">
            <w:pPr>
              <w:jc w:val="center"/>
              <w:rPr>
                <w:sz w:val="20"/>
                <w:szCs w:val="20"/>
              </w:rPr>
            </w:pPr>
            <w:r w:rsidRPr="00EA0CF2">
              <w:rPr>
                <w:sz w:val="20"/>
                <w:szCs w:val="20"/>
              </w:rPr>
              <w:t>3</w:t>
            </w:r>
          </w:p>
        </w:tc>
        <w:tc>
          <w:tcPr>
            <w:tcW w:w="794" w:type="dxa"/>
          </w:tcPr>
          <w:p w14:paraId="5CA3EF6A" w14:textId="77777777" w:rsidR="006B1DE9" w:rsidRPr="00EA0CF2" w:rsidRDefault="006B1DE9" w:rsidP="00EA0CF2">
            <w:pPr>
              <w:jc w:val="center"/>
              <w:rPr>
                <w:sz w:val="20"/>
                <w:szCs w:val="20"/>
              </w:rPr>
            </w:pPr>
            <w:r w:rsidRPr="00EA0CF2">
              <w:rPr>
                <w:sz w:val="20"/>
                <w:szCs w:val="20"/>
              </w:rPr>
              <w:t>9</w:t>
            </w:r>
          </w:p>
        </w:tc>
        <w:tc>
          <w:tcPr>
            <w:tcW w:w="794" w:type="dxa"/>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tcPr>
          <w:p w14:paraId="6C6D80B7" w14:textId="77777777" w:rsidR="006B1DE9" w:rsidRPr="00EA0CF2" w:rsidRDefault="006B1DE9" w:rsidP="00EA0CF2">
            <w:pPr>
              <w:jc w:val="center"/>
              <w:rPr>
                <w:sz w:val="20"/>
                <w:szCs w:val="20"/>
              </w:rPr>
            </w:pPr>
            <w:r w:rsidRPr="00EA0CF2">
              <w:rPr>
                <w:sz w:val="20"/>
                <w:szCs w:val="20"/>
              </w:rPr>
              <w:t>0</w:t>
            </w:r>
          </w:p>
        </w:tc>
        <w:tc>
          <w:tcPr>
            <w:tcW w:w="794" w:type="dxa"/>
          </w:tcPr>
          <w:p w14:paraId="3FEFD083" w14:textId="77777777" w:rsidR="006B1DE9" w:rsidRPr="00EA0CF2" w:rsidRDefault="006B1DE9" w:rsidP="00EA0CF2">
            <w:pPr>
              <w:jc w:val="center"/>
              <w:rPr>
                <w:sz w:val="20"/>
                <w:szCs w:val="20"/>
              </w:rPr>
            </w:pPr>
            <w:r w:rsidRPr="00EA0CF2">
              <w:rPr>
                <w:sz w:val="20"/>
                <w:szCs w:val="20"/>
              </w:rPr>
              <w:t>0</w:t>
            </w:r>
          </w:p>
        </w:tc>
        <w:tc>
          <w:tcPr>
            <w:tcW w:w="794" w:type="dxa"/>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tcPr>
          <w:p w14:paraId="679031AE" w14:textId="77777777" w:rsidR="006B1DE9" w:rsidRPr="00EA0CF2" w:rsidRDefault="006B1DE9" w:rsidP="00EA0CF2">
            <w:pPr>
              <w:jc w:val="center"/>
              <w:rPr>
                <w:sz w:val="20"/>
                <w:szCs w:val="20"/>
              </w:rPr>
            </w:pPr>
            <w:r w:rsidRPr="00EA0CF2">
              <w:rPr>
                <w:sz w:val="20"/>
                <w:szCs w:val="20"/>
              </w:rPr>
              <w:t>0</w:t>
            </w:r>
          </w:p>
        </w:tc>
        <w:tc>
          <w:tcPr>
            <w:tcW w:w="794" w:type="dxa"/>
          </w:tcPr>
          <w:p w14:paraId="21CEBEFF" w14:textId="77777777" w:rsidR="006B1DE9" w:rsidRPr="00EA0CF2" w:rsidRDefault="006B1DE9" w:rsidP="00EA0CF2">
            <w:pPr>
              <w:jc w:val="center"/>
              <w:rPr>
                <w:sz w:val="20"/>
                <w:szCs w:val="20"/>
              </w:rPr>
            </w:pPr>
            <w:r w:rsidRPr="00EA0CF2">
              <w:rPr>
                <w:sz w:val="20"/>
                <w:szCs w:val="20"/>
              </w:rPr>
              <w:t>0</w:t>
            </w:r>
          </w:p>
        </w:tc>
        <w:tc>
          <w:tcPr>
            <w:tcW w:w="794" w:type="dxa"/>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591749">
      <w:pPr>
        <w:pStyle w:val="ListParagraph"/>
        <w:numPr>
          <w:ilvl w:val="0"/>
          <w:numId w:val="49"/>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63" w:name="_7.8_Warrant_to"/>
      <w:bookmarkEnd w:id="363"/>
      <w:r w:rsidRPr="00F51496">
        <w:rPr>
          <w:rFonts w:ascii="Arial" w:hAnsi="Arial" w:cs="Arial"/>
          <w:b/>
          <w:bCs/>
          <w:color w:val="000000"/>
        </w:rPr>
        <w:t>7.8</w:t>
      </w:r>
      <w:r w:rsidRPr="00F51496">
        <w:rPr>
          <w:rFonts w:ascii="Arial" w:hAnsi="Arial" w:cs="Arial"/>
          <w:b/>
          <w:bCs/>
          <w:color w:val="000000"/>
        </w:rPr>
        <w:tab/>
        <w:t>Warrant to arrest for failing to appear (Bench warrant)</w:t>
      </w:r>
    </w:p>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64" w:name="_Toc30671645"/>
      <w:bookmarkStart w:id="365" w:name="_Toc30674172"/>
      <w:bookmarkStart w:id="366" w:name="_Toc30691394"/>
      <w:bookmarkStart w:id="367" w:name="_Toc30691769"/>
      <w:bookmarkStart w:id="368" w:name="_Toc30692149"/>
      <w:bookmarkStart w:id="369" w:name="_Toc30692908"/>
      <w:bookmarkStart w:id="370" w:name="_Toc30693287"/>
      <w:bookmarkStart w:id="371" w:name="_Toc30693665"/>
      <w:bookmarkStart w:id="372" w:name="_Toc30694043"/>
      <w:bookmarkStart w:id="373" w:name="_Toc30694423"/>
      <w:bookmarkStart w:id="374" w:name="_Toc30699012"/>
      <w:bookmarkStart w:id="375" w:name="_Toc30699390"/>
      <w:bookmarkStart w:id="376" w:name="_Toc30699775"/>
      <w:bookmarkStart w:id="377" w:name="_Toc30700930"/>
      <w:bookmarkStart w:id="378" w:name="_Toc30701317"/>
      <w:bookmarkStart w:id="379" w:name="_Toc30743928"/>
      <w:bookmarkStart w:id="380" w:name="_Toc30754751"/>
      <w:bookmarkStart w:id="381" w:name="_Toc30757192"/>
      <w:bookmarkStart w:id="382" w:name="_Toc30757740"/>
      <w:bookmarkStart w:id="383" w:name="_Toc30758140"/>
      <w:bookmarkStart w:id="384" w:name="_Toc30762901"/>
      <w:bookmarkStart w:id="385" w:name="_Toc30767555"/>
      <w:bookmarkStart w:id="386"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7" w:name="_Toc30671646"/>
      <w:bookmarkStart w:id="388" w:name="_Toc30674173"/>
      <w:bookmarkStart w:id="389" w:name="_Toc30691395"/>
      <w:bookmarkStart w:id="390" w:name="_Toc30691770"/>
      <w:bookmarkStart w:id="391" w:name="_Toc30692150"/>
      <w:bookmarkStart w:id="392" w:name="_Toc30692909"/>
      <w:bookmarkStart w:id="393" w:name="_Toc30693288"/>
      <w:bookmarkStart w:id="394" w:name="_Toc30693666"/>
      <w:bookmarkStart w:id="395" w:name="_Toc30694044"/>
      <w:bookmarkStart w:id="396" w:name="_Toc30694424"/>
      <w:bookmarkStart w:id="397" w:name="_Toc30699013"/>
      <w:bookmarkStart w:id="398" w:name="_Toc30699391"/>
      <w:bookmarkStart w:id="399" w:name="_Toc30699776"/>
      <w:bookmarkStart w:id="400" w:name="_Toc30700931"/>
      <w:bookmarkStart w:id="401" w:name="_Toc30701318"/>
      <w:bookmarkStart w:id="402" w:name="_Toc30743929"/>
      <w:bookmarkStart w:id="403" w:name="_Toc30754752"/>
      <w:bookmarkStart w:id="404" w:name="_Toc30757193"/>
      <w:bookmarkStart w:id="405" w:name="_Toc30757741"/>
      <w:bookmarkStart w:id="406" w:name="_Toc30758141"/>
      <w:bookmarkStart w:id="407" w:name="_Toc30762902"/>
      <w:bookmarkStart w:id="408" w:name="_Toc30767556"/>
      <w:bookmarkStart w:id="409"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10" w:name="_Toc30671647"/>
      <w:bookmarkStart w:id="411" w:name="_Toc30674174"/>
      <w:bookmarkStart w:id="412" w:name="_Toc30691396"/>
      <w:bookmarkStart w:id="413" w:name="_Toc30691771"/>
      <w:bookmarkStart w:id="414" w:name="_Toc30692151"/>
      <w:bookmarkStart w:id="415" w:name="_Toc30692910"/>
      <w:bookmarkStart w:id="416" w:name="_Toc30693289"/>
      <w:bookmarkStart w:id="417" w:name="_Toc30693667"/>
      <w:bookmarkStart w:id="418" w:name="_Toc30694045"/>
      <w:bookmarkStart w:id="419" w:name="_Toc30694425"/>
      <w:bookmarkStart w:id="420" w:name="_Toc30699014"/>
      <w:bookmarkStart w:id="421" w:name="_Toc30699392"/>
      <w:bookmarkStart w:id="422" w:name="_Toc30699777"/>
      <w:bookmarkStart w:id="423" w:name="_Toc30700932"/>
      <w:bookmarkStart w:id="424" w:name="_Toc30701319"/>
      <w:bookmarkStart w:id="425" w:name="_Toc30743930"/>
      <w:bookmarkStart w:id="426" w:name="_Toc30754753"/>
      <w:bookmarkStart w:id="427" w:name="_Toc30757194"/>
      <w:bookmarkStart w:id="428" w:name="_Toc30757742"/>
      <w:bookmarkStart w:id="429" w:name="_Toc30758142"/>
      <w:bookmarkStart w:id="430" w:name="_Toc30762903"/>
      <w:bookmarkStart w:id="431" w:name="_Toc30767557"/>
      <w:bookmarkStart w:id="432" w:name="_Toc34823575"/>
      <w:r w:rsidRPr="00F51496">
        <w:rPr>
          <w:rFonts w:ascii="Arial" w:hAnsi="Arial" w:cs="Arial"/>
          <w:b/>
          <w:bCs/>
          <w:color w:val="000000"/>
          <w:sz w:val="20"/>
        </w:rPr>
        <w:lastRenderedPageBreak/>
        <w:t>7.8.3</w:t>
      </w:r>
      <w:r w:rsidRPr="00F51496">
        <w:rPr>
          <w:rFonts w:ascii="Arial" w:hAnsi="Arial" w:cs="Arial"/>
          <w:b/>
          <w:bCs/>
          <w:color w:val="000000"/>
          <w:sz w:val="20"/>
        </w:rPr>
        <w:tab/>
        <w:t>On alleged breach of sentencing order</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33" w:name="_7.9_Representation_of"/>
      <w:bookmarkStart w:id="434" w:name="_Toc30669428"/>
      <w:bookmarkStart w:id="435" w:name="_Toc30671648"/>
      <w:bookmarkStart w:id="436" w:name="_Toc30674175"/>
      <w:bookmarkStart w:id="437" w:name="_Toc30691397"/>
      <w:bookmarkStart w:id="438" w:name="_Toc30691772"/>
      <w:bookmarkStart w:id="439" w:name="_Toc30692152"/>
      <w:bookmarkStart w:id="440" w:name="_Toc30692911"/>
      <w:bookmarkStart w:id="441" w:name="_Toc30693290"/>
      <w:bookmarkStart w:id="442" w:name="_Toc30693668"/>
      <w:bookmarkStart w:id="443" w:name="_Toc30694046"/>
      <w:bookmarkStart w:id="444" w:name="_Toc30694426"/>
      <w:bookmarkStart w:id="445" w:name="_Toc30699015"/>
      <w:bookmarkStart w:id="446" w:name="_Toc30699393"/>
      <w:bookmarkStart w:id="447" w:name="_Toc30699778"/>
      <w:bookmarkStart w:id="448" w:name="_Toc30700933"/>
      <w:bookmarkStart w:id="449" w:name="_Toc30701320"/>
      <w:bookmarkStart w:id="450" w:name="_Toc30743931"/>
      <w:bookmarkStart w:id="451" w:name="_Toc30754754"/>
      <w:bookmarkStart w:id="452" w:name="_Toc30757195"/>
      <w:bookmarkStart w:id="453" w:name="_Toc30757743"/>
      <w:bookmarkStart w:id="454" w:name="_Toc30758143"/>
      <w:bookmarkStart w:id="455" w:name="_Toc30762904"/>
      <w:bookmarkStart w:id="456" w:name="_Toc30767558"/>
      <w:bookmarkStart w:id="457" w:name="_Toc34823576"/>
      <w:bookmarkEnd w:id="433"/>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8" w:name="_7.10_Referral_for"/>
      <w:bookmarkStart w:id="459" w:name="_Toc30671649"/>
      <w:bookmarkStart w:id="460" w:name="_Toc30674176"/>
      <w:bookmarkStart w:id="461" w:name="_Toc30691398"/>
      <w:bookmarkStart w:id="462" w:name="_Toc30691773"/>
      <w:bookmarkStart w:id="463" w:name="_Toc30692153"/>
      <w:bookmarkStart w:id="464" w:name="_Toc30692912"/>
      <w:bookmarkStart w:id="465" w:name="_Toc30693291"/>
      <w:bookmarkStart w:id="466" w:name="_Toc30693669"/>
      <w:bookmarkStart w:id="467" w:name="_Toc30694047"/>
      <w:bookmarkStart w:id="468" w:name="_Toc30694427"/>
      <w:bookmarkStart w:id="469" w:name="_Toc30699016"/>
      <w:bookmarkStart w:id="470" w:name="_Toc30699394"/>
      <w:bookmarkStart w:id="471" w:name="_Toc30699779"/>
      <w:bookmarkStart w:id="472" w:name="_Toc30700934"/>
      <w:bookmarkStart w:id="473" w:name="_Toc30701321"/>
      <w:bookmarkStart w:id="474" w:name="_Toc30743932"/>
      <w:bookmarkStart w:id="475" w:name="_Toc30754755"/>
      <w:bookmarkStart w:id="476" w:name="_Toc30757196"/>
      <w:bookmarkStart w:id="477" w:name="_Toc30757744"/>
      <w:bookmarkStart w:id="478" w:name="_Toc30758144"/>
      <w:bookmarkStart w:id="479" w:name="_Toc30762905"/>
      <w:bookmarkStart w:id="480" w:name="_Toc30767559"/>
      <w:bookmarkStart w:id="481" w:name="_Toc34823577"/>
      <w:bookmarkEnd w:id="458"/>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82" w:name="_7.10.1_Referral_re"/>
      <w:bookmarkEnd w:id="482"/>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 xml:space="preserve">to accept a referral under s.349(1).  In the </w:t>
      </w:r>
      <w:r w:rsidRPr="00F51496">
        <w:rPr>
          <w:rFonts w:ascii="Arial" w:hAnsi="Arial" w:cs="Arial"/>
          <w:color w:val="000000"/>
          <w:sz w:val="20"/>
        </w:rPr>
        <w:lastRenderedPageBreak/>
        <w:t>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83" w:name="_7.10.2_Referral_re"/>
      <w:bookmarkEnd w:id="483"/>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84" w:name="_7.10.3_Report_of"/>
      <w:bookmarkEnd w:id="484"/>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5" w:name="_7.10.4_Report_on"/>
      <w:bookmarkEnd w:id="485"/>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6" w:name="_7.10.5_Pre-sentence_report"/>
      <w:bookmarkEnd w:id="486"/>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7" w:name="_7.11_The_Children’s"/>
      <w:bookmarkStart w:id="488" w:name="_Toc58901923"/>
      <w:bookmarkEnd w:id="487"/>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with the objective of ensuring greater participation of the Aboriginal community in the sentencing process of the Children’s Court through the role to be played in that process by the Aboriginal elder or respected 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9" w:name="_7.11.1_Jurisdiction_&amp;"/>
      <w:bookmarkEnd w:id="489"/>
      <w:r w:rsidRPr="00F51496">
        <w:rPr>
          <w:rFonts w:ascii="Arial" w:hAnsi="Arial" w:cs="Arial"/>
          <w:b/>
          <w:bCs/>
          <w:color w:val="000000"/>
          <w:sz w:val="20"/>
        </w:rPr>
        <w:lastRenderedPageBreak/>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90" w:name="_7.11.2_Procedure"/>
      <w:bookmarkEnd w:id="490"/>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lastRenderedPageBreak/>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lastRenderedPageBreak/>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91" w:name="_7.11.3_Sentencing_Procedure"/>
      <w:bookmarkEnd w:id="491"/>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92" w:name="_7.11.4_Sitting_times"/>
      <w:bookmarkEnd w:id="492"/>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F8F8DBC" w14:textId="77777777" w:rsidR="005D1409" w:rsidRDefault="00A77ACA"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As at 30/06/2026 t</w:t>
      </w:r>
      <w:r w:rsidRPr="00933EA3">
        <w:rPr>
          <w:rFonts w:ascii="Arial" w:hAnsi="Arial" w:cs="Arial"/>
          <w:color w:val="000000"/>
          <w:sz w:val="20"/>
          <w:szCs w:val="20"/>
          <w:lang w:eastAsia="en-AU"/>
        </w:rPr>
        <w:t>he</w:t>
      </w:r>
      <w:r>
        <w:rPr>
          <w:rFonts w:ascii="Arial" w:hAnsi="Arial" w:cs="Arial"/>
          <w:color w:val="000000"/>
          <w:sz w:val="20"/>
          <w:szCs w:val="20"/>
          <w:lang w:eastAsia="en-AU"/>
        </w:rPr>
        <w:t xml:space="preserve"> Children’s Koori Court (CKC) is gazetted pursuant to s.517(2) of the CYFA to sit at 12 locations </w:t>
      </w:r>
      <w:r w:rsidR="003565B0">
        <w:rPr>
          <w:rFonts w:ascii="Arial" w:hAnsi="Arial" w:cs="Arial"/>
          <w:color w:val="000000"/>
          <w:sz w:val="20"/>
          <w:szCs w:val="20"/>
          <w:lang w:eastAsia="en-AU"/>
        </w:rPr>
        <w:t>across</w:t>
      </w:r>
      <w:r w:rsidR="000B25A8" w:rsidRPr="00933EA3">
        <w:rPr>
          <w:rFonts w:ascii="Arial" w:hAnsi="Arial" w:cs="Arial"/>
          <w:color w:val="000000"/>
          <w:sz w:val="20"/>
          <w:szCs w:val="20"/>
          <w:lang w:eastAsia="en-AU"/>
        </w:rPr>
        <w:t xml:space="preserve"> Victoria. The </w:t>
      </w:r>
      <w:r>
        <w:rPr>
          <w:rFonts w:ascii="Arial" w:hAnsi="Arial" w:cs="Arial"/>
          <w:color w:val="000000"/>
          <w:sz w:val="20"/>
          <w:szCs w:val="20"/>
          <w:lang w:eastAsia="en-AU"/>
        </w:rPr>
        <w:t>CKC</w:t>
      </w:r>
      <w:r w:rsidR="003565B0">
        <w:rPr>
          <w:rFonts w:ascii="Arial" w:hAnsi="Arial" w:cs="Arial"/>
          <w:color w:val="000000"/>
          <w:sz w:val="20"/>
          <w:szCs w:val="20"/>
          <w:lang w:eastAsia="en-AU"/>
        </w:rPr>
        <w:t xml:space="preserve">’s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sidR="00DC44A4">
        <w:rPr>
          <w:rFonts w:ascii="Arial" w:hAnsi="Arial" w:cs="Arial"/>
          <w:color w:val="000000"/>
          <w:sz w:val="20"/>
          <w:szCs w:val="20"/>
          <w:lang w:eastAsia="en-AU"/>
        </w:rPr>
        <w:t xml:space="preserve"> and was expanded to Heidelberg &amp; Dandenong Children’s Courts in 2014.</w:t>
      </w:r>
    </w:p>
    <w:p w14:paraId="03A68AAB" w14:textId="77777777" w:rsidR="005D1409" w:rsidRDefault="005D1409" w:rsidP="000B25A8">
      <w:pPr>
        <w:autoSpaceDE w:val="0"/>
        <w:autoSpaceDN w:val="0"/>
        <w:adjustRightInd w:val="0"/>
        <w:jc w:val="both"/>
        <w:rPr>
          <w:rFonts w:ascii="Arial" w:hAnsi="Arial" w:cs="Arial"/>
          <w:color w:val="000000"/>
          <w:sz w:val="20"/>
          <w:szCs w:val="20"/>
          <w:lang w:eastAsia="en-AU"/>
        </w:rPr>
      </w:pPr>
    </w:p>
    <w:p w14:paraId="1DB9A3D1" w14:textId="33F77AC6" w:rsidR="00DC44A4" w:rsidRDefault="00A77ACA"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 xml:space="preserve">As and from 02/07/2026 the CKC is also gazetted to sit and act at </w:t>
      </w:r>
      <w:r w:rsidRPr="00A77ACA">
        <w:rPr>
          <w:rFonts w:ascii="Arial" w:hAnsi="Arial" w:cs="Arial"/>
          <w:color w:val="000000"/>
          <w:sz w:val="20"/>
          <w:szCs w:val="20"/>
          <w:lang w:eastAsia="en-AU"/>
        </w:rPr>
        <w:t>Broadmeadows</w:t>
      </w:r>
      <w:r>
        <w:rPr>
          <w:rFonts w:ascii="Arial" w:hAnsi="Arial" w:cs="Arial"/>
          <w:color w:val="000000"/>
          <w:sz w:val="20"/>
          <w:szCs w:val="20"/>
          <w:lang w:eastAsia="en-AU"/>
        </w:rPr>
        <w:t xml:space="preserve">, </w:t>
      </w:r>
      <w:r w:rsidRPr="00A77ACA">
        <w:rPr>
          <w:rFonts w:ascii="Arial" w:hAnsi="Arial" w:cs="Arial"/>
          <w:color w:val="000000"/>
          <w:sz w:val="20"/>
          <w:szCs w:val="20"/>
          <w:lang w:eastAsia="en-AU"/>
        </w:rPr>
        <w:t xml:space="preserve">Wyndham </w:t>
      </w:r>
      <w:r>
        <w:rPr>
          <w:rFonts w:ascii="Arial" w:hAnsi="Arial" w:cs="Arial"/>
          <w:color w:val="000000"/>
          <w:sz w:val="20"/>
          <w:szCs w:val="20"/>
          <w:lang w:eastAsia="en-AU"/>
        </w:rPr>
        <w:t xml:space="preserve">&amp; </w:t>
      </w:r>
      <w:r w:rsidRPr="00A77ACA">
        <w:rPr>
          <w:rFonts w:ascii="Arial" w:hAnsi="Arial" w:cs="Arial"/>
          <w:color w:val="000000"/>
          <w:sz w:val="20"/>
          <w:szCs w:val="20"/>
          <w:lang w:eastAsia="en-AU"/>
        </w:rPr>
        <w:t>Moorabbin Children’s Court</w:t>
      </w:r>
      <w:r>
        <w:rPr>
          <w:rFonts w:ascii="Arial" w:hAnsi="Arial" w:cs="Arial"/>
          <w:color w:val="000000"/>
          <w:sz w:val="20"/>
          <w:szCs w:val="20"/>
          <w:lang w:eastAsia="en-AU"/>
        </w:rPr>
        <w:t xml:space="preserve">s. </w:t>
      </w:r>
      <w:r w:rsidR="00DC44A4">
        <w:rPr>
          <w:rFonts w:ascii="Arial" w:hAnsi="Arial" w:cs="Arial"/>
          <w:color w:val="000000"/>
          <w:sz w:val="20"/>
          <w:szCs w:val="20"/>
          <w:lang w:eastAsia="en-AU"/>
        </w:rPr>
        <w:t xml:space="preserve">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sidR="00DC44A4">
        <w:rPr>
          <w:rFonts w:ascii="Arial" w:hAnsi="Arial" w:cs="Arial"/>
          <w:color w:val="000000"/>
          <w:sz w:val="20"/>
          <w:szCs w:val="20"/>
          <w:lang w:eastAsia="en-AU"/>
        </w:rPr>
        <w:t xml:space="preserve">one of these </w:t>
      </w:r>
      <w:r>
        <w:rPr>
          <w:rFonts w:ascii="Arial" w:hAnsi="Arial" w:cs="Arial"/>
          <w:color w:val="000000"/>
          <w:sz w:val="20"/>
          <w:szCs w:val="20"/>
          <w:lang w:eastAsia="en-AU"/>
        </w:rPr>
        <w:t>CKCs</w:t>
      </w:r>
      <w:r w:rsidR="000B25A8" w:rsidRPr="00933EA3">
        <w:rPr>
          <w:rFonts w:ascii="Arial" w:hAnsi="Arial" w:cs="Arial"/>
          <w:color w:val="000000"/>
          <w:sz w:val="20"/>
          <w:szCs w:val="20"/>
          <w:lang w:eastAsia="en-AU"/>
        </w:rPr>
        <w:t>.</w:t>
      </w:r>
      <w:r w:rsidR="00FD1861">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 xml:space="preserve">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Sunshine</w:t>
      </w:r>
      <w:r>
        <w:rPr>
          <w:rFonts w:ascii="Arial" w:hAnsi="Arial" w:cs="Arial"/>
          <w:color w:val="000000"/>
          <w:sz w:val="20"/>
          <w:szCs w:val="20"/>
          <w:lang w:eastAsia="en-AU"/>
        </w:rPr>
        <w:t xml:space="preserve"> &amp; </w:t>
      </w:r>
      <w:r w:rsidR="00ED3874" w:rsidRPr="00933EA3">
        <w:rPr>
          <w:rFonts w:ascii="Arial" w:hAnsi="Arial" w:cs="Arial"/>
          <w:color w:val="000000"/>
          <w:sz w:val="20"/>
          <w:szCs w:val="20"/>
          <w:lang w:eastAsia="en-AU"/>
        </w:rPr>
        <w:t>Frankston</w:t>
      </w:r>
      <w:r w:rsidR="000B25A8" w:rsidRPr="00933EA3">
        <w:rPr>
          <w:rFonts w:ascii="Arial" w:hAnsi="Arial" w:cs="Arial"/>
          <w:color w:val="000000"/>
          <w:sz w:val="20"/>
          <w:szCs w:val="20"/>
          <w:lang w:eastAsia="en-AU"/>
        </w:rPr>
        <w:t xml:space="preserve"> Children’s Courts are eligible for transfer into </w:t>
      </w:r>
      <w:r w:rsidR="00DC44A4">
        <w:rPr>
          <w:rFonts w:ascii="Arial" w:hAnsi="Arial" w:cs="Arial"/>
          <w:color w:val="000000"/>
          <w:sz w:val="20"/>
          <w:szCs w:val="20"/>
          <w:lang w:eastAsia="en-AU"/>
        </w:rPr>
        <w:t xml:space="preserve">the relevant </w:t>
      </w:r>
      <w:r>
        <w:rPr>
          <w:rFonts w:ascii="Arial" w:hAnsi="Arial" w:cs="Arial"/>
          <w:color w:val="000000"/>
          <w:sz w:val="20"/>
          <w:szCs w:val="20"/>
          <w:lang w:eastAsia="en-AU"/>
        </w:rPr>
        <w:t>CKC</w:t>
      </w:r>
      <w:r w:rsidR="000B25A8" w:rsidRPr="00933EA3">
        <w:rPr>
          <w:rFonts w:ascii="Arial" w:hAnsi="Arial" w:cs="Arial"/>
          <w:color w:val="000000"/>
          <w:sz w:val="20"/>
          <w:szCs w:val="20"/>
          <w:lang w:eastAsia="en-AU"/>
        </w:rPr>
        <w:t xml:space="preserve"> pursuant to s.519(2) of the CYFA.</w:t>
      </w:r>
      <w:r w:rsidR="00DC44A4">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sidR="00DC44A4">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 xml:space="preserve">to the </w:t>
      </w:r>
      <w:r>
        <w:rPr>
          <w:rFonts w:ascii="Arial" w:hAnsi="Arial" w:cs="Arial"/>
          <w:color w:val="000000"/>
          <w:sz w:val="20"/>
          <w:szCs w:val="20"/>
          <w:lang w:eastAsia="en-AU"/>
        </w:rPr>
        <w:t>CKC</w:t>
      </w:r>
      <w:r w:rsidR="00DC44A4">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35E30D4A"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A77ACA">
        <w:rPr>
          <w:rFonts w:ascii="Helv" w:hAnsi="Helv" w:cs="Helv"/>
          <w:color w:val="000000"/>
          <w:sz w:val="20"/>
          <w:szCs w:val="20"/>
          <w:lang w:eastAsia="en-AU"/>
        </w:rPr>
        <w:t>CKC</w:t>
      </w:r>
      <w:r>
        <w:rPr>
          <w:rFonts w:ascii="Helv" w:hAnsi="Helv" w:cs="Helv"/>
          <w:color w:val="000000"/>
          <w:sz w:val="20"/>
          <w:szCs w:val="20"/>
          <w:lang w:eastAsia="en-AU"/>
        </w:rPr>
        <w:t xml:space="preserve">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Default="000B25A8" w:rsidP="00C61F6B">
      <w:pPr>
        <w:jc w:val="both"/>
        <w:rPr>
          <w:rFonts w:ascii="Arial" w:hAnsi="Arial" w:cs="Arial"/>
          <w:color w:val="000000"/>
          <w:sz w:val="20"/>
        </w:rPr>
      </w:pPr>
    </w:p>
    <w:p w14:paraId="10539ACA" w14:textId="3D0DE9EF" w:rsidR="00E8714E" w:rsidRPr="00011E27" w:rsidRDefault="00E8714E" w:rsidP="00E8714E">
      <w:pPr>
        <w:jc w:val="both"/>
        <w:rPr>
          <w:rFonts w:ascii="Arial" w:hAnsi="Arial" w:cs="Arial"/>
          <w:sz w:val="20"/>
        </w:rPr>
      </w:pPr>
      <w:r>
        <w:rPr>
          <w:rFonts w:ascii="Arial" w:hAnsi="Arial" w:cs="Arial"/>
          <w:sz w:val="20"/>
        </w:rPr>
        <w:t>The Children’s Court of Victoria announced in February 2026 that it will expand the availability of the Children’s Koori Court (CKC) to all Melbourne Metropolitan venues by September 2026. This expansion will be led by the Koori Services and Programs Team and represents an important step in strengthening the Court’s commitment to self-determination and the implementation of innovative approaches to better meet the needs of First Nations people. Additional Koori staff will be recruited as part of the expansion.</w:t>
      </w:r>
    </w:p>
    <w:p w14:paraId="7BE1BE0C" w14:textId="77777777" w:rsidR="00A77ACA" w:rsidRPr="00F51496" w:rsidRDefault="00A77ACA" w:rsidP="00C61F6B">
      <w:pPr>
        <w:jc w:val="both"/>
        <w:rPr>
          <w:rFonts w:ascii="Arial" w:hAnsi="Arial" w:cs="Arial"/>
          <w:color w:val="000000"/>
          <w:sz w:val="20"/>
        </w:rPr>
      </w:pPr>
      <w:bookmarkStart w:id="493" w:name="_7.11.5_Case_law"/>
      <w:bookmarkEnd w:id="493"/>
    </w:p>
    <w:p w14:paraId="54314FB2" w14:textId="77777777" w:rsidR="00626EB1" w:rsidRPr="00933EA3" w:rsidRDefault="00626EB1" w:rsidP="00626EB1">
      <w:pPr>
        <w:pStyle w:val="Heading3"/>
        <w:keepNext/>
        <w:spacing w:line="240" w:lineRule="auto"/>
        <w:rPr>
          <w:rFonts w:ascii="Arial" w:hAnsi="Arial" w:cs="Arial"/>
          <w:b/>
          <w:bCs/>
          <w:color w:val="000000"/>
          <w:sz w:val="20"/>
        </w:rPr>
      </w:pPr>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FD1861">
      <w:pPr>
        <w:keepNext/>
        <w:keepLines/>
        <w:jc w:val="both"/>
        <w:rPr>
          <w:rFonts w:ascii="Arial" w:hAnsi="Arial" w:cs="Arial"/>
          <w:color w:val="000000"/>
          <w:sz w:val="20"/>
        </w:rPr>
      </w:pPr>
    </w:p>
    <w:p w14:paraId="47F9EC17" w14:textId="77777777" w:rsidR="00766B43" w:rsidRDefault="00074CAF" w:rsidP="00FD186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Rossi v Martland</w:t>
      </w:r>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 xml:space="preserve">Charter [of </w:t>
      </w:r>
      <w:r w:rsidRPr="008102AC">
        <w:rPr>
          <w:rFonts w:ascii="Arial" w:hAnsi="Arial" w:cs="Arial"/>
          <w:i/>
          <w:iCs/>
          <w:color w:val="000000"/>
          <w:sz w:val="20"/>
        </w:rPr>
        <w:lastRenderedPageBreak/>
        <w:t>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lastRenderedPageBreak/>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E8714E" w:rsidRDefault="00766B43" w:rsidP="00D22128">
      <w:pPr>
        <w:spacing w:before="120"/>
        <w:ind w:left="1134" w:right="1134"/>
        <w:jc w:val="both"/>
        <w:rPr>
          <w:rFonts w:ascii="Arial" w:hAnsi="Arial" w:cs="Arial"/>
          <w:iCs/>
          <w:sz w:val="18"/>
          <w:szCs w:val="22"/>
        </w:rPr>
      </w:pPr>
      <w:r w:rsidRPr="00E8714E">
        <w:rPr>
          <w:rFonts w:ascii="Arial" w:hAnsi="Arial" w:cs="Arial"/>
          <w:iCs/>
          <w:sz w:val="18"/>
          <w:szCs w:val="22"/>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sidRPr="00E8714E">
        <w:rPr>
          <w:rFonts w:ascii="Arial" w:hAnsi="Arial" w:cs="Arial"/>
          <w:iCs/>
          <w:sz w:val="18"/>
          <w:szCs w:val="22"/>
        </w:rPr>
        <w:t>es sentence in such cases.’</w:t>
      </w:r>
    </w:p>
    <w:p w14:paraId="7D4FB36F" w14:textId="77777777" w:rsidR="00766B43" w:rsidRDefault="00D22128" w:rsidP="005D1409">
      <w:pPr>
        <w:keepNext/>
        <w:keepLines/>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t>The fact that the offender is, rather than ‘hiding behind counsel’, taking the opportunity to personally:</w:t>
      </w:r>
    </w:p>
    <w:p w14:paraId="1340EEFE"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591749">
      <w:pPr>
        <w:numPr>
          <w:ilvl w:val="0"/>
          <w:numId w:val="20"/>
        </w:numPr>
        <w:spacing w:before="80"/>
        <w:ind w:left="1491" w:right="1134" w:hanging="357"/>
        <w:jc w:val="both"/>
        <w:rPr>
          <w:rFonts w:ascii="Arial" w:hAnsi="Arial" w:cs="Arial"/>
          <w:iCs/>
          <w:sz w:val="20"/>
        </w:rPr>
      </w:pPr>
      <w:r w:rsidRPr="00DF2B95">
        <w:rPr>
          <w:rFonts w:ascii="Arial" w:hAnsi="Arial" w:cs="Arial"/>
          <w:iCs/>
          <w:sz w:val="20"/>
        </w:rPr>
        <w:lastRenderedPageBreak/>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F6159" w:rsidRDefault="006B220C" w:rsidP="006B220C">
      <w:pPr>
        <w:rPr>
          <w:rFonts w:ascii="Arial" w:hAnsi="Arial" w:cs="Arial"/>
          <w:sz w:val="20"/>
          <w:szCs w:val="28"/>
        </w:rPr>
      </w:pPr>
    </w:p>
    <w:p w14:paraId="29846192" w14:textId="77777777" w:rsidR="005F6159" w:rsidRDefault="005F6159" w:rsidP="005F6159">
      <w:pPr>
        <w:jc w:val="both"/>
        <w:rPr>
          <w:rFonts w:ascii="Arial" w:hAnsi="Arial" w:cs="Arial"/>
          <w:sz w:val="20"/>
          <w:szCs w:val="20"/>
        </w:rPr>
      </w:pPr>
      <w:r>
        <w:rPr>
          <w:rFonts w:ascii="Arial" w:hAnsi="Arial" w:cs="Arial"/>
          <w:sz w:val="20"/>
          <w:szCs w:val="20"/>
        </w:rPr>
        <w:t xml:space="preserve">In </w:t>
      </w:r>
      <w:r w:rsidRPr="00D60900">
        <w:rPr>
          <w:rFonts w:ascii="Arial" w:hAnsi="Arial" w:cs="Arial"/>
          <w:i/>
          <w:iCs/>
          <w:sz w:val="20"/>
          <w:szCs w:val="20"/>
        </w:rPr>
        <w:t>Atkinson v The King</w:t>
      </w:r>
      <w:r>
        <w:rPr>
          <w:rFonts w:ascii="Arial" w:hAnsi="Arial" w:cs="Arial"/>
          <w:sz w:val="20"/>
          <w:szCs w:val="20"/>
        </w:rPr>
        <w:t xml:space="preserve"> [2026] VSCA 70 the 19-year-old applicant had pleaded guilty in the Koori Court to t</w:t>
      </w:r>
      <w:r w:rsidRPr="00D60900">
        <w:rPr>
          <w:rFonts w:ascii="Arial" w:hAnsi="Arial" w:cs="Arial"/>
          <w:sz w:val="20"/>
          <w:szCs w:val="20"/>
        </w:rPr>
        <w:t xml:space="preserve">heft </w:t>
      </w:r>
      <w:r>
        <w:rPr>
          <w:rFonts w:ascii="Arial" w:hAnsi="Arial" w:cs="Arial"/>
          <w:sz w:val="20"/>
          <w:szCs w:val="20"/>
        </w:rPr>
        <w:t xml:space="preserve">x 4, </w:t>
      </w:r>
      <w:r w:rsidRPr="00D60900">
        <w:rPr>
          <w:rFonts w:ascii="Arial" w:hAnsi="Arial" w:cs="Arial"/>
          <w:sz w:val="20"/>
          <w:szCs w:val="20"/>
        </w:rPr>
        <w:t xml:space="preserve">aggravated burglary </w:t>
      </w:r>
      <w:r>
        <w:rPr>
          <w:rFonts w:ascii="Arial" w:hAnsi="Arial" w:cs="Arial"/>
          <w:sz w:val="20"/>
          <w:szCs w:val="20"/>
        </w:rPr>
        <w:t>x 1</w:t>
      </w:r>
      <w:r w:rsidRPr="00D60900">
        <w:rPr>
          <w:rFonts w:ascii="Arial" w:hAnsi="Arial" w:cs="Arial"/>
          <w:sz w:val="20"/>
          <w:szCs w:val="20"/>
        </w:rPr>
        <w:t xml:space="preserve">, attempted aggravated burglary </w:t>
      </w:r>
      <w:r>
        <w:rPr>
          <w:rFonts w:ascii="Arial" w:hAnsi="Arial" w:cs="Arial"/>
          <w:sz w:val="20"/>
          <w:szCs w:val="20"/>
        </w:rPr>
        <w:t>x 4</w:t>
      </w:r>
      <w:r w:rsidRPr="00D60900">
        <w:rPr>
          <w:rFonts w:ascii="Arial" w:hAnsi="Arial" w:cs="Arial"/>
          <w:sz w:val="20"/>
          <w:szCs w:val="20"/>
        </w:rPr>
        <w:t xml:space="preserve">, home </w:t>
      </w:r>
      <w:r>
        <w:rPr>
          <w:rFonts w:ascii="Arial" w:hAnsi="Arial" w:cs="Arial"/>
          <w:sz w:val="20"/>
          <w:szCs w:val="20"/>
        </w:rPr>
        <w:t>invasion 1</w:t>
      </w:r>
      <w:r w:rsidRPr="00D60900">
        <w:rPr>
          <w:rFonts w:ascii="Arial" w:hAnsi="Arial" w:cs="Arial"/>
          <w:sz w:val="20"/>
          <w:szCs w:val="20"/>
        </w:rPr>
        <w:t>, attempted burglary</w:t>
      </w:r>
      <w:r>
        <w:rPr>
          <w:rFonts w:ascii="Arial" w:hAnsi="Arial" w:cs="Arial"/>
          <w:sz w:val="20"/>
          <w:szCs w:val="20"/>
        </w:rPr>
        <w:t xml:space="preserve"> x </w:t>
      </w:r>
      <w:r w:rsidRPr="00D60900">
        <w:rPr>
          <w:rFonts w:ascii="Arial" w:hAnsi="Arial" w:cs="Arial"/>
          <w:sz w:val="20"/>
          <w:szCs w:val="20"/>
        </w:rPr>
        <w:t xml:space="preserve">1, dangerous driving while being pursued by police </w:t>
      </w:r>
      <w:r>
        <w:rPr>
          <w:rFonts w:ascii="Arial" w:hAnsi="Arial" w:cs="Arial"/>
          <w:sz w:val="20"/>
          <w:szCs w:val="20"/>
        </w:rPr>
        <w:t>x 1 &amp;</w:t>
      </w:r>
      <w:r w:rsidRPr="00D60900">
        <w:rPr>
          <w:rFonts w:ascii="Arial" w:hAnsi="Arial" w:cs="Arial"/>
          <w:sz w:val="20"/>
          <w:szCs w:val="20"/>
        </w:rPr>
        <w:t xml:space="preserve"> drive while disqualified </w:t>
      </w:r>
      <w:r>
        <w:rPr>
          <w:rFonts w:ascii="Arial" w:hAnsi="Arial" w:cs="Arial"/>
          <w:sz w:val="20"/>
          <w:szCs w:val="20"/>
        </w:rPr>
        <w:t xml:space="preserve">x 1 and had been sentenced to </w:t>
      </w:r>
      <w:r w:rsidRPr="00D60900">
        <w:rPr>
          <w:rFonts w:ascii="Arial" w:hAnsi="Arial" w:cs="Arial"/>
          <w:sz w:val="20"/>
          <w:szCs w:val="20"/>
        </w:rPr>
        <w:t xml:space="preserve">TES </w:t>
      </w:r>
      <w:r>
        <w:rPr>
          <w:rFonts w:ascii="Arial" w:hAnsi="Arial" w:cs="Arial"/>
          <w:sz w:val="20"/>
          <w:szCs w:val="20"/>
        </w:rPr>
        <w:t>IMP3y1m/2y. Beach JA refused leave to appeal, holding–</w:t>
      </w:r>
    </w:p>
    <w:p w14:paraId="569FDA0E" w14:textId="77777777" w:rsidR="005F6159" w:rsidRDefault="005F6159" w:rsidP="005F6159">
      <w:pPr>
        <w:pStyle w:val="ListParagraph"/>
        <w:numPr>
          <w:ilvl w:val="0"/>
          <w:numId w:val="75"/>
        </w:numPr>
        <w:spacing w:after="0" w:line="240" w:lineRule="auto"/>
        <w:ind w:left="357" w:hanging="357"/>
        <w:jc w:val="both"/>
        <w:rPr>
          <w:rFonts w:ascii="Arial" w:hAnsi="Arial" w:cs="Arial"/>
          <w:sz w:val="20"/>
          <w:szCs w:val="20"/>
        </w:rPr>
      </w:pPr>
      <w:r w:rsidRPr="00D60900">
        <w:rPr>
          <w:rFonts w:ascii="Arial" w:hAnsi="Arial" w:cs="Arial"/>
          <w:sz w:val="20"/>
          <w:szCs w:val="20"/>
        </w:rPr>
        <w:t>at [38] that it was not reasonably arguable that the sentence of IMP22m for home invasion was manifestly excessive</w:t>
      </w:r>
      <w:r>
        <w:rPr>
          <w:rFonts w:ascii="Arial" w:hAnsi="Arial" w:cs="Arial"/>
          <w:sz w:val="20"/>
          <w:szCs w:val="20"/>
        </w:rPr>
        <w:t>;</w:t>
      </w:r>
      <w:r w:rsidRPr="00D60900">
        <w:rPr>
          <w:rFonts w:ascii="Arial" w:hAnsi="Arial" w:cs="Arial"/>
          <w:sz w:val="20"/>
          <w:szCs w:val="20"/>
        </w:rPr>
        <w:t xml:space="preserve"> and</w:t>
      </w:r>
    </w:p>
    <w:p w14:paraId="4D7D37E2" w14:textId="77777777" w:rsidR="005F6159" w:rsidRPr="00D60900" w:rsidRDefault="005F6159" w:rsidP="005F6159">
      <w:pPr>
        <w:pStyle w:val="ListParagraph"/>
        <w:numPr>
          <w:ilvl w:val="0"/>
          <w:numId w:val="75"/>
        </w:numPr>
        <w:spacing w:after="0" w:line="240" w:lineRule="auto"/>
        <w:ind w:left="357" w:hanging="357"/>
        <w:jc w:val="both"/>
        <w:rPr>
          <w:rFonts w:ascii="Arial" w:hAnsi="Arial" w:cs="Arial"/>
          <w:sz w:val="20"/>
          <w:szCs w:val="20"/>
        </w:rPr>
      </w:pPr>
      <w:r w:rsidRPr="00D60900">
        <w:rPr>
          <w:rFonts w:ascii="Arial" w:hAnsi="Arial" w:cs="Arial"/>
          <w:sz w:val="20"/>
          <w:szCs w:val="20"/>
        </w:rPr>
        <w:t>at [32]-[37] that the judge had not failed to appropriately mitigate sentence given applicant’s participation in Koori Court sentencing conversation</w:t>
      </w:r>
      <w:r>
        <w:rPr>
          <w:rFonts w:ascii="Arial" w:hAnsi="Arial" w:cs="Arial"/>
          <w:sz w:val="20"/>
          <w:szCs w:val="20"/>
        </w:rPr>
        <w:t>.</w:t>
      </w:r>
    </w:p>
    <w:p w14:paraId="57D5A90D" w14:textId="77777777" w:rsidR="005F6159" w:rsidRDefault="005F6159" w:rsidP="005F6159">
      <w:pPr>
        <w:jc w:val="both"/>
        <w:rPr>
          <w:rFonts w:ascii="Arial" w:hAnsi="Arial" w:cs="Arial"/>
          <w:sz w:val="20"/>
          <w:szCs w:val="20"/>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 xml:space="preserve">[2018] VSCA 214 the applicant had submitted that the Court of Appeal should endorse a practice of sentencing judicial officers in the Koori Court requesting pre-sentence reports in every case comparable to the ‘Gladue’ reports (see </w:t>
      </w:r>
      <w:r w:rsidRPr="00DF2B95">
        <w:rPr>
          <w:rFonts w:ascii="Arial" w:hAnsi="Arial" w:cs="Arial"/>
          <w:i/>
          <w:iCs/>
          <w:sz w:val="20"/>
        </w:rPr>
        <w:t>Gladue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r w:rsidRPr="00DF2B95">
        <w:rPr>
          <w:rFonts w:ascii="Arial" w:hAnsi="Arial" w:cs="Arial"/>
          <w:i/>
          <w:iCs/>
          <w:sz w:val="20"/>
        </w:rPr>
        <w:t>Gladue</w:t>
      </w:r>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r w:rsidRPr="00DF2B95">
        <w:rPr>
          <w:rFonts w:ascii="Arial" w:hAnsi="Arial" w:cs="Arial"/>
          <w:i/>
          <w:iCs/>
          <w:sz w:val="20"/>
        </w:rPr>
        <w:t>Gladue</w:t>
      </w:r>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94" w:name="_7.11.6_Statistics"/>
      <w:bookmarkEnd w:id="494"/>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073600B7" w14:textId="77777777" w:rsidR="005D1409" w:rsidRPr="00F51496" w:rsidRDefault="005D1409"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5" w:name="_7.12_Cases_on"/>
      <w:bookmarkEnd w:id="495"/>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8"/>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6" w:name="_7.12.1_Offensive_behaviour"/>
      <w:bookmarkStart w:id="497" w:name="_Toc58901924"/>
      <w:bookmarkEnd w:id="496"/>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7"/>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8"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9" w:name="_7.12.2_Insulting_words"/>
      <w:bookmarkEnd w:id="499"/>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002EABD9"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w:t>
      </w:r>
      <w:r w:rsidR="00B54471">
        <w:rPr>
          <w:rFonts w:ascii="Arial" w:hAnsi="Arial" w:cs="Arial"/>
          <w:color w:val="000000"/>
          <w:sz w:val="20"/>
        </w:rPr>
        <w:t xml:space="preserve">(2008) 17 VR 647; </w:t>
      </w:r>
      <w:r w:rsidRPr="00F51496">
        <w:rPr>
          <w:rFonts w:ascii="Arial" w:hAnsi="Arial" w:cs="Arial"/>
          <w:color w:val="000000"/>
          <w:sz w:val="20"/>
        </w:rPr>
        <w:t xml:space="preserve">[2008]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w:t>
      </w:r>
      <w:r w:rsidR="00B54471">
        <w:rPr>
          <w:rFonts w:ascii="Arial" w:hAnsi="Arial" w:cs="Arial"/>
          <w:color w:val="000000"/>
          <w:sz w:val="20"/>
        </w:rPr>
        <w:t>1</w:t>
      </w:r>
      <w:r w:rsidRPr="00F51496">
        <w:rPr>
          <w:rFonts w:ascii="Arial" w:hAnsi="Arial" w:cs="Arial"/>
          <w:color w:val="000000"/>
          <w:sz w:val="20"/>
        </w:rPr>
        <w:t xml:space="preserve">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57912334" w:rsidR="00F175E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B7BEEEC" w14:textId="77777777" w:rsidR="00B54471" w:rsidRDefault="00B54471" w:rsidP="00B54471">
      <w:pPr>
        <w:tabs>
          <w:tab w:val="left" w:pos="363"/>
        </w:tabs>
        <w:jc w:val="both"/>
        <w:rPr>
          <w:rFonts w:ascii="Arial" w:hAnsi="Arial" w:cs="Arial"/>
          <w:color w:val="000000"/>
          <w:sz w:val="20"/>
        </w:rPr>
      </w:pPr>
    </w:p>
    <w:p w14:paraId="072ED88C" w14:textId="77777777" w:rsidR="00B54471" w:rsidRDefault="00B54471" w:rsidP="00B54471">
      <w:pPr>
        <w:tabs>
          <w:tab w:val="left" w:pos="363"/>
        </w:tabs>
        <w:jc w:val="both"/>
        <w:rPr>
          <w:rFonts w:ascii="Arial" w:hAnsi="Arial" w:cs="Arial"/>
          <w:color w:val="000000"/>
          <w:sz w:val="20"/>
        </w:rPr>
      </w:pPr>
      <w:r>
        <w:rPr>
          <w:rFonts w:ascii="Arial" w:hAnsi="Arial" w:cs="Arial"/>
          <w:color w:val="000000"/>
          <w:sz w:val="20"/>
        </w:rPr>
        <w:t xml:space="preserve">In </w:t>
      </w:r>
      <w:r w:rsidRPr="00B54471">
        <w:rPr>
          <w:rFonts w:ascii="Arial" w:hAnsi="Arial" w:cs="Arial"/>
          <w:i/>
          <w:iCs/>
          <w:color w:val="000000"/>
          <w:sz w:val="20"/>
        </w:rPr>
        <w:t>Rabb &amp; Fiddes v Tayeh</w:t>
      </w:r>
      <w:r>
        <w:rPr>
          <w:rFonts w:ascii="Arial" w:hAnsi="Arial" w:cs="Arial"/>
          <w:color w:val="000000"/>
          <w:sz w:val="20"/>
        </w:rPr>
        <w:t xml:space="preserve"> [2025] VMC 17 </w:t>
      </w:r>
      <w:r w:rsidRPr="00B54471">
        <w:rPr>
          <w:rFonts w:ascii="Arial" w:hAnsi="Arial" w:cs="Arial"/>
          <w:color w:val="000000"/>
          <w:sz w:val="20"/>
        </w:rPr>
        <w:t xml:space="preserve">Mr Tayeh </w:t>
      </w:r>
      <w:r>
        <w:rPr>
          <w:rFonts w:ascii="Arial" w:hAnsi="Arial" w:cs="Arial"/>
          <w:color w:val="000000"/>
          <w:sz w:val="20"/>
        </w:rPr>
        <w:t>was</w:t>
      </w:r>
      <w:r w:rsidRPr="00B54471">
        <w:rPr>
          <w:rFonts w:ascii="Arial" w:hAnsi="Arial" w:cs="Arial"/>
          <w:color w:val="000000"/>
          <w:sz w:val="20"/>
        </w:rPr>
        <w:t xml:space="preserve"> charged with 5 charges of using insulting words in a public place contrary to s 17(1)(c) </w:t>
      </w:r>
      <w:r w:rsidRPr="00B54471">
        <w:rPr>
          <w:rFonts w:ascii="Arial" w:hAnsi="Arial" w:cs="Arial"/>
          <w:i/>
          <w:iCs/>
          <w:color w:val="000000"/>
          <w:sz w:val="20"/>
        </w:rPr>
        <w:t>Summary Offences Act 1966</w:t>
      </w:r>
      <w:r w:rsidRPr="00B54471">
        <w:rPr>
          <w:rFonts w:ascii="Arial" w:hAnsi="Arial" w:cs="Arial"/>
          <w:color w:val="000000"/>
          <w:sz w:val="20"/>
        </w:rPr>
        <w:t xml:space="preserve"> (Vic)</w:t>
      </w:r>
      <w:r>
        <w:rPr>
          <w:rFonts w:ascii="Arial" w:hAnsi="Arial" w:cs="Arial"/>
          <w:color w:val="000000"/>
          <w:sz w:val="20"/>
        </w:rPr>
        <w:t xml:space="preserve"> which provides</w:t>
      </w:r>
      <w:r w:rsidRPr="00B54471">
        <w:rPr>
          <w:rFonts w:ascii="Arial" w:hAnsi="Arial" w:cs="Arial"/>
          <w:color w:val="000000"/>
          <w:sz w:val="20"/>
        </w:rPr>
        <w:t>:</w:t>
      </w:r>
    </w:p>
    <w:p w14:paraId="3C867378" w14:textId="77777777" w:rsidR="00B54471" w:rsidRDefault="00B54471" w:rsidP="00B54471">
      <w:pPr>
        <w:tabs>
          <w:tab w:val="left" w:pos="363"/>
        </w:tabs>
        <w:spacing w:before="60"/>
        <w:ind w:left="567" w:right="567"/>
        <w:jc w:val="both"/>
        <w:rPr>
          <w:rFonts w:ascii="Arial" w:hAnsi="Arial" w:cs="Arial"/>
          <w:color w:val="000000"/>
          <w:sz w:val="20"/>
        </w:rPr>
      </w:pPr>
      <w:r w:rsidRPr="00B54471">
        <w:rPr>
          <w:rFonts w:ascii="Arial" w:hAnsi="Arial" w:cs="Arial"/>
          <w:color w:val="000000"/>
          <w:sz w:val="20"/>
        </w:rPr>
        <w:t xml:space="preserve">“Any person who in or near a public place or within the view or hearing of any person being or passing therein or thereon- (c) uses profane indecent or obscene language or threatening abusive or insulting words shall be guilty of an offence” </w:t>
      </w:r>
    </w:p>
    <w:p w14:paraId="56144DE8" w14:textId="77777777" w:rsidR="00B54471" w:rsidRDefault="00B54471" w:rsidP="00B54471">
      <w:pPr>
        <w:tabs>
          <w:tab w:val="left" w:pos="363"/>
        </w:tabs>
        <w:spacing w:before="60"/>
        <w:jc w:val="both"/>
        <w:rPr>
          <w:rFonts w:ascii="Arial" w:hAnsi="Arial" w:cs="Arial"/>
          <w:color w:val="000000"/>
          <w:sz w:val="20"/>
        </w:rPr>
      </w:pPr>
      <w:r>
        <w:rPr>
          <w:rFonts w:ascii="Arial" w:hAnsi="Arial" w:cs="Arial"/>
          <w:color w:val="000000"/>
          <w:sz w:val="20"/>
        </w:rPr>
        <w:t xml:space="preserve">The following </w:t>
      </w:r>
      <w:r w:rsidRPr="00B54471">
        <w:rPr>
          <w:rFonts w:ascii="Arial" w:hAnsi="Arial" w:cs="Arial"/>
          <w:color w:val="000000"/>
          <w:sz w:val="20"/>
        </w:rPr>
        <w:t>issues ha</w:t>
      </w:r>
      <w:r>
        <w:rPr>
          <w:rFonts w:ascii="Arial" w:hAnsi="Arial" w:cs="Arial"/>
          <w:color w:val="000000"/>
          <w:sz w:val="20"/>
        </w:rPr>
        <w:t>d</w:t>
      </w:r>
      <w:r w:rsidRPr="00B54471">
        <w:rPr>
          <w:rFonts w:ascii="Arial" w:hAnsi="Arial" w:cs="Arial"/>
          <w:color w:val="000000"/>
          <w:sz w:val="20"/>
        </w:rPr>
        <w:t xml:space="preserve"> arisen between the parties which require</w:t>
      </w:r>
      <w:r>
        <w:rPr>
          <w:rFonts w:ascii="Arial" w:hAnsi="Arial" w:cs="Arial"/>
          <w:color w:val="000000"/>
          <w:sz w:val="20"/>
        </w:rPr>
        <w:t>d</w:t>
      </w:r>
      <w:r w:rsidRPr="00B54471">
        <w:rPr>
          <w:rFonts w:ascii="Arial" w:hAnsi="Arial" w:cs="Arial"/>
          <w:color w:val="000000"/>
          <w:sz w:val="20"/>
        </w:rPr>
        <w:t xml:space="preserve"> preliminary determination</w:t>
      </w:r>
      <w:r>
        <w:rPr>
          <w:rFonts w:ascii="Arial" w:hAnsi="Arial" w:cs="Arial"/>
          <w:color w:val="000000"/>
          <w:sz w:val="20"/>
        </w:rPr>
        <w:t>:</w:t>
      </w:r>
    </w:p>
    <w:p w14:paraId="406B1643" w14:textId="77777777" w:rsidR="00B54471" w:rsidRDefault="00B54471" w:rsidP="00591749">
      <w:pPr>
        <w:pStyle w:val="ListParagraph"/>
        <w:numPr>
          <w:ilvl w:val="0"/>
          <w:numId w:val="73"/>
        </w:numPr>
        <w:tabs>
          <w:tab w:val="left" w:pos="363"/>
        </w:tabs>
        <w:spacing w:after="0" w:line="240" w:lineRule="auto"/>
        <w:ind w:left="924" w:right="567" w:hanging="357"/>
        <w:jc w:val="both"/>
        <w:rPr>
          <w:rFonts w:ascii="Arial" w:hAnsi="Arial" w:cs="Arial"/>
          <w:color w:val="000000"/>
          <w:sz w:val="20"/>
        </w:rPr>
      </w:pPr>
      <w:r w:rsidRPr="00B54471">
        <w:rPr>
          <w:rFonts w:ascii="Arial" w:hAnsi="Arial" w:cs="Arial"/>
          <w:color w:val="000000"/>
          <w:sz w:val="20"/>
        </w:rPr>
        <w:t xml:space="preserve">how are “insulting words” to be defined; </w:t>
      </w:r>
    </w:p>
    <w:p w14:paraId="1622B55A" w14:textId="2B1D605B"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(b)</w:t>
      </w:r>
      <w:r>
        <w:rPr>
          <w:rFonts w:ascii="Arial" w:hAnsi="Arial" w:cs="Arial"/>
          <w:color w:val="000000"/>
          <w:sz w:val="20"/>
        </w:rPr>
        <w:tab/>
      </w:r>
      <w:r w:rsidRPr="00B54471">
        <w:rPr>
          <w:rFonts w:ascii="Arial" w:hAnsi="Arial" w:cs="Arial"/>
          <w:color w:val="000000"/>
          <w:sz w:val="20"/>
        </w:rPr>
        <w:t xml:space="preserve">is the definition of insulting words context dependent, namely is there a higher threshold as to what constitutes insulting words when those words are a form of what might be loosely characterised as “political communication”; </w:t>
      </w:r>
    </w:p>
    <w:p w14:paraId="61DA3F31" w14:textId="0832E2C1"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(c)</w:t>
      </w:r>
      <w:r>
        <w:rPr>
          <w:rFonts w:ascii="Arial" w:hAnsi="Arial" w:cs="Arial"/>
          <w:color w:val="000000"/>
          <w:sz w:val="20"/>
        </w:rPr>
        <w:tab/>
      </w:r>
      <w:r w:rsidRPr="00B54471">
        <w:rPr>
          <w:rFonts w:ascii="Arial" w:hAnsi="Arial" w:cs="Arial"/>
          <w:color w:val="000000"/>
          <w:sz w:val="20"/>
        </w:rPr>
        <w:t>what is the fault element required to be guilty of the offence of using insulting words;</w:t>
      </w:r>
    </w:p>
    <w:p w14:paraId="4EEB5297" w14:textId="448474B8"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(d)</w:t>
      </w:r>
      <w:r>
        <w:rPr>
          <w:rFonts w:ascii="Arial" w:hAnsi="Arial" w:cs="Arial"/>
          <w:color w:val="000000"/>
          <w:sz w:val="20"/>
        </w:rPr>
        <w:tab/>
      </w:r>
      <w:r w:rsidRPr="00B54471">
        <w:rPr>
          <w:rFonts w:ascii="Arial" w:hAnsi="Arial" w:cs="Arial"/>
          <w:color w:val="000000"/>
          <w:sz w:val="20"/>
        </w:rPr>
        <w:t xml:space="preserve">the role of the </w:t>
      </w:r>
      <w:r w:rsidRPr="00B54471">
        <w:rPr>
          <w:rFonts w:ascii="Arial" w:hAnsi="Arial" w:cs="Arial"/>
          <w:i/>
          <w:iCs/>
          <w:color w:val="000000"/>
          <w:sz w:val="20"/>
        </w:rPr>
        <w:t>Charter of Human Rights and Responsibilities Act 2006</w:t>
      </w:r>
      <w:r w:rsidRPr="00B54471">
        <w:rPr>
          <w:rFonts w:ascii="Arial" w:hAnsi="Arial" w:cs="Arial"/>
          <w:color w:val="000000"/>
          <w:sz w:val="20"/>
        </w:rPr>
        <w:t>, and specifically section 32 of that Act in combination with section 15(2) (freedom of expression);</w:t>
      </w:r>
      <w:r>
        <w:rPr>
          <w:rFonts w:ascii="Arial" w:hAnsi="Arial" w:cs="Arial"/>
          <w:color w:val="000000"/>
          <w:sz w:val="20"/>
        </w:rPr>
        <w:t xml:space="preserve"> and</w:t>
      </w:r>
    </w:p>
    <w:p w14:paraId="69BC3326" w14:textId="08497652" w:rsidR="00B54471" w:rsidRP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(e)</w:t>
      </w:r>
      <w:r>
        <w:rPr>
          <w:rFonts w:ascii="Arial" w:hAnsi="Arial" w:cs="Arial"/>
          <w:color w:val="000000"/>
          <w:sz w:val="20"/>
        </w:rPr>
        <w:tab/>
      </w:r>
      <w:r w:rsidRPr="00B54471">
        <w:rPr>
          <w:rFonts w:ascii="Arial" w:hAnsi="Arial" w:cs="Arial"/>
          <w:color w:val="000000"/>
          <w:sz w:val="20"/>
        </w:rPr>
        <w:t>whether the provision can and should be “read down” so as to be compatible with “the implied freedom of political communication”</w:t>
      </w:r>
      <w:r>
        <w:rPr>
          <w:rFonts w:ascii="Arial" w:hAnsi="Arial" w:cs="Arial"/>
          <w:color w:val="000000"/>
          <w:sz w:val="20"/>
        </w:rPr>
        <w:t>.</w:t>
      </w:r>
    </w:p>
    <w:p w14:paraId="54C9E6CD" w14:textId="57132259" w:rsidR="00B54471" w:rsidRDefault="002B7C9F" w:rsidP="00B54471">
      <w:pPr>
        <w:tabs>
          <w:tab w:val="left" w:pos="363"/>
        </w:tabs>
        <w:spacing w:before="60"/>
        <w:jc w:val="both"/>
        <w:rPr>
          <w:rFonts w:ascii="Arial" w:hAnsi="Arial" w:cs="Arial"/>
          <w:color w:val="000000"/>
          <w:sz w:val="20"/>
        </w:rPr>
      </w:pPr>
      <w:r>
        <w:rPr>
          <w:rFonts w:ascii="Arial" w:hAnsi="Arial" w:cs="Arial"/>
          <w:color w:val="000000"/>
          <w:sz w:val="20"/>
        </w:rPr>
        <w:t xml:space="preserve">In summary </w:t>
      </w:r>
      <w:r w:rsidR="004458C6">
        <w:rPr>
          <w:rFonts w:ascii="Arial" w:hAnsi="Arial" w:cs="Arial"/>
          <w:color w:val="000000"/>
          <w:sz w:val="20"/>
        </w:rPr>
        <w:t>M H Thomas M held:</w:t>
      </w:r>
    </w:p>
    <w:p w14:paraId="1E118115" w14:textId="4FB0FF16" w:rsidR="004458C6" w:rsidRDefault="004458C6"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w:t>
      </w:r>
      <w:r w:rsidR="00124985">
        <w:rPr>
          <w:rFonts w:ascii="Arial" w:hAnsi="Arial" w:cs="Arial"/>
          <w:color w:val="000000"/>
          <w:sz w:val="20"/>
        </w:rPr>
        <w:t>30</w:t>
      </w:r>
      <w:r>
        <w:rPr>
          <w:rFonts w:ascii="Arial" w:hAnsi="Arial" w:cs="Arial"/>
          <w:color w:val="000000"/>
          <w:sz w:val="20"/>
        </w:rPr>
        <w:t>]</w:t>
      </w:r>
      <w:r w:rsidR="00124985">
        <w:rPr>
          <w:rFonts w:ascii="Arial" w:hAnsi="Arial" w:cs="Arial"/>
          <w:color w:val="000000"/>
          <w:sz w:val="20"/>
        </w:rPr>
        <w:t>-[34]</w:t>
      </w:r>
      <w:r>
        <w:rPr>
          <w:rFonts w:ascii="Arial" w:hAnsi="Arial" w:cs="Arial"/>
          <w:color w:val="000000"/>
          <w:sz w:val="20"/>
        </w:rPr>
        <w:t xml:space="preserve">: The ‘wide approach’ (which he summarised at [13]-[18]) adopted by </w:t>
      </w:r>
      <w:r w:rsidRPr="004458C6">
        <w:rPr>
          <w:rFonts w:ascii="Arial" w:hAnsi="Arial" w:cs="Arial"/>
          <w:color w:val="000000"/>
          <w:sz w:val="20"/>
        </w:rPr>
        <w:t xml:space="preserve">Gleeson CJ, Callinan </w:t>
      </w:r>
      <w:r>
        <w:rPr>
          <w:rFonts w:ascii="Arial" w:hAnsi="Arial" w:cs="Arial"/>
          <w:color w:val="000000"/>
          <w:sz w:val="20"/>
        </w:rPr>
        <w:t>&amp;</w:t>
      </w:r>
      <w:r w:rsidRPr="004458C6">
        <w:rPr>
          <w:rFonts w:ascii="Arial" w:hAnsi="Arial" w:cs="Arial"/>
          <w:color w:val="000000"/>
          <w:sz w:val="20"/>
        </w:rPr>
        <w:t xml:space="preserve"> </w:t>
      </w:r>
      <w:proofErr w:type="spellStart"/>
      <w:r w:rsidRPr="004458C6">
        <w:rPr>
          <w:rFonts w:ascii="Arial" w:hAnsi="Arial" w:cs="Arial"/>
          <w:color w:val="000000"/>
          <w:sz w:val="20"/>
        </w:rPr>
        <w:t>Heydon</w:t>
      </w:r>
      <w:proofErr w:type="spellEnd"/>
      <w:r w:rsidRPr="004458C6">
        <w:rPr>
          <w:rFonts w:ascii="Arial" w:hAnsi="Arial" w:cs="Arial"/>
          <w:color w:val="000000"/>
          <w:sz w:val="20"/>
        </w:rPr>
        <w:t xml:space="preserve"> JJ </w:t>
      </w:r>
      <w:r>
        <w:rPr>
          <w:rFonts w:ascii="Arial" w:hAnsi="Arial" w:cs="Arial"/>
          <w:color w:val="000000"/>
          <w:sz w:val="20"/>
        </w:rPr>
        <w:t xml:space="preserve">and McHugh J in </w:t>
      </w:r>
      <w:r w:rsidRPr="00F51496">
        <w:rPr>
          <w:rFonts w:ascii="Arial" w:hAnsi="Arial" w:cs="Arial"/>
          <w:i/>
          <w:color w:val="000000"/>
          <w:sz w:val="20"/>
        </w:rPr>
        <w:t xml:space="preserve">Coleman v Power </w:t>
      </w:r>
      <w:r w:rsidRPr="00F51496">
        <w:rPr>
          <w:rFonts w:ascii="Arial" w:hAnsi="Arial" w:cs="Arial"/>
          <w:color w:val="000000"/>
          <w:sz w:val="20"/>
        </w:rPr>
        <w:t>(2004) 220 CLR 1</w:t>
      </w:r>
      <w:r>
        <w:rPr>
          <w:rFonts w:ascii="Arial" w:hAnsi="Arial" w:cs="Arial"/>
          <w:color w:val="000000"/>
          <w:sz w:val="20"/>
        </w:rPr>
        <w:t xml:space="preserve"> </w:t>
      </w:r>
      <w:r w:rsidR="00124985">
        <w:rPr>
          <w:rFonts w:ascii="Arial" w:hAnsi="Arial" w:cs="Arial"/>
          <w:color w:val="000000"/>
          <w:sz w:val="20"/>
        </w:rPr>
        <w:t xml:space="preserve">was preferable to the ‘narrow approach’ adopted by </w:t>
      </w:r>
      <w:r w:rsidR="00124985" w:rsidRPr="00124985">
        <w:rPr>
          <w:rFonts w:ascii="Arial" w:hAnsi="Arial" w:cs="Arial"/>
          <w:color w:val="000000"/>
          <w:sz w:val="20"/>
        </w:rPr>
        <w:t xml:space="preserve">Gummow </w:t>
      </w:r>
      <w:r w:rsidR="00124985">
        <w:rPr>
          <w:rFonts w:ascii="Arial" w:hAnsi="Arial" w:cs="Arial"/>
          <w:color w:val="000000"/>
          <w:sz w:val="20"/>
        </w:rPr>
        <w:t>&amp;</w:t>
      </w:r>
      <w:r w:rsidR="00124985" w:rsidRPr="00124985">
        <w:rPr>
          <w:rFonts w:ascii="Arial" w:hAnsi="Arial" w:cs="Arial"/>
          <w:color w:val="000000"/>
          <w:sz w:val="20"/>
        </w:rPr>
        <w:t xml:space="preserve"> Hayne JJ and Kirby J.</w:t>
      </w:r>
    </w:p>
    <w:p w14:paraId="72594609" w14:textId="696CEC78" w:rsidR="00124985"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[36]-[46]: He was bound by the decision of Harper J in </w:t>
      </w:r>
      <w:r w:rsidRPr="00124985">
        <w:rPr>
          <w:rFonts w:ascii="Arial" w:hAnsi="Arial" w:cs="Arial"/>
          <w:i/>
          <w:iCs/>
          <w:color w:val="000000"/>
          <w:sz w:val="20"/>
        </w:rPr>
        <w:t>Ferguson v Walkley</w:t>
      </w:r>
      <w:r w:rsidRPr="00124985">
        <w:rPr>
          <w:rFonts w:ascii="Arial" w:hAnsi="Arial" w:cs="Arial"/>
          <w:color w:val="000000"/>
          <w:sz w:val="20"/>
        </w:rPr>
        <w:t xml:space="preserve"> </w:t>
      </w:r>
      <w:r>
        <w:rPr>
          <w:rFonts w:ascii="Arial" w:hAnsi="Arial" w:cs="Arial"/>
          <w:color w:val="000000"/>
          <w:sz w:val="20"/>
        </w:rPr>
        <w:t>(2008) 17 VR 647;</w:t>
      </w:r>
      <w:r w:rsidRPr="00124985">
        <w:rPr>
          <w:rFonts w:ascii="Arial" w:hAnsi="Arial" w:cs="Arial"/>
          <w:color w:val="000000"/>
          <w:sz w:val="20"/>
        </w:rPr>
        <w:t xml:space="preserve"> [2008] VSC 7</w:t>
      </w:r>
      <w:r>
        <w:rPr>
          <w:rFonts w:ascii="Arial" w:hAnsi="Arial" w:cs="Arial"/>
          <w:color w:val="000000"/>
          <w:sz w:val="20"/>
        </w:rPr>
        <w:t xml:space="preserve"> which cannot be distinguished.</w:t>
      </w:r>
    </w:p>
    <w:p w14:paraId="0C312ADC" w14:textId="33E7FC4D" w:rsidR="002B7C9F"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[47]-[54]: T</w:t>
      </w:r>
      <w:r w:rsidRPr="00124985">
        <w:rPr>
          <w:rFonts w:ascii="Arial" w:hAnsi="Arial" w:cs="Arial"/>
          <w:color w:val="000000"/>
          <w:sz w:val="20"/>
        </w:rPr>
        <w:t>he decision of</w:t>
      </w:r>
      <w:r>
        <w:rPr>
          <w:rFonts w:ascii="Arial" w:hAnsi="Arial" w:cs="Arial"/>
          <w:color w:val="000000"/>
          <w:sz w:val="20"/>
        </w:rPr>
        <w:t xml:space="preserve"> Richards J in</w:t>
      </w:r>
      <w:r w:rsidRPr="00124985">
        <w:rPr>
          <w:rFonts w:ascii="Arial" w:hAnsi="Arial" w:cs="Arial"/>
          <w:color w:val="000000"/>
          <w:sz w:val="20"/>
        </w:rPr>
        <w:t xml:space="preserve"> </w:t>
      </w:r>
      <w:r w:rsidRPr="00124985">
        <w:rPr>
          <w:rFonts w:ascii="Arial" w:hAnsi="Arial" w:cs="Arial"/>
          <w:i/>
          <w:iCs/>
          <w:color w:val="000000"/>
          <w:sz w:val="20"/>
        </w:rPr>
        <w:t>Department of Justice and Regulation v Bhatia</w:t>
      </w:r>
      <w:r w:rsidRPr="00124985">
        <w:rPr>
          <w:rFonts w:ascii="Arial" w:hAnsi="Arial" w:cs="Arial"/>
          <w:color w:val="000000"/>
          <w:sz w:val="20"/>
        </w:rPr>
        <w:t xml:space="preserve"> [2018] VSC 500</w:t>
      </w:r>
      <w:r>
        <w:rPr>
          <w:rFonts w:ascii="Arial" w:hAnsi="Arial" w:cs="Arial"/>
          <w:color w:val="000000"/>
          <w:sz w:val="20"/>
        </w:rPr>
        <w:t xml:space="preserve"> </w:t>
      </w:r>
      <w:r w:rsidR="0036534D">
        <w:rPr>
          <w:rFonts w:ascii="Arial" w:hAnsi="Arial" w:cs="Arial"/>
          <w:color w:val="000000"/>
          <w:sz w:val="20"/>
        </w:rPr>
        <w:t xml:space="preserve">– namely </w:t>
      </w:r>
      <w:r>
        <w:rPr>
          <w:rFonts w:ascii="Arial" w:hAnsi="Arial" w:cs="Arial"/>
          <w:color w:val="000000"/>
          <w:sz w:val="20"/>
        </w:rPr>
        <w:t xml:space="preserve">that an offence under s.17(1)(d) of the </w:t>
      </w:r>
      <w:r w:rsidRPr="00124985">
        <w:rPr>
          <w:rFonts w:ascii="Arial" w:hAnsi="Arial" w:cs="Arial"/>
          <w:i/>
          <w:iCs/>
          <w:color w:val="000000"/>
          <w:sz w:val="20"/>
        </w:rPr>
        <w:t>Summary Offences Act 1966</w:t>
      </w:r>
      <w:r>
        <w:rPr>
          <w:rFonts w:ascii="Arial" w:hAnsi="Arial" w:cs="Arial"/>
          <w:color w:val="000000"/>
          <w:sz w:val="20"/>
        </w:rPr>
        <w:t xml:space="preserve"> does not require </w:t>
      </w:r>
      <w:proofErr w:type="spellStart"/>
      <w:r w:rsidRPr="00124985">
        <w:rPr>
          <w:rFonts w:ascii="Arial" w:hAnsi="Arial" w:cs="Arial"/>
          <w:i/>
          <w:iCs/>
          <w:color w:val="000000"/>
          <w:sz w:val="20"/>
        </w:rPr>
        <w:t>mens</w:t>
      </w:r>
      <w:proofErr w:type="spellEnd"/>
      <w:r w:rsidRPr="00124985">
        <w:rPr>
          <w:rFonts w:ascii="Arial" w:hAnsi="Arial" w:cs="Arial"/>
          <w:i/>
          <w:iCs/>
          <w:color w:val="000000"/>
          <w:sz w:val="20"/>
        </w:rPr>
        <w:t xml:space="preserve"> rea</w:t>
      </w:r>
      <w:r>
        <w:rPr>
          <w:rFonts w:ascii="Arial" w:hAnsi="Arial" w:cs="Arial"/>
          <w:color w:val="000000"/>
          <w:sz w:val="20"/>
        </w:rPr>
        <w:t xml:space="preserve"> </w:t>
      </w:r>
      <w:r w:rsidR="0036534D">
        <w:rPr>
          <w:rFonts w:ascii="Arial" w:hAnsi="Arial" w:cs="Arial"/>
          <w:color w:val="000000"/>
          <w:sz w:val="20"/>
        </w:rPr>
        <w:t xml:space="preserve">– </w:t>
      </w:r>
      <w:r w:rsidRPr="00124985">
        <w:rPr>
          <w:rFonts w:ascii="Arial" w:hAnsi="Arial" w:cs="Arial"/>
          <w:color w:val="000000"/>
          <w:sz w:val="20"/>
        </w:rPr>
        <w:t xml:space="preserve">does not constitute binding authority that s 17(1)(c) </w:t>
      </w:r>
      <w:r w:rsidRPr="00124985">
        <w:rPr>
          <w:rFonts w:ascii="Arial" w:hAnsi="Arial" w:cs="Arial"/>
          <w:i/>
          <w:iCs/>
          <w:color w:val="000000"/>
          <w:sz w:val="20"/>
        </w:rPr>
        <w:t>Summary Offences Act</w:t>
      </w:r>
      <w:r w:rsidRPr="00124985">
        <w:rPr>
          <w:rFonts w:ascii="Arial" w:hAnsi="Arial" w:cs="Arial"/>
          <w:color w:val="000000"/>
          <w:sz w:val="20"/>
        </w:rPr>
        <w:t xml:space="preserve"> is a strict liability offence</w:t>
      </w:r>
      <w:r w:rsidR="002B7C9F">
        <w:rPr>
          <w:rFonts w:ascii="Arial" w:hAnsi="Arial" w:cs="Arial"/>
          <w:color w:val="000000"/>
          <w:sz w:val="20"/>
        </w:rPr>
        <w:t>.</w:t>
      </w:r>
    </w:p>
    <w:p w14:paraId="4F1770D4" w14:textId="60FBE224" w:rsidR="00124985" w:rsidRDefault="002B7C9F"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[55]-[67]: </w:t>
      </w:r>
      <w:proofErr w:type="spellStart"/>
      <w:r w:rsidRPr="002B7C9F">
        <w:rPr>
          <w:rFonts w:ascii="Arial" w:hAnsi="Arial" w:cs="Arial"/>
          <w:i/>
          <w:iCs/>
          <w:color w:val="000000"/>
          <w:sz w:val="20"/>
        </w:rPr>
        <w:t>Mens</w:t>
      </w:r>
      <w:proofErr w:type="spellEnd"/>
      <w:r w:rsidRPr="002B7C9F">
        <w:rPr>
          <w:rFonts w:ascii="Arial" w:hAnsi="Arial" w:cs="Arial"/>
          <w:i/>
          <w:iCs/>
          <w:color w:val="000000"/>
          <w:sz w:val="20"/>
        </w:rPr>
        <w:t xml:space="preserve"> rea</w:t>
      </w:r>
      <w:r>
        <w:rPr>
          <w:rFonts w:ascii="Arial" w:hAnsi="Arial" w:cs="Arial"/>
          <w:color w:val="000000"/>
          <w:sz w:val="20"/>
        </w:rPr>
        <w:t xml:space="preserve"> is an ingredient of the offence under s.17(1)(c) and</w:t>
      </w:r>
      <w:r w:rsidRPr="002B7C9F">
        <w:rPr>
          <w:rFonts w:ascii="Arial" w:hAnsi="Arial" w:cs="Arial"/>
          <w:color w:val="000000"/>
          <w:sz w:val="20"/>
        </w:rPr>
        <w:t xml:space="preserve"> the prosecution must prove beyond reasonable doubt a general intent to use the words uttered as “insulting words”</w:t>
      </w:r>
      <w:r>
        <w:rPr>
          <w:rFonts w:ascii="Arial" w:hAnsi="Arial" w:cs="Arial"/>
          <w:color w:val="000000"/>
          <w:sz w:val="20"/>
        </w:rPr>
        <w:t>.</w:t>
      </w:r>
    </w:p>
    <w:p w14:paraId="51C9D908" w14:textId="56F50FA8" w:rsidR="0036534D" w:rsidRDefault="002B7C9F" w:rsidP="00591749">
      <w:pPr>
        <w:numPr>
          <w:ilvl w:val="0"/>
          <w:numId w:val="14"/>
        </w:numPr>
        <w:tabs>
          <w:tab w:val="clear" w:pos="357"/>
          <w:tab w:val="left" w:pos="363"/>
        </w:tabs>
        <w:spacing w:before="60"/>
        <w:ind w:left="357" w:hanging="357"/>
        <w:jc w:val="both"/>
        <w:rPr>
          <w:rFonts w:ascii="Arial" w:hAnsi="Arial" w:cs="Arial"/>
          <w:color w:val="000000"/>
          <w:sz w:val="20"/>
        </w:rPr>
      </w:pPr>
      <w:r w:rsidRPr="00354C84">
        <w:rPr>
          <w:rFonts w:ascii="Arial" w:hAnsi="Arial" w:cs="Arial"/>
          <w:color w:val="000000"/>
          <w:sz w:val="20"/>
        </w:rPr>
        <w:t>At [68]-[</w:t>
      </w:r>
      <w:r w:rsidR="0036534D">
        <w:rPr>
          <w:rFonts w:ascii="Arial" w:hAnsi="Arial" w:cs="Arial"/>
          <w:color w:val="000000"/>
          <w:sz w:val="20"/>
        </w:rPr>
        <w:t>90</w:t>
      </w:r>
      <w:r w:rsidRPr="00354C84">
        <w:rPr>
          <w:rFonts w:ascii="Arial" w:hAnsi="Arial" w:cs="Arial"/>
          <w:color w:val="000000"/>
          <w:sz w:val="20"/>
        </w:rPr>
        <w:t xml:space="preserve">]: </w:t>
      </w:r>
      <w:r w:rsidR="0036534D">
        <w:rPr>
          <w:rFonts w:ascii="Arial" w:hAnsi="Arial" w:cs="Arial"/>
          <w:color w:val="000000"/>
          <w:sz w:val="20"/>
        </w:rPr>
        <w:t xml:space="preserve">On the issues of the </w:t>
      </w:r>
      <w:r w:rsidR="0036534D" w:rsidRPr="0036534D">
        <w:rPr>
          <w:rFonts w:ascii="Arial" w:hAnsi="Arial" w:cs="Arial"/>
          <w:i/>
          <w:iCs/>
          <w:color w:val="000000"/>
          <w:sz w:val="20"/>
        </w:rPr>
        <w:t>Charter of Human Rights and Responsibilities Act 2006</w:t>
      </w:r>
      <w:r w:rsidR="0036534D" w:rsidRPr="0036534D">
        <w:rPr>
          <w:rFonts w:ascii="Arial" w:hAnsi="Arial" w:cs="Arial"/>
          <w:color w:val="000000"/>
          <w:sz w:val="20"/>
        </w:rPr>
        <w:t xml:space="preserve"> and the Implied Freedom of Political Communication</w:t>
      </w:r>
      <w:r w:rsidR="00B9162E">
        <w:rPr>
          <w:rFonts w:ascii="Arial" w:hAnsi="Arial" w:cs="Arial"/>
          <w:color w:val="000000"/>
          <w:sz w:val="20"/>
        </w:rPr>
        <w:t xml:space="preserve"> M H Thomas M held:</w:t>
      </w:r>
    </w:p>
    <w:p w14:paraId="348D3FAB" w14:textId="77777777"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At [68]: “</w:t>
      </w:r>
      <w:r w:rsidR="002B7C9F" w:rsidRPr="00354C84">
        <w:rPr>
          <w:rFonts w:ascii="Arial" w:hAnsi="Arial" w:cs="Arial"/>
          <w:color w:val="000000"/>
          <w:sz w:val="20"/>
        </w:rPr>
        <w:t xml:space="preserve">Following the reasoning of Harper J in </w:t>
      </w:r>
      <w:r w:rsidR="002B7C9F" w:rsidRPr="00354C84">
        <w:rPr>
          <w:rFonts w:ascii="Arial" w:hAnsi="Arial" w:cs="Arial"/>
          <w:i/>
          <w:iCs/>
          <w:color w:val="000000"/>
          <w:sz w:val="20"/>
        </w:rPr>
        <w:t>Ferguson v Wakeley</w:t>
      </w:r>
      <w:r w:rsidR="002B7C9F" w:rsidRPr="00354C84">
        <w:rPr>
          <w:rFonts w:ascii="Arial" w:hAnsi="Arial" w:cs="Arial"/>
          <w:color w:val="000000"/>
          <w:sz w:val="20"/>
        </w:rPr>
        <w:t xml:space="preserve"> and the decision of Gleeson CJ in </w:t>
      </w:r>
      <w:r w:rsidR="002B7C9F" w:rsidRPr="00354C84">
        <w:rPr>
          <w:rFonts w:ascii="Arial" w:hAnsi="Arial" w:cs="Arial"/>
          <w:i/>
          <w:iCs/>
          <w:color w:val="000000"/>
          <w:sz w:val="20"/>
        </w:rPr>
        <w:t>Coleman v Power</w:t>
      </w:r>
      <w:r w:rsidR="002B7C9F" w:rsidRPr="00354C84">
        <w:rPr>
          <w:rFonts w:ascii="Arial" w:hAnsi="Arial" w:cs="Arial"/>
          <w:color w:val="000000"/>
          <w:sz w:val="20"/>
        </w:rPr>
        <w:t>, it is clear that in determination of the test of whether any words uttered constitute insulting words it is relevant to take into account whether the words uttered are done so in the course of a public statement of opinion on political and governmental issues. Further, the requirement that the prosecution must prove a general intent that the words uttered are insulting words means that the provision does not capture words uttered without at least the speaker having averted to the nature of the words as being insulting words in the context in which they are used.</w:t>
      </w:r>
      <w:r>
        <w:rPr>
          <w:rFonts w:ascii="Arial" w:hAnsi="Arial" w:cs="Arial"/>
          <w:color w:val="000000"/>
          <w:sz w:val="20"/>
        </w:rPr>
        <w:t>”</w:t>
      </w:r>
    </w:p>
    <w:p w14:paraId="24C39D40" w14:textId="6F2361F6"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 xml:space="preserve">At [78]: “Section </w:t>
      </w:r>
      <w:r w:rsidRPr="0036534D">
        <w:rPr>
          <w:rFonts w:ascii="Arial" w:hAnsi="Arial" w:cs="Arial"/>
          <w:color w:val="000000"/>
          <w:sz w:val="20"/>
        </w:rPr>
        <w:t xml:space="preserve">17(1)(c) </w:t>
      </w:r>
      <w:r w:rsidRPr="0036534D">
        <w:rPr>
          <w:rFonts w:ascii="Arial" w:hAnsi="Arial" w:cs="Arial"/>
          <w:i/>
          <w:iCs/>
          <w:color w:val="000000"/>
          <w:sz w:val="20"/>
        </w:rPr>
        <w:t>Summary Offences Act</w:t>
      </w:r>
      <w:r w:rsidRPr="0036534D">
        <w:rPr>
          <w:rFonts w:ascii="Arial" w:hAnsi="Arial" w:cs="Arial"/>
          <w:color w:val="000000"/>
          <w:sz w:val="20"/>
        </w:rPr>
        <w:t xml:space="preserve"> as construed in the decision of </w:t>
      </w:r>
      <w:r w:rsidRPr="00B9162E">
        <w:rPr>
          <w:rFonts w:ascii="Arial" w:hAnsi="Arial" w:cs="Arial"/>
          <w:i/>
          <w:iCs/>
          <w:color w:val="000000"/>
          <w:sz w:val="20"/>
        </w:rPr>
        <w:t>Ferguson</w:t>
      </w:r>
      <w:r w:rsidR="00B9162E">
        <w:rPr>
          <w:rFonts w:ascii="Arial" w:hAnsi="Arial" w:cs="Arial"/>
          <w:i/>
          <w:iCs/>
          <w:color w:val="000000"/>
          <w:sz w:val="20"/>
        </w:rPr>
        <w:t xml:space="preserve"> </w:t>
      </w:r>
      <w:r w:rsidR="00B9162E" w:rsidRPr="00B9162E">
        <w:rPr>
          <w:rFonts w:ascii="Arial" w:hAnsi="Arial" w:cs="Arial"/>
          <w:i/>
          <w:iCs/>
          <w:color w:val="000000"/>
          <w:sz w:val="20"/>
        </w:rPr>
        <w:t>v Wakeley</w:t>
      </w:r>
      <w:r w:rsidR="00B9162E">
        <w:rPr>
          <w:rFonts w:ascii="Arial" w:hAnsi="Arial" w:cs="Arial"/>
          <w:color w:val="000000"/>
          <w:sz w:val="20"/>
        </w:rPr>
        <w:t xml:space="preserve"> </w:t>
      </w:r>
      <w:r w:rsidRPr="0036534D">
        <w:rPr>
          <w:rFonts w:ascii="Arial" w:hAnsi="Arial" w:cs="Arial"/>
          <w:color w:val="000000"/>
          <w:sz w:val="20"/>
        </w:rPr>
        <w:t xml:space="preserve">constitutes a lawful restriction on the freedom of expression both: (a) arising from the public policy limitations inherent within s 15(2) </w:t>
      </w:r>
      <w:r w:rsidRPr="00B9162E">
        <w:rPr>
          <w:rFonts w:ascii="Arial" w:hAnsi="Arial" w:cs="Arial"/>
          <w:i/>
          <w:iCs/>
          <w:color w:val="000000"/>
          <w:sz w:val="20"/>
        </w:rPr>
        <w:t>Charter</w:t>
      </w:r>
      <w:r w:rsidRPr="0036534D">
        <w:rPr>
          <w:rFonts w:ascii="Arial" w:hAnsi="Arial" w:cs="Arial"/>
          <w:color w:val="000000"/>
          <w:sz w:val="20"/>
        </w:rPr>
        <w:t xml:space="preserve">; and/or (b) to respect the rights and reputations of other persons under s 15(3)(a) </w:t>
      </w:r>
      <w:r w:rsidRPr="00B9162E">
        <w:rPr>
          <w:rFonts w:ascii="Arial" w:hAnsi="Arial" w:cs="Arial"/>
          <w:i/>
          <w:iCs/>
          <w:color w:val="000000"/>
          <w:sz w:val="20"/>
        </w:rPr>
        <w:t>Charter</w:t>
      </w:r>
      <w:r w:rsidRPr="0036534D">
        <w:rPr>
          <w:rFonts w:ascii="Arial" w:hAnsi="Arial" w:cs="Arial"/>
          <w:color w:val="000000"/>
          <w:sz w:val="20"/>
        </w:rPr>
        <w:t xml:space="preserve">; and/or (c) for the protection of public order under s 15(3)(b) </w:t>
      </w:r>
      <w:r w:rsidRPr="00B9162E">
        <w:rPr>
          <w:rFonts w:ascii="Arial" w:hAnsi="Arial" w:cs="Arial"/>
          <w:i/>
          <w:iCs/>
          <w:color w:val="000000"/>
          <w:sz w:val="20"/>
        </w:rPr>
        <w:t>Charter</w:t>
      </w:r>
      <w:r w:rsidRPr="0036534D">
        <w:rPr>
          <w:rFonts w:ascii="Arial" w:hAnsi="Arial" w:cs="Arial"/>
          <w:color w:val="000000"/>
          <w:sz w:val="20"/>
        </w:rPr>
        <w:t>.</w:t>
      </w:r>
    </w:p>
    <w:p w14:paraId="66CA1B98" w14:textId="555AB830" w:rsidR="00354C84" w:rsidRDefault="00B9162E" w:rsidP="00B9162E">
      <w:pPr>
        <w:spacing w:before="60"/>
        <w:ind w:left="720" w:right="357"/>
        <w:jc w:val="both"/>
        <w:rPr>
          <w:rFonts w:ascii="Arial" w:hAnsi="Arial" w:cs="Arial"/>
          <w:color w:val="000000"/>
          <w:sz w:val="20"/>
        </w:rPr>
      </w:pPr>
      <w:r>
        <w:rPr>
          <w:rFonts w:ascii="Arial" w:hAnsi="Arial" w:cs="Arial"/>
          <w:color w:val="000000"/>
          <w:sz w:val="20"/>
        </w:rPr>
        <w:t xml:space="preserve">At [88]: </w:t>
      </w:r>
      <w:r w:rsidR="00354C84" w:rsidRPr="00354C84">
        <w:rPr>
          <w:rFonts w:ascii="Arial" w:hAnsi="Arial" w:cs="Arial"/>
          <w:color w:val="000000"/>
          <w:sz w:val="20"/>
        </w:rPr>
        <w:t>“</w:t>
      </w:r>
      <w:r w:rsidR="002B7C9F" w:rsidRPr="00354C84">
        <w:rPr>
          <w:rFonts w:ascii="Arial" w:hAnsi="Arial" w:cs="Arial"/>
          <w:color w:val="000000"/>
          <w:sz w:val="20"/>
        </w:rPr>
        <w:t xml:space="preserve">The freedom of expression is a fundamental right in a democratic society but equally important are limitations on that freedom of speech to prevent victimisation of individuals or groups. This is as important </w:t>
      </w:r>
      <w:r w:rsidR="0036534D">
        <w:rPr>
          <w:rFonts w:ascii="Arial" w:hAnsi="Arial" w:cs="Arial"/>
          <w:color w:val="000000"/>
          <w:sz w:val="20"/>
        </w:rPr>
        <w:t xml:space="preserve">a </w:t>
      </w:r>
      <w:r w:rsidR="002B7C9F" w:rsidRPr="00354C84">
        <w:rPr>
          <w:rFonts w:ascii="Arial" w:hAnsi="Arial" w:cs="Arial"/>
          <w:color w:val="000000"/>
          <w:sz w:val="20"/>
        </w:rPr>
        <w:t xml:space="preserve">purpose of the rule of law in a democratic and </w:t>
      </w:r>
      <w:r w:rsidR="002B7C9F" w:rsidRPr="00354C84">
        <w:rPr>
          <w:rFonts w:ascii="Arial" w:hAnsi="Arial" w:cs="Arial"/>
          <w:color w:val="000000"/>
          <w:sz w:val="20"/>
        </w:rPr>
        <w:lastRenderedPageBreak/>
        <w:t>equal society as the promotion of public order, perhaps more so. Recognition of the importance of the context in which insults are made, and that insults made in the context of political communication are far less likely to be contrary to contemporary standards of good order in a democracy properly restricts the operation of the limitation’s impact on freedom of expression. A limitation to insults intended or reasonably likely to breach the peace fails to adequately protect the human dignity, equality and freedom of those unlikely to breach the peace in response, thus there is no less restrictive means reasonably available to achieve the purpose the limitation seeks to achieve. The implied freedom of political communication</w:t>
      </w:r>
      <w:r w:rsidR="00354C84">
        <w:rPr>
          <w:rFonts w:ascii="Arial" w:hAnsi="Arial" w:cs="Arial"/>
          <w:color w:val="000000"/>
          <w:sz w:val="20"/>
        </w:rPr>
        <w:t>.”</w:t>
      </w:r>
    </w:p>
    <w:p w14:paraId="6D36E942" w14:textId="432493B0" w:rsidR="002B7C9F" w:rsidRPr="00354C84" w:rsidRDefault="00B9162E" w:rsidP="00B9162E">
      <w:pPr>
        <w:spacing w:before="60"/>
        <w:ind w:left="720" w:right="357"/>
        <w:jc w:val="both"/>
        <w:rPr>
          <w:rFonts w:ascii="Arial" w:hAnsi="Arial" w:cs="Arial"/>
          <w:color w:val="000000"/>
          <w:sz w:val="20"/>
        </w:rPr>
      </w:pPr>
      <w:r>
        <w:rPr>
          <w:rFonts w:ascii="Arial" w:hAnsi="Arial" w:cs="Arial"/>
          <w:color w:val="000000"/>
          <w:sz w:val="20"/>
        </w:rPr>
        <w:t>At [90]: “</w:t>
      </w:r>
      <w:r w:rsidR="002B7C9F" w:rsidRPr="00354C84">
        <w:rPr>
          <w:rFonts w:ascii="Arial" w:hAnsi="Arial" w:cs="Arial"/>
          <w:color w:val="000000"/>
          <w:sz w:val="20"/>
        </w:rPr>
        <w:t xml:space="preserve">I respectfully adopt the reasoning of Gleeson CJ </w:t>
      </w:r>
      <w:r w:rsidR="00354C84">
        <w:rPr>
          <w:rFonts w:ascii="Arial" w:hAnsi="Arial" w:cs="Arial"/>
          <w:color w:val="000000"/>
          <w:sz w:val="20"/>
        </w:rPr>
        <w:t xml:space="preserve">[in </w:t>
      </w:r>
      <w:r w:rsidR="00354C84" w:rsidRPr="00354C84">
        <w:rPr>
          <w:rFonts w:ascii="Arial" w:hAnsi="Arial" w:cs="Arial"/>
          <w:i/>
          <w:iCs/>
          <w:color w:val="000000"/>
          <w:sz w:val="20"/>
        </w:rPr>
        <w:t>Coleman v Power</w:t>
      </w:r>
      <w:r w:rsidR="00354C84">
        <w:rPr>
          <w:rFonts w:ascii="Arial" w:hAnsi="Arial" w:cs="Arial"/>
          <w:color w:val="000000"/>
          <w:sz w:val="20"/>
        </w:rPr>
        <w:t xml:space="preserve">] </w:t>
      </w:r>
      <w:r w:rsidR="002B7C9F" w:rsidRPr="00354C84">
        <w:rPr>
          <w:rFonts w:ascii="Arial" w:hAnsi="Arial" w:cs="Arial"/>
          <w:color w:val="000000"/>
          <w:sz w:val="20"/>
        </w:rPr>
        <w:t xml:space="preserve">that an interpretation of the legislation in the manner set out in His Honour’s judgment (and subsequently adopted in </w:t>
      </w:r>
      <w:r w:rsidR="002B7C9F" w:rsidRPr="00354C84">
        <w:rPr>
          <w:rFonts w:ascii="Arial" w:hAnsi="Arial" w:cs="Arial"/>
          <w:i/>
          <w:iCs/>
          <w:color w:val="000000"/>
          <w:sz w:val="20"/>
        </w:rPr>
        <w:t>Ferguson</w:t>
      </w:r>
      <w:r w:rsidR="00354C84" w:rsidRPr="00354C84">
        <w:rPr>
          <w:rFonts w:ascii="Arial" w:hAnsi="Arial" w:cs="Arial"/>
          <w:i/>
          <w:iCs/>
          <w:color w:val="000000"/>
          <w:sz w:val="20"/>
        </w:rPr>
        <w:t xml:space="preserve"> v Wakeley</w:t>
      </w:r>
      <w:r w:rsidR="002B7C9F" w:rsidRPr="00354C84">
        <w:rPr>
          <w:rFonts w:ascii="Arial" w:hAnsi="Arial" w:cs="Arial"/>
          <w:color w:val="000000"/>
          <w:sz w:val="20"/>
        </w:rPr>
        <w:t>) that such legislation in its application to statements made about governmental or political matters is suitable to end of maintaining public order in a manner consistent with an appropriate balance of all the various rights, freedoms and interests, which require consideration. Accordingly, it is neither invalid nor required to be read down.</w:t>
      </w:r>
      <w:r w:rsidR="00354C84">
        <w:rPr>
          <w:rFonts w:ascii="Arial" w:hAnsi="Arial" w:cs="Arial"/>
          <w:color w:val="000000"/>
          <w:sz w:val="20"/>
        </w:rPr>
        <w:t>”</w:t>
      </w:r>
    </w:p>
    <w:p w14:paraId="0FB8282B" w14:textId="77777777" w:rsidR="002B7C9F" w:rsidRDefault="002B7C9F" w:rsidP="00354C84">
      <w:pPr>
        <w:tabs>
          <w:tab w:val="left" w:pos="363"/>
        </w:tabs>
        <w:jc w:val="both"/>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500" w:name="_7.12.3_Arson"/>
      <w:bookmarkEnd w:id="500"/>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29408E">
      <w:pPr>
        <w:tabs>
          <w:tab w:val="left" w:pos="363"/>
        </w:tabs>
        <w:spacing w:before="6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29408E">
      <w:pPr>
        <w:tabs>
          <w:tab w:val="left" w:pos="363"/>
        </w:tabs>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29408E">
      <w:pPr>
        <w:tabs>
          <w:tab w:val="left" w:pos="363"/>
        </w:tabs>
        <w:spacing w:before="6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29408E">
      <w:pPr>
        <w:tabs>
          <w:tab w:val="left" w:pos="363"/>
        </w:tabs>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 xml:space="preserve">R v </w:t>
      </w:r>
      <w:r w:rsidRPr="00D81EFC">
        <w:rPr>
          <w:rFonts w:ascii="Arial" w:hAnsi="Arial" w:cs="Arial"/>
          <w:i/>
          <w:color w:val="000000"/>
          <w:sz w:val="20"/>
          <w:szCs w:val="20"/>
        </w:rPr>
        <w:lastRenderedPageBreak/>
        <w:t>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29408E">
      <w:pPr>
        <w:tabs>
          <w:tab w:val="left" w:pos="363"/>
        </w:tabs>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29408E">
      <w:pPr>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29408E">
      <w:pPr>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29408E">
      <w:pPr>
        <w:spacing w:before="6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Default="00593E24" w:rsidP="00B9162E">
      <w:pPr>
        <w:rPr>
          <w:rFonts w:ascii="Arial" w:hAnsi="Arial" w:cs="Arial"/>
          <w:color w:val="000000"/>
          <w:sz w:val="20"/>
        </w:rPr>
      </w:pPr>
    </w:p>
    <w:p w14:paraId="23A9C698" w14:textId="77777777" w:rsidR="0029408E" w:rsidRDefault="0029408E" w:rsidP="0029408E">
      <w:pPr>
        <w:jc w:val="both"/>
        <w:rPr>
          <w:rFonts w:ascii="Arial" w:hAnsi="Arial" w:cs="Arial"/>
          <w:color w:val="000000"/>
          <w:sz w:val="20"/>
        </w:rPr>
      </w:pPr>
      <w:r>
        <w:rPr>
          <w:rFonts w:ascii="Arial" w:hAnsi="Arial" w:cs="Arial"/>
          <w:color w:val="000000"/>
          <w:sz w:val="20"/>
        </w:rPr>
        <w:t xml:space="preserve">In </w:t>
      </w:r>
      <w:r w:rsidRPr="001046A5">
        <w:rPr>
          <w:rFonts w:ascii="Arial" w:hAnsi="Arial" w:cs="Arial"/>
          <w:i/>
          <w:iCs/>
          <w:color w:val="000000"/>
          <w:sz w:val="20"/>
        </w:rPr>
        <w:t>Burma v The King</w:t>
      </w:r>
      <w:r>
        <w:rPr>
          <w:rFonts w:ascii="Arial" w:hAnsi="Arial" w:cs="Arial"/>
          <w:color w:val="000000"/>
          <w:sz w:val="20"/>
        </w:rPr>
        <w:t xml:space="preserve"> [2026] VSCA 147 the 18-year-old offender (aged 20 at the time of the appeal) had been </w:t>
      </w:r>
      <w:r w:rsidRPr="00814890">
        <w:rPr>
          <w:rFonts w:ascii="Arial" w:hAnsi="Arial" w:cs="Arial"/>
          <w:color w:val="000000"/>
          <w:sz w:val="20"/>
        </w:rPr>
        <w:t>recruited for tobacco shop arson</w:t>
      </w:r>
      <w:r>
        <w:rPr>
          <w:rFonts w:ascii="Arial" w:hAnsi="Arial" w:cs="Arial"/>
          <w:color w:val="000000"/>
          <w:sz w:val="20"/>
        </w:rPr>
        <w:t>s</w:t>
      </w:r>
      <w:r w:rsidRPr="00814890">
        <w:rPr>
          <w:rFonts w:ascii="Arial" w:hAnsi="Arial" w:cs="Arial"/>
          <w:color w:val="000000"/>
          <w:sz w:val="20"/>
        </w:rPr>
        <w:t xml:space="preserve"> and other criminal endeavour</w:t>
      </w:r>
      <w:r>
        <w:rPr>
          <w:rFonts w:ascii="Arial" w:hAnsi="Arial" w:cs="Arial"/>
          <w:color w:val="000000"/>
          <w:sz w:val="20"/>
        </w:rPr>
        <w:t xml:space="preserve">s. He had </w:t>
      </w:r>
      <w:proofErr w:type="spellStart"/>
      <w:r w:rsidRPr="00814890">
        <w:rPr>
          <w:rFonts w:ascii="Arial" w:hAnsi="Arial" w:cs="Arial"/>
          <w:i/>
          <w:iCs/>
          <w:color w:val="000000"/>
          <w:sz w:val="20"/>
        </w:rPr>
        <w:t>Bugmy</w:t>
      </w:r>
      <w:proofErr w:type="spellEnd"/>
      <w:r>
        <w:rPr>
          <w:rFonts w:ascii="Arial" w:hAnsi="Arial" w:cs="Arial"/>
          <w:color w:val="000000"/>
          <w:sz w:val="20"/>
        </w:rPr>
        <w:t xml:space="preserve"> and </w:t>
      </w:r>
      <w:r w:rsidRPr="00814890">
        <w:rPr>
          <w:rFonts w:ascii="Arial" w:hAnsi="Arial" w:cs="Arial"/>
          <w:i/>
          <w:iCs/>
          <w:color w:val="000000"/>
          <w:sz w:val="20"/>
        </w:rPr>
        <w:t>Verdins</w:t>
      </w:r>
      <w:r>
        <w:rPr>
          <w:rFonts w:ascii="Arial" w:hAnsi="Arial" w:cs="Arial"/>
          <w:color w:val="000000"/>
          <w:sz w:val="20"/>
        </w:rPr>
        <w:t xml:space="preserve"> characteristics and an “appalling” Children’s Court criminal history. He had pleaded guilty after a sentence indication hearing to multiple offences committed while he was on bail, including </w:t>
      </w:r>
      <w:r w:rsidRPr="00814890">
        <w:rPr>
          <w:rFonts w:ascii="Arial" w:hAnsi="Arial" w:cs="Arial"/>
          <w:color w:val="000000"/>
          <w:sz w:val="20"/>
        </w:rPr>
        <w:t xml:space="preserve">arson </w:t>
      </w:r>
      <w:r>
        <w:rPr>
          <w:rFonts w:ascii="Arial" w:hAnsi="Arial" w:cs="Arial"/>
          <w:color w:val="000000"/>
          <w:sz w:val="20"/>
        </w:rPr>
        <w:t>x 3</w:t>
      </w:r>
      <w:r w:rsidRPr="00814890">
        <w:rPr>
          <w:rFonts w:ascii="Arial" w:hAnsi="Arial" w:cs="Arial"/>
          <w:color w:val="000000"/>
          <w:sz w:val="20"/>
        </w:rPr>
        <w:t xml:space="preserve">, theft </w:t>
      </w:r>
      <w:r>
        <w:rPr>
          <w:rFonts w:ascii="Arial" w:hAnsi="Arial" w:cs="Arial"/>
          <w:color w:val="000000"/>
          <w:sz w:val="20"/>
        </w:rPr>
        <w:t>x 2</w:t>
      </w:r>
      <w:r w:rsidRPr="00814890">
        <w:rPr>
          <w:rFonts w:ascii="Arial" w:hAnsi="Arial" w:cs="Arial"/>
          <w:color w:val="000000"/>
          <w:sz w:val="20"/>
        </w:rPr>
        <w:t>, damaging property and possessing and using a firearm</w:t>
      </w:r>
      <w:r>
        <w:rPr>
          <w:rFonts w:ascii="Arial" w:hAnsi="Arial" w:cs="Arial"/>
          <w:color w:val="000000"/>
          <w:sz w:val="20"/>
        </w:rPr>
        <w:t>. The TES was IMP23m + CCO 2y made up as follows–</w:t>
      </w:r>
    </w:p>
    <w:p w14:paraId="3CCB6205" w14:textId="77777777" w:rsidR="0029408E" w:rsidRDefault="0029408E" w:rsidP="0029408E">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an aggregate of IMP18m + CCO 2y on 2 charges of arson;</w:t>
      </w:r>
    </w:p>
    <w:p w14:paraId="617C3C7F" w14:textId="77777777" w:rsidR="0029408E" w:rsidRDefault="0029408E" w:rsidP="0029408E">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an aggregate of IMP17m of which 5m was cumulative + CCO 2y on charges of arson, damaging property and theft; and</w:t>
      </w:r>
    </w:p>
    <w:p w14:paraId="7629B671" w14:textId="77777777" w:rsidR="0029408E" w:rsidRPr="00814890" w:rsidRDefault="0029408E" w:rsidP="0029408E">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 xml:space="preserve">a concurrent aggregate of IMP1y on charges of theft, prohibited person possess firearm and using a loaded firearm in a public place. </w:t>
      </w:r>
    </w:p>
    <w:p w14:paraId="46A93844" w14:textId="77777777" w:rsidR="0029408E" w:rsidRDefault="0029408E" w:rsidP="0029408E">
      <w:pPr>
        <w:jc w:val="both"/>
        <w:rPr>
          <w:rFonts w:ascii="Arial" w:hAnsi="Arial" w:cs="Arial"/>
          <w:color w:val="000000"/>
          <w:sz w:val="20"/>
        </w:rPr>
      </w:pPr>
      <w:r>
        <w:rPr>
          <w:rFonts w:ascii="Arial" w:hAnsi="Arial" w:cs="Arial"/>
          <w:color w:val="000000"/>
          <w:sz w:val="20"/>
        </w:rPr>
        <w:t xml:space="preserve">The sentencing judge had also made a declaration under s.18(1) of the </w:t>
      </w:r>
      <w:r w:rsidRPr="009B4F12">
        <w:rPr>
          <w:rFonts w:ascii="Arial" w:hAnsi="Arial" w:cs="Arial"/>
          <w:i/>
          <w:iCs/>
          <w:color w:val="000000"/>
          <w:sz w:val="20"/>
        </w:rPr>
        <w:t>Sentencing Act 1991</w:t>
      </w:r>
      <w:r>
        <w:rPr>
          <w:rFonts w:ascii="Arial" w:hAnsi="Arial" w:cs="Arial"/>
          <w:color w:val="000000"/>
          <w:sz w:val="20"/>
        </w:rPr>
        <w:t xml:space="preserve"> that </w:t>
      </w:r>
      <w:r w:rsidRPr="00814890">
        <w:rPr>
          <w:rFonts w:ascii="Arial" w:hAnsi="Arial" w:cs="Arial"/>
          <w:color w:val="000000"/>
          <w:sz w:val="20"/>
        </w:rPr>
        <w:t xml:space="preserve">479 days </w:t>
      </w:r>
      <w:r>
        <w:rPr>
          <w:rFonts w:ascii="Arial" w:hAnsi="Arial" w:cs="Arial"/>
          <w:color w:val="000000"/>
          <w:sz w:val="20"/>
        </w:rPr>
        <w:t>of pre-sentence detention wa</w:t>
      </w:r>
      <w:r w:rsidRPr="00814890">
        <w:rPr>
          <w:rFonts w:ascii="Arial" w:hAnsi="Arial" w:cs="Arial"/>
          <w:color w:val="000000"/>
          <w:sz w:val="20"/>
        </w:rPr>
        <w:t xml:space="preserve">s </w:t>
      </w:r>
      <w:r w:rsidRPr="00814890">
        <w:rPr>
          <w:rFonts w:ascii="Arial" w:hAnsi="Arial" w:cs="Arial"/>
          <w:b/>
          <w:bCs/>
          <w:color w:val="000000"/>
          <w:sz w:val="20"/>
          <w:u w:val="single"/>
        </w:rPr>
        <w:t>not</w:t>
      </w:r>
      <w:r w:rsidRPr="00814890">
        <w:rPr>
          <w:rFonts w:ascii="Arial" w:hAnsi="Arial" w:cs="Arial"/>
          <w:color w:val="000000"/>
          <w:sz w:val="20"/>
        </w:rPr>
        <w:t xml:space="preserve"> to be reckoned as time served</w:t>
      </w:r>
      <w:r>
        <w:rPr>
          <w:rFonts w:ascii="Arial" w:hAnsi="Arial" w:cs="Arial"/>
          <w:color w:val="000000"/>
          <w:sz w:val="20"/>
        </w:rPr>
        <w:t>. The effect of this declaration was that the applicant would be imprisoned for approximately 3y3m and when released was required to undertake a 2y CCO with 100 hours of unpaid community work.</w:t>
      </w:r>
    </w:p>
    <w:p w14:paraId="001CC89E" w14:textId="64E06862" w:rsidR="0029408E" w:rsidRDefault="0029408E" w:rsidP="0029408E">
      <w:pPr>
        <w:spacing w:before="60"/>
        <w:jc w:val="both"/>
        <w:rPr>
          <w:rFonts w:ascii="Arial" w:hAnsi="Arial" w:cs="Arial"/>
          <w:color w:val="000000"/>
          <w:sz w:val="20"/>
        </w:rPr>
      </w:pPr>
      <w:r>
        <w:rPr>
          <w:rFonts w:ascii="Arial" w:hAnsi="Arial" w:cs="Arial"/>
          <w:color w:val="000000"/>
          <w:sz w:val="20"/>
        </w:rPr>
        <w:t>In refusing leave to appeal Boyce &amp; T Forrest JJA said at [38]-[39] [emphasis added]:</w:t>
      </w:r>
    </w:p>
    <w:p w14:paraId="6B490D11" w14:textId="77777777" w:rsidR="0029408E" w:rsidRPr="006E5948" w:rsidRDefault="0029408E" w:rsidP="0029408E">
      <w:pPr>
        <w:spacing w:before="60"/>
        <w:ind w:left="567" w:right="567"/>
        <w:jc w:val="both"/>
        <w:rPr>
          <w:rFonts w:ascii="Arial" w:hAnsi="Arial" w:cs="Arial"/>
          <w:color w:val="000000"/>
          <w:sz w:val="20"/>
        </w:rPr>
      </w:pPr>
      <w:r>
        <w:rPr>
          <w:rFonts w:ascii="Arial" w:hAnsi="Arial" w:cs="Arial"/>
          <w:color w:val="000000"/>
          <w:sz w:val="20"/>
        </w:rPr>
        <w:t>[38]</w:t>
      </w:r>
      <w:r w:rsidRPr="009B4F12">
        <w:rPr>
          <w:rFonts w:ascii="Arial" w:hAnsi="Arial" w:cs="Arial"/>
          <w:color w:val="000000"/>
          <w:sz w:val="20"/>
        </w:rPr>
        <w:t xml:space="preserve"> </w:t>
      </w:r>
      <w:r>
        <w:rPr>
          <w:rFonts w:ascii="Arial" w:hAnsi="Arial" w:cs="Arial"/>
          <w:color w:val="000000"/>
          <w:sz w:val="20"/>
        </w:rPr>
        <w:t>“</w:t>
      </w:r>
      <w:r w:rsidRPr="009B4F12">
        <w:rPr>
          <w:rFonts w:ascii="Arial" w:hAnsi="Arial" w:cs="Arial"/>
          <w:color w:val="000000"/>
          <w:sz w:val="20"/>
        </w:rPr>
        <w:t xml:space="preserve">The applicant’s offending is undoubtedly serious. His complicity in the discharge of firearms in a retail and residential environment, acting as an agent for hire to the criminal underworld, cannot be described otherwise. Similarly, </w:t>
      </w:r>
      <w:r w:rsidRPr="0029408E">
        <w:rPr>
          <w:rFonts w:ascii="Arial" w:hAnsi="Arial" w:cs="Arial"/>
          <w:b/>
          <w:bCs/>
          <w:color w:val="000000"/>
          <w:sz w:val="20"/>
        </w:rPr>
        <w:t>carrying out arsons and property damage on a contractual basis is grave offending.</w:t>
      </w:r>
      <w:r w:rsidRPr="006E5948">
        <w:rPr>
          <w:rFonts w:ascii="Arial" w:hAnsi="Arial" w:cs="Arial"/>
          <w:color w:val="000000"/>
          <w:sz w:val="20"/>
        </w:rPr>
        <w:t xml:space="preserve"> It is notorious that this type of conduct, which is currently endemic in Melbourne and some regional centres, is a cause of community alarm and distress. Courts must act strongly to discourage such activity. General deterrence and community protection must assume real significance in the sentencing calculus.</w:t>
      </w:r>
    </w:p>
    <w:p w14:paraId="6C8743CE" w14:textId="77777777" w:rsidR="0029408E" w:rsidRPr="009B4F12" w:rsidRDefault="0029408E" w:rsidP="0029408E">
      <w:pPr>
        <w:spacing w:before="60"/>
        <w:ind w:left="567" w:right="567"/>
        <w:jc w:val="both"/>
        <w:rPr>
          <w:rFonts w:ascii="Arial" w:hAnsi="Arial" w:cs="Arial"/>
          <w:color w:val="000000"/>
          <w:sz w:val="20"/>
          <w:szCs w:val="20"/>
        </w:rPr>
      </w:pPr>
      <w:r w:rsidRPr="006E5948">
        <w:rPr>
          <w:rFonts w:ascii="Arial" w:hAnsi="Arial" w:cs="Arial"/>
          <w:color w:val="000000"/>
          <w:sz w:val="20"/>
        </w:rPr>
        <w:t xml:space="preserve">[39] It is an unfortunate reality that criminal contractors target the young, deprived and vulnerable to carry out their anti-social and destructive orders. </w:t>
      </w:r>
      <w:r w:rsidRPr="00D45966">
        <w:rPr>
          <w:rFonts w:ascii="Arial" w:hAnsi="Arial" w:cs="Arial"/>
          <w:b/>
          <w:bCs/>
          <w:color w:val="000000"/>
          <w:sz w:val="20"/>
        </w:rPr>
        <w:t>Whilst rehabilitation cannot be overlooked in sentencing these young offenders, in many cases, it may not be able to acquire the prominence it would otherwise assume. General deterrence and community protection demand that prominence.</w:t>
      </w:r>
      <w:r w:rsidRPr="006E5948">
        <w:rPr>
          <w:rFonts w:ascii="Arial" w:hAnsi="Arial" w:cs="Arial"/>
          <w:color w:val="000000"/>
          <w:sz w:val="20"/>
        </w:rPr>
        <w:t xml:space="preserve"> As an aside, when the criminal underworld contractors are ultimately brought before the courts, they should prepare themselves for condign punishment — in plain language, that means very lengthy terms of imprisonment.</w:t>
      </w:r>
      <w:r>
        <w:rPr>
          <w:rFonts w:ascii="Arial" w:hAnsi="Arial" w:cs="Arial"/>
          <w:color w:val="000000"/>
          <w:sz w:val="20"/>
        </w:rPr>
        <w:t>”</w:t>
      </w:r>
    </w:p>
    <w:p w14:paraId="1C411D04" w14:textId="77777777" w:rsidR="0029408E" w:rsidRDefault="0029408E" w:rsidP="0029408E">
      <w:pPr>
        <w:jc w:val="both"/>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501" w:name="_7.12.4_Sexual_touching"/>
      <w:bookmarkEnd w:id="501"/>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B9162E">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lastRenderedPageBreak/>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60DE71E4" w14:textId="77777777" w:rsidR="004458C6" w:rsidRDefault="004458C6" w:rsidP="004458C6">
      <w:pPr>
        <w:ind w:left="720" w:hanging="720"/>
        <w:jc w:val="both"/>
        <w:rPr>
          <w:rFonts w:ascii="Arial" w:hAnsi="Arial" w:cs="Arial"/>
          <w:sz w:val="20"/>
          <w:szCs w:val="20"/>
        </w:rPr>
      </w:pPr>
    </w:p>
    <w:p w14:paraId="12ECCE5A" w14:textId="768398E1" w:rsidR="00D46F48" w:rsidRPr="00D81EFC" w:rsidRDefault="00D46F48" w:rsidP="00D46F48">
      <w:pPr>
        <w:pStyle w:val="Heading3"/>
        <w:keepNext/>
        <w:keepLines/>
        <w:widowControl/>
        <w:spacing w:line="240" w:lineRule="auto"/>
        <w:rPr>
          <w:rFonts w:ascii="Arial" w:hAnsi="Arial" w:cs="Arial"/>
          <w:b/>
          <w:bCs/>
          <w:color w:val="000000"/>
          <w:sz w:val="20"/>
        </w:rPr>
      </w:pPr>
      <w:r w:rsidRPr="00D81EFC">
        <w:rPr>
          <w:rFonts w:ascii="Arial" w:hAnsi="Arial" w:cs="Arial"/>
          <w:b/>
          <w:bCs/>
          <w:color w:val="000000"/>
          <w:sz w:val="20"/>
        </w:rPr>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2EF09BD8" w14:textId="77777777" w:rsidR="00DE3B13" w:rsidRPr="00D46F48" w:rsidRDefault="00DE3B13" w:rsidP="00DE3B13">
      <w:pPr>
        <w:jc w:val="both"/>
        <w:rPr>
          <w:rFonts w:ascii="Arial" w:hAnsi="Arial" w:cs="Arial"/>
          <w:sz w:val="20"/>
          <w:szCs w:val="20"/>
        </w:rPr>
      </w:pPr>
    </w:p>
    <w:p w14:paraId="5F978BBA" w14:textId="77777777" w:rsidR="00DE3B13" w:rsidRPr="00D46F48" w:rsidRDefault="00DE3B13" w:rsidP="00DE3B13">
      <w:pPr>
        <w:jc w:val="both"/>
        <w:rPr>
          <w:rFonts w:ascii="Arial" w:hAnsi="Arial" w:cs="Arial"/>
          <w:sz w:val="20"/>
          <w:szCs w:val="20"/>
        </w:rPr>
      </w:pPr>
      <w:r w:rsidRPr="00D46F48">
        <w:rPr>
          <w:rFonts w:ascii="Arial" w:hAnsi="Arial" w:cs="Arial"/>
          <w:sz w:val="20"/>
          <w:szCs w:val="20"/>
        </w:rPr>
        <w:t xml:space="preserve">The </w:t>
      </w:r>
      <w:proofErr w:type="gramStart"/>
      <w:r w:rsidRPr="00D46F48">
        <w:rPr>
          <w:rFonts w:ascii="Arial" w:hAnsi="Arial" w:cs="Arial"/>
          <w:sz w:val="20"/>
          <w:szCs w:val="20"/>
        </w:rPr>
        <w:t>18 year old</w:t>
      </w:r>
      <w:proofErr w:type="gramEnd"/>
      <w:r w:rsidRPr="00D46F48">
        <w:rPr>
          <w:rFonts w:ascii="Arial" w:hAnsi="Arial" w:cs="Arial"/>
          <w:sz w:val="20"/>
          <w:szCs w:val="20"/>
        </w:rPr>
        <w:t xml:space="preserve"> deceased, David Dang, was sitting in a wheelchair restrained in the rear of a Maxi Cab M5549 which was travelling south in the </w:t>
      </w:r>
      <w:proofErr w:type="gramStart"/>
      <w:r w:rsidRPr="00D46F48">
        <w:rPr>
          <w:rFonts w:ascii="Arial" w:hAnsi="Arial" w:cs="Arial"/>
          <w:sz w:val="20"/>
          <w:szCs w:val="20"/>
        </w:rPr>
        <w:t>left hand</w:t>
      </w:r>
      <w:proofErr w:type="gramEnd"/>
      <w:r w:rsidRPr="00D46F48">
        <w:rPr>
          <w:rFonts w:ascii="Arial" w:hAnsi="Arial" w:cs="Arial"/>
          <w:sz w:val="20"/>
          <w:szCs w:val="20"/>
        </w:rPr>
        <w:t xml:space="preserve">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10DAA4CA" w14:textId="77777777" w:rsidR="00DE3B13" w:rsidRPr="00D46F48" w:rsidRDefault="00DE3B13"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lastRenderedPageBreak/>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w:t>
      </w:r>
      <w:r w:rsidRPr="00D46F48">
        <w:rPr>
          <w:rFonts w:ascii="Arial" w:hAnsi="Arial" w:cs="Arial"/>
          <w:sz w:val="20"/>
          <w:szCs w:val="20"/>
        </w:rPr>
        <w:lastRenderedPageBreak/>
        <w:t xml:space="preserve">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502"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503" w:name="_7.12.6_Committing_an"/>
      <w:bookmarkEnd w:id="503"/>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R v Gibson; 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r w:rsidR="006C0A55" w:rsidRPr="006C0A55">
        <w:rPr>
          <w:rFonts w:ascii="Arial" w:hAnsi="Arial" w:cs="Arial"/>
          <w:i/>
          <w:iCs/>
          <w:sz w:val="20"/>
          <w:szCs w:val="20"/>
        </w:rPr>
        <w:t>Knuller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3EE571C9" w14:textId="77777777" w:rsidR="00053497" w:rsidRPr="00D46F48" w:rsidRDefault="00053497" w:rsidP="00053497">
      <w:pPr>
        <w:jc w:val="both"/>
        <w:rPr>
          <w:rFonts w:ascii="Arial" w:hAnsi="Arial" w:cs="Arial"/>
          <w:sz w:val="20"/>
          <w:szCs w:val="20"/>
        </w:rPr>
      </w:pPr>
    </w:p>
    <w:p w14:paraId="034B135A" w14:textId="5A3927F4" w:rsidR="00053497" w:rsidRPr="00D81EFC" w:rsidRDefault="00053497" w:rsidP="008A7E3B">
      <w:pPr>
        <w:pStyle w:val="Heading3"/>
        <w:keepNext/>
        <w:keepLines/>
        <w:widowControl/>
        <w:spacing w:after="120" w:line="240" w:lineRule="auto"/>
        <w:rPr>
          <w:rFonts w:ascii="Arial" w:hAnsi="Arial" w:cs="Arial"/>
          <w:b/>
          <w:bCs/>
          <w:color w:val="000000"/>
          <w:sz w:val="20"/>
        </w:rPr>
      </w:pPr>
      <w:bookmarkStart w:id="504" w:name="_7.12.7_Theft"/>
      <w:bookmarkEnd w:id="504"/>
      <w:r w:rsidRPr="00D81EFC">
        <w:rPr>
          <w:rFonts w:ascii="Arial" w:hAnsi="Arial" w:cs="Arial"/>
          <w:b/>
          <w:bCs/>
          <w:color w:val="000000"/>
          <w:sz w:val="20"/>
        </w:rPr>
        <w:t>7.12.</w:t>
      </w:r>
      <w:r>
        <w:rPr>
          <w:rFonts w:ascii="Arial" w:hAnsi="Arial" w:cs="Arial"/>
          <w:b/>
          <w:bCs/>
          <w:color w:val="000000"/>
          <w:sz w:val="20"/>
        </w:rPr>
        <w:t>7</w:t>
      </w:r>
      <w:r w:rsidRPr="00D81EFC">
        <w:rPr>
          <w:rFonts w:ascii="Arial" w:hAnsi="Arial" w:cs="Arial"/>
          <w:b/>
          <w:bCs/>
          <w:color w:val="000000"/>
          <w:sz w:val="20"/>
        </w:rPr>
        <w:tab/>
      </w:r>
      <w:r>
        <w:rPr>
          <w:rFonts w:ascii="Arial" w:hAnsi="Arial" w:cs="Arial"/>
          <w:b/>
          <w:bCs/>
          <w:color w:val="000000"/>
          <w:sz w:val="20"/>
        </w:rPr>
        <w:t>Theft</w:t>
      </w:r>
    </w:p>
    <w:p w14:paraId="4A727B2A" w14:textId="77777777" w:rsidR="0000550B" w:rsidRDefault="0000550B" w:rsidP="00D46F48">
      <w:pPr>
        <w:jc w:val="both"/>
        <w:rPr>
          <w:rFonts w:ascii="Arial" w:hAnsi="Arial" w:cs="Arial"/>
          <w:sz w:val="20"/>
          <w:szCs w:val="20"/>
        </w:rPr>
      </w:pPr>
      <w:r>
        <w:rPr>
          <w:rFonts w:ascii="Arial" w:hAnsi="Arial" w:cs="Arial"/>
          <w:sz w:val="20"/>
          <w:szCs w:val="20"/>
        </w:rPr>
        <w:t>The basic definition of ‘theft’ is in s.</w:t>
      </w:r>
      <w:r w:rsidR="00F1462D">
        <w:rPr>
          <w:rFonts w:ascii="Arial" w:hAnsi="Arial" w:cs="Arial"/>
          <w:sz w:val="20"/>
          <w:szCs w:val="20"/>
        </w:rPr>
        <w:t xml:space="preserve">72 of the </w:t>
      </w:r>
      <w:r w:rsidR="00F1462D" w:rsidRPr="0000550B">
        <w:rPr>
          <w:rFonts w:ascii="Arial" w:hAnsi="Arial" w:cs="Arial"/>
          <w:i/>
          <w:iCs/>
          <w:sz w:val="20"/>
          <w:szCs w:val="20"/>
        </w:rPr>
        <w:t>Crimes Act 1958</w:t>
      </w:r>
      <w:r w:rsidR="00F1462D">
        <w:rPr>
          <w:rFonts w:ascii="Arial" w:hAnsi="Arial" w:cs="Arial"/>
          <w:sz w:val="20"/>
          <w:szCs w:val="20"/>
        </w:rPr>
        <w:t xml:space="preserve"> (Vic):</w:t>
      </w:r>
    </w:p>
    <w:p w14:paraId="08B2B80C" w14:textId="4EE4DF52" w:rsidR="0000550B" w:rsidRDefault="0000550B" w:rsidP="0000550B">
      <w:pPr>
        <w:spacing w:before="60"/>
        <w:ind w:left="1021" w:right="567" w:hanging="454"/>
        <w:jc w:val="both"/>
        <w:rPr>
          <w:rFonts w:ascii="Arial" w:hAnsi="Arial" w:cs="Arial"/>
          <w:sz w:val="20"/>
          <w:szCs w:val="20"/>
        </w:rPr>
      </w:pPr>
      <w:r w:rsidRPr="0000550B">
        <w:rPr>
          <w:rFonts w:ascii="Arial" w:hAnsi="Arial" w:cs="Arial"/>
          <w:sz w:val="20"/>
          <w:szCs w:val="20"/>
        </w:rPr>
        <w:t>“(1)</w:t>
      </w:r>
      <w:r w:rsidRPr="0000550B">
        <w:rPr>
          <w:rFonts w:ascii="Arial" w:hAnsi="Arial" w:cs="Arial"/>
          <w:sz w:val="20"/>
          <w:szCs w:val="20"/>
        </w:rPr>
        <w:tab/>
        <w:t>A person steals if he dishonestly appropriates property belonging to another with the intention of permanently depriving the other of it.</w:t>
      </w:r>
    </w:p>
    <w:p w14:paraId="1FC30173" w14:textId="231AB908" w:rsidR="0000550B" w:rsidRPr="0000550B" w:rsidRDefault="0000550B" w:rsidP="0000550B">
      <w:pPr>
        <w:spacing w:before="60"/>
        <w:ind w:left="1021" w:right="567" w:hanging="454"/>
        <w:jc w:val="both"/>
        <w:rPr>
          <w:rFonts w:ascii="Arial" w:hAnsi="Arial" w:cs="Arial"/>
          <w:sz w:val="16"/>
          <w:szCs w:val="16"/>
        </w:rPr>
      </w:pPr>
      <w:r>
        <w:rPr>
          <w:rFonts w:ascii="Arial" w:hAnsi="Arial" w:cs="Arial"/>
          <w:sz w:val="20"/>
          <w:szCs w:val="20"/>
        </w:rPr>
        <w:t>(2)</w:t>
      </w:r>
      <w:r>
        <w:rPr>
          <w:rFonts w:ascii="Arial" w:hAnsi="Arial" w:cs="Arial"/>
          <w:sz w:val="20"/>
          <w:szCs w:val="20"/>
        </w:rPr>
        <w:tab/>
      </w:r>
      <w:r w:rsidRPr="0000550B">
        <w:rPr>
          <w:rFonts w:ascii="Arial" w:hAnsi="Arial" w:cs="Arial"/>
          <w:sz w:val="20"/>
          <w:szCs w:val="20"/>
        </w:rPr>
        <w:t>A person who steals is guilty of theft; and ‘thief’ shall be construed accordingly.</w:t>
      </w:r>
      <w:r>
        <w:rPr>
          <w:rFonts w:ascii="Arial" w:hAnsi="Arial" w:cs="Arial"/>
          <w:sz w:val="20"/>
          <w:szCs w:val="20"/>
        </w:rPr>
        <w:t>”</w:t>
      </w:r>
    </w:p>
    <w:p w14:paraId="45A642FD" w14:textId="6D3B5639" w:rsidR="00F1462D" w:rsidRDefault="0086097C" w:rsidP="0086097C">
      <w:pPr>
        <w:spacing w:before="60"/>
        <w:jc w:val="both"/>
        <w:rPr>
          <w:rFonts w:ascii="Arial" w:hAnsi="Arial" w:cs="Arial"/>
          <w:sz w:val="20"/>
          <w:szCs w:val="20"/>
        </w:rPr>
      </w:pPr>
      <w:r>
        <w:rPr>
          <w:rFonts w:ascii="Arial" w:hAnsi="Arial" w:cs="Arial"/>
          <w:sz w:val="20"/>
          <w:szCs w:val="20"/>
        </w:rPr>
        <w:t>Section 71 provides that for the purposes of s.72:</w:t>
      </w:r>
    </w:p>
    <w:p w14:paraId="43CD290E" w14:textId="1CE24413" w:rsidR="0086097C" w:rsidRPr="0086097C" w:rsidRDefault="0086097C" w:rsidP="00591749">
      <w:pPr>
        <w:pStyle w:val="ListParagraph"/>
        <w:numPr>
          <w:ilvl w:val="0"/>
          <w:numId w:val="72"/>
        </w:numPr>
        <w:spacing w:before="60" w:after="0" w:line="240" w:lineRule="auto"/>
        <w:ind w:left="924" w:right="567" w:hanging="357"/>
        <w:jc w:val="both"/>
        <w:rPr>
          <w:rFonts w:ascii="Arial" w:hAnsi="Arial" w:cs="Arial"/>
          <w:sz w:val="20"/>
          <w:szCs w:val="20"/>
        </w:rPr>
      </w:pPr>
      <w:r>
        <w:rPr>
          <w:rFonts w:ascii="Arial" w:hAnsi="Arial" w:cs="Arial"/>
          <w:sz w:val="20"/>
          <w:szCs w:val="20"/>
        </w:rPr>
        <w:t>“</w:t>
      </w:r>
      <w:r w:rsidRPr="0086097C">
        <w:rPr>
          <w:rFonts w:ascii="Arial" w:hAnsi="Arial" w:cs="Arial"/>
          <w:b/>
          <w:i/>
          <w:iCs/>
          <w:sz w:val="20"/>
          <w:szCs w:val="16"/>
        </w:rPr>
        <w:t>property</w:t>
      </w:r>
      <w:r w:rsidRPr="0086097C">
        <w:rPr>
          <w:rFonts w:ascii="Arial" w:hAnsi="Arial" w:cs="Arial"/>
          <w:sz w:val="20"/>
          <w:szCs w:val="16"/>
        </w:rPr>
        <w:t xml:space="preserve"> includes money and all other property real or personal including things in action and other intangible property</w:t>
      </w:r>
      <w:r>
        <w:rPr>
          <w:rFonts w:ascii="Arial" w:hAnsi="Arial" w:cs="Arial"/>
          <w:sz w:val="20"/>
          <w:szCs w:val="16"/>
        </w:rPr>
        <w:t>”; and</w:t>
      </w:r>
    </w:p>
    <w:p w14:paraId="55C9B01E" w14:textId="77777777" w:rsidR="0086097C" w:rsidRPr="0086097C" w:rsidRDefault="0086097C" w:rsidP="0086097C">
      <w:pPr>
        <w:jc w:val="both"/>
        <w:rPr>
          <w:rFonts w:ascii="Arial" w:hAnsi="Arial" w:cs="Arial"/>
          <w:sz w:val="6"/>
          <w:szCs w:val="6"/>
        </w:rPr>
      </w:pPr>
    </w:p>
    <w:p w14:paraId="24A2308C" w14:textId="3095E4C6" w:rsidR="0086097C" w:rsidRPr="0086097C" w:rsidRDefault="0086097C" w:rsidP="00591749">
      <w:pPr>
        <w:pStyle w:val="ListParagraph"/>
        <w:numPr>
          <w:ilvl w:val="0"/>
          <w:numId w:val="72"/>
        </w:numPr>
        <w:spacing w:after="0" w:line="240" w:lineRule="auto"/>
        <w:ind w:left="924" w:right="567" w:hanging="357"/>
        <w:jc w:val="both"/>
        <w:rPr>
          <w:rFonts w:ascii="Arial" w:hAnsi="Arial" w:cs="Arial"/>
          <w:sz w:val="20"/>
          <w:szCs w:val="20"/>
        </w:rPr>
      </w:pPr>
      <w:r>
        <w:rPr>
          <w:rFonts w:ascii="Arial" w:hAnsi="Arial" w:cs="Arial"/>
          <w:sz w:val="20"/>
          <w:szCs w:val="16"/>
        </w:rPr>
        <w:t>“</w:t>
      </w:r>
      <w:r w:rsidRPr="0086097C">
        <w:rPr>
          <w:rFonts w:ascii="Arial" w:hAnsi="Arial" w:cs="Arial"/>
          <w:sz w:val="20"/>
          <w:szCs w:val="16"/>
        </w:rPr>
        <w:t>property shall be regarded as belonging to any person having possession or control of it, or having in it any proprietary right or interest (not being an equitable interest arising only from an agreement to transfer or grant an interest)</w:t>
      </w:r>
      <w:r>
        <w:rPr>
          <w:rFonts w:ascii="Arial" w:hAnsi="Arial" w:cs="Arial"/>
          <w:sz w:val="20"/>
          <w:szCs w:val="16"/>
        </w:rPr>
        <w:t>”</w:t>
      </w:r>
      <w:r w:rsidRPr="0086097C">
        <w:rPr>
          <w:rFonts w:ascii="Arial" w:hAnsi="Arial" w:cs="Arial"/>
          <w:sz w:val="20"/>
          <w:szCs w:val="16"/>
        </w:rPr>
        <w:t>.</w:t>
      </w:r>
    </w:p>
    <w:p w14:paraId="48E6C967" w14:textId="77777777" w:rsidR="0086097C" w:rsidRDefault="0086097C" w:rsidP="00D46F48">
      <w:pPr>
        <w:jc w:val="both"/>
        <w:rPr>
          <w:rFonts w:ascii="Arial" w:hAnsi="Arial" w:cs="Arial"/>
          <w:sz w:val="20"/>
          <w:szCs w:val="20"/>
        </w:rPr>
      </w:pPr>
    </w:p>
    <w:p w14:paraId="09C6FB1B" w14:textId="6BAD58C7" w:rsidR="00756EE4" w:rsidRDefault="00053497" w:rsidP="00D46F48">
      <w:pPr>
        <w:jc w:val="both"/>
        <w:rPr>
          <w:rFonts w:ascii="Arial" w:hAnsi="Arial" w:cs="Arial"/>
          <w:sz w:val="20"/>
          <w:szCs w:val="20"/>
        </w:rPr>
      </w:pPr>
      <w:r>
        <w:rPr>
          <w:rFonts w:ascii="Arial" w:hAnsi="Arial" w:cs="Arial"/>
          <w:sz w:val="20"/>
          <w:szCs w:val="20"/>
        </w:rPr>
        <w:t xml:space="preserve">In </w:t>
      </w:r>
      <w:bookmarkStart w:id="505" w:name="_Hlk215130905"/>
      <w:r w:rsidR="00050673" w:rsidRPr="00050673">
        <w:rPr>
          <w:rFonts w:ascii="Arial" w:hAnsi="Arial" w:cs="Arial"/>
          <w:i/>
          <w:iCs/>
          <w:sz w:val="20"/>
          <w:szCs w:val="20"/>
        </w:rPr>
        <w:t>Yeates (a pseudonym) v The King</w:t>
      </w:r>
      <w:r w:rsidR="00050673">
        <w:rPr>
          <w:rFonts w:ascii="Arial" w:hAnsi="Arial" w:cs="Arial"/>
          <w:sz w:val="20"/>
          <w:szCs w:val="20"/>
        </w:rPr>
        <w:t xml:space="preserve"> [2025] VSCA 288 </w:t>
      </w:r>
      <w:bookmarkEnd w:id="505"/>
      <w:r w:rsidR="00050673">
        <w:rPr>
          <w:rFonts w:ascii="Arial" w:hAnsi="Arial" w:cs="Arial"/>
          <w:sz w:val="20"/>
          <w:szCs w:val="20"/>
        </w:rPr>
        <w:t xml:space="preserve">the applicant had been charged with receiving a seed phrase in his capacity as a Commonwealth public official which he used to steal </w:t>
      </w:r>
      <w:r w:rsidR="00050673" w:rsidRPr="00050673">
        <w:rPr>
          <w:rFonts w:ascii="Arial" w:hAnsi="Arial" w:cs="Arial"/>
          <w:sz w:val="20"/>
          <w:szCs w:val="20"/>
        </w:rPr>
        <w:t>81.61677759 Bitcoin</w:t>
      </w:r>
      <w:r w:rsidR="00050673">
        <w:rPr>
          <w:rFonts w:ascii="Arial" w:hAnsi="Arial" w:cs="Arial"/>
          <w:sz w:val="20"/>
          <w:szCs w:val="20"/>
        </w:rPr>
        <w:t xml:space="preserve"> then valued at </w:t>
      </w:r>
      <w:r w:rsidR="00050673" w:rsidRPr="00050673">
        <w:rPr>
          <w:rFonts w:ascii="Arial" w:hAnsi="Arial" w:cs="Arial"/>
          <w:sz w:val="20"/>
          <w:szCs w:val="20"/>
        </w:rPr>
        <w:t>about AUD492,607</w:t>
      </w:r>
      <w:r w:rsidR="00050673">
        <w:rPr>
          <w:rFonts w:ascii="Arial" w:hAnsi="Arial" w:cs="Arial"/>
          <w:sz w:val="20"/>
          <w:szCs w:val="20"/>
        </w:rPr>
        <w:t xml:space="preserve">. </w:t>
      </w:r>
      <w:r w:rsidR="00680844">
        <w:rPr>
          <w:rFonts w:ascii="Arial" w:hAnsi="Arial" w:cs="Arial"/>
          <w:sz w:val="20"/>
          <w:szCs w:val="20"/>
        </w:rPr>
        <w:t xml:space="preserve">In an interlocutory decision Judge O’Connell held that Bitcoin was property for the </w:t>
      </w:r>
      <w:r w:rsidR="00680844" w:rsidRPr="00680844">
        <w:rPr>
          <w:rFonts w:ascii="Arial" w:hAnsi="Arial" w:cs="Arial"/>
          <w:sz w:val="20"/>
          <w:szCs w:val="20"/>
        </w:rPr>
        <w:t xml:space="preserve">purposes of s 72 of the </w:t>
      </w:r>
      <w:r w:rsidR="00680844" w:rsidRPr="00680844">
        <w:rPr>
          <w:rFonts w:ascii="Arial" w:hAnsi="Arial" w:cs="Arial"/>
          <w:i/>
          <w:iCs/>
          <w:sz w:val="20"/>
          <w:szCs w:val="20"/>
        </w:rPr>
        <w:t>Crimes Act 1958</w:t>
      </w:r>
      <w:r w:rsidR="00680844">
        <w:rPr>
          <w:rFonts w:ascii="Arial" w:hAnsi="Arial" w:cs="Arial"/>
          <w:sz w:val="20"/>
          <w:szCs w:val="20"/>
        </w:rPr>
        <w:t xml:space="preserve">. On appeal </w:t>
      </w:r>
      <w:r w:rsidR="00756EE4">
        <w:rPr>
          <w:rFonts w:ascii="Arial" w:hAnsi="Arial" w:cs="Arial"/>
          <w:sz w:val="20"/>
          <w:szCs w:val="20"/>
        </w:rPr>
        <w:t>the Court of Appeal held:</w:t>
      </w:r>
    </w:p>
    <w:p w14:paraId="10928876" w14:textId="00F885AD" w:rsidR="00F1462D" w:rsidRDefault="00680844"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F1462D">
        <w:rPr>
          <w:rFonts w:ascii="Arial" w:hAnsi="Arial" w:cs="Arial"/>
          <w:sz w:val="20"/>
          <w:szCs w:val="20"/>
        </w:rPr>
        <w:t>92</w:t>
      </w:r>
      <w:r>
        <w:rPr>
          <w:rFonts w:ascii="Arial" w:hAnsi="Arial" w:cs="Arial"/>
          <w:sz w:val="20"/>
          <w:szCs w:val="20"/>
        </w:rPr>
        <w:t xml:space="preserve">]: </w:t>
      </w:r>
      <w:r w:rsidR="00F1462D" w:rsidRPr="00F1462D">
        <w:rPr>
          <w:rFonts w:ascii="Arial" w:hAnsi="Arial" w:cs="Arial"/>
          <w:sz w:val="20"/>
          <w:szCs w:val="20"/>
        </w:rPr>
        <w:t xml:space="preserve">The applicant’s submission that Bitcoin is nothing more than mere information, a string of code representing a credit entry in software, </w:t>
      </w:r>
      <w:r w:rsidR="00F1462D">
        <w:rPr>
          <w:rFonts w:ascii="Arial" w:hAnsi="Arial" w:cs="Arial"/>
          <w:sz w:val="20"/>
          <w:szCs w:val="20"/>
        </w:rPr>
        <w:t>is</w:t>
      </w:r>
      <w:r w:rsidR="00F1462D" w:rsidRPr="00F1462D">
        <w:rPr>
          <w:rFonts w:ascii="Arial" w:hAnsi="Arial" w:cs="Arial"/>
          <w:sz w:val="20"/>
          <w:szCs w:val="20"/>
        </w:rPr>
        <w:t xml:space="preserve"> rejected.</w:t>
      </w:r>
    </w:p>
    <w:p w14:paraId="026165C8" w14:textId="6A90D44A" w:rsidR="0000550B" w:rsidRDefault="00F1462D"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00550B">
        <w:rPr>
          <w:rFonts w:ascii="Arial" w:hAnsi="Arial" w:cs="Arial"/>
          <w:sz w:val="20"/>
          <w:szCs w:val="20"/>
        </w:rPr>
        <w:t>114</w:t>
      </w:r>
      <w:r>
        <w:rPr>
          <w:rFonts w:ascii="Arial" w:hAnsi="Arial" w:cs="Arial"/>
          <w:sz w:val="20"/>
          <w:szCs w:val="20"/>
        </w:rPr>
        <w:t xml:space="preserve">]: </w:t>
      </w:r>
      <w:r w:rsidRPr="00F1462D">
        <w:rPr>
          <w:rFonts w:ascii="Arial" w:hAnsi="Arial" w:cs="Arial"/>
          <w:sz w:val="20"/>
          <w:szCs w:val="20"/>
        </w:rPr>
        <w:t xml:space="preserve">Bitcoin satisfies the </w:t>
      </w:r>
      <w:r w:rsidR="0000550B">
        <w:rPr>
          <w:rFonts w:ascii="Arial" w:hAnsi="Arial" w:cs="Arial"/>
          <w:sz w:val="20"/>
          <w:szCs w:val="20"/>
        </w:rPr>
        <w:t xml:space="preserve">4 </w:t>
      </w:r>
      <w:r w:rsidRPr="00F1462D">
        <w:rPr>
          <w:rFonts w:ascii="Arial" w:hAnsi="Arial" w:cs="Arial"/>
          <w:sz w:val="20"/>
          <w:szCs w:val="20"/>
        </w:rPr>
        <w:t>characteristics of property</w:t>
      </w:r>
      <w:r>
        <w:rPr>
          <w:rFonts w:ascii="Arial" w:hAnsi="Arial" w:cs="Arial"/>
          <w:sz w:val="20"/>
          <w:szCs w:val="20"/>
        </w:rPr>
        <w:t xml:space="preserve"> </w:t>
      </w:r>
      <w:r w:rsidR="0000550B">
        <w:rPr>
          <w:rFonts w:ascii="Arial" w:hAnsi="Arial" w:cs="Arial"/>
          <w:sz w:val="20"/>
          <w:szCs w:val="20"/>
        </w:rPr>
        <w:t xml:space="preserve">identified by Lord Wilberforce in </w:t>
      </w:r>
      <w:r w:rsidR="0000550B" w:rsidRPr="0000550B">
        <w:rPr>
          <w:rFonts w:ascii="Arial" w:hAnsi="Arial" w:cs="Arial"/>
          <w:i/>
          <w:iCs/>
          <w:sz w:val="20"/>
          <w:szCs w:val="20"/>
        </w:rPr>
        <w:t>National Provincial Bank Ltd v Ainsworth</w:t>
      </w:r>
      <w:r w:rsidR="0000550B" w:rsidRPr="0000550B">
        <w:rPr>
          <w:rFonts w:ascii="Arial" w:hAnsi="Arial" w:cs="Arial"/>
          <w:sz w:val="20"/>
          <w:szCs w:val="20"/>
        </w:rPr>
        <w:t xml:space="preserve"> [1965] AC 1175</w:t>
      </w:r>
      <w:r w:rsidR="0000550B">
        <w:rPr>
          <w:rFonts w:ascii="Arial" w:hAnsi="Arial" w:cs="Arial"/>
          <w:sz w:val="20"/>
          <w:szCs w:val="20"/>
        </w:rPr>
        <w:t>. These characteristics are:</w:t>
      </w:r>
    </w:p>
    <w:p w14:paraId="210D64AD" w14:textId="661F67FF" w:rsidR="00F1462D"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[94]: </w:t>
      </w:r>
      <w:r w:rsidR="0000550B" w:rsidRPr="0000550B">
        <w:rPr>
          <w:rFonts w:ascii="Arial" w:hAnsi="Arial" w:cs="Arial"/>
          <w:sz w:val="20"/>
          <w:szCs w:val="20"/>
        </w:rPr>
        <w:t>Property must be definable. It must be a ‘thing’</w:t>
      </w:r>
      <w:r w:rsidR="0000550B">
        <w:rPr>
          <w:rFonts w:ascii="Arial" w:hAnsi="Arial" w:cs="Arial"/>
          <w:sz w:val="20"/>
          <w:szCs w:val="20"/>
        </w:rPr>
        <w:t>.</w:t>
      </w:r>
    </w:p>
    <w:p w14:paraId="3689697C" w14:textId="1CE3A0D1"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lastRenderedPageBreak/>
        <w:t xml:space="preserve">At [98]: </w:t>
      </w:r>
      <w:r w:rsidR="0000550B">
        <w:rPr>
          <w:rFonts w:ascii="Arial" w:hAnsi="Arial" w:cs="Arial"/>
          <w:sz w:val="20"/>
          <w:szCs w:val="20"/>
        </w:rPr>
        <w:t>P</w:t>
      </w:r>
      <w:r w:rsidR="0000550B" w:rsidRPr="0000550B">
        <w:rPr>
          <w:rFonts w:ascii="Arial" w:hAnsi="Arial" w:cs="Arial"/>
          <w:sz w:val="20"/>
          <w:szCs w:val="20"/>
        </w:rPr>
        <w:t>roperty must be identifiable by third parties. That is, that the thing has an owner must be capable of being recognised by third parties. The owner must have the power to exclude others from the asset.</w:t>
      </w:r>
    </w:p>
    <w:p w14:paraId="07C0C8C9" w14:textId="72380C4E"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[101]: </w:t>
      </w:r>
      <w:r w:rsidR="0000550B">
        <w:rPr>
          <w:rFonts w:ascii="Arial" w:hAnsi="Arial" w:cs="Arial"/>
          <w:sz w:val="20"/>
          <w:szCs w:val="20"/>
        </w:rPr>
        <w:t>T</w:t>
      </w:r>
      <w:r w:rsidR="0000550B" w:rsidRPr="0000550B">
        <w:rPr>
          <w:rFonts w:ascii="Arial" w:hAnsi="Arial" w:cs="Arial"/>
          <w:sz w:val="20"/>
          <w:szCs w:val="20"/>
        </w:rPr>
        <w:t>he property must be capable in its nature of assumption by third parties. This has two aspects: that third parties must respect the right of the owner in the property and be subject to legal sanction if they assert a claim to ownership without justification and, usually, that the property is a desirable asset.</w:t>
      </w:r>
    </w:p>
    <w:p w14:paraId="148DBD77" w14:textId="04DE4C89" w:rsidR="0000550B" w:rsidRP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At [</w:t>
      </w:r>
      <w:r w:rsidR="00756EE4">
        <w:rPr>
          <w:rFonts w:ascii="Arial" w:hAnsi="Arial" w:cs="Arial"/>
          <w:sz w:val="20"/>
          <w:szCs w:val="20"/>
        </w:rPr>
        <w:t>106</w:t>
      </w:r>
      <w:r>
        <w:rPr>
          <w:rFonts w:ascii="Arial" w:hAnsi="Arial" w:cs="Arial"/>
          <w:sz w:val="20"/>
          <w:szCs w:val="20"/>
        </w:rPr>
        <w:t xml:space="preserve">]: </w:t>
      </w:r>
      <w:r w:rsidR="00756EE4">
        <w:rPr>
          <w:rFonts w:ascii="Arial" w:hAnsi="Arial" w:cs="Arial"/>
          <w:sz w:val="20"/>
          <w:szCs w:val="20"/>
        </w:rPr>
        <w:t>T</w:t>
      </w:r>
      <w:r w:rsidR="00756EE4" w:rsidRPr="00756EE4">
        <w:rPr>
          <w:rFonts w:ascii="Arial" w:hAnsi="Arial" w:cs="Arial"/>
          <w:sz w:val="20"/>
          <w:szCs w:val="20"/>
        </w:rPr>
        <w:t>he thing has some degree of permanence and stability.</w:t>
      </w:r>
    </w:p>
    <w:p w14:paraId="19C5DB4C" w14:textId="5A66CA66" w:rsidR="00680844" w:rsidRDefault="0000550B"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 [</w:t>
      </w:r>
      <w:r w:rsidR="0052714D">
        <w:rPr>
          <w:rFonts w:ascii="Arial" w:hAnsi="Arial" w:cs="Arial"/>
          <w:sz w:val="20"/>
          <w:szCs w:val="20"/>
        </w:rPr>
        <w:t>123</w:t>
      </w:r>
      <w:r>
        <w:rPr>
          <w:rFonts w:ascii="Arial" w:hAnsi="Arial" w:cs="Arial"/>
          <w:sz w:val="20"/>
          <w:szCs w:val="20"/>
        </w:rPr>
        <w:t xml:space="preserve">]: </w:t>
      </w:r>
      <w:r w:rsidR="0052714D" w:rsidRPr="0052714D">
        <w:rPr>
          <w:rFonts w:ascii="Arial" w:hAnsi="Arial" w:cs="Arial"/>
          <w:sz w:val="20"/>
          <w:szCs w:val="20"/>
        </w:rPr>
        <w:t>Bitcoin is intangible property in that it is other than mere information and satisfies the Ainsworth characteristics of property.</w:t>
      </w:r>
    </w:p>
    <w:p w14:paraId="760CD4D9" w14:textId="2F27217B" w:rsidR="00680844" w:rsidRDefault="00680844"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w:t>
      </w:r>
      <w:r w:rsidR="0086097C">
        <w:rPr>
          <w:rFonts w:ascii="Arial" w:hAnsi="Arial" w:cs="Arial"/>
          <w:sz w:val="20"/>
          <w:szCs w:val="20"/>
        </w:rPr>
        <w:t xml:space="preserve"> [130]-[131]: The public policy reasons raised by the applicant do not warrant a conclusion that </w:t>
      </w:r>
      <w:r w:rsidR="0086097C" w:rsidRPr="0086097C">
        <w:rPr>
          <w:rFonts w:ascii="Arial" w:hAnsi="Arial" w:cs="Arial"/>
          <w:sz w:val="20"/>
          <w:szCs w:val="20"/>
        </w:rPr>
        <w:t xml:space="preserve">cryptocurrencies </w:t>
      </w:r>
      <w:r w:rsidR="0086097C">
        <w:rPr>
          <w:rFonts w:ascii="Arial" w:hAnsi="Arial" w:cs="Arial"/>
          <w:sz w:val="20"/>
          <w:szCs w:val="20"/>
        </w:rPr>
        <w:t xml:space="preserve">should </w:t>
      </w:r>
      <w:r w:rsidR="0086097C" w:rsidRPr="0086097C">
        <w:rPr>
          <w:rFonts w:ascii="Arial" w:hAnsi="Arial" w:cs="Arial"/>
          <w:sz w:val="20"/>
          <w:szCs w:val="20"/>
        </w:rPr>
        <w:t>not be treated in law as property</w:t>
      </w:r>
      <w:r w:rsidR="0086097C">
        <w:rPr>
          <w:rFonts w:ascii="Arial" w:hAnsi="Arial" w:cs="Arial"/>
          <w:sz w:val="20"/>
          <w:szCs w:val="20"/>
        </w:rPr>
        <w:t>.</w:t>
      </w:r>
    </w:p>
    <w:p w14:paraId="49C3D9B5" w14:textId="519A27DD" w:rsidR="00050673" w:rsidRPr="0086097C" w:rsidRDefault="00A25454" w:rsidP="0086097C">
      <w:pPr>
        <w:spacing w:before="60"/>
        <w:jc w:val="both"/>
        <w:rPr>
          <w:rFonts w:ascii="Arial" w:hAnsi="Arial" w:cs="Arial"/>
          <w:sz w:val="20"/>
          <w:szCs w:val="20"/>
        </w:rPr>
      </w:pPr>
      <w:r w:rsidRPr="0086097C">
        <w:rPr>
          <w:rFonts w:ascii="Arial" w:hAnsi="Arial" w:cs="Arial"/>
          <w:sz w:val="20"/>
          <w:szCs w:val="20"/>
        </w:rPr>
        <w:t>Th</w:t>
      </w:r>
      <w:r w:rsidR="0086097C">
        <w:rPr>
          <w:rFonts w:ascii="Arial" w:hAnsi="Arial" w:cs="Arial"/>
          <w:sz w:val="20"/>
          <w:szCs w:val="20"/>
        </w:rPr>
        <w:t>e above</w:t>
      </w:r>
      <w:r w:rsidRPr="0086097C">
        <w:rPr>
          <w:rFonts w:ascii="Arial" w:hAnsi="Arial" w:cs="Arial"/>
          <w:sz w:val="20"/>
          <w:szCs w:val="20"/>
        </w:rPr>
        <w:t xml:space="preserve"> </w:t>
      </w:r>
      <w:r w:rsidR="00CD26B9">
        <w:rPr>
          <w:rFonts w:ascii="Arial" w:hAnsi="Arial" w:cs="Arial"/>
          <w:sz w:val="20"/>
          <w:szCs w:val="20"/>
        </w:rPr>
        <w:t>reasons</w:t>
      </w:r>
      <w:r w:rsidRPr="0086097C">
        <w:rPr>
          <w:rFonts w:ascii="Arial" w:hAnsi="Arial" w:cs="Arial"/>
          <w:sz w:val="20"/>
          <w:szCs w:val="20"/>
        </w:rPr>
        <w:t xml:space="preserve"> led Emerton P and Taylor &amp; Kidd JJA to </w:t>
      </w:r>
      <w:r w:rsidR="00756EE4" w:rsidRPr="0086097C">
        <w:rPr>
          <w:rFonts w:ascii="Arial" w:hAnsi="Arial" w:cs="Arial"/>
          <w:sz w:val="20"/>
          <w:szCs w:val="20"/>
        </w:rPr>
        <w:t xml:space="preserve">refuse leave to appeal and to </w:t>
      </w:r>
      <w:r w:rsidRPr="0086097C">
        <w:rPr>
          <w:rFonts w:ascii="Arial" w:hAnsi="Arial" w:cs="Arial"/>
          <w:sz w:val="20"/>
          <w:szCs w:val="20"/>
        </w:rPr>
        <w:t>conclude at [</w:t>
      </w:r>
      <w:r w:rsidR="00756EE4" w:rsidRPr="0086097C">
        <w:rPr>
          <w:rFonts w:ascii="Arial" w:hAnsi="Arial" w:cs="Arial"/>
          <w:sz w:val="20"/>
          <w:szCs w:val="20"/>
        </w:rPr>
        <w:t>132</w:t>
      </w:r>
      <w:r w:rsidRPr="0086097C">
        <w:rPr>
          <w:rFonts w:ascii="Arial" w:hAnsi="Arial" w:cs="Arial"/>
          <w:sz w:val="20"/>
          <w:szCs w:val="20"/>
        </w:rPr>
        <w:t>]:</w:t>
      </w:r>
    </w:p>
    <w:p w14:paraId="66CD28E0" w14:textId="40C8B575" w:rsidR="00756EE4" w:rsidRPr="00756EE4" w:rsidRDefault="00756EE4" w:rsidP="0052714D">
      <w:pPr>
        <w:spacing w:before="60"/>
        <w:ind w:left="567" w:right="567"/>
        <w:jc w:val="both"/>
        <w:rPr>
          <w:rFonts w:ascii="Arial" w:hAnsi="Arial" w:cs="Arial"/>
          <w:sz w:val="20"/>
          <w:szCs w:val="20"/>
        </w:rPr>
      </w:pPr>
      <w:r w:rsidRPr="00756EE4">
        <w:rPr>
          <w:rFonts w:ascii="Arial" w:hAnsi="Arial" w:cs="Arial"/>
          <w:sz w:val="20"/>
          <w:szCs w:val="20"/>
        </w:rPr>
        <w:t xml:space="preserve">“Bitcoin is intangible property. It falls within the s 71 definition of property in the </w:t>
      </w:r>
      <w:r w:rsidRPr="0052714D">
        <w:rPr>
          <w:rFonts w:ascii="Arial" w:hAnsi="Arial" w:cs="Arial"/>
          <w:i/>
          <w:iCs/>
          <w:sz w:val="20"/>
          <w:szCs w:val="20"/>
        </w:rPr>
        <w:t>Crimes Act</w:t>
      </w:r>
      <w:r w:rsidRPr="00756EE4">
        <w:rPr>
          <w:rFonts w:ascii="Arial" w:hAnsi="Arial" w:cs="Arial"/>
          <w:sz w:val="20"/>
          <w:szCs w:val="20"/>
        </w:rPr>
        <w:t>. A charge of theft preferred in relation to the dishonest appropriation of Bitcoin pursuant to s 72 of the Crimes Act is sound in law.</w:t>
      </w:r>
    </w:p>
    <w:p w14:paraId="440E05C6" w14:textId="77777777" w:rsidR="00200D50" w:rsidRDefault="00200D50" w:rsidP="00200D50">
      <w:pPr>
        <w:ind w:left="720" w:hanging="720"/>
        <w:jc w:val="both"/>
        <w:rPr>
          <w:rFonts w:ascii="Arial" w:hAnsi="Arial" w:cs="Arial"/>
          <w:sz w:val="20"/>
          <w:szCs w:val="20"/>
        </w:rPr>
      </w:pPr>
      <w:bookmarkStart w:id="506" w:name="_7.13_‘Crossover_kids’"/>
      <w:bookmarkEnd w:id="506"/>
    </w:p>
    <w:p w14:paraId="69005245" w14:textId="77777777" w:rsidR="00200D50" w:rsidRPr="000510E3" w:rsidRDefault="00200D50" w:rsidP="00200D50">
      <w:pPr>
        <w:ind w:left="720" w:hanging="720"/>
        <w:jc w:val="center"/>
        <w:rPr>
          <w:rFonts w:ascii="Arial" w:hAnsi="Arial" w:cs="Arial"/>
          <w:b/>
          <w:bCs/>
        </w:rPr>
      </w:pPr>
      <w:r w:rsidRPr="000510E3">
        <w:rPr>
          <w:rFonts w:ascii="Arial" w:hAnsi="Arial" w:cs="Arial"/>
          <w:b/>
          <w:bCs/>
        </w:rPr>
        <w:t>THE REST OF THIS PAGE IS BLANK</w:t>
      </w:r>
    </w:p>
    <w:p w14:paraId="4C611CFF" w14:textId="77777777" w:rsidR="00200D50" w:rsidRDefault="00200D50" w:rsidP="00200D50">
      <w:pPr>
        <w:rPr>
          <w:rFonts w:ascii="Arial" w:hAnsi="Arial" w:cs="Arial"/>
          <w:sz w:val="20"/>
          <w:szCs w:val="20"/>
        </w:rPr>
      </w:pPr>
    </w:p>
    <w:p w14:paraId="7ED8CF1D" w14:textId="77777777" w:rsidR="00200D50" w:rsidRDefault="00200D50">
      <w:pPr>
        <w:rPr>
          <w:rFonts w:ascii="Arial" w:hAnsi="Arial" w:cs="Arial"/>
          <w:b/>
          <w:bCs/>
          <w:color w:val="000000"/>
          <w:kern w:val="28"/>
          <w:szCs w:val="20"/>
          <w:lang w:val="en-GB"/>
        </w:rPr>
      </w:pPr>
      <w:r>
        <w:rPr>
          <w:rFonts w:ascii="Arial" w:hAnsi="Arial" w:cs="Arial"/>
          <w:b/>
          <w:bCs/>
          <w:color w:val="000000"/>
        </w:rPr>
        <w:br w:type="page"/>
      </w:r>
    </w:p>
    <w:p w14:paraId="368D1189" w14:textId="27D3AE77"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lastRenderedPageBreak/>
        <w:t>7.1</w:t>
      </w:r>
      <w:r>
        <w:rPr>
          <w:rFonts w:ascii="Arial" w:hAnsi="Arial" w:cs="Arial"/>
          <w:b/>
          <w:bCs/>
          <w:color w:val="000000"/>
        </w:rPr>
        <w:t>3</w:t>
      </w:r>
      <w:r w:rsidRPr="00C41B48">
        <w:rPr>
          <w:rFonts w:ascii="Arial" w:hAnsi="Arial" w:cs="Arial"/>
          <w:b/>
          <w:bCs/>
          <w:color w:val="000000"/>
        </w:rPr>
        <w:tab/>
      </w:r>
      <w:r w:rsidR="004336F6">
        <w:rPr>
          <w:rFonts w:ascii="Arial" w:hAnsi="Arial" w:cs="Arial"/>
          <w:b/>
          <w:bCs/>
          <w:color w:val="000000"/>
        </w:rPr>
        <w:t>I</w:t>
      </w:r>
      <w:r w:rsidRPr="00F22097">
        <w:rPr>
          <w:rStyle w:val="Hyperlink"/>
          <w:rFonts w:ascii="Arial" w:hAnsi="Arial" w:cs="Arial"/>
          <w:b/>
          <w:bCs/>
          <w:color w:val="000000" w:themeColor="text1"/>
          <w:u w:val="none"/>
        </w:rPr>
        <w:t xml:space="preserve">mpact of a child’s </w:t>
      </w:r>
      <w:r w:rsidR="004336F6">
        <w:rPr>
          <w:rStyle w:val="Hyperlink"/>
          <w:rFonts w:ascii="Arial" w:hAnsi="Arial" w:cs="Arial"/>
          <w:b/>
          <w:bCs/>
          <w:color w:val="000000" w:themeColor="text1"/>
          <w:u w:val="none"/>
        </w:rPr>
        <w:t xml:space="preserve">/ young adult’s </w:t>
      </w:r>
      <w:r w:rsidRPr="00F22097">
        <w:rPr>
          <w:rStyle w:val="Hyperlink"/>
          <w:rFonts w:ascii="Arial" w:hAnsi="Arial" w:cs="Arial"/>
          <w:b/>
          <w:bCs/>
          <w:color w:val="000000" w:themeColor="text1"/>
          <w:u w:val="none"/>
        </w:rPr>
        <w:t xml:space="preserve">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502"/>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t>
      </w:r>
      <w:r w:rsidR="00F622A8">
        <w:rPr>
          <w:rFonts w:ascii="Arial" w:hAnsi="Arial" w:cs="Arial"/>
          <w:color w:val="000000"/>
          <w:sz w:val="20"/>
          <w:szCs w:val="20"/>
          <w:lang w:eastAsia="en-AU"/>
        </w:rPr>
        <w:lastRenderedPageBreak/>
        <w:t xml:space="preserve">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lastRenderedPageBreak/>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200D50">
            <w:pPr>
              <w:keepNext/>
              <w:keepLines/>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200D50">
            <w:pPr>
              <w:keepNext/>
              <w:keepLines/>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200D50">
            <w:pPr>
              <w:keepNext/>
              <w:keepLines/>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200D50">
            <w:pPr>
              <w:keepNext/>
              <w:keepLines/>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200D50">
            <w:pPr>
              <w:keepNext/>
              <w:keepLines/>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200D50">
            <w:pPr>
              <w:keepNext/>
              <w:keepLines/>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200D50">
            <w:pPr>
              <w:keepNext/>
              <w:keepLines/>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591749">
      <w:pPr>
        <w:pStyle w:val="ListParagraph"/>
        <w:numPr>
          <w:ilvl w:val="0"/>
          <w:numId w:val="53"/>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393B5CEF" w14:textId="294924A7" w:rsidR="009735DC" w:rsidRPr="009735DC" w:rsidRDefault="004336F6" w:rsidP="00200D50">
      <w:pPr>
        <w:spacing w:before="120"/>
        <w:ind w:left="454" w:hanging="454"/>
        <w:jc w:val="both"/>
        <w:rPr>
          <w:rFonts w:ascii="Arial" w:hAnsi="Arial" w:cs="Arial"/>
          <w:color w:val="000000"/>
          <w:sz w:val="20"/>
        </w:rPr>
      </w:pPr>
      <w:r>
        <w:rPr>
          <w:rFonts w:ascii="Arial" w:hAnsi="Arial" w:cs="Arial"/>
          <w:sz w:val="20"/>
          <w:szCs w:val="20"/>
        </w:rPr>
        <w:t>(13)</w:t>
      </w:r>
      <w:r>
        <w:rPr>
          <w:rFonts w:ascii="Arial" w:hAnsi="Arial" w:cs="Arial"/>
          <w:sz w:val="20"/>
          <w:szCs w:val="20"/>
        </w:rPr>
        <w:tab/>
        <w:t xml:space="preserve">In </w:t>
      </w:r>
      <w:r w:rsidRPr="009735DC">
        <w:rPr>
          <w:rFonts w:ascii="Arial" w:hAnsi="Arial" w:cs="Arial"/>
          <w:i/>
          <w:iCs/>
          <w:color w:val="000000"/>
          <w:sz w:val="20"/>
        </w:rPr>
        <w:t>Decision-Making, Emotion and Behaviour Regulation 18-25 Year-Olds</w:t>
      </w:r>
      <w:r>
        <w:rPr>
          <w:rFonts w:ascii="Arial" w:hAnsi="Arial" w:cs="Arial"/>
          <w:i/>
          <w:iCs/>
          <w:color w:val="000000"/>
          <w:sz w:val="20"/>
        </w:rPr>
        <w:t xml:space="preserve"> </w:t>
      </w:r>
      <w:r w:rsidRPr="009735DC">
        <w:rPr>
          <w:rFonts w:ascii="Arial" w:hAnsi="Arial" w:cs="Arial"/>
          <w:i/>
          <w:iCs/>
          <w:color w:val="000000"/>
          <w:sz w:val="20"/>
        </w:rPr>
        <w:t>A Neurodevelopmental Perspective</w:t>
      </w:r>
      <w:r>
        <w:rPr>
          <w:rFonts w:ascii="Arial" w:hAnsi="Arial" w:cs="Arial"/>
          <w:i/>
          <w:iCs/>
          <w:color w:val="000000"/>
          <w:sz w:val="20"/>
        </w:rPr>
        <w:t xml:space="preserve"> </w:t>
      </w:r>
      <w:r w:rsidRPr="009735DC">
        <w:rPr>
          <w:rFonts w:ascii="Arial" w:hAnsi="Arial" w:cs="Arial"/>
          <w:i/>
          <w:iCs/>
          <w:color w:val="000000"/>
          <w:sz w:val="20"/>
        </w:rPr>
        <w:t>(2025)</w:t>
      </w:r>
      <w:r>
        <w:rPr>
          <w:rFonts w:ascii="Arial" w:hAnsi="Arial" w:cs="Arial"/>
          <w:i/>
          <w:iCs/>
          <w:color w:val="000000"/>
          <w:sz w:val="20"/>
        </w:rPr>
        <w:t xml:space="preserve"> </w:t>
      </w:r>
      <w:r w:rsidRPr="004336F6">
        <w:rPr>
          <w:rFonts w:ascii="Arial" w:hAnsi="Arial" w:cs="Arial"/>
          <w:color w:val="000000"/>
          <w:sz w:val="20"/>
        </w:rPr>
        <w:t xml:space="preserve">the authors </w:t>
      </w:r>
      <w:r w:rsidRPr="009735DC">
        <w:rPr>
          <w:rFonts w:ascii="Arial" w:hAnsi="Arial" w:cs="Arial"/>
          <w:i/>
          <w:iCs/>
          <w:color w:val="000000"/>
          <w:sz w:val="20"/>
        </w:rPr>
        <w:t>Decision-Making, Emotion and Behaviour Regulation 18-25 Year-Olds</w:t>
      </w:r>
      <w:r w:rsidR="00200D50">
        <w:rPr>
          <w:rFonts w:ascii="Arial" w:hAnsi="Arial" w:cs="Arial"/>
          <w:i/>
          <w:iCs/>
          <w:color w:val="000000"/>
          <w:sz w:val="20"/>
        </w:rPr>
        <w:t xml:space="preserve"> </w:t>
      </w:r>
      <w:r w:rsidRPr="009735DC">
        <w:rPr>
          <w:rFonts w:ascii="Arial" w:hAnsi="Arial" w:cs="Arial"/>
          <w:i/>
          <w:iCs/>
          <w:color w:val="000000"/>
          <w:sz w:val="20"/>
        </w:rPr>
        <w:t>A Neurodevelopmental Perspective</w:t>
      </w:r>
      <w:r w:rsidR="00200D50">
        <w:rPr>
          <w:rFonts w:ascii="Arial" w:hAnsi="Arial" w:cs="Arial"/>
          <w:i/>
          <w:iCs/>
          <w:color w:val="000000"/>
          <w:sz w:val="20"/>
        </w:rPr>
        <w:t xml:space="preserve"> </w:t>
      </w:r>
      <w:r w:rsidRPr="009735DC">
        <w:rPr>
          <w:rFonts w:ascii="Arial" w:hAnsi="Arial" w:cs="Arial"/>
          <w:i/>
          <w:iCs/>
          <w:color w:val="000000"/>
          <w:sz w:val="20"/>
        </w:rPr>
        <w:t>(2025)</w:t>
      </w:r>
      <w:r w:rsidRPr="004336F6">
        <w:rPr>
          <w:rFonts w:ascii="Arial" w:hAnsi="Arial" w:cs="Arial"/>
          <w:color w:val="000000"/>
          <w:sz w:val="20"/>
        </w:rPr>
        <w:t xml:space="preserve"> the authors </w:t>
      </w:r>
      <w:r w:rsidR="009735DC" w:rsidRPr="009735DC">
        <w:rPr>
          <w:rFonts w:ascii="Arial" w:hAnsi="Arial" w:cs="Arial"/>
          <w:color w:val="000000"/>
          <w:sz w:val="20"/>
        </w:rPr>
        <w:t xml:space="preserve">Ms Jody Kamminga, Dr Travis Wearne, Dr Liz Vuletich, Dr </w:t>
      </w:r>
      <w:proofErr w:type="spellStart"/>
      <w:r w:rsidR="009735DC" w:rsidRPr="009735DC">
        <w:rPr>
          <w:rFonts w:ascii="Arial" w:hAnsi="Arial" w:cs="Arial"/>
          <w:color w:val="000000"/>
          <w:sz w:val="20"/>
        </w:rPr>
        <w:t>Santuri</w:t>
      </w:r>
      <w:proofErr w:type="spellEnd"/>
      <w:r w:rsidR="009735DC" w:rsidRPr="009735DC">
        <w:rPr>
          <w:rFonts w:ascii="Arial" w:hAnsi="Arial" w:cs="Arial"/>
          <w:color w:val="000000"/>
          <w:sz w:val="20"/>
        </w:rPr>
        <w:t xml:space="preserve"> Rungan, Dr Jenny Sohn, Dr Tamara Morris, Dr Amelia Lewis, Associate Professor Fiona Kumfor, Dr Warrick Brewer AM and Associate Professor Paul Gray</w:t>
      </w:r>
      <w:r>
        <w:rPr>
          <w:rFonts w:ascii="Arial" w:hAnsi="Arial" w:cs="Arial"/>
          <w:color w:val="000000"/>
          <w:sz w:val="20"/>
        </w:rPr>
        <w:t xml:space="preserve"> provide </w:t>
      </w:r>
      <w:r w:rsidR="009735DC" w:rsidRPr="009735DC">
        <w:rPr>
          <w:rFonts w:ascii="Arial" w:hAnsi="Arial" w:cs="Arial"/>
          <w:color w:val="000000"/>
          <w:sz w:val="20"/>
        </w:rPr>
        <w:t>a neurodevelopmental overview of the ages 18 to 25 years, a period referred to as ‘young adulthood’. This period has unique psychosocial considerations that are distinct from the teenage and adult years. This period also has unique physical and biological considerations: although legally recognised as an adult, the young adult brain has not yet reached full maturation.</w:t>
      </w:r>
    </w:p>
    <w:p w14:paraId="1A2A39DB" w14:textId="2B49BA3D" w:rsidR="009735DC" w:rsidRPr="009735DC" w:rsidRDefault="009735DC" w:rsidP="00200D50">
      <w:pPr>
        <w:spacing w:before="80"/>
        <w:ind w:left="454"/>
        <w:jc w:val="both"/>
        <w:rPr>
          <w:rFonts w:ascii="Arial" w:hAnsi="Arial" w:cs="Arial"/>
          <w:color w:val="000000"/>
          <w:sz w:val="20"/>
        </w:rPr>
      </w:pPr>
      <w:r w:rsidRPr="009735DC">
        <w:rPr>
          <w:rFonts w:ascii="Arial" w:hAnsi="Arial" w:cs="Arial"/>
          <w:color w:val="000000"/>
          <w:sz w:val="20"/>
        </w:rPr>
        <w:t xml:space="preserve">By taking a neurodevelopmental perspective, the </w:t>
      </w:r>
      <w:r w:rsidR="00200D50">
        <w:rPr>
          <w:rFonts w:ascii="Arial" w:hAnsi="Arial" w:cs="Arial"/>
          <w:color w:val="000000"/>
          <w:sz w:val="20"/>
        </w:rPr>
        <w:t>study</w:t>
      </w:r>
      <w:r w:rsidRPr="009735DC">
        <w:rPr>
          <w:rFonts w:ascii="Arial" w:hAnsi="Arial" w:cs="Arial"/>
          <w:color w:val="000000"/>
          <w:sz w:val="20"/>
        </w:rPr>
        <w:t xml:space="preserve"> highlights the importance of sustained effort to provide a safe, relational and enriching environment into young adulthood, particularly in the context of the adverse childhood experiences and cumulative disadvantage that shape brain development and function. The authors emphasise the importance of nurturing </w:t>
      </w:r>
      <w:r w:rsidR="00200D50" w:rsidRPr="009735DC">
        <w:rPr>
          <w:rFonts w:ascii="Arial" w:hAnsi="Arial" w:cs="Arial"/>
          <w:color w:val="000000"/>
          <w:sz w:val="20"/>
        </w:rPr>
        <w:t>care and</w:t>
      </w:r>
      <w:r w:rsidRPr="009735DC">
        <w:rPr>
          <w:rFonts w:ascii="Arial" w:hAnsi="Arial" w:cs="Arial"/>
          <w:color w:val="000000"/>
          <w:sz w:val="20"/>
        </w:rPr>
        <w:t xml:space="preserve"> highlight the negative impacts of physical containment and control as it relates to incarceration.</w:t>
      </w:r>
      <w:r w:rsidR="00200D50">
        <w:rPr>
          <w:rFonts w:ascii="Arial" w:hAnsi="Arial" w:cs="Arial"/>
          <w:color w:val="000000"/>
          <w:sz w:val="20"/>
        </w:rPr>
        <w:t xml:space="preserve"> </w:t>
      </w:r>
      <w:r w:rsidRPr="009735DC">
        <w:rPr>
          <w:rFonts w:ascii="Arial" w:hAnsi="Arial" w:cs="Arial"/>
          <w:color w:val="000000"/>
          <w:sz w:val="20"/>
        </w:rPr>
        <w:t>This perspective is relevant to all young adults, but the authors particularly note the unique social, cultural, political and historical context of Aboriginal and Torres Strait Islander peoples, and the ongoing impacts of colonisation, including over-representation in justice systems.</w:t>
      </w:r>
    </w:p>
    <w:p w14:paraId="1C6E68FA" w14:textId="77777777" w:rsidR="009735DC" w:rsidRPr="00D81EFC" w:rsidRDefault="009735DC"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7" w:name="_7.13_Papers_on"/>
      <w:bookmarkStart w:id="508" w:name="_7.14_Papers_on"/>
      <w:bookmarkEnd w:id="498"/>
      <w:bookmarkEnd w:id="507"/>
      <w:bookmarkEnd w:id="508"/>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40"/>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E6216" w14:textId="77777777" w:rsidR="008E69D5" w:rsidRDefault="008E69D5">
      <w:r>
        <w:separator/>
      </w:r>
    </w:p>
  </w:endnote>
  <w:endnote w:type="continuationSeparator" w:id="0">
    <w:p w14:paraId="6AEA5B22" w14:textId="77777777" w:rsidR="008E69D5" w:rsidRDefault="008E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33B54F02"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9112B4">
      <w:rPr>
        <w:rStyle w:val="PageNumber"/>
        <w:rFonts w:ascii="Arial" w:hAnsi="Arial" w:cs="Arial"/>
        <w:b/>
        <w:bCs/>
        <w:color w:val="000000"/>
        <w:sz w:val="16"/>
      </w:rPr>
      <w:t>02</w:t>
    </w:r>
    <w:r w:rsidR="000C56B3">
      <w:rPr>
        <w:rStyle w:val="PageNumber"/>
        <w:rFonts w:ascii="Arial" w:hAnsi="Arial" w:cs="Arial"/>
        <w:b/>
        <w:bCs/>
        <w:color w:val="000000"/>
        <w:sz w:val="16"/>
      </w:rPr>
      <w:t xml:space="preserve"> </w:t>
    </w:r>
    <w:r w:rsidR="00D60900">
      <w:rPr>
        <w:rStyle w:val="PageNumber"/>
        <w:rFonts w:ascii="Arial" w:hAnsi="Arial" w:cs="Arial"/>
        <w:b/>
        <w:bCs/>
        <w:color w:val="000000"/>
        <w:sz w:val="16"/>
      </w:rPr>
      <w:t>Ju</w:t>
    </w:r>
    <w:r w:rsidR="009112B4">
      <w:rPr>
        <w:rStyle w:val="PageNumber"/>
        <w:rFonts w:ascii="Arial" w:hAnsi="Arial" w:cs="Arial"/>
        <w:b/>
        <w:bCs/>
        <w:color w:val="000000"/>
        <w:sz w:val="16"/>
      </w:rPr>
      <w:t>ly</w:t>
    </w:r>
    <w:r w:rsidR="00B54471">
      <w:rPr>
        <w:rStyle w:val="PageNumber"/>
        <w:rFonts w:ascii="Arial" w:hAnsi="Arial" w:cs="Arial"/>
        <w:b/>
        <w:bCs/>
        <w:color w:val="000000"/>
        <w:sz w:val="16"/>
      </w:rPr>
      <w:t xml:space="preserve"> 2026</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471A2" w14:textId="77777777" w:rsidR="008E69D5" w:rsidRDefault="008E69D5">
      <w:r>
        <w:separator/>
      </w:r>
    </w:p>
  </w:footnote>
  <w:footnote w:type="continuationSeparator" w:id="0">
    <w:p w14:paraId="62AC35D5" w14:textId="77777777" w:rsidR="008E69D5" w:rsidRDefault="008E69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4EF7233"/>
    <w:multiLevelType w:val="hybridMultilevel"/>
    <w:tmpl w:val="2A92A7E6"/>
    <w:lvl w:ilvl="0" w:tplc="9660874C">
      <w:start w:val="1"/>
      <w:numFmt w:val="lowerRoman"/>
      <w:lvlText w:val="(%1)"/>
      <w:lvlJc w:val="left"/>
      <w:pPr>
        <w:ind w:left="1077" w:hanging="360"/>
      </w:pPr>
      <w:rPr>
        <w:rFonts w:ascii="Arial" w:hAnsi="Arial" w:hint="default"/>
        <w:b w:val="0"/>
        <w:i w:val="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0F2DB6"/>
    <w:multiLevelType w:val="hybridMultilevel"/>
    <w:tmpl w:val="BEE2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893F66"/>
    <w:multiLevelType w:val="hybridMultilevel"/>
    <w:tmpl w:val="EDE2A2EE"/>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4"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7"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4AF5EF1"/>
    <w:multiLevelType w:val="hybridMultilevel"/>
    <w:tmpl w:val="4080D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3F4C1AE3"/>
    <w:multiLevelType w:val="hybridMultilevel"/>
    <w:tmpl w:val="EACC1C56"/>
    <w:lvl w:ilvl="0" w:tplc="2BE670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0"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4" w15:restartNumberingAfterBreak="0">
    <w:nsid w:val="59502085"/>
    <w:multiLevelType w:val="hybridMultilevel"/>
    <w:tmpl w:val="6F24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1"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62"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3" w15:restartNumberingAfterBreak="0">
    <w:nsid w:val="5F672CAC"/>
    <w:multiLevelType w:val="hybridMultilevel"/>
    <w:tmpl w:val="6256F88E"/>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10DE544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9"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1"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4"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5"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44"/>
  </w:num>
  <w:num w:numId="2" w16cid:durableId="667100179">
    <w:abstractNumId w:val="36"/>
  </w:num>
  <w:num w:numId="3" w16cid:durableId="1030763971">
    <w:abstractNumId w:val="57"/>
  </w:num>
  <w:num w:numId="4" w16cid:durableId="1095903378">
    <w:abstractNumId w:val="31"/>
  </w:num>
  <w:num w:numId="5" w16cid:durableId="1090390558">
    <w:abstractNumId w:val="58"/>
  </w:num>
  <w:num w:numId="6" w16cid:durableId="826285262">
    <w:abstractNumId w:val="51"/>
  </w:num>
  <w:num w:numId="7" w16cid:durableId="1169952503">
    <w:abstractNumId w:val="48"/>
  </w:num>
  <w:num w:numId="8" w16cid:durableId="1057436219">
    <w:abstractNumId w:val="22"/>
  </w:num>
  <w:num w:numId="9" w16cid:durableId="1857575179">
    <w:abstractNumId w:val="26"/>
  </w:num>
  <w:num w:numId="10" w16cid:durableId="365756567">
    <w:abstractNumId w:val="18"/>
  </w:num>
  <w:num w:numId="11" w16cid:durableId="1499691388">
    <w:abstractNumId w:val="35"/>
  </w:num>
  <w:num w:numId="12" w16cid:durableId="219873556">
    <w:abstractNumId w:val="69"/>
  </w:num>
  <w:num w:numId="13" w16cid:durableId="1412039737">
    <w:abstractNumId w:val="52"/>
  </w:num>
  <w:num w:numId="14" w16cid:durableId="1722634767">
    <w:abstractNumId w:val="21"/>
  </w:num>
  <w:num w:numId="15" w16cid:durableId="1683430858">
    <w:abstractNumId w:val="12"/>
  </w:num>
  <w:num w:numId="16" w16cid:durableId="1899315270">
    <w:abstractNumId w:val="60"/>
  </w:num>
  <w:num w:numId="17" w16cid:durableId="1013843005">
    <w:abstractNumId w:val="20"/>
  </w:num>
  <w:num w:numId="18" w16cid:durableId="1595433830">
    <w:abstractNumId w:val="55"/>
  </w:num>
  <w:num w:numId="19" w16cid:durableId="1375423728">
    <w:abstractNumId w:val="53"/>
  </w:num>
  <w:num w:numId="20" w16cid:durableId="10540369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363866">
    <w:abstractNumId w:val="8"/>
  </w:num>
  <w:num w:numId="22" w16cid:durableId="619410932">
    <w:abstractNumId w:val="19"/>
  </w:num>
  <w:num w:numId="23" w16cid:durableId="2128889759">
    <w:abstractNumId w:val="13"/>
  </w:num>
  <w:num w:numId="24" w16cid:durableId="1622609036">
    <w:abstractNumId w:val="28"/>
  </w:num>
  <w:num w:numId="25" w16cid:durableId="49577978">
    <w:abstractNumId w:val="0"/>
  </w:num>
  <w:num w:numId="26" w16cid:durableId="1967543901">
    <w:abstractNumId w:val="50"/>
  </w:num>
  <w:num w:numId="27" w16cid:durableId="373578614">
    <w:abstractNumId w:val="63"/>
  </w:num>
  <w:num w:numId="28" w16cid:durableId="409042202">
    <w:abstractNumId w:val="37"/>
  </w:num>
  <w:num w:numId="29" w16cid:durableId="1173034479">
    <w:abstractNumId w:val="29"/>
  </w:num>
  <w:num w:numId="30" w16cid:durableId="1121803802">
    <w:abstractNumId w:val="56"/>
  </w:num>
  <w:num w:numId="31" w16cid:durableId="605239468">
    <w:abstractNumId w:val="23"/>
  </w:num>
  <w:num w:numId="32" w16cid:durableId="1730224890">
    <w:abstractNumId w:val="15"/>
  </w:num>
  <w:num w:numId="33" w16cid:durableId="2085293966">
    <w:abstractNumId w:val="16"/>
  </w:num>
  <w:num w:numId="34" w16cid:durableId="624117764">
    <w:abstractNumId w:val="47"/>
  </w:num>
  <w:num w:numId="35" w16cid:durableId="2065716157">
    <w:abstractNumId w:val="7"/>
  </w:num>
  <w:num w:numId="36" w16cid:durableId="1108622452">
    <w:abstractNumId w:val="68"/>
  </w:num>
  <w:num w:numId="37" w16cid:durableId="687486289">
    <w:abstractNumId w:val="41"/>
  </w:num>
  <w:num w:numId="38" w16cid:durableId="445658153">
    <w:abstractNumId w:val="43"/>
  </w:num>
  <w:num w:numId="39" w16cid:durableId="1929580243">
    <w:abstractNumId w:val="66"/>
  </w:num>
  <w:num w:numId="40" w16cid:durableId="1430588050">
    <w:abstractNumId w:val="64"/>
  </w:num>
  <w:num w:numId="41" w16cid:durableId="852258239">
    <w:abstractNumId w:val="72"/>
  </w:num>
  <w:num w:numId="42" w16cid:durableId="643462097">
    <w:abstractNumId w:val="65"/>
  </w:num>
  <w:num w:numId="43" w16cid:durableId="1940988471">
    <w:abstractNumId w:val="46"/>
  </w:num>
  <w:num w:numId="44" w16cid:durableId="534192866">
    <w:abstractNumId w:val="11"/>
  </w:num>
  <w:num w:numId="45" w16cid:durableId="197815444">
    <w:abstractNumId w:val="27"/>
  </w:num>
  <w:num w:numId="46" w16cid:durableId="68230376">
    <w:abstractNumId w:val="67"/>
  </w:num>
  <w:num w:numId="47" w16cid:durableId="1867060503">
    <w:abstractNumId w:val="32"/>
  </w:num>
  <w:num w:numId="48" w16cid:durableId="886264375">
    <w:abstractNumId w:val="73"/>
  </w:num>
  <w:num w:numId="49" w16cid:durableId="712771476">
    <w:abstractNumId w:val="61"/>
  </w:num>
  <w:num w:numId="50" w16cid:durableId="701634220">
    <w:abstractNumId w:val="17"/>
  </w:num>
  <w:num w:numId="51" w16cid:durableId="327632483">
    <w:abstractNumId w:val="59"/>
  </w:num>
  <w:num w:numId="52" w16cid:durableId="2048018847">
    <w:abstractNumId w:val="34"/>
  </w:num>
  <w:num w:numId="53" w16cid:durableId="459348683">
    <w:abstractNumId w:val="62"/>
  </w:num>
  <w:num w:numId="54" w16cid:durableId="1629121092">
    <w:abstractNumId w:val="39"/>
  </w:num>
  <w:num w:numId="55" w16cid:durableId="1064640948">
    <w:abstractNumId w:val="40"/>
  </w:num>
  <w:num w:numId="56" w16cid:durableId="623804186">
    <w:abstractNumId w:val="4"/>
  </w:num>
  <w:num w:numId="57" w16cid:durableId="1411543255">
    <w:abstractNumId w:val="6"/>
  </w:num>
  <w:num w:numId="58" w16cid:durableId="66659538">
    <w:abstractNumId w:val="10"/>
  </w:num>
  <w:num w:numId="59" w16cid:durableId="565603841">
    <w:abstractNumId w:val="74"/>
  </w:num>
  <w:num w:numId="60" w16cid:durableId="2012903018">
    <w:abstractNumId w:val="24"/>
  </w:num>
  <w:num w:numId="61" w16cid:durableId="356661448">
    <w:abstractNumId w:val="3"/>
  </w:num>
  <w:num w:numId="62" w16cid:durableId="907420305">
    <w:abstractNumId w:val="49"/>
  </w:num>
  <w:num w:numId="63" w16cid:durableId="740567411">
    <w:abstractNumId w:val="2"/>
  </w:num>
  <w:num w:numId="64" w16cid:durableId="1685017088">
    <w:abstractNumId w:val="1"/>
  </w:num>
  <w:num w:numId="65" w16cid:durableId="208151720">
    <w:abstractNumId w:val="70"/>
  </w:num>
  <w:num w:numId="66" w16cid:durableId="1135295812">
    <w:abstractNumId w:val="30"/>
  </w:num>
  <w:num w:numId="67" w16cid:durableId="144202013">
    <w:abstractNumId w:val="75"/>
  </w:num>
  <w:num w:numId="68" w16cid:durableId="1135176402">
    <w:abstractNumId w:val="45"/>
  </w:num>
  <w:num w:numId="69" w16cid:durableId="1021008147">
    <w:abstractNumId w:val="71"/>
  </w:num>
  <w:num w:numId="70" w16cid:durableId="190194053">
    <w:abstractNumId w:val="14"/>
  </w:num>
  <w:num w:numId="71" w16cid:durableId="658457877">
    <w:abstractNumId w:val="5"/>
  </w:num>
  <w:num w:numId="72" w16cid:durableId="1387605193">
    <w:abstractNumId w:val="54"/>
  </w:num>
  <w:num w:numId="73" w16cid:durableId="1337414254">
    <w:abstractNumId w:val="42"/>
  </w:num>
  <w:num w:numId="74" w16cid:durableId="2144885653">
    <w:abstractNumId w:val="25"/>
  </w:num>
  <w:num w:numId="75" w16cid:durableId="220214930">
    <w:abstractNumId w:val="33"/>
  </w:num>
  <w:num w:numId="76" w16cid:durableId="1851140690">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550B"/>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850"/>
    <w:rsid w:val="00042E29"/>
    <w:rsid w:val="0004342A"/>
    <w:rsid w:val="000438D8"/>
    <w:rsid w:val="00044192"/>
    <w:rsid w:val="0005034E"/>
    <w:rsid w:val="00050673"/>
    <w:rsid w:val="000506E2"/>
    <w:rsid w:val="000510E3"/>
    <w:rsid w:val="00051932"/>
    <w:rsid w:val="00052510"/>
    <w:rsid w:val="00053497"/>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56B3"/>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2D4E"/>
    <w:rsid w:val="00117B42"/>
    <w:rsid w:val="00122E84"/>
    <w:rsid w:val="00124048"/>
    <w:rsid w:val="001245BC"/>
    <w:rsid w:val="00124985"/>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6E3A"/>
    <w:rsid w:val="00167526"/>
    <w:rsid w:val="00167A6C"/>
    <w:rsid w:val="00170810"/>
    <w:rsid w:val="00170F68"/>
    <w:rsid w:val="001740F5"/>
    <w:rsid w:val="00175BB6"/>
    <w:rsid w:val="00176B93"/>
    <w:rsid w:val="0018017C"/>
    <w:rsid w:val="001811EF"/>
    <w:rsid w:val="00183836"/>
    <w:rsid w:val="001852B0"/>
    <w:rsid w:val="00187592"/>
    <w:rsid w:val="001877AB"/>
    <w:rsid w:val="0019012E"/>
    <w:rsid w:val="00191D35"/>
    <w:rsid w:val="00192991"/>
    <w:rsid w:val="00193A97"/>
    <w:rsid w:val="00193BD8"/>
    <w:rsid w:val="00193C9F"/>
    <w:rsid w:val="00197A1D"/>
    <w:rsid w:val="001A1FD3"/>
    <w:rsid w:val="001A5B7A"/>
    <w:rsid w:val="001A612F"/>
    <w:rsid w:val="001B10F3"/>
    <w:rsid w:val="001C432B"/>
    <w:rsid w:val="001C4800"/>
    <w:rsid w:val="001D09A5"/>
    <w:rsid w:val="001D108B"/>
    <w:rsid w:val="001D1E4B"/>
    <w:rsid w:val="001D3283"/>
    <w:rsid w:val="001D6BBC"/>
    <w:rsid w:val="001E1083"/>
    <w:rsid w:val="001E10AF"/>
    <w:rsid w:val="001E3057"/>
    <w:rsid w:val="001E55CE"/>
    <w:rsid w:val="001E6805"/>
    <w:rsid w:val="001F2512"/>
    <w:rsid w:val="001F4427"/>
    <w:rsid w:val="001F6399"/>
    <w:rsid w:val="0020083C"/>
    <w:rsid w:val="00200D50"/>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5A7B"/>
    <w:rsid w:val="00266AE3"/>
    <w:rsid w:val="00267590"/>
    <w:rsid w:val="00267BC6"/>
    <w:rsid w:val="00271981"/>
    <w:rsid w:val="0027274B"/>
    <w:rsid w:val="0027357D"/>
    <w:rsid w:val="0027457E"/>
    <w:rsid w:val="00275426"/>
    <w:rsid w:val="002803C5"/>
    <w:rsid w:val="002827C8"/>
    <w:rsid w:val="00282FC1"/>
    <w:rsid w:val="00283F46"/>
    <w:rsid w:val="00285AFB"/>
    <w:rsid w:val="00285B7A"/>
    <w:rsid w:val="0028673F"/>
    <w:rsid w:val="00287BBD"/>
    <w:rsid w:val="00290B59"/>
    <w:rsid w:val="00290FAB"/>
    <w:rsid w:val="00291546"/>
    <w:rsid w:val="00292608"/>
    <w:rsid w:val="00293305"/>
    <w:rsid w:val="00293B27"/>
    <w:rsid w:val="0029408E"/>
    <w:rsid w:val="00294B0D"/>
    <w:rsid w:val="00295CC0"/>
    <w:rsid w:val="0029656D"/>
    <w:rsid w:val="002A0078"/>
    <w:rsid w:val="002A0C5C"/>
    <w:rsid w:val="002A3089"/>
    <w:rsid w:val="002A52B5"/>
    <w:rsid w:val="002B02E4"/>
    <w:rsid w:val="002B16A5"/>
    <w:rsid w:val="002B2B9F"/>
    <w:rsid w:val="002B6EDE"/>
    <w:rsid w:val="002B7780"/>
    <w:rsid w:val="002B7C9F"/>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76A"/>
    <w:rsid w:val="00351B52"/>
    <w:rsid w:val="00353054"/>
    <w:rsid w:val="00353868"/>
    <w:rsid w:val="00354838"/>
    <w:rsid w:val="00354923"/>
    <w:rsid w:val="00354C84"/>
    <w:rsid w:val="003565B0"/>
    <w:rsid w:val="00357E48"/>
    <w:rsid w:val="0036087D"/>
    <w:rsid w:val="00360AB0"/>
    <w:rsid w:val="00361B55"/>
    <w:rsid w:val="00362443"/>
    <w:rsid w:val="00364FC7"/>
    <w:rsid w:val="0036534D"/>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26"/>
    <w:rsid w:val="003D0AB3"/>
    <w:rsid w:val="003D22C7"/>
    <w:rsid w:val="003D386A"/>
    <w:rsid w:val="003D4AA6"/>
    <w:rsid w:val="003D7F4A"/>
    <w:rsid w:val="003E2C98"/>
    <w:rsid w:val="003E493C"/>
    <w:rsid w:val="003E4972"/>
    <w:rsid w:val="003E6979"/>
    <w:rsid w:val="003F0317"/>
    <w:rsid w:val="003F3AE3"/>
    <w:rsid w:val="003F69B2"/>
    <w:rsid w:val="003F7715"/>
    <w:rsid w:val="003F7C73"/>
    <w:rsid w:val="00400DBA"/>
    <w:rsid w:val="00401C12"/>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6F6"/>
    <w:rsid w:val="00433793"/>
    <w:rsid w:val="00435740"/>
    <w:rsid w:val="00437FBA"/>
    <w:rsid w:val="0044429D"/>
    <w:rsid w:val="00444BEA"/>
    <w:rsid w:val="00444D1A"/>
    <w:rsid w:val="004458C6"/>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2714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661"/>
    <w:rsid w:val="00560D30"/>
    <w:rsid w:val="00561440"/>
    <w:rsid w:val="0056510F"/>
    <w:rsid w:val="00570818"/>
    <w:rsid w:val="005715E3"/>
    <w:rsid w:val="00572F8E"/>
    <w:rsid w:val="0057571E"/>
    <w:rsid w:val="00583433"/>
    <w:rsid w:val="00584259"/>
    <w:rsid w:val="0059174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1409"/>
    <w:rsid w:val="005D376B"/>
    <w:rsid w:val="005D6EB5"/>
    <w:rsid w:val="005D77E2"/>
    <w:rsid w:val="005E0148"/>
    <w:rsid w:val="005E03D5"/>
    <w:rsid w:val="005E1265"/>
    <w:rsid w:val="005E3844"/>
    <w:rsid w:val="005E4E1C"/>
    <w:rsid w:val="005F0DD1"/>
    <w:rsid w:val="005F16FA"/>
    <w:rsid w:val="005F39D7"/>
    <w:rsid w:val="005F6159"/>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5089F"/>
    <w:rsid w:val="00661912"/>
    <w:rsid w:val="00662775"/>
    <w:rsid w:val="00662E66"/>
    <w:rsid w:val="00665440"/>
    <w:rsid w:val="00670B00"/>
    <w:rsid w:val="00671661"/>
    <w:rsid w:val="0067251E"/>
    <w:rsid w:val="00674C7D"/>
    <w:rsid w:val="00680768"/>
    <w:rsid w:val="00680844"/>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4C4A"/>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542"/>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4781F"/>
    <w:rsid w:val="00751D6B"/>
    <w:rsid w:val="00752F90"/>
    <w:rsid w:val="00756DF0"/>
    <w:rsid w:val="00756EE4"/>
    <w:rsid w:val="007602E8"/>
    <w:rsid w:val="00760DC9"/>
    <w:rsid w:val="00761891"/>
    <w:rsid w:val="007620F5"/>
    <w:rsid w:val="00765717"/>
    <w:rsid w:val="00766B43"/>
    <w:rsid w:val="00766E32"/>
    <w:rsid w:val="007679AD"/>
    <w:rsid w:val="007707CE"/>
    <w:rsid w:val="0077202C"/>
    <w:rsid w:val="00772A7B"/>
    <w:rsid w:val="007730D6"/>
    <w:rsid w:val="00782237"/>
    <w:rsid w:val="0078397D"/>
    <w:rsid w:val="00784E4D"/>
    <w:rsid w:val="007858AA"/>
    <w:rsid w:val="00785BB1"/>
    <w:rsid w:val="00790364"/>
    <w:rsid w:val="0079090C"/>
    <w:rsid w:val="00795BD0"/>
    <w:rsid w:val="007966F3"/>
    <w:rsid w:val="007A059C"/>
    <w:rsid w:val="007A083B"/>
    <w:rsid w:val="007A0A58"/>
    <w:rsid w:val="007A18A5"/>
    <w:rsid w:val="007A4FE2"/>
    <w:rsid w:val="007B03A6"/>
    <w:rsid w:val="007C0B91"/>
    <w:rsid w:val="007C1272"/>
    <w:rsid w:val="007C2984"/>
    <w:rsid w:val="007C4328"/>
    <w:rsid w:val="007C73CB"/>
    <w:rsid w:val="007D2412"/>
    <w:rsid w:val="007D56B7"/>
    <w:rsid w:val="007E165E"/>
    <w:rsid w:val="007E39B7"/>
    <w:rsid w:val="007E39DD"/>
    <w:rsid w:val="007E5B44"/>
    <w:rsid w:val="007F0312"/>
    <w:rsid w:val="007F17D9"/>
    <w:rsid w:val="007F2CD5"/>
    <w:rsid w:val="007F454B"/>
    <w:rsid w:val="007F7B45"/>
    <w:rsid w:val="008004D3"/>
    <w:rsid w:val="00801496"/>
    <w:rsid w:val="00801D5B"/>
    <w:rsid w:val="0080309C"/>
    <w:rsid w:val="008033C7"/>
    <w:rsid w:val="008060E6"/>
    <w:rsid w:val="00807535"/>
    <w:rsid w:val="008102AC"/>
    <w:rsid w:val="00810FEC"/>
    <w:rsid w:val="00812B7D"/>
    <w:rsid w:val="008135A9"/>
    <w:rsid w:val="00814890"/>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0E64"/>
    <w:rsid w:val="008516D3"/>
    <w:rsid w:val="008529E3"/>
    <w:rsid w:val="00854FFC"/>
    <w:rsid w:val="00855946"/>
    <w:rsid w:val="00856C93"/>
    <w:rsid w:val="00860003"/>
    <w:rsid w:val="0086097C"/>
    <w:rsid w:val="00861283"/>
    <w:rsid w:val="0086422B"/>
    <w:rsid w:val="00864C91"/>
    <w:rsid w:val="00872569"/>
    <w:rsid w:val="00875BEC"/>
    <w:rsid w:val="008769B5"/>
    <w:rsid w:val="00880585"/>
    <w:rsid w:val="00885E49"/>
    <w:rsid w:val="008867E6"/>
    <w:rsid w:val="00890F1A"/>
    <w:rsid w:val="00896624"/>
    <w:rsid w:val="00897E70"/>
    <w:rsid w:val="008A096F"/>
    <w:rsid w:val="008A7E3B"/>
    <w:rsid w:val="008B1E2D"/>
    <w:rsid w:val="008B41FD"/>
    <w:rsid w:val="008C48D5"/>
    <w:rsid w:val="008C4DC5"/>
    <w:rsid w:val="008C62EC"/>
    <w:rsid w:val="008D3C05"/>
    <w:rsid w:val="008D59EE"/>
    <w:rsid w:val="008D67B3"/>
    <w:rsid w:val="008E164C"/>
    <w:rsid w:val="008E56AE"/>
    <w:rsid w:val="008E69D5"/>
    <w:rsid w:val="008E702A"/>
    <w:rsid w:val="008F29E6"/>
    <w:rsid w:val="008F5835"/>
    <w:rsid w:val="00902C41"/>
    <w:rsid w:val="00904791"/>
    <w:rsid w:val="00904DAF"/>
    <w:rsid w:val="0090592E"/>
    <w:rsid w:val="0090594D"/>
    <w:rsid w:val="009061BD"/>
    <w:rsid w:val="0090787E"/>
    <w:rsid w:val="009101E1"/>
    <w:rsid w:val="009112B4"/>
    <w:rsid w:val="00911826"/>
    <w:rsid w:val="009119B9"/>
    <w:rsid w:val="009130AC"/>
    <w:rsid w:val="009133B1"/>
    <w:rsid w:val="00916332"/>
    <w:rsid w:val="009227FB"/>
    <w:rsid w:val="009301F1"/>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5DC"/>
    <w:rsid w:val="009739B1"/>
    <w:rsid w:val="00977847"/>
    <w:rsid w:val="00980206"/>
    <w:rsid w:val="00981DD3"/>
    <w:rsid w:val="009850D8"/>
    <w:rsid w:val="009856E2"/>
    <w:rsid w:val="00985AF1"/>
    <w:rsid w:val="00993716"/>
    <w:rsid w:val="00995540"/>
    <w:rsid w:val="00997C93"/>
    <w:rsid w:val="00997FBC"/>
    <w:rsid w:val="009A04CB"/>
    <w:rsid w:val="009A23A8"/>
    <w:rsid w:val="009A304A"/>
    <w:rsid w:val="009A6604"/>
    <w:rsid w:val="009B003A"/>
    <w:rsid w:val="009B0C28"/>
    <w:rsid w:val="009B3151"/>
    <w:rsid w:val="009B4239"/>
    <w:rsid w:val="009B4F12"/>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454"/>
    <w:rsid w:val="00A25FD9"/>
    <w:rsid w:val="00A309C7"/>
    <w:rsid w:val="00A33272"/>
    <w:rsid w:val="00A3492E"/>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77ACA"/>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3E0"/>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1701A"/>
    <w:rsid w:val="00B22584"/>
    <w:rsid w:val="00B236BE"/>
    <w:rsid w:val="00B246E6"/>
    <w:rsid w:val="00B3038B"/>
    <w:rsid w:val="00B33570"/>
    <w:rsid w:val="00B36616"/>
    <w:rsid w:val="00B3723F"/>
    <w:rsid w:val="00B37D68"/>
    <w:rsid w:val="00B45046"/>
    <w:rsid w:val="00B45EFB"/>
    <w:rsid w:val="00B45F25"/>
    <w:rsid w:val="00B5442F"/>
    <w:rsid w:val="00B54471"/>
    <w:rsid w:val="00B615A9"/>
    <w:rsid w:val="00B62E22"/>
    <w:rsid w:val="00B649CA"/>
    <w:rsid w:val="00B652F4"/>
    <w:rsid w:val="00B678BC"/>
    <w:rsid w:val="00B71A29"/>
    <w:rsid w:val="00B7251D"/>
    <w:rsid w:val="00B73DBF"/>
    <w:rsid w:val="00B80F79"/>
    <w:rsid w:val="00B81DE7"/>
    <w:rsid w:val="00B83464"/>
    <w:rsid w:val="00B8389D"/>
    <w:rsid w:val="00B843CE"/>
    <w:rsid w:val="00B851B6"/>
    <w:rsid w:val="00B87242"/>
    <w:rsid w:val="00B87720"/>
    <w:rsid w:val="00B877BD"/>
    <w:rsid w:val="00B87B9F"/>
    <w:rsid w:val="00B9162E"/>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3A47"/>
    <w:rsid w:val="00C0406E"/>
    <w:rsid w:val="00C0456A"/>
    <w:rsid w:val="00C11A46"/>
    <w:rsid w:val="00C14F24"/>
    <w:rsid w:val="00C168A2"/>
    <w:rsid w:val="00C16ECD"/>
    <w:rsid w:val="00C17D21"/>
    <w:rsid w:val="00C2528A"/>
    <w:rsid w:val="00C25504"/>
    <w:rsid w:val="00C30041"/>
    <w:rsid w:val="00C35E8E"/>
    <w:rsid w:val="00C369E6"/>
    <w:rsid w:val="00C37965"/>
    <w:rsid w:val="00C41B48"/>
    <w:rsid w:val="00C41DAD"/>
    <w:rsid w:val="00C4257C"/>
    <w:rsid w:val="00C42959"/>
    <w:rsid w:val="00C51D7C"/>
    <w:rsid w:val="00C520A5"/>
    <w:rsid w:val="00C53FE3"/>
    <w:rsid w:val="00C54367"/>
    <w:rsid w:val="00C550FA"/>
    <w:rsid w:val="00C56D94"/>
    <w:rsid w:val="00C61B98"/>
    <w:rsid w:val="00C61F6B"/>
    <w:rsid w:val="00C62BAC"/>
    <w:rsid w:val="00C65F45"/>
    <w:rsid w:val="00C70E02"/>
    <w:rsid w:val="00C7202B"/>
    <w:rsid w:val="00C73D4D"/>
    <w:rsid w:val="00C76023"/>
    <w:rsid w:val="00C76D84"/>
    <w:rsid w:val="00C81D75"/>
    <w:rsid w:val="00C8395B"/>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6B9"/>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36E8C"/>
    <w:rsid w:val="00D442B8"/>
    <w:rsid w:val="00D44F40"/>
    <w:rsid w:val="00D46F48"/>
    <w:rsid w:val="00D479EE"/>
    <w:rsid w:val="00D47C84"/>
    <w:rsid w:val="00D5001B"/>
    <w:rsid w:val="00D509BA"/>
    <w:rsid w:val="00D543B5"/>
    <w:rsid w:val="00D54E6D"/>
    <w:rsid w:val="00D55DD7"/>
    <w:rsid w:val="00D5712C"/>
    <w:rsid w:val="00D60900"/>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5566"/>
    <w:rsid w:val="00DB79DE"/>
    <w:rsid w:val="00DB7C5C"/>
    <w:rsid w:val="00DC2A14"/>
    <w:rsid w:val="00DC3C26"/>
    <w:rsid w:val="00DC44A4"/>
    <w:rsid w:val="00DC6B1A"/>
    <w:rsid w:val="00DC7036"/>
    <w:rsid w:val="00DD0CD9"/>
    <w:rsid w:val="00DD212A"/>
    <w:rsid w:val="00DD2910"/>
    <w:rsid w:val="00DD2A85"/>
    <w:rsid w:val="00DD3FEF"/>
    <w:rsid w:val="00DD5FA2"/>
    <w:rsid w:val="00DE3B13"/>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09DF"/>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14E"/>
    <w:rsid w:val="00E876A9"/>
    <w:rsid w:val="00E92667"/>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515F"/>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077DE"/>
    <w:rsid w:val="00F1274D"/>
    <w:rsid w:val="00F12894"/>
    <w:rsid w:val="00F1462D"/>
    <w:rsid w:val="00F16FEB"/>
    <w:rsid w:val="00F175E6"/>
    <w:rsid w:val="00F22097"/>
    <w:rsid w:val="00F24950"/>
    <w:rsid w:val="00F26F9A"/>
    <w:rsid w:val="00F3041E"/>
    <w:rsid w:val="00F30DD2"/>
    <w:rsid w:val="00F311C9"/>
    <w:rsid w:val="00F31C5B"/>
    <w:rsid w:val="00F37066"/>
    <w:rsid w:val="00F370B5"/>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0F2F"/>
    <w:rsid w:val="00FA752D"/>
    <w:rsid w:val="00FA781B"/>
    <w:rsid w:val="00FB26DA"/>
    <w:rsid w:val="00FB3695"/>
    <w:rsid w:val="00FB4D4B"/>
    <w:rsid w:val="00FC058B"/>
    <w:rsid w:val="00FC09A7"/>
    <w:rsid w:val="00FC3DB6"/>
    <w:rsid w:val="00FC4ACD"/>
    <w:rsid w:val="00FC78B0"/>
    <w:rsid w:val="00FD0FC6"/>
    <w:rsid w:val="00FD1861"/>
    <w:rsid w:val="00FD1B0D"/>
    <w:rsid w:val="00FD4B95"/>
    <w:rsid w:val="00FD4DBD"/>
    <w:rsid w:val="00FE0824"/>
    <w:rsid w:val="00FE19F6"/>
    <w:rsid w:val="00FE3D2B"/>
    <w:rsid w:val="00FE50A0"/>
    <w:rsid w:val="00FE7E97"/>
    <w:rsid w:val="00FF0353"/>
    <w:rsid w:val="00FF0379"/>
    <w:rsid w:val="00FF103F"/>
    <w:rsid w:val="00FF1606"/>
    <w:rsid w:val="00FF166D"/>
    <w:rsid w:val="00FF4A0A"/>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6"/>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25"/>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image" Target="media/image12.wmf"/><Relationship Id="rId21" Type="http://schemas.openxmlformats.org/officeDocument/2006/relationships/hyperlink" Target="https://jade.io/article/281812/section/246337"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hyperlink" Target="https://files.justice.vic.gov.au/2022-05/Youth%20Justice%20Reform%20Act%20Review%20Report%20%282022%29.pdf" TargetMode="External"/><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hyperlink" Target="http://www.crimestatistics.vic.gov.au" TargetMode="External"/><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image" Target="media/image7.svg"/><Relationship Id="rId35" Type="http://schemas.openxmlformats.org/officeDocument/2006/relationships/hyperlink" Target="https://yoorrookforjustice.org.au/wp-content/uploads/2023/08/Yoorrook-for-justice-report.pdf" TargetMode="External"/><Relationship Id="rId8" Type="http://schemas.openxmlformats.org/officeDocument/2006/relationships/hyperlink" Target="https://www.gotocourt.com.au/criminal-law/vic/personal-searches/" TargetMode="External"/><Relationship Id="rId3" Type="http://schemas.openxmlformats.org/officeDocument/2006/relationships/styles" Target="styl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8.png"/><Relationship Id="rId3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37799</Words>
  <Characters>215460</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252754</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2026-06-24T23:51:00Z</cp:lastPrinted>
  <dcterms:created xsi:type="dcterms:W3CDTF">2026-07-01T02:39:00Z</dcterms:created>
  <dcterms:modified xsi:type="dcterms:W3CDTF">2026-07-01T02:39:00Z</dcterms:modified>
</cp:coreProperties>
</file>