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2238DAF1"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3_Consequence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614CAF06"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_1"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57E40AD0" w14:textId="61EF1B0A"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1_Objection_by"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1</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Objection by child/parent to summary jurisdiction</w:t>
        </w:r>
      </w:hyperlink>
    </w:p>
    <w:p w14:paraId="20B6AEF2" w14:textId="45919E3F"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2_Availability_of"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Availability of summary jurisdiction [offences from 05/04/2018 to 26/02/2026]</w:t>
        </w:r>
      </w:hyperlink>
    </w:p>
    <w:p w14:paraId="3A41C8F9" w14:textId="2D3557A9"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3_Availability_of" w:history="1">
        <w:r w:rsidRPr="00E25B40">
          <w:rPr>
            <w:rStyle w:val="Hyperlink"/>
            <w:rFonts w:ascii="Arial" w:hAnsi="Arial" w:cs="Arial"/>
            <w:b/>
            <w:bCs/>
            <w:color w:val="0000FF"/>
            <w:sz w:val="20"/>
            <w:u w:val="none"/>
          </w:rPr>
          <w:t>10.1.</w:t>
        </w:r>
        <w:r w:rsidR="00647A44">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sidR="00647A44">
          <w:rPr>
            <w:rStyle w:val="Hyperlink"/>
            <w:rFonts w:ascii="Arial" w:hAnsi="Arial" w:cs="Arial"/>
            <w:b/>
            <w:bCs/>
            <w:color w:val="0000FF"/>
            <w:sz w:val="20"/>
            <w:u w:val="none"/>
          </w:rPr>
          <w:t xml:space="preserve">Availability of summary jurisdiction [offences </w:t>
        </w:r>
        <w:r w:rsidR="00D5289E">
          <w:rPr>
            <w:rStyle w:val="Hyperlink"/>
            <w:rFonts w:ascii="Arial" w:hAnsi="Arial" w:cs="Arial"/>
            <w:b/>
            <w:bCs/>
            <w:color w:val="0000FF"/>
            <w:sz w:val="20"/>
            <w:u w:val="none"/>
          </w:rPr>
          <w:t xml:space="preserve">committed </w:t>
        </w:r>
        <w:r w:rsidR="00647A44">
          <w:rPr>
            <w:rStyle w:val="Hyperlink"/>
            <w:rFonts w:ascii="Arial" w:hAnsi="Arial" w:cs="Arial"/>
            <w:b/>
            <w:bCs/>
            <w:color w:val="0000FF"/>
            <w:sz w:val="20"/>
            <w:u w:val="none"/>
          </w:rPr>
          <w:t>from 27/02/2026]</w:t>
        </w:r>
      </w:hyperlink>
    </w:p>
    <w:bookmarkStart w:id="20" w:name="_10.1.3_Summary_of_1"/>
    <w:bookmarkEnd w:id="20"/>
    <w:p w14:paraId="629C3768" w14:textId="51160AF0"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008D34DA">
        <w:instrText>HYPERLINK  \l "_10.1.4_Whether_Uplift_1"</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w:t>
      </w:r>
      <w:r w:rsidR="008D34DA">
        <w:rPr>
          <w:rStyle w:val="Hyperlink"/>
          <w:rFonts w:ascii="Arial" w:hAnsi="Arial" w:cs="Arial"/>
          <w:b/>
          <w:bCs/>
          <w:color w:val="0000FF"/>
          <w:sz w:val="20"/>
          <w:u w:val="none"/>
        </w:rPr>
        <w:t>lating to s.356 CYFA</w:t>
      </w:r>
      <w:r w:rsidRPr="00E25B40">
        <w:fldChar w:fldCharType="end"/>
      </w:r>
    </w:p>
    <w:p w14:paraId="1E06709E" w14:textId="7CEDA195"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8D34DA">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r w:rsidR="008D34DA">
        <w:rPr>
          <w:rStyle w:val="Hyperlink"/>
          <w:rFonts w:ascii="Arial" w:hAnsi="Arial" w:cs="Arial"/>
          <w:b/>
          <w:bCs/>
          <w:color w:val="0000FF"/>
          <w:sz w:val="20"/>
          <w:u w:val="none"/>
        </w:rPr>
        <w:t xml:space="preserve"> [s.356A CYFA]</w:t>
      </w:r>
    </w:p>
    <w:bookmarkStart w:id="21" w:name="_10.1.6_Transfer_back"/>
    <w:bookmarkEnd w:id="21"/>
    <w:p w14:paraId="781B1D16" w14:textId="20599911"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FB5E5A">
        <w:rPr>
          <w:rStyle w:val="Hyperlink"/>
          <w:rFonts w:ascii="Arial" w:hAnsi="Arial" w:cs="Arial"/>
          <w:b/>
          <w:bCs/>
          <w:color w:val="0000FF"/>
          <w:sz w:val="20"/>
          <w:u w:val="none"/>
        </w:rPr>
        <w:t>Charges t</w:t>
      </w:r>
      <w:r w:rsidR="00063D41" w:rsidRPr="00E25B40">
        <w:rPr>
          <w:rStyle w:val="Hyperlink"/>
          <w:rFonts w:ascii="Arial" w:hAnsi="Arial" w:cs="Arial"/>
          <w:b/>
          <w:bCs/>
          <w:color w:val="0000FF"/>
          <w:sz w:val="20"/>
          <w:u w:val="none"/>
        </w:rPr>
        <w:t>ransfer</w:t>
      </w:r>
      <w:r w:rsidR="00FB5E5A">
        <w:rPr>
          <w:rStyle w:val="Hyperlink"/>
          <w:rFonts w:ascii="Arial" w:hAnsi="Arial" w:cs="Arial"/>
          <w:b/>
          <w:bCs/>
          <w:color w:val="0000FF"/>
          <w:sz w:val="20"/>
          <w:u w:val="none"/>
        </w:rPr>
        <w:t>red</w:t>
      </w:r>
      <w:r w:rsidR="00063D41" w:rsidRPr="00E25B40">
        <w:rPr>
          <w:rStyle w:val="Hyperlink"/>
          <w:rFonts w:ascii="Arial" w:hAnsi="Arial" w:cs="Arial"/>
          <w:b/>
          <w:bCs/>
          <w:color w:val="0000FF"/>
          <w:sz w:val="20"/>
          <w:u w:val="none"/>
        </w:rPr>
        <w:t xml:space="preserve"> back from Supreme or County Court to Children’s Court</w:t>
      </w:r>
    </w:p>
    <w:p w14:paraId="1C942F1A" w14:textId="40F02CEE"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 xml:space="preserve">of a </w:t>
      </w:r>
      <w:r w:rsidR="00DB233C">
        <w:rPr>
          <w:rStyle w:val="Hyperlink"/>
          <w:rFonts w:ascii="Arial" w:hAnsi="Arial" w:cs="Arial"/>
          <w:b/>
          <w:bCs/>
          <w:color w:val="0000FF"/>
          <w:sz w:val="20"/>
          <w:u w:val="none"/>
        </w:rPr>
        <w:t xml:space="preserve">charge for a </w:t>
      </w:r>
      <w:r w:rsidR="00507B6B">
        <w:rPr>
          <w:rStyle w:val="Hyperlink"/>
          <w:rFonts w:ascii="Arial" w:hAnsi="Arial" w:cs="Arial"/>
          <w:b/>
          <w:bCs/>
          <w:color w:val="0000FF"/>
          <w:sz w:val="20"/>
          <w:u w:val="none"/>
        </w:rPr>
        <w:t>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2FE6549E"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2D1DA2">
          <w:rPr>
            <w:rStyle w:val="Hyperlink"/>
            <w:rFonts w:ascii="Arial" w:hAnsi="Arial" w:cs="Arial"/>
            <w:b/>
            <w:bCs/>
            <w:color w:val="0000FF"/>
            <w:sz w:val="20"/>
            <w:u w:val="none"/>
          </w:rPr>
          <w:t>s</w:t>
        </w:r>
        <w:r w:rsidR="002D1DA2" w:rsidRPr="002D1DA2">
          <w:t xml:space="preserve"> </w:t>
        </w:r>
        <w:r w:rsidR="002D1DA2" w:rsidRPr="002D1DA2">
          <w:rPr>
            <w:rStyle w:val="Hyperlink"/>
            <w:rFonts w:ascii="Arial" w:hAnsi="Arial" w:cs="Arial"/>
            <w:b/>
            <w:bCs/>
            <w:color w:val="0000FF"/>
            <w:sz w:val="20"/>
            <w:u w:val="none"/>
          </w:rPr>
          <w:t xml:space="preserve">of </w:t>
        </w:r>
        <w:r w:rsidR="002D1DA2">
          <w:rPr>
            <w:rStyle w:val="Hyperlink"/>
            <w:rFonts w:ascii="Arial" w:hAnsi="Arial" w:cs="Arial"/>
            <w:b/>
            <w:bCs/>
            <w:color w:val="0000FF"/>
            <w:sz w:val="20"/>
            <w:u w:val="none"/>
          </w:rPr>
          <w:t xml:space="preserve">a </w:t>
        </w:r>
        <w:r w:rsidR="002D1DA2" w:rsidRPr="002D1DA2">
          <w:rPr>
            <w:rStyle w:val="Hyperlink"/>
            <w:rFonts w:ascii="Arial" w:hAnsi="Arial" w:cs="Arial"/>
            <w:b/>
            <w:bCs/>
            <w:color w:val="0000FF"/>
            <w:sz w:val="20"/>
            <w:u w:val="none"/>
          </w:rPr>
          <w:t>committal proceeding</w:t>
        </w:r>
      </w:hyperlink>
    </w:p>
    <w:p w14:paraId="561D80E5" w14:textId="4AEA3750"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sidR="002D1DA2">
          <w:rPr>
            <w:rStyle w:val="Hyperlink"/>
            <w:rFonts w:ascii="Arial" w:hAnsi="Arial" w:cs="Arial"/>
            <w:b/>
            <w:bCs/>
            <w:color w:val="0000FF"/>
            <w:sz w:val="20"/>
            <w:u w:val="none"/>
          </w:rPr>
          <w:t>Nature of a committal proceeding and committal test before 28 December 2025</w:t>
        </w:r>
      </w:hyperlink>
    </w:p>
    <w:p w14:paraId="4C5EC64C" w14:textId="09BD1781" w:rsidR="00293DFE" w:rsidRPr="00E25B40" w:rsidRDefault="00293DFE" w:rsidP="00293DF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3_Nature_of"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Nature of a committal proceeding commenced on or after 28 December 2025</w:t>
        </w:r>
      </w:hyperlink>
    </w:p>
    <w:p w14:paraId="44E6C09C" w14:textId="440460F3"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w:t>
        </w:r>
        <w:r w:rsidR="00293DFE">
          <w:rPr>
            <w:rStyle w:val="Hyperlink"/>
            <w:rFonts w:ascii="Arial" w:hAnsi="Arial" w:cs="Arial"/>
            <w:b/>
            <w:bCs/>
            <w:color w:val="0000FF"/>
            <w:sz w:val="20"/>
            <w:u w:val="none"/>
          </w:rPr>
          <w:t>e in a committal proceeding</w:t>
        </w:r>
      </w:hyperlink>
    </w:p>
    <w:p w14:paraId="0D64DEAB" w14:textId="189BDACB"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_1"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w:t>
        </w:r>
      </w:hyperlink>
    </w:p>
    <w:p w14:paraId="1338534A" w14:textId="77777777" w:rsidR="002D1DA2" w:rsidRPr="00E25B40" w:rsidRDefault="002D1DA2" w:rsidP="002D1DA2">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Joint committal proceedings for adult and child co-accused</w:t>
        </w:r>
      </w:hyperlink>
    </w:p>
    <w:p w14:paraId="6A58F5FA" w14:textId="38787C78" w:rsidR="00293DFE" w:rsidRPr="009E1DB0" w:rsidRDefault="00293DFE" w:rsidP="00293DF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w:t>
        </w:r>
        <w:r>
          <w:rPr>
            <w:rStyle w:val="Hyperlink"/>
            <w:rFonts w:ascii="Arial" w:hAnsi="Arial" w:cs="Arial"/>
            <w:b/>
            <w:bCs/>
            <w:color w:val="0000FF"/>
            <w:sz w:val="20"/>
            <w:u w:val="none"/>
          </w:rPr>
          <w:t>7</w:t>
        </w:r>
        <w:r w:rsidRPr="009E1DB0">
          <w:rPr>
            <w:rStyle w:val="Hyperlink"/>
            <w:rFonts w:ascii="Arial" w:hAnsi="Arial" w:cs="Arial"/>
            <w:b/>
            <w:bCs/>
            <w:color w:val="0000FF"/>
            <w:sz w:val="20"/>
            <w:u w:val="none"/>
          </w:rPr>
          <w:tab/>
        </w:r>
        <w:r>
          <w:rPr>
            <w:rStyle w:val="Hyperlink"/>
            <w:rFonts w:ascii="Arial" w:hAnsi="Arial" w:cs="Arial"/>
            <w:b/>
            <w:bCs/>
            <w:color w:val="0000FF"/>
            <w:sz w:val="20"/>
            <w:u w:val="none"/>
          </w:rPr>
          <w:t>Early committal for trial in</w:t>
        </w:r>
        <w:r w:rsidRPr="009E1DB0">
          <w:rPr>
            <w:rStyle w:val="Hyperlink"/>
            <w:rFonts w:ascii="Arial" w:hAnsi="Arial" w:cs="Arial"/>
            <w:b/>
            <w:bCs/>
            <w:color w:val="0000FF"/>
            <w:sz w:val="20"/>
            <w:u w:val="none"/>
          </w:rPr>
          <w:t xml:space="preserve"> the Supreme Court</w:t>
        </w:r>
      </w:hyperlink>
    </w:p>
    <w:p w14:paraId="49687280" w14:textId="406699C6" w:rsidR="00D7335E" w:rsidRDefault="007B015D">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hyperlink w:anchor="_10.2.7_Taking_evidenc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8</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368B34F5" w14:textId="222DDA3D"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w:t>
        </w:r>
        <w:r w:rsidR="00293DFE">
          <w:rPr>
            <w:rStyle w:val="Hyperlink"/>
            <w:rFonts w:ascii="Arial" w:hAnsi="Arial" w:cs="Arial"/>
            <w:b/>
            <w:bCs/>
            <w:color w:val="0000FF"/>
            <w:sz w:val="20"/>
            <w:u w:val="none"/>
          </w:rPr>
          <w:t>hildren’s Court c</w:t>
        </w:r>
        <w:r w:rsidRPr="000240C3">
          <w:rPr>
            <w:rStyle w:val="Hyperlink"/>
            <w:rFonts w:ascii="Arial" w:hAnsi="Arial" w:cs="Arial"/>
            <w:b/>
            <w:bCs/>
            <w:color w:val="0000FF"/>
            <w:sz w:val="20"/>
            <w:u w:val="none"/>
          </w:rPr>
          <w:t>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Non-compliance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Pre-conditions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 xml:space="preserve">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r>
        <w:rPr>
          <w:rFonts w:ascii="Arial" w:hAnsi="Arial" w:cs="Arial"/>
          <w:sz w:val="20"/>
        </w:rPr>
        <w:t>However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viewed, but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decided to re-examine. Common sense was jettisoned. This was an unnecessary and hazardous course. The prosecutor responded to defence counsel’s mild suggestion that the complainant was ‘making up’ his evidence, and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Pr="00FB0A70" w:rsidRDefault="00FF0BB4" w:rsidP="00FF0BB4">
      <w:pPr>
        <w:jc w:val="both"/>
        <w:rPr>
          <w:rFonts w:ascii="Arial" w:hAnsi="Arial" w:cs="Arial"/>
          <w:sz w:val="16"/>
          <w:szCs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Indeed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Pr="00FB0A70" w:rsidRDefault="0093352C" w:rsidP="00FF0BB4">
      <w:pPr>
        <w:jc w:val="both"/>
        <w:rPr>
          <w:rFonts w:ascii="Arial" w:hAnsi="Arial" w:cs="Arial"/>
          <w:sz w:val="16"/>
          <w:szCs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border controlled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129BECDE"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Pr="00FB0A70" w:rsidRDefault="00FF0BB4" w:rsidP="00FF0BB4">
      <w:pPr>
        <w:rPr>
          <w:rFonts w:ascii="Arial" w:hAnsi="Arial" w:cs="Arial"/>
          <w:sz w:val="16"/>
          <w:szCs w:val="16"/>
        </w:rPr>
      </w:pPr>
    </w:p>
    <w:p w14:paraId="684A877D" w14:textId="77777777" w:rsidR="00C22153" w:rsidRDefault="00C22153" w:rsidP="00C22153">
      <w:pPr>
        <w:jc w:val="both"/>
        <w:rPr>
          <w:rFonts w:ascii="Arial" w:hAnsi="Arial" w:cs="Arial"/>
          <w:sz w:val="20"/>
          <w:szCs w:val="20"/>
        </w:rPr>
      </w:pPr>
      <w:bookmarkStart w:id="48" w:name="_Hlk216425275"/>
      <w:r>
        <w:rPr>
          <w:rFonts w:ascii="Arial" w:hAnsi="Arial" w:cs="Arial"/>
          <w:sz w:val="20"/>
          <w:szCs w:val="20"/>
        </w:rPr>
        <w:t xml:space="preserve">In </w:t>
      </w:r>
      <w:r w:rsidRPr="00EF5A1C">
        <w:rPr>
          <w:rFonts w:ascii="Arial" w:hAnsi="Arial" w:cs="Arial"/>
          <w:i/>
          <w:iCs/>
          <w:sz w:val="20"/>
          <w:szCs w:val="20"/>
        </w:rPr>
        <w:t>Lynn v The King</w:t>
      </w:r>
      <w:r>
        <w:rPr>
          <w:rFonts w:ascii="Arial" w:hAnsi="Arial" w:cs="Arial"/>
          <w:sz w:val="20"/>
          <w:szCs w:val="20"/>
        </w:rPr>
        <w:t xml:space="preserve"> [2025] VSCA 315 a jury had found the applicant, then aged 53, guilty of the murder of a neighbouring camper, Mrs C, at a Victorian high country campsite and not guilty of the murder of her friend, Mr H. The applicant had told police that–</w:t>
      </w:r>
    </w:p>
    <w:p w14:paraId="0E3CC5DE" w14:textId="77777777" w:rsidR="00C22153" w:rsidRPr="00EF5A1C" w:rsidRDefault="00C22153" w:rsidP="00C22153">
      <w:pPr>
        <w:numPr>
          <w:ilvl w:val="0"/>
          <w:numId w:val="60"/>
        </w:numPr>
        <w:ind w:left="357" w:hanging="357"/>
        <w:jc w:val="both"/>
        <w:rPr>
          <w:rFonts w:ascii="Arial" w:hAnsi="Arial" w:cs="Arial"/>
          <w:sz w:val="20"/>
        </w:rPr>
      </w:pPr>
      <w:r>
        <w:rPr>
          <w:rFonts w:ascii="Arial" w:hAnsi="Arial" w:cs="Arial"/>
          <w:sz w:val="20"/>
          <w:szCs w:val="20"/>
        </w:rPr>
        <w:t>Mrs C had suffered a fatal gunshot to the head when the 12 gauge shotgun that he and Mr H were struggling over accidentally discharged; and</w:t>
      </w:r>
    </w:p>
    <w:p w14:paraId="4C7F8800" w14:textId="77777777" w:rsidR="00C22153" w:rsidRDefault="00C22153" w:rsidP="00C22153">
      <w:pPr>
        <w:numPr>
          <w:ilvl w:val="0"/>
          <w:numId w:val="60"/>
        </w:numPr>
        <w:ind w:left="357" w:hanging="357"/>
        <w:jc w:val="both"/>
        <w:rPr>
          <w:rFonts w:ascii="Arial" w:hAnsi="Arial" w:cs="Arial"/>
          <w:sz w:val="20"/>
        </w:rPr>
      </w:pPr>
      <w:r w:rsidRPr="00EF5A1C">
        <w:rPr>
          <w:rFonts w:ascii="Arial" w:hAnsi="Arial" w:cs="Arial"/>
          <w:sz w:val="20"/>
          <w:szCs w:val="20"/>
        </w:rPr>
        <w:t xml:space="preserve">Mr H was also killed by accident, suffering a fatal knife wound when he fell on a knife as the two </w:t>
      </w:r>
      <w:r>
        <w:rPr>
          <w:rFonts w:ascii="Arial" w:hAnsi="Arial" w:cs="Arial"/>
          <w:sz w:val="20"/>
          <w:szCs w:val="20"/>
        </w:rPr>
        <w:t xml:space="preserve">men </w:t>
      </w:r>
      <w:r w:rsidRPr="00EF5A1C">
        <w:rPr>
          <w:rFonts w:ascii="Arial" w:hAnsi="Arial" w:cs="Arial"/>
          <w:sz w:val="20"/>
          <w:szCs w:val="20"/>
        </w:rPr>
        <w:t>subsequently wrestled.</w:t>
      </w:r>
    </w:p>
    <w:p w14:paraId="5391443C" w14:textId="77777777" w:rsidR="00C22153" w:rsidRDefault="00C22153" w:rsidP="00C22153">
      <w:pPr>
        <w:spacing w:before="60"/>
        <w:jc w:val="both"/>
        <w:rPr>
          <w:rFonts w:ascii="Arial" w:hAnsi="Arial" w:cs="Arial"/>
          <w:sz w:val="20"/>
          <w:szCs w:val="20"/>
        </w:rPr>
      </w:pPr>
      <w:r>
        <w:rPr>
          <w:rFonts w:ascii="Arial" w:hAnsi="Arial" w:cs="Arial"/>
          <w:sz w:val="20"/>
          <w:szCs w:val="20"/>
        </w:rPr>
        <w:lastRenderedPageBreak/>
        <w:t xml:space="preserve">The applicant then set about </w:t>
      </w:r>
      <w:r w:rsidRPr="00EF5A1C">
        <w:rPr>
          <w:rFonts w:ascii="Arial" w:hAnsi="Arial" w:cs="Arial"/>
          <w:sz w:val="20"/>
          <w:szCs w:val="20"/>
        </w:rPr>
        <w:t>destroying every piece of evidence that might objectively have supported his innocence</w:t>
      </w:r>
      <w:r>
        <w:rPr>
          <w:rFonts w:ascii="Arial" w:hAnsi="Arial" w:cs="Arial"/>
          <w:sz w:val="20"/>
          <w:szCs w:val="20"/>
        </w:rPr>
        <w:t xml:space="preserve">, including the bodies of Mrs C &amp; Mr H: see [4]. The applicant’s account to police is summarised in the Court of Appeal judgment at [24]-[25]. In a number of respects the forensic evidence was </w:t>
      </w:r>
      <w:r w:rsidRPr="00FB0A70">
        <w:rPr>
          <w:rFonts w:ascii="Arial" w:hAnsi="Arial" w:cs="Arial"/>
          <w:sz w:val="20"/>
          <w:szCs w:val="20"/>
        </w:rPr>
        <w:t>consistent with both the prosecution and defence cases as to how Mrs C was killed</w:t>
      </w:r>
      <w:r>
        <w:rPr>
          <w:rFonts w:ascii="Arial" w:hAnsi="Arial" w:cs="Arial"/>
          <w:sz w:val="20"/>
          <w:szCs w:val="20"/>
        </w:rPr>
        <w:t xml:space="preserve"> but there was no </w:t>
      </w:r>
      <w:r w:rsidRPr="00FB0A70">
        <w:rPr>
          <w:rFonts w:ascii="Arial" w:hAnsi="Arial" w:cs="Arial"/>
          <w:sz w:val="20"/>
          <w:szCs w:val="20"/>
        </w:rPr>
        <w:t>objective forensic evidence demonstrating how Mr H died.</w:t>
      </w:r>
      <w:r>
        <w:rPr>
          <w:rFonts w:ascii="Arial" w:hAnsi="Arial" w:cs="Arial"/>
          <w:sz w:val="20"/>
          <w:szCs w:val="20"/>
        </w:rPr>
        <w:t xml:space="preserve"> </w:t>
      </w:r>
      <w:r w:rsidRPr="00FB0A70">
        <w:rPr>
          <w:rFonts w:ascii="Arial" w:hAnsi="Arial" w:cs="Arial"/>
          <w:sz w:val="20"/>
          <w:szCs w:val="20"/>
        </w:rPr>
        <w:t>The applicant gave evidence in his own defence. Essentially, his account of how Mr H and Mrs C were killed, and his reasons for taking the steps he took subsequently to distance himself from their deaths, mirrored his account in the police interview</w:t>
      </w:r>
      <w:r>
        <w:rPr>
          <w:rFonts w:ascii="Arial" w:hAnsi="Arial" w:cs="Arial"/>
          <w:sz w:val="20"/>
          <w:szCs w:val="20"/>
        </w:rPr>
        <w:t>.</w:t>
      </w:r>
    </w:p>
    <w:p w14:paraId="06F3A2A5" w14:textId="6BC4E637" w:rsidR="00C22153" w:rsidRDefault="00C22153" w:rsidP="00C22153">
      <w:pPr>
        <w:spacing w:before="60"/>
        <w:jc w:val="both"/>
        <w:rPr>
          <w:rFonts w:ascii="Arial" w:hAnsi="Arial" w:cs="Arial"/>
          <w:sz w:val="20"/>
          <w:szCs w:val="20"/>
        </w:rPr>
      </w:pPr>
      <w:r>
        <w:rPr>
          <w:rFonts w:ascii="Arial" w:hAnsi="Arial" w:cs="Arial"/>
          <w:sz w:val="20"/>
          <w:szCs w:val="20"/>
        </w:rPr>
        <w:t>Allowing two of the applicant’s four grounds of appeal against conviction in part, the Court of Appeal (Emerton P, Priest &amp; Kidd JJA) said at [9], [41] &amp; [51]:</w:t>
      </w:r>
    </w:p>
    <w:p w14:paraId="4BB3362F"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rPr>
        <w:t>[9] “</w:t>
      </w:r>
      <w:r w:rsidRPr="000F2571">
        <w:rPr>
          <w:rFonts w:ascii="Arial" w:hAnsi="Arial" w:cs="Arial"/>
          <w:sz w:val="20"/>
          <w:szCs w:val="20"/>
        </w:rPr>
        <w:t>Unhappily, we have concluded that the conduct of prosecuting counsel so compromised the fairness of the applicant’s trial that a substantial miscarriage of justice resulted. In those circumstances, the applicant’s conviction for murdering Mrs C cannot be permitted to stand. We would grant the applicant leave to appeal against his conviction; allow the appeal; set aside the conviction; and order a new trial.</w:t>
      </w:r>
      <w:r>
        <w:rPr>
          <w:rFonts w:ascii="Arial" w:hAnsi="Arial" w:cs="Arial"/>
          <w:sz w:val="20"/>
          <w:szCs w:val="20"/>
        </w:rPr>
        <w:t>”</w:t>
      </w:r>
    </w:p>
    <w:p w14:paraId="3532834A"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[41] “</w:t>
      </w:r>
      <w:r w:rsidRPr="002B2FBA">
        <w:rPr>
          <w:rFonts w:ascii="Arial" w:hAnsi="Arial" w:cs="Arial"/>
          <w:sz w:val="20"/>
          <w:szCs w:val="20"/>
        </w:rPr>
        <w:t xml:space="preserve">Ultimately, although we are not persuaded that prosecuting counsel breached the rule in </w:t>
      </w:r>
      <w:r w:rsidRPr="002B2FBA">
        <w:rPr>
          <w:rFonts w:ascii="Arial" w:hAnsi="Arial" w:cs="Arial"/>
          <w:i/>
          <w:iCs/>
          <w:sz w:val="20"/>
          <w:szCs w:val="20"/>
        </w:rPr>
        <w:t>Browne v Dunn</w:t>
      </w:r>
      <w:r w:rsidRPr="002B2FBA">
        <w:rPr>
          <w:rFonts w:ascii="Arial" w:hAnsi="Arial" w:cs="Arial"/>
          <w:sz w:val="20"/>
          <w:szCs w:val="20"/>
        </w:rPr>
        <w:t xml:space="preserve"> </w:t>
      </w:r>
      <w:r w:rsidRPr="001769D6">
        <w:rPr>
          <w:rFonts w:ascii="Arial" w:hAnsi="Arial" w:cs="Arial"/>
          <w:sz w:val="20"/>
          <w:szCs w:val="20"/>
        </w:rPr>
        <w:t>(1893) 6 R 67</w:t>
      </w:r>
      <w:r>
        <w:rPr>
          <w:rFonts w:ascii="Arial" w:hAnsi="Arial" w:cs="Arial"/>
          <w:sz w:val="20"/>
          <w:szCs w:val="20"/>
        </w:rPr>
        <w:t xml:space="preserve"> [discussed in detail in </w:t>
      </w:r>
      <w:r w:rsidRPr="001769D6">
        <w:rPr>
          <w:rFonts w:ascii="Arial" w:hAnsi="Arial" w:cs="Arial"/>
          <w:b/>
          <w:bCs/>
          <w:sz w:val="20"/>
          <w:szCs w:val="20"/>
          <w:shd w:val="clear" w:color="auto" w:fill="C5E0B3" w:themeFill="accent6" w:themeFillTint="66"/>
        </w:rPr>
        <w:t>section 3.5.13</w:t>
      </w:r>
      <w:r>
        <w:rPr>
          <w:rFonts w:ascii="Arial" w:hAnsi="Arial" w:cs="Arial"/>
          <w:sz w:val="20"/>
          <w:szCs w:val="20"/>
        </w:rPr>
        <w:t xml:space="preserve"> of the ChCV Research Materials] </w:t>
      </w:r>
      <w:r w:rsidRPr="002B2FBA">
        <w:rPr>
          <w:rFonts w:ascii="Arial" w:hAnsi="Arial" w:cs="Arial"/>
          <w:sz w:val="20"/>
          <w:szCs w:val="20"/>
        </w:rPr>
        <w:t>in all of the ways contended by the applicant’s counsel — at trial the applicant’s counsel submitted to the trial judge that prosecuting counsel had done so on 25</w:t>
      </w:r>
      <w:r>
        <w:rPr>
          <w:rFonts w:ascii="Arial" w:hAnsi="Arial" w:cs="Arial"/>
          <w:sz w:val="20"/>
          <w:szCs w:val="20"/>
        </w:rPr>
        <w:t xml:space="preserve"> </w:t>
      </w:r>
      <w:r w:rsidRPr="002B2FBA">
        <w:rPr>
          <w:rFonts w:ascii="Arial" w:hAnsi="Arial" w:cs="Arial"/>
          <w:sz w:val="20"/>
          <w:szCs w:val="20"/>
        </w:rPr>
        <w:t>occasions — or that all of the breaches established were of the same significance, we are satisfied that prosecuting counsel persistently and obdurately breached the rule, and reversed the onus of proof on at least one occasion — despite repeated objections by defence counsel, and continual admonitions by the trial judge to ‘stick to the rules’ — such that there has been a substantial miscarriage of justice.</w:t>
      </w:r>
      <w:r>
        <w:rPr>
          <w:rFonts w:ascii="Arial" w:hAnsi="Arial" w:cs="Arial"/>
          <w:sz w:val="20"/>
          <w:szCs w:val="20"/>
        </w:rPr>
        <w:t>”</w:t>
      </w:r>
    </w:p>
    <w:p w14:paraId="6DE37C08"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[51] “</w:t>
      </w:r>
      <w:r w:rsidRPr="008761BB">
        <w:rPr>
          <w:rFonts w:ascii="Arial" w:hAnsi="Arial" w:cs="Arial"/>
          <w:sz w:val="20"/>
          <w:szCs w:val="20"/>
        </w:rPr>
        <w:t>Despite the trial judge’s warning, prosecuting counsel did not ‘stick to the rules’. Indeed, his final questions in cross-examination contained a proposition that had no evidentiary basis whatsoever</w:t>
      </w:r>
      <w:r>
        <w:rPr>
          <w:rFonts w:ascii="Arial" w:hAnsi="Arial" w:cs="Arial"/>
          <w:sz w:val="20"/>
          <w:szCs w:val="20"/>
        </w:rPr>
        <w:t>.”</w:t>
      </w:r>
    </w:p>
    <w:p w14:paraId="4B1A2A0E" w14:textId="60A86F8F"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At [52] &amp; [53] their Honours noted that after the final addresses were complete, there had been an exchange between counsel and Croucher J concerning the prosecutor’s breach of the rule in </w:t>
      </w:r>
      <w:r w:rsidRPr="008761BB">
        <w:rPr>
          <w:rFonts w:ascii="Arial" w:hAnsi="Arial" w:cs="Arial"/>
          <w:i/>
          <w:iCs/>
          <w:sz w:val="20"/>
          <w:szCs w:val="20"/>
        </w:rPr>
        <w:t>Browne v Dunn</w:t>
      </w:r>
      <w:r>
        <w:rPr>
          <w:rFonts w:ascii="Arial" w:hAnsi="Arial" w:cs="Arial"/>
          <w:sz w:val="20"/>
          <w:szCs w:val="20"/>
        </w:rPr>
        <w:t xml:space="preserve">. This </w:t>
      </w:r>
      <w:r w:rsidR="007E2275">
        <w:rPr>
          <w:rFonts w:ascii="Arial" w:hAnsi="Arial" w:cs="Arial"/>
          <w:sz w:val="20"/>
          <w:szCs w:val="20"/>
        </w:rPr>
        <w:t xml:space="preserve">had </w:t>
      </w:r>
      <w:r>
        <w:rPr>
          <w:rFonts w:ascii="Arial" w:hAnsi="Arial" w:cs="Arial"/>
          <w:sz w:val="20"/>
          <w:szCs w:val="20"/>
        </w:rPr>
        <w:t xml:space="preserve">led Croucher J – “[doing] his best to redress the mischief that he perceived had flown from prosecuting counsel’s final address” – </w:t>
      </w:r>
      <w:r w:rsidR="007E2275">
        <w:rPr>
          <w:rFonts w:ascii="Arial" w:hAnsi="Arial" w:cs="Arial"/>
          <w:sz w:val="20"/>
          <w:szCs w:val="20"/>
        </w:rPr>
        <w:t xml:space="preserve">to </w:t>
      </w:r>
      <w:r>
        <w:rPr>
          <w:rFonts w:ascii="Arial" w:hAnsi="Arial" w:cs="Arial"/>
          <w:sz w:val="20"/>
          <w:szCs w:val="20"/>
        </w:rPr>
        <w:t>outlin</w:t>
      </w:r>
      <w:r w:rsidR="007E2275">
        <w:rPr>
          <w:rFonts w:ascii="Arial" w:hAnsi="Arial" w:cs="Arial"/>
          <w:sz w:val="20"/>
          <w:szCs w:val="20"/>
        </w:rPr>
        <w:t>e</w:t>
      </w:r>
      <w:r>
        <w:rPr>
          <w:rFonts w:ascii="Arial" w:hAnsi="Arial" w:cs="Arial"/>
          <w:sz w:val="20"/>
          <w:szCs w:val="20"/>
        </w:rPr>
        <w:t xml:space="preserve"> in his charge to the jury no less than 17 instances of prosecuting counsel’s failure to comply with the rule. Croucher J</w:t>
      </w:r>
      <w:r w:rsidRPr="002B2FBA">
        <w:rPr>
          <w:rFonts w:ascii="Arial" w:hAnsi="Arial" w:cs="Arial"/>
          <w:sz w:val="20"/>
          <w:szCs w:val="20"/>
        </w:rPr>
        <w:t xml:space="preserve"> was forthright in his criticism</w:t>
      </w:r>
      <w:r>
        <w:rPr>
          <w:rFonts w:ascii="Arial" w:hAnsi="Arial" w:cs="Arial"/>
          <w:sz w:val="20"/>
          <w:szCs w:val="20"/>
        </w:rPr>
        <w:t xml:space="preserve">. Given the </w:t>
      </w:r>
      <w:r w:rsidRPr="001769D6">
        <w:rPr>
          <w:rFonts w:ascii="Arial" w:hAnsi="Arial" w:cs="Arial"/>
          <w:sz w:val="20"/>
          <w:szCs w:val="20"/>
        </w:rPr>
        <w:t>importance of the judge’s directions to the resolution of both ground</w:t>
      </w:r>
      <w:r>
        <w:rPr>
          <w:rFonts w:ascii="Arial" w:hAnsi="Arial" w:cs="Arial"/>
          <w:sz w:val="20"/>
          <w:szCs w:val="20"/>
        </w:rPr>
        <w:t xml:space="preserve">s 1 &amp; </w:t>
      </w:r>
      <w:r w:rsidRPr="001769D6">
        <w:rPr>
          <w:rFonts w:ascii="Arial" w:hAnsi="Arial" w:cs="Arial"/>
          <w:sz w:val="20"/>
          <w:szCs w:val="20"/>
        </w:rPr>
        <w:t>2</w:t>
      </w:r>
      <w:r>
        <w:rPr>
          <w:rFonts w:ascii="Arial" w:hAnsi="Arial" w:cs="Arial"/>
          <w:sz w:val="20"/>
          <w:szCs w:val="20"/>
        </w:rPr>
        <w:t>, each of these 17</w:t>
      </w:r>
      <w:r w:rsidRPr="00164C16">
        <w:t xml:space="preserve"> </w:t>
      </w:r>
      <w:r>
        <w:rPr>
          <w:rFonts w:ascii="Arial" w:hAnsi="Arial" w:cs="Arial"/>
          <w:sz w:val="20"/>
          <w:szCs w:val="20"/>
        </w:rPr>
        <w:t>instances was spelt out by the Court of Appeal at [53] of its judgment, leading it to conclude at [63]:</w:t>
      </w:r>
    </w:p>
    <w:p w14:paraId="45CC2B5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[63] “</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44A74A53" w14:textId="77777777"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In its ultimate analysis of appeal grounds 1 &amp; 2 – leading to its conclusion that there had been </w:t>
      </w:r>
      <w:r w:rsidRPr="00D021B4">
        <w:rPr>
          <w:rFonts w:ascii="Arial" w:hAnsi="Arial" w:cs="Arial"/>
          <w:b/>
          <w:bCs/>
          <w:sz w:val="20"/>
          <w:szCs w:val="20"/>
        </w:rPr>
        <w:t>a substantial miscarriage of justice</w:t>
      </w:r>
      <w:r w:rsidRPr="00E20594">
        <w:rPr>
          <w:rFonts w:ascii="Arial" w:hAnsi="Arial" w:cs="Arial"/>
          <w:sz w:val="20"/>
          <w:szCs w:val="20"/>
        </w:rPr>
        <w:t xml:space="preserve"> (as </w:t>
      </w:r>
      <w:r>
        <w:rPr>
          <w:rFonts w:ascii="Arial" w:hAnsi="Arial" w:cs="Arial"/>
          <w:sz w:val="20"/>
          <w:szCs w:val="20"/>
        </w:rPr>
        <w:t>discuss</w:t>
      </w:r>
      <w:r w:rsidRPr="00E20594">
        <w:rPr>
          <w:rFonts w:ascii="Arial" w:hAnsi="Arial" w:cs="Arial"/>
          <w:sz w:val="20"/>
          <w:szCs w:val="20"/>
        </w:rPr>
        <w:t xml:space="preserve">ed at [148]-[150]) – their </w:t>
      </w:r>
      <w:r>
        <w:rPr>
          <w:rFonts w:ascii="Arial" w:hAnsi="Arial" w:cs="Arial"/>
          <w:sz w:val="20"/>
          <w:szCs w:val="20"/>
        </w:rPr>
        <w:t>Honours said at [151]-[154]:</w:t>
      </w:r>
    </w:p>
    <w:p w14:paraId="60DB21F3" w14:textId="77777777" w:rsidR="00C22153" w:rsidRDefault="00C22153" w:rsidP="001452F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[151] “</w:t>
      </w:r>
      <w:r w:rsidRPr="00B076D3">
        <w:rPr>
          <w:rFonts w:ascii="Arial" w:hAnsi="Arial" w:cs="Arial"/>
          <w:sz w:val="20"/>
          <w:szCs w:val="20"/>
        </w:rPr>
        <w:t xml:space="preserve">Deane J had earlier observed in </w:t>
      </w:r>
      <w:r w:rsidRPr="008B103E">
        <w:rPr>
          <w:rFonts w:ascii="Arial" w:hAnsi="Arial" w:cs="Arial"/>
          <w:i/>
          <w:iCs/>
          <w:sz w:val="20"/>
          <w:szCs w:val="20"/>
        </w:rPr>
        <w:t>Jago v District Court of New South Wales</w:t>
      </w:r>
      <w:r w:rsidRPr="00B076D3">
        <w:rPr>
          <w:rFonts w:ascii="Arial" w:hAnsi="Arial" w:cs="Arial"/>
          <w:sz w:val="20"/>
          <w:szCs w:val="20"/>
        </w:rPr>
        <w:t xml:space="preserve"> (1989) 168 CLR 23, 56–7</w:t>
      </w:r>
      <w:r>
        <w:rPr>
          <w:rFonts w:ascii="Arial" w:hAnsi="Arial" w:cs="Arial"/>
          <w:sz w:val="20"/>
          <w:szCs w:val="20"/>
        </w:rPr>
        <w:t xml:space="preserve"> </w:t>
      </w:r>
      <w:r w:rsidRPr="00B076D3">
        <w:rPr>
          <w:rFonts w:ascii="Arial" w:hAnsi="Arial" w:cs="Arial"/>
          <w:sz w:val="20"/>
          <w:szCs w:val="20"/>
        </w:rPr>
        <w:t>that the ‘central prescript of our criminal law is that no person shall be convicted of crime otherwise than after a fair trial according to law’, which may be ‘more accurately expressed in negative terms as a right not to be tried unfairly or as an immunity against conviction otherwise than after a fair trial’.</w:t>
      </w:r>
    </w:p>
    <w:p w14:paraId="51B2524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[152] R</w:t>
      </w:r>
      <w:r w:rsidRPr="00B076D3">
        <w:rPr>
          <w:rFonts w:ascii="Arial" w:hAnsi="Arial" w:cs="Arial"/>
          <w:sz w:val="20"/>
          <w:szCs w:val="20"/>
        </w:rPr>
        <w:t>egrettably, we have concluded that the conduct of prosecuting counsel in the present case resulted in an unfair trial.</w:t>
      </w:r>
    </w:p>
    <w:p w14:paraId="410B2FF4"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153</w:t>
      </w:r>
      <w:r>
        <w:rPr>
          <w:rFonts w:ascii="Arial" w:hAnsi="Arial" w:cs="Arial"/>
          <w:sz w:val="20"/>
          <w:szCs w:val="20"/>
        </w:rPr>
        <w:t>]</w:t>
      </w:r>
      <w:r w:rsidRPr="00B076D3">
        <w:rPr>
          <w:rFonts w:ascii="Arial" w:hAnsi="Arial" w:cs="Arial"/>
          <w:sz w:val="20"/>
          <w:szCs w:val="20"/>
        </w:rPr>
        <w:t xml:space="preserve"> In our system of criminal trial by jury, one of the presuppositions of ‘a fair trial according to law’ is that prosecuting counsel — representing the State — will conduct the prosecution of an accused person fairly and dispassionately, and in accordance with the governing evidentiary and procedural rules which exist (at least in part) to ensure, so far as they are able, that an accused person does not fall to be convicted of a crime — with all that entails — except following a trial that is not unacceptably unfair. Since a ‘fair trial according to law does not mean a perfect trial, free from possible detriment or disadvantage of any kind or degree to the accused’</w:t>
      </w:r>
      <w:r>
        <w:rPr>
          <w:rFonts w:ascii="Arial" w:hAnsi="Arial" w:cs="Arial"/>
          <w:sz w:val="20"/>
          <w:szCs w:val="20"/>
        </w:rPr>
        <w:t xml:space="preserve"> {</w:t>
      </w:r>
      <w:r w:rsidRPr="008B103E">
        <w:rPr>
          <w:rFonts w:ascii="Arial" w:hAnsi="Arial" w:cs="Arial"/>
          <w:i/>
          <w:iCs/>
          <w:sz w:val="20"/>
          <w:szCs w:val="20"/>
        </w:rPr>
        <w:t>Jarvie v Magistrates’ Court of Victoria</w:t>
      </w:r>
      <w:r w:rsidRPr="008B103E">
        <w:rPr>
          <w:rFonts w:ascii="Arial" w:hAnsi="Arial" w:cs="Arial"/>
          <w:sz w:val="20"/>
          <w:szCs w:val="20"/>
        </w:rPr>
        <w:t xml:space="preserve"> [1995] 1 VR </w:t>
      </w:r>
      <w:r w:rsidRPr="008B103E">
        <w:rPr>
          <w:rFonts w:ascii="Arial" w:hAnsi="Arial" w:cs="Arial"/>
          <w:sz w:val="20"/>
          <w:szCs w:val="20"/>
        </w:rPr>
        <w:lastRenderedPageBreak/>
        <w:t>84, 90</w:t>
      </w:r>
      <w:r>
        <w:rPr>
          <w:rFonts w:ascii="Arial" w:hAnsi="Arial" w:cs="Arial"/>
          <w:sz w:val="20"/>
          <w:szCs w:val="20"/>
        </w:rPr>
        <w:t xml:space="preserve">}, </w:t>
      </w:r>
      <w:r w:rsidRPr="00B076D3">
        <w:rPr>
          <w:rFonts w:ascii="Arial" w:hAnsi="Arial" w:cs="Arial"/>
          <w:sz w:val="20"/>
          <w:szCs w:val="20"/>
        </w:rPr>
        <w:t>the law contemplates that some breaches of the governing rules may be tolerated, particularly if acceptably mitigated in the course of the trial (for example, by jury directions). Were it not so, the system of criminal justice would become unwieldy and break down.</w:t>
      </w:r>
    </w:p>
    <w:p w14:paraId="653B8C63"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154</w:t>
      </w:r>
      <w:r>
        <w:rPr>
          <w:rFonts w:ascii="Arial" w:hAnsi="Arial" w:cs="Arial"/>
          <w:sz w:val="20"/>
          <w:szCs w:val="20"/>
        </w:rPr>
        <w:t>]</w:t>
      </w:r>
      <w:r w:rsidRPr="00B076D3">
        <w:rPr>
          <w:rFonts w:ascii="Arial" w:hAnsi="Arial" w:cs="Arial"/>
          <w:sz w:val="20"/>
          <w:szCs w:val="20"/>
        </w:rPr>
        <w:t xml:space="preserve"> There will be occasions, however, when a prosecutor’s breaches of evidentiary or procedural rules are so frequent and serious that the conclusion must be reached that they have occasioned a substantial miscarriage of justice. This is such a case. We consider that the unfairness permeating the applicant’s trial as a result of prosecuting counsel’s conduct is unlikely to have been capable of adequate mitigation by direction. The multiple irregularities at the hands of the prosecution compounded to give rise to significant unfairness. It is unrealistic to think that these irregularities could be unscrambled. In our view, this is one of those cases where ‘the possibility must also be accepted that unfair prejudice to an accused person might in some circumstances not be alleviated by directions’.</w:t>
      </w:r>
      <w:r>
        <w:rPr>
          <w:rFonts w:ascii="Arial" w:hAnsi="Arial" w:cs="Arial"/>
          <w:sz w:val="20"/>
          <w:szCs w:val="20"/>
        </w:rPr>
        <w:t>”</w:t>
      </w:r>
    </w:p>
    <w:p w14:paraId="3885AF9F" w14:textId="77777777" w:rsidR="00C22153" w:rsidRDefault="00C22153" w:rsidP="00C22153">
      <w:pPr>
        <w:rPr>
          <w:rFonts w:ascii="Arial" w:hAnsi="Arial" w:cs="Arial"/>
          <w:sz w:val="20"/>
          <w:szCs w:val="20"/>
        </w:rPr>
      </w:pPr>
    </w:p>
    <w:bookmarkEnd w:id="48"/>
    <w:p w14:paraId="7290AB1D" w14:textId="1E33BFCC"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sidR="00362918">
        <w:rPr>
          <w:rFonts w:ascii="Arial" w:hAnsi="Arial" w:cs="Arial"/>
          <w:sz w:val="20"/>
          <w:szCs w:val="20"/>
        </w:rPr>
        <w:t xml:space="preserve">; </w:t>
      </w:r>
      <w:r w:rsidR="00362918" w:rsidRPr="00362918">
        <w:rPr>
          <w:rFonts w:ascii="Arial" w:hAnsi="Arial" w:cs="Arial"/>
          <w:i/>
          <w:iCs/>
          <w:sz w:val="20"/>
          <w:szCs w:val="20"/>
        </w:rPr>
        <w:t>WHS v The King</w:t>
      </w:r>
      <w:r w:rsidR="00362918">
        <w:rPr>
          <w:rFonts w:ascii="Arial" w:hAnsi="Arial" w:cs="Arial"/>
          <w:sz w:val="20"/>
          <w:szCs w:val="20"/>
        </w:rPr>
        <w:t xml:space="preserve"> [2025] HCA 51 at [42]-[52].</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bookmarkStart w:id="49" w:name="_10.0.3_Consequence_of"/>
      <w:bookmarkEnd w:id="49"/>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applicant, and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so, and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w:t>
      </w:r>
      <w:r w:rsidRPr="00755C4C">
        <w:rPr>
          <w:rFonts w:ascii="Arial" w:hAnsi="Arial" w:cs="Arial"/>
          <w:sz w:val="20"/>
        </w:rPr>
        <w:lastRenderedPageBreak/>
        <w:t>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68F83B62" w14:textId="77777777" w:rsidR="00E10E24" w:rsidRPr="0095662A" w:rsidRDefault="00E10E24" w:rsidP="00E10E24">
      <w:pPr>
        <w:jc w:val="center"/>
        <w:rPr>
          <w:rFonts w:ascii="Arial" w:hAnsi="Arial" w:cs="Arial"/>
          <w:sz w:val="22"/>
          <w:szCs w:val="36"/>
        </w:rPr>
      </w:pPr>
      <w:bookmarkStart w:id="50" w:name="_10.1_Indictable_offences"/>
      <w:bookmarkEnd w:id="50"/>
      <w:r w:rsidRPr="0095662A">
        <w:rPr>
          <w:rFonts w:ascii="Arial" w:hAnsi="Arial" w:cs="Arial"/>
          <w:b/>
          <w:bCs/>
          <w:sz w:val="22"/>
          <w:szCs w:val="28"/>
        </w:rPr>
        <w:t>THE REST OF THIS PAGE IS BLANK</w:t>
      </w:r>
    </w:p>
    <w:p w14:paraId="160B15D1" w14:textId="77777777" w:rsidR="00E10E24" w:rsidRPr="00920BCD" w:rsidRDefault="00E10E24" w:rsidP="00E10E24">
      <w:pPr>
        <w:rPr>
          <w:rFonts w:ascii="Arial" w:hAnsi="Arial" w:cs="Arial"/>
          <w:sz w:val="20"/>
          <w:szCs w:val="20"/>
        </w:rPr>
      </w:pPr>
    </w:p>
    <w:p w14:paraId="02E285F9" w14:textId="77777777" w:rsidR="00E20594" w:rsidRDefault="00E20594">
      <w:pPr>
        <w:rPr>
          <w:rFonts w:ascii="Arial" w:hAnsi="Arial" w:cs="Arial"/>
          <w:b/>
          <w:bCs/>
          <w:kern w:val="28"/>
          <w:szCs w:val="20"/>
          <w:lang w:val="en-GB"/>
        </w:rPr>
      </w:pPr>
      <w:r>
        <w:rPr>
          <w:rFonts w:ascii="Arial" w:hAnsi="Arial" w:cs="Arial"/>
          <w:b/>
          <w:bCs/>
        </w:rPr>
        <w:br w:type="page"/>
      </w:r>
    </w:p>
    <w:p w14:paraId="70283C6E" w14:textId="258538D8" w:rsidR="00ED017F" w:rsidRDefault="00ED017F" w:rsidP="00ED017F">
      <w:pPr>
        <w:pStyle w:val="Heading2"/>
        <w:tabs>
          <w:tab w:val="left" w:pos="567"/>
        </w:tabs>
        <w:spacing w:line="240" w:lineRule="auto"/>
        <w:rPr>
          <w:rFonts w:ascii="Arial" w:hAnsi="Arial" w:cs="Arial"/>
          <w:b/>
          <w:bCs/>
        </w:rPr>
      </w:pPr>
      <w:bookmarkStart w:id="51" w:name="_10.1_Indictable_offences_1"/>
      <w:bookmarkEnd w:id="51"/>
      <w:r>
        <w:rPr>
          <w:rFonts w:ascii="Arial" w:hAnsi="Arial" w:cs="Arial"/>
          <w:b/>
          <w:bCs/>
        </w:rPr>
        <w:lastRenderedPageBreak/>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Children, Youth and Families Act 2005</w:t>
      </w:r>
      <w:r w:rsidRPr="00691A66">
        <w:rPr>
          <w:rFonts w:ascii="Arial" w:hAnsi="Arial" w:cs="Arial"/>
          <w:sz w:val="20"/>
          <w:szCs w:val="20"/>
        </w:rPr>
        <w:t xml:space="preserve"> (‘CYFA’) and also a ‘young offender’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Sentencing Act 1991</w:t>
      </w:r>
      <w:r w:rsidRPr="00691A66">
        <w:rPr>
          <w:rFonts w:ascii="Arial" w:hAnsi="Arial" w:cs="Arial"/>
          <w:sz w:val="20"/>
          <w:szCs w:val="20"/>
        </w:rPr>
        <w:t xml:space="preserve">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 xml:space="preserve">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w:t>
      </w:r>
      <w:r w:rsidR="00E637A9" w:rsidRPr="00691A66">
        <w:rPr>
          <w:rFonts w:ascii="Arial" w:hAnsi="Arial" w:cs="Arial"/>
          <w:sz w:val="20"/>
          <w:szCs w:val="20"/>
        </w:rPr>
        <w:lastRenderedPageBreak/>
        <w:t>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35E7F036" w14:textId="77777777" w:rsidR="006471BF"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p>
    <w:p w14:paraId="7E3DABAA" w14:textId="77777777" w:rsidR="006306D0" w:rsidRDefault="006306D0">
      <w:pPr>
        <w:jc w:val="both"/>
        <w:rPr>
          <w:rFonts w:ascii="Arial" w:hAnsi="Arial" w:cs="Arial"/>
          <w:sz w:val="20"/>
        </w:rPr>
      </w:pPr>
    </w:p>
    <w:p w14:paraId="765EAE63" w14:textId="09F5E24A" w:rsidR="006471BF" w:rsidRDefault="006471BF" w:rsidP="006306D0">
      <w:pPr>
        <w:jc w:val="both"/>
        <w:rPr>
          <w:rFonts w:ascii="Arial" w:hAnsi="Arial" w:cs="Arial"/>
          <w:sz w:val="20"/>
        </w:rPr>
      </w:pPr>
      <w:r>
        <w:rPr>
          <w:rFonts w:ascii="Arial" w:hAnsi="Arial" w:cs="Arial"/>
          <w:sz w:val="20"/>
        </w:rPr>
        <w:t xml:space="preserve">The key provision governing whether </w:t>
      </w:r>
      <w:r w:rsidR="006306D0">
        <w:rPr>
          <w:rFonts w:ascii="Arial" w:hAnsi="Arial" w:cs="Arial"/>
          <w:sz w:val="20"/>
        </w:rPr>
        <w:t xml:space="preserve">a charge against a child for an indictable offence will be heard and determined summarily or tried on indictment is s.356 of the CYFA, headed somewhat misleadingly: </w:t>
      </w:r>
      <w:r w:rsidR="001E4A07">
        <w:rPr>
          <w:rFonts w:ascii="Arial" w:hAnsi="Arial" w:cs="Arial"/>
          <w:sz w:val="20"/>
        </w:rPr>
        <w:t>‘</w:t>
      </w:r>
      <w:r w:rsidR="006306D0" w:rsidRPr="006306D0">
        <w:rPr>
          <w:rFonts w:ascii="Arial" w:hAnsi="Arial" w:cs="Arial"/>
          <w:b/>
          <w:bCs/>
          <w:sz w:val="20"/>
        </w:rPr>
        <w:t>Procedure for indictable offences that may be heard and determined summarily</w:t>
      </w:r>
      <w:r w:rsidR="001E4A07">
        <w:rPr>
          <w:rFonts w:ascii="Arial" w:hAnsi="Arial" w:cs="Arial"/>
          <w:b/>
          <w:bCs/>
          <w:sz w:val="20"/>
        </w:rPr>
        <w:t>’</w:t>
      </w:r>
      <w:r w:rsidR="006306D0">
        <w:rPr>
          <w:rFonts w:ascii="Arial" w:hAnsi="Arial" w:cs="Arial"/>
          <w:sz w:val="20"/>
        </w:rPr>
        <w:t>.</w:t>
      </w:r>
    </w:p>
    <w:p w14:paraId="37E7A43D" w14:textId="77777777" w:rsidR="00944FAD" w:rsidRDefault="00944FAD" w:rsidP="006306D0">
      <w:pPr>
        <w:jc w:val="both"/>
        <w:rPr>
          <w:rFonts w:ascii="Arial" w:hAnsi="Arial" w:cs="Arial"/>
          <w:sz w:val="20"/>
        </w:rPr>
      </w:pPr>
    </w:p>
    <w:p w14:paraId="282D69AB" w14:textId="5CD18250" w:rsidR="006471BF" w:rsidRDefault="006306D0" w:rsidP="00944FAD">
      <w:pPr>
        <w:jc w:val="both"/>
        <w:rPr>
          <w:rFonts w:ascii="Arial" w:hAnsi="Arial" w:cs="Arial"/>
          <w:color w:val="000000"/>
          <w:sz w:val="20"/>
        </w:rPr>
      </w:pPr>
      <w:r>
        <w:rPr>
          <w:rFonts w:ascii="Arial" w:hAnsi="Arial" w:cs="Arial"/>
          <w:sz w:val="20"/>
        </w:rPr>
        <w:t>S</w:t>
      </w:r>
      <w:r w:rsidR="00407B99">
        <w:rPr>
          <w:rFonts w:ascii="Arial" w:hAnsi="Arial" w:cs="Arial"/>
          <w:sz w:val="20"/>
        </w:rPr>
        <w:t xml:space="preserve">ignificant </w:t>
      </w:r>
      <w:r>
        <w:rPr>
          <w:rFonts w:ascii="Arial" w:hAnsi="Arial" w:cs="Arial"/>
          <w:sz w:val="20"/>
        </w:rPr>
        <w:t xml:space="preserve">amendments were made to s.356 CYFA by </w:t>
      </w:r>
      <w:r w:rsidR="00931C00">
        <w:rPr>
          <w:rFonts w:ascii="Arial" w:hAnsi="Arial" w:cs="Arial"/>
          <w:sz w:val="20"/>
        </w:rPr>
        <w:t xml:space="preserve">Act No.43/2017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w:t>
      </w:r>
      <w:r w:rsidR="00031EEA">
        <w:rPr>
          <w:rFonts w:ascii="Arial" w:hAnsi="Arial" w:cs="Arial"/>
          <w:sz w:val="20"/>
        </w:rPr>
        <w:t xml:space="preserve">17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10.1.2</w:t>
      </w:r>
      <w:r w:rsidR="00801B46">
        <w:rPr>
          <w:rFonts w:ascii="Arial" w:hAnsi="Arial" w:cs="Arial"/>
          <w:color w:val="000000"/>
          <w:sz w:val="20"/>
        </w:rPr>
        <w:t xml:space="preserve"> –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r w:rsidR="005E3696">
        <w:rPr>
          <w:rFonts w:ascii="Arial" w:hAnsi="Arial" w:cs="Arial"/>
          <w:color w:val="000000"/>
          <w:sz w:val="20"/>
        </w:rPr>
        <w:t>16 &amp; 17 year olds</w:t>
      </w:r>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03272A4E" w14:textId="77777777" w:rsidR="00944FAD" w:rsidRPr="006306D0" w:rsidRDefault="00944FAD" w:rsidP="00944FAD">
      <w:pPr>
        <w:jc w:val="both"/>
        <w:rPr>
          <w:rFonts w:ascii="Arial" w:hAnsi="Arial" w:cs="Arial"/>
          <w:sz w:val="20"/>
        </w:rPr>
      </w:pPr>
    </w:p>
    <w:p w14:paraId="5C9F14D7" w14:textId="6CD8FC85" w:rsidR="00407B99" w:rsidRDefault="006471BF" w:rsidP="00944FAD">
      <w:pPr>
        <w:jc w:val="both"/>
        <w:rPr>
          <w:rFonts w:ascii="Arial" w:hAnsi="Arial" w:cs="Arial"/>
          <w:sz w:val="20"/>
        </w:rPr>
      </w:pPr>
      <w:r>
        <w:rPr>
          <w:rFonts w:ascii="Arial" w:hAnsi="Arial" w:cs="Arial"/>
          <w:color w:val="000000"/>
          <w:sz w:val="20"/>
        </w:rPr>
        <w:t>F</w:t>
      </w:r>
      <w:r w:rsidR="00D15C5D">
        <w:rPr>
          <w:rFonts w:ascii="Arial" w:hAnsi="Arial" w:cs="Arial"/>
          <w:color w:val="000000"/>
          <w:sz w:val="20"/>
        </w:rPr>
        <w:t>urther significant amendments were made to s.356</w:t>
      </w:r>
      <w:r w:rsidR="00CD0FDB">
        <w:rPr>
          <w:rFonts w:ascii="Arial" w:hAnsi="Arial" w:cs="Arial"/>
          <w:color w:val="000000"/>
          <w:sz w:val="20"/>
        </w:rPr>
        <w:t xml:space="preserve"> CYFA by Act No.</w:t>
      </w:r>
      <w:r w:rsidR="00944FAD">
        <w:rPr>
          <w:rFonts w:ascii="Arial" w:hAnsi="Arial" w:cs="Arial"/>
          <w:color w:val="000000"/>
          <w:sz w:val="20"/>
        </w:rPr>
        <w:t xml:space="preserve">54/2025 to the circumstances in which charges for indictable offences allegedly committed on or after 27/02/2026 by children aged 14 or over may be heard and determined summarily under the CYFA. 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10.1.3</w:t>
      </w:r>
      <w:r w:rsidR="00801B46">
        <w:rPr>
          <w:rFonts w:ascii="Arial" w:hAnsi="Arial" w:cs="Arial"/>
          <w:color w:val="000000"/>
          <w:sz w:val="20"/>
        </w:rPr>
        <w:t xml:space="preserve"> – </w:t>
      </w:r>
      <w:r w:rsidR="00944FAD">
        <w:rPr>
          <w:rFonts w:ascii="Arial" w:hAnsi="Arial" w:cs="Arial"/>
          <w:color w:val="000000"/>
          <w:sz w:val="20"/>
        </w:rPr>
        <w:t>are likely to lead to many more charges involved accused children proceeding via committal and subsequent trial in the County or Supreme Court.</w:t>
      </w:r>
    </w:p>
    <w:p w14:paraId="5DEF63BB" w14:textId="77777777" w:rsidR="00407B99" w:rsidRDefault="00407B99">
      <w:pPr>
        <w:jc w:val="both"/>
        <w:rPr>
          <w:rFonts w:ascii="Arial" w:hAnsi="Arial" w:cs="Arial"/>
          <w:sz w:val="20"/>
        </w:rPr>
      </w:pPr>
    </w:p>
    <w:p w14:paraId="43D1DECA" w14:textId="77BA1D42" w:rsidR="004F74C3" w:rsidRPr="005C5E3E" w:rsidRDefault="004F74C3" w:rsidP="005C5E3E">
      <w:pPr>
        <w:pStyle w:val="Heading3"/>
        <w:spacing w:line="240" w:lineRule="auto"/>
        <w:rPr>
          <w:rFonts w:ascii="Arial" w:hAnsi="Arial" w:cs="Arial"/>
          <w:b/>
          <w:bCs/>
          <w:sz w:val="20"/>
          <w:szCs w:val="16"/>
        </w:rPr>
      </w:pPr>
      <w:bookmarkStart w:id="52" w:name="_10.1.1_Sections_356(3),"/>
      <w:bookmarkStart w:id="53" w:name="_10.1.1_Objection_by"/>
      <w:bookmarkEnd w:id="52"/>
      <w:bookmarkEnd w:id="53"/>
      <w:r w:rsidRPr="005C5E3E">
        <w:rPr>
          <w:rFonts w:ascii="Arial" w:hAnsi="Arial" w:cs="Arial"/>
          <w:b/>
          <w:bCs/>
          <w:sz w:val="20"/>
          <w:szCs w:val="16"/>
        </w:rPr>
        <w:t>10.1.1</w:t>
      </w:r>
      <w:r w:rsidRPr="005C5E3E">
        <w:rPr>
          <w:rFonts w:ascii="Arial" w:hAnsi="Arial" w:cs="Arial"/>
          <w:b/>
          <w:bCs/>
          <w:sz w:val="20"/>
          <w:szCs w:val="16"/>
        </w:rPr>
        <w:tab/>
      </w:r>
      <w:r w:rsidR="00801B46">
        <w:rPr>
          <w:rFonts w:ascii="Arial" w:hAnsi="Arial" w:cs="Arial"/>
          <w:b/>
          <w:bCs/>
          <w:sz w:val="20"/>
          <w:szCs w:val="16"/>
        </w:rPr>
        <w:t>Objection</w:t>
      </w:r>
      <w:r w:rsidR="000D12B0">
        <w:rPr>
          <w:rFonts w:ascii="Arial" w:hAnsi="Arial" w:cs="Arial"/>
          <w:b/>
          <w:bCs/>
          <w:sz w:val="20"/>
          <w:szCs w:val="16"/>
        </w:rPr>
        <w:t xml:space="preserve"> </w:t>
      </w:r>
      <w:r w:rsidR="00647A44">
        <w:rPr>
          <w:rFonts w:ascii="Arial" w:hAnsi="Arial" w:cs="Arial"/>
          <w:b/>
          <w:bCs/>
          <w:sz w:val="20"/>
          <w:szCs w:val="16"/>
        </w:rPr>
        <w:t xml:space="preserve">by child/parent </w:t>
      </w:r>
      <w:r w:rsidR="000D12B0">
        <w:rPr>
          <w:rFonts w:ascii="Arial" w:hAnsi="Arial" w:cs="Arial"/>
          <w:b/>
          <w:bCs/>
          <w:sz w:val="20"/>
          <w:szCs w:val="16"/>
        </w:rPr>
        <w:t>to summary jurisdiction</w:t>
      </w:r>
    </w:p>
    <w:p w14:paraId="01ABAD54" w14:textId="676EAD16" w:rsidR="00944FAD" w:rsidRDefault="00CF57F8" w:rsidP="004F74C3">
      <w:pPr>
        <w:spacing w:before="120"/>
        <w:jc w:val="both"/>
        <w:rPr>
          <w:rFonts w:ascii="Arial" w:hAnsi="Arial" w:cs="Arial"/>
          <w:sz w:val="20"/>
        </w:rPr>
      </w:pPr>
      <w:r>
        <w:rPr>
          <w:rFonts w:ascii="Arial" w:hAnsi="Arial" w:cs="Arial"/>
          <w:sz w:val="20"/>
        </w:rPr>
        <w:t>Under s</w:t>
      </w:r>
      <w:r w:rsidR="00801B46">
        <w:rPr>
          <w:rFonts w:ascii="Arial" w:hAnsi="Arial" w:cs="Arial"/>
          <w:sz w:val="20"/>
        </w:rPr>
        <w:t>s</w:t>
      </w:r>
      <w:r>
        <w:rPr>
          <w:rFonts w:ascii="Arial" w:hAnsi="Arial" w:cs="Arial"/>
          <w:sz w:val="20"/>
        </w:rPr>
        <w:t xml:space="preserve">.356(3)(a) </w:t>
      </w:r>
      <w:r w:rsidR="00801B46">
        <w:rPr>
          <w:rFonts w:ascii="Arial" w:hAnsi="Arial" w:cs="Arial"/>
          <w:sz w:val="20"/>
        </w:rPr>
        <w:t xml:space="preserve">&amp; 356(4) </w:t>
      </w:r>
      <w:r>
        <w:rPr>
          <w:rFonts w:ascii="Arial" w:hAnsi="Arial" w:cs="Arial"/>
          <w:sz w:val="20"/>
        </w:rPr>
        <w:t xml:space="preserve">CYFA </w:t>
      </w:r>
      <w:r w:rsidR="00801B46">
        <w:rPr>
          <w:rFonts w:ascii="Arial" w:hAnsi="Arial" w:cs="Arial"/>
          <w:sz w:val="20"/>
        </w:rPr>
        <w:t xml:space="preserve">the Children’s Court has no jurisdiction to hear and determine summarily a charge for an indictable offence if </w:t>
      </w:r>
      <w:r w:rsidR="00801B46" w:rsidRPr="001E4A07">
        <w:rPr>
          <w:rFonts w:ascii="Arial" w:hAnsi="Arial" w:cs="Arial"/>
          <w:b/>
          <w:bCs/>
          <w:sz w:val="20"/>
        </w:rPr>
        <w:t>before the hearing of any evidence</w:t>
      </w:r>
      <w:r w:rsidR="00801B46">
        <w:rPr>
          <w:rFonts w:ascii="Arial" w:hAnsi="Arial" w:cs="Arial"/>
          <w:sz w:val="20"/>
        </w:rPr>
        <w:t xml:space="preserve"> the child objects or, if the child is under the age of 15 and is not legally represented, a parent objects on the child’s behalf.</w:t>
      </w:r>
    </w:p>
    <w:p w14:paraId="600447DC" w14:textId="77777777" w:rsidR="00140801" w:rsidRDefault="00140801" w:rsidP="00984BFD">
      <w:pPr>
        <w:jc w:val="both"/>
        <w:rPr>
          <w:rFonts w:ascii="Arial" w:hAnsi="Arial" w:cs="Arial"/>
          <w:sz w:val="20"/>
        </w:rPr>
      </w:pPr>
    </w:p>
    <w:p w14:paraId="43AB294C" w14:textId="352D727A" w:rsidR="00984BFD" w:rsidRDefault="00984BFD" w:rsidP="00984BFD">
      <w:pPr>
        <w:jc w:val="both"/>
        <w:rPr>
          <w:rFonts w:ascii="Arial" w:hAnsi="Arial" w:cs="Arial"/>
          <w:sz w:val="20"/>
        </w:rPr>
      </w:pPr>
      <w:r>
        <w:rPr>
          <w:rFonts w:ascii="Arial" w:hAnsi="Arial" w:cs="Arial"/>
          <w:sz w:val="20"/>
        </w:rPr>
        <w:t>It is virtually unprecedented for a child or parent to object to a summary hearing. Prior to the introduction of s.356(6)</w:t>
      </w:r>
      <w:r w:rsidR="00104A98">
        <w:rPr>
          <w:rFonts w:ascii="Arial" w:hAnsi="Arial" w:cs="Arial"/>
          <w:sz w:val="20"/>
        </w:rPr>
        <w:t xml:space="preserve"> on 05/04/2018</w:t>
      </w:r>
      <w:r>
        <w:rPr>
          <w:rFonts w:ascii="Arial" w:hAnsi="Arial" w:cs="Arial"/>
          <w:sz w:val="20"/>
        </w:rPr>
        <w:t xml:space="preserve">, it had been </w:t>
      </w:r>
      <w:r w:rsidR="00031EEA">
        <w:rPr>
          <w:rFonts w:ascii="Arial" w:hAnsi="Arial" w:cs="Arial"/>
          <w:sz w:val="20"/>
        </w:rPr>
        <w:t>very</w:t>
      </w:r>
      <w:r>
        <w:rPr>
          <w:rFonts w:ascii="Arial" w:hAnsi="Arial" w:cs="Arial"/>
          <w:sz w:val="20"/>
        </w:rPr>
        <w:t xml:space="preserv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1E0E2ABE" w14:textId="6D2A966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104A98">
        <w:rPr>
          <w:rFonts w:ascii="Arial" w:hAnsi="Arial" w:cs="Arial"/>
          <w:sz w:val="20"/>
        </w:rPr>
        <w:t>which</w:t>
      </w:r>
      <w:r w:rsidR="000B0563">
        <w:rPr>
          <w:rFonts w:ascii="Arial" w:hAnsi="Arial" w:cs="Arial"/>
          <w:sz w:val="20"/>
        </w:rPr>
        <w:t xml:space="preserve">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w:t>
      </w:r>
      <w:r w:rsidR="00801B46">
        <w:rPr>
          <w:rFonts w:ascii="Arial" w:hAnsi="Arial" w:cs="Arial"/>
          <w:sz w:val="20"/>
        </w:rPr>
        <w:t xml:space="preserve"> </w:t>
      </w:r>
      <w:r>
        <w:rPr>
          <w:rFonts w:ascii="Arial" w:hAnsi="Arial" w:cs="Arial"/>
          <w:sz w:val="20"/>
        </w:rPr>
        <w:t xml:space="preserve">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w:t>
      </w:r>
      <w:r w:rsidR="000D12B0" w:rsidRPr="00801B46">
        <w:rPr>
          <w:rFonts w:ascii="Arial" w:hAnsi="Arial" w:cs="Arial"/>
          <w:color w:val="000000" w:themeColor="text1"/>
          <w:sz w:val="20"/>
        </w:rPr>
        <w:t> </w:t>
      </w:r>
      <w:r>
        <w:rPr>
          <w:rFonts w:ascii="Arial" w:hAnsi="Arial" w:cs="Arial"/>
          <w:sz w:val="20"/>
        </w:rPr>
        <w:t>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lastRenderedPageBreak/>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61ED39A8"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 xml:space="preserve">noted the requirement that </w:t>
      </w:r>
      <w:r w:rsidR="0055411F">
        <w:rPr>
          <w:rFonts w:ascii="Arial" w:hAnsi="Arial" w:cs="Arial"/>
          <w:sz w:val="20"/>
          <w:szCs w:val="20"/>
        </w:rPr>
        <w:t xml:space="preserve">an adult’s </w:t>
      </w:r>
      <w:r w:rsidR="003C5782">
        <w:rPr>
          <w:rFonts w:ascii="Arial" w:hAnsi="Arial" w:cs="Arial"/>
          <w:sz w:val="20"/>
          <w:szCs w:val="20"/>
        </w:rPr>
        <w:t>consent to jurisdiction must be “informed consent”, saying at [45]-[48]:</w:t>
      </w:r>
    </w:p>
    <w:p w14:paraId="7C370B61" w14:textId="25A9383D"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w:t>
      </w:r>
      <w:r w:rsidR="00031EEA">
        <w:rPr>
          <w:rFonts w:ascii="Arial" w:hAnsi="Arial" w:cs="Arial"/>
          <w:sz w:val="20"/>
          <w:szCs w:val="20"/>
        </w:rPr>
        <w:t xml:space="preserve"> </w:t>
      </w:r>
      <w:r w:rsidRPr="003C5782">
        <w:rPr>
          <w:rFonts w:ascii="Arial" w:hAnsi="Arial" w:cs="Arial"/>
          <w:sz w:val="20"/>
          <w:szCs w:val="20"/>
        </w:rPr>
        <w:t>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53402201"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Having regard to the material placed before me, and in particular to Dr</w:t>
      </w:r>
      <w:r w:rsidR="00031EEA">
        <w:rPr>
          <w:rFonts w:ascii="Arial" w:hAnsi="Arial" w:cs="Arial"/>
          <w:sz w:val="20"/>
          <w:szCs w:val="20"/>
        </w:rPr>
        <w:t xml:space="preserve"> </w:t>
      </w:r>
      <w:r w:rsidRPr="003C5782">
        <w:rPr>
          <w:rFonts w:ascii="Arial" w:hAnsi="Arial" w:cs="Arial"/>
          <w:sz w:val="20"/>
          <w:szCs w:val="20"/>
        </w:rPr>
        <w:t>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w:t>
      </w:r>
      <w:r w:rsidR="00031EEA">
        <w:rPr>
          <w:rFonts w:ascii="Arial" w:hAnsi="Arial" w:cs="Arial"/>
          <w:sz w:val="20"/>
          <w:szCs w:val="20"/>
        </w:rPr>
        <w:t xml:space="preserve"> </w:t>
      </w:r>
      <w:r w:rsidRPr="003C5782">
        <w:rPr>
          <w:rFonts w:ascii="Arial" w:hAnsi="Arial" w:cs="Arial"/>
          <w:sz w:val="20"/>
          <w:szCs w:val="20"/>
        </w:rPr>
        <w:t>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w:t>
      </w:r>
      <w:r w:rsidR="00031EEA">
        <w:rPr>
          <w:rFonts w:ascii="Arial" w:hAnsi="Arial" w:cs="Arial"/>
          <w:sz w:val="20"/>
          <w:szCs w:val="20"/>
        </w:rPr>
        <w:t xml:space="preserve"> </w:t>
      </w:r>
      <w:r w:rsidRPr="003C5782">
        <w:rPr>
          <w:rFonts w:ascii="Arial" w:hAnsi="Arial" w:cs="Arial"/>
          <w:sz w:val="20"/>
          <w:szCs w:val="20"/>
        </w:rPr>
        <w:t>Peers’s evidence that, once she became aware that the Magistrates’ Court’s jurisdiction depended on her consent to the charges being heard and determined summarily, she did not thereafter consent to that occurring.</w:t>
      </w:r>
    </w:p>
    <w:p w14:paraId="057A3101" w14:textId="00C005FA"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I have formed these views not just because of what Dr</w:t>
      </w:r>
      <w:r w:rsidR="00031EEA">
        <w:rPr>
          <w:rFonts w:ascii="Arial" w:hAnsi="Arial" w:cs="Arial"/>
          <w:sz w:val="20"/>
          <w:szCs w:val="20"/>
        </w:rPr>
        <w:t xml:space="preserve"> </w:t>
      </w:r>
      <w:r w:rsidRPr="003C5782">
        <w:rPr>
          <w:rFonts w:ascii="Arial" w:hAnsi="Arial" w:cs="Arial"/>
          <w:sz w:val="20"/>
          <w:szCs w:val="20"/>
        </w:rPr>
        <w:t>Peers has sworn in her affidavit (on which she was not cross-examined), but also because of the broader context in which the appearances in the Mag</w:t>
      </w:r>
      <w:r w:rsidR="00BF3FE0">
        <w:rPr>
          <w:rFonts w:ascii="Arial" w:hAnsi="Arial" w:cs="Arial"/>
          <w:sz w:val="20"/>
          <w:szCs w:val="20"/>
        </w:rPr>
        <w:t>i</w:t>
      </w:r>
      <w:r w:rsidRPr="003C5782">
        <w:rPr>
          <w:rFonts w:ascii="Arial" w:hAnsi="Arial" w:cs="Arial"/>
          <w:sz w:val="20"/>
          <w:szCs w:val="20"/>
        </w:rPr>
        <w:t>strates’ Court took place. Dr</w:t>
      </w:r>
      <w:r w:rsidR="00031EEA">
        <w:rPr>
          <w:rFonts w:ascii="Arial" w:hAnsi="Arial" w:cs="Arial"/>
          <w:sz w:val="20"/>
          <w:szCs w:val="20"/>
        </w:rPr>
        <w:t xml:space="preserve"> </w:t>
      </w:r>
      <w:r w:rsidRPr="003C5782">
        <w:rPr>
          <w:rFonts w:ascii="Arial" w:hAnsi="Arial" w:cs="Arial"/>
          <w:sz w:val="20"/>
          <w:szCs w:val="20"/>
        </w:rPr>
        <w:t>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w:t>
      </w:r>
      <w:r w:rsidR="00031EEA">
        <w:rPr>
          <w:rFonts w:ascii="Arial" w:hAnsi="Arial" w:cs="Arial"/>
          <w:sz w:val="20"/>
          <w:szCs w:val="20"/>
        </w:rPr>
        <w:t xml:space="preserve"> </w:t>
      </w:r>
      <w:r w:rsidRPr="003C5782">
        <w:rPr>
          <w:rFonts w:ascii="Arial" w:hAnsi="Arial" w:cs="Arial"/>
          <w:sz w:val="20"/>
          <w:szCs w:val="20"/>
        </w:rPr>
        <w:t>Peers provided an informed consent to the Magistrates’ Court’s determining the charges summarily but has now changed her mind or has forgotten that she did so.</w:t>
      </w:r>
    </w:p>
    <w:p w14:paraId="57160A3A" w14:textId="7B085C27"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[48] </w:t>
      </w:r>
      <w:r w:rsidRPr="003C5782">
        <w:rPr>
          <w:rFonts w:ascii="Arial" w:hAnsi="Arial" w:cs="Arial"/>
          <w:sz w:val="20"/>
          <w:szCs w:val="20"/>
        </w:rPr>
        <w:t>I make no criticism of the Magistrate. Dr</w:t>
      </w:r>
      <w:r w:rsidR="00031EEA">
        <w:rPr>
          <w:rFonts w:ascii="Arial" w:hAnsi="Arial" w:cs="Arial"/>
          <w:sz w:val="20"/>
          <w:szCs w:val="20"/>
        </w:rPr>
        <w:t xml:space="preserve"> </w:t>
      </w:r>
      <w:r w:rsidRPr="003C5782">
        <w:rPr>
          <w:rFonts w:ascii="Arial" w:hAnsi="Arial" w:cs="Arial"/>
          <w:sz w:val="20"/>
          <w:szCs w:val="20"/>
        </w:rPr>
        <w:t>Peers is an educated person and the Magistrate likely had no reason to make more enquiries of Dr</w:t>
      </w:r>
      <w:r w:rsidR="00031EEA">
        <w:rPr>
          <w:rFonts w:ascii="Arial" w:hAnsi="Arial" w:cs="Arial"/>
          <w:sz w:val="20"/>
          <w:szCs w:val="20"/>
        </w:rPr>
        <w:t xml:space="preserve"> </w:t>
      </w:r>
      <w:r w:rsidRPr="003C5782">
        <w:rPr>
          <w:rFonts w:ascii="Arial" w:hAnsi="Arial" w:cs="Arial"/>
          <w:sz w:val="20"/>
          <w:szCs w:val="20"/>
        </w:rPr>
        <w:t>Peers than she did, even though Dr</w:t>
      </w:r>
      <w:r w:rsidR="00031EEA">
        <w:rPr>
          <w:rFonts w:ascii="Arial" w:hAnsi="Arial" w:cs="Arial"/>
          <w:sz w:val="20"/>
          <w:szCs w:val="20"/>
        </w:rPr>
        <w:t xml:space="preserve"> </w:t>
      </w:r>
      <w:r w:rsidRPr="003C5782">
        <w:rPr>
          <w:rFonts w:ascii="Arial" w:hAnsi="Arial" w:cs="Arial"/>
          <w:sz w:val="20"/>
          <w:szCs w:val="20"/>
        </w:rPr>
        <w:t>Peers was not legally represented. But, as noted above, the question is not whether the Magistrate was wrong to form the view on the material before her that Dr</w:t>
      </w:r>
      <w:r w:rsidR="00031EEA">
        <w:rPr>
          <w:rFonts w:ascii="Arial" w:hAnsi="Arial" w:cs="Arial"/>
          <w:sz w:val="20"/>
          <w:szCs w:val="20"/>
        </w:rPr>
        <w:t xml:space="preserve"> </w:t>
      </w:r>
      <w:r w:rsidRPr="003C5782">
        <w:rPr>
          <w:rFonts w:ascii="Arial" w:hAnsi="Arial" w:cs="Arial"/>
          <w:sz w:val="20"/>
          <w:szCs w:val="20"/>
        </w:rPr>
        <w:t>Peers consented, but whether, on the material before me including the affidavit that was not before the Magistrate, Dr</w:t>
      </w:r>
      <w:r w:rsidR="00031EEA">
        <w:rPr>
          <w:rFonts w:ascii="Arial" w:hAnsi="Arial" w:cs="Arial"/>
          <w:sz w:val="20"/>
          <w:szCs w:val="20"/>
        </w:rPr>
        <w:t xml:space="preserve"> </w:t>
      </w:r>
      <w:r w:rsidRPr="003C5782">
        <w:rPr>
          <w:rFonts w:ascii="Arial" w:hAnsi="Arial" w:cs="Arial"/>
          <w:sz w:val="20"/>
          <w:szCs w:val="20"/>
        </w:rPr>
        <w:t xml:space="preserve">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1C1911C" w14:textId="77777777" w:rsidR="00AD0840" w:rsidRDefault="00AD0840" w:rsidP="00AD0840">
      <w:pPr>
        <w:jc w:val="both"/>
        <w:rPr>
          <w:rFonts w:ascii="Arial" w:hAnsi="Arial" w:cs="Arial"/>
          <w:sz w:val="20"/>
        </w:rPr>
      </w:pPr>
      <w:bookmarkStart w:id="54" w:name="_10.1.2_Serious_youth"/>
      <w:bookmarkEnd w:id="54"/>
    </w:p>
    <w:p w14:paraId="09E8BBF0" w14:textId="3B46E16F" w:rsidR="00AD0840" w:rsidRPr="005C5E3E" w:rsidRDefault="00AD0840" w:rsidP="00AD0840">
      <w:pPr>
        <w:pStyle w:val="Heading3"/>
        <w:spacing w:line="240" w:lineRule="auto"/>
        <w:rPr>
          <w:rFonts w:ascii="Arial" w:hAnsi="Arial" w:cs="Arial"/>
          <w:b/>
          <w:bCs/>
          <w:sz w:val="20"/>
          <w:szCs w:val="16"/>
        </w:rPr>
      </w:pPr>
      <w:bookmarkStart w:id="55" w:name="_10.1.2_Availability_of"/>
      <w:bookmarkEnd w:id="55"/>
      <w:r>
        <w:rPr>
          <w:rFonts w:ascii="Arial" w:hAnsi="Arial" w:cs="Arial"/>
          <w:b/>
          <w:bCs/>
          <w:sz w:val="20"/>
        </w:rPr>
        <w:lastRenderedPageBreak/>
        <w:t>10.1.2</w:t>
      </w:r>
      <w:r>
        <w:rPr>
          <w:rFonts w:ascii="Arial" w:hAnsi="Arial" w:cs="Arial"/>
          <w:b/>
          <w:bCs/>
          <w:sz w:val="20"/>
        </w:rPr>
        <w:tab/>
      </w:r>
      <w:r w:rsidR="00C24285">
        <w:rPr>
          <w:rFonts w:ascii="Arial" w:hAnsi="Arial" w:cs="Arial"/>
          <w:b/>
          <w:bCs/>
          <w:sz w:val="20"/>
        </w:rPr>
        <w:t>Availability of summary jurisdiction [</w:t>
      </w:r>
      <w:r w:rsidR="00A65A7E">
        <w:rPr>
          <w:rFonts w:ascii="Arial" w:hAnsi="Arial" w:cs="Arial"/>
          <w:b/>
          <w:bCs/>
          <w:sz w:val="20"/>
        </w:rPr>
        <w:t xml:space="preserve">offences committed </w:t>
      </w:r>
      <w:r w:rsidR="00C24285">
        <w:rPr>
          <w:rFonts w:ascii="Arial" w:hAnsi="Arial" w:cs="Arial"/>
          <w:b/>
          <w:bCs/>
          <w:sz w:val="20"/>
        </w:rPr>
        <w:t>from</w:t>
      </w:r>
      <w:r w:rsidR="006A5AC8">
        <w:rPr>
          <w:rFonts w:ascii="Arial" w:hAnsi="Arial" w:cs="Arial"/>
          <w:b/>
          <w:bCs/>
          <w:sz w:val="20"/>
        </w:rPr>
        <w:t xml:space="preserve"> </w:t>
      </w:r>
      <w:r>
        <w:rPr>
          <w:rFonts w:ascii="Arial" w:hAnsi="Arial" w:cs="Arial"/>
          <w:b/>
          <w:bCs/>
          <w:sz w:val="20"/>
        </w:rPr>
        <w:t>05/04/2018</w:t>
      </w:r>
      <w:r w:rsidR="006A5AC8">
        <w:rPr>
          <w:rFonts w:ascii="Arial" w:hAnsi="Arial" w:cs="Arial"/>
          <w:b/>
          <w:bCs/>
          <w:sz w:val="20"/>
        </w:rPr>
        <w:t xml:space="preserve"> </w:t>
      </w:r>
      <w:r w:rsidR="00C24285">
        <w:rPr>
          <w:rFonts w:ascii="Arial" w:hAnsi="Arial" w:cs="Arial"/>
          <w:b/>
          <w:bCs/>
          <w:sz w:val="20"/>
        </w:rPr>
        <w:t>to</w:t>
      </w:r>
      <w:r w:rsidR="006A5AC8">
        <w:rPr>
          <w:rFonts w:ascii="Arial" w:hAnsi="Arial" w:cs="Arial"/>
          <w:b/>
          <w:bCs/>
          <w:sz w:val="20"/>
        </w:rPr>
        <w:t xml:space="preserve"> 26/02/2026</w:t>
      </w:r>
      <w:r w:rsidR="00A65A7E">
        <w:rPr>
          <w:rFonts w:ascii="Arial" w:hAnsi="Arial" w:cs="Arial"/>
          <w:b/>
          <w:bCs/>
          <w:sz w:val="20"/>
        </w:rPr>
        <w:t>]</w:t>
      </w:r>
    </w:p>
    <w:p w14:paraId="102CE877" w14:textId="3E190736" w:rsidR="003F3381" w:rsidRDefault="003F3381" w:rsidP="003F3381">
      <w:pPr>
        <w:spacing w:before="120"/>
        <w:jc w:val="both"/>
        <w:rPr>
          <w:rFonts w:ascii="Arial" w:hAnsi="Arial" w:cs="Arial"/>
          <w:sz w:val="20"/>
        </w:rPr>
      </w:pPr>
      <w:r>
        <w:rPr>
          <w:rFonts w:ascii="Arial" w:hAnsi="Arial" w:cs="Arial"/>
          <w:sz w:val="20"/>
        </w:rPr>
        <w:t>The following new definitions were included in CYFA/s.3(1) as and from 05/04/2018 and the specific terrorism</w:t>
      </w:r>
      <w:r w:rsidR="00E55322">
        <w:rPr>
          <w:rFonts w:ascii="Arial" w:hAnsi="Arial" w:cs="Arial"/>
          <w:sz w:val="20"/>
        </w:rPr>
        <w:t>/foreign incursion</w:t>
      </w:r>
      <w:r>
        <w:rPr>
          <w:rFonts w:ascii="Arial" w:hAnsi="Arial" w:cs="Arial"/>
          <w:sz w:val="20"/>
        </w:rPr>
        <w:t xml:space="preserve"> offences were amended as and from 08/08/2018:</w:t>
      </w:r>
    </w:p>
    <w:p w14:paraId="25DED91A" w14:textId="0B0552C7"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713B72F0" w14:textId="1209C9BA" w:rsidR="003F3381" w:rsidRDefault="003F3381" w:rsidP="003F3381">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Murder, attempted murder, manslaughter, child homicide, homicide by firearm, arson causing death (</w:t>
      </w:r>
      <w:r w:rsidRPr="00AB4308">
        <w:rPr>
          <w:rFonts w:ascii="Arial" w:hAnsi="Arial" w:cs="Arial"/>
          <w:i/>
          <w:iCs/>
          <w:sz w:val="20"/>
        </w:rPr>
        <w:t>Crimes Act 1958</w:t>
      </w:r>
      <w:r>
        <w:rPr>
          <w:rFonts w:ascii="Arial" w:hAnsi="Arial" w:cs="Arial"/>
          <w:sz w:val="20"/>
        </w:rPr>
        <w:t>/s.197A), culpable driving causing death (</w:t>
      </w:r>
      <w:r w:rsidRPr="00C4156C">
        <w:rPr>
          <w:rFonts w:ascii="Arial" w:hAnsi="Arial" w:cs="Arial"/>
          <w:i/>
          <w:iCs/>
          <w:sz w:val="20"/>
        </w:rPr>
        <w:t>Crimes Act 1958</w:t>
      </w:r>
      <w:r>
        <w:rPr>
          <w:rFonts w:ascii="Arial" w:hAnsi="Arial" w:cs="Arial"/>
          <w:sz w:val="20"/>
        </w:rPr>
        <w:t>/s.318)</w:t>
      </w:r>
    </w:p>
    <w:p w14:paraId="10B55FBF"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 1958</w:t>
      </w:r>
      <w:r>
        <w:rPr>
          <w:rFonts w:ascii="Arial" w:hAnsi="Arial" w:cs="Arial"/>
          <w:sz w:val="20"/>
        </w:rPr>
        <w:t>/s.15A)</w:t>
      </w:r>
    </w:p>
    <w:p w14:paraId="1926CDEC"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 1958</w:t>
      </w:r>
      <w:r>
        <w:rPr>
          <w:rFonts w:ascii="Arial" w:hAnsi="Arial" w:cs="Arial"/>
          <w:sz w:val="20"/>
        </w:rPr>
        <w:t>/s.77B)</w:t>
      </w:r>
    </w:p>
    <w:p w14:paraId="00B69EA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 1958</w:t>
      </w:r>
      <w:r>
        <w:rPr>
          <w:rFonts w:ascii="Arial" w:hAnsi="Arial" w:cs="Arial"/>
          <w:sz w:val="20"/>
        </w:rPr>
        <w:t>/s.79A)</w:t>
      </w:r>
    </w:p>
    <w:p w14:paraId="78F1C7F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One or more of various terrorism offences (</w:t>
      </w:r>
      <w:r w:rsidRPr="00C4156C">
        <w:rPr>
          <w:rFonts w:ascii="Arial" w:hAnsi="Arial" w:cs="Arial"/>
          <w:i/>
          <w:iCs/>
          <w:sz w:val="20"/>
        </w:rPr>
        <w:t>Terrorism (Community Protection) Act 2003</w:t>
      </w:r>
      <w:r>
        <w:rPr>
          <w:rFonts w:ascii="Arial" w:hAnsi="Arial" w:cs="Arial"/>
          <w:sz w:val="20"/>
        </w:rPr>
        <w:t xml:space="preserve"> (Vic)/s.4B</w:t>
      </w:r>
      <w:bookmarkStart w:id="56" w:name="_Hlk15984120"/>
      <w:r>
        <w:rPr>
          <w:rFonts w:ascii="Arial" w:hAnsi="Arial" w:cs="Arial"/>
          <w:sz w:val="20"/>
        </w:rPr>
        <w:t>;</w:t>
      </w:r>
      <w:bookmarkEnd w:id="56"/>
      <w:r>
        <w:rPr>
          <w:rFonts w:ascii="Arial" w:hAnsi="Arial" w:cs="Arial"/>
          <w:sz w:val="20"/>
        </w:rPr>
        <w:t xml:space="preserve">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Chapter 4, Division 72, Subdivision A;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Part 5.3 or Part 5.5; offence in </w:t>
      </w:r>
      <w:r w:rsidRPr="00C4156C">
        <w:rPr>
          <w:rFonts w:ascii="Arial" w:hAnsi="Arial" w:cs="Arial"/>
          <w:i/>
          <w:iCs/>
          <w:sz w:val="20"/>
          <w:szCs w:val="20"/>
        </w:rPr>
        <w:t>Crimes (Foreign Incursions and Recruitment) Act 1978</w:t>
      </w:r>
      <w:r w:rsidRPr="004F065C">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Cth</w:t>
      </w:r>
      <w:proofErr w:type="spellEnd"/>
      <w:r>
        <w:rPr>
          <w:rFonts w:ascii="Arial" w:hAnsi="Arial" w:cs="Arial"/>
          <w:sz w:val="20"/>
          <w:szCs w:val="20"/>
        </w:rPr>
        <w:t xml:space="preserve">) </w:t>
      </w:r>
      <w:r w:rsidRPr="004F065C">
        <w:rPr>
          <w:rFonts w:ascii="Arial" w:hAnsi="Arial" w:cs="Arial"/>
          <w:sz w:val="20"/>
          <w:szCs w:val="20"/>
        </w:rPr>
        <w:t>as in force before its repeal</w:t>
      </w:r>
      <w:r>
        <w:rPr>
          <w:rFonts w:ascii="Arial" w:hAnsi="Arial" w:cs="Arial"/>
          <w:sz w:val="20"/>
          <w:szCs w:val="20"/>
        </w:rPr>
        <w:t>).</w:t>
      </w:r>
    </w:p>
    <w:p w14:paraId="6C9BB18C" w14:textId="0992DB0E"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 in the </w:t>
      </w:r>
      <w:r w:rsidRPr="00C4156C">
        <w:rPr>
          <w:rFonts w:ascii="Arial" w:hAnsi="Arial" w:cs="Arial"/>
          <w:i/>
          <w:iCs/>
          <w:sz w:val="20"/>
        </w:rPr>
        <w:t>Crimes Act 1958</w:t>
      </w:r>
      <w:r>
        <w:rPr>
          <w:rFonts w:ascii="Arial" w:hAnsi="Arial" w:cs="Arial"/>
          <w:sz w:val="20"/>
        </w:rPr>
        <w:t>–</w:t>
      </w:r>
    </w:p>
    <w:p w14:paraId="2BF736AE"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45F97D90"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(s.38)</w:t>
      </w:r>
    </w:p>
    <w:p w14:paraId="0F52DAAD"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789BDEC2"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0EBDB65C"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06413F7A" w14:textId="77777777" w:rsidR="003F3381" w:rsidRPr="00C046F6" w:rsidRDefault="003F3381" w:rsidP="003F3381">
      <w:pPr>
        <w:jc w:val="both"/>
        <w:rPr>
          <w:rFonts w:ascii="Arial" w:hAnsi="Arial" w:cs="Arial"/>
          <w:sz w:val="18"/>
          <w:szCs w:val="22"/>
        </w:rPr>
      </w:pPr>
    </w:p>
    <w:p w14:paraId="624A4C45" w14:textId="4CE624BC" w:rsidR="003F3381" w:rsidRDefault="003F3381" w:rsidP="004226B5">
      <w:pPr>
        <w:jc w:val="both"/>
        <w:rPr>
          <w:rFonts w:ascii="Arial" w:hAnsi="Arial" w:cs="Arial"/>
          <w:sz w:val="20"/>
        </w:rPr>
      </w:pPr>
      <w:r>
        <w:rPr>
          <w:rFonts w:ascii="Arial" w:hAnsi="Arial" w:cs="Arial"/>
          <w:sz w:val="20"/>
        </w:rPr>
        <w:t>From 05/04/2018 s.356(3) of the CYFA provided</w:t>
      </w:r>
      <w:r w:rsidR="004226B5">
        <w:rPr>
          <w:rFonts w:ascii="Arial" w:hAnsi="Arial" w:cs="Arial"/>
          <w:sz w:val="20"/>
        </w:rPr>
        <w:t xml:space="preserve"> that i</w:t>
      </w:r>
      <w:r>
        <w:rPr>
          <w:rFonts w:ascii="Arial" w:hAnsi="Arial" w:cs="Arial"/>
          <w:sz w:val="20"/>
        </w:rPr>
        <w:t>f a child is charged before the Children’s Court with an indictable offence other than the 7</w:t>
      </w:r>
      <w:r w:rsidR="004226B5">
        <w:rPr>
          <w:rFonts w:ascii="Arial" w:hAnsi="Arial" w:cs="Arial"/>
          <w:sz w:val="20"/>
        </w:rPr>
        <w:t xml:space="preserve"> </w:t>
      </w:r>
      <w:r>
        <w:rPr>
          <w:rFonts w:ascii="Arial" w:hAnsi="Arial" w:cs="Arial"/>
          <w:sz w:val="20"/>
        </w:rPr>
        <w:t>‘</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 the Court must hear and determine the charge summarily unless</w:t>
      </w:r>
      <w:r>
        <w:rPr>
          <w:rFonts w:ascii="Arial" w:hAnsi="Arial" w:cs="Arial"/>
          <w:sz w:val="20"/>
        </w:rPr>
        <w:t>–</w:t>
      </w:r>
    </w:p>
    <w:p w14:paraId="575CE2B5" w14:textId="77777777" w:rsidR="003F3381" w:rsidRDefault="003F3381" w:rsidP="004226B5">
      <w:pPr>
        <w:ind w:left="454" w:hanging="454"/>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per s.356(4) if the child is under the age of 15 and is not legally represented, a parent objects on the child’s behalf); or</w:t>
      </w:r>
    </w:p>
    <w:p w14:paraId="21722C52" w14:textId="77777777" w:rsidR="003F3381" w:rsidRDefault="003F3381" w:rsidP="004226B5">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341B1537" w14:textId="22954178" w:rsidR="003F3381" w:rsidRDefault="003F3381" w:rsidP="004226B5">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4226B5">
        <w:rPr>
          <w:rFonts w:ascii="Arial" w:hAnsi="Arial" w:cs="Arial"/>
          <w:sz w:val="20"/>
        </w:rPr>
        <w:t>”</w:t>
      </w:r>
    </w:p>
    <w:p w14:paraId="69FE39E9" w14:textId="77777777" w:rsidR="00700924" w:rsidRPr="00C046F6" w:rsidRDefault="00700924" w:rsidP="00700924">
      <w:pPr>
        <w:jc w:val="both"/>
        <w:rPr>
          <w:rFonts w:ascii="Arial" w:hAnsi="Arial" w:cs="Arial"/>
          <w:sz w:val="18"/>
          <w:szCs w:val="22"/>
        </w:rPr>
      </w:pPr>
    </w:p>
    <w:p w14:paraId="59009BF3" w14:textId="1B216AD8" w:rsidR="00700924" w:rsidRDefault="00700924" w:rsidP="00700924">
      <w:pPr>
        <w:jc w:val="both"/>
        <w:rPr>
          <w:rFonts w:ascii="Arial" w:hAnsi="Arial" w:cs="Arial"/>
          <w:sz w:val="20"/>
        </w:rPr>
      </w:pPr>
      <w:r>
        <w:rPr>
          <w:rFonts w:ascii="Arial" w:hAnsi="Arial" w:cs="Arial"/>
          <w:sz w:val="20"/>
        </w:rPr>
        <w:t>Section 356</w:t>
      </w:r>
      <w:proofErr w:type="gramStart"/>
      <w:r>
        <w:rPr>
          <w:rFonts w:ascii="Arial" w:hAnsi="Arial" w:cs="Arial"/>
          <w:sz w:val="20"/>
        </w:rPr>
        <w:t>A(</w:t>
      </w:r>
      <w:proofErr w:type="gramEnd"/>
      <w:r>
        <w:rPr>
          <w:rFonts w:ascii="Arial" w:hAnsi="Arial" w:cs="Arial"/>
          <w:sz w:val="20"/>
        </w:rPr>
        <w:t xml:space="preserve">1) – introduced on 26/02/2018 – provides that for the purposes of s.356(3)(b) </w:t>
      </w:r>
      <w:r w:rsidRPr="00A65A7E">
        <w:rPr>
          <w:rFonts w:ascii="Arial" w:hAnsi="Arial" w:cs="Arial"/>
          <w:b/>
          <w:bCs/>
          <w:sz w:val="20"/>
        </w:rPr>
        <w:t>exceptional circumstances</w:t>
      </w:r>
      <w:r>
        <w:rPr>
          <w:rFonts w:ascii="Arial" w:hAnsi="Arial" w:cs="Arial"/>
          <w:sz w:val="20"/>
        </w:rPr>
        <w:t xml:space="preserve"> exist if the Court considers that the sentencing options available under the CYFA are inadequate to respond to the child’s offending. In determining whether the sentencing options are inadequate s.356A(2) requires the Court to have regard to</w:t>
      </w:r>
      <w:r w:rsidR="00A65A7E">
        <w:rPr>
          <w:rFonts w:ascii="Arial" w:hAnsi="Arial" w:cs="Arial"/>
          <w:sz w:val="20"/>
        </w:rPr>
        <w:t>–</w:t>
      </w:r>
    </w:p>
    <w:p w14:paraId="076BA03C" w14:textId="77777777" w:rsidR="00700924" w:rsidRDefault="00700924" w:rsidP="00700924">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6EEC0F0" w14:textId="77777777" w:rsidR="00700924" w:rsidRDefault="00700924" w:rsidP="00700924">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06C984B" w14:textId="77777777" w:rsidR="00700924" w:rsidRDefault="00700924" w:rsidP="00700924">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711B5EAB" w14:textId="77777777" w:rsidR="00700924" w:rsidRDefault="00700924" w:rsidP="00700924">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420BB5C4" w14:textId="77777777" w:rsidR="00700924" w:rsidRDefault="00700924" w:rsidP="00700924">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5648EC8E" w14:textId="77777777" w:rsidR="00700924" w:rsidRDefault="00700924" w:rsidP="00700924">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5AFAFE64" w14:textId="77777777" w:rsidR="00700924" w:rsidRPr="00C046F6" w:rsidRDefault="00700924" w:rsidP="003F3381">
      <w:pPr>
        <w:jc w:val="both"/>
        <w:rPr>
          <w:rFonts w:ascii="Arial" w:hAnsi="Arial" w:cs="Arial"/>
          <w:sz w:val="18"/>
          <w:szCs w:val="22"/>
        </w:rPr>
      </w:pPr>
    </w:p>
    <w:p w14:paraId="1BF7CE79" w14:textId="47E05789" w:rsidR="004226B5" w:rsidRDefault="004226B5" w:rsidP="004226B5">
      <w:pPr>
        <w:jc w:val="both"/>
        <w:rPr>
          <w:rFonts w:ascii="Arial" w:hAnsi="Arial" w:cs="Arial"/>
          <w:sz w:val="20"/>
        </w:rPr>
      </w:pPr>
      <w:r>
        <w:rPr>
          <w:rFonts w:ascii="Arial" w:hAnsi="Arial" w:cs="Arial"/>
          <w:sz w:val="20"/>
        </w:rPr>
        <w:t>The words “</w:t>
      </w:r>
      <w:r w:rsidRPr="004226B5">
        <w:rPr>
          <w:rFonts w:ascii="Arial" w:hAnsi="Arial" w:cs="Arial"/>
          <w:b/>
          <w:bCs/>
          <w:sz w:val="20"/>
        </w:rPr>
        <w:t>at any stage</w:t>
      </w:r>
      <w:r>
        <w:rPr>
          <w:rFonts w:ascii="Arial" w:hAnsi="Arial" w:cs="Arial"/>
          <w:sz w:val="20"/>
        </w:rPr>
        <w:t xml:space="preserve">” in s.356(3)(b) CYFA provide a significant difference between s.356 of the CYFA and ss.29 &amp; 30 of the </w:t>
      </w:r>
      <w:r w:rsidRPr="004226B5">
        <w:rPr>
          <w:rFonts w:ascii="Arial" w:hAnsi="Arial" w:cs="Arial"/>
          <w:i/>
          <w:iCs/>
          <w:sz w:val="20"/>
        </w:rPr>
        <w:t>Criminal Procedure Act 2009</w:t>
      </w:r>
      <w:r>
        <w:rPr>
          <w:rFonts w:ascii="Arial" w:hAnsi="Arial" w:cs="Arial"/>
          <w:sz w:val="20"/>
        </w:rPr>
        <w:t xml:space="preserve"> which deal with proceedings in the Magistrates’ Court.</w:t>
      </w:r>
      <w:r w:rsidRPr="00491118">
        <w:rPr>
          <w:rFonts w:ascii="Arial" w:hAnsi="Arial" w:cs="Arial"/>
          <w:sz w:val="20"/>
          <w:szCs w:val="20"/>
        </w:rPr>
        <w:t xml:space="preserve">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w:t>
      </w:r>
      <w:r w:rsidR="00031EEA">
        <w:rPr>
          <w:rFonts w:ascii="Arial" w:hAnsi="Arial" w:cs="Arial"/>
          <w:sz w:val="20"/>
          <w:szCs w:val="20"/>
        </w:rPr>
        <w:t>against</w:t>
      </w:r>
      <w:r>
        <w:rPr>
          <w:rFonts w:ascii="Arial" w:hAnsi="Arial" w:cs="Arial"/>
          <w:sz w:val="20"/>
          <w:szCs w:val="20"/>
        </w:rPr>
        <w:t xml:space="preserve">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summary contest</w:t>
      </w:r>
      <w:r w:rsidR="00A65A7E">
        <w:rPr>
          <w:rFonts w:ascii="Arial" w:hAnsi="Arial" w:cs="Arial"/>
          <w:sz w:val="20"/>
          <w:szCs w:val="20"/>
        </w:rPr>
        <w:t xml:space="preserve"> but</w:t>
      </w:r>
      <w:r w:rsidRPr="00886936">
        <w:rPr>
          <w:rFonts w:ascii="Arial" w:hAnsi="Arial" w:cs="Arial"/>
          <w:sz w:val="20"/>
          <w:szCs w:val="20"/>
        </w:rPr>
        <w:t xml:space="preserve"> </w:t>
      </w:r>
      <w:r w:rsidR="00A65A7E">
        <w:rPr>
          <w:rFonts w:ascii="Arial" w:hAnsi="Arial" w:cs="Arial"/>
          <w:sz w:val="20"/>
          <w:szCs w:val="20"/>
        </w:rPr>
        <w:t xml:space="preserve">subsequently </w:t>
      </w:r>
      <w:r>
        <w:rPr>
          <w:rFonts w:ascii="Arial" w:hAnsi="Arial" w:cs="Arial"/>
          <w:sz w:val="20"/>
          <w:szCs w:val="20"/>
        </w:rPr>
        <w:t>discontinued</w:t>
      </w:r>
      <w:r w:rsidRPr="00886936">
        <w:rPr>
          <w:rFonts w:ascii="Arial" w:hAnsi="Arial" w:cs="Arial"/>
          <w:sz w:val="20"/>
          <w:szCs w:val="20"/>
        </w:rPr>
        <w:t xml:space="preserve"> </w:t>
      </w:r>
      <w:r w:rsidR="00A65A7E">
        <w:rPr>
          <w:rFonts w:ascii="Arial" w:hAnsi="Arial" w:cs="Arial"/>
          <w:sz w:val="20"/>
          <w:szCs w:val="20"/>
        </w:rPr>
        <w:t>it</w:t>
      </w:r>
      <w:r w:rsidRPr="00886936">
        <w:rPr>
          <w:rFonts w:ascii="Arial" w:hAnsi="Arial" w:cs="Arial"/>
          <w:sz w:val="20"/>
          <w:szCs w:val="20"/>
        </w:rPr>
        <w:t xml:space="preserve"> and </w:t>
      </w:r>
      <w:r>
        <w:rPr>
          <w:rFonts w:ascii="Arial" w:hAnsi="Arial" w:cs="Arial"/>
          <w:sz w:val="20"/>
          <w:szCs w:val="20"/>
        </w:rPr>
        <w:t>remanded the accused to Melbourne for a filing hearing as a preliminary to a committal hearing. On</w:t>
      </w:r>
      <w:r w:rsidR="00700924">
        <w:rPr>
          <w:rFonts w:ascii="Arial" w:hAnsi="Arial" w:cs="Arial"/>
          <w:sz w:val="20"/>
          <w:szCs w:val="20"/>
        </w:rPr>
        <w:t xml:space="preserve"> </w:t>
      </w:r>
      <w:r>
        <w:rPr>
          <w:rFonts w:ascii="Arial" w:hAnsi="Arial" w:cs="Arial"/>
          <w:sz w:val="20"/>
          <w:szCs w:val="20"/>
        </w:rPr>
        <w:t>the hearing of an o</w:t>
      </w:r>
      <w:r>
        <w:rPr>
          <w:rFonts w:ascii="Arial" w:hAnsi="Arial" w:cs="Arial"/>
          <w:sz w:val="20"/>
        </w:rPr>
        <w:t>riginating motion, McDonald J held that the Magistrate had erred in law, stating at [47]:</w:t>
      </w:r>
    </w:p>
    <w:p w14:paraId="0CB8C510" w14:textId="3B1214EF" w:rsidR="004226B5" w:rsidRPr="00213DB3" w:rsidRDefault="004226B5" w:rsidP="004226B5">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5D6F9018" w14:textId="77777777" w:rsidR="004226B5" w:rsidRPr="00C046F6" w:rsidRDefault="004226B5" w:rsidP="003F3381">
      <w:pPr>
        <w:jc w:val="both"/>
        <w:rPr>
          <w:rFonts w:ascii="Arial" w:hAnsi="Arial" w:cs="Arial"/>
          <w:sz w:val="16"/>
          <w:szCs w:val="20"/>
        </w:rPr>
      </w:pPr>
    </w:p>
    <w:p w14:paraId="766FD756" w14:textId="77777777" w:rsidR="00C046F6" w:rsidRDefault="004226B5" w:rsidP="000538E9">
      <w:pPr>
        <w:jc w:val="both"/>
        <w:rPr>
          <w:rFonts w:ascii="Arial" w:hAnsi="Arial" w:cs="Arial"/>
          <w:bCs/>
          <w:sz w:val="20"/>
        </w:rPr>
      </w:pPr>
      <w:r>
        <w:rPr>
          <w:rFonts w:ascii="Arial" w:hAnsi="Arial" w:cs="Arial"/>
          <w:sz w:val="20"/>
        </w:rPr>
        <w:lastRenderedPageBreak/>
        <w:t xml:space="preserve">From 05/04/2018 </w:t>
      </w:r>
      <w:r w:rsidR="003F3381">
        <w:rPr>
          <w:rFonts w:ascii="Arial" w:hAnsi="Arial" w:cs="Arial"/>
          <w:sz w:val="20"/>
        </w:rPr>
        <w:t xml:space="preserve">s.356(6) </w:t>
      </w:r>
      <w:r>
        <w:rPr>
          <w:rFonts w:ascii="Arial" w:hAnsi="Arial" w:cs="Arial"/>
          <w:sz w:val="20"/>
        </w:rPr>
        <w:t xml:space="preserve">of the CYFA </w:t>
      </w:r>
      <w:r w:rsidR="003F3381">
        <w:rPr>
          <w:rFonts w:ascii="Arial" w:hAnsi="Arial" w:cs="Arial"/>
          <w:sz w:val="20"/>
        </w:rPr>
        <w:t xml:space="preserve">introduced a </w:t>
      </w:r>
      <w:r w:rsidR="003F3381" w:rsidRPr="00796674">
        <w:rPr>
          <w:rFonts w:ascii="Arial" w:hAnsi="Arial" w:cs="Arial"/>
          <w:b/>
          <w:bCs/>
          <w:sz w:val="20"/>
          <w:shd w:val="clear" w:color="auto" w:fill="FFE599" w:themeFill="accent4" w:themeFillTint="66"/>
        </w:rPr>
        <w:t>presumption of ‘uplift’</w:t>
      </w:r>
      <w:r w:rsidR="003F3381">
        <w:rPr>
          <w:rFonts w:ascii="Arial" w:hAnsi="Arial" w:cs="Arial"/>
          <w:sz w:val="20"/>
        </w:rPr>
        <w:t xml:space="preserve"> to a higher court when a child is charged with a </w:t>
      </w:r>
      <w:r w:rsidR="003F3381" w:rsidRPr="000E0433">
        <w:rPr>
          <w:rFonts w:ascii="Arial" w:hAnsi="Arial" w:cs="Arial"/>
          <w:b/>
          <w:sz w:val="20"/>
        </w:rPr>
        <w:t>Category A serious youth offence</w:t>
      </w:r>
      <w:r w:rsidR="003F3381">
        <w:rPr>
          <w:rFonts w:ascii="Arial" w:hAnsi="Arial" w:cs="Arial"/>
          <w:sz w:val="20"/>
        </w:rPr>
        <w:t xml:space="preserve"> (other than one of the seven </w:t>
      </w:r>
      <w:r w:rsidR="003F3381" w:rsidRPr="003F3381">
        <w:rPr>
          <w:rFonts w:ascii="Arial" w:hAnsi="Arial" w:cs="Arial"/>
          <w:b/>
          <w:bCs/>
          <w:sz w:val="20"/>
        </w:rPr>
        <w:t>death offences</w:t>
      </w:r>
      <w:r w:rsidR="003F3381">
        <w:rPr>
          <w:rFonts w:ascii="Arial" w:hAnsi="Arial" w:cs="Arial"/>
          <w:sz w:val="20"/>
        </w:rPr>
        <w:t xml:space="preserve"> for which </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uplift</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 xml:space="preserve"> is mandatory</w:t>
      </w:r>
      <w:r w:rsidR="003F3381">
        <w:rPr>
          <w:rFonts w:ascii="Arial" w:hAnsi="Arial" w:cs="Arial"/>
          <w:sz w:val="20"/>
        </w:rPr>
        <w:t xml:space="preserve">) </w:t>
      </w:r>
      <w:r w:rsidR="003F3381" w:rsidRPr="00796674">
        <w:rPr>
          <w:rFonts w:ascii="Arial" w:hAnsi="Arial" w:cs="Arial"/>
          <w:bCs/>
          <w:sz w:val="20"/>
        </w:rPr>
        <w:t xml:space="preserve">allegedly committed when the child was </w:t>
      </w:r>
      <w:r w:rsidR="006B7A31" w:rsidRPr="00796674">
        <w:rPr>
          <w:rFonts w:ascii="Arial" w:hAnsi="Arial" w:cs="Arial"/>
          <w:bCs/>
          <w:sz w:val="20"/>
        </w:rPr>
        <w:t xml:space="preserve">aged </w:t>
      </w:r>
      <w:r w:rsidR="003F3381" w:rsidRPr="00796674">
        <w:rPr>
          <w:rFonts w:ascii="Arial" w:hAnsi="Arial" w:cs="Arial"/>
          <w:b/>
          <w:sz w:val="20"/>
        </w:rPr>
        <w:t xml:space="preserve">16 </w:t>
      </w:r>
      <w:r w:rsidR="00796674" w:rsidRPr="00796674">
        <w:rPr>
          <w:rFonts w:ascii="Arial" w:hAnsi="Arial" w:cs="Arial"/>
          <w:b/>
          <w:sz w:val="20"/>
        </w:rPr>
        <w:t>or 17</w:t>
      </w:r>
      <w:r w:rsidR="00796674" w:rsidRPr="00796674">
        <w:rPr>
          <w:rFonts w:ascii="Arial" w:hAnsi="Arial" w:cs="Arial"/>
          <w:bCs/>
          <w:sz w:val="20"/>
        </w:rPr>
        <w:t>.</w:t>
      </w:r>
    </w:p>
    <w:p w14:paraId="40F94D3C" w14:textId="77777777" w:rsidR="00C046F6" w:rsidRDefault="00C046F6" w:rsidP="000538E9">
      <w:pPr>
        <w:jc w:val="both"/>
        <w:rPr>
          <w:rFonts w:ascii="Arial" w:hAnsi="Arial" w:cs="Arial"/>
          <w:bCs/>
          <w:sz w:val="20"/>
        </w:rPr>
      </w:pPr>
    </w:p>
    <w:p w14:paraId="0C064507" w14:textId="430AB295" w:rsidR="000538E9" w:rsidRDefault="000538E9" w:rsidP="000538E9">
      <w:pPr>
        <w:jc w:val="both"/>
        <w:rPr>
          <w:rFonts w:ascii="Arial" w:hAnsi="Arial" w:cs="Arial"/>
          <w:sz w:val="20"/>
        </w:rPr>
      </w:pPr>
      <w:r>
        <w:rPr>
          <w:rFonts w:ascii="Arial" w:hAnsi="Arial" w:cs="Arial"/>
          <w:sz w:val="20"/>
        </w:rPr>
        <w:t>The effect of th</w:t>
      </w:r>
      <w:r w:rsidR="009F2986">
        <w:rPr>
          <w:rFonts w:ascii="Arial" w:hAnsi="Arial" w:cs="Arial"/>
          <w:sz w:val="20"/>
        </w:rPr>
        <w:t>e</w:t>
      </w:r>
      <w:r w:rsidR="00C046F6">
        <w:rPr>
          <w:rFonts w:ascii="Arial" w:hAnsi="Arial" w:cs="Arial"/>
          <w:sz w:val="20"/>
        </w:rPr>
        <w:t>se</w:t>
      </w:r>
      <w:r>
        <w:rPr>
          <w:rFonts w:ascii="Arial" w:hAnsi="Arial" w:cs="Arial"/>
          <w:sz w:val="20"/>
        </w:rPr>
        <w:t xml:space="preserve"> amendment</w:t>
      </w:r>
      <w:r w:rsidR="009F2986">
        <w:rPr>
          <w:rFonts w:ascii="Arial" w:hAnsi="Arial" w:cs="Arial"/>
          <w:sz w:val="20"/>
        </w:rPr>
        <w:t>s</w:t>
      </w:r>
      <w:r>
        <w:rPr>
          <w:rFonts w:ascii="Arial" w:hAnsi="Arial" w:cs="Arial"/>
          <w:sz w:val="20"/>
        </w:rPr>
        <w:t xml:space="preserve"> to s.356 </w:t>
      </w:r>
      <w:r w:rsidR="006B7A31">
        <w:rPr>
          <w:rFonts w:ascii="Arial" w:hAnsi="Arial" w:cs="Arial"/>
          <w:sz w:val="20"/>
        </w:rPr>
        <w:t>wa</w:t>
      </w:r>
      <w:r>
        <w:rPr>
          <w:rFonts w:ascii="Arial" w:hAnsi="Arial" w:cs="Arial"/>
          <w:sz w:val="20"/>
        </w:rPr>
        <w:t>s that for the following offences alleged to have been committed between 05/04/2018 &amp; 26/02/2026–</w:t>
      </w:r>
    </w:p>
    <w:p w14:paraId="25B3EAFC" w14:textId="5EF60848" w:rsidR="006B7A31" w:rsidRPr="006B7A31" w:rsidRDefault="000538E9" w:rsidP="006B7A31">
      <w:pPr>
        <w:pStyle w:val="ListParagraph"/>
        <w:numPr>
          <w:ilvl w:val="0"/>
          <w:numId w:val="130"/>
        </w:numPr>
        <w:spacing w:before="40"/>
        <w:ind w:left="357" w:hanging="357"/>
        <w:contextualSpacing w:val="0"/>
        <w:jc w:val="both"/>
        <w:rPr>
          <w:rFonts w:ascii="Arial" w:hAnsi="Arial" w:cs="Arial"/>
          <w:b/>
          <w:bCs/>
          <w:sz w:val="20"/>
        </w:rPr>
      </w:pPr>
      <w:r w:rsidRPr="006B7A31">
        <w:rPr>
          <w:rFonts w:ascii="Arial" w:hAnsi="Arial" w:cs="Arial"/>
          <w:sz w:val="20"/>
        </w:rPr>
        <w:t xml:space="preserve">The Children’s Court has </w:t>
      </w:r>
      <w:r w:rsidRPr="006B7A31">
        <w:rPr>
          <w:rFonts w:ascii="Arial" w:hAnsi="Arial" w:cs="Arial"/>
          <w:b/>
          <w:bCs/>
          <w:color w:val="FFFFFF" w:themeColor="background1"/>
          <w:sz w:val="20"/>
          <w:shd w:val="clear" w:color="auto" w:fill="FF0000"/>
        </w:rPr>
        <w:t>no summary jurisdiction</w:t>
      </w:r>
      <w:r w:rsidRPr="006B7A31">
        <w:rPr>
          <w:rFonts w:ascii="Arial" w:hAnsi="Arial" w:cs="Arial"/>
          <w:sz w:val="20"/>
        </w:rPr>
        <w:t xml:space="preserve"> in relation to</w:t>
      </w:r>
      <w:r w:rsidR="006B7A31" w:rsidRPr="006B7A31">
        <w:rPr>
          <w:rFonts w:ascii="Arial" w:hAnsi="Arial" w:cs="Arial"/>
          <w:sz w:val="20"/>
        </w:rPr>
        <w:t xml:space="preserve"> the 7 ‘</w:t>
      </w:r>
      <w:r w:rsidR="006B7A31" w:rsidRPr="006B7A31">
        <w:rPr>
          <w:rFonts w:ascii="Arial" w:hAnsi="Arial" w:cs="Arial"/>
          <w:b/>
          <w:bCs/>
          <w:sz w:val="20"/>
        </w:rPr>
        <w:t>death offences</w:t>
      </w:r>
      <w:r w:rsidR="006B7A31" w:rsidRPr="006B7A31">
        <w:rPr>
          <w:rFonts w:ascii="Arial" w:hAnsi="Arial" w:cs="Arial"/>
          <w:sz w:val="20"/>
        </w:rPr>
        <w:t xml:space="preserve">’ (murder, attempted murder, manslaughter, child homicide, homicide by firearm, arson causing death, culpable driving causing death): see </w:t>
      </w:r>
      <w:r w:rsidR="006B7A31" w:rsidRPr="006B7A31">
        <w:rPr>
          <w:rFonts w:ascii="Arial" w:hAnsi="Arial" w:cs="Arial"/>
          <w:b/>
          <w:bCs/>
          <w:sz w:val="20"/>
        </w:rPr>
        <w:t>s</w:t>
      </w:r>
      <w:r w:rsidR="006B7A31">
        <w:rPr>
          <w:rFonts w:ascii="Arial" w:hAnsi="Arial" w:cs="Arial"/>
          <w:b/>
          <w:bCs/>
          <w:sz w:val="20"/>
        </w:rPr>
        <w:t>s</w:t>
      </w:r>
      <w:r w:rsidR="006B7A31" w:rsidRPr="006B7A31">
        <w:rPr>
          <w:rFonts w:ascii="Arial" w:hAnsi="Arial" w:cs="Arial"/>
          <w:b/>
          <w:bCs/>
          <w:sz w:val="20"/>
        </w:rPr>
        <w:t>.356(3)</w:t>
      </w:r>
      <w:r w:rsidR="006B7A31">
        <w:rPr>
          <w:rFonts w:ascii="Arial" w:hAnsi="Arial" w:cs="Arial"/>
          <w:b/>
          <w:bCs/>
          <w:sz w:val="20"/>
        </w:rPr>
        <w:t xml:space="preserve"> &amp; 516(1)(b)</w:t>
      </w:r>
      <w:r w:rsidR="006B7A31">
        <w:rPr>
          <w:rFonts w:ascii="Arial" w:hAnsi="Arial" w:cs="Arial"/>
          <w:sz w:val="20"/>
        </w:rPr>
        <w:t>.</w:t>
      </w:r>
    </w:p>
    <w:p w14:paraId="30E3B3BF" w14:textId="1C73CEE9" w:rsidR="000538E9" w:rsidRDefault="000538E9"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Pr="006B06E0">
        <w:rPr>
          <w:rFonts w:ascii="Arial" w:hAnsi="Arial" w:cs="Arial"/>
          <w:sz w:val="20"/>
        </w:rPr>
        <w:t>he Children’s Cour</w:t>
      </w:r>
      <w:r>
        <w:rPr>
          <w:rFonts w:ascii="Arial" w:hAnsi="Arial" w:cs="Arial"/>
          <w:sz w:val="20"/>
        </w:rPr>
        <w:t xml:space="preserve">t has </w:t>
      </w:r>
      <w:r w:rsidRPr="006B06E0">
        <w:rPr>
          <w:rFonts w:ascii="Arial" w:hAnsi="Arial" w:cs="Arial"/>
          <w:b/>
          <w:bCs/>
          <w:sz w:val="20"/>
          <w:shd w:val="clear" w:color="auto" w:fill="FFE599" w:themeFill="accent4" w:themeFillTint="66"/>
        </w:rPr>
        <w:t>restricted summary jurisdiction</w:t>
      </w:r>
      <w:r w:rsidRPr="006B06E0">
        <w:rPr>
          <w:rFonts w:ascii="Arial" w:hAnsi="Arial" w:cs="Arial"/>
          <w:sz w:val="20"/>
        </w:rPr>
        <w:t xml:space="preserve"> in relation to</w:t>
      </w:r>
      <w:r w:rsidR="006B7A31">
        <w:rPr>
          <w:rFonts w:ascii="Arial" w:hAnsi="Arial" w:cs="Arial"/>
          <w:sz w:val="20"/>
        </w:rPr>
        <w:t xml:space="preserve"> any </w:t>
      </w:r>
      <w:r w:rsidR="006B7A31" w:rsidRPr="000E0433">
        <w:rPr>
          <w:rFonts w:ascii="Arial" w:hAnsi="Arial" w:cs="Arial"/>
          <w:b/>
          <w:sz w:val="20"/>
        </w:rPr>
        <w:t>Category A serious youth offence</w:t>
      </w:r>
      <w:r w:rsidR="006B7A31">
        <w:rPr>
          <w:rFonts w:ascii="Arial" w:hAnsi="Arial" w:cs="Arial"/>
          <w:sz w:val="20"/>
        </w:rPr>
        <w:t xml:space="preserve"> committed when the child was </w:t>
      </w:r>
      <w:r w:rsidR="00796674">
        <w:rPr>
          <w:rFonts w:ascii="Arial" w:hAnsi="Arial" w:cs="Arial"/>
          <w:sz w:val="20"/>
        </w:rPr>
        <w:t xml:space="preserve">aged </w:t>
      </w:r>
      <w:r w:rsidR="006B7A31" w:rsidRPr="00073B75">
        <w:rPr>
          <w:rFonts w:ascii="Arial" w:hAnsi="Arial" w:cs="Arial"/>
          <w:b/>
          <w:bCs/>
          <w:sz w:val="20"/>
        </w:rPr>
        <w:t>16 or 17</w:t>
      </w:r>
      <w:r w:rsidR="006B7A31">
        <w:rPr>
          <w:rFonts w:ascii="Arial" w:hAnsi="Arial" w:cs="Arial"/>
          <w:sz w:val="20"/>
        </w:rPr>
        <w:t xml:space="preserve">: see </w:t>
      </w:r>
      <w:r w:rsidR="006B7A31" w:rsidRPr="006B7A31">
        <w:rPr>
          <w:rFonts w:ascii="Arial" w:hAnsi="Arial" w:cs="Arial"/>
          <w:b/>
          <w:bCs/>
          <w:sz w:val="20"/>
        </w:rPr>
        <w:t>s.356(6)</w:t>
      </w:r>
      <w:r w:rsidR="006B7A31">
        <w:rPr>
          <w:rFonts w:ascii="Arial" w:hAnsi="Arial" w:cs="Arial"/>
          <w:sz w:val="20"/>
        </w:rPr>
        <w:t>.</w:t>
      </w:r>
      <w:r w:rsidR="00796674">
        <w:rPr>
          <w:rFonts w:ascii="Arial" w:hAnsi="Arial" w:cs="Arial"/>
          <w:sz w:val="20"/>
        </w:rPr>
        <w:t xml:space="preserve"> The Court must not hear and determine such a charge summarily unless–</w:t>
      </w:r>
    </w:p>
    <w:p w14:paraId="19D5B33C" w14:textId="77777777" w:rsidR="00796674" w:rsidRDefault="00796674" w:rsidP="009F2986">
      <w:pPr>
        <w:ind w:left="811"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649C7A2" w14:textId="77777777" w:rsidR="00796674" w:rsidRDefault="00796674" w:rsidP="009F2986">
      <w:pPr>
        <w:ind w:left="811"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477C6C97" w14:textId="77777777" w:rsidR="00796674" w:rsidRDefault="00796674" w:rsidP="009F2986">
      <w:pPr>
        <w:ind w:left="811" w:hanging="454"/>
        <w:jc w:val="both"/>
        <w:rPr>
          <w:rFonts w:ascii="Arial" w:hAnsi="Arial" w:cs="Arial"/>
          <w:sz w:val="20"/>
        </w:rPr>
      </w:pPr>
      <w:r>
        <w:rPr>
          <w:rFonts w:ascii="Arial" w:hAnsi="Arial" w:cs="Arial"/>
          <w:sz w:val="20"/>
        </w:rPr>
        <w:t>(c)</w:t>
      </w:r>
      <w:r>
        <w:rPr>
          <w:rFonts w:ascii="Arial" w:hAnsi="Arial" w:cs="Arial"/>
          <w:sz w:val="20"/>
        </w:rPr>
        <w:tab/>
        <w:t>any of the following applies–</w:t>
      </w:r>
    </w:p>
    <w:p w14:paraId="0B5EB56D" w14:textId="77777777" w:rsidR="00796674"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it is in the interests of the victim(s) to do so;</w:t>
      </w:r>
    </w:p>
    <w:p w14:paraId="4683C622" w14:textId="77777777" w:rsidR="009F2986"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the accused is particularly vulnerable because of cognitive impairment or mental illness;</w:t>
      </w:r>
    </w:p>
    <w:p w14:paraId="42924F9A" w14:textId="4FE3F673" w:rsidR="00796674" w:rsidRPr="009F2986" w:rsidRDefault="00796674" w:rsidP="009F2986">
      <w:pPr>
        <w:numPr>
          <w:ilvl w:val="0"/>
          <w:numId w:val="67"/>
        </w:numPr>
        <w:tabs>
          <w:tab w:val="left" w:pos="964"/>
        </w:tabs>
        <w:ind w:left="1265" w:hanging="454"/>
        <w:jc w:val="both"/>
        <w:rPr>
          <w:rFonts w:ascii="Arial" w:hAnsi="Arial" w:cs="Arial"/>
          <w:sz w:val="20"/>
        </w:rPr>
      </w:pPr>
      <w:r w:rsidRPr="009F2986">
        <w:rPr>
          <w:rFonts w:ascii="Arial" w:hAnsi="Arial" w:cs="Arial"/>
          <w:sz w:val="20"/>
        </w:rPr>
        <w:t>there is a substantial and compelling reason to do so</w:t>
      </w:r>
      <w:r w:rsidR="009F2986">
        <w:rPr>
          <w:rFonts w:ascii="Arial" w:hAnsi="Arial" w:cs="Arial"/>
          <w:sz w:val="20"/>
        </w:rPr>
        <w:t xml:space="preserve"> (</w:t>
      </w:r>
      <w:r w:rsidR="009F2986" w:rsidRPr="003E3760">
        <w:rPr>
          <w:rFonts w:ascii="Arial" w:hAnsi="Arial" w:cs="Arial"/>
          <w:sz w:val="20"/>
        </w:rPr>
        <w:t xml:space="preserve">having regard to the intention of Parliament that </w:t>
      </w:r>
      <w:r w:rsidR="009F2986">
        <w:rPr>
          <w:rFonts w:ascii="Arial" w:hAnsi="Arial" w:cs="Arial"/>
          <w:sz w:val="20"/>
        </w:rPr>
        <w:t xml:space="preserve">a </w:t>
      </w:r>
      <w:r w:rsidR="009F2986" w:rsidRPr="003E3760">
        <w:rPr>
          <w:rFonts w:ascii="Arial" w:hAnsi="Arial" w:cs="Arial"/>
          <w:sz w:val="20"/>
        </w:rPr>
        <w:t xml:space="preserve">charge </w:t>
      </w:r>
      <w:r w:rsidR="009F2986">
        <w:rPr>
          <w:rFonts w:ascii="Arial" w:hAnsi="Arial" w:cs="Arial"/>
          <w:sz w:val="20"/>
        </w:rPr>
        <w:t xml:space="preserve">for a Category A serious youth offence </w:t>
      </w:r>
      <w:r w:rsidR="009F2986" w:rsidRPr="003E3760">
        <w:rPr>
          <w:rFonts w:ascii="Arial" w:hAnsi="Arial" w:cs="Arial"/>
          <w:sz w:val="20"/>
        </w:rPr>
        <w:t>should not normally be heard and determined summarily</w:t>
      </w:r>
      <w:r w:rsidR="009F2986">
        <w:rPr>
          <w:rFonts w:ascii="Arial" w:hAnsi="Arial" w:cs="Arial"/>
          <w:sz w:val="20"/>
        </w:rPr>
        <w:t>: see ss.356(7)).</w:t>
      </w:r>
    </w:p>
    <w:p w14:paraId="310A0283" w14:textId="666CF2E8" w:rsidR="0084462A" w:rsidRDefault="00796674"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The Children’s Court must</w:t>
      </w:r>
      <w:r w:rsidR="0084462A">
        <w:rPr>
          <w:rFonts w:ascii="Arial" w:hAnsi="Arial" w:cs="Arial"/>
          <w:sz w:val="20"/>
        </w:rPr>
        <w:t xml:space="preserve"> consider whether s.356(3) has the effect that a </w:t>
      </w:r>
      <w:r w:rsidR="0084462A" w:rsidRPr="0084462A">
        <w:rPr>
          <w:rFonts w:ascii="Arial" w:hAnsi="Arial" w:cs="Arial"/>
          <w:b/>
          <w:bCs/>
          <w:sz w:val="20"/>
        </w:rPr>
        <w:t>Category B serious youth offence</w:t>
      </w:r>
      <w:r w:rsidR="0084462A">
        <w:rPr>
          <w:rFonts w:ascii="Arial" w:hAnsi="Arial" w:cs="Arial"/>
          <w:sz w:val="20"/>
        </w:rPr>
        <w:t xml:space="preserve"> committed when a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0888CECE" w14:textId="77777777" w:rsidR="000538E9" w:rsidRPr="00846611" w:rsidRDefault="000538E9" w:rsidP="000538E9">
      <w:pPr>
        <w:ind w:left="454" w:hanging="454"/>
        <w:jc w:val="both"/>
        <w:rPr>
          <w:rFonts w:ascii="Arial" w:hAnsi="Arial" w:cs="Arial"/>
          <w:sz w:val="18"/>
          <w:szCs w:val="22"/>
        </w:rPr>
      </w:pPr>
    </w:p>
    <w:p w14:paraId="02698808" w14:textId="0CE1FC8E" w:rsidR="003F3381" w:rsidRDefault="003F3381" w:rsidP="003F3381">
      <w:pPr>
        <w:jc w:val="both"/>
        <w:rPr>
          <w:rFonts w:ascii="Arial" w:hAnsi="Arial" w:cs="Arial"/>
          <w:sz w:val="20"/>
        </w:rPr>
      </w:pPr>
      <w:r>
        <w:rPr>
          <w:rFonts w:ascii="Arial" w:hAnsi="Arial" w:cs="Arial"/>
          <w:sz w:val="20"/>
        </w:rPr>
        <w:t>Practice Direction No.2 of 2018 set out directions in relation to the listing, procedure and venue for charges falling within s.356(6).</w:t>
      </w:r>
      <w:r w:rsidR="004226B5">
        <w:rPr>
          <w:rFonts w:ascii="Arial" w:hAnsi="Arial" w:cs="Arial"/>
          <w:sz w:val="20"/>
        </w:rPr>
        <w:t xml:space="preserve"> This </w:t>
      </w:r>
      <w:r w:rsidR="00A65A7E">
        <w:rPr>
          <w:rFonts w:ascii="Arial" w:hAnsi="Arial" w:cs="Arial"/>
          <w:sz w:val="20"/>
        </w:rPr>
        <w:t xml:space="preserve">P.D. </w:t>
      </w:r>
      <w:r w:rsidR="004226B5">
        <w:rPr>
          <w:rFonts w:ascii="Arial" w:hAnsi="Arial" w:cs="Arial"/>
          <w:sz w:val="20"/>
        </w:rPr>
        <w:t>was revoked on 27/02/2026.</w:t>
      </w:r>
    </w:p>
    <w:p w14:paraId="2809374D" w14:textId="77777777" w:rsidR="003F3381" w:rsidRDefault="003F3381" w:rsidP="003F3381">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1D2B85" w:rsidRPr="006C36D7" w14:paraId="4ECB5089" w14:textId="77777777" w:rsidTr="001D2B8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5DE5AA83" w14:textId="06B64C94" w:rsidR="001D2B85" w:rsidRPr="006C36D7" w:rsidRDefault="00BF3FE0" w:rsidP="006C36D7">
            <w:pPr>
              <w:jc w:val="center"/>
              <w:rPr>
                <w:b/>
                <w:bCs/>
                <w:szCs w:val="32"/>
              </w:rPr>
            </w:pPr>
            <w:r w:rsidRPr="006C36D7">
              <w:rPr>
                <w:b/>
                <w:bCs/>
                <w:szCs w:val="32"/>
              </w:rPr>
              <w:t>SUMMARY OF ‘</w:t>
            </w:r>
            <w:r w:rsidR="001D2B85" w:rsidRPr="006C36D7">
              <w:rPr>
                <w:b/>
                <w:bCs/>
                <w:szCs w:val="32"/>
              </w:rPr>
              <w:t>UPLIFT</w:t>
            </w:r>
            <w:r w:rsidRPr="006C36D7">
              <w:rPr>
                <w:b/>
                <w:bCs/>
                <w:szCs w:val="32"/>
              </w:rPr>
              <w:t>’</w:t>
            </w:r>
            <w:r w:rsidR="001D2B85" w:rsidRPr="006C36D7">
              <w:rPr>
                <w:b/>
                <w:bCs/>
                <w:szCs w:val="32"/>
              </w:rPr>
              <w:t xml:space="preserve"> PROVISIONS FOR OFFENCES COMMITTED </w:t>
            </w:r>
            <w:r w:rsidR="006374B3">
              <w:rPr>
                <w:b/>
                <w:bCs/>
                <w:szCs w:val="32"/>
              </w:rPr>
              <w:t xml:space="preserve">FROM </w:t>
            </w:r>
            <w:r w:rsidR="001D2B85" w:rsidRPr="006C36D7">
              <w:rPr>
                <w:b/>
                <w:bCs/>
                <w:szCs w:val="32"/>
              </w:rPr>
              <w:t xml:space="preserve">05/04/2018 </w:t>
            </w:r>
            <w:r w:rsidR="006374B3">
              <w:rPr>
                <w:b/>
                <w:bCs/>
                <w:szCs w:val="32"/>
              </w:rPr>
              <w:t>TO</w:t>
            </w:r>
            <w:r w:rsidR="001D2B85" w:rsidRPr="006C36D7">
              <w:rPr>
                <w:b/>
                <w:bCs/>
                <w:szCs w:val="32"/>
              </w:rPr>
              <w:t xml:space="preserve"> 26/02/2026</w:t>
            </w:r>
          </w:p>
        </w:tc>
      </w:tr>
      <w:bookmarkStart w:id="57" w:name="_10.1.3_Summary_of"/>
      <w:bookmarkEnd w:id="57"/>
      <w:tr w:rsidR="00F03A9B" w:rsidRPr="004F7528" w14:paraId="2F8E590B" w14:textId="77777777" w:rsidTr="00FB5E5A">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r w:rsidRPr="008378D2">
              <w:rPr>
                <w:b/>
                <w:bCs/>
                <w:noProof/>
                <w:color w:val="FFFFFF" w:themeColor="background1"/>
                <w:shd w:val="clear" w:color="auto" w:fill="FF0000"/>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8378D2">
              <w:rPr>
                <w:rFonts w:ascii="Arial" w:hAnsi="Arial" w:cs="Arial"/>
                <w:b/>
                <w:bCs/>
                <w:color w:val="FFFFFF" w:themeColor="background1"/>
                <w:sz w:val="20"/>
                <w:shd w:val="clear" w:color="auto" w:fill="FF0000"/>
              </w:rPr>
              <w:t>Mandatory uplift</w:t>
            </w:r>
            <w:r w:rsidR="00F03A9B" w:rsidRPr="004F7528">
              <w:rPr>
                <w:rFonts w:ascii="Arial" w:hAnsi="Arial" w:cs="Arial"/>
                <w:sz w:val="20"/>
              </w:rPr>
              <w:t xml:space="preserve"> to higher court – Child aged </w:t>
            </w:r>
            <w:r w:rsidR="00F03A9B" w:rsidRPr="008378D2">
              <w:rPr>
                <w:rFonts w:ascii="Arial" w:hAnsi="Arial" w:cs="Arial"/>
                <w:b/>
                <w:bCs/>
                <w:sz w:val="20"/>
              </w:rPr>
              <w:t>1</w:t>
            </w:r>
            <w:r w:rsidR="0022082D" w:rsidRPr="008378D2">
              <w:rPr>
                <w:rFonts w:ascii="Arial" w:hAnsi="Arial" w:cs="Arial"/>
                <w:b/>
                <w:bCs/>
                <w:sz w:val="20"/>
              </w:rPr>
              <w:t>2</w:t>
            </w:r>
            <w:r w:rsidR="00F03A9B" w:rsidRPr="008378D2">
              <w:rPr>
                <w:rFonts w:ascii="Arial" w:hAnsi="Arial" w:cs="Arial"/>
                <w:b/>
                <w:bCs/>
                <w:sz w:val="20"/>
              </w:rPr>
              <w:t xml:space="preserve"> to 17</w:t>
            </w:r>
            <w:r w:rsidR="00F03A9B" w:rsidRPr="004F7528">
              <w:rPr>
                <w:rFonts w:ascii="Arial" w:hAnsi="Arial" w:cs="Arial"/>
                <w:sz w:val="20"/>
              </w:rPr>
              <w:t xml:space="preserve">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30E03344" w14:textId="45F3D7B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241B86FB" w14:textId="4607BB27"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Attempted murder</w:t>
            </w:r>
          </w:p>
          <w:p w14:paraId="4F160567" w14:textId="152A172B"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Manslaughter</w:t>
            </w:r>
          </w:p>
          <w:p w14:paraId="2811D113" w14:textId="43C50D82"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Child homicide</w:t>
            </w:r>
          </w:p>
          <w:p w14:paraId="60BACC38" w14:textId="5851A4C1" w:rsidR="00F03A9B" w:rsidRPr="00B701CB" w:rsidRDefault="00F03A9B" w:rsidP="00B701CB">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0AAE6F27" w14:textId="386FBE1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0EAECE1" w14:textId="0F37B4C3"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48504FCC" w:rsidR="00BC5206" w:rsidRPr="004F7528" w:rsidRDefault="00634DDC" w:rsidP="004F7528">
            <w:pPr>
              <w:spacing w:before="40"/>
              <w:jc w:val="both"/>
              <w:rPr>
                <w:rFonts w:ascii="Arial" w:hAnsi="Arial" w:cs="Arial"/>
                <w:sz w:val="20"/>
              </w:rPr>
            </w:pPr>
            <w:r w:rsidRPr="008378D2">
              <w:rPr>
                <w:b/>
                <w:bCs/>
                <w:noProof/>
                <w:shd w:val="clear" w:color="auto" w:fill="FFE599" w:themeFill="accent4" w:themeFillTint="66"/>
              </w:rPr>
              <mc:AlternateContent>
                <mc:Choice Requires="wps">
                  <w:drawing>
                    <wp:anchor distT="45720" distB="45720" distL="114300" distR="114300" simplePos="0" relativeHeight="251657216" behindDoc="0" locked="0" layoutInCell="1" allowOverlap="1" wp14:anchorId="07164E25" wp14:editId="0128FFC6">
                      <wp:simplePos x="0" y="0"/>
                      <wp:positionH relativeFrom="column">
                        <wp:posOffset>1306830</wp:posOffset>
                      </wp:positionH>
                      <wp:positionV relativeFrom="paragraph">
                        <wp:posOffset>381635</wp:posOffset>
                      </wp:positionV>
                      <wp:extent cx="1512000" cy="360000"/>
                      <wp:effectExtent l="0" t="0" r="12065" b="21590"/>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0000"/>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2.9pt;margin-top:30.05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8378D2">
              <w:rPr>
                <w:rFonts w:ascii="Arial" w:hAnsi="Arial" w:cs="Arial"/>
                <w:b/>
                <w:bCs/>
                <w:sz w:val="20"/>
                <w:shd w:val="clear" w:color="auto" w:fill="FFE599" w:themeFill="accent4" w:themeFillTint="66"/>
              </w:rPr>
              <w:t>Presumption of uplift</w:t>
            </w:r>
            <w:r w:rsidR="005717AF" w:rsidRPr="004F7528">
              <w:rPr>
                <w:rFonts w:ascii="Arial" w:hAnsi="Arial" w:cs="Arial"/>
                <w:sz w:val="20"/>
              </w:rPr>
              <w:t xml:space="preserve"> to higher court</w:t>
            </w:r>
            <w:r w:rsidR="00782759" w:rsidRPr="004F7528">
              <w:rPr>
                <w:rFonts w:ascii="Arial" w:hAnsi="Arial" w:cs="Arial"/>
                <w:sz w:val="20"/>
              </w:rPr>
              <w:t xml:space="preserve"> – Child </w:t>
            </w:r>
            <w:r w:rsidR="008378D2">
              <w:rPr>
                <w:rFonts w:ascii="Arial" w:hAnsi="Arial" w:cs="Arial"/>
                <w:sz w:val="20"/>
              </w:rPr>
              <w:t xml:space="preserve">aged </w:t>
            </w:r>
            <w:r w:rsidR="008378D2" w:rsidRPr="008378D2">
              <w:rPr>
                <w:rFonts w:ascii="Arial" w:hAnsi="Arial" w:cs="Arial"/>
                <w:b/>
                <w:bCs/>
                <w:sz w:val="20"/>
              </w:rPr>
              <w:t>16 or 17</w:t>
            </w:r>
            <w:r w:rsidR="008378D2">
              <w:rPr>
                <w:rFonts w:ascii="Arial" w:hAnsi="Arial" w:cs="Arial"/>
                <w:sz w:val="20"/>
              </w:rPr>
              <w:t xml:space="preserve"> 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rsidP="008378D2">
            <w:pPr>
              <w:numPr>
                <w:ilvl w:val="0"/>
                <w:numId w:val="59"/>
              </w:numPr>
              <w:spacing w:before="2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284B8B0C" w:rsidR="00782759" w:rsidRPr="004F7528" w:rsidRDefault="006B0997" w:rsidP="006B0997">
            <w:pPr>
              <w:numPr>
                <w:ilvl w:val="0"/>
                <w:numId w:val="59"/>
              </w:numPr>
              <w:spacing w:after="20"/>
              <w:ind w:left="357" w:hanging="357"/>
              <w:jc w:val="both"/>
              <w:rPr>
                <w:rFonts w:ascii="Arial" w:hAnsi="Arial" w:cs="Arial"/>
                <w:sz w:val="20"/>
              </w:rPr>
            </w:pPr>
            <w:r>
              <w:rPr>
                <w:rFonts w:ascii="Arial" w:hAnsi="Arial" w:cs="Arial"/>
                <w:sz w:val="20"/>
              </w:rPr>
              <w:t>4</w:t>
            </w:r>
            <w:r w:rsidR="00C046F6">
              <w:rPr>
                <w:rFonts w:ascii="Arial" w:hAnsi="Arial" w:cs="Arial"/>
                <w:sz w:val="20"/>
              </w:rPr>
              <w:t xml:space="preserve"> defined</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Pr>
                <w:rFonts w:ascii="Arial" w:hAnsi="Arial" w:cs="Arial"/>
                <w:sz w:val="20"/>
              </w:rPr>
              <w:t>/</w:t>
            </w:r>
            <w:r w:rsidR="00C046F6">
              <w:rPr>
                <w:rFonts w:ascii="Arial" w:hAnsi="Arial" w:cs="Arial"/>
                <w:sz w:val="20"/>
              </w:rPr>
              <w:t xml:space="preserve">foreign incursion </w:t>
            </w:r>
            <w:r w:rsidR="00782759" w:rsidRPr="004F7528">
              <w:rPr>
                <w:rFonts w:ascii="Arial" w:hAnsi="Arial" w:cs="Arial"/>
                <w:sz w:val="20"/>
              </w:rPr>
              <w:t>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27392F0A" w:rsidR="00BC5206" w:rsidRPr="004F7528" w:rsidRDefault="00634DDC" w:rsidP="001010FA">
            <w:pPr>
              <w:spacing w:before="40"/>
              <w:jc w:val="both"/>
              <w:rPr>
                <w:rFonts w:ascii="Arial" w:hAnsi="Arial" w:cs="Arial"/>
                <w:sz w:val="20"/>
              </w:rPr>
            </w:pPr>
            <w:r w:rsidRPr="00A01E1B">
              <w:rPr>
                <w:b/>
                <w:bCs/>
                <w:noProof/>
                <w:shd w:val="clear" w:color="auto" w:fill="BDD6EE" w:themeFill="accent5" w:themeFillTint="66"/>
              </w:rPr>
              <mc:AlternateContent>
                <mc:Choice Requires="wps">
                  <w:drawing>
                    <wp:anchor distT="45720" distB="45720" distL="114300" distR="114300" simplePos="0" relativeHeight="251658240" behindDoc="0" locked="0" layoutInCell="1" allowOverlap="1" wp14:anchorId="5CD277A8" wp14:editId="2E49D133">
                      <wp:simplePos x="0" y="0"/>
                      <wp:positionH relativeFrom="column">
                        <wp:posOffset>1306830</wp:posOffset>
                      </wp:positionH>
                      <wp:positionV relativeFrom="paragraph">
                        <wp:posOffset>540385</wp:posOffset>
                      </wp:positionV>
                      <wp:extent cx="1512000" cy="363855"/>
                      <wp:effectExtent l="0" t="0" r="12065" b="1778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9pt;margin-top:42.55pt;width:119.0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sidRPr="00A01E1B">
              <w:rPr>
                <w:rFonts w:ascii="Arial" w:hAnsi="Arial" w:cs="Arial"/>
                <w:b/>
                <w:bCs/>
                <w:sz w:val="20"/>
                <w:shd w:val="clear" w:color="auto" w:fill="BDD6EE" w:themeFill="accent5" w:themeFillTint="66"/>
              </w:rPr>
              <w:t>Court must consider appropriateness of u</w:t>
            </w:r>
            <w:r w:rsidR="005717AF" w:rsidRPr="00A01E1B">
              <w:rPr>
                <w:rFonts w:ascii="Arial" w:hAnsi="Arial" w:cs="Arial"/>
                <w:b/>
                <w:bCs/>
                <w:sz w:val="20"/>
                <w:shd w:val="clear" w:color="auto" w:fill="BDD6EE" w:themeFill="accent5" w:themeFillTint="66"/>
              </w:rPr>
              <w:t>plift</w:t>
            </w:r>
            <w:r w:rsidR="005717AF" w:rsidRPr="004F7528">
              <w:rPr>
                <w:rFonts w:ascii="Arial" w:hAnsi="Arial" w:cs="Arial"/>
                <w:sz w:val="20"/>
              </w:rPr>
              <w:t xml:space="preserve"> to higher court </w:t>
            </w:r>
            <w:r w:rsidR="008235C6" w:rsidRPr="004F7528">
              <w:rPr>
                <w:rFonts w:ascii="Arial" w:hAnsi="Arial" w:cs="Arial"/>
                <w:sz w:val="20"/>
              </w:rPr>
              <w:t xml:space="preserve">– Child </w:t>
            </w:r>
            <w:r w:rsidR="008235C6" w:rsidRPr="001010FA">
              <w:rPr>
                <w:rFonts w:ascii="Arial" w:hAnsi="Arial" w:cs="Arial"/>
                <w:b/>
                <w:sz w:val="20"/>
              </w:rPr>
              <w:t xml:space="preserve">aged 16 or </w:t>
            </w:r>
            <w:r w:rsidR="00A01E1B">
              <w:rPr>
                <w:rFonts w:ascii="Arial" w:hAnsi="Arial" w:cs="Arial"/>
                <w:b/>
                <w:sz w:val="20"/>
              </w:rPr>
              <w:t>17</w:t>
            </w:r>
            <w:r w:rsidR="00374E62" w:rsidRPr="004F7528">
              <w:rPr>
                <w:rFonts w:ascii="Arial" w:hAnsi="Arial" w:cs="Arial"/>
                <w:sz w:val="20"/>
              </w:rPr>
              <w:t xml:space="preserve"> </w:t>
            </w:r>
            <w:r w:rsidR="00A01E1B">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rsidP="008378D2">
            <w:pPr>
              <w:numPr>
                <w:ilvl w:val="0"/>
                <w:numId w:val="59"/>
              </w:numPr>
              <w:spacing w:before="2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rsidP="00B701CB">
            <w:pPr>
              <w:numPr>
                <w:ilvl w:val="0"/>
                <w:numId w:val="59"/>
              </w:numPr>
              <w:spacing w:after="2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sidRPr="00A01E1B">
              <w:rPr>
                <w:rFonts w:ascii="Arial" w:hAnsi="Arial" w:cs="Arial"/>
                <w:b/>
                <w:bCs/>
                <w:sz w:val="20"/>
                <w:shd w:val="clear" w:color="auto" w:fill="F6C3FF"/>
              </w:rPr>
              <w:t>Court may order u</w:t>
            </w:r>
            <w:r w:rsidR="008235C6" w:rsidRPr="00A01E1B">
              <w:rPr>
                <w:rFonts w:ascii="Arial" w:hAnsi="Arial" w:cs="Arial"/>
                <w:b/>
                <w:bCs/>
                <w:sz w:val="20"/>
                <w:shd w:val="clear" w:color="auto" w:fill="F6C3FF"/>
              </w:rPr>
              <w:t>plift</w:t>
            </w:r>
            <w:r w:rsidR="008235C6" w:rsidRPr="004F7528">
              <w:rPr>
                <w:rFonts w:ascii="Arial" w:hAnsi="Arial" w:cs="Arial"/>
                <w:sz w:val="20"/>
              </w:rPr>
              <w:t xml:space="preserve"> to higher court if exceptional circumstances exist – Child age</w:t>
            </w:r>
            <w:r w:rsidR="004B6302" w:rsidRPr="004F7528">
              <w:rPr>
                <w:rFonts w:ascii="Arial" w:hAnsi="Arial" w:cs="Arial"/>
                <w:sz w:val="20"/>
              </w:rPr>
              <w:t xml:space="preserve">d </w:t>
            </w:r>
            <w:r w:rsidR="004B6302" w:rsidRPr="00A01E1B">
              <w:rPr>
                <w:rFonts w:ascii="Arial" w:hAnsi="Arial" w:cs="Arial"/>
                <w:b/>
                <w:bCs/>
                <w:sz w:val="20"/>
              </w:rPr>
              <w:t>1</w:t>
            </w:r>
            <w:r w:rsidR="0022082D" w:rsidRPr="00A01E1B">
              <w:rPr>
                <w:rFonts w:ascii="Arial" w:hAnsi="Arial" w:cs="Arial"/>
                <w:b/>
                <w:bCs/>
                <w:sz w:val="20"/>
              </w:rPr>
              <w:t>2</w:t>
            </w:r>
            <w:r w:rsidR="004B6302" w:rsidRPr="00A01E1B">
              <w:rPr>
                <w:rFonts w:ascii="Arial" w:hAnsi="Arial" w:cs="Arial"/>
                <w:b/>
                <w:bCs/>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3E25EDA5" w:rsidR="008235C6" w:rsidRPr="006B0997" w:rsidRDefault="008235C6" w:rsidP="006B0997">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10E3E9BB" w14:textId="62A8EB0C" w:rsidR="00C24285" w:rsidRPr="005C5E3E" w:rsidRDefault="00C24285" w:rsidP="00C24285">
      <w:pPr>
        <w:pStyle w:val="Heading3"/>
        <w:spacing w:line="240" w:lineRule="auto"/>
        <w:rPr>
          <w:rFonts w:ascii="Arial" w:hAnsi="Arial" w:cs="Arial"/>
          <w:b/>
          <w:bCs/>
          <w:sz w:val="20"/>
          <w:szCs w:val="16"/>
        </w:rPr>
      </w:pPr>
      <w:bookmarkStart w:id="58" w:name="_10.1.4_Whether_Uplift"/>
      <w:bookmarkStart w:id="59" w:name="_10.1.3_Availability_of"/>
      <w:bookmarkEnd w:id="58"/>
      <w:bookmarkEnd w:id="59"/>
      <w:r>
        <w:rPr>
          <w:rFonts w:ascii="Arial" w:hAnsi="Arial" w:cs="Arial"/>
          <w:b/>
          <w:bCs/>
          <w:sz w:val="20"/>
        </w:rPr>
        <w:t>10.1.3</w:t>
      </w:r>
      <w:r>
        <w:rPr>
          <w:rFonts w:ascii="Arial" w:hAnsi="Arial" w:cs="Arial"/>
          <w:b/>
          <w:bCs/>
          <w:sz w:val="20"/>
        </w:rPr>
        <w:tab/>
        <w:t xml:space="preserve">Availability of summary jurisdiction [offences committed </w:t>
      </w:r>
      <w:r w:rsidR="00D5289E">
        <w:rPr>
          <w:rFonts w:ascii="Arial" w:hAnsi="Arial" w:cs="Arial"/>
          <w:b/>
          <w:bCs/>
          <w:sz w:val="20"/>
        </w:rPr>
        <w:t>from</w:t>
      </w:r>
      <w:r>
        <w:rPr>
          <w:rFonts w:ascii="Arial" w:hAnsi="Arial" w:cs="Arial"/>
          <w:b/>
          <w:bCs/>
          <w:sz w:val="20"/>
        </w:rPr>
        <w:t xml:space="preserve"> 27/02/2026]</w:t>
      </w:r>
    </w:p>
    <w:p w14:paraId="628774BD" w14:textId="4D694C1B" w:rsidR="00BE5706" w:rsidRDefault="00E60447" w:rsidP="00E60447">
      <w:pPr>
        <w:spacing w:before="120"/>
        <w:jc w:val="both"/>
        <w:rPr>
          <w:rFonts w:ascii="Arial" w:hAnsi="Arial" w:cs="Arial"/>
          <w:sz w:val="20"/>
        </w:rPr>
      </w:pPr>
      <w:r>
        <w:rPr>
          <w:rFonts w:ascii="Arial" w:hAnsi="Arial" w:cs="Arial"/>
          <w:sz w:val="20"/>
        </w:rPr>
        <w:t xml:space="preserve">For </w:t>
      </w:r>
      <w:r w:rsidR="008378D2">
        <w:rPr>
          <w:rFonts w:ascii="Arial" w:hAnsi="Arial" w:cs="Arial"/>
          <w:sz w:val="20"/>
        </w:rPr>
        <w:t>certain</w:t>
      </w:r>
      <w:r>
        <w:rPr>
          <w:rFonts w:ascii="Arial" w:hAnsi="Arial" w:cs="Arial"/>
          <w:sz w:val="20"/>
        </w:rPr>
        <w:t xml:space="preserve"> indictable offences committed on or after 27/02/2026 the </w:t>
      </w:r>
      <w:r w:rsidR="00C24285">
        <w:rPr>
          <w:rFonts w:ascii="Arial" w:hAnsi="Arial" w:cs="Arial"/>
          <w:sz w:val="20"/>
        </w:rPr>
        <w:t xml:space="preserve">availability of summary jurisdiction in the Children’s Court has been </w:t>
      </w:r>
      <w:r w:rsidR="00647A44">
        <w:rPr>
          <w:rFonts w:ascii="Arial" w:hAnsi="Arial" w:cs="Arial"/>
          <w:sz w:val="20"/>
        </w:rPr>
        <w:t xml:space="preserve">further </w:t>
      </w:r>
      <w:r w:rsidR="00C24285">
        <w:rPr>
          <w:rFonts w:ascii="Arial" w:hAnsi="Arial" w:cs="Arial"/>
          <w:sz w:val="20"/>
        </w:rPr>
        <w:t>reduced</w:t>
      </w:r>
      <w:r>
        <w:rPr>
          <w:rFonts w:ascii="Arial" w:hAnsi="Arial" w:cs="Arial"/>
          <w:sz w:val="20"/>
        </w:rPr>
        <w:t xml:space="preserve"> by the </w:t>
      </w:r>
      <w:r w:rsidRPr="00E60447">
        <w:rPr>
          <w:rFonts w:ascii="Arial" w:hAnsi="Arial" w:cs="Arial"/>
          <w:i/>
          <w:iCs/>
          <w:sz w:val="20"/>
        </w:rPr>
        <w:t>Justice Legislation Amendment (Community Safety) Act 2025</w:t>
      </w:r>
      <w:r>
        <w:rPr>
          <w:rFonts w:ascii="Arial" w:hAnsi="Arial" w:cs="Arial"/>
          <w:sz w:val="20"/>
        </w:rPr>
        <w:t xml:space="preserve"> [Act No.54 of 2025].</w:t>
      </w:r>
    </w:p>
    <w:p w14:paraId="690BFB0C" w14:textId="77777777" w:rsidR="00C24285" w:rsidRPr="002306A8" w:rsidRDefault="00C24285" w:rsidP="00C24285">
      <w:pPr>
        <w:jc w:val="both"/>
        <w:rPr>
          <w:rFonts w:ascii="Arial" w:hAnsi="Arial" w:cs="Arial"/>
          <w:sz w:val="18"/>
          <w:szCs w:val="22"/>
        </w:rPr>
      </w:pPr>
    </w:p>
    <w:p w14:paraId="16EC7387" w14:textId="34459DB6" w:rsidR="002306A8" w:rsidRPr="002306A8" w:rsidRDefault="002306A8" w:rsidP="00C24285">
      <w:pPr>
        <w:jc w:val="both"/>
        <w:rPr>
          <w:rFonts w:ascii="Arial" w:hAnsi="Arial" w:cs="Arial"/>
          <w:sz w:val="20"/>
          <w:szCs w:val="20"/>
        </w:rPr>
      </w:pPr>
      <w:r w:rsidRPr="002306A8">
        <w:rPr>
          <w:rFonts w:ascii="Arial" w:hAnsi="Arial" w:cs="Arial"/>
          <w:sz w:val="20"/>
          <w:szCs w:val="20"/>
        </w:rPr>
        <w:t>[If an offence is alleged to have been committed between 2 dates, one of which was before 27/02/2026, the offence falls within</w:t>
      </w:r>
      <w:r>
        <w:rPr>
          <w:rFonts w:ascii="Arial" w:hAnsi="Arial" w:cs="Arial"/>
          <w:sz w:val="20"/>
          <w:szCs w:val="20"/>
        </w:rPr>
        <w:t xml:space="preserve"> </w:t>
      </w:r>
      <w:r w:rsidRPr="002306A8">
        <w:rPr>
          <w:rFonts w:ascii="Arial" w:hAnsi="Arial" w:cs="Arial"/>
          <w:b/>
          <w:bCs/>
          <w:sz w:val="20"/>
          <w:szCs w:val="20"/>
          <w:shd w:val="clear" w:color="auto" w:fill="C5E0B3" w:themeFill="accent6" w:themeFillTint="66"/>
        </w:rPr>
        <w:t>section 10.1.2</w:t>
      </w:r>
      <w:r>
        <w:rPr>
          <w:rFonts w:ascii="Arial" w:hAnsi="Arial" w:cs="Arial"/>
          <w:sz w:val="20"/>
          <w:szCs w:val="20"/>
        </w:rPr>
        <w:t>.</w:t>
      </w:r>
    </w:p>
    <w:p w14:paraId="3776FB4C" w14:textId="77777777" w:rsidR="002306A8" w:rsidRPr="002306A8" w:rsidRDefault="002306A8" w:rsidP="00C24285">
      <w:pPr>
        <w:jc w:val="both"/>
        <w:rPr>
          <w:rFonts w:ascii="Arial" w:hAnsi="Arial" w:cs="Arial"/>
          <w:sz w:val="16"/>
          <w:szCs w:val="20"/>
        </w:rPr>
      </w:pPr>
    </w:p>
    <w:p w14:paraId="6662AB5C" w14:textId="4AC75EC0" w:rsidR="00E60447" w:rsidRDefault="00984C6D" w:rsidP="00C24285">
      <w:pPr>
        <w:jc w:val="both"/>
        <w:rPr>
          <w:rFonts w:ascii="Arial" w:hAnsi="Arial" w:cs="Arial"/>
          <w:sz w:val="20"/>
        </w:rPr>
      </w:pPr>
      <w:r>
        <w:rPr>
          <w:rFonts w:ascii="Arial" w:hAnsi="Arial" w:cs="Arial"/>
          <w:sz w:val="20"/>
        </w:rPr>
        <w:t xml:space="preserve">From </w:t>
      </w:r>
      <w:r w:rsidR="002306A8">
        <w:rPr>
          <w:rFonts w:ascii="Arial" w:hAnsi="Arial" w:cs="Arial"/>
          <w:sz w:val="20"/>
        </w:rPr>
        <w:t>27/02/2026</w:t>
      </w:r>
      <w:r>
        <w:rPr>
          <w:rFonts w:ascii="Arial" w:hAnsi="Arial" w:cs="Arial"/>
          <w:sz w:val="20"/>
        </w:rPr>
        <w:t xml:space="preserve"> </w:t>
      </w:r>
      <w:r w:rsidR="00C046F6">
        <w:rPr>
          <w:rFonts w:ascii="Arial" w:hAnsi="Arial" w:cs="Arial"/>
          <w:sz w:val="20"/>
        </w:rPr>
        <w:t xml:space="preserve">new </w:t>
      </w:r>
      <w:r w:rsidR="00BE5706">
        <w:rPr>
          <w:rFonts w:ascii="Arial" w:hAnsi="Arial" w:cs="Arial"/>
          <w:sz w:val="20"/>
        </w:rPr>
        <w:t xml:space="preserve">s.516(7) CYFA defines a </w:t>
      </w:r>
      <w:r w:rsidR="00C417A0">
        <w:rPr>
          <w:rFonts w:ascii="Arial" w:hAnsi="Arial" w:cs="Arial"/>
          <w:sz w:val="20"/>
        </w:rPr>
        <w:t>‘</w:t>
      </w:r>
      <w:r w:rsidRPr="00984C6D">
        <w:rPr>
          <w:rFonts w:ascii="Arial" w:hAnsi="Arial" w:cs="Arial"/>
          <w:b/>
          <w:bCs/>
          <w:sz w:val="20"/>
        </w:rPr>
        <w:t>designated offence</w:t>
      </w:r>
      <w:r w:rsidR="00C417A0">
        <w:rPr>
          <w:rFonts w:ascii="Arial" w:hAnsi="Arial" w:cs="Arial"/>
          <w:sz w:val="20"/>
        </w:rPr>
        <w:t>’</w:t>
      </w:r>
      <w:r>
        <w:rPr>
          <w:rFonts w:ascii="Arial" w:hAnsi="Arial" w:cs="Arial"/>
          <w:sz w:val="20"/>
        </w:rPr>
        <w:t xml:space="preserve"> </w:t>
      </w:r>
      <w:r w:rsidR="00932ABC">
        <w:rPr>
          <w:rFonts w:ascii="Arial" w:hAnsi="Arial" w:cs="Arial"/>
          <w:sz w:val="20"/>
        </w:rPr>
        <w:t>as</w:t>
      </w:r>
      <w:r>
        <w:rPr>
          <w:rFonts w:ascii="Arial" w:hAnsi="Arial" w:cs="Arial"/>
          <w:sz w:val="20"/>
        </w:rPr>
        <w:t xml:space="preserve"> “an</w:t>
      </w:r>
      <w:r w:rsidR="00BE5706">
        <w:rPr>
          <w:rFonts w:ascii="Arial" w:hAnsi="Arial" w:cs="Arial"/>
          <w:sz w:val="20"/>
        </w:rPr>
        <w:t xml:space="preserve"> </w:t>
      </w:r>
      <w:r>
        <w:rPr>
          <w:rFonts w:ascii="Arial" w:hAnsi="Arial" w:cs="Arial"/>
          <w:sz w:val="20"/>
        </w:rPr>
        <w:t xml:space="preserve">offence against any of the following provisions of the </w:t>
      </w:r>
      <w:r w:rsidRPr="00984C6D">
        <w:rPr>
          <w:rFonts w:ascii="Arial" w:hAnsi="Arial" w:cs="Arial"/>
          <w:i/>
          <w:iCs/>
          <w:sz w:val="20"/>
        </w:rPr>
        <w:t>Crimes Act 1958</w:t>
      </w:r>
      <w:r>
        <w:rPr>
          <w:rFonts w:ascii="Arial" w:hAnsi="Arial" w:cs="Arial"/>
          <w:sz w:val="20"/>
        </w:rPr>
        <w:t xml:space="preserve">: </w:t>
      </w:r>
    </w:p>
    <w:p w14:paraId="1D9333F9" w14:textId="77777777" w:rsidR="00984C6D" w:rsidRPr="005851DB"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333DA682"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5F2994E7"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59424D4A"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5F9BF4E2" w14:textId="528A4115"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r w:rsidR="003812F5">
        <w:rPr>
          <w:rFonts w:ascii="Arial" w:hAnsi="Arial" w:cs="Arial"/>
          <w:sz w:val="20"/>
        </w:rPr>
        <w:t>”</w:t>
      </w:r>
    </w:p>
    <w:p w14:paraId="17613E15" w14:textId="77777777" w:rsidR="00932ABC" w:rsidRPr="002306A8" w:rsidRDefault="00932ABC" w:rsidP="00932ABC">
      <w:pPr>
        <w:tabs>
          <w:tab w:val="left" w:pos="357"/>
        </w:tabs>
        <w:jc w:val="both"/>
        <w:rPr>
          <w:rFonts w:ascii="Arial" w:hAnsi="Arial" w:cs="Arial"/>
          <w:sz w:val="16"/>
          <w:szCs w:val="20"/>
        </w:rPr>
      </w:pPr>
    </w:p>
    <w:p w14:paraId="445232CC" w14:textId="7E3DC80B" w:rsidR="00C417A0" w:rsidRDefault="00A17BC0" w:rsidP="00A17BC0">
      <w:pPr>
        <w:jc w:val="both"/>
        <w:rPr>
          <w:rFonts w:ascii="Arial" w:hAnsi="Arial" w:cs="Arial"/>
          <w:sz w:val="20"/>
        </w:rPr>
      </w:pPr>
      <w:r>
        <w:rPr>
          <w:rFonts w:ascii="Arial" w:hAnsi="Arial" w:cs="Arial"/>
          <w:sz w:val="20"/>
        </w:rPr>
        <w:t xml:space="preserve">From </w:t>
      </w:r>
      <w:r w:rsidR="00C417A0">
        <w:rPr>
          <w:rFonts w:ascii="Arial" w:hAnsi="Arial" w:cs="Arial"/>
          <w:sz w:val="20"/>
        </w:rPr>
        <w:t>27</w:t>
      </w:r>
      <w:r>
        <w:rPr>
          <w:rFonts w:ascii="Arial" w:hAnsi="Arial" w:cs="Arial"/>
          <w:sz w:val="20"/>
        </w:rPr>
        <w:t>/0</w:t>
      </w:r>
      <w:r w:rsidR="00C417A0">
        <w:rPr>
          <w:rFonts w:ascii="Arial" w:hAnsi="Arial" w:cs="Arial"/>
          <w:sz w:val="20"/>
        </w:rPr>
        <w:t>2</w:t>
      </w:r>
      <w:r>
        <w:rPr>
          <w:rFonts w:ascii="Arial" w:hAnsi="Arial" w:cs="Arial"/>
          <w:sz w:val="20"/>
        </w:rPr>
        <w:t>/20</w:t>
      </w:r>
      <w:r w:rsidR="00C417A0">
        <w:rPr>
          <w:rFonts w:ascii="Arial" w:hAnsi="Arial" w:cs="Arial"/>
          <w:sz w:val="20"/>
        </w:rPr>
        <w:t>26</w:t>
      </w:r>
      <w:r>
        <w:rPr>
          <w:rFonts w:ascii="Arial" w:hAnsi="Arial" w:cs="Arial"/>
          <w:sz w:val="20"/>
        </w:rPr>
        <w:t xml:space="preserve"> s.356(3)</w:t>
      </w:r>
      <w:r w:rsidR="00C417A0">
        <w:rPr>
          <w:rFonts w:ascii="Arial" w:hAnsi="Arial" w:cs="Arial"/>
          <w:sz w:val="20"/>
        </w:rPr>
        <w:t xml:space="preserve"> </w:t>
      </w:r>
      <w:r>
        <w:rPr>
          <w:rFonts w:ascii="Arial" w:hAnsi="Arial" w:cs="Arial"/>
          <w:sz w:val="20"/>
        </w:rPr>
        <w:t xml:space="preserve">of the CYFA </w:t>
      </w:r>
      <w:r w:rsidR="00CA051C">
        <w:rPr>
          <w:rFonts w:ascii="Arial" w:hAnsi="Arial" w:cs="Arial"/>
          <w:sz w:val="20"/>
        </w:rPr>
        <w:t xml:space="preserve">provides </w:t>
      </w:r>
      <w:r>
        <w:rPr>
          <w:rFonts w:ascii="Arial" w:hAnsi="Arial" w:cs="Arial"/>
          <w:sz w:val="20"/>
        </w:rPr>
        <w:t xml:space="preserve">that if a child is charged before the Children’s Court with an indictable offence committed </w:t>
      </w:r>
      <w:r w:rsidR="00C417A0">
        <w:rPr>
          <w:rFonts w:ascii="Arial" w:hAnsi="Arial" w:cs="Arial"/>
          <w:sz w:val="20"/>
        </w:rPr>
        <w:t xml:space="preserve">on or after 27/02/2026 </w:t>
      </w:r>
      <w:r>
        <w:rPr>
          <w:rFonts w:ascii="Arial" w:hAnsi="Arial" w:cs="Arial"/>
          <w:sz w:val="20"/>
        </w:rPr>
        <w:t>other than</w:t>
      </w:r>
      <w:r w:rsidR="00C417A0">
        <w:rPr>
          <w:rFonts w:ascii="Arial" w:hAnsi="Arial" w:cs="Arial"/>
          <w:sz w:val="20"/>
        </w:rPr>
        <w:t>–</w:t>
      </w:r>
    </w:p>
    <w:p w14:paraId="62DCE059" w14:textId="58207F24" w:rsidR="00C417A0" w:rsidRDefault="00C417A0" w:rsidP="00C417A0">
      <w:pPr>
        <w:numPr>
          <w:ilvl w:val="0"/>
          <w:numId w:val="58"/>
        </w:numPr>
        <w:ind w:left="357" w:hanging="357"/>
        <w:jc w:val="both"/>
        <w:rPr>
          <w:rFonts w:ascii="Arial" w:hAnsi="Arial" w:cs="Arial"/>
          <w:sz w:val="20"/>
        </w:rPr>
      </w:pPr>
      <w:r>
        <w:rPr>
          <w:rFonts w:ascii="Arial" w:hAnsi="Arial" w:cs="Arial"/>
          <w:sz w:val="20"/>
        </w:rPr>
        <w:t>the 7 ‘</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w:t>
      </w:r>
      <w:r>
        <w:rPr>
          <w:rFonts w:ascii="Arial" w:hAnsi="Arial" w:cs="Arial"/>
          <w:sz w:val="20"/>
        </w:rPr>
        <w:t>; or</w:t>
      </w:r>
    </w:p>
    <w:p w14:paraId="15D28B7A" w14:textId="24EDC818" w:rsidR="00C417A0" w:rsidRDefault="00C417A0" w:rsidP="00C417A0">
      <w:pPr>
        <w:numPr>
          <w:ilvl w:val="0"/>
          <w:numId w:val="58"/>
        </w:numPr>
        <w:ind w:left="357" w:hanging="357"/>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 aged 15 years or over–</w:t>
      </w:r>
    </w:p>
    <w:p w14:paraId="0BEE1BD4" w14:textId="118B0672" w:rsidR="00A17BC0" w:rsidRDefault="00A17BC0" w:rsidP="00A17BC0">
      <w:pPr>
        <w:jc w:val="both"/>
        <w:rPr>
          <w:rFonts w:ascii="Arial" w:hAnsi="Arial" w:cs="Arial"/>
          <w:sz w:val="20"/>
        </w:rPr>
      </w:pPr>
      <w:r w:rsidRPr="00E454B0">
        <w:rPr>
          <w:rFonts w:ascii="Arial" w:hAnsi="Arial" w:cs="Arial"/>
          <w:sz w:val="20"/>
        </w:rPr>
        <w:t>the Court must hear and determine the charge summarily unless</w:t>
      </w:r>
      <w:r>
        <w:rPr>
          <w:rFonts w:ascii="Arial" w:hAnsi="Arial" w:cs="Arial"/>
          <w:sz w:val="20"/>
        </w:rPr>
        <w:t>–</w:t>
      </w:r>
    </w:p>
    <w:p w14:paraId="48AE556E" w14:textId="77777777" w:rsidR="00A17BC0" w:rsidRDefault="00A17BC0" w:rsidP="00C417A0">
      <w:pPr>
        <w:ind w:left="454" w:hanging="454"/>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per s.356(4) if the child is under the age of 15 and is not legally represented, a parent objects on the child’s behalf); or</w:t>
      </w:r>
    </w:p>
    <w:p w14:paraId="109A997E" w14:textId="77777777" w:rsidR="00C417A0" w:rsidRDefault="00C417A0" w:rsidP="00C417A0">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15FF3B1D" w14:textId="77777777" w:rsidR="00C417A0" w:rsidRDefault="00C417A0" w:rsidP="00C417A0">
      <w:pPr>
        <w:ind w:left="454" w:hanging="454"/>
        <w:jc w:val="both"/>
        <w:rPr>
          <w:rFonts w:ascii="Arial" w:hAnsi="Arial" w:cs="Arial"/>
          <w:sz w:val="20"/>
        </w:rPr>
      </w:pPr>
      <w:r>
        <w:rPr>
          <w:rFonts w:ascii="Arial" w:hAnsi="Arial" w:cs="Arial"/>
          <w:sz w:val="20"/>
        </w:rPr>
        <w:t>(ac)</w:t>
      </w:r>
      <w:r>
        <w:rPr>
          <w:rFonts w:ascii="Arial" w:hAnsi="Arial" w:cs="Arial"/>
          <w:sz w:val="20"/>
        </w:rPr>
        <w:tab/>
        <w:t>section 356(7A) applies; or</w:t>
      </w:r>
    </w:p>
    <w:p w14:paraId="7B8B84D3" w14:textId="77777777" w:rsidR="00C417A0" w:rsidRDefault="00C417A0" w:rsidP="00C417A0">
      <w:pPr>
        <w:ind w:left="454" w:hanging="454"/>
        <w:jc w:val="both"/>
        <w:rPr>
          <w:rFonts w:ascii="Arial" w:hAnsi="Arial" w:cs="Arial"/>
          <w:sz w:val="20"/>
        </w:rPr>
      </w:pPr>
      <w:r>
        <w:rPr>
          <w:rFonts w:ascii="Arial" w:hAnsi="Arial" w:cs="Arial"/>
          <w:sz w:val="20"/>
        </w:rPr>
        <w:t>(ad)</w:t>
      </w:r>
      <w:r>
        <w:rPr>
          <w:rFonts w:ascii="Arial" w:hAnsi="Arial" w:cs="Arial"/>
          <w:sz w:val="20"/>
        </w:rPr>
        <w:tab/>
        <w:t>section 356(7C) applies; or</w:t>
      </w:r>
    </w:p>
    <w:p w14:paraId="327382D2" w14:textId="044C280B" w:rsidR="00C417A0" w:rsidRDefault="00C417A0" w:rsidP="00C417A0">
      <w:pPr>
        <w:ind w:left="454" w:hanging="454"/>
        <w:jc w:val="both"/>
        <w:rPr>
          <w:rFonts w:ascii="Arial" w:hAnsi="Arial" w:cs="Arial"/>
          <w:sz w:val="20"/>
        </w:rPr>
      </w:pPr>
      <w:r>
        <w:rPr>
          <w:rFonts w:ascii="Arial" w:hAnsi="Arial" w:cs="Arial"/>
          <w:sz w:val="20"/>
        </w:rPr>
        <w:t>(ae)</w:t>
      </w:r>
      <w:r>
        <w:rPr>
          <w:rFonts w:ascii="Arial" w:hAnsi="Arial" w:cs="Arial"/>
          <w:sz w:val="20"/>
        </w:rPr>
        <w:tab/>
        <w:t>section 356(</w:t>
      </w:r>
      <w:r w:rsidR="00A010C8">
        <w:rPr>
          <w:rFonts w:ascii="Arial" w:hAnsi="Arial" w:cs="Arial"/>
          <w:sz w:val="20"/>
        </w:rPr>
        <w:t>8A</w:t>
      </w:r>
      <w:r>
        <w:rPr>
          <w:rFonts w:ascii="Arial" w:hAnsi="Arial" w:cs="Arial"/>
          <w:sz w:val="20"/>
        </w:rPr>
        <w:t>) applies; or</w:t>
      </w:r>
    </w:p>
    <w:p w14:paraId="3F8E6EBA" w14:textId="777EFA61" w:rsidR="00C417A0" w:rsidRPr="00A65A7E" w:rsidRDefault="00A17BC0" w:rsidP="001E4A07">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C417A0">
        <w:rPr>
          <w:rFonts w:ascii="Arial" w:hAnsi="Arial" w:cs="Arial"/>
          <w:sz w:val="20"/>
        </w:rPr>
        <w:t xml:space="preserve"> [The meaning of </w:t>
      </w:r>
      <w:r w:rsidR="00C417A0" w:rsidRPr="00A65A7E">
        <w:rPr>
          <w:rFonts w:ascii="Arial" w:hAnsi="Arial" w:cs="Arial"/>
          <w:b/>
          <w:bCs/>
          <w:sz w:val="20"/>
        </w:rPr>
        <w:t>exceptional circumstances</w:t>
      </w:r>
      <w:r w:rsidR="00C417A0" w:rsidRPr="006A5AC8">
        <w:rPr>
          <w:rFonts w:ascii="Arial" w:hAnsi="Arial" w:cs="Arial"/>
          <w:sz w:val="20"/>
        </w:rPr>
        <w:t xml:space="preserve"> </w:t>
      </w:r>
      <w:r w:rsidR="00C046F6">
        <w:rPr>
          <w:rFonts w:ascii="Arial" w:hAnsi="Arial" w:cs="Arial"/>
          <w:sz w:val="20"/>
        </w:rPr>
        <w:t>remains</w:t>
      </w:r>
      <w:r w:rsidR="00C417A0">
        <w:rPr>
          <w:rFonts w:ascii="Arial" w:hAnsi="Arial" w:cs="Arial"/>
          <w:sz w:val="20"/>
        </w:rPr>
        <w:t xml:space="preserve"> in </w:t>
      </w:r>
      <w:r w:rsidR="00C417A0" w:rsidRPr="006A5AC8">
        <w:rPr>
          <w:rFonts w:ascii="Arial" w:hAnsi="Arial" w:cs="Arial"/>
          <w:b/>
          <w:bCs/>
          <w:sz w:val="20"/>
          <w:shd w:val="clear" w:color="auto" w:fill="C5E0B3" w:themeFill="accent6" w:themeFillTint="66"/>
        </w:rPr>
        <w:t>section 10.1.2</w:t>
      </w:r>
      <w:r w:rsidR="00C417A0">
        <w:rPr>
          <w:rFonts w:ascii="Arial" w:hAnsi="Arial" w:cs="Arial"/>
          <w:sz w:val="20"/>
        </w:rPr>
        <w:t>].</w:t>
      </w:r>
    </w:p>
    <w:p w14:paraId="23BB56C7" w14:textId="77777777" w:rsidR="00A17BC0" w:rsidRPr="00361B27" w:rsidRDefault="00A17BC0" w:rsidP="00A17BC0">
      <w:pPr>
        <w:jc w:val="both"/>
        <w:rPr>
          <w:rFonts w:ascii="Arial" w:hAnsi="Arial" w:cs="Arial"/>
          <w:sz w:val="16"/>
          <w:szCs w:val="20"/>
        </w:rPr>
      </w:pPr>
    </w:p>
    <w:p w14:paraId="6E7DF25C" w14:textId="503C03E9" w:rsidR="006B06E0" w:rsidRDefault="006B06E0" w:rsidP="00932ABC">
      <w:pPr>
        <w:jc w:val="both"/>
        <w:rPr>
          <w:rFonts w:ascii="Arial" w:hAnsi="Arial" w:cs="Arial"/>
          <w:sz w:val="20"/>
        </w:rPr>
      </w:pPr>
      <w:r>
        <w:rPr>
          <w:rFonts w:ascii="Arial" w:hAnsi="Arial" w:cs="Arial"/>
          <w:sz w:val="20"/>
        </w:rPr>
        <w:t>The effect of th</w:t>
      </w:r>
      <w:r w:rsidR="00CE6665">
        <w:rPr>
          <w:rFonts w:ascii="Arial" w:hAnsi="Arial" w:cs="Arial"/>
          <w:sz w:val="20"/>
        </w:rPr>
        <w:t>e</w:t>
      </w:r>
      <w:r>
        <w:rPr>
          <w:rFonts w:ascii="Arial" w:hAnsi="Arial" w:cs="Arial"/>
          <w:sz w:val="20"/>
        </w:rPr>
        <w:t xml:space="preserve"> amendment</w:t>
      </w:r>
      <w:r w:rsidR="00CE6665">
        <w:rPr>
          <w:rFonts w:ascii="Arial" w:hAnsi="Arial" w:cs="Arial"/>
          <w:sz w:val="20"/>
        </w:rPr>
        <w:t>s</w:t>
      </w:r>
      <w:r>
        <w:rPr>
          <w:rFonts w:ascii="Arial" w:hAnsi="Arial" w:cs="Arial"/>
          <w:sz w:val="20"/>
        </w:rPr>
        <w:t xml:space="preserve"> to s.356</w:t>
      </w:r>
      <w:r w:rsidR="00A62298">
        <w:rPr>
          <w:rFonts w:ascii="Arial" w:hAnsi="Arial" w:cs="Arial"/>
          <w:sz w:val="20"/>
        </w:rPr>
        <w:t xml:space="preserve"> </w:t>
      </w:r>
      <w:r>
        <w:rPr>
          <w:rFonts w:ascii="Arial" w:hAnsi="Arial" w:cs="Arial"/>
          <w:sz w:val="20"/>
        </w:rPr>
        <w:t>is that for the following offences alleged to have been committed on or after 27/02/2026–</w:t>
      </w:r>
    </w:p>
    <w:p w14:paraId="6118F408" w14:textId="613851A0" w:rsid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Pr>
          <w:rFonts w:ascii="Arial" w:hAnsi="Arial" w:cs="Arial"/>
          <w:sz w:val="20"/>
        </w:rPr>
        <w:t xml:space="preserve">he Children’s Court has </w:t>
      </w:r>
      <w:r w:rsidR="003812F5" w:rsidRPr="003812F5">
        <w:rPr>
          <w:rFonts w:ascii="Arial" w:hAnsi="Arial" w:cs="Arial"/>
          <w:b/>
          <w:bCs/>
          <w:color w:val="FFFFFF" w:themeColor="background1"/>
          <w:sz w:val="20"/>
          <w:shd w:val="clear" w:color="auto" w:fill="FF0000"/>
        </w:rPr>
        <w:t>no summary jurisdiction</w:t>
      </w:r>
      <w:r w:rsidR="003812F5">
        <w:rPr>
          <w:rFonts w:ascii="Arial" w:hAnsi="Arial" w:cs="Arial"/>
          <w:sz w:val="20"/>
        </w:rPr>
        <w:t xml:space="preserve"> in relation to</w:t>
      </w:r>
      <w:r w:rsidR="006B06E0">
        <w:rPr>
          <w:rFonts w:ascii="Arial" w:hAnsi="Arial" w:cs="Arial"/>
          <w:sz w:val="20"/>
        </w:rPr>
        <w:t>–</w:t>
      </w:r>
    </w:p>
    <w:tbl>
      <w:tblPr>
        <w:tblStyle w:val="TableGrid"/>
        <w:tblW w:w="8705" w:type="dxa"/>
        <w:tblInd w:w="357" w:type="dxa"/>
        <w:tblLook w:val="04A0" w:firstRow="1" w:lastRow="0" w:firstColumn="1" w:lastColumn="0" w:noHBand="0" w:noVBand="1"/>
      </w:tblPr>
      <w:tblGrid>
        <w:gridCol w:w="7488"/>
        <w:gridCol w:w="1217"/>
      </w:tblGrid>
      <w:tr w:rsidR="00A62298" w14:paraId="3F6014D6" w14:textId="77777777" w:rsidTr="00705052">
        <w:tc>
          <w:tcPr>
            <w:tcW w:w="7571" w:type="dxa"/>
          </w:tcPr>
          <w:p w14:paraId="07E23962" w14:textId="01B09DFF" w:rsidR="00A62298" w:rsidRDefault="00A62298" w:rsidP="00D64086">
            <w:pPr>
              <w:jc w:val="both"/>
              <w:rPr>
                <w:rFonts w:ascii="Arial" w:hAnsi="Arial" w:cs="Arial"/>
                <w:sz w:val="20"/>
              </w:rPr>
            </w:pPr>
            <w:r w:rsidRPr="00932ABC">
              <w:rPr>
                <w:rFonts w:ascii="Arial" w:hAnsi="Arial" w:cs="Arial"/>
                <w:sz w:val="20"/>
              </w:rPr>
              <w:t>the 7 ‘</w:t>
            </w:r>
            <w:r w:rsidRPr="00932ABC">
              <w:rPr>
                <w:rFonts w:ascii="Arial" w:hAnsi="Arial" w:cs="Arial"/>
                <w:b/>
                <w:bCs/>
                <w:sz w:val="20"/>
              </w:rPr>
              <w:t>death offences</w:t>
            </w:r>
            <w:r w:rsidRPr="00932ABC">
              <w:rPr>
                <w:rFonts w:ascii="Arial" w:hAnsi="Arial" w:cs="Arial"/>
                <w:sz w:val="20"/>
              </w:rPr>
              <w:t>’ (murder, attempted murder, manslaughter, child homicide, homicide by firearm, arson causing death, culpable driving causing death)</w:t>
            </w:r>
            <w:r>
              <w:rPr>
                <w:rFonts w:ascii="Arial" w:hAnsi="Arial" w:cs="Arial"/>
                <w:sz w:val="20"/>
              </w:rPr>
              <w:t>.</w:t>
            </w:r>
          </w:p>
        </w:tc>
        <w:tc>
          <w:tcPr>
            <w:tcW w:w="1134" w:type="dxa"/>
            <w:vMerge w:val="restart"/>
            <w:shd w:val="clear" w:color="auto" w:fill="DDDDDD"/>
          </w:tcPr>
          <w:p w14:paraId="6D3C17CA" w14:textId="3A89E924" w:rsidR="00A62298" w:rsidRDefault="00A62298" w:rsidP="00D64086">
            <w:pPr>
              <w:jc w:val="center"/>
              <w:rPr>
                <w:rFonts w:ascii="Arial" w:hAnsi="Arial" w:cs="Arial"/>
                <w:b/>
                <w:bCs/>
                <w:sz w:val="20"/>
              </w:rPr>
            </w:pPr>
            <w:r>
              <w:rPr>
                <w:rFonts w:ascii="Arial" w:hAnsi="Arial" w:cs="Arial"/>
                <w:b/>
                <w:bCs/>
                <w:sz w:val="20"/>
              </w:rPr>
              <w:t>s.356(</w:t>
            </w:r>
            <w:r w:rsidR="00647A44">
              <w:rPr>
                <w:rFonts w:ascii="Arial" w:hAnsi="Arial" w:cs="Arial"/>
                <w:b/>
                <w:bCs/>
                <w:sz w:val="20"/>
              </w:rPr>
              <w:t>3</w:t>
            </w:r>
            <w:r>
              <w:rPr>
                <w:rFonts w:ascii="Arial" w:hAnsi="Arial" w:cs="Arial"/>
                <w:b/>
                <w:bCs/>
                <w:sz w:val="20"/>
              </w:rPr>
              <w:t>)</w:t>
            </w:r>
          </w:p>
          <w:p w14:paraId="1562304B" w14:textId="77777777" w:rsidR="00A62298" w:rsidRDefault="00A62298" w:rsidP="00D64086">
            <w:pPr>
              <w:jc w:val="center"/>
              <w:rPr>
                <w:rFonts w:ascii="Arial" w:hAnsi="Arial" w:cs="Arial"/>
                <w:b/>
                <w:bCs/>
                <w:sz w:val="20"/>
              </w:rPr>
            </w:pPr>
            <w:r>
              <w:rPr>
                <w:rFonts w:ascii="Arial" w:hAnsi="Arial" w:cs="Arial"/>
                <w:b/>
                <w:bCs/>
                <w:sz w:val="20"/>
              </w:rPr>
              <w:t>&amp;</w:t>
            </w:r>
          </w:p>
          <w:p w14:paraId="0CC01130" w14:textId="360703E8" w:rsidR="00A62298" w:rsidRDefault="00A62298" w:rsidP="00D64086">
            <w:pPr>
              <w:jc w:val="center"/>
              <w:rPr>
                <w:rFonts w:ascii="Arial" w:hAnsi="Arial" w:cs="Arial"/>
                <w:sz w:val="20"/>
              </w:rPr>
            </w:pPr>
            <w:r>
              <w:rPr>
                <w:rFonts w:ascii="Arial" w:hAnsi="Arial" w:cs="Arial"/>
                <w:b/>
                <w:bCs/>
                <w:sz w:val="20"/>
              </w:rPr>
              <w:t>s.516(1)(b)</w:t>
            </w:r>
          </w:p>
        </w:tc>
      </w:tr>
      <w:tr w:rsidR="00A62298" w14:paraId="6761B8B4" w14:textId="77777777" w:rsidTr="00705052">
        <w:tc>
          <w:tcPr>
            <w:tcW w:w="7571" w:type="dxa"/>
          </w:tcPr>
          <w:p w14:paraId="58A77EEB" w14:textId="73B81B1E" w:rsidR="00A62298" w:rsidRPr="00932ABC" w:rsidRDefault="00A62298" w:rsidP="00D64086">
            <w:pPr>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1647B6">
              <w:rPr>
                <w:rFonts w:ascii="Arial" w:hAnsi="Arial" w:cs="Arial"/>
                <w:b/>
                <w:bCs/>
                <w:sz w:val="20"/>
              </w:rPr>
              <w:t xml:space="preserve">15 </w:t>
            </w:r>
            <w:r w:rsidR="001647B6" w:rsidRPr="001647B6">
              <w:rPr>
                <w:rFonts w:ascii="Arial" w:hAnsi="Arial" w:cs="Arial"/>
                <w:b/>
                <w:bCs/>
                <w:sz w:val="20"/>
              </w:rPr>
              <w:t>to 17</w:t>
            </w:r>
            <w:r>
              <w:rPr>
                <w:rFonts w:ascii="Arial" w:hAnsi="Arial" w:cs="Arial"/>
                <w:sz w:val="20"/>
              </w:rPr>
              <w:t>.</w:t>
            </w:r>
          </w:p>
        </w:tc>
        <w:tc>
          <w:tcPr>
            <w:tcW w:w="1134" w:type="dxa"/>
            <w:vMerge/>
            <w:shd w:val="clear" w:color="auto" w:fill="DDDDDD"/>
          </w:tcPr>
          <w:p w14:paraId="2CBCF076" w14:textId="77777777" w:rsidR="00A62298" w:rsidRDefault="00A62298" w:rsidP="00D64086">
            <w:pPr>
              <w:jc w:val="center"/>
              <w:rPr>
                <w:rFonts w:ascii="Arial" w:hAnsi="Arial" w:cs="Arial"/>
                <w:b/>
                <w:bCs/>
                <w:sz w:val="20"/>
              </w:rPr>
            </w:pPr>
          </w:p>
        </w:tc>
      </w:tr>
    </w:tbl>
    <w:p w14:paraId="745503AD" w14:textId="2F3DEF7B" w:rsidR="00BE5706" w:rsidRP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sidRPr="006B06E0">
        <w:rPr>
          <w:rFonts w:ascii="Arial" w:hAnsi="Arial" w:cs="Arial"/>
          <w:sz w:val="20"/>
        </w:rPr>
        <w:t>he Children’s Cour</w:t>
      </w:r>
      <w:r w:rsidR="006B06E0">
        <w:rPr>
          <w:rFonts w:ascii="Arial" w:hAnsi="Arial" w:cs="Arial"/>
          <w:sz w:val="20"/>
        </w:rPr>
        <w:t xml:space="preserve">t has </w:t>
      </w:r>
      <w:r w:rsidR="003812F5" w:rsidRPr="006B06E0">
        <w:rPr>
          <w:rFonts w:ascii="Arial" w:hAnsi="Arial" w:cs="Arial"/>
          <w:b/>
          <w:bCs/>
          <w:sz w:val="20"/>
          <w:shd w:val="clear" w:color="auto" w:fill="FFE599" w:themeFill="accent4" w:themeFillTint="66"/>
        </w:rPr>
        <w:t>restricted summary jurisdiction</w:t>
      </w:r>
      <w:r w:rsidR="003812F5" w:rsidRPr="006B06E0">
        <w:rPr>
          <w:rFonts w:ascii="Arial" w:hAnsi="Arial" w:cs="Arial"/>
          <w:sz w:val="20"/>
        </w:rPr>
        <w:t xml:space="preserve"> in relation to</w:t>
      </w:r>
      <w:r w:rsidR="00BE5706" w:rsidRPr="006B06E0">
        <w:rPr>
          <w:rFonts w:ascii="Arial" w:hAnsi="Arial" w:cs="Arial"/>
          <w:sz w:val="20"/>
        </w:rPr>
        <w:t>–</w:t>
      </w:r>
    </w:p>
    <w:tbl>
      <w:tblPr>
        <w:tblStyle w:val="TableGrid"/>
        <w:tblW w:w="8708" w:type="dxa"/>
        <w:tblInd w:w="357" w:type="dxa"/>
        <w:tblLook w:val="04A0" w:firstRow="1" w:lastRow="0" w:firstColumn="1" w:lastColumn="0" w:noHBand="0" w:noVBand="1"/>
      </w:tblPr>
      <w:tblGrid>
        <w:gridCol w:w="7489"/>
        <w:gridCol w:w="1219"/>
      </w:tblGrid>
      <w:tr w:rsidR="00CA051C" w14:paraId="54C067BD" w14:textId="77777777" w:rsidTr="00A62298">
        <w:tc>
          <w:tcPr>
            <w:tcW w:w="7489" w:type="dxa"/>
          </w:tcPr>
          <w:p w14:paraId="65700AA1" w14:textId="026BC2CB" w:rsidR="00CA051C" w:rsidRDefault="00CA051C" w:rsidP="00D64086">
            <w:pPr>
              <w:jc w:val="both"/>
              <w:rPr>
                <w:rFonts w:ascii="Arial" w:hAnsi="Arial" w:cs="Arial"/>
                <w:sz w:val="20"/>
              </w:rPr>
            </w:pPr>
            <w:r>
              <w:rPr>
                <w:rFonts w:ascii="Arial" w:hAnsi="Arial" w:cs="Arial"/>
                <w:sz w:val="20"/>
              </w:rPr>
              <w:t xml:space="preserve">any of the 4 </w:t>
            </w:r>
            <w:r w:rsidRPr="008907BE">
              <w:rPr>
                <w:rFonts w:ascii="Arial" w:hAnsi="Arial" w:cs="Arial"/>
                <w:b/>
                <w:bCs/>
                <w:sz w:val="20"/>
              </w:rPr>
              <w:t xml:space="preserve">terrorism </w:t>
            </w:r>
            <w:r w:rsidR="00C046F6">
              <w:rPr>
                <w:rFonts w:ascii="Arial" w:hAnsi="Arial" w:cs="Arial"/>
                <w:b/>
                <w:bCs/>
                <w:sz w:val="20"/>
              </w:rPr>
              <w:t>or</w:t>
            </w:r>
            <w:r w:rsidRPr="008907BE">
              <w:rPr>
                <w:rFonts w:ascii="Arial" w:hAnsi="Arial" w:cs="Arial"/>
                <w:b/>
                <w:bCs/>
                <w:sz w:val="20"/>
              </w:rPr>
              <w:t xml:space="preserve"> foreign incursion offences</w:t>
            </w:r>
            <w:r>
              <w:rPr>
                <w:rFonts w:ascii="Arial" w:hAnsi="Arial" w:cs="Arial"/>
                <w:sz w:val="20"/>
              </w:rPr>
              <w:t xml:space="preserve"> defined in paragraph (f) of the definition of Category A serious youth offence in s.3(1) CYFA</w:t>
            </w:r>
            <w:r w:rsidR="00073B75">
              <w:rPr>
                <w:rFonts w:ascii="Arial" w:hAnsi="Arial" w:cs="Arial"/>
                <w:sz w:val="20"/>
              </w:rPr>
              <w:t xml:space="preserve"> committed when the child was</w:t>
            </w:r>
            <w:r w:rsidR="008D4719">
              <w:rPr>
                <w:rFonts w:ascii="Arial" w:hAnsi="Arial" w:cs="Arial"/>
                <w:sz w:val="20"/>
              </w:rPr>
              <w:t xml:space="preserve"> aged</w:t>
            </w:r>
            <w:r w:rsidR="00073B75">
              <w:rPr>
                <w:rFonts w:ascii="Arial" w:hAnsi="Arial" w:cs="Arial"/>
                <w:sz w:val="20"/>
              </w:rPr>
              <w:t xml:space="preserve"> </w:t>
            </w:r>
            <w:r w:rsidR="00073B75" w:rsidRPr="00073B75">
              <w:rPr>
                <w:rFonts w:ascii="Arial" w:hAnsi="Arial" w:cs="Arial"/>
                <w:b/>
                <w:bCs/>
                <w:sz w:val="20"/>
              </w:rPr>
              <w:t>16 or 17</w:t>
            </w:r>
            <w:r w:rsidR="00073B75">
              <w:rPr>
                <w:rFonts w:ascii="Arial" w:hAnsi="Arial" w:cs="Arial"/>
                <w:sz w:val="20"/>
              </w:rPr>
              <w:t>.</w:t>
            </w:r>
          </w:p>
        </w:tc>
        <w:tc>
          <w:tcPr>
            <w:tcW w:w="1219" w:type="dxa"/>
            <w:shd w:val="clear" w:color="auto" w:fill="DDDDDD"/>
          </w:tcPr>
          <w:p w14:paraId="5EC8B479" w14:textId="3515C417" w:rsidR="00CA051C" w:rsidRDefault="00CA051C" w:rsidP="00CA051C">
            <w:pPr>
              <w:jc w:val="center"/>
              <w:rPr>
                <w:rFonts w:ascii="Arial" w:hAnsi="Arial" w:cs="Arial"/>
                <w:sz w:val="20"/>
              </w:rPr>
            </w:pPr>
            <w:r>
              <w:rPr>
                <w:rFonts w:ascii="Arial" w:hAnsi="Arial" w:cs="Arial"/>
                <w:b/>
                <w:bCs/>
                <w:sz w:val="20"/>
              </w:rPr>
              <w:t>s.356(6)</w:t>
            </w:r>
          </w:p>
        </w:tc>
      </w:tr>
      <w:tr w:rsidR="00CA051C" w14:paraId="509BFDB2" w14:textId="77777777" w:rsidTr="00A62298">
        <w:tc>
          <w:tcPr>
            <w:tcW w:w="7489" w:type="dxa"/>
          </w:tcPr>
          <w:p w14:paraId="19195B8D" w14:textId="1F4BF9D9" w:rsidR="00CA051C" w:rsidRDefault="00CA051C" w:rsidP="00CA051C">
            <w:pPr>
              <w:jc w:val="both"/>
              <w:rPr>
                <w:rFonts w:ascii="Arial" w:hAnsi="Arial" w:cs="Arial"/>
                <w:sz w:val="20"/>
              </w:rPr>
            </w:pPr>
            <w:r>
              <w:rPr>
                <w:rFonts w:ascii="Arial" w:hAnsi="Arial" w:cs="Arial"/>
                <w:sz w:val="20"/>
              </w:rPr>
              <w:t xml:space="preserve">any of the 5 </w:t>
            </w:r>
            <w:r w:rsidRPr="008907BE">
              <w:rPr>
                <w:rFonts w:ascii="Arial" w:hAnsi="Arial" w:cs="Arial"/>
                <w:b/>
                <w:bCs/>
                <w:sz w:val="20"/>
              </w:rPr>
              <w:t>designated offences</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073B75">
              <w:rPr>
                <w:rFonts w:ascii="Arial" w:hAnsi="Arial" w:cs="Arial"/>
                <w:b/>
                <w:bCs/>
                <w:sz w:val="20"/>
              </w:rPr>
              <w:t>14</w:t>
            </w:r>
            <w:r>
              <w:rPr>
                <w:rFonts w:ascii="Arial" w:hAnsi="Arial" w:cs="Arial"/>
                <w:sz w:val="20"/>
              </w:rPr>
              <w:t>.</w:t>
            </w:r>
          </w:p>
        </w:tc>
        <w:tc>
          <w:tcPr>
            <w:tcW w:w="1219" w:type="dxa"/>
            <w:shd w:val="clear" w:color="auto" w:fill="DDDDDD"/>
          </w:tcPr>
          <w:p w14:paraId="7CD9F514" w14:textId="7E5A4836" w:rsidR="00CA051C" w:rsidRDefault="00CA051C" w:rsidP="00CA051C">
            <w:pPr>
              <w:jc w:val="center"/>
              <w:rPr>
                <w:rFonts w:ascii="Arial" w:hAnsi="Arial" w:cs="Arial"/>
                <w:b/>
                <w:bCs/>
                <w:sz w:val="20"/>
              </w:rPr>
            </w:pPr>
            <w:r>
              <w:rPr>
                <w:rFonts w:ascii="Arial" w:hAnsi="Arial" w:cs="Arial"/>
                <w:b/>
                <w:bCs/>
                <w:sz w:val="20"/>
              </w:rPr>
              <w:t>s.356(7A)</w:t>
            </w:r>
          </w:p>
        </w:tc>
      </w:tr>
      <w:tr w:rsidR="00CA051C" w14:paraId="6E2A874C" w14:textId="77777777" w:rsidTr="00A62298">
        <w:tc>
          <w:tcPr>
            <w:tcW w:w="7489" w:type="dxa"/>
          </w:tcPr>
          <w:p w14:paraId="2F043A39" w14:textId="14FCA3E8" w:rsidR="00CA051C" w:rsidRDefault="00CA051C" w:rsidP="00CA051C">
            <w:pPr>
              <w:jc w:val="both"/>
              <w:rPr>
                <w:rFonts w:ascii="Arial" w:hAnsi="Arial" w:cs="Arial"/>
                <w:sz w:val="20"/>
              </w:rPr>
            </w:pPr>
            <w:r>
              <w:rPr>
                <w:rFonts w:ascii="Arial" w:hAnsi="Arial" w:cs="Arial"/>
                <w:sz w:val="20"/>
              </w:rPr>
              <w:t xml:space="preserve">the offence of </w:t>
            </w:r>
            <w:r w:rsidRPr="008907BE">
              <w:rPr>
                <w:rFonts w:ascii="Arial" w:hAnsi="Arial" w:cs="Arial"/>
                <w:b/>
                <w:bCs/>
                <w:sz w:val="20"/>
              </w:rPr>
              <w:t>‘carjacking’</w:t>
            </w:r>
            <w:r>
              <w:rPr>
                <w:rFonts w:ascii="Arial" w:hAnsi="Arial" w:cs="Arial"/>
                <w:sz w:val="20"/>
              </w:rPr>
              <w:t xml:space="preserve"> committed when the child was </w:t>
            </w:r>
            <w:r w:rsidR="008D4719">
              <w:rPr>
                <w:rFonts w:ascii="Arial" w:hAnsi="Arial" w:cs="Arial"/>
                <w:sz w:val="20"/>
              </w:rPr>
              <w:t xml:space="preserve">aged </w:t>
            </w:r>
            <w:r w:rsidRPr="00073B75">
              <w:rPr>
                <w:rFonts w:ascii="Arial" w:hAnsi="Arial" w:cs="Arial"/>
                <w:b/>
                <w:bCs/>
                <w:sz w:val="20"/>
              </w:rPr>
              <w:t xml:space="preserve">14 </w:t>
            </w:r>
            <w:r w:rsidR="00073B75" w:rsidRPr="00073B75">
              <w:rPr>
                <w:rFonts w:ascii="Arial" w:hAnsi="Arial" w:cs="Arial"/>
                <w:b/>
                <w:bCs/>
                <w:sz w:val="20"/>
              </w:rPr>
              <w:t>to 17</w:t>
            </w:r>
            <w:r>
              <w:rPr>
                <w:rFonts w:ascii="Arial" w:hAnsi="Arial" w:cs="Arial"/>
                <w:sz w:val="20"/>
              </w:rPr>
              <w:t>.</w:t>
            </w:r>
          </w:p>
        </w:tc>
        <w:tc>
          <w:tcPr>
            <w:tcW w:w="1219" w:type="dxa"/>
            <w:shd w:val="clear" w:color="auto" w:fill="DDDDDD"/>
          </w:tcPr>
          <w:p w14:paraId="503A786B" w14:textId="12A98CDD" w:rsidR="00CA051C" w:rsidRDefault="00CA051C" w:rsidP="00CA051C">
            <w:pPr>
              <w:jc w:val="center"/>
              <w:rPr>
                <w:rFonts w:ascii="Arial" w:hAnsi="Arial" w:cs="Arial"/>
                <w:b/>
                <w:bCs/>
                <w:sz w:val="20"/>
              </w:rPr>
            </w:pPr>
            <w:r>
              <w:rPr>
                <w:rFonts w:ascii="Arial" w:hAnsi="Arial" w:cs="Arial"/>
                <w:b/>
                <w:bCs/>
                <w:sz w:val="20"/>
              </w:rPr>
              <w:t>s.356(7C)</w:t>
            </w:r>
          </w:p>
        </w:tc>
      </w:tr>
      <w:tr w:rsidR="00CA051C" w14:paraId="64DAF4E7" w14:textId="77777777" w:rsidTr="00A62298">
        <w:tc>
          <w:tcPr>
            <w:tcW w:w="8705" w:type="dxa"/>
            <w:gridSpan w:val="2"/>
            <w:shd w:val="clear" w:color="auto" w:fill="FFE599" w:themeFill="accent4" w:themeFillTint="66"/>
          </w:tcPr>
          <w:p w14:paraId="7F3F15F4" w14:textId="06B0E6C5" w:rsidR="00CA051C" w:rsidRDefault="00CA051C" w:rsidP="00CA051C">
            <w:pPr>
              <w:jc w:val="both"/>
              <w:rPr>
                <w:rFonts w:ascii="Arial" w:hAnsi="Arial" w:cs="Arial"/>
                <w:sz w:val="20"/>
              </w:rPr>
            </w:pPr>
            <w:r>
              <w:rPr>
                <w:rFonts w:ascii="Arial" w:hAnsi="Arial" w:cs="Arial"/>
                <w:sz w:val="20"/>
              </w:rPr>
              <w:t>The ChCV must not hear and determine summarily a charge against a child for any of the above indictable offences allegedly committed when the child was the specified age unless–</w:t>
            </w:r>
          </w:p>
          <w:p w14:paraId="7E3DB5B6" w14:textId="44A351E7" w:rsidR="00CA051C" w:rsidRDefault="00CA051C" w:rsidP="00CA051C">
            <w:pPr>
              <w:pStyle w:val="ListParagraph"/>
              <w:numPr>
                <w:ilvl w:val="0"/>
                <w:numId w:val="134"/>
              </w:numPr>
              <w:ind w:left="357" w:hanging="357"/>
              <w:jc w:val="both"/>
              <w:rPr>
                <w:rFonts w:ascii="Arial" w:hAnsi="Arial" w:cs="Arial"/>
                <w:sz w:val="20"/>
              </w:rPr>
            </w:pPr>
            <w:r>
              <w:rPr>
                <w:rFonts w:ascii="Arial" w:hAnsi="Arial" w:cs="Arial"/>
                <w:sz w:val="20"/>
              </w:rPr>
              <w:t>the child or the prosecution requests that the charge be heard and determined summarily; and</w:t>
            </w:r>
          </w:p>
          <w:p w14:paraId="6E7E281C" w14:textId="54373C3D" w:rsidR="00CA051C" w:rsidRDefault="00CA051C" w:rsidP="00CA051C">
            <w:pPr>
              <w:pStyle w:val="ListParagraph"/>
              <w:numPr>
                <w:ilvl w:val="0"/>
                <w:numId w:val="134"/>
              </w:numPr>
              <w:ind w:left="357" w:hanging="357"/>
              <w:jc w:val="both"/>
              <w:rPr>
                <w:rFonts w:ascii="Arial" w:hAnsi="Arial" w:cs="Arial"/>
                <w:sz w:val="20"/>
              </w:rPr>
            </w:pPr>
            <w:r>
              <w:rPr>
                <w:rFonts w:ascii="Arial" w:hAnsi="Arial" w:cs="Arial"/>
                <w:sz w:val="20"/>
              </w:rPr>
              <w:t>the ChCV is satisfied that the sentencing options available under the CYFA are adequate to respond to the child’s offending; and</w:t>
            </w:r>
          </w:p>
          <w:p w14:paraId="5EE14542" w14:textId="5CE451EF" w:rsidR="00CA051C" w:rsidRPr="00A010C8" w:rsidRDefault="00CA051C" w:rsidP="00CA051C">
            <w:pPr>
              <w:pStyle w:val="ListParagraph"/>
              <w:numPr>
                <w:ilvl w:val="0"/>
                <w:numId w:val="134"/>
              </w:numPr>
              <w:ind w:left="357" w:hanging="357"/>
              <w:jc w:val="both"/>
              <w:rPr>
                <w:rFonts w:ascii="Arial" w:hAnsi="Arial" w:cs="Arial"/>
                <w:sz w:val="20"/>
              </w:rPr>
            </w:pPr>
            <w:r>
              <w:rPr>
                <w:rFonts w:ascii="Arial" w:hAnsi="Arial" w:cs="Arial"/>
                <w:sz w:val="20"/>
              </w:rPr>
              <w:t>any of the following applies–</w:t>
            </w:r>
          </w:p>
          <w:p w14:paraId="269BBE57" w14:textId="111CAE89" w:rsidR="00CA051C" w:rsidRDefault="00CA051C" w:rsidP="00CA051C">
            <w:pPr>
              <w:pStyle w:val="ListParagraph"/>
              <w:numPr>
                <w:ilvl w:val="0"/>
                <w:numId w:val="135"/>
              </w:numPr>
              <w:ind w:left="811" w:hanging="454"/>
              <w:jc w:val="both"/>
              <w:rPr>
                <w:rFonts w:ascii="Arial" w:hAnsi="Arial" w:cs="Arial"/>
                <w:sz w:val="20"/>
              </w:rPr>
            </w:pPr>
            <w:r>
              <w:rPr>
                <w:rFonts w:ascii="Arial" w:hAnsi="Arial" w:cs="Arial"/>
                <w:sz w:val="20"/>
              </w:rPr>
              <w:t>it is in the interests of the victim or victims that the charge be heard and determined summarily;</w:t>
            </w:r>
          </w:p>
          <w:p w14:paraId="55E4CD07" w14:textId="159EAFE6" w:rsidR="00CA051C" w:rsidRDefault="00CA051C" w:rsidP="00CA051C">
            <w:pPr>
              <w:pStyle w:val="ListParagraph"/>
              <w:numPr>
                <w:ilvl w:val="0"/>
                <w:numId w:val="135"/>
              </w:numPr>
              <w:ind w:left="811" w:hanging="454"/>
              <w:jc w:val="both"/>
              <w:rPr>
                <w:rFonts w:ascii="Arial" w:hAnsi="Arial" w:cs="Arial"/>
                <w:sz w:val="20"/>
              </w:rPr>
            </w:pPr>
            <w:r>
              <w:rPr>
                <w:rFonts w:ascii="Arial" w:hAnsi="Arial" w:cs="Arial"/>
                <w:sz w:val="20"/>
              </w:rPr>
              <w:t>the accused is particularly vulnerable because of cognitive impairment or mental illness;</w:t>
            </w:r>
          </w:p>
          <w:p w14:paraId="3113EF95" w14:textId="3147EACF" w:rsidR="00F57C73" w:rsidRPr="00F57C73" w:rsidRDefault="00CA051C" w:rsidP="00F57C73">
            <w:pPr>
              <w:pStyle w:val="ListParagraph"/>
              <w:numPr>
                <w:ilvl w:val="0"/>
                <w:numId w:val="135"/>
              </w:numPr>
              <w:ind w:left="811" w:hanging="454"/>
              <w:jc w:val="both"/>
              <w:rPr>
                <w:rFonts w:ascii="Arial" w:hAnsi="Arial" w:cs="Arial"/>
                <w:sz w:val="20"/>
              </w:rPr>
            </w:pPr>
            <w:r w:rsidRPr="003E3760">
              <w:rPr>
                <w:rFonts w:ascii="Arial" w:hAnsi="Arial" w:cs="Arial"/>
                <w:sz w:val="20"/>
              </w:rPr>
              <w:t xml:space="preserve">there is a substantial and compelling reason to do so (having regard to the intention of Parliament that </w:t>
            </w:r>
            <w:r w:rsidR="00F57C73">
              <w:rPr>
                <w:rFonts w:ascii="Arial" w:hAnsi="Arial" w:cs="Arial"/>
                <w:sz w:val="20"/>
              </w:rPr>
              <w:t xml:space="preserve">a </w:t>
            </w:r>
            <w:r w:rsidRPr="003E3760">
              <w:rPr>
                <w:rFonts w:ascii="Arial" w:hAnsi="Arial" w:cs="Arial"/>
                <w:sz w:val="20"/>
              </w:rPr>
              <w:t xml:space="preserve">charge </w:t>
            </w:r>
            <w:r w:rsidR="00F57C73">
              <w:rPr>
                <w:rFonts w:ascii="Arial" w:hAnsi="Arial" w:cs="Arial"/>
                <w:sz w:val="20"/>
              </w:rPr>
              <w:t xml:space="preserve">for the above 10 offences </w:t>
            </w:r>
            <w:r w:rsidRPr="003E3760">
              <w:rPr>
                <w:rFonts w:ascii="Arial" w:hAnsi="Arial" w:cs="Arial"/>
                <w:sz w:val="20"/>
              </w:rPr>
              <w:t>should not normally be heard and determined summarily</w:t>
            </w:r>
            <w:r w:rsidR="00F57C73">
              <w:rPr>
                <w:rFonts w:ascii="Arial" w:hAnsi="Arial" w:cs="Arial"/>
                <w:sz w:val="20"/>
              </w:rPr>
              <w:t>: see ss.356(7), 356(7B) &amp; 356(7D)).</w:t>
            </w:r>
          </w:p>
        </w:tc>
      </w:tr>
    </w:tbl>
    <w:p w14:paraId="6FA92929" w14:textId="4B5D12E9" w:rsidR="008E0B5F" w:rsidRDefault="008E0B5F" w:rsidP="002306A8">
      <w:pPr>
        <w:pStyle w:val="ListParagraph"/>
        <w:numPr>
          <w:ilvl w:val="0"/>
          <w:numId w:val="130"/>
        </w:numPr>
        <w:spacing w:before="60"/>
        <w:ind w:left="357" w:hanging="357"/>
        <w:contextualSpacing w:val="0"/>
        <w:jc w:val="both"/>
        <w:rPr>
          <w:rFonts w:ascii="Arial" w:hAnsi="Arial" w:cs="Arial"/>
          <w:sz w:val="20"/>
        </w:rPr>
      </w:pPr>
      <w:r>
        <w:rPr>
          <w:rFonts w:ascii="Arial" w:hAnsi="Arial" w:cs="Arial"/>
          <w:sz w:val="20"/>
        </w:rPr>
        <w:t xml:space="preserve">The Children’s Court must </w:t>
      </w:r>
      <w:r w:rsidR="0084462A">
        <w:rPr>
          <w:rFonts w:ascii="Arial" w:hAnsi="Arial" w:cs="Arial"/>
          <w:sz w:val="20"/>
        </w:rPr>
        <w:t xml:space="preserve">consider whether s.356(3) has the effect that a charge for an offence against s.38 (rape) or s.39 (rape by compelling sexual penetration) of the </w:t>
      </w:r>
      <w:r w:rsidR="0084462A" w:rsidRPr="001B557E">
        <w:rPr>
          <w:rFonts w:ascii="Arial" w:hAnsi="Arial" w:cs="Arial"/>
          <w:i/>
          <w:iCs/>
          <w:sz w:val="20"/>
        </w:rPr>
        <w:t>Crimes Act 1958</w:t>
      </w:r>
      <w:r w:rsidR="0084462A">
        <w:rPr>
          <w:rFonts w:ascii="Arial" w:hAnsi="Arial" w:cs="Arial"/>
          <w:sz w:val="20"/>
        </w:rPr>
        <w:t xml:space="preserve"> allegedly committed when the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1E007CF0" w14:textId="048924CE" w:rsidR="00450D90" w:rsidRDefault="00450D90" w:rsidP="002306A8">
      <w:pPr>
        <w:pStyle w:val="ListParagraph"/>
        <w:numPr>
          <w:ilvl w:val="0"/>
          <w:numId w:val="130"/>
        </w:numPr>
        <w:spacing w:before="60"/>
        <w:ind w:left="357" w:hanging="357"/>
        <w:contextualSpacing w:val="0"/>
        <w:jc w:val="both"/>
        <w:rPr>
          <w:rFonts w:ascii="Arial" w:hAnsi="Arial" w:cs="Arial"/>
          <w:sz w:val="20"/>
          <w:szCs w:val="20"/>
        </w:rPr>
      </w:pPr>
      <w:r w:rsidRPr="003E2756">
        <w:rPr>
          <w:rFonts w:ascii="Arial" w:hAnsi="Arial" w:cs="Arial"/>
          <w:sz w:val="20"/>
          <w:szCs w:val="20"/>
        </w:rPr>
        <w:t>The Children’s Court must not hear and determine summarily a charge against a</w:t>
      </w:r>
      <w:r w:rsidR="003E2756" w:rsidRPr="003E2756">
        <w:rPr>
          <w:rFonts w:ascii="Arial" w:hAnsi="Arial" w:cs="Arial"/>
          <w:sz w:val="20"/>
          <w:szCs w:val="20"/>
        </w:rPr>
        <w:t xml:space="preserve"> child</w:t>
      </w:r>
      <w:r w:rsidRPr="003E2756">
        <w:rPr>
          <w:rFonts w:ascii="Arial" w:hAnsi="Arial" w:cs="Arial"/>
          <w:sz w:val="20"/>
          <w:szCs w:val="20"/>
        </w:rPr>
        <w:t xml:space="preserve"> for an indictable offence which is ‘</w:t>
      </w:r>
      <w:r w:rsidRPr="003E2756">
        <w:rPr>
          <w:rFonts w:ascii="Arial" w:hAnsi="Arial" w:cs="Arial"/>
          <w:b/>
          <w:bCs/>
          <w:sz w:val="20"/>
          <w:szCs w:val="20"/>
        </w:rPr>
        <w:t>related</w:t>
      </w:r>
      <w:r w:rsidRPr="003E2756">
        <w:rPr>
          <w:rFonts w:ascii="Arial" w:hAnsi="Arial" w:cs="Arial"/>
          <w:sz w:val="20"/>
          <w:szCs w:val="20"/>
        </w:rPr>
        <w:t xml:space="preserve">’ to </w:t>
      </w:r>
      <w:r w:rsidR="003E2756" w:rsidRPr="003E2756">
        <w:rPr>
          <w:rFonts w:ascii="Arial" w:hAnsi="Arial" w:cs="Arial"/>
          <w:sz w:val="20"/>
          <w:szCs w:val="20"/>
        </w:rPr>
        <w:t xml:space="preserve">another offence </w:t>
      </w:r>
      <w:r w:rsidRPr="003E2756">
        <w:rPr>
          <w:rFonts w:ascii="Arial" w:hAnsi="Arial" w:cs="Arial"/>
          <w:sz w:val="20"/>
          <w:szCs w:val="20"/>
        </w:rPr>
        <w:t xml:space="preserve">for which </w:t>
      </w:r>
      <w:r w:rsidR="003E2756" w:rsidRPr="003E2756">
        <w:rPr>
          <w:rFonts w:ascii="Arial" w:hAnsi="Arial" w:cs="Arial"/>
          <w:sz w:val="20"/>
          <w:szCs w:val="20"/>
        </w:rPr>
        <w:t>the</w:t>
      </w:r>
      <w:r w:rsidRPr="003E2756">
        <w:rPr>
          <w:rFonts w:ascii="Arial" w:hAnsi="Arial" w:cs="Arial"/>
          <w:sz w:val="20"/>
          <w:szCs w:val="20"/>
        </w:rPr>
        <w:t xml:space="preserve"> child has been committed for tr</w:t>
      </w:r>
      <w:r w:rsidR="003E2756" w:rsidRPr="003E2756">
        <w:rPr>
          <w:rFonts w:ascii="Arial" w:hAnsi="Arial" w:cs="Arial"/>
          <w:sz w:val="20"/>
          <w:szCs w:val="20"/>
        </w:rPr>
        <w:t>ial if the Court determines that there is no substantial and compelling reason to hear and determine the charge summarily</w:t>
      </w:r>
      <w:r w:rsidR="003E2756">
        <w:rPr>
          <w:rFonts w:ascii="Arial" w:hAnsi="Arial" w:cs="Arial"/>
          <w:sz w:val="20"/>
          <w:szCs w:val="20"/>
        </w:rPr>
        <w:t>. For this purpose offences are ‘</w:t>
      </w:r>
      <w:r w:rsidR="003E2756" w:rsidRPr="003E2756">
        <w:rPr>
          <w:rFonts w:ascii="Arial" w:hAnsi="Arial" w:cs="Arial"/>
          <w:b/>
          <w:bCs/>
          <w:sz w:val="20"/>
          <w:szCs w:val="20"/>
        </w:rPr>
        <w:t>related</w:t>
      </w:r>
      <w:r w:rsidR="003E2756">
        <w:rPr>
          <w:rFonts w:ascii="Arial" w:hAnsi="Arial" w:cs="Arial"/>
          <w:sz w:val="20"/>
          <w:szCs w:val="20"/>
        </w:rPr>
        <w:t>’ if–</w:t>
      </w:r>
    </w:p>
    <w:p w14:paraId="1D139A26" w14:textId="3BE965B6" w:rsidR="003E2756" w:rsidRDefault="003E2756" w:rsidP="003E2756">
      <w:pPr>
        <w:pStyle w:val="ListParagraph"/>
        <w:numPr>
          <w:ilvl w:val="0"/>
          <w:numId w:val="137"/>
        </w:numPr>
        <w:spacing w:before="60" w:after="20"/>
        <w:jc w:val="both"/>
        <w:rPr>
          <w:rFonts w:ascii="Arial" w:hAnsi="Arial" w:cs="Arial"/>
          <w:sz w:val="20"/>
          <w:szCs w:val="20"/>
        </w:rPr>
      </w:pPr>
      <w:r>
        <w:rPr>
          <w:rFonts w:ascii="Arial" w:hAnsi="Arial" w:cs="Arial"/>
          <w:sz w:val="20"/>
          <w:szCs w:val="20"/>
        </w:rPr>
        <w:t>they are founded on the same facts; or</w:t>
      </w:r>
    </w:p>
    <w:p w14:paraId="1CA2A422" w14:textId="2813D6D8" w:rsidR="003E2756" w:rsidRPr="003E2756" w:rsidRDefault="003E2756" w:rsidP="002306A8">
      <w:pPr>
        <w:pStyle w:val="ListParagraph"/>
        <w:numPr>
          <w:ilvl w:val="0"/>
          <w:numId w:val="137"/>
        </w:numPr>
        <w:spacing w:before="60"/>
        <w:ind w:left="714" w:hanging="357"/>
        <w:jc w:val="both"/>
        <w:rPr>
          <w:rFonts w:ascii="Arial" w:hAnsi="Arial" w:cs="Arial"/>
          <w:sz w:val="20"/>
          <w:szCs w:val="20"/>
        </w:rPr>
      </w:pPr>
      <w:r>
        <w:rPr>
          <w:rFonts w:ascii="Arial" w:hAnsi="Arial" w:cs="Arial"/>
          <w:sz w:val="20"/>
          <w:szCs w:val="20"/>
        </w:rPr>
        <w:t>they together form, or are part of, a series of offences of the same or similar character.</w:t>
      </w:r>
    </w:p>
    <w:p w14:paraId="086227AF" w14:textId="3FF99EFB" w:rsidR="003E2756" w:rsidRPr="003E2756" w:rsidRDefault="003E2756" w:rsidP="002306A8">
      <w:pPr>
        <w:ind w:left="357"/>
        <w:jc w:val="both"/>
        <w:rPr>
          <w:rFonts w:ascii="Arial" w:hAnsi="Arial" w:cs="Arial"/>
          <w:sz w:val="20"/>
          <w:szCs w:val="20"/>
        </w:rPr>
      </w:pPr>
      <w:r>
        <w:rPr>
          <w:rFonts w:ascii="Arial" w:hAnsi="Arial" w:cs="Arial"/>
          <w:sz w:val="20"/>
          <w:szCs w:val="20"/>
        </w:rPr>
        <w:t xml:space="preserve">See </w:t>
      </w:r>
      <w:r w:rsidRPr="003E2756">
        <w:rPr>
          <w:rFonts w:ascii="Arial" w:hAnsi="Arial" w:cs="Arial"/>
          <w:b/>
          <w:bCs/>
          <w:sz w:val="20"/>
          <w:szCs w:val="20"/>
        </w:rPr>
        <w:t>ss.356(8A) &amp; 356(8B)</w:t>
      </w:r>
      <w:r>
        <w:rPr>
          <w:rFonts w:ascii="Arial" w:hAnsi="Arial" w:cs="Arial"/>
          <w:sz w:val="20"/>
          <w:szCs w:val="20"/>
        </w:rPr>
        <w:t>.</w:t>
      </w:r>
    </w:p>
    <w:p w14:paraId="28420763" w14:textId="77777777" w:rsidR="00450D90" w:rsidRPr="003E2756" w:rsidRDefault="00450D90" w:rsidP="001E4A07">
      <w:pPr>
        <w:jc w:val="both"/>
        <w:rPr>
          <w:rFonts w:ascii="Arial" w:hAnsi="Arial" w:cs="Arial"/>
          <w:sz w:val="20"/>
        </w:rPr>
      </w:pPr>
    </w:p>
    <w:p w14:paraId="06F16DF8" w14:textId="736D1731" w:rsidR="00361B27" w:rsidRDefault="00F57C73" w:rsidP="0084462A">
      <w:pPr>
        <w:keepNext/>
        <w:keepLines/>
        <w:jc w:val="both"/>
        <w:rPr>
          <w:rFonts w:ascii="Arial" w:hAnsi="Arial" w:cs="Arial"/>
          <w:bCs/>
          <w:color w:val="000000"/>
          <w:sz w:val="20"/>
        </w:rPr>
      </w:pPr>
      <w:r>
        <w:rPr>
          <w:rFonts w:ascii="Arial" w:hAnsi="Arial" w:cs="Arial"/>
          <w:sz w:val="20"/>
        </w:rPr>
        <w:t>Practice Direction No.</w:t>
      </w:r>
      <w:r w:rsidR="0002360B">
        <w:rPr>
          <w:rFonts w:ascii="Arial" w:hAnsi="Arial" w:cs="Arial"/>
          <w:sz w:val="20"/>
        </w:rPr>
        <w:t>1</w:t>
      </w:r>
      <w:r>
        <w:rPr>
          <w:rFonts w:ascii="Arial" w:hAnsi="Arial" w:cs="Arial"/>
          <w:sz w:val="20"/>
        </w:rPr>
        <w:t xml:space="preserve"> of 20</w:t>
      </w:r>
      <w:r w:rsidR="0002360B">
        <w:rPr>
          <w:rFonts w:ascii="Arial" w:hAnsi="Arial" w:cs="Arial"/>
          <w:sz w:val="20"/>
        </w:rPr>
        <w:t>26</w:t>
      </w:r>
      <w:r>
        <w:rPr>
          <w:rFonts w:ascii="Arial" w:hAnsi="Arial" w:cs="Arial"/>
          <w:sz w:val="20"/>
        </w:rPr>
        <w:t xml:space="preserve"> </w:t>
      </w:r>
      <w:r w:rsidR="00361B27">
        <w:rPr>
          <w:rFonts w:ascii="Arial" w:hAnsi="Arial" w:cs="Arial"/>
          <w:bCs/>
          <w:color w:val="000000"/>
          <w:sz w:val="20"/>
        </w:rPr>
        <w:t>set</w:t>
      </w:r>
      <w:r w:rsidR="0002360B">
        <w:rPr>
          <w:rFonts w:ascii="Arial" w:hAnsi="Arial" w:cs="Arial"/>
          <w:bCs/>
          <w:color w:val="000000"/>
          <w:sz w:val="20"/>
        </w:rPr>
        <w:t xml:space="preserve">s </w:t>
      </w:r>
      <w:r w:rsidR="00361B27">
        <w:rPr>
          <w:rFonts w:ascii="Arial" w:hAnsi="Arial" w:cs="Arial"/>
          <w:bCs/>
          <w:color w:val="000000"/>
          <w:sz w:val="20"/>
        </w:rPr>
        <w:t xml:space="preserve">out </w:t>
      </w:r>
      <w:r w:rsidR="0002360B">
        <w:rPr>
          <w:rFonts w:ascii="Arial" w:hAnsi="Arial" w:cs="Arial"/>
          <w:bCs/>
          <w:color w:val="000000"/>
          <w:sz w:val="20"/>
        </w:rPr>
        <w:t>the listing requirements where the Children’s Court has</w:t>
      </w:r>
      <w:r w:rsidR="00361B27">
        <w:rPr>
          <w:rFonts w:ascii="Arial" w:hAnsi="Arial" w:cs="Arial"/>
          <w:bCs/>
          <w:color w:val="000000"/>
          <w:sz w:val="20"/>
        </w:rPr>
        <w:t>–</w:t>
      </w:r>
    </w:p>
    <w:p w14:paraId="465FF50B" w14:textId="658150B4"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(a) </w:t>
      </w:r>
      <w:r w:rsidRPr="00647A44">
        <w:rPr>
          <w:rFonts w:ascii="Arial" w:hAnsi="Arial" w:cs="Arial"/>
          <w:b/>
          <w:color w:val="FFFFFF" w:themeColor="background1"/>
          <w:sz w:val="20"/>
          <w:shd w:val="clear" w:color="auto" w:fill="FF0000"/>
        </w:rPr>
        <w:t>no summary jurisdiction</w:t>
      </w:r>
      <w:r w:rsidR="00361B27">
        <w:rPr>
          <w:rFonts w:ascii="Arial" w:hAnsi="Arial" w:cs="Arial"/>
          <w:bCs/>
          <w:color w:val="000000"/>
          <w:sz w:val="20"/>
        </w:rPr>
        <w:t>;</w:t>
      </w:r>
      <w:r>
        <w:rPr>
          <w:rFonts w:ascii="Arial" w:hAnsi="Arial" w:cs="Arial"/>
          <w:bCs/>
          <w:color w:val="000000"/>
          <w:sz w:val="20"/>
        </w:rPr>
        <w:t xml:space="preserve"> or</w:t>
      </w:r>
    </w:p>
    <w:p w14:paraId="6B110E92" w14:textId="62D3150E"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(b) </w:t>
      </w:r>
      <w:r w:rsidRPr="00647A44">
        <w:rPr>
          <w:rFonts w:ascii="Arial" w:hAnsi="Arial" w:cs="Arial"/>
          <w:b/>
          <w:color w:val="000000"/>
          <w:sz w:val="20"/>
          <w:shd w:val="clear" w:color="auto" w:fill="FFE599" w:themeFill="accent4" w:themeFillTint="66"/>
        </w:rPr>
        <w:t>restricted summary jurisdiction</w:t>
      </w:r>
      <w:r w:rsidR="00361B27">
        <w:rPr>
          <w:rFonts w:ascii="Arial" w:hAnsi="Arial" w:cs="Arial"/>
          <w:bCs/>
          <w:color w:val="000000"/>
          <w:sz w:val="20"/>
        </w:rPr>
        <w:t>–</w:t>
      </w:r>
    </w:p>
    <w:p w14:paraId="0205FB90" w14:textId="463B62BF" w:rsidR="0002360B" w:rsidRDefault="0002360B" w:rsidP="00361B27">
      <w:pPr>
        <w:jc w:val="both"/>
        <w:rPr>
          <w:rFonts w:ascii="Arial" w:hAnsi="Arial" w:cs="Arial"/>
          <w:bCs/>
          <w:color w:val="000000"/>
          <w:sz w:val="20"/>
        </w:rPr>
      </w:pPr>
      <w:r>
        <w:rPr>
          <w:rFonts w:ascii="Arial" w:hAnsi="Arial" w:cs="Arial"/>
          <w:bCs/>
          <w:color w:val="000000"/>
          <w:sz w:val="20"/>
        </w:rPr>
        <w:t>and where a child is alleged to have committed any of the relevant offences on or after 27/02/2026. It</w:t>
      </w:r>
      <w:r w:rsidR="00361B27">
        <w:rPr>
          <w:rFonts w:ascii="Arial" w:hAnsi="Arial" w:cs="Arial"/>
          <w:bCs/>
          <w:color w:val="000000"/>
          <w:sz w:val="20"/>
        </w:rPr>
        <w:t> </w:t>
      </w:r>
      <w:r>
        <w:rPr>
          <w:rFonts w:ascii="Arial" w:hAnsi="Arial" w:cs="Arial"/>
          <w:bCs/>
          <w:color w:val="000000"/>
          <w:sz w:val="20"/>
        </w:rPr>
        <w:t>also revokes P.D. No.2 of 2018.</w:t>
      </w:r>
    </w:p>
    <w:p w14:paraId="3A90687A" w14:textId="2CFE6B70" w:rsidR="00F57C73" w:rsidRDefault="00F57C73" w:rsidP="00F57C73">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BF3FE0" w:rsidRPr="006C36D7" w14:paraId="340D8CAE" w14:textId="77777777" w:rsidTr="00B91BC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6A64B200" w14:textId="392C035F" w:rsidR="002306A8" w:rsidRPr="006C36D7" w:rsidRDefault="00BF3FE0" w:rsidP="002306A8">
            <w:pPr>
              <w:jc w:val="center"/>
              <w:rPr>
                <w:b/>
                <w:bCs/>
                <w:szCs w:val="32"/>
              </w:rPr>
            </w:pPr>
            <w:r w:rsidRPr="006C36D7">
              <w:rPr>
                <w:b/>
                <w:bCs/>
                <w:szCs w:val="32"/>
              </w:rPr>
              <w:t>SUMMARY OF ‘UPLIFT’ PROVISIONS FOR OFFENCES COMMITTED FROM 27/02/2026</w:t>
            </w:r>
          </w:p>
        </w:tc>
      </w:tr>
      <w:tr w:rsidR="00361B27" w:rsidRPr="004F7528" w14:paraId="3C5A8F8F" w14:textId="77777777" w:rsidTr="00FB5E5A">
        <w:trPr>
          <w:trHeight w:val="227"/>
        </w:trPr>
        <w:tc>
          <w:tcPr>
            <w:tcW w:w="4679" w:type="dxa"/>
            <w:tcBorders>
              <w:top w:val="single" w:sz="12" w:space="0" w:color="auto"/>
              <w:left w:val="single" w:sz="12" w:space="0" w:color="auto"/>
              <w:bottom w:val="single" w:sz="12" w:space="0" w:color="auto"/>
            </w:tcBorders>
          </w:tcPr>
          <w:p w14:paraId="0CA9E9DA" w14:textId="3A373523"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1552" behindDoc="0" locked="0" layoutInCell="1" allowOverlap="1" wp14:anchorId="741933B0" wp14:editId="05E0D0F7">
                      <wp:simplePos x="0" y="0"/>
                      <wp:positionH relativeFrom="column">
                        <wp:posOffset>1802130</wp:posOffset>
                      </wp:positionH>
                      <wp:positionV relativeFrom="paragraph">
                        <wp:posOffset>400050</wp:posOffset>
                      </wp:positionV>
                      <wp:extent cx="1064895" cy="363855"/>
                      <wp:effectExtent l="0" t="0" r="1905" b="0"/>
                      <wp:wrapNone/>
                      <wp:docPr id="5826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933B0" id="_x0000_s1029" type="#_x0000_t202" style="position:absolute;left:0;text-align:left;margin-left:141.9pt;margin-top:31.5pt;width:83.85pt;height:28.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C17oIrFgIAADIEAAAOAAAAAAAAAAAAAAAAAC4CAABkcnMvZTJvRG9jLnhtbFBLAQItABQA&#10;BgAIAAAAIQDnzJfa4QAAAAoBAAAPAAAAAAAAAAAAAAAAAHAEAABkcnMvZG93bnJldi54bWxQSwUG&#10;AAAAAAQABADzAAAAfgUAAAAA&#10;" strokecolor="white">
                      <v:textbox style="mso-fit-shape-to-text:t">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4F7528">
              <w:rPr>
                <w:rFonts w:ascii="Arial" w:hAnsi="Arial" w:cs="Arial"/>
                <w:sz w:val="20"/>
              </w:rPr>
              <w:t xml:space="preserve"> to higher court – Child aged </w:t>
            </w:r>
            <w:r w:rsidRPr="00073B75">
              <w:rPr>
                <w:rFonts w:ascii="Arial" w:hAnsi="Arial" w:cs="Arial"/>
                <w:b/>
                <w:bCs/>
                <w:sz w:val="20"/>
              </w:rPr>
              <w:t>12</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6D7CFFFF" w14:textId="3605C751"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6F75D57E" w14:textId="50B11658"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Attempted murder</w:t>
            </w:r>
          </w:p>
          <w:p w14:paraId="168C265B" w14:textId="40C4748E"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Manslaughter</w:t>
            </w:r>
          </w:p>
          <w:p w14:paraId="19A833F9" w14:textId="1472A175"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Child homicide</w:t>
            </w:r>
          </w:p>
          <w:p w14:paraId="64DE92CC" w14:textId="410D3D12" w:rsidR="00361B27" w:rsidRPr="0095253E" w:rsidRDefault="00361B27" w:rsidP="0095253E">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49B296EB" w14:textId="7C53C7DD"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354840B" w14:textId="382E4F56"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361B27" w:rsidRPr="004F7528" w14:paraId="149FF1AF" w14:textId="77777777" w:rsidTr="00FB5E5A">
        <w:trPr>
          <w:trHeight w:val="227"/>
        </w:trPr>
        <w:tc>
          <w:tcPr>
            <w:tcW w:w="4679" w:type="dxa"/>
            <w:tcBorders>
              <w:top w:val="single" w:sz="12" w:space="0" w:color="auto"/>
              <w:left w:val="single" w:sz="12" w:space="0" w:color="auto"/>
              <w:bottom w:val="single" w:sz="12" w:space="0" w:color="auto"/>
            </w:tcBorders>
          </w:tcPr>
          <w:p w14:paraId="22F80B4C" w14:textId="22CFAD7C"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5648" behindDoc="0" locked="0" layoutInCell="1" allowOverlap="1" wp14:anchorId="570795FF" wp14:editId="59124628">
                      <wp:simplePos x="0" y="0"/>
                      <wp:positionH relativeFrom="column">
                        <wp:posOffset>1802130</wp:posOffset>
                      </wp:positionH>
                      <wp:positionV relativeFrom="paragraph">
                        <wp:posOffset>400050</wp:posOffset>
                      </wp:positionV>
                      <wp:extent cx="1064895" cy="363855"/>
                      <wp:effectExtent l="0" t="0" r="1905" b="0"/>
                      <wp:wrapNone/>
                      <wp:docPr id="98281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0795FF" id="_x0000_s1030" type="#_x0000_t202" style="position:absolute;left:0;text-align:left;margin-left:141.9pt;margin-top:31.5pt;width:83.85pt;height:28.6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AWDdvAFgIAADIEAAAOAAAAAAAAAAAAAAAAAC4CAABkcnMvZTJvRG9jLnhtbFBLAQItABQA&#10;BgAIAAAAIQDnzJfa4QAAAAoBAAAPAAAAAAAAAAAAAAAAAHAEAABkcnMvZG93bnJldi54bWxQSwUG&#10;AAAAAAQABADzAAAAfgUAAAAA&#10;" strokecolor="white">
                      <v:textbox style="mso-fit-shape-to-text:t">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361B27">
              <w:rPr>
                <w:rFonts w:ascii="Arial" w:hAnsi="Arial" w:cs="Arial"/>
                <w:color w:val="FFFFFF" w:themeColor="background1"/>
                <w:sz w:val="20"/>
              </w:rPr>
              <w:t xml:space="preserve"> </w:t>
            </w:r>
            <w:r w:rsidRPr="004F7528">
              <w:rPr>
                <w:rFonts w:ascii="Arial" w:hAnsi="Arial" w:cs="Arial"/>
                <w:sz w:val="20"/>
              </w:rPr>
              <w:t xml:space="preserve">to higher court – Child aged </w:t>
            </w:r>
            <w:r w:rsidRPr="00073B75">
              <w:rPr>
                <w:rFonts w:ascii="Arial" w:hAnsi="Arial" w:cs="Arial"/>
                <w:b/>
                <w:bCs/>
                <w:sz w:val="20"/>
              </w:rPr>
              <w:t>15</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4450" w:type="dxa"/>
            <w:gridSpan w:val="2"/>
            <w:tcBorders>
              <w:top w:val="single" w:sz="12" w:space="0" w:color="auto"/>
              <w:bottom w:val="single" w:sz="12" w:space="0" w:color="auto"/>
              <w:right w:val="single" w:sz="12" w:space="0" w:color="auto"/>
            </w:tcBorders>
          </w:tcPr>
          <w:p w14:paraId="5DB755E9" w14:textId="285CC4B5" w:rsidR="00361B27" w:rsidRPr="0095253E" w:rsidRDefault="00361B27"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6C5FEB66" w14:textId="0E676D34"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5881E5FB" w14:textId="1C23FDAF" w:rsidR="00AF6D8A" w:rsidRPr="0095253E" w:rsidRDefault="00AF6D8A" w:rsidP="0095253E">
            <w:pPr>
              <w:numPr>
                <w:ilvl w:val="0"/>
                <w:numId w:val="59"/>
              </w:numPr>
              <w:ind w:left="357" w:hanging="357"/>
              <w:jc w:val="both"/>
              <w:rPr>
                <w:rFonts w:ascii="Arial" w:hAnsi="Arial" w:cs="Arial"/>
                <w:sz w:val="20"/>
              </w:rPr>
            </w:pPr>
            <w:r>
              <w:rPr>
                <w:rFonts w:ascii="Arial" w:hAnsi="Arial" w:cs="Arial"/>
                <w:sz w:val="20"/>
              </w:rPr>
              <w:t>Home invasion</w:t>
            </w:r>
          </w:p>
          <w:p w14:paraId="1699A0E2" w14:textId="22937210"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Aggravated home invasion</w:t>
            </w:r>
          </w:p>
          <w:p w14:paraId="33490DB7" w14:textId="3F215A82" w:rsidR="00361B27" w:rsidRPr="0095253E" w:rsidRDefault="00AF6D8A" w:rsidP="0095253E">
            <w:pPr>
              <w:numPr>
                <w:ilvl w:val="0"/>
                <w:numId w:val="59"/>
              </w:numPr>
              <w:spacing w:after="20"/>
              <w:ind w:left="357" w:hanging="357"/>
              <w:jc w:val="both"/>
              <w:rPr>
                <w:rFonts w:ascii="Arial" w:hAnsi="Arial" w:cs="Arial"/>
                <w:sz w:val="20"/>
              </w:rPr>
            </w:pPr>
            <w:r>
              <w:rPr>
                <w:rFonts w:ascii="Arial" w:hAnsi="Arial" w:cs="Arial"/>
                <w:sz w:val="20"/>
              </w:rPr>
              <w:t>Aggravated carjacking</w:t>
            </w:r>
          </w:p>
        </w:tc>
      </w:tr>
      <w:tr w:rsidR="00361B27" w:rsidRPr="004F7528" w14:paraId="1A878B43" w14:textId="77777777" w:rsidTr="00D64086">
        <w:trPr>
          <w:trHeight w:val="227"/>
        </w:trPr>
        <w:tc>
          <w:tcPr>
            <w:tcW w:w="4679" w:type="dxa"/>
            <w:tcBorders>
              <w:top w:val="single" w:sz="12" w:space="0" w:color="auto"/>
              <w:left w:val="single" w:sz="12" w:space="0" w:color="auto"/>
              <w:bottom w:val="single" w:sz="12" w:space="0" w:color="auto"/>
            </w:tcBorders>
          </w:tcPr>
          <w:p w14:paraId="79423A8F" w14:textId="78D9EEFB" w:rsidR="00361B27" w:rsidRPr="004F7528" w:rsidRDefault="00361B27"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sidR="00AF6D8A">
              <w:rPr>
                <w:rFonts w:ascii="Arial" w:hAnsi="Arial" w:cs="Arial"/>
                <w:sz w:val="20"/>
              </w:rPr>
              <w:t xml:space="preserve">aged </w:t>
            </w:r>
            <w:r w:rsidR="00AF6D8A" w:rsidRPr="00073B75">
              <w:rPr>
                <w:rFonts w:ascii="Arial" w:hAnsi="Arial" w:cs="Arial"/>
                <w:b/>
                <w:bCs/>
                <w:sz w:val="20"/>
              </w:rPr>
              <w:t>16 or 17</w:t>
            </w:r>
            <w:r w:rsidR="00AF6D8A">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4DB45757" w14:textId="1676593F" w:rsidR="00361B27" w:rsidRPr="0095253E" w:rsidRDefault="00AF6D8A" w:rsidP="0095253E">
            <w:pPr>
              <w:numPr>
                <w:ilvl w:val="0"/>
                <w:numId w:val="59"/>
              </w:numPr>
              <w:spacing w:before="20" w:after="20"/>
              <w:ind w:left="357" w:hanging="357"/>
              <w:jc w:val="both"/>
              <w:rPr>
                <w:rFonts w:ascii="Arial" w:hAnsi="Arial" w:cs="Arial"/>
                <w:sz w:val="20"/>
              </w:rPr>
            </w:pPr>
            <w:r>
              <w:rPr>
                <w:rFonts w:ascii="Arial" w:hAnsi="Arial" w:cs="Arial"/>
                <w:sz w:val="20"/>
              </w:rPr>
              <w:t>4 terrorism</w:t>
            </w:r>
            <w:r w:rsidR="0095253E">
              <w:rPr>
                <w:rFonts w:ascii="Arial" w:hAnsi="Arial" w:cs="Arial"/>
                <w:sz w:val="20"/>
              </w:rPr>
              <w:t>/</w:t>
            </w:r>
            <w:r>
              <w:rPr>
                <w:rFonts w:ascii="Arial" w:hAnsi="Arial" w:cs="Arial"/>
                <w:sz w:val="20"/>
              </w:rPr>
              <w:t>foreign incursion offences defined in paragraph (f) of the definition of Category A serious youth offence in s.3(1).</w:t>
            </w:r>
          </w:p>
        </w:tc>
      </w:tr>
      <w:tr w:rsidR="00073B75" w:rsidRPr="004F7528" w14:paraId="1FF3C6FC" w14:textId="77777777" w:rsidTr="00D64086">
        <w:trPr>
          <w:trHeight w:val="227"/>
        </w:trPr>
        <w:tc>
          <w:tcPr>
            <w:tcW w:w="4679" w:type="dxa"/>
            <w:tcBorders>
              <w:top w:val="single" w:sz="12" w:space="0" w:color="auto"/>
              <w:left w:val="single" w:sz="12" w:space="0" w:color="auto"/>
              <w:bottom w:val="single" w:sz="12" w:space="0" w:color="auto"/>
            </w:tcBorders>
          </w:tcPr>
          <w:p w14:paraId="43580F09" w14:textId="4FB96CBA" w:rsidR="00073B75" w:rsidRPr="004F7528" w:rsidRDefault="008907BE"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7696" behindDoc="0" locked="0" layoutInCell="1" allowOverlap="1" wp14:anchorId="0A3930B7" wp14:editId="178CF5DD">
                      <wp:simplePos x="0" y="0"/>
                      <wp:positionH relativeFrom="column">
                        <wp:posOffset>1804035</wp:posOffset>
                      </wp:positionH>
                      <wp:positionV relativeFrom="paragraph">
                        <wp:posOffset>399415</wp:posOffset>
                      </wp:positionV>
                      <wp:extent cx="1065600" cy="363855"/>
                      <wp:effectExtent l="0" t="0" r="20320" b="19685"/>
                      <wp:wrapNone/>
                      <wp:docPr id="1405827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600" cy="363855"/>
                              </a:xfrm>
                              <a:prstGeom prst="rect">
                                <a:avLst/>
                              </a:prstGeom>
                              <a:solidFill>
                                <a:srgbClr val="FFFFFF"/>
                              </a:solidFill>
                              <a:ln w="9525">
                                <a:solidFill>
                                  <a:srgbClr val="FFFFFF"/>
                                </a:solidFill>
                                <a:miter lim="800000"/>
                                <a:headEnd/>
                                <a:tailEnd/>
                              </a:ln>
                            </wps:spPr>
                            <wps:txbx>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3930B7" id="_x0000_s1031" type="#_x0000_t202" style="position:absolute;left:0;text-align:left;margin-left:142.05pt;margin-top:31.45pt;width:83.9pt;height:28.6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" strokecolor="white">
                      <v:textbox style="mso-fit-shape-to-text:t">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v:textbox>
                    </v:shape>
                  </w:pict>
                </mc:Fallback>
              </mc:AlternateContent>
            </w:r>
            <w:r w:rsidR="00073B75" w:rsidRPr="00361B27">
              <w:rPr>
                <w:rFonts w:ascii="Arial" w:hAnsi="Arial" w:cs="Arial"/>
                <w:b/>
                <w:bCs/>
                <w:sz w:val="20"/>
                <w:shd w:val="clear" w:color="auto" w:fill="FFE599" w:themeFill="accent4" w:themeFillTint="66"/>
              </w:rPr>
              <w:t>Presumption of uplift</w:t>
            </w:r>
            <w:r w:rsidR="00073B75" w:rsidRPr="004F7528">
              <w:rPr>
                <w:rFonts w:ascii="Arial" w:hAnsi="Arial" w:cs="Arial"/>
                <w:sz w:val="20"/>
              </w:rPr>
              <w:t xml:space="preserve"> to higher court – Child </w:t>
            </w:r>
            <w:r w:rsidR="00073B75">
              <w:rPr>
                <w:rFonts w:ascii="Arial" w:hAnsi="Arial" w:cs="Arial"/>
                <w:sz w:val="20"/>
              </w:rPr>
              <w:t xml:space="preserve">aged </w:t>
            </w:r>
            <w:r w:rsidR="00073B75" w:rsidRPr="00073B75">
              <w:rPr>
                <w:rFonts w:ascii="Arial" w:hAnsi="Arial" w:cs="Arial"/>
                <w:b/>
                <w:bCs/>
                <w:sz w:val="20"/>
              </w:rPr>
              <w:t>14</w:t>
            </w:r>
            <w:r w:rsidR="00073B75">
              <w:rPr>
                <w:rFonts w:ascii="Arial" w:hAnsi="Arial" w:cs="Arial"/>
                <w:sz w:val="20"/>
              </w:rPr>
              <w:t xml:space="preserve"> at time of alleged offence </w:t>
            </w:r>
            <w:r w:rsidR="00073B75" w:rsidRPr="004F7528">
              <w:rPr>
                <w:rFonts w:ascii="Arial" w:hAnsi="Arial" w:cs="Arial"/>
                <w:sz w:val="20"/>
              </w:rPr>
              <w:t xml:space="preserve">– </w:t>
            </w:r>
            <w:r w:rsidR="00073B75" w:rsidRPr="004F7528">
              <w:rPr>
                <w:rFonts w:ascii="Arial" w:hAnsi="Arial" w:cs="Arial"/>
                <w:b/>
                <w:sz w:val="20"/>
                <w:shd w:val="clear" w:color="auto" w:fill="000000"/>
              </w:rPr>
              <w:t>s.356(</w:t>
            </w:r>
            <w:r w:rsidR="00073B75">
              <w:rPr>
                <w:rFonts w:ascii="Arial" w:hAnsi="Arial" w:cs="Arial"/>
                <w:b/>
                <w:sz w:val="20"/>
                <w:shd w:val="clear" w:color="auto" w:fill="000000"/>
              </w:rPr>
              <w:t>7A</w:t>
            </w:r>
            <w:r w:rsidR="00073B75"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26411529" w14:textId="74EE56DC"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29D5953F" w14:textId="185B9F5F"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01CB5314" w14:textId="53FED74B"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Home invasion</w:t>
            </w:r>
          </w:p>
          <w:p w14:paraId="703EDACA" w14:textId="72854FA8"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Aggravated home invasion</w:t>
            </w:r>
          </w:p>
          <w:p w14:paraId="2445AC68" w14:textId="6F6D901B" w:rsidR="00073B75" w:rsidRPr="0095253E" w:rsidRDefault="00073B75" w:rsidP="0095253E">
            <w:pPr>
              <w:numPr>
                <w:ilvl w:val="0"/>
                <w:numId w:val="59"/>
              </w:numPr>
              <w:spacing w:after="20"/>
              <w:ind w:left="357" w:hanging="357"/>
              <w:jc w:val="both"/>
              <w:rPr>
                <w:rFonts w:ascii="Arial" w:hAnsi="Arial" w:cs="Arial"/>
                <w:sz w:val="20"/>
              </w:rPr>
            </w:pPr>
            <w:r w:rsidRPr="008907BE">
              <w:rPr>
                <w:rFonts w:ascii="Arial" w:hAnsi="Arial" w:cs="Arial"/>
                <w:sz w:val="20"/>
              </w:rPr>
              <w:t>Aggravated carjacking</w:t>
            </w:r>
          </w:p>
        </w:tc>
      </w:tr>
      <w:tr w:rsidR="00073B75" w:rsidRPr="004F7528" w14:paraId="614CDA8D" w14:textId="77777777" w:rsidTr="00D64086">
        <w:trPr>
          <w:trHeight w:val="227"/>
        </w:trPr>
        <w:tc>
          <w:tcPr>
            <w:tcW w:w="4679" w:type="dxa"/>
            <w:tcBorders>
              <w:top w:val="single" w:sz="12" w:space="0" w:color="auto"/>
              <w:left w:val="single" w:sz="12" w:space="0" w:color="auto"/>
              <w:bottom w:val="single" w:sz="12" w:space="0" w:color="auto"/>
            </w:tcBorders>
          </w:tcPr>
          <w:p w14:paraId="662563AC" w14:textId="4985ACE8" w:rsidR="00073B75" w:rsidRPr="004F7528" w:rsidRDefault="00073B75"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Pr>
                <w:rFonts w:ascii="Arial" w:hAnsi="Arial" w:cs="Arial"/>
                <w:sz w:val="20"/>
              </w:rPr>
              <w:t xml:space="preserve">aged </w:t>
            </w:r>
            <w:r w:rsidRPr="00073B75">
              <w:rPr>
                <w:rFonts w:ascii="Arial" w:hAnsi="Arial" w:cs="Arial"/>
                <w:b/>
                <w:bCs/>
                <w:sz w:val="20"/>
              </w:rPr>
              <w:t>14 to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w:t>
            </w:r>
            <w:r>
              <w:rPr>
                <w:rFonts w:ascii="Arial" w:hAnsi="Arial" w:cs="Arial"/>
                <w:b/>
                <w:sz w:val="20"/>
                <w:shd w:val="clear" w:color="auto" w:fill="000000"/>
              </w:rPr>
              <w:t>7C</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36DAB2E" w14:textId="327F6767"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Carjacking</w:t>
            </w:r>
          </w:p>
        </w:tc>
      </w:tr>
      <w:tr w:rsidR="00073B75" w:rsidRPr="004F7528" w14:paraId="6720D692" w14:textId="77777777" w:rsidTr="00D64086">
        <w:trPr>
          <w:trHeight w:val="227"/>
        </w:trPr>
        <w:tc>
          <w:tcPr>
            <w:tcW w:w="4679" w:type="dxa"/>
            <w:tcBorders>
              <w:top w:val="single" w:sz="12" w:space="0" w:color="auto"/>
              <w:left w:val="single" w:sz="12" w:space="0" w:color="auto"/>
              <w:bottom w:val="single" w:sz="12" w:space="0" w:color="auto"/>
            </w:tcBorders>
          </w:tcPr>
          <w:p w14:paraId="5CF636F8" w14:textId="15E5FC54" w:rsidR="00073B75" w:rsidRPr="004F7528" w:rsidRDefault="00073B75" w:rsidP="008907BE">
            <w:pPr>
              <w:spacing w:before="20" w:after="20"/>
              <w:jc w:val="both"/>
              <w:rPr>
                <w:rFonts w:ascii="Arial" w:hAnsi="Arial" w:cs="Arial"/>
                <w:sz w:val="20"/>
              </w:rPr>
            </w:pPr>
            <w:r w:rsidRPr="00647A44">
              <w:rPr>
                <w:rFonts w:ascii="Arial" w:hAnsi="Arial" w:cs="Arial"/>
                <w:b/>
                <w:bCs/>
                <w:sz w:val="20"/>
                <w:shd w:val="clear" w:color="auto" w:fill="BDD6EE" w:themeFill="accent5" w:themeFillTint="66"/>
              </w:rPr>
              <w:t>Court must consider appropriateness of uplift</w:t>
            </w:r>
            <w:r w:rsidRPr="00AF6D8A">
              <w:rPr>
                <w:rFonts w:ascii="Arial" w:hAnsi="Arial" w:cs="Arial"/>
                <w:b/>
                <w:bCs/>
                <w:sz w:val="20"/>
              </w:rPr>
              <w:t xml:space="preserve"> to higher court</w:t>
            </w:r>
            <w:r w:rsidRPr="004F7528">
              <w:rPr>
                <w:rFonts w:ascii="Arial" w:hAnsi="Arial" w:cs="Arial"/>
                <w:sz w:val="20"/>
              </w:rPr>
              <w:t xml:space="preserve"> – Child </w:t>
            </w:r>
            <w:r>
              <w:rPr>
                <w:rFonts w:ascii="Arial" w:hAnsi="Arial" w:cs="Arial"/>
                <w:sz w:val="20"/>
              </w:rPr>
              <w:t xml:space="preserve">aged </w:t>
            </w:r>
            <w:r w:rsidRPr="008907BE">
              <w:rPr>
                <w:rFonts w:ascii="Arial" w:hAnsi="Arial" w:cs="Arial"/>
                <w:b/>
                <w:bCs/>
                <w:sz w:val="20"/>
              </w:rPr>
              <w:t>16 or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88899D7" w14:textId="45A77CEC" w:rsidR="00073B75" w:rsidRPr="0095253E" w:rsidRDefault="00073B75" w:rsidP="0095253E">
            <w:pPr>
              <w:numPr>
                <w:ilvl w:val="0"/>
                <w:numId w:val="59"/>
              </w:numPr>
              <w:spacing w:before="20"/>
              <w:ind w:left="357" w:hanging="357"/>
              <w:jc w:val="both"/>
              <w:rPr>
                <w:rFonts w:ascii="Arial" w:hAnsi="Arial" w:cs="Arial"/>
                <w:sz w:val="20"/>
              </w:rPr>
            </w:pPr>
            <w:r w:rsidRPr="004F7528">
              <w:rPr>
                <w:rFonts w:ascii="Arial" w:hAnsi="Arial" w:cs="Arial"/>
                <w:sz w:val="20"/>
              </w:rPr>
              <w:t>Rape</w:t>
            </w:r>
          </w:p>
          <w:p w14:paraId="082AA5A1" w14:textId="59E2F74C" w:rsidR="00073B75" w:rsidRPr="0095253E" w:rsidRDefault="00073B75" w:rsidP="0095253E">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tc>
      </w:tr>
      <w:tr w:rsidR="003E2756" w:rsidRPr="004F7528" w14:paraId="3BD87AAC" w14:textId="77777777" w:rsidTr="00B91BC5">
        <w:trPr>
          <w:trHeight w:val="227"/>
        </w:trPr>
        <w:tc>
          <w:tcPr>
            <w:tcW w:w="4679" w:type="dxa"/>
            <w:tcBorders>
              <w:top w:val="single" w:sz="12" w:space="0" w:color="auto"/>
              <w:left w:val="single" w:sz="12" w:space="0" w:color="auto"/>
              <w:bottom w:val="single" w:sz="12" w:space="0" w:color="auto"/>
            </w:tcBorders>
          </w:tcPr>
          <w:p w14:paraId="5A21184F" w14:textId="7FBE9C2C" w:rsidR="003E2756" w:rsidRPr="003E2756" w:rsidRDefault="003E2756" w:rsidP="00B91BC5">
            <w:pPr>
              <w:spacing w:before="20"/>
              <w:jc w:val="both"/>
              <w:rPr>
                <w:rFonts w:ascii="Arial" w:hAnsi="Arial" w:cs="Arial"/>
                <w:b/>
                <w:bCs/>
                <w:sz w:val="20"/>
                <w:shd w:val="clear" w:color="auto" w:fill="FFE599" w:themeFill="accent4" w:themeFillTint="66"/>
              </w:rPr>
            </w:pPr>
            <w:r w:rsidRPr="003E2756">
              <w:rPr>
                <w:rFonts w:ascii="Arial" w:hAnsi="Arial" w:cs="Arial"/>
                <w:b/>
                <w:bCs/>
                <w:sz w:val="20"/>
                <w:shd w:val="clear" w:color="auto" w:fill="FFE599" w:themeFill="accent4" w:themeFillTint="66"/>
              </w:rPr>
              <w:t>No summary jurisdiction</w:t>
            </w:r>
            <w:r w:rsidRPr="003E2756">
              <w:rPr>
                <w:rFonts w:ascii="Arial" w:hAnsi="Arial" w:cs="Arial"/>
                <w:sz w:val="20"/>
              </w:rPr>
              <w:t xml:space="preserve"> </w:t>
            </w:r>
            <w:r>
              <w:rPr>
                <w:rFonts w:ascii="Arial" w:hAnsi="Arial" w:cs="Arial"/>
                <w:sz w:val="20"/>
              </w:rPr>
              <w:t xml:space="preserve">if </w:t>
            </w:r>
            <w:r w:rsidR="0087711E">
              <w:rPr>
                <w:rFonts w:ascii="Arial" w:hAnsi="Arial" w:cs="Arial"/>
                <w:sz w:val="20"/>
              </w:rPr>
              <w:t>c</w:t>
            </w:r>
            <w:r w:rsidR="0087711E" w:rsidRPr="003E2756">
              <w:rPr>
                <w:rFonts w:ascii="Arial" w:hAnsi="Arial" w:cs="Arial"/>
                <w:sz w:val="20"/>
              </w:rPr>
              <w:t xml:space="preserve">hild aged </w:t>
            </w:r>
            <w:r w:rsidR="0087711E" w:rsidRPr="003E2756">
              <w:rPr>
                <w:rFonts w:ascii="Arial" w:hAnsi="Arial" w:cs="Arial"/>
                <w:b/>
                <w:bCs/>
                <w:sz w:val="20"/>
              </w:rPr>
              <w:t>12 to 17</w:t>
            </w:r>
            <w:r w:rsidR="0087711E" w:rsidRPr="003E2756">
              <w:rPr>
                <w:rFonts w:ascii="Arial" w:hAnsi="Arial" w:cs="Arial"/>
                <w:sz w:val="20"/>
              </w:rPr>
              <w:t xml:space="preserve"> </w:t>
            </w:r>
            <w:r w:rsidR="0087711E">
              <w:rPr>
                <w:rFonts w:ascii="Arial" w:hAnsi="Arial" w:cs="Arial"/>
                <w:sz w:val="20"/>
              </w:rPr>
              <w:t xml:space="preserve">is </w:t>
            </w:r>
            <w:r w:rsidR="0087711E" w:rsidRPr="003E2756">
              <w:rPr>
                <w:rFonts w:ascii="Arial" w:hAnsi="Arial" w:cs="Arial"/>
                <w:sz w:val="20"/>
              </w:rPr>
              <w:t>already committed for trial on a ‘</w:t>
            </w:r>
            <w:r w:rsidR="0087711E" w:rsidRPr="0087711E">
              <w:rPr>
                <w:rFonts w:ascii="Arial" w:hAnsi="Arial" w:cs="Arial"/>
                <w:b/>
                <w:bCs/>
                <w:sz w:val="20"/>
              </w:rPr>
              <w:t>related</w:t>
            </w:r>
            <w:r w:rsidR="0087711E">
              <w:rPr>
                <w:rFonts w:ascii="Arial" w:hAnsi="Arial" w:cs="Arial"/>
                <w:sz w:val="20"/>
              </w:rPr>
              <w:t>’</w:t>
            </w:r>
            <w:r w:rsidR="0087711E" w:rsidRPr="003E2756">
              <w:rPr>
                <w:rFonts w:ascii="Arial" w:hAnsi="Arial" w:cs="Arial"/>
                <w:sz w:val="20"/>
              </w:rPr>
              <w:t xml:space="preserve"> offence</w:t>
            </w:r>
            <w:r w:rsidR="0087711E">
              <w:rPr>
                <w:rFonts w:ascii="Arial" w:hAnsi="Arial" w:cs="Arial"/>
                <w:sz w:val="20"/>
              </w:rPr>
              <w:t xml:space="preserve"> and there is no substantial and compelling reason </w:t>
            </w:r>
            <w:r w:rsidRPr="003E2756">
              <w:rPr>
                <w:rFonts w:ascii="Arial" w:hAnsi="Arial" w:cs="Arial"/>
                <w:sz w:val="20"/>
                <w:szCs w:val="20"/>
              </w:rPr>
              <w:t>to hear and determine the charge summarily</w:t>
            </w:r>
            <w:r>
              <w:rPr>
                <w:rFonts w:ascii="Arial" w:hAnsi="Arial" w:cs="Arial"/>
                <w:sz w:val="20"/>
              </w:rPr>
              <w:t xml:space="preserve"> </w:t>
            </w:r>
            <w:r w:rsidRPr="003E2756">
              <w:rPr>
                <w:rFonts w:ascii="Arial" w:hAnsi="Arial" w:cs="Arial"/>
                <w:sz w:val="20"/>
              </w:rPr>
              <w:t>–</w:t>
            </w:r>
            <w:r w:rsidRPr="004F7528">
              <w:rPr>
                <w:rFonts w:ascii="Arial" w:hAnsi="Arial" w:cs="Arial"/>
                <w:sz w:val="20"/>
              </w:rPr>
              <w:t xml:space="preserve"> </w:t>
            </w:r>
            <w:r w:rsidRPr="004F7528">
              <w:rPr>
                <w:rFonts w:ascii="Arial" w:hAnsi="Arial" w:cs="Arial"/>
                <w:b/>
                <w:sz w:val="20"/>
                <w:shd w:val="clear" w:color="auto" w:fill="000000"/>
              </w:rPr>
              <w:t>s</w:t>
            </w:r>
            <w:r>
              <w:rPr>
                <w:rFonts w:ascii="Arial" w:hAnsi="Arial" w:cs="Arial"/>
                <w:b/>
                <w:sz w:val="20"/>
                <w:shd w:val="clear" w:color="auto" w:fill="000000"/>
              </w:rPr>
              <w:t>s</w:t>
            </w:r>
            <w:r w:rsidRPr="004F7528">
              <w:rPr>
                <w:rFonts w:ascii="Arial" w:hAnsi="Arial" w:cs="Arial"/>
                <w:b/>
                <w:sz w:val="20"/>
                <w:shd w:val="clear" w:color="auto" w:fill="000000"/>
              </w:rPr>
              <w:t>.356(</w:t>
            </w:r>
            <w:r>
              <w:rPr>
                <w:rFonts w:ascii="Arial" w:hAnsi="Arial" w:cs="Arial"/>
                <w:b/>
                <w:sz w:val="20"/>
                <w:shd w:val="clear" w:color="auto" w:fill="000000"/>
              </w:rPr>
              <w:t>8A) &amp; 356(8B</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2AE82B0" w14:textId="728279C4" w:rsidR="003E2756" w:rsidRPr="0095253E" w:rsidRDefault="003E2756" w:rsidP="0087711E">
            <w:pPr>
              <w:numPr>
                <w:ilvl w:val="0"/>
                <w:numId w:val="59"/>
              </w:numPr>
              <w:spacing w:before="20"/>
              <w:ind w:left="357" w:hanging="357"/>
              <w:jc w:val="both"/>
              <w:rPr>
                <w:rFonts w:ascii="Arial" w:hAnsi="Arial" w:cs="Arial"/>
                <w:sz w:val="20"/>
              </w:rPr>
            </w:pPr>
            <w:r>
              <w:rPr>
                <w:rFonts w:ascii="Arial" w:hAnsi="Arial" w:cs="Arial"/>
                <w:sz w:val="20"/>
              </w:rPr>
              <w:t>Any indictable offence</w:t>
            </w:r>
          </w:p>
        </w:tc>
      </w:tr>
      <w:tr w:rsidR="00073B75" w:rsidRPr="004F7528" w14:paraId="6654AC13" w14:textId="77777777" w:rsidTr="00D64086">
        <w:trPr>
          <w:trHeight w:val="227"/>
        </w:trPr>
        <w:tc>
          <w:tcPr>
            <w:tcW w:w="4679" w:type="dxa"/>
            <w:tcBorders>
              <w:top w:val="single" w:sz="12" w:space="0" w:color="auto"/>
              <w:left w:val="single" w:sz="12" w:space="0" w:color="auto"/>
              <w:bottom w:val="single" w:sz="12" w:space="0" w:color="auto"/>
            </w:tcBorders>
          </w:tcPr>
          <w:p w14:paraId="71D48B02" w14:textId="7F9FD561" w:rsidR="00073B75" w:rsidRPr="004F7528" w:rsidRDefault="00073B75" w:rsidP="008907BE">
            <w:pPr>
              <w:spacing w:before="20" w:after="20"/>
              <w:jc w:val="both"/>
              <w:rPr>
                <w:rFonts w:ascii="Arial" w:hAnsi="Arial" w:cs="Arial"/>
                <w:sz w:val="20"/>
              </w:rPr>
            </w:pPr>
            <w:r w:rsidRPr="008378D2">
              <w:rPr>
                <w:rFonts w:ascii="Arial" w:hAnsi="Arial" w:cs="Arial"/>
                <w:b/>
                <w:bCs/>
                <w:sz w:val="20"/>
                <w:shd w:val="clear" w:color="auto" w:fill="F6C3FF"/>
              </w:rPr>
              <w:t>Court may order uplift</w:t>
            </w:r>
            <w:r w:rsidRPr="004F7528">
              <w:rPr>
                <w:rFonts w:ascii="Arial" w:hAnsi="Arial" w:cs="Arial"/>
                <w:sz w:val="20"/>
              </w:rPr>
              <w:t xml:space="preserve"> to higher court if exceptional circumstances exist – Child aged </w:t>
            </w:r>
            <w:r w:rsidRPr="008907BE">
              <w:rPr>
                <w:rFonts w:ascii="Arial" w:hAnsi="Arial" w:cs="Arial"/>
                <w:b/>
                <w:bCs/>
                <w:sz w:val="20"/>
              </w:rPr>
              <w:t>12 to 17</w:t>
            </w:r>
            <w:r w:rsidRPr="004F7528">
              <w:rPr>
                <w:rFonts w:ascii="Arial" w:hAnsi="Arial" w:cs="Arial"/>
                <w:sz w:val="20"/>
              </w:rPr>
              <w:t xml:space="preserve"> at time of alleged offence – </w:t>
            </w:r>
            <w:r w:rsidRPr="004F7528">
              <w:rPr>
                <w:rFonts w:ascii="Arial" w:hAnsi="Arial" w:cs="Arial"/>
                <w:b/>
                <w:sz w:val="20"/>
                <w:shd w:val="clear" w:color="auto" w:fill="000000"/>
              </w:rPr>
              <w:t>s.356(3)(b)</w:t>
            </w:r>
            <w:r>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01E5C21E" w14:textId="42E564EE" w:rsidR="00073B75" w:rsidRPr="0095253E" w:rsidRDefault="00073B75" w:rsidP="0087711E">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595A3111" w14:textId="5DE21282" w:rsidR="00361B27" w:rsidRDefault="00361B27" w:rsidP="00361B27">
      <w:pPr>
        <w:jc w:val="both"/>
        <w:rPr>
          <w:rFonts w:ascii="Arial" w:hAnsi="Arial" w:cs="Arial"/>
          <w:sz w:val="18"/>
          <w:szCs w:val="22"/>
        </w:rPr>
      </w:pPr>
    </w:p>
    <w:p w14:paraId="730E5E9E" w14:textId="77777777" w:rsidR="008907BE" w:rsidRPr="0095662A" w:rsidRDefault="008907BE" w:rsidP="008907BE">
      <w:pPr>
        <w:jc w:val="center"/>
        <w:rPr>
          <w:rFonts w:ascii="Arial" w:hAnsi="Arial" w:cs="Arial"/>
          <w:sz w:val="22"/>
          <w:szCs w:val="36"/>
        </w:rPr>
      </w:pPr>
      <w:r w:rsidRPr="0095662A">
        <w:rPr>
          <w:rFonts w:ascii="Arial" w:hAnsi="Arial" w:cs="Arial"/>
          <w:b/>
          <w:bCs/>
          <w:sz w:val="22"/>
          <w:szCs w:val="28"/>
        </w:rPr>
        <w:t>THE REST OF THIS PAGE IS BLANK</w:t>
      </w:r>
    </w:p>
    <w:p w14:paraId="0950D986" w14:textId="77777777" w:rsidR="008907BE" w:rsidRPr="00920BCD" w:rsidRDefault="008907BE" w:rsidP="008907BE">
      <w:pPr>
        <w:rPr>
          <w:rFonts w:ascii="Arial" w:hAnsi="Arial" w:cs="Arial"/>
          <w:sz w:val="20"/>
          <w:szCs w:val="20"/>
        </w:rPr>
      </w:pPr>
    </w:p>
    <w:p w14:paraId="2B269AAD" w14:textId="17DD46FD" w:rsidR="00A65A7E" w:rsidRDefault="00A65A7E">
      <w:pPr>
        <w:rPr>
          <w:rFonts w:ascii="Arial" w:hAnsi="Arial" w:cs="Arial"/>
          <w:b/>
          <w:bCs/>
          <w:kern w:val="28"/>
          <w:sz w:val="20"/>
          <w:szCs w:val="20"/>
          <w:lang w:val="en-GB"/>
        </w:rPr>
      </w:pPr>
      <w:r>
        <w:rPr>
          <w:rFonts w:ascii="Arial" w:hAnsi="Arial" w:cs="Arial"/>
          <w:b/>
          <w:bCs/>
          <w:sz w:val="20"/>
        </w:rPr>
        <w:br w:type="page"/>
      </w:r>
    </w:p>
    <w:p w14:paraId="008D884D" w14:textId="48220477" w:rsidR="00931C00" w:rsidRPr="00917DB1" w:rsidRDefault="00931C00" w:rsidP="005C5E3E">
      <w:pPr>
        <w:pStyle w:val="Heading3"/>
        <w:keepNext/>
        <w:keepLines/>
        <w:widowControl/>
        <w:spacing w:after="120" w:line="240" w:lineRule="auto"/>
        <w:rPr>
          <w:rFonts w:ascii="Arial" w:hAnsi="Arial" w:cs="Arial"/>
          <w:b/>
          <w:bCs/>
          <w:sz w:val="20"/>
        </w:rPr>
      </w:pPr>
      <w:bookmarkStart w:id="60" w:name="_10.1.4_Whether_Uplift_1"/>
      <w:bookmarkEnd w:id="60"/>
      <w:r w:rsidRPr="00917DB1">
        <w:rPr>
          <w:rFonts w:ascii="Arial" w:hAnsi="Arial" w:cs="Arial"/>
          <w:b/>
          <w:bCs/>
          <w:sz w:val="20"/>
        </w:rPr>
        <w:lastRenderedPageBreak/>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8D34DA">
        <w:rPr>
          <w:rFonts w:ascii="Arial" w:hAnsi="Arial" w:cs="Arial"/>
          <w:b/>
          <w:bCs/>
          <w:sz w:val="20"/>
        </w:rPr>
        <w:t>lating to s.356 CYFA</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61" w:name="_Hlk15981349"/>
      <w:r w:rsidR="00233EAA">
        <w:rPr>
          <w:rFonts w:ascii="Arial" w:hAnsi="Arial" w:cs="Arial"/>
          <w:b/>
          <w:sz w:val="20"/>
          <w:shd w:val="clear" w:color="auto" w:fill="000000"/>
        </w:rPr>
        <w:sym w:font="Wingdings" w:char="F0DD"/>
      </w:r>
      <w:bookmarkEnd w:id="61"/>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V</w:t>
      </w:r>
      <w:r w:rsidR="00242699">
        <w:rPr>
          <w:rFonts w:ascii="Arial" w:hAnsi="Arial" w:cs="Arial"/>
          <w:sz w:val="20"/>
        </w:rPr>
        <w:t>ChC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12 month youth supervision order and that he had a significant criminal history – including for offences of aggravated carjacking with 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t>
      </w:r>
      <w:r w:rsidR="00E52E84" w:rsidRPr="00E52E84">
        <w:rPr>
          <w:rFonts w:ascii="Arial" w:hAnsi="Arial" w:cs="Arial"/>
          <w:sz w:val="20"/>
          <w:szCs w:val="20"/>
        </w:rPr>
        <w:lastRenderedPageBreak/>
        <w:t xml:space="preserve">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Sentencing Act 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VChC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reported on the Children’s Court website: [2021] VChC 1; [2019] VChC 7; [2019] VChC 2; [2018] VChC 7.</w:t>
      </w:r>
    </w:p>
    <w:p w14:paraId="0B1FEEDC" w14:textId="77777777" w:rsidR="00B71B1D" w:rsidRDefault="00B71B1D" w:rsidP="00327C30">
      <w:pPr>
        <w:ind w:left="357" w:hanging="357"/>
        <w:jc w:val="both"/>
        <w:rPr>
          <w:rFonts w:ascii="Arial" w:hAnsi="Arial" w:cs="Arial"/>
          <w:sz w:val="20"/>
        </w:rPr>
      </w:pPr>
    </w:p>
    <w:p w14:paraId="2B592A1E" w14:textId="7D0DCD26" w:rsidR="002277A2" w:rsidRPr="00CC7A4B" w:rsidRDefault="002277A2" w:rsidP="00B63533">
      <w:pPr>
        <w:pStyle w:val="Heading3"/>
        <w:keepNext/>
        <w:keepLines/>
        <w:widowControl/>
        <w:spacing w:after="120" w:line="240" w:lineRule="auto"/>
        <w:rPr>
          <w:rFonts w:ascii="Arial" w:hAnsi="Arial" w:cs="Arial"/>
          <w:b/>
          <w:bCs/>
          <w:sz w:val="20"/>
          <w:szCs w:val="16"/>
        </w:rPr>
      </w:pPr>
      <w:bookmarkStart w:id="62" w:name="_10.1.5_Whether_Uplift"/>
      <w:bookmarkEnd w:id="62"/>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r w:rsidR="008D34DA">
        <w:rPr>
          <w:rFonts w:ascii="Arial" w:hAnsi="Arial" w:cs="Arial"/>
          <w:b/>
          <w:bCs/>
          <w:sz w:val="20"/>
          <w:szCs w:val="16"/>
        </w:rPr>
        <w:t xml:space="preserve"> [s.356A CYFA]</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On its face it is not absolutely clear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VChC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VChC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circumstances’</w:t>
      </w:r>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t>"As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Whether there are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in particular ss.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taken into account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 xml:space="preserve">Children's Protection and Young Offenders Act </w:t>
      </w:r>
      <w:r w:rsidRPr="0010068D">
        <w:rPr>
          <w:rFonts w:ascii="Arial" w:hAnsi="Arial" w:cs="Arial"/>
          <w:i/>
          <w:iCs/>
          <w:sz w:val="20"/>
        </w:rPr>
        <w:lastRenderedPageBreak/>
        <w:t>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take into account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On the other hand, I take into account the [</w:t>
      </w:r>
      <w:r w:rsidR="00A44CB7">
        <w:rPr>
          <w:rFonts w:ascii="Arial" w:hAnsi="Arial" w:cs="Arial"/>
          <w:sz w:val="20"/>
        </w:rPr>
        <w:t>accused</w:t>
      </w:r>
      <w:r>
        <w:rPr>
          <w:rFonts w:ascii="Arial" w:hAnsi="Arial" w:cs="Arial"/>
          <w:sz w:val="20"/>
        </w:rPr>
        <w:t>'s] age relative to the categorization of 'child' as defined by the Act and the circumstances of her statements to the various investigating officers, where her step by step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's appeal and returned the 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was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VChC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w:t>
      </w:r>
      <w:r w:rsidR="00542D39" w:rsidRPr="00786886">
        <w:rPr>
          <w:rFonts w:ascii="Arial" w:hAnsi="Arial" w:cs="Arial"/>
          <w:color w:val="000000"/>
          <w:sz w:val="20"/>
        </w:rPr>
        <w:lastRenderedPageBreak/>
        <w:t xml:space="preserve">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stab wound to the middle of the back, a large laceration to his left upper arm and large lacerations to both upper legs.  All three lacerations were to the bone, and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lastRenderedPageBreak/>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lastRenderedPageBreak/>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(absent militating antecedents) exceptional circumstances will only be demonstrated in ‘top of the range’ offending.  A 13 year old charged with a ‘top of the range’ intentionally causing injury offence will almost certainly be able to be sentenced within Children’s Court sentencing constraints.  A 17 year old charged with a ‘top of the range’ intentionally causing serious injury offence may well not be able to be sentenced 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[2018] VChC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47 year old man with a pre-existing diagnosis of dementia who was not known to either JA or his 15 year old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should the charges be found proved, and not limited to the maximum jurisdictional limit of this Court. Other sentencing considerations, including the age of the accused, his cognitive functioning and prospects of rehabilitation, will also remain relevant and can be taken into account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lastRenderedPageBreak/>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VChC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VChC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 xml:space="preserve">D </w:t>
      </w:r>
      <w:r w:rsidRPr="00C85D23">
        <w:rPr>
          <w:rFonts w:ascii="Arial" w:hAnsi="Arial" w:cs="Arial"/>
          <w:i/>
          <w:iCs/>
          <w:sz w:val="20"/>
          <w:szCs w:val="20"/>
        </w:rPr>
        <w:lastRenderedPageBreak/>
        <w:t>(a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hospital he was in cardiac arrest and was receiving CPR.  A doctor who examined the victim on his arrival at hospital opined: “[T]his was an extremely serious and life threatening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take into account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VChC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 xml:space="preserve">case </w:t>
      </w:r>
      <w:r w:rsidRPr="000B7637">
        <w:rPr>
          <w:rFonts w:ascii="Arial" w:hAnsi="Arial" w:cs="Arial"/>
          <w:sz w:val="20"/>
          <w:szCs w:val="20"/>
        </w:rPr>
        <w:lastRenderedPageBreak/>
        <w:t>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I do not accept that the unusual nature of the charges requires them to be dealt with by a superior court. Whilst no child has been charged with these particular offences, I agree 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VChC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VChC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VChC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VChC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VChC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63" w:name="_Toc30691449"/>
      <w:bookmarkStart w:id="64" w:name="_Toc30691828"/>
      <w:bookmarkStart w:id="65" w:name="_Toc30692208"/>
      <w:bookmarkStart w:id="66" w:name="_Toc30692966"/>
      <w:bookmarkStart w:id="67" w:name="_Toc30693345"/>
      <w:bookmarkStart w:id="68" w:name="_Toc30693723"/>
      <w:bookmarkStart w:id="69" w:name="_Toc30694101"/>
      <w:bookmarkStart w:id="70" w:name="_Toc30694481"/>
      <w:bookmarkStart w:id="71" w:name="_Toc30699071"/>
      <w:bookmarkStart w:id="72" w:name="_Toc30699456"/>
      <w:bookmarkStart w:id="73" w:name="_Toc30699841"/>
      <w:bookmarkStart w:id="74" w:name="_Toc30700996"/>
      <w:bookmarkStart w:id="75" w:name="_Toc30701383"/>
      <w:bookmarkStart w:id="76" w:name="_Toc30743988"/>
      <w:bookmarkStart w:id="77" w:name="_Toc30754811"/>
      <w:bookmarkStart w:id="78" w:name="_Toc30757267"/>
      <w:bookmarkStart w:id="79" w:name="_Toc30757815"/>
      <w:bookmarkStart w:id="80" w:name="_Toc30758215"/>
      <w:bookmarkStart w:id="81" w:name="_Toc30762976"/>
      <w:bookmarkStart w:id="82" w:name="_Toc30767630"/>
      <w:bookmarkStart w:id="83" w:name="_Toc34823648"/>
    </w:p>
    <w:p w14:paraId="3E9966AC" w14:textId="6BF757DE" w:rsidR="00063D41" w:rsidRDefault="00063D41" w:rsidP="00063D41">
      <w:pPr>
        <w:pStyle w:val="Heading3"/>
        <w:keepNext/>
        <w:keepLines/>
        <w:widowControl/>
        <w:spacing w:after="120" w:line="240" w:lineRule="auto"/>
        <w:rPr>
          <w:rFonts w:ascii="Arial" w:hAnsi="Arial" w:cs="Arial"/>
          <w:b/>
          <w:bCs/>
          <w:sz w:val="20"/>
        </w:rPr>
      </w:pPr>
      <w:bookmarkStart w:id="84" w:name="_10.1.6_Transfer_back_1"/>
      <w:bookmarkEnd w:id="84"/>
      <w:r>
        <w:rPr>
          <w:rFonts w:ascii="Arial" w:hAnsi="Arial" w:cs="Arial"/>
          <w:b/>
          <w:bCs/>
          <w:sz w:val="20"/>
        </w:rPr>
        <w:t>10.1.6</w:t>
      </w:r>
      <w:r>
        <w:rPr>
          <w:rFonts w:ascii="Arial" w:hAnsi="Arial" w:cs="Arial"/>
          <w:b/>
          <w:bCs/>
          <w:sz w:val="20"/>
        </w:rPr>
        <w:tab/>
      </w:r>
      <w:r w:rsidR="00FB5E5A">
        <w:rPr>
          <w:rFonts w:ascii="Arial" w:hAnsi="Arial" w:cs="Arial"/>
          <w:b/>
          <w:bCs/>
          <w:sz w:val="20"/>
        </w:rPr>
        <w:t>Charges t</w:t>
      </w:r>
      <w:r>
        <w:rPr>
          <w:rFonts w:ascii="Arial" w:hAnsi="Arial" w:cs="Arial"/>
          <w:b/>
          <w:bCs/>
          <w:sz w:val="20"/>
        </w:rPr>
        <w:t>ransfer</w:t>
      </w:r>
      <w:r w:rsidR="00FB5E5A">
        <w:rPr>
          <w:rFonts w:ascii="Arial" w:hAnsi="Arial" w:cs="Arial"/>
          <w:b/>
          <w:bCs/>
          <w:sz w:val="20"/>
        </w:rPr>
        <w:t>red</w:t>
      </w:r>
      <w:r>
        <w:rPr>
          <w:rFonts w:ascii="Arial" w:hAnsi="Arial" w:cs="Arial"/>
          <w:b/>
          <w:bCs/>
          <w:sz w:val="20"/>
        </w:rPr>
        <w:t xml:space="preserve"> back from Supreme or County Court to Children’s Court</w:t>
      </w:r>
    </w:p>
    <w:p w14:paraId="1E04A1D0" w14:textId="1F4183A6"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1) provide</w:t>
      </w:r>
      <w:r w:rsidR="00657559">
        <w:rPr>
          <w:rFonts w:ascii="Arial" w:hAnsi="Arial" w:cs="Arial"/>
          <w:sz w:val="20"/>
          <w:szCs w:val="20"/>
        </w:rPr>
        <w:t>s</w:t>
      </w:r>
      <w:r w:rsidR="001F7216" w:rsidRPr="00CC7A4B">
        <w:rPr>
          <w:rFonts w:ascii="Arial" w:hAnsi="Arial" w:cs="Arial"/>
          <w:sz w:val="20"/>
          <w:szCs w:val="20"/>
        </w:rPr>
        <w:t xml:space="preserve"> that despite s.168(2), the court may</w:t>
      </w:r>
      <w:r w:rsidR="00657559">
        <w:rPr>
          <w:rFonts w:ascii="Arial" w:hAnsi="Arial" w:cs="Arial"/>
          <w:sz w:val="20"/>
          <w:szCs w:val="20"/>
        </w:rPr>
        <w:t>,</w:t>
      </w:r>
      <w:r w:rsidR="001F7216" w:rsidRPr="00CC7A4B">
        <w:rPr>
          <w:rFonts w:ascii="Arial" w:hAnsi="Arial" w:cs="Arial"/>
          <w:sz w:val="20"/>
          <w:szCs w:val="20"/>
        </w:rPr>
        <w:t xml:space="preserve"> under s.168(1)</w:t>
      </w:r>
      <w:r w:rsidR="00657559">
        <w:rPr>
          <w:rFonts w:ascii="Arial" w:hAnsi="Arial" w:cs="Arial"/>
          <w:sz w:val="20"/>
          <w:szCs w:val="20"/>
        </w:rPr>
        <w:t>,</w:t>
      </w:r>
      <w:r w:rsidR="001F7216" w:rsidRPr="00CC7A4B">
        <w:rPr>
          <w:rFonts w:ascii="Arial" w:hAnsi="Arial" w:cs="Arial"/>
          <w:sz w:val="20"/>
          <w:szCs w:val="20"/>
        </w:rPr>
        <w:t xml:space="preserve"> transfer a charge in respect of an accused who is a child to the Children’s Court if</w:t>
      </w:r>
      <w:r w:rsidR="00AF366B">
        <w:rPr>
          <w:rFonts w:ascii="Arial" w:hAnsi="Arial" w:cs="Arial"/>
          <w:sz w:val="20"/>
          <w:szCs w:val="20"/>
        </w:rPr>
        <w:t>–</w:t>
      </w:r>
    </w:p>
    <w:p w14:paraId="32C06D6C" w14:textId="1B25F047" w:rsidR="009B0EE1" w:rsidRPr="00CC7A4B" w:rsidRDefault="00AF366B">
      <w:pPr>
        <w:numPr>
          <w:ilvl w:val="0"/>
          <w:numId w:val="65"/>
        </w:numPr>
        <w:tabs>
          <w:tab w:val="left" w:pos="357"/>
        </w:tabs>
        <w:ind w:left="357" w:hanging="357"/>
        <w:jc w:val="both"/>
        <w:rPr>
          <w:rFonts w:ascii="Arial" w:hAnsi="Arial" w:cs="Arial"/>
          <w:color w:val="000000"/>
          <w:sz w:val="20"/>
          <w:szCs w:val="20"/>
        </w:rPr>
      </w:pPr>
      <w:r w:rsidRPr="00FB5E5A">
        <w:rPr>
          <w:rFonts w:ascii="Arial" w:hAnsi="Arial" w:cs="Arial"/>
          <w:color w:val="000000"/>
          <w:sz w:val="20"/>
        </w:rPr>
        <w:t>the charge is one that the Children's Court has determined, under section 356(6), (7A)</w:t>
      </w:r>
      <w:r>
        <w:rPr>
          <w:rFonts w:ascii="Arial" w:hAnsi="Arial" w:cs="Arial"/>
          <w:color w:val="000000"/>
          <w:sz w:val="20"/>
        </w:rPr>
        <w:t xml:space="preserve"> </w:t>
      </w:r>
      <w:r w:rsidRPr="00FB5E5A">
        <w:rPr>
          <w:rFonts w:ascii="Arial" w:hAnsi="Arial" w:cs="Arial"/>
          <w:color w:val="000000"/>
          <w:sz w:val="20"/>
        </w:rPr>
        <w:t>or (7C) of the</w:t>
      </w:r>
      <w:r>
        <w:rPr>
          <w:rFonts w:ascii="Arial" w:hAnsi="Arial" w:cs="Arial"/>
          <w:color w:val="000000"/>
          <w:sz w:val="20"/>
        </w:rPr>
        <w:t xml:space="preserve"> CYFA </w:t>
      </w:r>
      <w:r w:rsidRPr="00FB5E5A">
        <w:rPr>
          <w:rFonts w:ascii="Arial" w:hAnsi="Arial" w:cs="Arial"/>
          <w:color w:val="000000"/>
          <w:sz w:val="20"/>
        </w:rPr>
        <w:t>not to hear and determine summarily;</w:t>
      </w:r>
      <w:r w:rsidR="001F7216" w:rsidRPr="00CC7A4B">
        <w:rPr>
          <w:rFonts w:ascii="Arial" w:hAnsi="Arial" w:cs="Arial"/>
          <w:color w:val="000000"/>
          <w:sz w:val="20"/>
          <w:szCs w:val="20"/>
        </w:rPr>
        <w:t xml:space="preserve">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lastRenderedPageBreak/>
        <w:t>the court is satisfied that the sentencing options available to the Children’s Court under the CYFA are adequate to respond to the child’s offending; and</w:t>
      </w:r>
    </w:p>
    <w:p w14:paraId="6C6AA678" w14:textId="030D6120" w:rsidR="001F7216" w:rsidRPr="00F97E14" w:rsidRDefault="00AF366B">
      <w:pPr>
        <w:numPr>
          <w:ilvl w:val="0"/>
          <w:numId w:val="65"/>
        </w:numPr>
        <w:tabs>
          <w:tab w:val="left" w:pos="357"/>
        </w:tabs>
        <w:ind w:left="357" w:hanging="357"/>
        <w:jc w:val="both"/>
        <w:rPr>
          <w:rFonts w:ascii="Arial" w:hAnsi="Arial" w:cs="Arial"/>
          <w:color w:val="000000"/>
          <w:sz w:val="20"/>
        </w:rPr>
      </w:pPr>
      <w:r>
        <w:rPr>
          <w:rFonts w:ascii="Arial" w:hAnsi="Arial" w:cs="Arial"/>
          <w:color w:val="000000"/>
          <w:sz w:val="20"/>
        </w:rPr>
        <w:t xml:space="preserve">the court is satisfied that </w:t>
      </w:r>
      <w:r w:rsidR="001F7216"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33D616E3" w:rsidR="004468BB" w:rsidRPr="00F97E14" w:rsidRDefault="004468BB" w:rsidP="00657559">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w:t>
      </w:r>
    </w:p>
    <w:p w14:paraId="6AEA997B" w14:textId="77777777" w:rsidR="00FB5E5A" w:rsidRDefault="00FB5E5A"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VChC 7.  </w:t>
      </w:r>
      <w:r w:rsidRPr="00F97E14">
        <w:rPr>
          <w:rFonts w:ascii="Arial" w:hAnsi="Arial" w:cs="Arial"/>
          <w:color w:val="000000"/>
          <w:sz w:val="20"/>
        </w:rPr>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So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sub-s.(3)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lastRenderedPageBreak/>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The prosecution are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657559" w:rsidRDefault="001D7376" w:rsidP="001D7376">
      <w:pPr>
        <w:jc w:val="both"/>
        <w:rPr>
          <w:rFonts w:ascii="Arial" w:hAnsi="Arial" w:cs="Arial"/>
          <w:color w:val="000000"/>
          <w:sz w:val="16"/>
          <w:szCs w:val="20"/>
        </w:rPr>
      </w:pPr>
    </w:p>
    <w:p w14:paraId="0512B408" w14:textId="77777777" w:rsidR="00A17C5C" w:rsidRPr="00F97E14" w:rsidRDefault="003D0042" w:rsidP="006C7B2F">
      <w:pPr>
        <w:keepNext/>
        <w:keepLines/>
        <w:jc w:val="both"/>
        <w:rPr>
          <w:rFonts w:ascii="Arial" w:hAnsi="Arial" w:cs="Arial"/>
          <w:color w:val="000000"/>
          <w:sz w:val="20"/>
        </w:rPr>
      </w:pPr>
      <w:r w:rsidRPr="00F97E14">
        <w:rPr>
          <w:rFonts w:ascii="Arial" w:hAnsi="Arial" w:cs="Arial"/>
          <w:color w:val="000000"/>
          <w:sz w:val="20"/>
        </w:rPr>
        <w:t xml:space="preserve">Nevertheless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Pr="00657559" w:rsidRDefault="00692142" w:rsidP="00692142">
      <w:pPr>
        <w:pStyle w:val="Heading2"/>
        <w:tabs>
          <w:tab w:val="left" w:pos="567"/>
        </w:tabs>
        <w:spacing w:line="240" w:lineRule="auto"/>
        <w:rPr>
          <w:rFonts w:ascii="Arial" w:hAnsi="Arial" w:cs="Arial"/>
          <w:sz w:val="16"/>
          <w:szCs w:val="16"/>
        </w:rPr>
      </w:pPr>
    </w:p>
    <w:p w14:paraId="3FB576A3" w14:textId="3ADD37C2" w:rsidR="00DA6D5E" w:rsidRPr="001C3BD4" w:rsidRDefault="00A25EB6" w:rsidP="00FB5E5A">
      <w:pPr>
        <w:jc w:val="both"/>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85" w:name="Heading73"/>
      <w:bookmarkEnd w:id="85"/>
    </w:p>
    <w:p w14:paraId="1C3362AB" w14:textId="2448BFC7" w:rsidR="004A6074" w:rsidRDefault="004A6074" w:rsidP="004A6074">
      <w:pPr>
        <w:pStyle w:val="Heading3"/>
        <w:keepNext/>
        <w:keepLines/>
        <w:widowControl/>
        <w:spacing w:after="120" w:line="240" w:lineRule="auto"/>
        <w:rPr>
          <w:rFonts w:ascii="Arial" w:hAnsi="Arial" w:cs="Arial"/>
          <w:b/>
          <w:bCs/>
          <w:sz w:val="20"/>
        </w:rPr>
      </w:pPr>
      <w:bookmarkStart w:id="86" w:name="_10.1.7_Transfer_of"/>
      <w:bookmarkEnd w:id="86"/>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DB233C">
        <w:rPr>
          <w:rFonts w:ascii="Arial" w:hAnsi="Arial" w:cs="Arial"/>
          <w:b/>
          <w:bCs/>
          <w:sz w:val="20"/>
        </w:rPr>
        <w:t xml:space="preserve">charge for 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The applicant contends that police charges 23 and 47 were not properly before the sentencing court. Each was an indictable and not a summary offence. Neither were included on the plea indictment. Instead they were erroneously included within the notice of related summary offences. As a result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7" w:name="_10.2_Committal_proceedings"/>
      <w:bookmarkEnd w:id="87"/>
      <w:r w:rsidR="00D7335E" w:rsidRPr="001C3BD4">
        <w:rPr>
          <w:rFonts w:ascii="Arial" w:hAnsi="Arial" w:cs="Arial"/>
          <w:b/>
          <w:bCs/>
        </w:rPr>
        <w:lastRenderedPageBreak/>
        <w:t>10.2</w:t>
      </w:r>
      <w:r w:rsidR="00D7335E" w:rsidRPr="001C3BD4">
        <w:rPr>
          <w:rFonts w:ascii="Arial" w:hAnsi="Arial" w:cs="Arial"/>
          <w:b/>
          <w:bCs/>
        </w:rPr>
        <w:tab/>
        <w:t>Committal proceedings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A7B4FEB" w14:textId="77777777" w:rsidR="00D7335E" w:rsidRDefault="00D7335E" w:rsidP="000E6318">
      <w:pPr>
        <w:jc w:val="both"/>
        <w:rPr>
          <w:rFonts w:ascii="Arial" w:hAnsi="Arial" w:cs="Arial"/>
          <w:sz w:val="20"/>
        </w:rPr>
      </w:pPr>
    </w:p>
    <w:p w14:paraId="1840144B" w14:textId="24D008DF" w:rsidR="000E6318" w:rsidRDefault="000E6318"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sidRPr="000E6318">
        <w:rPr>
          <w:rFonts w:ascii="Arial" w:hAnsi="Arial" w:cs="Arial"/>
          <w:b/>
          <w:bCs/>
          <w:sz w:val="20"/>
        </w:rPr>
        <w:t xml:space="preserve">Part 10.2 has been </w:t>
      </w:r>
      <w:r>
        <w:rPr>
          <w:rFonts w:ascii="Arial" w:hAnsi="Arial" w:cs="Arial"/>
          <w:b/>
          <w:bCs/>
          <w:sz w:val="20"/>
        </w:rPr>
        <w:t xml:space="preserve">substantially restructured and amended as a consequence of the </w:t>
      </w:r>
      <w:r w:rsidRPr="000E6318">
        <w:rPr>
          <w:rFonts w:ascii="Arial" w:hAnsi="Arial" w:cs="Arial"/>
          <w:b/>
          <w:bCs/>
          <w:i/>
          <w:iCs/>
          <w:sz w:val="20"/>
        </w:rPr>
        <w:t xml:space="preserve">Justice Legislation </w:t>
      </w:r>
      <w:r>
        <w:rPr>
          <w:rFonts w:ascii="Arial" w:hAnsi="Arial" w:cs="Arial"/>
          <w:b/>
          <w:bCs/>
          <w:i/>
          <w:iCs/>
          <w:sz w:val="20"/>
        </w:rPr>
        <w:t xml:space="preserve">Amendment </w:t>
      </w:r>
      <w:r w:rsidRPr="000E6318">
        <w:rPr>
          <w:rFonts w:ascii="Arial" w:hAnsi="Arial" w:cs="Arial"/>
          <w:b/>
          <w:bCs/>
          <w:i/>
          <w:iCs/>
          <w:sz w:val="20"/>
        </w:rPr>
        <w:t>(Committals) Act 2025</w:t>
      </w:r>
      <w:r>
        <w:rPr>
          <w:rFonts w:ascii="Arial" w:hAnsi="Arial" w:cs="Arial"/>
          <w:b/>
          <w:bCs/>
          <w:sz w:val="20"/>
        </w:rPr>
        <w:t xml:space="preserve"> which amend</w:t>
      </w:r>
      <w:r w:rsidR="00A70EAA">
        <w:rPr>
          <w:rFonts w:ascii="Arial" w:hAnsi="Arial" w:cs="Arial"/>
          <w:b/>
          <w:bCs/>
          <w:sz w:val="20"/>
        </w:rPr>
        <w:t>s</w:t>
      </w:r>
      <w:r>
        <w:rPr>
          <w:rFonts w:ascii="Arial" w:hAnsi="Arial" w:cs="Arial"/>
          <w:b/>
          <w:bCs/>
          <w:sz w:val="20"/>
        </w:rPr>
        <w:t xml:space="preserve"> the </w:t>
      </w:r>
      <w:r w:rsidRPr="000E6318">
        <w:rPr>
          <w:rFonts w:ascii="Arial" w:hAnsi="Arial" w:cs="Arial"/>
          <w:b/>
          <w:bCs/>
          <w:i/>
          <w:iCs/>
          <w:sz w:val="20"/>
        </w:rPr>
        <w:t>Criminal Procedure Act 2009</w:t>
      </w:r>
      <w:r>
        <w:rPr>
          <w:rFonts w:ascii="Arial" w:hAnsi="Arial" w:cs="Arial"/>
          <w:b/>
          <w:bCs/>
          <w:sz w:val="20"/>
        </w:rPr>
        <w:t xml:space="preserve"> [CPA]</w:t>
      </w:r>
      <w:r w:rsidR="00C408DD">
        <w:rPr>
          <w:rFonts w:ascii="Arial" w:hAnsi="Arial" w:cs="Arial"/>
          <w:b/>
          <w:bCs/>
          <w:sz w:val="20"/>
        </w:rPr>
        <w:t xml:space="preserve">, </w:t>
      </w:r>
      <w:r w:rsidR="009C347E">
        <w:rPr>
          <w:rFonts w:ascii="Arial" w:hAnsi="Arial" w:cs="Arial"/>
          <w:b/>
          <w:bCs/>
          <w:sz w:val="20"/>
        </w:rPr>
        <w:t xml:space="preserve">the </w:t>
      </w:r>
      <w:r w:rsidR="009C347E" w:rsidRPr="009C347E">
        <w:rPr>
          <w:rFonts w:ascii="Arial" w:hAnsi="Arial" w:cs="Arial"/>
          <w:b/>
          <w:bCs/>
          <w:i/>
          <w:iCs/>
          <w:sz w:val="20"/>
        </w:rPr>
        <w:t>Children, Youth and Families Act 2005</w:t>
      </w:r>
      <w:r w:rsidR="009C347E">
        <w:rPr>
          <w:rFonts w:ascii="Arial" w:hAnsi="Arial" w:cs="Arial"/>
          <w:b/>
          <w:bCs/>
          <w:sz w:val="20"/>
        </w:rPr>
        <w:t xml:space="preserve"> [CYFA] </w:t>
      </w:r>
      <w:r w:rsidR="00C408DD">
        <w:rPr>
          <w:rFonts w:ascii="Arial" w:hAnsi="Arial" w:cs="Arial"/>
          <w:b/>
          <w:bCs/>
          <w:sz w:val="20"/>
        </w:rPr>
        <w:t xml:space="preserve">and </w:t>
      </w:r>
      <w:r w:rsidR="00AB48E1">
        <w:rPr>
          <w:rFonts w:ascii="Arial" w:hAnsi="Arial" w:cs="Arial"/>
          <w:b/>
          <w:bCs/>
          <w:sz w:val="20"/>
        </w:rPr>
        <w:t>a number of</w:t>
      </w:r>
      <w:r w:rsidR="00C408DD">
        <w:rPr>
          <w:rFonts w:ascii="Arial" w:hAnsi="Arial" w:cs="Arial"/>
          <w:b/>
          <w:bCs/>
          <w:sz w:val="20"/>
        </w:rPr>
        <w:t xml:space="preserve"> other Acts </w:t>
      </w:r>
      <w:r>
        <w:rPr>
          <w:rFonts w:ascii="Arial" w:hAnsi="Arial" w:cs="Arial"/>
          <w:b/>
          <w:bCs/>
          <w:sz w:val="20"/>
        </w:rPr>
        <w:t>to reform the process for committal proceedings by:</w:t>
      </w:r>
    </w:p>
    <w:p w14:paraId="44E7B661" w14:textId="21E3ECAE"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r</w:t>
      </w:r>
      <w:r w:rsidR="000E6318">
        <w:rPr>
          <w:rFonts w:ascii="Arial" w:hAnsi="Arial" w:cs="Arial"/>
          <w:b/>
          <w:bCs/>
          <w:sz w:val="20"/>
        </w:rPr>
        <w:t>emoving the test for committal</w:t>
      </w:r>
      <w:r w:rsidR="00A70EAA">
        <w:rPr>
          <w:rFonts w:ascii="Arial" w:hAnsi="Arial" w:cs="Arial"/>
          <w:b/>
          <w:bCs/>
          <w:sz w:val="20"/>
        </w:rPr>
        <w:t xml:space="preserve"> previously in ss.141 &amp; 142(1)(b) CPA</w:t>
      </w:r>
      <w:r>
        <w:rPr>
          <w:rFonts w:ascii="Arial" w:hAnsi="Arial" w:cs="Arial"/>
          <w:b/>
          <w:bCs/>
          <w:sz w:val="20"/>
        </w:rPr>
        <w:t>;</w:t>
      </w:r>
    </w:p>
    <w:p w14:paraId="7B429F73" w14:textId="27739707"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e</w:t>
      </w:r>
      <w:r w:rsidR="000E6318">
        <w:rPr>
          <w:rFonts w:ascii="Arial" w:hAnsi="Arial" w:cs="Arial"/>
          <w:b/>
          <w:bCs/>
          <w:sz w:val="20"/>
        </w:rPr>
        <w:t>x</w:t>
      </w:r>
      <w:r>
        <w:rPr>
          <w:rFonts w:ascii="Arial" w:hAnsi="Arial" w:cs="Arial"/>
          <w:b/>
          <w:bCs/>
          <w:sz w:val="20"/>
        </w:rPr>
        <w:t>te</w:t>
      </w:r>
      <w:r w:rsidR="000E6318">
        <w:rPr>
          <w:rFonts w:ascii="Arial" w:hAnsi="Arial" w:cs="Arial"/>
          <w:b/>
          <w:bCs/>
          <w:sz w:val="20"/>
        </w:rPr>
        <w:t>nding the prohibition on cross-examination</w:t>
      </w:r>
      <w:r w:rsidR="00A70EAA">
        <w:rPr>
          <w:rFonts w:ascii="Arial" w:hAnsi="Arial" w:cs="Arial"/>
          <w:b/>
          <w:bCs/>
          <w:sz w:val="20"/>
        </w:rPr>
        <w:t xml:space="preserve"> of witnesses in s.123 CPA</w:t>
      </w:r>
      <w:r>
        <w:rPr>
          <w:rFonts w:ascii="Arial" w:hAnsi="Arial" w:cs="Arial"/>
          <w:b/>
          <w:bCs/>
          <w:sz w:val="20"/>
        </w:rPr>
        <w:t>;</w:t>
      </w:r>
    </w:p>
    <w:p w14:paraId="096277C7" w14:textId="178F1DB2"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s</w:t>
      </w:r>
      <w:r w:rsidR="000E6318">
        <w:rPr>
          <w:rFonts w:ascii="Arial" w:hAnsi="Arial" w:cs="Arial"/>
          <w:b/>
          <w:bCs/>
          <w:sz w:val="20"/>
        </w:rPr>
        <w:t xml:space="preserve">trengthening the test </w:t>
      </w:r>
      <w:r w:rsidR="00A70EAA">
        <w:rPr>
          <w:rFonts w:ascii="Arial" w:hAnsi="Arial" w:cs="Arial"/>
          <w:b/>
          <w:bCs/>
          <w:sz w:val="20"/>
        </w:rPr>
        <w:t xml:space="preserve">in s.124 CPA </w:t>
      </w:r>
      <w:r w:rsidR="000E6318">
        <w:rPr>
          <w:rFonts w:ascii="Arial" w:hAnsi="Arial" w:cs="Arial"/>
          <w:b/>
          <w:bCs/>
          <w:sz w:val="20"/>
        </w:rPr>
        <w:t>for granting leave to cross-examine</w:t>
      </w:r>
      <w:r w:rsidR="00A70EAA">
        <w:rPr>
          <w:rFonts w:ascii="Arial" w:hAnsi="Arial" w:cs="Arial"/>
          <w:b/>
          <w:bCs/>
          <w:sz w:val="20"/>
        </w:rPr>
        <w:t xml:space="preserve"> witnesses</w:t>
      </w:r>
      <w:r>
        <w:rPr>
          <w:rFonts w:ascii="Arial" w:hAnsi="Arial" w:cs="Arial"/>
          <w:b/>
          <w:bCs/>
          <w:sz w:val="20"/>
        </w:rPr>
        <w:t>; and</w:t>
      </w:r>
    </w:p>
    <w:p w14:paraId="6C9405E1" w14:textId="1CE52A8D"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p</w:t>
      </w:r>
      <w:r w:rsidR="000E6318">
        <w:rPr>
          <w:rFonts w:ascii="Arial" w:hAnsi="Arial" w:cs="Arial"/>
          <w:b/>
          <w:bCs/>
          <w:sz w:val="20"/>
        </w:rPr>
        <w:t xml:space="preserve">roviding </w:t>
      </w:r>
      <w:r w:rsidR="00A70EAA">
        <w:rPr>
          <w:rFonts w:ascii="Arial" w:hAnsi="Arial" w:cs="Arial"/>
          <w:b/>
          <w:bCs/>
          <w:sz w:val="20"/>
        </w:rPr>
        <w:t xml:space="preserve">a new statutory framework </w:t>
      </w:r>
      <w:r w:rsidR="000E6318">
        <w:rPr>
          <w:rFonts w:ascii="Arial" w:hAnsi="Arial" w:cs="Arial"/>
          <w:b/>
          <w:bCs/>
          <w:sz w:val="20"/>
        </w:rPr>
        <w:t>for early committal for trial in the Supreme Court.</w:t>
      </w:r>
    </w:p>
    <w:p w14:paraId="559774B4" w14:textId="32512223" w:rsidR="000E6318" w:rsidRPr="000E6318" w:rsidRDefault="00A457CC"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Pr>
          <w:rFonts w:ascii="Arial" w:hAnsi="Arial" w:cs="Arial"/>
          <w:b/>
          <w:bCs/>
          <w:sz w:val="20"/>
        </w:rPr>
        <w:t>Some of t</w:t>
      </w:r>
      <w:r w:rsidR="000E6318">
        <w:rPr>
          <w:rFonts w:ascii="Arial" w:hAnsi="Arial" w:cs="Arial"/>
          <w:b/>
          <w:bCs/>
          <w:sz w:val="20"/>
        </w:rPr>
        <w:t xml:space="preserve">hese amendments apply </w:t>
      </w:r>
      <w:r w:rsidR="00C017C5">
        <w:rPr>
          <w:rFonts w:ascii="Arial" w:hAnsi="Arial" w:cs="Arial"/>
          <w:b/>
          <w:bCs/>
          <w:sz w:val="20"/>
        </w:rPr>
        <w:t xml:space="preserve">only </w:t>
      </w:r>
      <w:r w:rsidR="000E6318">
        <w:rPr>
          <w:rFonts w:ascii="Arial" w:hAnsi="Arial" w:cs="Arial"/>
          <w:b/>
          <w:bCs/>
          <w:sz w:val="20"/>
        </w:rPr>
        <w:t xml:space="preserve">to </w:t>
      </w:r>
      <w:r w:rsidR="00C017C5">
        <w:rPr>
          <w:rFonts w:ascii="Arial" w:hAnsi="Arial" w:cs="Arial"/>
          <w:b/>
          <w:bCs/>
          <w:sz w:val="20"/>
        </w:rPr>
        <w:t>a committal proceeding commenced on or after 28</w:t>
      </w:r>
      <w:r w:rsidR="00625AF1">
        <w:rPr>
          <w:rFonts w:ascii="Arial" w:hAnsi="Arial" w:cs="Arial"/>
          <w:b/>
          <w:bCs/>
          <w:sz w:val="20"/>
        </w:rPr>
        <w:t> </w:t>
      </w:r>
      <w:r w:rsidR="00C017C5">
        <w:rPr>
          <w:rFonts w:ascii="Arial" w:hAnsi="Arial" w:cs="Arial"/>
          <w:b/>
          <w:bCs/>
          <w:sz w:val="20"/>
        </w:rPr>
        <w:t>December 2025</w:t>
      </w:r>
      <w:r>
        <w:rPr>
          <w:rFonts w:ascii="Arial" w:hAnsi="Arial" w:cs="Arial"/>
          <w:b/>
          <w:bCs/>
          <w:sz w:val="20"/>
        </w:rPr>
        <w:t xml:space="preserve"> while others apply only to a criminal proceeding commenced on or after 28</w:t>
      </w:r>
      <w:r w:rsidR="00625AF1">
        <w:rPr>
          <w:rFonts w:ascii="Arial" w:hAnsi="Arial" w:cs="Arial"/>
          <w:b/>
          <w:bCs/>
          <w:sz w:val="20"/>
        </w:rPr>
        <w:t> </w:t>
      </w:r>
      <w:r>
        <w:rPr>
          <w:rFonts w:ascii="Arial" w:hAnsi="Arial" w:cs="Arial"/>
          <w:b/>
          <w:bCs/>
          <w:sz w:val="20"/>
        </w:rPr>
        <w:t>December 2025</w:t>
      </w:r>
      <w:r w:rsidR="00C017C5">
        <w:rPr>
          <w:rFonts w:ascii="Arial" w:hAnsi="Arial" w:cs="Arial"/>
          <w:b/>
          <w:bCs/>
          <w:sz w:val="20"/>
        </w:rPr>
        <w:t xml:space="preserve">: see </w:t>
      </w:r>
      <w:r w:rsidR="00205A1A">
        <w:rPr>
          <w:rFonts w:ascii="Arial" w:hAnsi="Arial" w:cs="Arial"/>
          <w:b/>
          <w:bCs/>
          <w:sz w:val="20"/>
        </w:rPr>
        <w:t xml:space="preserve">ss.36 &amp; 50 of the amending Act and </w:t>
      </w:r>
      <w:r w:rsidR="00C017C5">
        <w:rPr>
          <w:rFonts w:ascii="Arial" w:hAnsi="Arial" w:cs="Arial"/>
          <w:b/>
          <w:bCs/>
          <w:sz w:val="20"/>
        </w:rPr>
        <w:t>s</w:t>
      </w:r>
      <w:r w:rsidR="00205A1A">
        <w:rPr>
          <w:rFonts w:ascii="Arial" w:hAnsi="Arial" w:cs="Arial"/>
          <w:b/>
          <w:bCs/>
          <w:sz w:val="20"/>
        </w:rPr>
        <w:t>s</w:t>
      </w:r>
      <w:r w:rsidR="00C017C5">
        <w:rPr>
          <w:rFonts w:ascii="Arial" w:hAnsi="Arial" w:cs="Arial"/>
          <w:b/>
          <w:bCs/>
          <w:sz w:val="20"/>
        </w:rPr>
        <w:t>.463 CPA</w:t>
      </w:r>
      <w:r w:rsidR="00B162EF">
        <w:rPr>
          <w:rFonts w:ascii="Arial" w:hAnsi="Arial" w:cs="Arial"/>
          <w:b/>
          <w:bCs/>
          <w:sz w:val="20"/>
        </w:rPr>
        <w:t xml:space="preserve"> &amp;</w:t>
      </w:r>
      <w:r w:rsidR="00205A1A">
        <w:rPr>
          <w:rFonts w:ascii="Arial" w:hAnsi="Arial" w:cs="Arial"/>
          <w:b/>
          <w:bCs/>
          <w:sz w:val="20"/>
        </w:rPr>
        <w:t xml:space="preserve"> </w:t>
      </w:r>
      <w:r w:rsidR="00B162EF">
        <w:rPr>
          <w:rFonts w:ascii="Arial" w:hAnsi="Arial" w:cs="Arial"/>
          <w:b/>
          <w:bCs/>
          <w:sz w:val="20"/>
        </w:rPr>
        <w:t>635A CYFA</w:t>
      </w:r>
      <w:r w:rsidR="00C017C5">
        <w:rPr>
          <w:rFonts w:ascii="Arial" w:hAnsi="Arial" w:cs="Arial"/>
          <w:b/>
          <w:bCs/>
          <w:sz w:val="20"/>
        </w:rPr>
        <w:t>.</w:t>
      </w:r>
    </w:p>
    <w:p w14:paraId="16D8B5C0" w14:textId="77777777" w:rsidR="000E6318" w:rsidRPr="008D7208" w:rsidRDefault="000E6318" w:rsidP="000E6318">
      <w:pPr>
        <w:jc w:val="both"/>
        <w:rPr>
          <w:rFonts w:ascii="Arial" w:hAnsi="Arial" w:cs="Arial"/>
          <w:sz w:val="20"/>
        </w:rPr>
      </w:pPr>
    </w:p>
    <w:p w14:paraId="170EDCB5" w14:textId="690E4AAB" w:rsidR="008B69D4"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w:t>
      </w:r>
      <w:r w:rsidR="00E2302C">
        <w:rPr>
          <w:rFonts w:ascii="Arial" w:hAnsi="Arial" w:cs="Arial"/>
          <w:sz w:val="20"/>
        </w:rPr>
        <w:t xml:space="preserve">summarily </w:t>
      </w:r>
      <w:r>
        <w:rPr>
          <w:rFonts w:ascii="Arial" w:hAnsi="Arial" w:cs="Arial"/>
          <w:sz w:val="20"/>
        </w:rPr>
        <w:t>a</w:t>
      </w:r>
      <w:r w:rsidR="003F7D76">
        <w:rPr>
          <w:rFonts w:ascii="Arial" w:hAnsi="Arial" w:cs="Arial"/>
          <w:sz w:val="20"/>
        </w:rPr>
        <w:t xml:space="preserve"> charge against a child for a</w:t>
      </w:r>
      <w:r>
        <w:rPr>
          <w:rFonts w:ascii="Arial" w:hAnsi="Arial" w:cs="Arial"/>
          <w:sz w:val="20"/>
        </w:rPr>
        <w:t>n indictable offence,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w:t>
      </w:r>
      <w:r w:rsidR="00C408DD">
        <w:rPr>
          <w:rFonts w:ascii="Arial" w:hAnsi="Arial" w:cs="Arial"/>
          <w:sz w:val="20"/>
        </w:rPr>
        <w:t>–</w:t>
      </w:r>
    </w:p>
    <w:p w14:paraId="789065CC" w14:textId="751E528D" w:rsidR="00F648AD" w:rsidRP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if</w:t>
      </w:r>
      <w:r w:rsidR="00685450" w:rsidRPr="008B69D4">
        <w:rPr>
          <w:rFonts w:ascii="Arial" w:hAnsi="Arial" w:cs="Arial"/>
          <w:sz w:val="20"/>
        </w:rPr>
        <w:t xml:space="preserve"> the accused </w:t>
      </w:r>
      <w:r w:rsidR="00F648AD" w:rsidRPr="008B69D4">
        <w:rPr>
          <w:rFonts w:ascii="Arial" w:hAnsi="Arial" w:cs="Arial"/>
          <w:sz w:val="20"/>
        </w:rPr>
        <w:t>child:</w:t>
      </w:r>
    </w:p>
    <w:p w14:paraId="597E295B" w14:textId="5D6E0CC4" w:rsidR="00F648AD" w:rsidRDefault="00F648AD" w:rsidP="008B69D4">
      <w:pPr>
        <w:numPr>
          <w:ilvl w:val="0"/>
          <w:numId w:val="60"/>
        </w:numPr>
        <w:ind w:left="714" w:hanging="357"/>
        <w:jc w:val="both"/>
        <w:rPr>
          <w:rFonts w:ascii="Arial" w:hAnsi="Arial" w:cs="Arial"/>
          <w:sz w:val="20"/>
        </w:rPr>
      </w:pPr>
      <w:r>
        <w:rPr>
          <w:rFonts w:ascii="Arial" w:hAnsi="Arial" w:cs="Arial"/>
          <w:sz w:val="20"/>
        </w:rPr>
        <w:t>engag</w:t>
      </w:r>
      <w:r w:rsidR="001D4EF7">
        <w:rPr>
          <w:rFonts w:ascii="Arial" w:hAnsi="Arial" w:cs="Arial"/>
          <w:sz w:val="20"/>
        </w:rPr>
        <w:t>es</w:t>
      </w:r>
      <w:r>
        <w:rPr>
          <w:rFonts w:ascii="Arial" w:hAnsi="Arial" w:cs="Arial"/>
          <w:sz w:val="20"/>
        </w:rPr>
        <w:t xml:space="preserve"> in </w:t>
      </w:r>
      <w:r w:rsidR="008B69D4">
        <w:rPr>
          <w:rFonts w:ascii="Arial" w:hAnsi="Arial" w:cs="Arial"/>
          <w:sz w:val="20"/>
        </w:rPr>
        <w:t>a</w:t>
      </w:r>
      <w:r>
        <w:rPr>
          <w:rFonts w:ascii="Arial" w:hAnsi="Arial" w:cs="Arial"/>
          <w:sz w:val="20"/>
        </w:rPr>
        <w:t xml:space="preserve"> committal process in the Children’s Court; or</w:t>
      </w:r>
    </w:p>
    <w:p w14:paraId="18898213" w14:textId="77777777" w:rsidR="00E2302C" w:rsidRPr="008B69D4" w:rsidRDefault="00E2302C" w:rsidP="00E2302C">
      <w:pPr>
        <w:numPr>
          <w:ilvl w:val="0"/>
          <w:numId w:val="60"/>
        </w:numPr>
        <w:ind w:left="714" w:hanging="357"/>
        <w:jc w:val="both"/>
        <w:rPr>
          <w:rFonts w:ascii="Arial" w:hAnsi="Arial" w:cs="Arial"/>
          <w:sz w:val="20"/>
        </w:rPr>
      </w:pPr>
      <w:r>
        <w:rPr>
          <w:rFonts w:ascii="Arial" w:hAnsi="Arial" w:cs="Arial"/>
          <w:sz w:val="20"/>
        </w:rPr>
        <w:t>elects to stand trial pursuant to s.143 CPA; or</w:t>
      </w:r>
    </w:p>
    <w:p w14:paraId="7B899977" w14:textId="43EBF608" w:rsidR="00F648AD" w:rsidRDefault="00F648AD" w:rsidP="008B69D4">
      <w:pPr>
        <w:numPr>
          <w:ilvl w:val="0"/>
          <w:numId w:val="60"/>
        </w:numPr>
        <w:ind w:left="714" w:hanging="357"/>
        <w:jc w:val="both"/>
        <w:rPr>
          <w:rFonts w:ascii="Arial" w:hAnsi="Arial" w:cs="Arial"/>
          <w:sz w:val="20"/>
        </w:rPr>
      </w:pPr>
      <w:r>
        <w:rPr>
          <w:rFonts w:ascii="Arial" w:hAnsi="Arial" w:cs="Arial"/>
          <w:sz w:val="20"/>
        </w:rPr>
        <w:t>elect</w:t>
      </w:r>
      <w:r w:rsidR="001D4EF7">
        <w:rPr>
          <w:rFonts w:ascii="Arial" w:hAnsi="Arial" w:cs="Arial"/>
          <w:sz w:val="20"/>
        </w:rPr>
        <w:t>s</w:t>
      </w:r>
      <w:r>
        <w:rPr>
          <w:rFonts w:ascii="Arial" w:hAnsi="Arial" w:cs="Arial"/>
          <w:sz w:val="20"/>
        </w:rPr>
        <w:t xml:space="preserve"> to engage in a</w:t>
      </w:r>
      <w:r w:rsidR="00BE680A">
        <w:rPr>
          <w:rFonts w:ascii="Arial" w:hAnsi="Arial" w:cs="Arial"/>
          <w:sz w:val="20"/>
        </w:rPr>
        <w:t>n “early</w:t>
      </w:r>
      <w:r>
        <w:rPr>
          <w:rFonts w:ascii="Arial" w:hAnsi="Arial" w:cs="Arial"/>
          <w:sz w:val="20"/>
        </w:rPr>
        <w:t xml:space="preserve"> committal</w:t>
      </w:r>
      <w:r w:rsidR="00BE680A">
        <w:rPr>
          <w:rFonts w:ascii="Arial" w:hAnsi="Arial" w:cs="Arial"/>
          <w:sz w:val="20"/>
        </w:rPr>
        <w:t xml:space="preserve"> for trial in the Supreme Court”</w:t>
      </w:r>
      <w:r>
        <w:rPr>
          <w:rFonts w:ascii="Arial" w:hAnsi="Arial" w:cs="Arial"/>
          <w:sz w:val="20"/>
        </w:rPr>
        <w:t xml:space="preserve"> process under Part 4.6A CPA in a case involving an “applicable offence”; or</w:t>
      </w:r>
    </w:p>
    <w:p w14:paraId="37DC6665" w14:textId="414CFEA5" w:rsid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 xml:space="preserve">if </w:t>
      </w:r>
      <w:r w:rsidR="008B69D4">
        <w:rPr>
          <w:rFonts w:ascii="Arial" w:hAnsi="Arial" w:cs="Arial"/>
          <w:sz w:val="20"/>
        </w:rPr>
        <w:t>the DPP fil</w:t>
      </w:r>
      <w:r>
        <w:rPr>
          <w:rFonts w:ascii="Arial" w:hAnsi="Arial" w:cs="Arial"/>
          <w:sz w:val="20"/>
        </w:rPr>
        <w:t>es</w:t>
      </w:r>
      <w:r w:rsidR="008B69D4">
        <w:rPr>
          <w:rFonts w:ascii="Arial" w:hAnsi="Arial" w:cs="Arial"/>
          <w:sz w:val="20"/>
        </w:rPr>
        <w:t xml:space="preserve"> a direct indictment.</w:t>
      </w:r>
    </w:p>
    <w:p w14:paraId="0AB379E1" w14:textId="0A156D2F" w:rsidR="00EA1F3D" w:rsidRDefault="00113C3C">
      <w:pPr>
        <w:jc w:val="both"/>
        <w:rPr>
          <w:rFonts w:ascii="Arial" w:hAnsi="Arial" w:cs="Arial"/>
          <w:sz w:val="20"/>
        </w:rPr>
      </w:pPr>
      <w:r>
        <w:rPr>
          <w:rFonts w:ascii="Arial" w:hAnsi="Arial" w:cs="Arial"/>
          <w:sz w:val="20"/>
        </w:rPr>
        <w:t xml:space="preserve">See s.96 of the </w:t>
      </w:r>
      <w:r w:rsidR="000E6318">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44213211"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w:t>
      </w:r>
      <w:r w:rsidR="00C017C5">
        <w:rPr>
          <w:rFonts w:ascii="Arial" w:hAnsi="Arial" w:cs="Arial"/>
          <w:sz w:val="20"/>
        </w:rPr>
        <w:t>. It</w:t>
      </w:r>
      <w:r>
        <w:rPr>
          <w:rFonts w:ascii="Arial" w:hAnsi="Arial" w:cs="Arial"/>
          <w:sz w:val="20"/>
        </w:rPr>
        <w:t xml:space="preserve"> provides 2 alternative outcomes, namely the Court may either:</w:t>
      </w:r>
    </w:p>
    <w:p w14:paraId="5CD186E0" w14:textId="6C2BBA8C"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C017C5">
        <w:rPr>
          <w:rFonts w:ascii="Arial" w:hAnsi="Arial" w:cs="Arial"/>
          <w:sz w:val="20"/>
        </w:rPr>
        <w:t>accused child</w:t>
      </w:r>
      <w:r>
        <w:rPr>
          <w:rFonts w:ascii="Arial" w:hAnsi="Arial" w:cs="Arial"/>
          <w:sz w:val="20"/>
        </w:rPr>
        <w:t xml:space="preserve"> be tried in the County Court or the Supreme Court and order that the </w:t>
      </w:r>
      <w:r w:rsidR="00C017C5">
        <w:rPr>
          <w:rFonts w:ascii="Arial" w:hAnsi="Arial" w:cs="Arial"/>
          <w:sz w:val="20"/>
        </w:rPr>
        <w:t>child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w:t>
      </w:r>
      <w:r w:rsidR="00982CEC">
        <w:rPr>
          <w:rFonts w:ascii="Arial" w:hAnsi="Arial" w:cs="Arial"/>
          <w:sz w:val="20"/>
        </w:rPr>
        <w:t>, attempted murder</w:t>
      </w:r>
      <w:r>
        <w:rPr>
          <w:rFonts w:ascii="Arial" w:hAnsi="Arial" w:cs="Arial"/>
          <w:sz w:val="20"/>
        </w:rPr>
        <w:t xml:space="preserve"> or </w:t>
      </w:r>
      <w:r w:rsidR="00982CEC">
        <w:rPr>
          <w:rFonts w:ascii="Arial" w:hAnsi="Arial" w:cs="Arial"/>
          <w:sz w:val="20"/>
        </w:rPr>
        <w:t>any other offence detailed in s.</w:t>
      </w:r>
      <w:r w:rsidR="00982CEC" w:rsidRPr="00982CEC">
        <w:rPr>
          <w:rFonts w:ascii="Arial" w:hAnsi="Arial" w:cs="Arial"/>
          <w:sz w:val="20"/>
        </w:rPr>
        <w:t xml:space="preserve"> </w:t>
      </w:r>
      <w:r w:rsidR="00982CEC">
        <w:rPr>
          <w:rFonts w:ascii="Arial" w:hAnsi="Arial" w:cs="Arial"/>
          <w:sz w:val="20"/>
        </w:rPr>
        <w:t xml:space="preserve">s.36A </w:t>
      </w:r>
      <w:r w:rsidR="00982CEC" w:rsidRPr="00E25B40">
        <w:rPr>
          <w:rFonts w:ascii="Arial" w:hAnsi="Arial" w:cs="Arial"/>
          <w:i/>
          <w:iCs/>
          <w:sz w:val="20"/>
        </w:rPr>
        <w:t>County Court Act</w:t>
      </w:r>
      <w:r w:rsidR="00982CEC">
        <w:rPr>
          <w:rFonts w:ascii="Arial" w:hAnsi="Arial" w:cs="Arial"/>
          <w:sz w:val="20"/>
        </w:rPr>
        <w:t xml:space="preserve"> </w:t>
      </w:r>
      <w:r>
        <w:rPr>
          <w:rFonts w:ascii="Arial" w:hAnsi="Arial" w:cs="Arial"/>
          <w:sz w:val="20"/>
        </w:rPr>
        <w:t>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w:t>
      </w:r>
      <w:r w:rsidR="00982CEC">
        <w:rPr>
          <w:rFonts w:ascii="Arial" w:hAnsi="Arial" w:cs="Arial"/>
          <w:sz w:val="20"/>
        </w:rPr>
        <w:t>]</w:t>
      </w:r>
      <w:r>
        <w:rPr>
          <w:rFonts w:ascii="Arial" w:hAnsi="Arial" w:cs="Arial"/>
          <w:sz w:val="20"/>
        </w:rPr>
        <w:t>; or</w:t>
      </w:r>
    </w:p>
    <w:p w14:paraId="6D301D7C" w14:textId="4716598A"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for a committal proceeding</w:t>
      </w:r>
      <w:r w:rsidR="00DB1C6B" w:rsidRPr="00DB1C6B">
        <w:rPr>
          <w:rFonts w:ascii="Arial" w:hAnsi="Arial" w:cs="Arial"/>
          <w:b/>
          <w:bCs/>
          <w:sz w:val="20"/>
          <w:shd w:val="clear" w:color="auto" w:fill="FFF2CC"/>
        </w:rPr>
        <w:t xml:space="preserve"> commenced</w:t>
      </w:r>
      <w:r w:rsidR="00DB1C6B" w:rsidRPr="00DB1C6B">
        <w:rPr>
          <w:rFonts w:ascii="Arial" w:hAnsi="Arial" w:cs="Arial"/>
          <w:sz w:val="20"/>
          <w:shd w:val="clear" w:color="auto" w:fill="FFF2CC"/>
        </w:rPr>
        <w:t xml:space="preserve"> </w:t>
      </w:r>
      <w:r w:rsidR="00C017C5" w:rsidRPr="00DB1C6B">
        <w:rPr>
          <w:rFonts w:ascii="Arial" w:hAnsi="Arial" w:cs="Arial"/>
          <w:b/>
          <w:bCs/>
          <w:sz w:val="20"/>
          <w:shd w:val="clear" w:color="auto" w:fill="FFF2CC"/>
        </w:rPr>
        <w:t>before</w:t>
      </w:r>
      <w:r w:rsidR="00C017C5" w:rsidRPr="00C017C5">
        <w:rPr>
          <w:rFonts w:ascii="Arial" w:hAnsi="Arial" w:cs="Arial"/>
          <w:b/>
          <w:bCs/>
          <w:sz w:val="20"/>
          <w:shd w:val="clear" w:color="auto" w:fill="FFF2CC"/>
        </w:rPr>
        <w:t xml:space="preserve"> 28/12/2025</w:t>
      </w:r>
      <w:r w:rsidR="00C017C5">
        <w:rPr>
          <w:rFonts w:ascii="Arial" w:hAnsi="Arial" w:cs="Arial"/>
          <w:sz w:val="20"/>
        </w:rPr>
        <w:t xml:space="preserve">: </w:t>
      </w:r>
      <w:r w:rsidR="00750529">
        <w:rPr>
          <w:rFonts w:ascii="Arial" w:hAnsi="Arial" w:cs="Arial"/>
          <w:sz w:val="20"/>
        </w:rPr>
        <w:t xml:space="preserve">order </w:t>
      </w:r>
      <w:r>
        <w:rPr>
          <w:rFonts w:ascii="Arial" w:hAnsi="Arial" w:cs="Arial"/>
          <w:sz w:val="20"/>
        </w:rPr>
        <w:t xml:space="preserve">the </w:t>
      </w:r>
      <w:r w:rsidR="00A44CB7">
        <w:rPr>
          <w:rFonts w:ascii="Arial" w:hAnsi="Arial" w:cs="Arial"/>
          <w:sz w:val="20"/>
        </w:rPr>
        <w:t>accused</w:t>
      </w:r>
      <w:r w:rsidR="00C017C5">
        <w:rPr>
          <w:rFonts w:ascii="Arial" w:hAnsi="Arial" w:cs="Arial"/>
          <w:sz w:val="20"/>
        </w:rPr>
        <w:t xml:space="preserve"> child</w:t>
      </w:r>
      <w:r w:rsidR="00750529">
        <w:rPr>
          <w:rFonts w:ascii="Arial" w:hAnsi="Arial" w:cs="Arial"/>
          <w:sz w:val="20"/>
        </w:rPr>
        <w:t xml:space="preserve"> be discharged</w:t>
      </w:r>
      <w:r w:rsidR="00C017C5">
        <w:rPr>
          <w:rFonts w:ascii="Arial" w:hAnsi="Arial" w:cs="Arial"/>
          <w:sz w:val="20"/>
        </w:rPr>
        <w:t>; or</w:t>
      </w:r>
    </w:p>
    <w:p w14:paraId="306A22A8" w14:textId="4F0D4662" w:rsidR="00750529" w:rsidRPr="00750529" w:rsidRDefault="00C017C5" w:rsidP="00750529">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 xml:space="preserve">for a committal proceeding </w:t>
      </w:r>
      <w:r w:rsidR="00DB1C6B">
        <w:rPr>
          <w:rFonts w:ascii="Arial" w:hAnsi="Arial" w:cs="Arial"/>
          <w:b/>
          <w:bCs/>
          <w:sz w:val="20"/>
          <w:shd w:val="clear" w:color="auto" w:fill="FFF2CC"/>
        </w:rPr>
        <w:t>commenced on or after</w:t>
      </w:r>
      <w:r w:rsidRPr="00C017C5">
        <w:rPr>
          <w:rFonts w:ascii="Arial" w:hAnsi="Arial" w:cs="Arial"/>
          <w:b/>
          <w:bCs/>
          <w:sz w:val="20"/>
          <w:shd w:val="clear" w:color="auto" w:fill="FFF2CC"/>
        </w:rPr>
        <w:t xml:space="preserve"> 28/12/2025</w:t>
      </w:r>
      <w:r>
        <w:rPr>
          <w:rFonts w:ascii="Arial" w:hAnsi="Arial" w:cs="Arial"/>
          <w:sz w:val="20"/>
        </w:rPr>
        <w:t xml:space="preserve">: </w:t>
      </w:r>
      <w:r w:rsidR="00750529">
        <w:rPr>
          <w:rFonts w:ascii="Arial" w:hAnsi="Arial" w:cs="Arial"/>
          <w:sz w:val="20"/>
        </w:rPr>
        <w:t xml:space="preserve">on the accused child’s </w:t>
      </w:r>
      <w:bookmarkStart w:id="88" w:name="_Hlk216696011"/>
      <w:r w:rsidR="00750529">
        <w:rPr>
          <w:rFonts w:ascii="Arial" w:hAnsi="Arial" w:cs="Arial"/>
          <w:sz w:val="20"/>
        </w:rPr>
        <w:t>application</w:t>
      </w:r>
      <w:r w:rsidR="001D4EF7">
        <w:rPr>
          <w:rFonts w:ascii="Arial" w:hAnsi="Arial" w:cs="Arial"/>
          <w:sz w:val="20"/>
        </w:rPr>
        <w:t>,</w:t>
      </w:r>
      <w:r w:rsidR="00750529">
        <w:rPr>
          <w:rFonts w:ascii="Arial" w:hAnsi="Arial" w:cs="Arial"/>
          <w:sz w:val="20"/>
        </w:rPr>
        <w:t xml:space="preserve"> order the child be </w:t>
      </w:r>
      <w:r>
        <w:rPr>
          <w:rFonts w:ascii="Arial" w:hAnsi="Arial" w:cs="Arial"/>
          <w:sz w:val="20"/>
        </w:rPr>
        <w:t>discharge</w:t>
      </w:r>
      <w:r w:rsidR="00750529">
        <w:rPr>
          <w:rFonts w:ascii="Arial" w:hAnsi="Arial" w:cs="Arial"/>
          <w:sz w:val="20"/>
        </w:rPr>
        <w:t>d</w:t>
      </w:r>
      <w:r>
        <w:rPr>
          <w:rFonts w:ascii="Arial" w:hAnsi="Arial" w:cs="Arial"/>
          <w:sz w:val="20"/>
        </w:rPr>
        <w:t xml:space="preserve"> under s.126(4) CPA</w:t>
      </w:r>
      <w:r w:rsidR="001D4EF7">
        <w:rPr>
          <w:rFonts w:ascii="Arial" w:hAnsi="Arial" w:cs="Arial"/>
          <w:sz w:val="20"/>
        </w:rPr>
        <w:t xml:space="preserve"> </w:t>
      </w:r>
      <w:r w:rsidR="00750529">
        <w:rPr>
          <w:rFonts w:ascii="Arial" w:hAnsi="Arial" w:cs="Arial"/>
          <w:sz w:val="20"/>
        </w:rPr>
        <w:t xml:space="preserve">where a committal mention hearing </w:t>
      </w:r>
      <w:r w:rsidR="00750529" w:rsidRPr="00750529">
        <w:rPr>
          <w:rFonts w:ascii="Arial" w:hAnsi="Arial" w:cs="Arial"/>
          <w:sz w:val="20"/>
        </w:rPr>
        <w:t xml:space="preserve">has not been held before the expiry of the period referred to in </w:t>
      </w:r>
      <w:r w:rsidR="00750529">
        <w:rPr>
          <w:rFonts w:ascii="Arial" w:hAnsi="Arial" w:cs="Arial"/>
          <w:sz w:val="20"/>
        </w:rPr>
        <w:t xml:space="preserve">s.126(1) CPA or any longer period </w:t>
      </w:r>
      <w:r w:rsidR="00750529" w:rsidRPr="00750529">
        <w:rPr>
          <w:rFonts w:ascii="Arial" w:hAnsi="Arial" w:cs="Arial"/>
          <w:sz w:val="20"/>
        </w:rPr>
        <w:t>fixed under s</w:t>
      </w:r>
      <w:r w:rsidR="00750529">
        <w:rPr>
          <w:rFonts w:ascii="Arial" w:hAnsi="Arial" w:cs="Arial"/>
          <w:sz w:val="20"/>
        </w:rPr>
        <w:t>.126</w:t>
      </w:r>
      <w:r w:rsidR="00750529" w:rsidRPr="00750529">
        <w:rPr>
          <w:rFonts w:ascii="Arial" w:hAnsi="Arial" w:cs="Arial"/>
          <w:sz w:val="20"/>
        </w:rPr>
        <w:t>(2).</w:t>
      </w:r>
      <w:bookmarkEnd w:id="88"/>
    </w:p>
    <w:p w14:paraId="0446CA1B" w14:textId="77777777" w:rsidR="00C017C5" w:rsidRDefault="00C017C5" w:rsidP="00C017C5">
      <w:pPr>
        <w:ind w:left="363" w:hanging="363"/>
        <w:jc w:val="both"/>
        <w:rPr>
          <w:rFonts w:ascii="Arial" w:hAnsi="Arial" w:cs="Arial"/>
          <w:sz w:val="20"/>
        </w:rPr>
      </w:pPr>
    </w:p>
    <w:p w14:paraId="03EC87E7" w14:textId="36B08AC1" w:rsidR="00D7335E" w:rsidRDefault="00D7335E">
      <w:pPr>
        <w:pStyle w:val="Heading3"/>
        <w:keepNext/>
        <w:spacing w:after="80" w:line="240" w:lineRule="auto"/>
        <w:rPr>
          <w:rFonts w:ascii="Arial" w:hAnsi="Arial" w:cs="Arial"/>
          <w:b/>
          <w:bCs/>
          <w:sz w:val="20"/>
        </w:rPr>
      </w:pPr>
      <w:bookmarkStart w:id="89" w:name="_10.2.1_Purposes"/>
      <w:bookmarkEnd w:id="89"/>
      <w:r>
        <w:rPr>
          <w:rFonts w:ascii="Arial" w:hAnsi="Arial" w:cs="Arial"/>
          <w:b/>
          <w:bCs/>
          <w:sz w:val="20"/>
        </w:rPr>
        <w:t>10.2.1</w:t>
      </w:r>
      <w:r>
        <w:rPr>
          <w:rFonts w:ascii="Arial" w:hAnsi="Arial" w:cs="Arial"/>
          <w:b/>
          <w:bCs/>
          <w:sz w:val="20"/>
        </w:rPr>
        <w:tab/>
        <w:t>Purpose</w:t>
      </w:r>
      <w:r w:rsidR="007B015D">
        <w:rPr>
          <w:rFonts w:ascii="Arial" w:hAnsi="Arial" w:cs="Arial"/>
          <w:b/>
          <w:bCs/>
          <w:sz w:val="20"/>
        </w:rPr>
        <w:t>s</w:t>
      </w:r>
      <w:r w:rsidR="00FF3558">
        <w:rPr>
          <w:rFonts w:ascii="Arial" w:hAnsi="Arial" w:cs="Arial"/>
          <w:b/>
          <w:bCs/>
          <w:sz w:val="20"/>
        </w:rPr>
        <w:t xml:space="preserve"> of a committal proceeding</w:t>
      </w:r>
    </w:p>
    <w:p w14:paraId="24266D1B" w14:textId="61BA154E" w:rsidR="00D7335E" w:rsidRDefault="00750529">
      <w:pPr>
        <w:jc w:val="both"/>
        <w:rPr>
          <w:rFonts w:ascii="Arial" w:hAnsi="Arial" w:cs="Arial"/>
          <w:sz w:val="20"/>
        </w:rPr>
      </w:pPr>
      <w:r>
        <w:rPr>
          <w:rFonts w:ascii="Arial" w:hAnsi="Arial" w:cs="Arial"/>
          <w:sz w:val="20"/>
        </w:rPr>
        <w:t>Prior to</w:t>
      </w:r>
      <w:r w:rsidR="00611BB5">
        <w:rPr>
          <w:rFonts w:ascii="Arial" w:hAnsi="Arial" w:cs="Arial"/>
          <w:sz w:val="20"/>
        </w:rPr>
        <w:t xml:space="preserve"> the amendments made by the</w:t>
      </w:r>
      <w:r>
        <w:rPr>
          <w:rFonts w:ascii="Arial" w:hAnsi="Arial" w:cs="Arial"/>
          <w:sz w:val="20"/>
        </w:rPr>
        <w:t xml:space="preserve"> </w:t>
      </w:r>
      <w:r w:rsidR="00611BB5" w:rsidRPr="00611BB5">
        <w:rPr>
          <w:rFonts w:ascii="Arial" w:hAnsi="Arial" w:cs="Arial"/>
          <w:i/>
          <w:iCs/>
          <w:sz w:val="20"/>
        </w:rPr>
        <w:t>Justice Legislation Amendment (Committals) Act 2025</w:t>
      </w:r>
      <w:r w:rsidR="00611BB5" w:rsidRPr="00611BB5">
        <w:rPr>
          <w:rFonts w:ascii="Arial" w:hAnsi="Arial" w:cs="Arial"/>
          <w:sz w:val="20"/>
        </w:rPr>
        <w:t xml:space="preserve"> </w:t>
      </w:r>
      <w:r>
        <w:rPr>
          <w:rFonts w:ascii="Arial" w:hAnsi="Arial" w:cs="Arial"/>
          <w:sz w:val="20"/>
        </w:rPr>
        <w:t>t</w:t>
      </w:r>
      <w:r w:rsidR="00D7335E">
        <w:rPr>
          <w:rFonts w:ascii="Arial" w:hAnsi="Arial" w:cs="Arial"/>
          <w:sz w:val="20"/>
        </w:rPr>
        <w:t xml:space="preserve">he primary purpose of a committal proceeding </w:t>
      </w:r>
      <w:r w:rsidR="007B015D">
        <w:rPr>
          <w:rFonts w:ascii="Arial" w:hAnsi="Arial" w:cs="Arial"/>
          <w:sz w:val="20"/>
        </w:rPr>
        <w:t>ha</w:t>
      </w:r>
      <w:r>
        <w:rPr>
          <w:rFonts w:ascii="Arial" w:hAnsi="Arial" w:cs="Arial"/>
          <w:sz w:val="20"/>
        </w:rPr>
        <w:t>d</w:t>
      </w:r>
      <w:r w:rsidR="007B015D">
        <w:rPr>
          <w:rFonts w:ascii="Arial" w:hAnsi="Arial" w:cs="Arial"/>
          <w:sz w:val="20"/>
        </w:rPr>
        <w:t xml:space="preserve"> long been</w:t>
      </w:r>
      <w:r w:rsidR="00D7335E">
        <w:rPr>
          <w:rFonts w:ascii="Arial" w:hAnsi="Arial" w:cs="Arial"/>
          <w:sz w:val="20"/>
        </w:rPr>
        <w:t xml:space="preserve"> to ensure that no person is required to stand trial unless a </w:t>
      </w:r>
      <w:r w:rsidR="00D7335E">
        <w:rPr>
          <w:rFonts w:ascii="Arial" w:hAnsi="Arial" w:cs="Arial"/>
          <w:i/>
          <w:iCs/>
          <w:sz w:val="20"/>
        </w:rPr>
        <w:t>prima facie</w:t>
      </w:r>
      <w:r w:rsidR="00D7335E">
        <w:rPr>
          <w:rFonts w:ascii="Arial" w:hAnsi="Arial" w:cs="Arial"/>
          <w:sz w:val="20"/>
        </w:rPr>
        <w:t xml:space="preserve"> case is made out. In </w:t>
      </w:r>
      <w:r w:rsidR="00D7335E">
        <w:rPr>
          <w:rFonts w:ascii="Arial" w:hAnsi="Arial" w:cs="Arial"/>
          <w:i/>
          <w:iCs/>
          <w:sz w:val="20"/>
        </w:rPr>
        <w:t>Barton v The Queen</w:t>
      </w:r>
      <w:r w:rsidR="00D7335E">
        <w:rPr>
          <w:rFonts w:ascii="Arial" w:hAnsi="Arial" w:cs="Arial"/>
          <w:sz w:val="20"/>
        </w:rPr>
        <w:t xml:space="preserve"> (1980) 147 CLR 75 Gibbs ACJ &amp; Mason</w:t>
      </w:r>
      <w:r w:rsidR="00625AF1">
        <w:rPr>
          <w:rFonts w:ascii="Arial" w:hAnsi="Arial" w:cs="Arial"/>
          <w:sz w:val="20"/>
        </w:rPr>
        <w:t> </w:t>
      </w:r>
      <w:r w:rsidR="00D7335E">
        <w:rPr>
          <w:rFonts w:ascii="Arial" w:hAnsi="Arial" w:cs="Arial"/>
          <w:sz w:val="20"/>
        </w:rPr>
        <w:t>J (with whom Aickin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15216C73"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w:t>
      </w:r>
      <w:r>
        <w:rPr>
          <w:rFonts w:ascii="Arial" w:hAnsi="Arial" w:cs="Arial"/>
          <w:sz w:val="20"/>
        </w:rPr>
        <w:lastRenderedPageBreak/>
        <w:t>The accused made an oral application for a stay of the trial pending the hearing and determination of a committal proceeding. Gillard J granted a stay. At [54] His Honour said:</w:t>
      </w:r>
    </w:p>
    <w:p w14:paraId="037409A7" w14:textId="3AD040C1"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A28DA74"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FF75DE">
        <w:rPr>
          <w:rFonts w:ascii="Arial" w:hAnsi="Arial" w:cs="Arial"/>
          <w:sz w:val="20"/>
        </w:rPr>
        <w:t>defines the purposes of a committal proceeding as follows</w:t>
      </w:r>
      <w:r w:rsidR="00C408DD">
        <w:rPr>
          <w:rFonts w:ascii="Arial" w:hAnsi="Arial" w:cs="Arial"/>
          <w:sz w:val="20"/>
        </w:rPr>
        <w:t xml:space="preserve"> with paragraphs (b) &amp; (d)(iii) being repealed </w:t>
      </w:r>
      <w:r w:rsidR="00CB0604" w:rsidRPr="00625AF1">
        <w:rPr>
          <w:rFonts w:ascii="Arial" w:hAnsi="Arial" w:cs="Arial"/>
          <w:b/>
          <w:bCs/>
          <w:sz w:val="20"/>
          <w:shd w:val="clear" w:color="auto" w:fill="FFF2CC"/>
        </w:rPr>
        <w:t>for committals commenc</w:t>
      </w:r>
      <w:r w:rsidR="00B162EF" w:rsidRPr="00625AF1">
        <w:rPr>
          <w:rFonts w:ascii="Arial" w:hAnsi="Arial" w:cs="Arial"/>
          <w:b/>
          <w:bCs/>
          <w:sz w:val="20"/>
          <w:shd w:val="clear" w:color="auto" w:fill="FFF2CC"/>
        </w:rPr>
        <w:t>ed</w:t>
      </w:r>
      <w:r w:rsidR="00CB0604" w:rsidRPr="00625AF1">
        <w:rPr>
          <w:rFonts w:ascii="Arial" w:hAnsi="Arial" w:cs="Arial"/>
          <w:b/>
          <w:bCs/>
          <w:sz w:val="20"/>
          <w:shd w:val="clear" w:color="auto" w:fill="FFF2CC"/>
        </w:rPr>
        <w:t xml:space="preserve"> on or after</w:t>
      </w:r>
      <w:r w:rsidR="00C408DD" w:rsidRPr="00625AF1">
        <w:rPr>
          <w:rFonts w:ascii="Arial" w:hAnsi="Arial" w:cs="Arial"/>
          <w:b/>
          <w:bCs/>
          <w:sz w:val="20"/>
          <w:shd w:val="clear" w:color="auto" w:fill="FFF2CC"/>
        </w:rPr>
        <w:t xml:space="preserve"> 28 December 2025</w:t>
      </w:r>
      <w:r w:rsidR="00C408DD">
        <w:rPr>
          <w:rFonts w:ascii="Arial" w:hAnsi="Arial" w:cs="Arial"/>
          <w:sz w:val="20"/>
        </w:rPr>
        <w:t>:</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r>
      <w:r w:rsidRPr="00C408DD">
        <w:rPr>
          <w:rFonts w:ascii="Arial" w:hAnsi="Arial" w:cs="Arial"/>
          <w:strike/>
          <w:sz w:val="20"/>
        </w:rPr>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r>
      <w:r w:rsidRPr="00C408DD">
        <w:rPr>
          <w:rFonts w:ascii="Arial" w:hAnsi="Arial" w:cs="Arial"/>
          <w:strike/>
          <w:sz w:val="20"/>
        </w:rPr>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t>(v)</w:t>
      </w:r>
      <w:r>
        <w:rPr>
          <w:rFonts w:ascii="Arial" w:hAnsi="Arial" w:cs="Arial"/>
          <w:sz w:val="20"/>
        </w:rPr>
        <w:tab/>
        <w:t>enabling the issues in contention to be adequately defined.</w:t>
      </w:r>
    </w:p>
    <w:p w14:paraId="360D740C" w14:textId="19DF46ED" w:rsidR="0039721E" w:rsidRDefault="00F55179" w:rsidP="00630D88">
      <w:pPr>
        <w:spacing w:before="60"/>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 xml:space="preserve">said that s.97 CYFA </w:t>
      </w:r>
      <w:r w:rsidR="003F7D76">
        <w:rPr>
          <w:rFonts w:ascii="Arial" w:hAnsi="Arial" w:cs="Arial"/>
          <w:sz w:val="20"/>
          <w:szCs w:val="32"/>
        </w:rPr>
        <w:t xml:space="preserve">as previously drafted </w:t>
      </w:r>
      <w:r>
        <w:rPr>
          <w:rFonts w:ascii="Arial" w:hAnsi="Arial" w:cs="Arial"/>
          <w:sz w:val="20"/>
          <w:szCs w:val="32"/>
        </w:rPr>
        <w:t>“reflects legislative confirmation of the purposes of a committal as developed at common law.”</w:t>
      </w:r>
    </w:p>
    <w:p w14:paraId="12DED273" w14:textId="77777777" w:rsidR="00C017C5" w:rsidRPr="00F55179" w:rsidRDefault="00C017C5">
      <w:pPr>
        <w:jc w:val="both"/>
        <w:rPr>
          <w:rFonts w:ascii="Arial" w:hAnsi="Arial" w:cs="Arial"/>
          <w:sz w:val="20"/>
          <w:szCs w:val="32"/>
        </w:rPr>
      </w:pPr>
    </w:p>
    <w:p w14:paraId="0897C8AF" w14:textId="557AAF81" w:rsidR="00D7335E" w:rsidRDefault="00D7335E">
      <w:pPr>
        <w:pStyle w:val="Heading3"/>
        <w:keepNext/>
        <w:spacing w:after="80" w:line="240" w:lineRule="auto"/>
        <w:rPr>
          <w:rFonts w:ascii="Arial" w:hAnsi="Arial" w:cs="Arial"/>
          <w:b/>
          <w:bCs/>
          <w:sz w:val="20"/>
        </w:rPr>
      </w:pPr>
      <w:bookmarkStart w:id="90" w:name="_10.2.2_Nature_of"/>
      <w:bookmarkEnd w:id="90"/>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w:t>
      </w:r>
      <w:r w:rsidR="00E46C5A">
        <w:rPr>
          <w:rFonts w:ascii="Arial" w:hAnsi="Arial" w:cs="Arial"/>
          <w:b/>
          <w:bCs/>
          <w:sz w:val="20"/>
        </w:rPr>
        <w:t xml:space="preserve">a </w:t>
      </w:r>
      <w:r w:rsidR="0039721E">
        <w:rPr>
          <w:rFonts w:ascii="Arial" w:hAnsi="Arial" w:cs="Arial"/>
          <w:b/>
          <w:bCs/>
          <w:sz w:val="20"/>
        </w:rPr>
        <w:t>committal proceeding</w:t>
      </w:r>
      <w:r w:rsidR="000E4C46">
        <w:rPr>
          <w:rFonts w:ascii="Arial" w:hAnsi="Arial" w:cs="Arial"/>
          <w:b/>
          <w:bCs/>
          <w:sz w:val="20"/>
        </w:rPr>
        <w:t xml:space="preserve"> and committal test</w:t>
      </w:r>
      <w:r w:rsidR="00AB48E1">
        <w:rPr>
          <w:rFonts w:ascii="Arial" w:hAnsi="Arial" w:cs="Arial"/>
          <w:b/>
          <w:bCs/>
          <w:sz w:val="20"/>
        </w:rPr>
        <w:t xml:space="preserve"> before 28 December 2025</w:t>
      </w:r>
    </w:p>
    <w:p w14:paraId="41FA98CC" w14:textId="527D8919" w:rsidR="00D7335E" w:rsidRDefault="00D7335E">
      <w:pPr>
        <w:jc w:val="both"/>
        <w:rPr>
          <w:rFonts w:ascii="Arial" w:hAnsi="Arial" w:cs="Arial"/>
          <w:sz w:val="20"/>
        </w:rPr>
      </w:pPr>
      <w:r>
        <w:rPr>
          <w:rFonts w:ascii="Arial" w:hAnsi="Arial" w:cs="Arial"/>
          <w:sz w:val="20"/>
        </w:rPr>
        <w:t>In</w:t>
      </w:r>
      <w:r w:rsidR="00C408DD">
        <w:rPr>
          <w:rFonts w:ascii="Arial" w:hAnsi="Arial" w:cs="Arial"/>
          <w:sz w:val="20"/>
        </w:rPr>
        <w:t xml:space="preserve">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w:t>
      </w:r>
      <w:r w:rsidR="00AB48E1">
        <w:rPr>
          <w:rFonts w:ascii="Arial" w:hAnsi="Arial" w:cs="Arial"/>
          <w:sz w:val="20"/>
        </w:rPr>
        <w:t xml:space="preserve">(as was the case in Victoria prior to 28 December 2025) </w:t>
      </w:r>
      <w:r>
        <w:rPr>
          <w:rFonts w:ascii="Arial" w:hAnsi="Arial" w:cs="Arial"/>
          <w:sz w:val="20"/>
        </w:rPr>
        <w:t>as "executive in its nature</w:t>
      </w:r>
      <w:r w:rsidR="002C5CB1">
        <w:rPr>
          <w:rFonts w:ascii="Arial" w:hAnsi="Arial" w:cs="Arial"/>
          <w:sz w:val="20"/>
        </w:rPr>
        <w:t>”</w:t>
      </w:r>
      <w:r w:rsidR="00D7267D">
        <w:rPr>
          <w:rFonts w:ascii="Arial" w:hAnsi="Arial" w:cs="Arial"/>
          <w:sz w:val="20"/>
        </w:rPr>
        <w:t xml:space="preserve">.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326A98C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900DAC" w:rsidRDefault="007162E2" w:rsidP="00900DAC">
      <w:pPr>
        <w:rPr>
          <w:rFonts w:ascii="Arial" w:hAnsi="Arial" w:cs="Arial"/>
          <w:sz w:val="20"/>
          <w:szCs w:val="20"/>
        </w:rPr>
      </w:pPr>
    </w:p>
    <w:p w14:paraId="7379FC59" w14:textId="3F147F35" w:rsidR="00FF3558" w:rsidRDefault="000E4C46" w:rsidP="00FF3558">
      <w:pPr>
        <w:jc w:val="both"/>
        <w:rPr>
          <w:rFonts w:ascii="Arial" w:hAnsi="Arial" w:cs="Arial"/>
          <w:sz w:val="20"/>
        </w:rPr>
      </w:pPr>
      <w:r w:rsidRPr="00625AF1">
        <w:rPr>
          <w:rFonts w:ascii="Arial" w:hAnsi="Arial" w:cs="Arial"/>
          <w:b/>
          <w:bCs/>
          <w:sz w:val="20"/>
          <w:szCs w:val="20"/>
          <w:shd w:val="clear" w:color="auto" w:fill="FFF2CC"/>
        </w:rPr>
        <w:t>For a committal proceeding commenc</w:t>
      </w:r>
      <w:r w:rsidR="00675952" w:rsidRPr="00625AF1">
        <w:rPr>
          <w:rFonts w:ascii="Arial" w:hAnsi="Arial" w:cs="Arial"/>
          <w:b/>
          <w:bCs/>
          <w:sz w:val="20"/>
          <w:szCs w:val="20"/>
          <w:shd w:val="clear" w:color="auto" w:fill="FFF2CC"/>
        </w:rPr>
        <w:t>ed</w:t>
      </w:r>
      <w:r w:rsidRPr="00625AF1">
        <w:rPr>
          <w:rFonts w:ascii="Arial" w:hAnsi="Arial" w:cs="Arial"/>
          <w:b/>
          <w:bCs/>
          <w:sz w:val="20"/>
          <w:szCs w:val="20"/>
          <w:shd w:val="clear" w:color="auto" w:fill="FFF2CC"/>
        </w:rPr>
        <w:t xml:space="preserve"> p</w:t>
      </w:r>
      <w:r w:rsidR="00FF3558" w:rsidRPr="00625AF1">
        <w:rPr>
          <w:rFonts w:ascii="Arial" w:hAnsi="Arial" w:cs="Arial"/>
          <w:b/>
          <w:bCs/>
          <w:sz w:val="20"/>
          <w:szCs w:val="20"/>
          <w:shd w:val="clear" w:color="auto" w:fill="FFF2CC"/>
        </w:rPr>
        <w:t>rior to 28 December 2025</w:t>
      </w:r>
      <w:r w:rsidR="00FF3558">
        <w:rPr>
          <w:rFonts w:ascii="Arial" w:hAnsi="Arial" w:cs="Arial"/>
          <w:sz w:val="20"/>
          <w:szCs w:val="20"/>
        </w:rPr>
        <w:t xml:space="preserve">, </w:t>
      </w:r>
      <w:r>
        <w:rPr>
          <w:rFonts w:ascii="Arial" w:hAnsi="Arial" w:cs="Arial"/>
          <w:sz w:val="20"/>
          <w:szCs w:val="20"/>
        </w:rPr>
        <w:t xml:space="preserve">the test </w:t>
      </w:r>
      <w:r w:rsidR="00FF3558">
        <w:rPr>
          <w:rFonts w:ascii="Arial" w:hAnsi="Arial" w:cs="Arial"/>
          <w:sz w:val="20"/>
          <w:szCs w:val="20"/>
        </w:rPr>
        <w:t xml:space="preserve">under ss.141(4)(b), 141(4)(c) or 142(1)(b) </w:t>
      </w:r>
      <w:r>
        <w:rPr>
          <w:rFonts w:ascii="Arial" w:hAnsi="Arial" w:cs="Arial"/>
          <w:sz w:val="20"/>
          <w:szCs w:val="20"/>
        </w:rPr>
        <w:t xml:space="preserve">CPA </w:t>
      </w:r>
      <w:r w:rsidR="00FF3558">
        <w:rPr>
          <w:rFonts w:ascii="Arial" w:hAnsi="Arial" w:cs="Arial"/>
          <w:sz w:val="20"/>
          <w:szCs w:val="20"/>
        </w:rPr>
        <w:t xml:space="preserve">as </w:t>
      </w:r>
      <w:r>
        <w:rPr>
          <w:rFonts w:ascii="Arial" w:hAnsi="Arial" w:cs="Arial"/>
          <w:sz w:val="20"/>
          <w:szCs w:val="20"/>
        </w:rPr>
        <w:t xml:space="preserve">to whether an accused is to be </w:t>
      </w:r>
      <w:r w:rsidR="00FF3558">
        <w:rPr>
          <w:rFonts w:ascii="Arial" w:hAnsi="Arial" w:cs="Arial"/>
          <w:sz w:val="20"/>
        </w:rPr>
        <w:t>committed for trial on:</w:t>
      </w:r>
    </w:p>
    <w:p w14:paraId="29D2C790" w14:textId="77777777" w:rsidR="00FF3558" w:rsidRDefault="00FF3558" w:rsidP="00FF3558">
      <w:pPr>
        <w:numPr>
          <w:ilvl w:val="0"/>
          <w:numId w:val="1"/>
        </w:numPr>
        <w:jc w:val="both"/>
        <w:rPr>
          <w:rFonts w:ascii="Arial" w:hAnsi="Arial" w:cs="Arial"/>
          <w:sz w:val="20"/>
        </w:rPr>
      </w:pPr>
      <w:r>
        <w:rPr>
          <w:rFonts w:ascii="Arial" w:hAnsi="Arial" w:cs="Arial"/>
          <w:sz w:val="20"/>
        </w:rPr>
        <w:t>the indictable offence with which he or she has been charged; or</w:t>
      </w:r>
    </w:p>
    <w:p w14:paraId="163EA214" w14:textId="77777777" w:rsidR="00FF3558" w:rsidRDefault="00FF3558" w:rsidP="00FF3558">
      <w:pPr>
        <w:numPr>
          <w:ilvl w:val="0"/>
          <w:numId w:val="1"/>
        </w:numPr>
        <w:jc w:val="both"/>
        <w:rPr>
          <w:rFonts w:ascii="Arial" w:hAnsi="Arial" w:cs="Arial"/>
          <w:sz w:val="20"/>
        </w:rPr>
      </w:pPr>
      <w:r>
        <w:rPr>
          <w:rFonts w:ascii="Arial" w:hAnsi="Arial" w:cs="Arial"/>
          <w:sz w:val="20"/>
        </w:rPr>
        <w:t>some other indictable offence-</w:t>
      </w:r>
    </w:p>
    <w:p w14:paraId="7BDC86AB" w14:textId="7A4C8F98" w:rsidR="00FF3558" w:rsidRDefault="00FF3558" w:rsidP="00FF3558">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w:t>
      </w:r>
      <w:r w:rsidR="000E4C46">
        <w:rPr>
          <w:rFonts w:ascii="Arial" w:hAnsi="Arial" w:cs="Arial"/>
          <w:sz w:val="20"/>
        </w:rPr>
        <w:t>was required to</w:t>
      </w:r>
      <w:r>
        <w:rPr>
          <w:rFonts w:ascii="Arial" w:hAnsi="Arial" w:cs="Arial"/>
          <w:sz w:val="20"/>
        </w:rPr>
        <w:t xml:space="preserve"> be discharged.</w:t>
      </w:r>
    </w:p>
    <w:p w14:paraId="5627512B" w14:textId="77777777" w:rsidR="00FF3558" w:rsidRDefault="00FF3558" w:rsidP="00FF3558">
      <w:pPr>
        <w:jc w:val="both"/>
        <w:rPr>
          <w:rFonts w:ascii="Arial" w:hAnsi="Arial" w:cs="Arial"/>
          <w:sz w:val="20"/>
        </w:rPr>
      </w:pPr>
    </w:p>
    <w:p w14:paraId="3D61D2FC" w14:textId="001C9807" w:rsidR="00FF3558" w:rsidRDefault="00FF3558" w:rsidP="00FF3558">
      <w:pPr>
        <w:jc w:val="both"/>
        <w:rPr>
          <w:rFonts w:ascii="Arial" w:hAnsi="Arial" w:cs="Arial"/>
          <w:sz w:val="20"/>
        </w:rPr>
      </w:pPr>
      <w:r>
        <w:rPr>
          <w:rFonts w:ascii="Arial" w:hAnsi="Arial" w:cs="Arial"/>
          <w:sz w:val="20"/>
        </w:rPr>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w:t>
      </w:r>
      <w:r w:rsidR="000E4C46">
        <w:rPr>
          <w:rFonts w:ascii="Arial" w:hAnsi="Arial" w:cs="Arial"/>
          <w:sz w:val="20"/>
        </w:rPr>
        <w:t> </w:t>
      </w:r>
      <w:r>
        <w:rPr>
          <w:rFonts w:ascii="Arial" w:hAnsi="Arial" w:cs="Arial"/>
          <w:sz w:val="20"/>
        </w:rPr>
        <w:t xml:space="preserve">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Street">
        <w:smartTag w:uri="urn:schemas-microsoft-com:office:smarttags" w:element="address">
          <w:r>
            <w:rPr>
              <w:rFonts w:ascii="Arial" w:hAnsi="Arial" w:cs="Arial"/>
              <w:sz w:val="20"/>
            </w:rPr>
            <w:t>Full Court</w:t>
          </w:r>
        </w:smartTag>
      </w:smartTag>
      <w:r>
        <w:rPr>
          <w:rFonts w:ascii="Arial" w:hAnsi="Arial" w:cs="Arial"/>
          <w:sz w:val="20"/>
        </w:rPr>
        <w:t xml:space="preserve"> on appeal in that case (1989) 87 ALR 699, explained the test as follows:</w:t>
      </w:r>
    </w:p>
    <w:p w14:paraId="6CE7EAC1" w14:textId="77777777" w:rsidR="00FF3558" w:rsidRDefault="00FF3558" w:rsidP="000E4C46">
      <w:pPr>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w:t>
      </w:r>
      <w:r w:rsidRPr="00786886">
        <w:rPr>
          <w:rFonts w:ascii="Arial" w:hAnsi="Arial" w:cs="Arial"/>
          <w:color w:val="000000"/>
          <w:sz w:val="20"/>
        </w:rPr>
        <w:lastRenderedPageBreak/>
        <w:t>material before him, one consistent with guilt and the other with innocence, is not</w:t>
      </w:r>
      <w:r>
        <w:rPr>
          <w:rFonts w:ascii="Arial" w:hAnsi="Arial" w:cs="Arial"/>
          <w:sz w:val="20"/>
        </w:rPr>
        <w:t xml:space="preserve"> necessarily bound to discharge the defendant.</w:t>
      </w:r>
    </w:p>
    <w:p w14:paraId="1825ECD2" w14:textId="77777777" w:rsidR="00FF3558" w:rsidRDefault="00FF3558" w:rsidP="00FF3558">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01FAEDC3" w14:textId="77777777" w:rsidR="00FF3558" w:rsidRDefault="00FF3558" w:rsidP="00FF3558">
      <w:pPr>
        <w:jc w:val="both"/>
        <w:rPr>
          <w:rFonts w:ascii="Arial" w:hAnsi="Arial" w:cs="Arial"/>
          <w:sz w:val="20"/>
        </w:rPr>
      </w:pPr>
    </w:p>
    <w:p w14:paraId="12801188" w14:textId="77777777" w:rsidR="00FF3558" w:rsidRDefault="00FF3558" w:rsidP="00FF3558">
      <w:pPr>
        <w:jc w:val="both"/>
        <w:rPr>
          <w:rFonts w:ascii="Arial" w:hAnsi="Arial" w:cs="Arial"/>
          <w:sz w:val="20"/>
        </w:rPr>
      </w:pPr>
      <w:r>
        <w:rPr>
          <w:rFonts w:ascii="Arial" w:hAnsi="Arial" w:cs="Arial"/>
          <w:sz w:val="20"/>
        </w:rPr>
        <w:t xml:space="preserve">In </w:t>
      </w:r>
      <w:bookmarkStart w:id="91"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91"/>
    </w:p>
    <w:p w14:paraId="64725F5E" w14:textId="77777777" w:rsidR="000E4C46" w:rsidRDefault="000E4C46" w:rsidP="000E4C46">
      <w:pPr>
        <w:jc w:val="both"/>
        <w:rPr>
          <w:rFonts w:ascii="Arial" w:hAnsi="Arial" w:cs="Arial"/>
          <w:sz w:val="20"/>
          <w:szCs w:val="32"/>
        </w:rPr>
      </w:pPr>
    </w:p>
    <w:p w14:paraId="63656C1F" w14:textId="40195AE3" w:rsidR="000E4C46" w:rsidRDefault="000E4C46" w:rsidP="000E4C46">
      <w:pPr>
        <w:jc w:val="both"/>
        <w:rPr>
          <w:rFonts w:ascii="Arial" w:hAnsi="Arial" w:cs="Arial"/>
          <w:sz w:val="20"/>
        </w:rPr>
      </w:pPr>
      <w:r>
        <w:rPr>
          <w:rFonts w:ascii="Arial" w:hAnsi="Arial" w:cs="Arial"/>
          <w:sz w:val="20"/>
        </w:rPr>
        <w:t xml:space="preserve">Discharge did not mean dismissal of the charge. A committal </w:t>
      </w:r>
      <w:r w:rsidR="002C5CB1">
        <w:rPr>
          <w:rFonts w:ascii="Arial" w:hAnsi="Arial" w:cs="Arial"/>
          <w:sz w:val="20"/>
        </w:rPr>
        <w:t>commenc</w:t>
      </w:r>
      <w:r w:rsidR="00675952">
        <w:rPr>
          <w:rFonts w:ascii="Arial" w:hAnsi="Arial" w:cs="Arial"/>
          <w:sz w:val="20"/>
        </w:rPr>
        <w:t>ed</w:t>
      </w:r>
      <w:r w:rsidR="002C5CB1">
        <w:rPr>
          <w:rFonts w:ascii="Arial" w:hAnsi="Arial" w:cs="Arial"/>
          <w:sz w:val="20"/>
        </w:rPr>
        <w:t xml:space="preserve"> </w:t>
      </w:r>
      <w:r>
        <w:rPr>
          <w:rFonts w:ascii="Arial" w:hAnsi="Arial" w:cs="Arial"/>
          <w:sz w:val="20"/>
        </w:rPr>
        <w:t xml:space="preserve">prior to 28 December 2025 did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di</w:t>
      </w:r>
      <w:r w:rsidR="002C5CB1">
        <w:rPr>
          <w:rFonts w:ascii="Arial" w:hAnsi="Arial" w:cs="Arial"/>
          <w:sz w:val="20"/>
        </w:rPr>
        <w:t>d</w:t>
      </w:r>
      <w:r>
        <w:rPr>
          <w:rFonts w:ascii="Arial" w:hAnsi="Arial" w:cs="Arial"/>
          <w:sz w:val="20"/>
        </w:rPr>
        <w:t xml:space="preserve"> not apply. The Director of Public Prosecutions </w:t>
      </w:r>
      <w:r w:rsidR="002C5CB1">
        <w:rPr>
          <w:rFonts w:ascii="Arial" w:hAnsi="Arial" w:cs="Arial"/>
          <w:sz w:val="20"/>
        </w:rPr>
        <w:t>could</w:t>
      </w:r>
      <w:r>
        <w:rPr>
          <w:rFonts w:ascii="Arial" w:hAnsi="Arial" w:cs="Arial"/>
          <w:sz w:val="20"/>
        </w:rPr>
        <w:t xml:space="preserve"> sign a presentment in respect of a charge and serve a Notice of Trial on the accused notwithstanding that the accused was discharged at committal. Conversely, the DPP </w:t>
      </w:r>
      <w:r w:rsidR="002C5CB1">
        <w:rPr>
          <w:rFonts w:ascii="Arial" w:hAnsi="Arial" w:cs="Arial"/>
          <w:sz w:val="20"/>
        </w:rPr>
        <w:t>could</w:t>
      </w:r>
      <w:r>
        <w:rPr>
          <w:rFonts w:ascii="Arial" w:hAnsi="Arial" w:cs="Arial"/>
          <w:sz w:val="20"/>
        </w:rPr>
        <w:t xml:space="preserve">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w:t>
      </w:r>
      <w:r w:rsidR="00611BB5">
        <w:rPr>
          <w:rFonts w:ascii="Arial" w:hAnsi="Arial" w:cs="Arial"/>
          <w:sz w:val="20"/>
        </w:rPr>
        <w:t xml:space="preserve">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applied equally to Victoria</w:t>
      </w:r>
      <w:r w:rsidR="00795EC5">
        <w:rPr>
          <w:rFonts w:ascii="Arial" w:hAnsi="Arial" w:cs="Arial"/>
          <w:sz w:val="20"/>
        </w:rPr>
        <w:t>.</w:t>
      </w:r>
    </w:p>
    <w:p w14:paraId="594A2007" w14:textId="77777777" w:rsidR="000E4C46" w:rsidRPr="00F55179" w:rsidRDefault="000E4C46" w:rsidP="000E4C46">
      <w:pPr>
        <w:jc w:val="both"/>
        <w:rPr>
          <w:rFonts w:ascii="Arial" w:hAnsi="Arial" w:cs="Arial"/>
          <w:sz w:val="20"/>
          <w:szCs w:val="32"/>
        </w:rPr>
      </w:pPr>
    </w:p>
    <w:p w14:paraId="12C18739" w14:textId="65A6E293" w:rsidR="000E4C46" w:rsidRDefault="000E4C46" w:rsidP="000E4C46">
      <w:pPr>
        <w:pStyle w:val="Heading3"/>
        <w:keepNext/>
        <w:spacing w:after="80" w:line="240" w:lineRule="auto"/>
        <w:rPr>
          <w:rFonts w:ascii="Arial" w:hAnsi="Arial" w:cs="Arial"/>
          <w:b/>
          <w:bCs/>
          <w:sz w:val="20"/>
        </w:rPr>
      </w:pPr>
      <w:bookmarkStart w:id="92" w:name="_10.2.3_Nature_of"/>
      <w:bookmarkEnd w:id="92"/>
      <w:r>
        <w:rPr>
          <w:rFonts w:ascii="Arial" w:hAnsi="Arial" w:cs="Arial"/>
          <w:b/>
          <w:bCs/>
          <w:sz w:val="20"/>
        </w:rPr>
        <w:t>10.2.3</w:t>
      </w:r>
      <w:r>
        <w:rPr>
          <w:rFonts w:ascii="Arial" w:hAnsi="Arial" w:cs="Arial"/>
          <w:b/>
          <w:bCs/>
          <w:sz w:val="20"/>
        </w:rPr>
        <w:tab/>
        <w:t xml:space="preserve">Nature of </w:t>
      </w:r>
      <w:r w:rsidR="00E46C5A">
        <w:rPr>
          <w:rFonts w:ascii="Arial" w:hAnsi="Arial" w:cs="Arial"/>
          <w:b/>
          <w:bCs/>
          <w:sz w:val="20"/>
        </w:rPr>
        <w:t xml:space="preserve">a </w:t>
      </w:r>
      <w:r>
        <w:rPr>
          <w:rFonts w:ascii="Arial" w:hAnsi="Arial" w:cs="Arial"/>
          <w:b/>
          <w:bCs/>
          <w:sz w:val="20"/>
        </w:rPr>
        <w:t>committal proceeding commenc</w:t>
      </w:r>
      <w:r w:rsidR="00B162EF">
        <w:rPr>
          <w:rFonts w:ascii="Arial" w:hAnsi="Arial" w:cs="Arial"/>
          <w:b/>
          <w:bCs/>
          <w:sz w:val="20"/>
        </w:rPr>
        <w:t>ed</w:t>
      </w:r>
      <w:r>
        <w:rPr>
          <w:rFonts w:ascii="Arial" w:hAnsi="Arial" w:cs="Arial"/>
          <w:b/>
          <w:bCs/>
          <w:sz w:val="20"/>
        </w:rPr>
        <w:t xml:space="preserve"> on or after 28 December 2025</w:t>
      </w:r>
    </w:p>
    <w:p w14:paraId="425D3BD2" w14:textId="2A5C21BC" w:rsidR="00977715" w:rsidRDefault="00977715" w:rsidP="00795EC5">
      <w:pPr>
        <w:jc w:val="both"/>
        <w:rPr>
          <w:rFonts w:ascii="Arial" w:hAnsi="Arial" w:cs="Arial"/>
          <w:sz w:val="20"/>
        </w:rPr>
      </w:pPr>
      <w:r w:rsidRPr="00625AF1">
        <w:rPr>
          <w:rFonts w:ascii="Arial" w:hAnsi="Arial" w:cs="Arial"/>
          <w:b/>
          <w:bCs/>
          <w:sz w:val="20"/>
          <w:shd w:val="clear" w:color="auto" w:fill="FFF2CC"/>
        </w:rPr>
        <w:t>For a committal proceeding commenced on or after 28 December 2025</w:t>
      </w:r>
      <w:r>
        <w:rPr>
          <w:rFonts w:ascii="Arial" w:hAnsi="Arial" w:cs="Arial"/>
          <w:sz w:val="20"/>
        </w:rPr>
        <w:t>–</w:t>
      </w:r>
    </w:p>
    <w:p w14:paraId="1D9BF55A" w14:textId="77777777" w:rsidR="00977715" w:rsidRDefault="00977715" w:rsidP="00795EC5">
      <w:pPr>
        <w:pStyle w:val="ListParagraph"/>
        <w:numPr>
          <w:ilvl w:val="0"/>
          <w:numId w:val="128"/>
        </w:numPr>
        <w:ind w:left="357" w:hanging="357"/>
        <w:jc w:val="both"/>
        <w:rPr>
          <w:rFonts w:ascii="Arial" w:hAnsi="Arial" w:cs="Arial"/>
          <w:sz w:val="20"/>
        </w:rPr>
      </w:pPr>
      <w:r>
        <w:rPr>
          <w:rFonts w:ascii="Arial" w:hAnsi="Arial" w:cs="Arial"/>
          <w:sz w:val="20"/>
        </w:rPr>
        <w:t xml:space="preserve">s.155 </w:t>
      </w:r>
      <w:r w:rsidRPr="00977715">
        <w:rPr>
          <w:rFonts w:ascii="Arial" w:hAnsi="Arial" w:cs="Arial"/>
          <w:sz w:val="20"/>
        </w:rPr>
        <w:t xml:space="preserve">of </w:t>
      </w:r>
      <w:r w:rsidR="00795EC5" w:rsidRPr="00977715">
        <w:rPr>
          <w:rFonts w:ascii="Arial" w:hAnsi="Arial" w:cs="Arial"/>
          <w:sz w:val="20"/>
        </w:rPr>
        <w:t>the CPA – stating that nothing in the CPA alters the nature of a committal proceeding from that existing immediately before the commencement of s.155 – is repealed</w:t>
      </w:r>
      <w:r>
        <w:rPr>
          <w:rFonts w:ascii="Arial" w:hAnsi="Arial" w:cs="Arial"/>
          <w:sz w:val="20"/>
        </w:rPr>
        <w:t>; and</w:t>
      </w:r>
    </w:p>
    <w:p w14:paraId="1B5FBF27" w14:textId="03204E8C" w:rsidR="00795EC5" w:rsidRPr="00977715" w:rsidRDefault="00900DAC" w:rsidP="00900DAC">
      <w:pPr>
        <w:pStyle w:val="ListParagraph"/>
        <w:numPr>
          <w:ilvl w:val="0"/>
          <w:numId w:val="128"/>
        </w:numPr>
        <w:ind w:left="357" w:hanging="357"/>
        <w:jc w:val="both"/>
        <w:rPr>
          <w:rFonts w:ascii="Arial" w:hAnsi="Arial" w:cs="Arial"/>
          <w:sz w:val="20"/>
        </w:rPr>
      </w:pPr>
      <w:r w:rsidRPr="00977715">
        <w:rPr>
          <w:rFonts w:ascii="Arial" w:hAnsi="Arial" w:cs="Arial"/>
          <w:sz w:val="20"/>
        </w:rPr>
        <w:t>the test for committal of an accused for trial previously in ss.141 &amp; 142(1)(b) CPA is repealed and an accused no longer has the ability to call witnesses or make submissions at the committal stage, the role of the presiding magistrate changing to focussing on case management of committal proceedings.</w:t>
      </w:r>
    </w:p>
    <w:p w14:paraId="612F9C0D" w14:textId="77777777" w:rsidR="00795EC5" w:rsidRDefault="00795EC5" w:rsidP="00900DAC">
      <w:pPr>
        <w:jc w:val="both"/>
        <w:rPr>
          <w:rFonts w:ascii="Arial" w:hAnsi="Arial" w:cs="Arial"/>
          <w:sz w:val="20"/>
        </w:rPr>
      </w:pPr>
    </w:p>
    <w:p w14:paraId="6271B091" w14:textId="145828A5" w:rsidR="00136D1F" w:rsidRDefault="002C5CB1" w:rsidP="00E330BF">
      <w:pPr>
        <w:jc w:val="both"/>
        <w:rPr>
          <w:rFonts w:ascii="Arial" w:hAnsi="Arial" w:cs="Arial"/>
          <w:sz w:val="20"/>
        </w:rPr>
      </w:pPr>
      <w:r>
        <w:rPr>
          <w:rFonts w:ascii="Arial" w:hAnsi="Arial" w:cs="Arial"/>
          <w:sz w:val="20"/>
          <w:szCs w:val="32"/>
        </w:rPr>
        <w:t>T</w:t>
      </w:r>
      <w:r w:rsidR="00136D1F" w:rsidRPr="00630D88">
        <w:rPr>
          <w:rFonts w:ascii="Arial" w:hAnsi="Arial" w:cs="Arial"/>
          <w:sz w:val="20"/>
          <w:szCs w:val="32"/>
        </w:rPr>
        <w:t xml:space="preserve">he Explanatory Memorandum to the </w:t>
      </w:r>
      <w:r w:rsidR="00136D1F" w:rsidRPr="00630D88">
        <w:rPr>
          <w:rFonts w:ascii="Arial" w:hAnsi="Arial" w:cs="Arial"/>
          <w:i/>
          <w:iCs/>
          <w:sz w:val="20"/>
        </w:rPr>
        <w:t xml:space="preserve">Justice Legislation Amendment (Committals) </w:t>
      </w:r>
      <w:r w:rsidR="007D47AD">
        <w:rPr>
          <w:rFonts w:ascii="Arial" w:hAnsi="Arial" w:cs="Arial"/>
          <w:i/>
          <w:iCs/>
          <w:sz w:val="20"/>
        </w:rPr>
        <w:t>Bill</w:t>
      </w:r>
      <w:r w:rsidR="00136D1F" w:rsidRPr="00630D88">
        <w:rPr>
          <w:rFonts w:ascii="Arial" w:hAnsi="Arial" w:cs="Arial"/>
          <w:i/>
          <w:iCs/>
          <w:sz w:val="20"/>
        </w:rPr>
        <w:t xml:space="preserve"> 202</w:t>
      </w:r>
      <w:r w:rsidR="007D47AD">
        <w:rPr>
          <w:rFonts w:ascii="Arial" w:hAnsi="Arial" w:cs="Arial"/>
          <w:i/>
          <w:iCs/>
          <w:sz w:val="20"/>
        </w:rPr>
        <w:t>4</w:t>
      </w:r>
      <w:r w:rsidR="00136D1F" w:rsidRPr="00630D88">
        <w:rPr>
          <w:rFonts w:ascii="Arial" w:hAnsi="Arial" w:cs="Arial"/>
          <w:sz w:val="20"/>
        </w:rPr>
        <w:t xml:space="preserve"> </w:t>
      </w:r>
      <w:r>
        <w:rPr>
          <w:rFonts w:ascii="Arial" w:hAnsi="Arial" w:cs="Arial"/>
          <w:sz w:val="20"/>
        </w:rPr>
        <w:t xml:space="preserve">states </w:t>
      </w:r>
      <w:r w:rsidR="00136D1F" w:rsidRPr="00630D88">
        <w:rPr>
          <w:rFonts w:ascii="Arial" w:hAnsi="Arial" w:cs="Arial"/>
          <w:sz w:val="20"/>
        </w:rPr>
        <w:t>at p</w:t>
      </w:r>
      <w:r w:rsidR="007D47AD">
        <w:rPr>
          <w:rFonts w:ascii="Arial" w:hAnsi="Arial" w:cs="Arial"/>
          <w:sz w:val="20"/>
        </w:rPr>
        <w:t>p</w:t>
      </w:r>
      <w:r w:rsidR="00136D1F" w:rsidRPr="00630D88">
        <w:rPr>
          <w:rFonts w:ascii="Arial" w:hAnsi="Arial" w:cs="Arial"/>
          <w:sz w:val="20"/>
        </w:rPr>
        <w:t>.</w:t>
      </w:r>
      <w:r w:rsidR="007D47AD">
        <w:rPr>
          <w:rFonts w:ascii="Arial" w:hAnsi="Arial" w:cs="Arial"/>
          <w:sz w:val="20"/>
        </w:rPr>
        <w:t>3-4</w:t>
      </w:r>
      <w:r w:rsidR="00136D1F" w:rsidRPr="00630D88">
        <w:rPr>
          <w:rFonts w:ascii="Arial" w:hAnsi="Arial" w:cs="Arial"/>
          <w:sz w:val="20"/>
        </w:rPr>
        <w:t xml:space="preserve"> </w:t>
      </w:r>
      <w:r w:rsidR="00136D1F">
        <w:rPr>
          <w:rFonts w:ascii="Arial" w:hAnsi="Arial" w:cs="Arial"/>
          <w:sz w:val="20"/>
        </w:rPr>
        <w:t>in relation to the re</w:t>
      </w:r>
      <w:r w:rsidR="007815BA">
        <w:rPr>
          <w:rFonts w:ascii="Arial" w:hAnsi="Arial" w:cs="Arial"/>
          <w:sz w:val="20"/>
        </w:rPr>
        <w:t>pea</w:t>
      </w:r>
      <w:r w:rsidR="00136D1F">
        <w:rPr>
          <w:rFonts w:ascii="Arial" w:hAnsi="Arial" w:cs="Arial"/>
          <w:sz w:val="20"/>
        </w:rPr>
        <w:t>l of the committal test</w:t>
      </w:r>
      <w:r>
        <w:rPr>
          <w:rFonts w:ascii="Arial" w:hAnsi="Arial" w:cs="Arial"/>
          <w:sz w:val="20"/>
        </w:rPr>
        <w:t xml:space="preserve"> and the replacement s.141 CPA</w:t>
      </w:r>
      <w:r w:rsidR="00136D1F">
        <w:rPr>
          <w:rFonts w:ascii="Arial" w:hAnsi="Arial" w:cs="Arial"/>
          <w:sz w:val="20"/>
        </w:rPr>
        <w:t>:</w:t>
      </w:r>
    </w:p>
    <w:p w14:paraId="3E8F8F4E" w14:textId="73B78FB9" w:rsidR="00136D1F" w:rsidRDefault="00AB30FC" w:rsidP="00136D1F">
      <w:pPr>
        <w:spacing w:before="60"/>
        <w:ind w:left="567" w:right="567"/>
        <w:jc w:val="both"/>
        <w:rPr>
          <w:rFonts w:ascii="Arial" w:hAnsi="Arial" w:cs="Arial"/>
          <w:sz w:val="20"/>
        </w:rPr>
      </w:pPr>
      <w:r>
        <w:rPr>
          <w:rFonts w:ascii="Arial" w:hAnsi="Arial" w:cs="Arial"/>
          <w:sz w:val="20"/>
        </w:rPr>
        <w:t xml:space="preserve">“[Prior to 28 December 2025 </w:t>
      </w:r>
      <w:r w:rsidR="00136D1F" w:rsidRPr="00136D1F">
        <w:rPr>
          <w:rFonts w:ascii="Arial" w:hAnsi="Arial" w:cs="Arial"/>
          <w:sz w:val="20"/>
        </w:rPr>
        <w:t>section 141 provide</w:t>
      </w:r>
      <w:r>
        <w:rPr>
          <w:rFonts w:ascii="Arial" w:hAnsi="Arial" w:cs="Arial"/>
          <w:sz w:val="20"/>
        </w:rPr>
        <w:t>d]</w:t>
      </w:r>
      <w:r w:rsidR="00136D1F" w:rsidRPr="00136D1F">
        <w:rPr>
          <w:rFonts w:ascii="Arial" w:hAnsi="Arial" w:cs="Arial"/>
          <w:sz w:val="20"/>
        </w:rPr>
        <w:t xml:space="preserve"> that, after evidence for the</w:t>
      </w:r>
      <w:r w:rsidR="00136D1F">
        <w:rPr>
          <w:rFonts w:ascii="Arial" w:hAnsi="Arial" w:cs="Arial"/>
          <w:sz w:val="20"/>
        </w:rPr>
        <w:t xml:space="preserve"> </w:t>
      </w:r>
      <w:r w:rsidR="00136D1F" w:rsidRPr="00136D1F">
        <w:rPr>
          <w:rFonts w:ascii="Arial" w:hAnsi="Arial" w:cs="Arial"/>
          <w:sz w:val="20"/>
        </w:rPr>
        <w:t xml:space="preserve">prosecution has concluded, the </w:t>
      </w:r>
      <w:r>
        <w:rPr>
          <w:rFonts w:ascii="Arial" w:hAnsi="Arial" w:cs="Arial"/>
          <w:sz w:val="20"/>
        </w:rPr>
        <w:t>[</w:t>
      </w:r>
      <w:r w:rsidR="00136D1F" w:rsidRPr="00136D1F">
        <w:rPr>
          <w:rFonts w:ascii="Arial" w:hAnsi="Arial" w:cs="Arial"/>
          <w:sz w:val="20"/>
        </w:rPr>
        <w:t>Court</w:t>
      </w:r>
      <w:r>
        <w:rPr>
          <w:rFonts w:ascii="Arial" w:hAnsi="Arial" w:cs="Arial"/>
          <w:sz w:val="20"/>
        </w:rPr>
        <w:t>]</w:t>
      </w:r>
      <w:r w:rsidR="00136D1F" w:rsidRPr="00136D1F">
        <w:rPr>
          <w:rFonts w:ascii="Arial" w:hAnsi="Arial" w:cs="Arial"/>
          <w:sz w:val="20"/>
        </w:rPr>
        <w:t xml:space="preserve"> must enquire</w:t>
      </w:r>
      <w:r w:rsidR="00136D1F">
        <w:rPr>
          <w:rFonts w:ascii="Arial" w:hAnsi="Arial" w:cs="Arial"/>
          <w:sz w:val="20"/>
        </w:rPr>
        <w:t xml:space="preserve"> </w:t>
      </w:r>
      <w:r w:rsidR="00136D1F" w:rsidRPr="00136D1F">
        <w:rPr>
          <w:rFonts w:ascii="Arial" w:hAnsi="Arial" w:cs="Arial"/>
          <w:sz w:val="20"/>
        </w:rPr>
        <w:t>whether the accused intends to call any witnesses or make any</w:t>
      </w:r>
      <w:r w:rsidR="00136D1F">
        <w:rPr>
          <w:rFonts w:ascii="Arial" w:hAnsi="Arial" w:cs="Arial"/>
          <w:sz w:val="20"/>
        </w:rPr>
        <w:t xml:space="preserve"> </w:t>
      </w:r>
      <w:r w:rsidR="00136D1F" w:rsidRPr="00136D1F">
        <w:rPr>
          <w:rFonts w:ascii="Arial" w:hAnsi="Arial" w:cs="Arial"/>
          <w:sz w:val="20"/>
        </w:rPr>
        <w:t>submission. The section also set</w:t>
      </w:r>
      <w:r w:rsidR="00611BB5">
        <w:rPr>
          <w:rFonts w:ascii="Arial" w:hAnsi="Arial" w:cs="Arial"/>
          <w:sz w:val="20"/>
        </w:rPr>
        <w:t>s</w:t>
      </w:r>
      <w:r w:rsidR="00136D1F" w:rsidRPr="00136D1F">
        <w:rPr>
          <w:rFonts w:ascii="Arial" w:hAnsi="Arial" w:cs="Arial"/>
          <w:sz w:val="20"/>
        </w:rPr>
        <w:t xml:space="preserve"> out the test to decide, at the</w:t>
      </w:r>
      <w:r w:rsidR="00136D1F">
        <w:rPr>
          <w:rFonts w:ascii="Arial" w:hAnsi="Arial" w:cs="Arial"/>
          <w:sz w:val="20"/>
        </w:rPr>
        <w:t xml:space="preserve"> </w:t>
      </w:r>
      <w:r w:rsidR="00136D1F" w:rsidRPr="00136D1F">
        <w:rPr>
          <w:rFonts w:ascii="Arial" w:hAnsi="Arial" w:cs="Arial"/>
          <w:sz w:val="20"/>
        </w:rPr>
        <w:t>conclusion of all evidence and submissions, whether to commit</w:t>
      </w:r>
      <w:r w:rsidR="00136D1F">
        <w:rPr>
          <w:rFonts w:ascii="Arial" w:hAnsi="Arial" w:cs="Arial"/>
          <w:sz w:val="20"/>
        </w:rPr>
        <w:t xml:space="preserve"> </w:t>
      </w:r>
      <w:r w:rsidR="00136D1F" w:rsidRPr="00136D1F">
        <w:rPr>
          <w:rFonts w:ascii="Arial" w:hAnsi="Arial" w:cs="Arial"/>
          <w:sz w:val="20"/>
        </w:rPr>
        <w:t>the accused for trial.</w:t>
      </w:r>
    </w:p>
    <w:p w14:paraId="4DBB6D55" w14:textId="56A25BE4" w:rsidR="00AB30FC" w:rsidRDefault="00AB30FC" w:rsidP="00136D1F">
      <w:pPr>
        <w:spacing w:before="60"/>
        <w:ind w:left="567" w:right="567"/>
        <w:jc w:val="both"/>
        <w:rPr>
          <w:rFonts w:ascii="Arial" w:hAnsi="Arial" w:cs="Arial"/>
          <w:sz w:val="20"/>
        </w:rPr>
      </w:pPr>
      <w:r w:rsidRPr="00136D1F">
        <w:rPr>
          <w:rFonts w:ascii="Arial" w:hAnsi="Arial" w:cs="Arial"/>
          <w:sz w:val="20"/>
        </w:rPr>
        <w:t xml:space="preserve">Amended section 141 </w:t>
      </w:r>
      <w:r>
        <w:rPr>
          <w:rFonts w:ascii="Arial" w:hAnsi="Arial" w:cs="Arial"/>
          <w:sz w:val="20"/>
        </w:rPr>
        <w:t>[</w:t>
      </w:r>
      <w:r w:rsidRPr="00136D1F">
        <w:rPr>
          <w:rFonts w:ascii="Arial" w:hAnsi="Arial" w:cs="Arial"/>
          <w:sz w:val="20"/>
        </w:rPr>
        <w:t>provide</w:t>
      </w:r>
      <w:r>
        <w:rPr>
          <w:rFonts w:ascii="Arial" w:hAnsi="Arial" w:cs="Arial"/>
          <w:sz w:val="20"/>
        </w:rPr>
        <w:t>s]</w:t>
      </w:r>
      <w:r w:rsidRPr="00136D1F">
        <w:rPr>
          <w:rFonts w:ascii="Arial" w:hAnsi="Arial" w:cs="Arial"/>
          <w:sz w:val="20"/>
        </w:rPr>
        <w:t xml:space="preserve"> that if a hand-up brief is</w:t>
      </w:r>
      <w:r>
        <w:rPr>
          <w:rFonts w:ascii="Arial" w:hAnsi="Arial" w:cs="Arial"/>
          <w:sz w:val="20"/>
        </w:rPr>
        <w:t xml:space="preserve"> </w:t>
      </w:r>
      <w:r w:rsidRPr="00136D1F">
        <w:rPr>
          <w:rFonts w:ascii="Arial" w:hAnsi="Arial" w:cs="Arial"/>
          <w:sz w:val="20"/>
        </w:rPr>
        <w:t>served and the accused has not elected to stand trial under</w:t>
      </w:r>
      <w:r>
        <w:rPr>
          <w:rFonts w:ascii="Arial" w:hAnsi="Arial" w:cs="Arial"/>
          <w:sz w:val="20"/>
        </w:rPr>
        <w:t xml:space="preserve"> </w:t>
      </w:r>
      <w:r w:rsidRPr="00136D1F">
        <w:rPr>
          <w:rFonts w:ascii="Arial" w:hAnsi="Arial" w:cs="Arial"/>
          <w:sz w:val="20"/>
        </w:rPr>
        <w:t>section 143, the Magistrates' Court must commit the accused for</w:t>
      </w:r>
      <w:r>
        <w:rPr>
          <w:rFonts w:ascii="Arial" w:hAnsi="Arial" w:cs="Arial"/>
          <w:sz w:val="20"/>
        </w:rPr>
        <w:t xml:space="preserve"> </w:t>
      </w:r>
      <w:r w:rsidRPr="00136D1F">
        <w:rPr>
          <w:rFonts w:ascii="Arial" w:hAnsi="Arial" w:cs="Arial"/>
          <w:sz w:val="20"/>
        </w:rPr>
        <w:t>trial in accordance with section 144—</w:t>
      </w:r>
    </w:p>
    <w:p w14:paraId="1EA4FEBB" w14:textId="64A1A13D"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mention hearing if there is to</w:t>
      </w:r>
      <w:r>
        <w:rPr>
          <w:rFonts w:ascii="Arial" w:hAnsi="Arial" w:cs="Arial"/>
          <w:sz w:val="20"/>
        </w:rPr>
        <w:t xml:space="preserve"> </w:t>
      </w:r>
      <w:r w:rsidRPr="00136D1F">
        <w:rPr>
          <w:rFonts w:ascii="Arial" w:hAnsi="Arial" w:cs="Arial"/>
          <w:sz w:val="20"/>
        </w:rPr>
        <w:t>be no cross-examination of witnesses; or</w:t>
      </w:r>
    </w:p>
    <w:p w14:paraId="2EB2DBF2" w14:textId="7C4EE1C9"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hearing if there is to be</w:t>
      </w:r>
      <w:r>
        <w:rPr>
          <w:rFonts w:ascii="Arial" w:hAnsi="Arial" w:cs="Arial"/>
          <w:sz w:val="20"/>
        </w:rPr>
        <w:t xml:space="preserve"> </w:t>
      </w:r>
      <w:r w:rsidRPr="00136D1F">
        <w:rPr>
          <w:rFonts w:ascii="Arial" w:hAnsi="Arial" w:cs="Arial"/>
          <w:sz w:val="20"/>
        </w:rPr>
        <w:t>cross-examination of witnesses</w:t>
      </w:r>
      <w:r>
        <w:rPr>
          <w:rFonts w:ascii="Arial" w:hAnsi="Arial" w:cs="Arial"/>
          <w:sz w:val="20"/>
        </w:rPr>
        <w:t>.</w:t>
      </w:r>
    </w:p>
    <w:p w14:paraId="73783E0C" w14:textId="6A56D028" w:rsidR="00AB30FC" w:rsidRDefault="00AB30FC" w:rsidP="00AB30FC">
      <w:pPr>
        <w:spacing w:before="60"/>
        <w:ind w:left="567" w:right="567"/>
        <w:jc w:val="both"/>
        <w:rPr>
          <w:rFonts w:ascii="Arial" w:hAnsi="Arial" w:cs="Arial"/>
          <w:sz w:val="20"/>
        </w:rPr>
      </w:pPr>
      <w:r w:rsidRPr="00136D1F">
        <w:rPr>
          <w:rFonts w:ascii="Arial" w:hAnsi="Arial" w:cs="Arial"/>
          <w:sz w:val="20"/>
        </w:rPr>
        <w:t>This amendment abolishes the test for committal and removes the</w:t>
      </w:r>
      <w:r>
        <w:rPr>
          <w:rFonts w:ascii="Arial" w:hAnsi="Arial" w:cs="Arial"/>
          <w:sz w:val="20"/>
        </w:rPr>
        <w:t xml:space="preserve"> </w:t>
      </w:r>
      <w:r w:rsidRPr="00136D1F">
        <w:rPr>
          <w:rFonts w:ascii="Arial" w:hAnsi="Arial" w:cs="Arial"/>
          <w:sz w:val="20"/>
        </w:rPr>
        <w:t>ability of an accused person to call witnesses and make</w:t>
      </w:r>
      <w:r>
        <w:rPr>
          <w:rFonts w:ascii="Arial" w:hAnsi="Arial" w:cs="Arial"/>
          <w:sz w:val="20"/>
        </w:rPr>
        <w:t xml:space="preserve"> </w:t>
      </w:r>
      <w:r w:rsidRPr="00136D1F">
        <w:rPr>
          <w:rFonts w:ascii="Arial" w:hAnsi="Arial" w:cs="Arial"/>
          <w:sz w:val="20"/>
        </w:rPr>
        <w:t>submissions at committal stage.</w:t>
      </w:r>
      <w:r>
        <w:rPr>
          <w:rFonts w:ascii="Arial" w:hAnsi="Arial" w:cs="Arial"/>
          <w:sz w:val="20"/>
        </w:rPr>
        <w:t xml:space="preserve"> </w:t>
      </w:r>
      <w:r w:rsidRPr="00136D1F">
        <w:rPr>
          <w:rFonts w:ascii="Arial" w:hAnsi="Arial" w:cs="Arial"/>
          <w:sz w:val="20"/>
        </w:rPr>
        <w:t>Historically, the purpose of the test for committal was to act as a</w:t>
      </w:r>
      <w:r>
        <w:rPr>
          <w:rFonts w:ascii="Arial" w:hAnsi="Arial" w:cs="Arial"/>
          <w:sz w:val="20"/>
        </w:rPr>
        <w:t xml:space="preserve"> ‘</w:t>
      </w:r>
      <w:r w:rsidRPr="00136D1F">
        <w:rPr>
          <w:rFonts w:ascii="Arial" w:hAnsi="Arial" w:cs="Arial"/>
          <w:sz w:val="20"/>
        </w:rPr>
        <w:t>filter</w:t>
      </w:r>
      <w:r>
        <w:rPr>
          <w:rFonts w:ascii="Arial" w:hAnsi="Arial" w:cs="Arial"/>
          <w:sz w:val="20"/>
        </w:rPr>
        <w:t>’</w:t>
      </w:r>
      <w:r w:rsidRPr="00136D1F">
        <w:rPr>
          <w:rFonts w:ascii="Arial" w:hAnsi="Arial" w:cs="Arial"/>
          <w:sz w:val="20"/>
        </w:rPr>
        <w:t xml:space="preserve"> to provide independent scrutiny of an indictable</w:t>
      </w:r>
      <w:r>
        <w:rPr>
          <w:rFonts w:ascii="Arial" w:hAnsi="Arial" w:cs="Arial"/>
          <w:sz w:val="20"/>
        </w:rPr>
        <w:t xml:space="preserve"> </w:t>
      </w:r>
      <w:r w:rsidRPr="00136D1F">
        <w:rPr>
          <w:rFonts w:ascii="Arial" w:hAnsi="Arial" w:cs="Arial"/>
          <w:sz w:val="20"/>
        </w:rPr>
        <w:t>prosecution. In practice today, the threshold for committal, and</w:t>
      </w:r>
      <w:r>
        <w:rPr>
          <w:rFonts w:ascii="Arial" w:hAnsi="Arial" w:cs="Arial"/>
          <w:sz w:val="20"/>
        </w:rPr>
        <w:t xml:space="preserve"> </w:t>
      </w:r>
      <w:r w:rsidRPr="00AB30FC">
        <w:rPr>
          <w:rFonts w:ascii="Arial" w:hAnsi="Arial" w:cs="Arial"/>
          <w:sz w:val="20"/>
        </w:rPr>
        <w:t>consequently discharge rates, are low. This amendment acquits</w:t>
      </w:r>
      <w:r>
        <w:rPr>
          <w:rFonts w:ascii="Arial" w:hAnsi="Arial" w:cs="Arial"/>
          <w:sz w:val="20"/>
        </w:rPr>
        <w:t xml:space="preserve"> </w:t>
      </w:r>
      <w:r w:rsidRPr="00AB30FC">
        <w:rPr>
          <w:rFonts w:ascii="Arial" w:hAnsi="Arial" w:cs="Arial"/>
          <w:sz w:val="20"/>
        </w:rPr>
        <w:t>recommendation 3 of the Victorian Law Reform Commission's</w:t>
      </w:r>
      <w:r>
        <w:rPr>
          <w:rFonts w:ascii="Arial" w:hAnsi="Arial" w:cs="Arial"/>
          <w:sz w:val="20"/>
        </w:rPr>
        <w:t xml:space="preserve"> </w:t>
      </w:r>
      <w:r w:rsidRPr="00AB30FC">
        <w:rPr>
          <w:rFonts w:ascii="Arial" w:hAnsi="Arial" w:cs="Arial"/>
          <w:i/>
          <w:iCs/>
          <w:sz w:val="20"/>
        </w:rPr>
        <w:t xml:space="preserve">Committal </w:t>
      </w:r>
      <w:r w:rsidRPr="00AB30FC">
        <w:rPr>
          <w:rFonts w:ascii="Arial" w:hAnsi="Arial" w:cs="Arial"/>
          <w:sz w:val="20"/>
        </w:rPr>
        <w:t>Report. The abolition of the test for committal allows</w:t>
      </w:r>
      <w:r>
        <w:rPr>
          <w:rFonts w:ascii="Arial" w:hAnsi="Arial" w:cs="Arial"/>
          <w:sz w:val="20"/>
        </w:rPr>
        <w:t xml:space="preserve"> </w:t>
      </w:r>
      <w:r w:rsidRPr="00AB30FC">
        <w:rPr>
          <w:rFonts w:ascii="Arial" w:hAnsi="Arial" w:cs="Arial"/>
          <w:sz w:val="20"/>
        </w:rPr>
        <w:t>magistrates to focus efforts on other essential functions of the</w:t>
      </w:r>
      <w:r>
        <w:rPr>
          <w:rFonts w:ascii="Arial" w:hAnsi="Arial" w:cs="Arial"/>
          <w:sz w:val="20"/>
        </w:rPr>
        <w:t xml:space="preserve"> </w:t>
      </w:r>
      <w:r w:rsidRPr="00AB30FC">
        <w:rPr>
          <w:rFonts w:ascii="Arial" w:hAnsi="Arial" w:cs="Arial"/>
          <w:sz w:val="20"/>
        </w:rPr>
        <w:t>committal proceeding.</w:t>
      </w:r>
      <w:r w:rsidR="007815BA">
        <w:rPr>
          <w:rFonts w:ascii="Arial" w:hAnsi="Arial" w:cs="Arial"/>
          <w:sz w:val="20"/>
        </w:rPr>
        <w:t>”</w:t>
      </w:r>
    </w:p>
    <w:p w14:paraId="1080DA95" w14:textId="77777777" w:rsidR="003B2ACF" w:rsidRPr="00795EC5" w:rsidRDefault="003B2ACF" w:rsidP="007162E2">
      <w:pPr>
        <w:jc w:val="both"/>
        <w:rPr>
          <w:rFonts w:ascii="Arial" w:hAnsi="Arial" w:cs="Arial"/>
          <w:sz w:val="20"/>
          <w:szCs w:val="36"/>
        </w:rPr>
      </w:pPr>
      <w:bookmarkStart w:id="93" w:name="_10.2.5_Determination_of"/>
      <w:bookmarkEnd w:id="93"/>
    </w:p>
    <w:p w14:paraId="379C8F70" w14:textId="1988C9DB" w:rsidR="007162E2" w:rsidRDefault="007162E2" w:rsidP="00BD4786">
      <w:pPr>
        <w:pStyle w:val="Heading3"/>
        <w:keepNext/>
        <w:spacing w:line="240" w:lineRule="auto"/>
        <w:rPr>
          <w:rFonts w:ascii="Arial" w:hAnsi="Arial" w:cs="Arial"/>
          <w:b/>
          <w:bCs/>
          <w:sz w:val="20"/>
        </w:rPr>
      </w:pPr>
      <w:bookmarkStart w:id="94" w:name="_10.2.3_Hearings,_case"/>
      <w:bookmarkEnd w:id="94"/>
      <w:r>
        <w:rPr>
          <w:rFonts w:ascii="Arial" w:hAnsi="Arial" w:cs="Arial"/>
          <w:b/>
          <w:bCs/>
          <w:sz w:val="20"/>
        </w:rPr>
        <w:t>10.2.</w:t>
      </w:r>
      <w:r w:rsidR="00795EC5">
        <w:rPr>
          <w:rFonts w:ascii="Arial" w:hAnsi="Arial" w:cs="Arial"/>
          <w:b/>
          <w:bCs/>
          <w:sz w:val="20"/>
        </w:rPr>
        <w:t>4</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1149B3">
        <w:rPr>
          <w:rFonts w:ascii="Arial" w:hAnsi="Arial" w:cs="Arial"/>
          <w:b/>
          <w:bCs/>
          <w:sz w:val="20"/>
        </w:rPr>
        <w:t xml:space="preserve">, </w:t>
      </w:r>
      <w:r w:rsidR="006E7C62">
        <w:rPr>
          <w:rFonts w:ascii="Arial" w:hAnsi="Arial" w:cs="Arial"/>
          <w:b/>
          <w:bCs/>
          <w:sz w:val="20"/>
        </w:rPr>
        <w:t>case direction</w:t>
      </w:r>
      <w:r w:rsidR="00713D4D">
        <w:rPr>
          <w:rFonts w:ascii="Arial" w:hAnsi="Arial" w:cs="Arial"/>
          <w:b/>
          <w:bCs/>
          <w:sz w:val="20"/>
        </w:rPr>
        <w:t xml:space="preserve"> and</w:t>
      </w:r>
      <w:r w:rsidR="001149B3">
        <w:rPr>
          <w:rFonts w:ascii="Arial" w:hAnsi="Arial" w:cs="Arial"/>
          <w:b/>
          <w:bCs/>
          <w:sz w:val="20"/>
        </w:rPr>
        <w:t xml:space="preserve"> procedure in a </w:t>
      </w:r>
      <w:r w:rsidR="00B916BD">
        <w:rPr>
          <w:rFonts w:ascii="Arial" w:hAnsi="Arial" w:cs="Arial"/>
          <w:b/>
          <w:bCs/>
          <w:sz w:val="20"/>
        </w:rPr>
        <w:t>committal proceeding</w:t>
      </w:r>
    </w:p>
    <w:p w14:paraId="1DF6A473" w14:textId="563B3CD6" w:rsidR="00A637B1" w:rsidRPr="00A637B1" w:rsidRDefault="00A637B1" w:rsidP="0028708B">
      <w:pPr>
        <w:shd w:val="clear" w:color="auto" w:fill="000000" w:themeFill="text1"/>
        <w:spacing w:before="120" w:after="120"/>
        <w:jc w:val="center"/>
        <w:rPr>
          <w:rFonts w:ascii="Arial" w:hAnsi="Arial" w:cs="Arial"/>
          <w:b/>
          <w:bCs/>
          <w:sz w:val="20"/>
          <w:szCs w:val="20"/>
        </w:rPr>
      </w:pPr>
      <w:r>
        <w:rPr>
          <w:rFonts w:ascii="Arial" w:hAnsi="Arial" w:cs="Arial"/>
          <w:b/>
          <w:bCs/>
          <w:sz w:val="20"/>
          <w:szCs w:val="20"/>
        </w:rPr>
        <w:t>TH</w:t>
      </w:r>
      <w:r w:rsidR="00FB3D3B">
        <w:rPr>
          <w:rFonts w:ascii="Arial" w:hAnsi="Arial" w:cs="Arial"/>
          <w:b/>
          <w:bCs/>
          <w:sz w:val="20"/>
          <w:szCs w:val="20"/>
        </w:rPr>
        <w:t>E</w:t>
      </w:r>
      <w:r>
        <w:rPr>
          <w:rFonts w:ascii="Arial" w:hAnsi="Arial" w:cs="Arial"/>
          <w:b/>
          <w:bCs/>
          <w:sz w:val="20"/>
          <w:szCs w:val="20"/>
        </w:rPr>
        <w:t xml:space="preserve"> 6 TYPES OF HEARING IN A COMMITTAL PROCEEDING</w:t>
      </w:r>
    </w:p>
    <w:p w14:paraId="0C378E30" w14:textId="76AE752D" w:rsidR="005E0AE9" w:rsidRDefault="005E0AE9" w:rsidP="00FB3D3B">
      <w:pPr>
        <w:jc w:val="both"/>
        <w:rPr>
          <w:rFonts w:ascii="Arial" w:hAnsi="Arial" w:cs="Arial"/>
          <w:sz w:val="20"/>
        </w:rPr>
      </w:pPr>
      <w:r>
        <w:rPr>
          <w:rFonts w:ascii="Arial" w:hAnsi="Arial" w:cs="Arial"/>
          <w:sz w:val="20"/>
        </w:rPr>
        <w:t xml:space="preserve">Section </w:t>
      </w:r>
      <w:bookmarkStart w:id="95" w:name="_Hlk216696127"/>
      <w:r>
        <w:rPr>
          <w:rFonts w:ascii="Arial" w:hAnsi="Arial" w:cs="Arial"/>
          <w:sz w:val="20"/>
        </w:rPr>
        <w:t xml:space="preserve">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w:t>
      </w:r>
      <w:bookmarkEnd w:id="95"/>
      <w:r>
        <w:rPr>
          <w:rFonts w:ascii="Arial" w:hAnsi="Arial" w:cs="Arial"/>
          <w:sz w:val="20"/>
        </w:rPr>
        <w:t xml:space="preserve"> Read in conjunction with s.528(2) of the CYFA, these hearing types and the associated procedures are also applicable in the Children’s Court:</w:t>
      </w:r>
    </w:p>
    <w:p w14:paraId="4A567A63" w14:textId="70B31E4C"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1</w:t>
      </w:r>
      <w:r>
        <w:rPr>
          <w:rFonts w:ascii="Arial" w:hAnsi="Arial" w:cs="Arial"/>
          <w:sz w:val="20"/>
        </w:rPr>
        <w:t>)</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2D7CC292" w:rsidR="007162E2" w:rsidRDefault="005A3041" w:rsidP="00AB1F8A">
      <w:pPr>
        <w:spacing w:before="120"/>
        <w:ind w:left="357" w:hanging="357"/>
        <w:jc w:val="both"/>
        <w:rPr>
          <w:rFonts w:ascii="Arial" w:hAnsi="Arial" w:cs="Arial"/>
          <w:sz w:val="20"/>
        </w:rPr>
      </w:pPr>
      <w:r>
        <w:rPr>
          <w:rFonts w:ascii="Arial" w:hAnsi="Arial" w:cs="Arial"/>
          <w:sz w:val="20"/>
        </w:rPr>
        <w:lastRenderedPageBreak/>
        <w:t>(</w:t>
      </w:r>
      <w:r w:rsidR="00BD4786">
        <w:rPr>
          <w:rFonts w:ascii="Arial" w:hAnsi="Arial" w:cs="Arial"/>
          <w:sz w:val="20"/>
        </w:rPr>
        <w:t>2</w:t>
      </w:r>
      <w:r>
        <w:rPr>
          <w:rFonts w:ascii="Arial" w:hAnsi="Arial" w:cs="Arial"/>
          <w:sz w:val="20"/>
        </w:rPr>
        <w:t>)</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2B0CF626" w:rsidR="007162E2" w:rsidRPr="0085010D" w:rsidRDefault="005A3041" w:rsidP="00AB1F8A">
      <w:pPr>
        <w:spacing w:before="120"/>
        <w:ind w:left="357" w:hanging="357"/>
        <w:jc w:val="both"/>
        <w:rPr>
          <w:rFonts w:ascii="Arial" w:hAnsi="Arial" w:cs="Arial"/>
          <w:sz w:val="20"/>
          <w:szCs w:val="20"/>
        </w:rPr>
      </w:pPr>
      <w:r>
        <w:rPr>
          <w:rFonts w:ascii="Arial" w:hAnsi="Arial" w:cs="Arial"/>
          <w:sz w:val="20"/>
        </w:rPr>
        <w:t>(</w:t>
      </w:r>
      <w:r w:rsidR="00BD4786">
        <w:rPr>
          <w:rFonts w:ascii="Arial" w:hAnsi="Arial" w:cs="Arial"/>
          <w:sz w:val="20"/>
        </w:rPr>
        <w:t>3</w:t>
      </w:r>
      <w:r>
        <w:rPr>
          <w:rFonts w:ascii="Arial" w:hAnsi="Arial" w:cs="Arial"/>
          <w:sz w:val="20"/>
        </w:rPr>
        <w:t>)</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0E7BA6BD"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4</w:t>
      </w:r>
      <w:r>
        <w:rPr>
          <w:rFonts w:ascii="Arial" w:hAnsi="Arial" w:cs="Arial"/>
          <w:sz w:val="20"/>
        </w:rPr>
        <w:t>)</w:t>
      </w:r>
      <w:r>
        <w:rPr>
          <w:rFonts w:ascii="Arial" w:hAnsi="Arial" w:cs="Arial"/>
          <w:sz w:val="20"/>
        </w:rPr>
        <w:tab/>
      </w:r>
      <w:r w:rsidR="0088456E" w:rsidRPr="0088456E">
        <w:rPr>
          <w:rFonts w:ascii="Arial" w:hAnsi="Arial" w:cs="Arial"/>
          <w:b/>
          <w:sz w:val="20"/>
          <w:u w:val="single"/>
        </w:rPr>
        <w:t>Committal mention hearing</w:t>
      </w:r>
      <w:r w:rsidR="00DC42AE" w:rsidRPr="00DC42AE">
        <w:rPr>
          <w:rFonts w:ascii="Arial" w:hAnsi="Arial" w:cs="Arial"/>
          <w:bCs/>
          <w:sz w:val="20"/>
        </w:rPr>
        <w:t xml:space="preserve"> </w:t>
      </w:r>
      <w:r w:rsidR="00DC42AE">
        <w:rPr>
          <w:rFonts w:ascii="Arial" w:hAnsi="Arial" w:cs="Arial"/>
          <w:sz w:val="20"/>
        </w:rPr>
        <w:t xml:space="preserve">[ss.125-126]: </w:t>
      </w:r>
      <w:r w:rsidR="007919FE">
        <w:rPr>
          <w:rFonts w:ascii="Arial" w:hAnsi="Arial" w:cs="Arial"/>
          <w:sz w:val="20"/>
        </w:rPr>
        <w:t>Under s.125</w:t>
      </w:r>
      <w:r w:rsidR="00D07B79">
        <w:rPr>
          <w:rFonts w:ascii="Arial" w:hAnsi="Arial" w:cs="Arial"/>
          <w:sz w:val="20"/>
        </w:rPr>
        <w:t>(1)</w:t>
      </w:r>
      <w:r w:rsidR="007919FE">
        <w:rPr>
          <w:rFonts w:ascii="Arial" w:hAnsi="Arial" w:cs="Arial"/>
          <w:sz w:val="20"/>
        </w:rPr>
        <w:t xml:space="preserve"> at a committal mention hearing</w:t>
      </w:r>
      <w:r w:rsidR="00552B69">
        <w:rPr>
          <w:rFonts w:ascii="Arial" w:hAnsi="Arial" w:cs="Arial"/>
          <w:sz w:val="20"/>
        </w:rPr>
        <w:t xml:space="preserve"> the Court may</w:t>
      </w:r>
      <w:r w:rsidR="007919FE">
        <w:rPr>
          <w:rFonts w:ascii="Arial" w:hAnsi="Arial" w:cs="Arial"/>
          <w:sz w:val="20"/>
        </w:rPr>
        <w:t>:</w:t>
      </w:r>
    </w:p>
    <w:p w14:paraId="3042A9E6" w14:textId="1B75B252" w:rsidR="004A3166" w:rsidRDefault="00FF0AF4" w:rsidP="00BD4786">
      <w:pPr>
        <w:ind w:left="714" w:hanging="357"/>
        <w:jc w:val="both"/>
        <w:rPr>
          <w:rFonts w:ascii="Arial" w:hAnsi="Arial" w:cs="Arial"/>
          <w:sz w:val="20"/>
        </w:rPr>
      </w:pPr>
      <w:r>
        <w:rPr>
          <w:rFonts w:ascii="Arial" w:hAnsi="Arial" w:cs="Arial"/>
          <w:sz w:val="20"/>
        </w:rPr>
        <w:t>(a)</w:t>
      </w:r>
      <w:r>
        <w:rPr>
          <w:rFonts w:ascii="Arial" w:hAnsi="Arial" w:cs="Arial"/>
          <w:sz w:val="20"/>
        </w:rPr>
        <w:tab/>
      </w:r>
      <w:r w:rsidR="004A3166">
        <w:rPr>
          <w:rFonts w:ascii="Arial" w:hAnsi="Arial" w:cs="Arial"/>
          <w:sz w:val="20"/>
        </w:rPr>
        <w:t>determine the committal proceeding</w:t>
      </w:r>
      <w:r>
        <w:rPr>
          <w:rFonts w:ascii="Arial" w:hAnsi="Arial" w:cs="Arial"/>
          <w:sz w:val="20"/>
        </w:rPr>
        <w:t xml:space="preserve"> in accordance with </w:t>
      </w:r>
      <w:r w:rsidR="00675952">
        <w:rPr>
          <w:rFonts w:ascii="Arial" w:hAnsi="Arial" w:cs="Arial"/>
          <w:sz w:val="20"/>
        </w:rPr>
        <w:t xml:space="preserve">the provisions in ss.141, 142 or 143 CPA [see </w:t>
      </w:r>
      <w:r w:rsidR="00675952" w:rsidRPr="00675952">
        <w:rPr>
          <w:rFonts w:ascii="Arial" w:hAnsi="Arial" w:cs="Arial"/>
          <w:b/>
          <w:bCs/>
          <w:sz w:val="20"/>
          <w:shd w:val="clear" w:color="auto" w:fill="C5E0B3" w:themeFill="accent6" w:themeFillTint="66"/>
        </w:rPr>
        <w:t>section 10.2.5</w:t>
      </w:r>
      <w:r w:rsidR="00675952">
        <w:rPr>
          <w:rFonts w:ascii="Arial" w:hAnsi="Arial" w:cs="Arial"/>
          <w:sz w:val="20"/>
        </w:rPr>
        <w:t xml:space="preserve"> below] or the “early committal” provisions in </w:t>
      </w:r>
      <w:r>
        <w:rPr>
          <w:rFonts w:ascii="Arial" w:hAnsi="Arial" w:cs="Arial"/>
          <w:sz w:val="20"/>
        </w:rPr>
        <w:t>ss.</w:t>
      </w:r>
      <w:r w:rsidRPr="00FF0AF4">
        <w:rPr>
          <w:rFonts w:ascii="Arial" w:hAnsi="Arial" w:cs="Arial"/>
          <w:sz w:val="20"/>
          <w:szCs w:val="20"/>
        </w:rPr>
        <w:t>127B, 127C</w:t>
      </w:r>
      <w:r w:rsidR="00675952">
        <w:rPr>
          <w:rFonts w:ascii="Arial" w:hAnsi="Arial" w:cs="Arial"/>
          <w:sz w:val="20"/>
          <w:szCs w:val="20"/>
        </w:rPr>
        <w:t xml:space="preserve"> or</w:t>
      </w:r>
      <w:r w:rsidRPr="00FF0AF4">
        <w:rPr>
          <w:rFonts w:ascii="Arial" w:hAnsi="Arial" w:cs="Arial"/>
          <w:sz w:val="20"/>
          <w:szCs w:val="20"/>
        </w:rPr>
        <w:t xml:space="preserve"> 127E</w:t>
      </w:r>
      <w:r w:rsidR="00675952">
        <w:rPr>
          <w:rFonts w:ascii="Arial" w:hAnsi="Arial" w:cs="Arial"/>
          <w:sz w:val="20"/>
          <w:szCs w:val="20"/>
        </w:rPr>
        <w:t xml:space="preserve"> CPA [see </w:t>
      </w:r>
      <w:r w:rsidR="00675952" w:rsidRPr="00675952">
        <w:rPr>
          <w:rFonts w:ascii="Arial" w:hAnsi="Arial" w:cs="Arial"/>
          <w:b/>
          <w:bCs/>
          <w:sz w:val="20"/>
          <w:szCs w:val="20"/>
          <w:shd w:val="clear" w:color="auto" w:fill="C5E0B3" w:themeFill="accent6" w:themeFillTint="66"/>
        </w:rPr>
        <w:t>section 10.2.6</w:t>
      </w:r>
      <w:r w:rsidR="00675952">
        <w:rPr>
          <w:rFonts w:ascii="Arial" w:hAnsi="Arial" w:cs="Arial"/>
          <w:sz w:val="20"/>
          <w:szCs w:val="20"/>
        </w:rPr>
        <w:t xml:space="preserve"> below]</w:t>
      </w:r>
      <w:r w:rsidR="004A3166">
        <w:rPr>
          <w:rFonts w:ascii="Arial" w:hAnsi="Arial" w:cs="Arial"/>
          <w:sz w:val="20"/>
        </w:rPr>
        <w:t>;</w:t>
      </w:r>
    </w:p>
    <w:p w14:paraId="6850A73A" w14:textId="4F65EA34" w:rsidR="00FF0AF4" w:rsidRDefault="00FF0AF4" w:rsidP="00BD4786">
      <w:pPr>
        <w:ind w:left="714" w:hanging="357"/>
        <w:jc w:val="both"/>
        <w:rPr>
          <w:rFonts w:ascii="Arial" w:hAnsi="Arial" w:cs="Arial"/>
          <w:sz w:val="20"/>
        </w:rPr>
      </w:pPr>
      <w:r>
        <w:rPr>
          <w:rFonts w:ascii="Arial" w:hAnsi="Arial" w:cs="Arial"/>
          <w:sz w:val="20"/>
        </w:rPr>
        <w:t>(b)</w:t>
      </w:r>
      <w:r>
        <w:rPr>
          <w:rFonts w:ascii="Arial" w:hAnsi="Arial" w:cs="Arial"/>
          <w:sz w:val="20"/>
        </w:rPr>
        <w:tab/>
        <w:t>offer a summary hearing or determine an application for a summary hearing;</w:t>
      </w:r>
    </w:p>
    <w:p w14:paraId="2B48D6CF" w14:textId="5AC4E116" w:rsidR="00FF0AF4" w:rsidRDefault="00FF0AF4" w:rsidP="00BD4786">
      <w:pPr>
        <w:ind w:left="714" w:hanging="357"/>
        <w:jc w:val="both"/>
        <w:rPr>
          <w:rFonts w:ascii="Arial" w:hAnsi="Arial" w:cs="Arial"/>
          <w:sz w:val="20"/>
        </w:rPr>
      </w:pPr>
      <w:r>
        <w:rPr>
          <w:rFonts w:ascii="Arial" w:hAnsi="Arial" w:cs="Arial"/>
          <w:sz w:val="20"/>
        </w:rPr>
        <w:t>(c)</w:t>
      </w:r>
      <w:r>
        <w:rPr>
          <w:rFonts w:ascii="Arial" w:hAnsi="Arial" w:cs="Arial"/>
          <w:sz w:val="20"/>
        </w:rPr>
        <w:tab/>
        <w:t>hear and determine an application for leave to cross-examine a witness, as to which see s.124;</w:t>
      </w:r>
    </w:p>
    <w:p w14:paraId="55EBB803" w14:textId="3AC140C7" w:rsidR="00FF0AF4" w:rsidRDefault="00FF0AF4" w:rsidP="00BD4786">
      <w:pPr>
        <w:ind w:left="714" w:hanging="357"/>
        <w:jc w:val="both"/>
        <w:rPr>
          <w:rFonts w:ascii="Arial" w:hAnsi="Arial" w:cs="Arial"/>
          <w:sz w:val="20"/>
        </w:rPr>
      </w:pPr>
      <w:r>
        <w:rPr>
          <w:rFonts w:ascii="Arial" w:hAnsi="Arial" w:cs="Arial"/>
          <w:sz w:val="20"/>
        </w:rPr>
        <w:t>(d)</w:t>
      </w:r>
      <w:r>
        <w:rPr>
          <w:rFonts w:ascii="Arial" w:hAnsi="Arial" w:cs="Arial"/>
          <w:sz w:val="20"/>
        </w:rPr>
        <w:tab/>
        <w:t>fix a date for a committal hearing;</w:t>
      </w:r>
    </w:p>
    <w:p w14:paraId="5E631705" w14:textId="76813311" w:rsidR="00FF0AF4" w:rsidRDefault="00FF0AF4" w:rsidP="00BD4786">
      <w:pPr>
        <w:ind w:left="714" w:hanging="357"/>
        <w:jc w:val="both"/>
        <w:rPr>
          <w:rFonts w:ascii="Arial" w:hAnsi="Arial" w:cs="Arial"/>
          <w:sz w:val="20"/>
        </w:rPr>
      </w:pPr>
      <w:r>
        <w:rPr>
          <w:rFonts w:ascii="Arial" w:hAnsi="Arial" w:cs="Arial"/>
          <w:sz w:val="20"/>
        </w:rPr>
        <w:t>(e)</w:t>
      </w:r>
      <w:r>
        <w:rPr>
          <w:rFonts w:ascii="Arial" w:hAnsi="Arial" w:cs="Arial"/>
          <w:sz w:val="20"/>
        </w:rPr>
        <w:tab/>
        <w:t>hear and determine any objection to disclosure of material;</w:t>
      </w:r>
    </w:p>
    <w:p w14:paraId="36096B5F" w14:textId="328B847D" w:rsidR="00FF0AF4" w:rsidRDefault="00FF0AF4" w:rsidP="00BD4786">
      <w:pPr>
        <w:ind w:left="714" w:hanging="357"/>
        <w:jc w:val="both"/>
        <w:rPr>
          <w:rFonts w:ascii="Arial" w:hAnsi="Arial" w:cs="Arial"/>
          <w:sz w:val="20"/>
        </w:rPr>
      </w:pPr>
      <w:r>
        <w:rPr>
          <w:rFonts w:ascii="Arial" w:hAnsi="Arial" w:cs="Arial"/>
          <w:sz w:val="20"/>
        </w:rPr>
        <w:t>(f)</w:t>
      </w:r>
      <w:r>
        <w:rPr>
          <w:rFonts w:ascii="Arial" w:hAnsi="Arial" w:cs="Arial"/>
          <w:sz w:val="20"/>
        </w:rPr>
        <w:tab/>
        <w:t>fix another date for a committal mention hearing;</w:t>
      </w:r>
    </w:p>
    <w:p w14:paraId="4FA10575" w14:textId="001281EB" w:rsidR="00FF0AF4" w:rsidRDefault="00FF0AF4" w:rsidP="00BD4786">
      <w:pPr>
        <w:ind w:left="714" w:hanging="357"/>
        <w:jc w:val="both"/>
        <w:rPr>
          <w:rFonts w:ascii="Arial" w:hAnsi="Arial" w:cs="Arial"/>
          <w:sz w:val="20"/>
        </w:rPr>
      </w:pPr>
      <w:r>
        <w:rPr>
          <w:rFonts w:ascii="Arial" w:hAnsi="Arial" w:cs="Arial"/>
          <w:sz w:val="20"/>
        </w:rPr>
        <w:t>(fa)</w:t>
      </w:r>
      <w:r>
        <w:rPr>
          <w:rFonts w:ascii="Arial" w:hAnsi="Arial" w:cs="Arial"/>
          <w:sz w:val="20"/>
        </w:rPr>
        <w:tab/>
        <w:t>hold a committal case conference under s.127;</w:t>
      </w:r>
    </w:p>
    <w:p w14:paraId="77928BC4" w14:textId="54C502B9" w:rsidR="00FF0AF4" w:rsidRPr="00FF0AF4" w:rsidRDefault="00FF0AF4" w:rsidP="00BD4786">
      <w:pPr>
        <w:ind w:left="714" w:hanging="357"/>
        <w:jc w:val="both"/>
        <w:rPr>
          <w:rFonts w:ascii="Arial" w:hAnsi="Arial" w:cs="Arial"/>
          <w:sz w:val="20"/>
        </w:rPr>
      </w:pPr>
      <w:r w:rsidRPr="00FF0AF4">
        <w:rPr>
          <w:rFonts w:ascii="Arial" w:hAnsi="Arial" w:cs="Arial"/>
          <w:sz w:val="20"/>
        </w:rPr>
        <w:t>(g</w:t>
      </w:r>
      <w:r>
        <w:rPr>
          <w:rFonts w:ascii="Arial" w:hAnsi="Arial" w:cs="Arial"/>
          <w:sz w:val="20"/>
        </w:rPr>
        <w:t>)</w:t>
      </w:r>
      <w:r>
        <w:rPr>
          <w:rFonts w:ascii="Arial" w:hAnsi="Arial" w:cs="Arial"/>
          <w:sz w:val="20"/>
        </w:rPr>
        <w:tab/>
        <w:t>make any other order or give any direction that the court considers appropriate.</w:t>
      </w:r>
    </w:p>
    <w:p w14:paraId="2BBC9C9A" w14:textId="773890DD" w:rsidR="007919FE" w:rsidRDefault="007919FE" w:rsidP="00AB1F8A">
      <w:pPr>
        <w:spacing w:before="60"/>
        <w:ind w:left="357"/>
        <w:jc w:val="both"/>
        <w:rPr>
          <w:rFonts w:ascii="Arial" w:hAnsi="Arial" w:cs="Arial"/>
          <w:sz w:val="20"/>
        </w:rPr>
      </w:pPr>
      <w:r>
        <w:rPr>
          <w:rFonts w:ascii="Arial" w:hAnsi="Arial" w:cs="Arial"/>
          <w:sz w:val="20"/>
        </w:rPr>
        <w:t xml:space="preserve">Note that </w:t>
      </w:r>
      <w:r w:rsidR="00D07B79">
        <w:rPr>
          <w:rFonts w:ascii="Arial" w:hAnsi="Arial" w:cs="Arial"/>
          <w:sz w:val="20"/>
        </w:rPr>
        <w:t>ss.125(1)</w:t>
      </w:r>
      <w:r>
        <w:rPr>
          <w:rFonts w:ascii="Arial" w:hAnsi="Arial" w:cs="Arial"/>
          <w:sz w:val="20"/>
        </w:rPr>
        <w:t xml:space="preserve">(c) &amp; (d) do not apply to </w:t>
      </w:r>
      <w:r w:rsidRPr="00721017">
        <w:rPr>
          <w:rFonts w:ascii="Arial" w:hAnsi="Arial" w:cs="Arial"/>
          <w:b/>
          <w:bCs/>
          <w:sz w:val="20"/>
          <w:shd w:val="clear" w:color="auto" w:fill="FFF2CC"/>
        </w:rPr>
        <w:t>a committal proceeding commenced</w:t>
      </w:r>
      <w:r w:rsidRPr="00C6231C">
        <w:rPr>
          <w:rFonts w:ascii="Arial" w:hAnsi="Arial" w:cs="Arial"/>
          <w:b/>
          <w:bCs/>
          <w:sz w:val="20"/>
          <w:shd w:val="clear" w:color="auto" w:fill="FFF2CC"/>
        </w:rPr>
        <w:t xml:space="preserve"> </w:t>
      </w:r>
      <w:r w:rsidR="00B162EF" w:rsidRPr="00C6231C">
        <w:rPr>
          <w:rFonts w:ascii="Arial" w:hAnsi="Arial" w:cs="Arial"/>
          <w:b/>
          <w:bCs/>
          <w:sz w:val="20"/>
          <w:shd w:val="clear" w:color="auto" w:fill="FFF2CC"/>
        </w:rPr>
        <w:t>on</w:t>
      </w:r>
      <w:r w:rsidR="00B162EF">
        <w:rPr>
          <w:rFonts w:ascii="Arial" w:hAnsi="Arial" w:cs="Arial"/>
          <w:b/>
          <w:bCs/>
          <w:sz w:val="20"/>
          <w:shd w:val="clear" w:color="auto" w:fill="FFF2CC"/>
        </w:rPr>
        <w:t xml:space="preserve"> or after</w:t>
      </w:r>
      <w:r w:rsidRPr="009733CC">
        <w:rPr>
          <w:rFonts w:ascii="Arial" w:hAnsi="Arial" w:cs="Arial"/>
          <w:b/>
          <w:bCs/>
          <w:sz w:val="20"/>
          <w:shd w:val="clear" w:color="auto" w:fill="FFF2CC"/>
        </w:rPr>
        <w:t xml:space="preserve"> 28 December 2025</w:t>
      </w:r>
      <w:r>
        <w:rPr>
          <w:rFonts w:ascii="Arial" w:hAnsi="Arial" w:cs="Arial"/>
          <w:sz w:val="20"/>
        </w:rPr>
        <w:t xml:space="preserve"> to which s.100(1A) applies.</w:t>
      </w:r>
    </w:p>
    <w:p w14:paraId="0CCE1BC3" w14:textId="0FEA2F5B" w:rsidR="00FF0AF4" w:rsidRDefault="007F01F8" w:rsidP="00AB1F8A">
      <w:pPr>
        <w:spacing w:before="60"/>
        <w:ind w:left="357"/>
        <w:jc w:val="both"/>
        <w:rPr>
          <w:rFonts w:ascii="Arial" w:hAnsi="Arial" w:cs="Arial"/>
          <w:sz w:val="20"/>
        </w:rPr>
      </w:pPr>
      <w:r>
        <w:rPr>
          <w:rFonts w:ascii="Arial" w:hAnsi="Arial" w:cs="Arial"/>
          <w:sz w:val="20"/>
        </w:rPr>
        <w:t>Under s.126 t</w:t>
      </w:r>
      <w:r w:rsidR="00FF0AF4">
        <w:rPr>
          <w:rFonts w:ascii="Arial" w:hAnsi="Arial" w:cs="Arial"/>
          <w:sz w:val="20"/>
        </w:rPr>
        <w:t>he time limits for holding a committal mention hearing are as follows:</w:t>
      </w:r>
    </w:p>
    <w:p w14:paraId="2BB152DE" w14:textId="6B6C8CD7"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 xml:space="preserve">for </w:t>
      </w:r>
      <w:r w:rsidR="007919FE">
        <w:rPr>
          <w:rFonts w:ascii="Arial" w:hAnsi="Arial" w:cs="Arial"/>
          <w:sz w:val="20"/>
        </w:rPr>
        <w:t>a sexual offence within 3 months</w:t>
      </w:r>
      <w:r w:rsidR="007F01F8">
        <w:rPr>
          <w:rFonts w:ascii="Arial" w:hAnsi="Arial" w:cs="Arial"/>
          <w:sz w:val="20"/>
        </w:rPr>
        <w:t>; or</w:t>
      </w:r>
    </w:p>
    <w:p w14:paraId="57B221D6" w14:textId="38EC6F16"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for any other offence within 6 months</w:t>
      </w:r>
      <w:r w:rsidR="007F01F8">
        <w:rPr>
          <w:rFonts w:ascii="Arial" w:hAnsi="Arial" w:cs="Arial"/>
          <w:sz w:val="20"/>
        </w:rPr>
        <w:t>–</w:t>
      </w:r>
    </w:p>
    <w:p w14:paraId="25489593" w14:textId="3930BD06" w:rsidR="00DC42AE" w:rsidRDefault="007F01F8" w:rsidP="00DC42AE">
      <w:pPr>
        <w:ind w:left="357" w:right="57"/>
        <w:jc w:val="both"/>
        <w:rPr>
          <w:rFonts w:ascii="Arial" w:hAnsi="Arial" w:cs="Arial"/>
          <w:sz w:val="20"/>
        </w:rPr>
      </w:pPr>
      <w:r>
        <w:rPr>
          <w:rFonts w:ascii="Arial" w:hAnsi="Arial" w:cs="Arial"/>
          <w:sz w:val="20"/>
        </w:rPr>
        <w:t>after</w:t>
      </w:r>
      <w:r w:rsidR="00DC42AE">
        <w:rPr>
          <w:rFonts w:ascii="Arial" w:hAnsi="Arial" w:cs="Arial"/>
          <w:sz w:val="20"/>
        </w:rPr>
        <w:t xml:space="preserve"> the commencement of the criminal proceeding </w:t>
      </w:r>
      <w:r>
        <w:rPr>
          <w:rFonts w:ascii="Arial" w:hAnsi="Arial" w:cs="Arial"/>
          <w:sz w:val="20"/>
        </w:rPr>
        <w:t xml:space="preserve">for the offence </w:t>
      </w:r>
      <w:r w:rsidR="00DC42AE">
        <w:rPr>
          <w:rFonts w:ascii="Arial" w:hAnsi="Arial" w:cs="Arial"/>
          <w:sz w:val="20"/>
        </w:rPr>
        <w:t>unless–</w:t>
      </w:r>
    </w:p>
    <w:p w14:paraId="2B69A3B0" w14:textId="1D628A04"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the Court has fixed a longer period if satisfied that it is in the interests of justice that a longer period should be fixed; or</w:t>
      </w:r>
    </w:p>
    <w:p w14:paraId="321A2049" w14:textId="1F9AB8FB"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s.126(3) applies.</w:t>
      </w:r>
    </w:p>
    <w:p w14:paraId="29470968" w14:textId="589886BE" w:rsidR="00AC0087" w:rsidRDefault="00AB1F8A" w:rsidP="00AB1F8A">
      <w:pPr>
        <w:spacing w:before="120"/>
        <w:ind w:left="357" w:hanging="357"/>
        <w:jc w:val="both"/>
        <w:rPr>
          <w:rFonts w:ascii="Arial" w:hAnsi="Arial" w:cs="Arial"/>
          <w:sz w:val="20"/>
        </w:rPr>
      </w:pPr>
      <w:r w:rsidRPr="00AB1F8A">
        <w:rPr>
          <w:rFonts w:ascii="Arial" w:hAnsi="Arial" w:cs="Arial"/>
          <w:sz w:val="20"/>
        </w:rPr>
        <w:t>(</w:t>
      </w:r>
      <w:r w:rsidR="00BD4786">
        <w:rPr>
          <w:rFonts w:ascii="Arial" w:hAnsi="Arial" w:cs="Arial"/>
          <w:sz w:val="20"/>
        </w:rPr>
        <w:t>5</w:t>
      </w:r>
      <w:r w:rsidRPr="00AB1F8A">
        <w:rPr>
          <w:rFonts w:ascii="Arial" w:hAnsi="Arial" w:cs="Arial"/>
          <w:sz w:val="20"/>
        </w:rPr>
        <w:t>)</w:t>
      </w:r>
      <w:r w:rsidRPr="00AB1F8A">
        <w:rPr>
          <w:rFonts w:ascii="Arial" w:hAnsi="Arial" w:cs="Arial"/>
          <w:sz w:val="20"/>
        </w:rPr>
        <w:tab/>
      </w:r>
      <w:r w:rsidRPr="00AB1F8A">
        <w:rPr>
          <w:rFonts w:ascii="Arial" w:hAnsi="Arial" w:cs="Arial"/>
          <w:b/>
          <w:sz w:val="20"/>
          <w:u w:val="single"/>
        </w:rPr>
        <w:t xml:space="preserve">Committal </w:t>
      </w:r>
      <w:r>
        <w:rPr>
          <w:rFonts w:ascii="Arial" w:hAnsi="Arial" w:cs="Arial"/>
          <w:b/>
          <w:sz w:val="20"/>
          <w:u w:val="single"/>
        </w:rPr>
        <w:t>case conference</w:t>
      </w:r>
      <w:r w:rsidRPr="00AB1F8A">
        <w:rPr>
          <w:rFonts w:ascii="Arial" w:hAnsi="Arial" w:cs="Arial"/>
          <w:bCs/>
          <w:sz w:val="20"/>
        </w:rPr>
        <w:t xml:space="preserve"> </w:t>
      </w:r>
      <w:r w:rsidRPr="00AB1F8A">
        <w:rPr>
          <w:rFonts w:ascii="Arial" w:hAnsi="Arial" w:cs="Arial"/>
          <w:sz w:val="20"/>
        </w:rPr>
        <w:t>[s.12</w:t>
      </w:r>
      <w:r>
        <w:rPr>
          <w:rFonts w:ascii="Arial" w:hAnsi="Arial" w:cs="Arial"/>
          <w:sz w:val="20"/>
        </w:rPr>
        <w:t>7</w:t>
      </w:r>
      <w:r w:rsidRPr="00AB1F8A">
        <w:rPr>
          <w:rFonts w:ascii="Arial" w:hAnsi="Arial" w:cs="Arial"/>
          <w:sz w:val="20"/>
        </w:rPr>
        <w:t xml:space="preserve">]: </w:t>
      </w:r>
      <w:r w:rsidR="00AC0087">
        <w:rPr>
          <w:rFonts w:ascii="Arial" w:hAnsi="Arial" w:cs="Arial"/>
          <w:sz w:val="20"/>
        </w:rPr>
        <w:t xml:space="preserve">The </w:t>
      </w:r>
      <w:r w:rsidR="00AC0087" w:rsidRPr="00630D88">
        <w:rPr>
          <w:rFonts w:ascii="Arial" w:hAnsi="Arial" w:cs="Arial"/>
          <w:sz w:val="20"/>
          <w:szCs w:val="32"/>
        </w:rPr>
        <w:t xml:space="preserve">Explanatory Memorandum to the </w:t>
      </w:r>
      <w:r w:rsidR="00AC0087" w:rsidRPr="00630D88">
        <w:rPr>
          <w:rFonts w:ascii="Arial" w:hAnsi="Arial" w:cs="Arial"/>
          <w:i/>
          <w:iCs/>
          <w:sz w:val="20"/>
        </w:rPr>
        <w:t xml:space="preserve">Justice Legislation Amendment (Committals) </w:t>
      </w:r>
      <w:r w:rsidR="007D47AD">
        <w:rPr>
          <w:rFonts w:ascii="Arial" w:hAnsi="Arial" w:cs="Arial"/>
          <w:i/>
          <w:iCs/>
          <w:sz w:val="20"/>
        </w:rPr>
        <w:t>Bill</w:t>
      </w:r>
      <w:r w:rsidR="00AC0087" w:rsidRPr="00630D88">
        <w:rPr>
          <w:rFonts w:ascii="Arial" w:hAnsi="Arial" w:cs="Arial"/>
          <w:i/>
          <w:iCs/>
          <w:sz w:val="20"/>
        </w:rPr>
        <w:t xml:space="preserve"> 202</w:t>
      </w:r>
      <w:r w:rsidR="007D47AD">
        <w:rPr>
          <w:rFonts w:ascii="Arial" w:hAnsi="Arial" w:cs="Arial"/>
          <w:i/>
          <w:iCs/>
          <w:sz w:val="20"/>
        </w:rPr>
        <w:t>4</w:t>
      </w:r>
      <w:r w:rsidR="00AC0087" w:rsidRPr="00630D88">
        <w:rPr>
          <w:rFonts w:ascii="Arial" w:hAnsi="Arial" w:cs="Arial"/>
          <w:sz w:val="20"/>
        </w:rPr>
        <w:t xml:space="preserve"> </w:t>
      </w:r>
      <w:r w:rsidR="00AC0087">
        <w:rPr>
          <w:rFonts w:ascii="Arial" w:hAnsi="Arial" w:cs="Arial"/>
          <w:sz w:val="20"/>
        </w:rPr>
        <w:t>states</w:t>
      </w:r>
      <w:r w:rsidR="00C17DFC">
        <w:rPr>
          <w:rFonts w:ascii="Arial" w:hAnsi="Arial" w:cs="Arial"/>
          <w:sz w:val="20"/>
        </w:rPr>
        <w:t xml:space="preserve"> </w:t>
      </w:r>
      <w:r w:rsidR="00C6231C">
        <w:rPr>
          <w:rFonts w:ascii="Arial" w:hAnsi="Arial" w:cs="Arial"/>
          <w:sz w:val="20"/>
        </w:rPr>
        <w:t xml:space="preserve">at p.26 </w:t>
      </w:r>
      <w:r w:rsidR="00C17DFC">
        <w:rPr>
          <w:rFonts w:ascii="Arial" w:hAnsi="Arial" w:cs="Arial"/>
          <w:sz w:val="20"/>
        </w:rPr>
        <w:t>that s.127 has been amended to “strengthen the legislative framework of committal case conferences</w:t>
      </w:r>
      <w:r w:rsidR="00C6231C">
        <w:rPr>
          <w:rFonts w:ascii="Arial" w:hAnsi="Arial" w:cs="Arial"/>
          <w:sz w:val="20"/>
        </w:rPr>
        <w:t>”</w:t>
      </w:r>
      <w:r w:rsidR="00C17DFC">
        <w:rPr>
          <w:rFonts w:ascii="Arial" w:hAnsi="Arial" w:cs="Arial"/>
          <w:sz w:val="20"/>
        </w:rPr>
        <w:t xml:space="preserve"> and that the amendment </w:t>
      </w:r>
      <w:r w:rsidR="00C6231C">
        <w:rPr>
          <w:rFonts w:ascii="Arial" w:hAnsi="Arial" w:cs="Arial"/>
          <w:sz w:val="20"/>
        </w:rPr>
        <w:t>“</w:t>
      </w:r>
      <w:r w:rsidR="00C17DFC">
        <w:rPr>
          <w:rFonts w:ascii="Arial" w:hAnsi="Arial" w:cs="Arial"/>
          <w:sz w:val="20"/>
        </w:rPr>
        <w:t xml:space="preserve">acquits recommendation 11 of the </w:t>
      </w:r>
      <w:r w:rsidR="00C17DFC" w:rsidRPr="00C17DFC">
        <w:rPr>
          <w:rFonts w:ascii="Arial" w:hAnsi="Arial" w:cs="Arial"/>
          <w:sz w:val="20"/>
        </w:rPr>
        <w:t xml:space="preserve">VLRC's </w:t>
      </w:r>
      <w:r w:rsidR="00C17DFC" w:rsidRPr="00C17DFC">
        <w:rPr>
          <w:rFonts w:ascii="Arial" w:hAnsi="Arial" w:cs="Arial"/>
          <w:i/>
          <w:iCs/>
          <w:sz w:val="20"/>
        </w:rPr>
        <w:t xml:space="preserve">Committals </w:t>
      </w:r>
      <w:r w:rsidR="00C17DFC" w:rsidRPr="00C17DFC">
        <w:rPr>
          <w:rFonts w:ascii="Arial" w:hAnsi="Arial" w:cs="Arial"/>
          <w:sz w:val="20"/>
        </w:rPr>
        <w:t>Report</w:t>
      </w:r>
      <w:r w:rsidR="00C6231C">
        <w:rPr>
          <w:rFonts w:ascii="Arial" w:hAnsi="Arial" w:cs="Arial"/>
          <w:sz w:val="20"/>
        </w:rPr>
        <w:t>”</w:t>
      </w:r>
      <w:r w:rsidR="00C17DFC" w:rsidRPr="00C17DFC">
        <w:rPr>
          <w:rFonts w:ascii="Arial" w:hAnsi="Arial" w:cs="Arial"/>
          <w:sz w:val="20"/>
        </w:rPr>
        <w:t>.</w:t>
      </w:r>
      <w:r w:rsidR="00C17DFC">
        <w:rPr>
          <w:rFonts w:ascii="Arial" w:hAnsi="Arial" w:cs="Arial"/>
          <w:sz w:val="20"/>
        </w:rPr>
        <w:t xml:space="preserve"> The EM continues:</w:t>
      </w:r>
    </w:p>
    <w:p w14:paraId="7F130719" w14:textId="4A3ADA7E" w:rsidR="00C17DFC" w:rsidRDefault="00AC0087" w:rsidP="00B162EF">
      <w:pPr>
        <w:spacing w:before="60"/>
        <w:ind w:left="851" w:right="567"/>
        <w:jc w:val="both"/>
        <w:rPr>
          <w:rFonts w:ascii="Arial" w:hAnsi="Arial" w:cs="Arial"/>
          <w:sz w:val="20"/>
        </w:rPr>
      </w:pPr>
      <w:r>
        <w:rPr>
          <w:rFonts w:ascii="Arial" w:hAnsi="Arial" w:cs="Arial"/>
          <w:sz w:val="20"/>
        </w:rPr>
        <w:t>“</w:t>
      </w:r>
      <w:r w:rsidR="00C17DFC" w:rsidRPr="00C17DFC">
        <w:rPr>
          <w:rFonts w:ascii="Arial" w:hAnsi="Arial" w:cs="Arial"/>
          <w:sz w:val="20"/>
        </w:rPr>
        <w:t>A committal case conference is an important case management</w:t>
      </w:r>
      <w:r w:rsidR="00C17DFC">
        <w:rPr>
          <w:rFonts w:ascii="Arial" w:hAnsi="Arial" w:cs="Arial"/>
          <w:sz w:val="20"/>
        </w:rPr>
        <w:t xml:space="preserve"> </w:t>
      </w:r>
      <w:r w:rsidR="00C17DFC" w:rsidRPr="00C17DFC">
        <w:rPr>
          <w:rFonts w:ascii="Arial" w:hAnsi="Arial" w:cs="Arial"/>
          <w:sz w:val="20"/>
        </w:rPr>
        <w:t>tool that enables parties to discuss the case with the aim of</w:t>
      </w:r>
      <w:r w:rsidR="00C17DFC">
        <w:rPr>
          <w:rFonts w:ascii="Arial" w:hAnsi="Arial" w:cs="Arial"/>
          <w:sz w:val="20"/>
        </w:rPr>
        <w:t xml:space="preserve"> </w:t>
      </w:r>
      <w:r w:rsidR="00C17DFC" w:rsidRPr="00C17DFC">
        <w:rPr>
          <w:rFonts w:ascii="Arial" w:hAnsi="Arial" w:cs="Arial"/>
          <w:sz w:val="20"/>
        </w:rPr>
        <w:t>identifying and narrowing issues in dispute, including disclosure</w:t>
      </w:r>
      <w:r w:rsidR="00C17DFC">
        <w:rPr>
          <w:rFonts w:ascii="Arial" w:hAnsi="Arial" w:cs="Arial"/>
          <w:sz w:val="20"/>
        </w:rPr>
        <w:t xml:space="preserve"> </w:t>
      </w:r>
      <w:r w:rsidR="00C17DFC" w:rsidRPr="00C17DFC">
        <w:rPr>
          <w:rFonts w:ascii="Arial" w:hAnsi="Arial" w:cs="Arial"/>
          <w:sz w:val="20"/>
        </w:rPr>
        <w:t>issues, at an early stage. The judicial oversight of a magistrate</w:t>
      </w:r>
      <w:r w:rsidR="00C17DFC">
        <w:rPr>
          <w:rFonts w:ascii="Arial" w:hAnsi="Arial" w:cs="Arial"/>
          <w:sz w:val="20"/>
        </w:rPr>
        <w:t xml:space="preserve"> </w:t>
      </w:r>
      <w:r w:rsidR="00C17DFC" w:rsidRPr="00C17DFC">
        <w:rPr>
          <w:rFonts w:ascii="Arial" w:hAnsi="Arial" w:cs="Arial"/>
          <w:sz w:val="20"/>
        </w:rPr>
        <w:t>allows the court to provide expert case management guidance.</w:t>
      </w:r>
      <w:r w:rsidR="00C17DFC">
        <w:rPr>
          <w:rFonts w:ascii="Arial" w:hAnsi="Arial" w:cs="Arial"/>
          <w:sz w:val="20"/>
        </w:rPr>
        <w:t xml:space="preserve"> </w:t>
      </w:r>
      <w:r w:rsidR="00C17DFC" w:rsidRPr="00C17DFC">
        <w:rPr>
          <w:rFonts w:ascii="Arial" w:hAnsi="Arial" w:cs="Arial"/>
          <w:sz w:val="20"/>
        </w:rPr>
        <w:t>The current legislative framework does not establish a clear</w:t>
      </w:r>
      <w:r w:rsidR="00C17DFC">
        <w:rPr>
          <w:rFonts w:ascii="Arial" w:hAnsi="Arial" w:cs="Arial"/>
          <w:sz w:val="20"/>
        </w:rPr>
        <w:t xml:space="preserve"> </w:t>
      </w:r>
      <w:r w:rsidR="00C17DFC" w:rsidRPr="00C17DFC">
        <w:rPr>
          <w:rFonts w:ascii="Arial" w:hAnsi="Arial" w:cs="Arial"/>
          <w:sz w:val="20"/>
        </w:rPr>
        <w:t>purpose of the committal case conference. Substituted s</w:t>
      </w:r>
      <w:r w:rsidR="00C17DFC">
        <w:rPr>
          <w:rFonts w:ascii="Arial" w:hAnsi="Arial" w:cs="Arial"/>
          <w:sz w:val="20"/>
        </w:rPr>
        <w:t>.</w:t>
      </w:r>
      <w:r w:rsidR="00C17DFC" w:rsidRPr="00C17DFC">
        <w:rPr>
          <w:rFonts w:ascii="Arial" w:hAnsi="Arial" w:cs="Arial"/>
          <w:sz w:val="20"/>
        </w:rPr>
        <w:t>127(1) will provide greater clarity on the purpose of the</w:t>
      </w:r>
      <w:r w:rsidR="00C17DFC">
        <w:rPr>
          <w:rFonts w:ascii="Arial" w:hAnsi="Arial" w:cs="Arial"/>
          <w:sz w:val="20"/>
        </w:rPr>
        <w:t xml:space="preserve"> </w:t>
      </w:r>
      <w:r w:rsidR="00C17DFC" w:rsidRPr="00C17DFC">
        <w:rPr>
          <w:rFonts w:ascii="Arial" w:hAnsi="Arial" w:cs="Arial"/>
          <w:sz w:val="20"/>
        </w:rPr>
        <w:t>committal case conference and helps to differentiate it from the</w:t>
      </w:r>
      <w:r w:rsidR="00C17DFC">
        <w:rPr>
          <w:rFonts w:ascii="Arial" w:hAnsi="Arial" w:cs="Arial"/>
          <w:sz w:val="20"/>
        </w:rPr>
        <w:t xml:space="preserve"> </w:t>
      </w:r>
      <w:r w:rsidR="00C17DFC" w:rsidRPr="00C17DFC">
        <w:rPr>
          <w:rFonts w:ascii="Arial" w:hAnsi="Arial" w:cs="Arial"/>
          <w:sz w:val="20"/>
        </w:rPr>
        <w:t>committal mention hearing. While the parties should discuss the</w:t>
      </w:r>
      <w:r w:rsidR="00C17DFC">
        <w:rPr>
          <w:rFonts w:ascii="Arial" w:hAnsi="Arial" w:cs="Arial"/>
          <w:sz w:val="20"/>
        </w:rPr>
        <w:t xml:space="preserve"> </w:t>
      </w:r>
      <w:r w:rsidR="00C17DFC" w:rsidRPr="00C17DFC">
        <w:rPr>
          <w:rFonts w:ascii="Arial" w:hAnsi="Arial" w:cs="Arial"/>
          <w:sz w:val="20"/>
        </w:rPr>
        <w:t>case with each other as part of the case direction notice process,</w:t>
      </w:r>
      <w:r w:rsidR="00C17DFC">
        <w:rPr>
          <w:rFonts w:ascii="Arial" w:hAnsi="Arial" w:cs="Arial"/>
          <w:sz w:val="20"/>
        </w:rPr>
        <w:t xml:space="preserve"> </w:t>
      </w:r>
      <w:r w:rsidR="00C17DFC" w:rsidRPr="00C17DFC">
        <w:rPr>
          <w:rFonts w:ascii="Arial" w:hAnsi="Arial" w:cs="Arial"/>
          <w:sz w:val="20"/>
        </w:rPr>
        <w:t>if this is not successful, it may be that discussions in the context</w:t>
      </w:r>
      <w:r w:rsidR="00C17DFC">
        <w:rPr>
          <w:rFonts w:ascii="Arial" w:hAnsi="Arial" w:cs="Arial"/>
          <w:sz w:val="20"/>
        </w:rPr>
        <w:t xml:space="preserve"> </w:t>
      </w:r>
      <w:r w:rsidR="00C17DFC" w:rsidRPr="00C17DFC">
        <w:rPr>
          <w:rFonts w:ascii="Arial" w:hAnsi="Arial" w:cs="Arial"/>
          <w:sz w:val="20"/>
        </w:rPr>
        <w:t>of a case conference will assist in resolving the case. However,</w:t>
      </w:r>
      <w:r w:rsidR="00C17DFC">
        <w:rPr>
          <w:rFonts w:ascii="Arial" w:hAnsi="Arial" w:cs="Arial"/>
          <w:sz w:val="20"/>
        </w:rPr>
        <w:t xml:space="preserve"> </w:t>
      </w:r>
      <w:r w:rsidR="00C17DFC" w:rsidRPr="00C17DFC">
        <w:rPr>
          <w:rFonts w:ascii="Arial" w:hAnsi="Arial" w:cs="Arial"/>
          <w:sz w:val="20"/>
        </w:rPr>
        <w:t>the resolution of issues should not be limited to issues identified</w:t>
      </w:r>
      <w:r w:rsidR="00C17DFC">
        <w:rPr>
          <w:rFonts w:ascii="Arial" w:hAnsi="Arial" w:cs="Arial"/>
          <w:sz w:val="20"/>
        </w:rPr>
        <w:t xml:space="preserve"> </w:t>
      </w:r>
      <w:r w:rsidR="00C17DFC" w:rsidRPr="00C17DFC">
        <w:rPr>
          <w:rFonts w:ascii="Arial" w:hAnsi="Arial" w:cs="Arial"/>
          <w:sz w:val="20"/>
        </w:rPr>
        <w:t>in the case direction notice. An inclusive provision is intended to</w:t>
      </w:r>
      <w:r w:rsidR="00C17DFC">
        <w:rPr>
          <w:rFonts w:ascii="Arial" w:hAnsi="Arial" w:cs="Arial"/>
          <w:sz w:val="20"/>
        </w:rPr>
        <w:t xml:space="preserve"> </w:t>
      </w:r>
      <w:r w:rsidR="00C17DFC" w:rsidRPr="00C17DFC">
        <w:rPr>
          <w:rFonts w:ascii="Arial" w:hAnsi="Arial" w:cs="Arial"/>
          <w:sz w:val="20"/>
        </w:rPr>
        <w:t>ensure that any additional or outstanding issues between the</w:t>
      </w:r>
      <w:r w:rsidR="00C17DFC">
        <w:rPr>
          <w:rFonts w:ascii="Arial" w:hAnsi="Arial" w:cs="Arial"/>
          <w:sz w:val="20"/>
        </w:rPr>
        <w:t xml:space="preserve"> </w:t>
      </w:r>
      <w:r w:rsidR="00C17DFC" w:rsidRPr="00C17DFC">
        <w:rPr>
          <w:rFonts w:ascii="Arial" w:hAnsi="Arial" w:cs="Arial"/>
          <w:sz w:val="20"/>
        </w:rPr>
        <w:t>parties can be addressed in that forum, where applicable.</w:t>
      </w:r>
      <w:r w:rsidR="00C17DFC">
        <w:rPr>
          <w:rFonts w:ascii="Arial" w:hAnsi="Arial" w:cs="Arial"/>
          <w:sz w:val="20"/>
        </w:rPr>
        <w:t>”</w:t>
      </w:r>
    </w:p>
    <w:p w14:paraId="057F9607" w14:textId="682BECD4" w:rsidR="00AB1F8A" w:rsidRDefault="00C17DFC" w:rsidP="00C17DFC">
      <w:pPr>
        <w:spacing w:before="60"/>
        <w:ind w:left="357"/>
        <w:jc w:val="both"/>
        <w:rPr>
          <w:rFonts w:ascii="Arial" w:hAnsi="Arial" w:cs="Arial"/>
          <w:sz w:val="20"/>
        </w:rPr>
      </w:pPr>
      <w:r>
        <w:rPr>
          <w:rFonts w:ascii="Arial" w:hAnsi="Arial" w:cs="Arial"/>
          <w:sz w:val="20"/>
        </w:rPr>
        <w:t xml:space="preserve">Amended s.127 provides that the </w:t>
      </w:r>
      <w:r w:rsidR="00AB1F8A">
        <w:rPr>
          <w:rFonts w:ascii="Arial" w:hAnsi="Arial" w:cs="Arial"/>
          <w:sz w:val="20"/>
        </w:rPr>
        <w:t>purposes of a committal case conference are:</w:t>
      </w:r>
    </w:p>
    <w:p w14:paraId="4F22FFA9" w14:textId="40B41F6F" w:rsidR="00AB1F8A" w:rsidRP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16"/>
        </w:rPr>
        <w:t>to facilitate resolution of issues arising in the committal proceeding, including issues identified in the case direction notice; and</w:t>
      </w:r>
    </w:p>
    <w:p w14:paraId="3F947384" w14:textId="3826AF02" w:rsid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20"/>
        </w:rPr>
        <w:t>to facilitate the identification and provision of material or other information to enable the resolution of issues in the proceeding.</w:t>
      </w:r>
    </w:p>
    <w:p w14:paraId="1438D592" w14:textId="32E154A9" w:rsidR="006D15C6" w:rsidRDefault="006D15C6" w:rsidP="00AB1F8A">
      <w:pPr>
        <w:spacing w:before="60"/>
        <w:ind w:left="357"/>
        <w:jc w:val="both"/>
        <w:rPr>
          <w:rFonts w:ascii="Arial" w:hAnsi="Arial" w:cs="Arial"/>
          <w:sz w:val="20"/>
        </w:rPr>
      </w:pPr>
      <w:r>
        <w:rPr>
          <w:rFonts w:ascii="Arial" w:hAnsi="Arial" w:cs="Arial"/>
          <w:sz w:val="20"/>
        </w:rPr>
        <w:t>If a committal mention hearing is to be held in a committal proceeding, a committal case conference must be held at the committal mention hearing unless the Court determines that a committal case conference is not required in the interests of justice having regard to the purposes in s.127(1).</w:t>
      </w:r>
    </w:p>
    <w:p w14:paraId="5A409259" w14:textId="51B11A65" w:rsidR="006D15C6" w:rsidRDefault="006D15C6" w:rsidP="00AB1F8A">
      <w:pPr>
        <w:spacing w:before="60"/>
        <w:ind w:left="357"/>
        <w:jc w:val="both"/>
        <w:rPr>
          <w:rFonts w:ascii="Arial" w:hAnsi="Arial" w:cs="Arial"/>
          <w:sz w:val="20"/>
        </w:rPr>
      </w:pPr>
      <w:r>
        <w:rPr>
          <w:rFonts w:ascii="Arial" w:hAnsi="Arial" w:cs="Arial"/>
          <w:sz w:val="20"/>
        </w:rPr>
        <w:t>Evidence of anything said or done in the course of a committal case conference or of any document prepared solely for the purposes of a committal case conference is not admissible in any proceeding unless all parties to the committal case conference agree to the giving of the evidence.</w:t>
      </w:r>
    </w:p>
    <w:p w14:paraId="68B64943" w14:textId="7D8764C4" w:rsidR="006D15C6" w:rsidRDefault="006D15C6" w:rsidP="00AB1F8A">
      <w:pPr>
        <w:spacing w:before="60"/>
        <w:ind w:left="357"/>
        <w:jc w:val="both"/>
        <w:rPr>
          <w:rFonts w:ascii="Arial" w:hAnsi="Arial" w:cs="Arial"/>
          <w:sz w:val="20"/>
        </w:rPr>
      </w:pPr>
      <w:r>
        <w:rPr>
          <w:rFonts w:ascii="Arial" w:hAnsi="Arial" w:cs="Arial"/>
          <w:sz w:val="20"/>
        </w:rPr>
        <w:lastRenderedPageBreak/>
        <w:t>The Court must give a direction to indicate the start and end of a committal case conference and may give any other directions at the committal case conference that the Court considers appropriate.</w:t>
      </w:r>
    </w:p>
    <w:p w14:paraId="585BF4D5" w14:textId="39D12C16" w:rsidR="007162E2" w:rsidRDefault="007162E2" w:rsidP="00F73010">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6</w:t>
      </w:r>
      <w:r>
        <w:rPr>
          <w:rFonts w:ascii="Arial" w:hAnsi="Arial" w:cs="Arial"/>
          <w:sz w:val="20"/>
        </w:rPr>
        <w:t>)</w:t>
      </w:r>
      <w:r>
        <w:rPr>
          <w:rFonts w:ascii="Arial" w:hAnsi="Arial" w:cs="Arial"/>
          <w:sz w:val="20"/>
        </w:rPr>
        <w:tab/>
      </w:r>
      <w:r w:rsidR="0088456E" w:rsidRPr="0088456E">
        <w:rPr>
          <w:rFonts w:ascii="Arial" w:hAnsi="Arial" w:cs="Arial"/>
          <w:b/>
          <w:sz w:val="20"/>
          <w:u w:val="single"/>
        </w:rPr>
        <w:t>Commit</w:t>
      </w:r>
      <w:r w:rsidR="006D15C6">
        <w:rPr>
          <w:rFonts w:ascii="Arial" w:hAnsi="Arial" w:cs="Arial"/>
          <w:b/>
          <w:sz w:val="20"/>
          <w:u w:val="single"/>
        </w:rPr>
        <w:t>t</w:t>
      </w:r>
      <w:r w:rsidR="0088456E" w:rsidRPr="0088456E">
        <w:rPr>
          <w:rFonts w:ascii="Arial" w:hAnsi="Arial" w:cs="Arial"/>
          <w:b/>
          <w:sz w:val="20"/>
          <w:u w:val="single"/>
        </w:rPr>
        <w:t>al hearing</w:t>
      </w:r>
      <w:r w:rsidR="004A3166">
        <w:rPr>
          <w:rFonts w:ascii="Arial" w:hAnsi="Arial" w:cs="Arial"/>
          <w:sz w:val="20"/>
        </w:rPr>
        <w:t xml:space="preserve"> [ss.128-144]</w:t>
      </w:r>
      <w:r w:rsidR="0088456E">
        <w:rPr>
          <w:rFonts w:ascii="Arial" w:hAnsi="Arial" w:cs="Arial"/>
          <w:sz w:val="20"/>
        </w:rPr>
        <w:t xml:space="preserve">: </w:t>
      </w:r>
      <w:r w:rsidR="00552B69">
        <w:rPr>
          <w:rFonts w:ascii="Arial" w:hAnsi="Arial" w:cs="Arial"/>
          <w:sz w:val="20"/>
        </w:rPr>
        <w:t>Under s.128 at a committal hearing t</w:t>
      </w:r>
      <w:r w:rsidR="0096405A">
        <w:rPr>
          <w:rFonts w:ascii="Arial" w:hAnsi="Arial" w:cs="Arial"/>
          <w:sz w:val="20"/>
        </w:rPr>
        <w:t>he Court</w:t>
      </w:r>
      <w:r w:rsidR="00F476C5">
        <w:rPr>
          <w:rFonts w:ascii="Arial" w:hAnsi="Arial" w:cs="Arial"/>
          <w:sz w:val="20"/>
        </w:rPr>
        <w:t>–</w:t>
      </w:r>
    </w:p>
    <w:p w14:paraId="5ACC7A73" w14:textId="7B5124C8"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a</w:t>
      </w:r>
      <w:r>
        <w:rPr>
          <w:rFonts w:ascii="Arial" w:hAnsi="Arial" w:cs="Arial"/>
          <w:sz w:val="20"/>
        </w:rPr>
        <w:t>)</w:t>
      </w:r>
      <w:r>
        <w:rPr>
          <w:rFonts w:ascii="Arial" w:hAnsi="Arial" w:cs="Arial"/>
          <w:sz w:val="20"/>
        </w:rPr>
        <w:tab/>
        <w:t>may offer a summary hearing or determine an application for a summary hearing;</w:t>
      </w:r>
    </w:p>
    <w:p w14:paraId="71827D45" w14:textId="2AB10365"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b</w:t>
      </w:r>
      <w:r>
        <w:rPr>
          <w:rFonts w:ascii="Arial" w:hAnsi="Arial" w:cs="Arial"/>
          <w:sz w:val="20"/>
        </w:rPr>
        <w:t>)</w:t>
      </w:r>
      <w:r>
        <w:rPr>
          <w:rFonts w:ascii="Arial" w:hAnsi="Arial" w:cs="Arial"/>
          <w:sz w:val="20"/>
        </w:rPr>
        <w:tab/>
        <w:t>may hear evidence in accordance with s.130;</w:t>
      </w:r>
    </w:p>
    <w:p w14:paraId="360CA4B2" w14:textId="7DC04BC3" w:rsidR="0096405A" w:rsidRDefault="0096405A" w:rsidP="00AF37D7">
      <w:pPr>
        <w:ind w:left="720" w:hanging="363"/>
        <w:jc w:val="both"/>
        <w:rPr>
          <w:rFonts w:ascii="Arial" w:hAnsi="Arial" w:cs="Arial"/>
          <w:sz w:val="20"/>
        </w:rPr>
      </w:pPr>
      <w:r>
        <w:rPr>
          <w:rFonts w:ascii="Arial" w:hAnsi="Arial" w:cs="Arial"/>
          <w:sz w:val="20"/>
        </w:rPr>
        <w:t>(</w:t>
      </w:r>
      <w:r w:rsidR="00BD4786">
        <w:rPr>
          <w:rFonts w:ascii="Arial" w:hAnsi="Arial" w:cs="Arial"/>
          <w:sz w:val="20"/>
        </w:rPr>
        <w:t>c</w:t>
      </w:r>
      <w:r>
        <w:rPr>
          <w:rFonts w:ascii="Arial" w:hAnsi="Arial" w:cs="Arial"/>
          <w:sz w:val="20"/>
        </w:rPr>
        <w:t>)</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BD4786" w:rsidRPr="00F65B29">
        <w:rPr>
          <w:rFonts w:ascii="Arial" w:hAnsi="Arial" w:cs="Arial"/>
          <w:b/>
          <w:bCs/>
          <w:sz w:val="20"/>
          <w:shd w:val="clear" w:color="auto" w:fill="FFF2CC"/>
        </w:rPr>
        <w:t>efore 28/12/2025</w:t>
      </w:r>
      <w:r w:rsidR="00BD4786">
        <w:rPr>
          <w:rFonts w:ascii="Arial" w:hAnsi="Arial" w:cs="Arial"/>
          <w:sz w:val="20"/>
        </w:rPr>
        <w:t xml:space="preserve">: </w:t>
      </w:r>
      <w:r>
        <w:rPr>
          <w:rFonts w:ascii="Arial" w:hAnsi="Arial" w:cs="Arial"/>
          <w:sz w:val="20"/>
        </w:rPr>
        <w:t>if the committal hearing proceeds, must determine, in accordance with s.141, whether there is evidence of suffic</w:t>
      </w:r>
      <w:r w:rsidR="00AF37D7">
        <w:rPr>
          <w:rFonts w:ascii="Arial" w:hAnsi="Arial" w:cs="Arial"/>
          <w:sz w:val="20"/>
        </w:rPr>
        <w:t>ie</w:t>
      </w:r>
      <w:r>
        <w:rPr>
          <w:rFonts w:ascii="Arial" w:hAnsi="Arial" w:cs="Arial"/>
          <w:sz w:val="20"/>
        </w:rPr>
        <w:t>nt weight to support a conviction;</w:t>
      </w:r>
    </w:p>
    <w:p w14:paraId="0C06B6A5" w14:textId="5A7013E7" w:rsidR="00BD4786" w:rsidRDefault="00BD4786" w:rsidP="00AF37D7">
      <w:pPr>
        <w:ind w:left="720" w:hanging="363"/>
        <w:jc w:val="both"/>
        <w:rPr>
          <w:rFonts w:ascii="Arial" w:hAnsi="Arial" w:cs="Arial"/>
          <w:sz w:val="20"/>
        </w:rPr>
      </w:pPr>
      <w:r>
        <w:rPr>
          <w:rFonts w:ascii="Arial" w:hAnsi="Arial" w:cs="Arial"/>
          <w:sz w:val="20"/>
        </w:rPr>
        <w:t>(c)</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Pr="00F65B29">
        <w:rPr>
          <w:rFonts w:ascii="Arial" w:hAnsi="Arial" w:cs="Arial"/>
          <w:b/>
          <w:bCs/>
          <w:sz w:val="20"/>
          <w:shd w:val="clear" w:color="auto" w:fill="FFF2CC"/>
        </w:rPr>
        <w:t xml:space="preserve"> 28/12/2025</w:t>
      </w:r>
      <w:r>
        <w:rPr>
          <w:rFonts w:ascii="Arial" w:hAnsi="Arial" w:cs="Arial"/>
          <w:sz w:val="20"/>
        </w:rPr>
        <w:t xml:space="preserve">: if the committal hearing proceeds, must determine the committal proceeding in accordance with </w:t>
      </w:r>
      <w:r w:rsidR="007D47AD">
        <w:rPr>
          <w:rFonts w:ascii="Arial" w:hAnsi="Arial" w:cs="Arial"/>
          <w:sz w:val="20"/>
        </w:rPr>
        <w:t xml:space="preserve">amended </w:t>
      </w:r>
      <w:r>
        <w:rPr>
          <w:rFonts w:ascii="Arial" w:hAnsi="Arial" w:cs="Arial"/>
          <w:sz w:val="20"/>
        </w:rPr>
        <w:t>s.141;</w:t>
      </w:r>
    </w:p>
    <w:p w14:paraId="1E171868" w14:textId="1229D41B" w:rsidR="0096405A" w:rsidRDefault="0096405A" w:rsidP="00BD4786">
      <w:pPr>
        <w:ind w:left="714" w:hanging="357"/>
        <w:jc w:val="both"/>
        <w:rPr>
          <w:rFonts w:ascii="Arial" w:hAnsi="Arial" w:cs="Arial"/>
          <w:sz w:val="20"/>
        </w:rPr>
      </w:pPr>
      <w:r>
        <w:rPr>
          <w:rFonts w:ascii="Arial" w:hAnsi="Arial" w:cs="Arial"/>
          <w:sz w:val="20"/>
        </w:rPr>
        <w:t>(</w:t>
      </w:r>
      <w:r w:rsidR="00BD4786">
        <w:rPr>
          <w:rFonts w:ascii="Arial" w:hAnsi="Arial" w:cs="Arial"/>
          <w:sz w:val="20"/>
        </w:rPr>
        <w:t>d</w:t>
      </w:r>
      <w:r>
        <w:rPr>
          <w:rFonts w:ascii="Arial" w:hAnsi="Arial" w:cs="Arial"/>
          <w:sz w:val="20"/>
        </w:rPr>
        <w:t>)</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3E1A9441" w14:textId="755EE1B3" w:rsidR="0028708B" w:rsidRDefault="00F73010" w:rsidP="0028708B">
      <w:pPr>
        <w:spacing w:before="120"/>
        <w:jc w:val="both"/>
        <w:rPr>
          <w:rFonts w:ascii="Arial" w:hAnsi="Arial" w:cs="Arial"/>
          <w:sz w:val="20"/>
          <w:szCs w:val="20"/>
        </w:rPr>
      </w:pPr>
      <w:r>
        <w:rPr>
          <w:rFonts w:ascii="Arial" w:hAnsi="Arial" w:cs="Arial"/>
          <w:sz w:val="20"/>
          <w:szCs w:val="20"/>
        </w:rPr>
        <w:t xml:space="preserve">Section </w:t>
      </w:r>
      <w:r w:rsidR="0028708B" w:rsidRPr="00F476C5">
        <w:rPr>
          <w:rFonts w:ascii="Arial" w:hAnsi="Arial" w:cs="Arial"/>
          <w:sz w:val="20"/>
          <w:szCs w:val="20"/>
        </w:rPr>
        <w:t>100(1A) of th</w:t>
      </w:r>
      <w:r w:rsidR="0028708B">
        <w:rPr>
          <w:rFonts w:ascii="Arial" w:hAnsi="Arial" w:cs="Arial"/>
          <w:sz w:val="20"/>
          <w:szCs w:val="20"/>
        </w:rPr>
        <w:t>e CPA provides that a committal hearing is not to be held–</w:t>
      </w:r>
    </w:p>
    <w:p w14:paraId="1CB64A12" w14:textId="77777777" w:rsidR="0028708B"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in a committal proceeding in which s.123 applies, namely a proceeding in which the Court must not grant leave to cross-examine any witness; or</w:t>
      </w:r>
    </w:p>
    <w:p w14:paraId="184460D2" w14:textId="58BCFDC6" w:rsidR="0028708B" w:rsidRPr="00F476C5"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 xml:space="preserve">in a </w:t>
      </w:r>
      <w:r w:rsidRPr="00721017">
        <w:rPr>
          <w:rFonts w:ascii="Arial" w:hAnsi="Arial" w:cs="Arial"/>
          <w:b/>
          <w:bCs/>
          <w:sz w:val="20"/>
          <w:szCs w:val="20"/>
          <w:shd w:val="clear" w:color="auto" w:fill="FFF2CC"/>
        </w:rPr>
        <w:t xml:space="preserve">committal proceeding </w:t>
      </w:r>
      <w:r w:rsidR="00F73010" w:rsidRPr="00721017">
        <w:rPr>
          <w:rFonts w:ascii="Arial" w:hAnsi="Arial" w:cs="Arial"/>
          <w:b/>
          <w:bCs/>
          <w:sz w:val="20"/>
          <w:szCs w:val="20"/>
          <w:shd w:val="clear" w:color="auto" w:fill="FFF2CC"/>
        </w:rPr>
        <w:t>commenc</w:t>
      </w:r>
      <w:r w:rsidR="00675952" w:rsidRPr="00721017">
        <w:rPr>
          <w:rFonts w:ascii="Arial" w:hAnsi="Arial" w:cs="Arial"/>
          <w:b/>
          <w:bCs/>
          <w:sz w:val="20"/>
          <w:szCs w:val="20"/>
          <w:shd w:val="clear" w:color="auto" w:fill="FFF2CC"/>
        </w:rPr>
        <w:t>ed</w:t>
      </w:r>
      <w:r w:rsidR="00F73010" w:rsidRPr="00F73010">
        <w:rPr>
          <w:rFonts w:ascii="Arial" w:hAnsi="Arial" w:cs="Arial"/>
          <w:b/>
          <w:bCs/>
          <w:sz w:val="20"/>
          <w:szCs w:val="20"/>
          <w:shd w:val="clear" w:color="auto" w:fill="FFF2CC"/>
        </w:rPr>
        <w:t xml:space="preserve"> on or after 28/12/2025</w:t>
      </w:r>
      <w:r w:rsidR="00F73010">
        <w:rPr>
          <w:rFonts w:ascii="Arial" w:hAnsi="Arial" w:cs="Arial"/>
          <w:sz w:val="20"/>
          <w:szCs w:val="20"/>
        </w:rPr>
        <w:t xml:space="preserve"> </w:t>
      </w:r>
      <w:r w:rsidRPr="00F476C5">
        <w:rPr>
          <w:rFonts w:ascii="Arial" w:hAnsi="Arial" w:cs="Arial"/>
          <w:sz w:val="20"/>
          <w:szCs w:val="20"/>
        </w:rPr>
        <w:t>in which Part</w:t>
      </w:r>
      <w:r>
        <w:rPr>
          <w:rFonts w:ascii="Arial" w:hAnsi="Arial" w:cs="Arial"/>
          <w:sz w:val="20"/>
          <w:szCs w:val="20"/>
        </w:rPr>
        <w:t xml:space="preserve"> </w:t>
      </w:r>
      <w:r w:rsidRPr="00F476C5">
        <w:rPr>
          <w:rFonts w:ascii="Arial" w:hAnsi="Arial" w:cs="Arial"/>
          <w:sz w:val="20"/>
          <w:szCs w:val="20"/>
        </w:rPr>
        <w:t xml:space="preserve">4.6A </w:t>
      </w:r>
      <w:r w:rsidR="00F44782">
        <w:rPr>
          <w:rFonts w:ascii="Arial" w:hAnsi="Arial" w:cs="Arial"/>
          <w:sz w:val="20"/>
          <w:szCs w:val="20"/>
        </w:rPr>
        <w:t xml:space="preserve">(Early Committal) </w:t>
      </w:r>
      <w:r w:rsidRPr="00F476C5">
        <w:rPr>
          <w:rFonts w:ascii="Arial" w:hAnsi="Arial" w:cs="Arial"/>
          <w:sz w:val="20"/>
          <w:szCs w:val="20"/>
        </w:rPr>
        <w:t>requires the Court to commit the accused for trial in the Supreme Court.</w:t>
      </w:r>
    </w:p>
    <w:p w14:paraId="12430852" w14:textId="484A037C" w:rsidR="0028708B" w:rsidRDefault="0028708B" w:rsidP="0028708B">
      <w:pPr>
        <w:spacing w:before="120"/>
        <w:jc w:val="both"/>
        <w:rPr>
          <w:rFonts w:ascii="Arial" w:hAnsi="Arial" w:cs="Arial"/>
          <w:sz w:val="20"/>
        </w:rPr>
      </w:pPr>
      <w:r>
        <w:rPr>
          <w:rFonts w:ascii="Arial" w:hAnsi="Arial" w:cs="Arial"/>
          <w:sz w:val="20"/>
        </w:rPr>
        <w:t>Section 100(2) of the CPA requires the accused to attend all hearings in a committal proceeding unless excused under s.135 or s.330.</w:t>
      </w:r>
    </w:p>
    <w:p w14:paraId="361426A0" w14:textId="77777777" w:rsidR="0028708B" w:rsidRPr="00FB3D3B" w:rsidRDefault="0028708B" w:rsidP="0008023B">
      <w:pPr>
        <w:jc w:val="both"/>
        <w:rPr>
          <w:rFonts w:ascii="Arial" w:hAnsi="Arial" w:cs="Arial"/>
          <w:sz w:val="18"/>
        </w:rPr>
      </w:pPr>
    </w:p>
    <w:p w14:paraId="52187B6A" w14:textId="42660A11" w:rsidR="00A637B1" w:rsidRPr="00A637B1" w:rsidRDefault="00A637B1" w:rsidP="00BD4786">
      <w:pPr>
        <w:keepNext/>
        <w:keepLines/>
        <w:shd w:val="clear" w:color="auto" w:fill="000000" w:themeFill="text1"/>
        <w:spacing w:after="120"/>
        <w:jc w:val="center"/>
        <w:rPr>
          <w:rFonts w:ascii="Arial" w:hAnsi="Arial" w:cs="Arial"/>
          <w:b/>
          <w:bCs/>
          <w:sz w:val="20"/>
          <w:szCs w:val="20"/>
        </w:rPr>
      </w:pPr>
      <w:r w:rsidRPr="00A637B1">
        <w:rPr>
          <w:rFonts w:ascii="Arial" w:hAnsi="Arial" w:cs="Arial"/>
          <w:b/>
          <w:bCs/>
          <w:sz w:val="20"/>
          <w:szCs w:val="20"/>
        </w:rPr>
        <w:t>PRE-HEARING DISCLOSURE</w:t>
      </w:r>
      <w:r w:rsidR="005C3CC0">
        <w:rPr>
          <w:rFonts w:ascii="Arial" w:hAnsi="Arial" w:cs="Arial"/>
          <w:b/>
          <w:bCs/>
          <w:sz w:val="20"/>
          <w:szCs w:val="20"/>
        </w:rPr>
        <w:t xml:space="preserve"> OF PROSECUTION CASE</w:t>
      </w:r>
    </w:p>
    <w:p w14:paraId="6BE62A8D" w14:textId="55ACD285" w:rsidR="004A0CA9" w:rsidRDefault="00D7335E" w:rsidP="00FB3D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r w:rsidR="00C6231C">
        <w:rPr>
          <w:rFonts w:ascii="Arial" w:hAnsi="Arial" w:cs="Arial"/>
          <w:sz w:val="20"/>
        </w:rPr>
        <w:t>–</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rsidP="00923196">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115A0CCE" w14:textId="0DA3B2E9" w:rsidR="00FB3D3B" w:rsidRPr="00A637B1" w:rsidRDefault="00FB3D3B" w:rsidP="00FB3D3B">
      <w:pPr>
        <w:shd w:val="clear" w:color="auto" w:fill="000000" w:themeFill="text1"/>
        <w:spacing w:after="120"/>
        <w:jc w:val="center"/>
        <w:rPr>
          <w:rFonts w:ascii="Arial" w:hAnsi="Arial" w:cs="Arial"/>
          <w:b/>
          <w:bCs/>
          <w:sz w:val="20"/>
          <w:szCs w:val="20"/>
        </w:rPr>
      </w:pPr>
      <w:r>
        <w:rPr>
          <w:rFonts w:ascii="Arial" w:hAnsi="Arial" w:cs="Arial"/>
          <w:b/>
          <w:bCs/>
          <w:sz w:val="20"/>
          <w:szCs w:val="20"/>
        </w:rPr>
        <w:t>CASE DIRECTION</w:t>
      </w:r>
      <w:r w:rsidR="004A2945">
        <w:rPr>
          <w:rFonts w:ascii="Arial" w:hAnsi="Arial" w:cs="Arial"/>
          <w:b/>
          <w:bCs/>
          <w:sz w:val="20"/>
          <w:szCs w:val="20"/>
        </w:rPr>
        <w:t xml:space="preserve"> (including provisions regulating the cross-examination of witnesses)</w:t>
      </w:r>
    </w:p>
    <w:p w14:paraId="69BDD682" w14:textId="77777777" w:rsidR="005F09C2"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p>
    <w:p w14:paraId="449707D2" w14:textId="77777777" w:rsidR="005F09C2" w:rsidRDefault="00812B40" w:rsidP="005F09C2">
      <w:pPr>
        <w:spacing w:before="60"/>
        <w:jc w:val="both"/>
        <w:rPr>
          <w:rFonts w:ascii="Arial" w:hAnsi="Arial" w:cs="Arial"/>
          <w:sz w:val="20"/>
        </w:rPr>
      </w:pPr>
      <w:r>
        <w:rPr>
          <w:rFonts w:ascii="Arial" w:hAnsi="Arial" w:cs="Arial"/>
          <w:sz w:val="20"/>
        </w:rPr>
        <w:t>Section 118</w:t>
      </w:r>
      <w:r w:rsidR="00923196">
        <w:rPr>
          <w:rFonts w:ascii="Arial" w:hAnsi="Arial" w:cs="Arial"/>
          <w:sz w:val="20"/>
        </w:rPr>
        <w:t xml:space="preserve"> </w:t>
      </w:r>
      <w:r>
        <w:rPr>
          <w:rFonts w:ascii="Arial" w:hAnsi="Arial" w:cs="Arial"/>
          <w:sz w:val="20"/>
        </w:rPr>
        <w:t>re</w:t>
      </w:r>
      <w:r w:rsidR="00C6231C">
        <w:rPr>
          <w:rFonts w:ascii="Arial" w:hAnsi="Arial" w:cs="Arial"/>
          <w:sz w:val="20"/>
        </w:rPr>
        <w:t>fer</w:t>
      </w:r>
      <w:r w:rsidR="00923196">
        <w:rPr>
          <w:rFonts w:ascii="Arial" w:hAnsi="Arial" w:cs="Arial"/>
          <w:sz w:val="20"/>
        </w:rPr>
        <w:t>s</w:t>
      </w:r>
      <w:r>
        <w:rPr>
          <w:rFonts w:ascii="Arial" w:hAnsi="Arial" w:cs="Arial"/>
          <w:sz w:val="20"/>
        </w:rPr>
        <w:t xml:space="preserve"> to </w:t>
      </w:r>
      <w:r w:rsidR="00923196">
        <w:rPr>
          <w:rFonts w:ascii="Arial" w:hAnsi="Arial" w:cs="Arial"/>
          <w:sz w:val="20"/>
        </w:rPr>
        <w:t xml:space="preserve">the obligation to file </w:t>
      </w:r>
      <w:r>
        <w:rPr>
          <w:rFonts w:ascii="Arial" w:hAnsi="Arial" w:cs="Arial"/>
          <w:sz w:val="20"/>
        </w:rPr>
        <w:t>a case direction notice</w:t>
      </w:r>
      <w:r w:rsidR="00923196">
        <w:rPr>
          <w:rFonts w:ascii="Arial" w:hAnsi="Arial" w:cs="Arial"/>
          <w:sz w:val="20"/>
        </w:rPr>
        <w:t>.</w:t>
      </w:r>
    </w:p>
    <w:p w14:paraId="412AC43F" w14:textId="72AAC746" w:rsidR="00923196" w:rsidRDefault="00923196" w:rsidP="005F09C2">
      <w:pPr>
        <w:spacing w:before="60"/>
        <w:jc w:val="both"/>
        <w:rPr>
          <w:rFonts w:ascii="Arial" w:hAnsi="Arial" w:cs="Arial"/>
          <w:sz w:val="20"/>
        </w:rPr>
      </w:pPr>
      <w:r>
        <w:rPr>
          <w:rFonts w:ascii="Arial" w:hAnsi="Arial" w:cs="Arial"/>
          <w:sz w:val="20"/>
        </w:rPr>
        <w:t xml:space="preserve">Section 119 </w:t>
      </w:r>
      <w:r w:rsidR="005F09C2">
        <w:rPr>
          <w:rFonts w:ascii="Arial" w:hAnsi="Arial" w:cs="Arial"/>
          <w:sz w:val="20"/>
        </w:rPr>
        <w:t>provides</w:t>
      </w:r>
      <w:r>
        <w:rPr>
          <w:rFonts w:ascii="Arial" w:hAnsi="Arial" w:cs="Arial"/>
          <w:sz w:val="20"/>
        </w:rPr>
        <w:t xml:space="preserve"> that a case direction notice:</w:t>
      </w:r>
    </w:p>
    <w:p w14:paraId="379FD89C" w14:textId="62246881"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be in the form required by the rules of court;</w:t>
      </w:r>
    </w:p>
    <w:p w14:paraId="45B675CB" w14:textId="7B5B4108"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specify the procedure by which it is proposed that the matter be dealt with or indicate whether an adjournment of the committal mention hearing would assist the parties in determining how the matter should be dealt with;</w:t>
      </w:r>
    </w:p>
    <w:p w14:paraId="4046D856" w14:textId="507BC98E" w:rsidR="00923196" w:rsidRP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state the names of any witnesses that the accused intends to seek leave to cross-examine, and for each witness the accused must specify–</w:t>
      </w:r>
    </w:p>
    <w:p w14:paraId="2D2930EC" w14:textId="0F94BF44" w:rsidR="00923196" w:rsidRDefault="00923196" w:rsidP="00F47D3D">
      <w:pPr>
        <w:pStyle w:val="ListParagraph"/>
        <w:numPr>
          <w:ilvl w:val="0"/>
          <w:numId w:val="116"/>
        </w:numPr>
        <w:ind w:left="811" w:hanging="454"/>
        <w:jc w:val="both"/>
        <w:rPr>
          <w:rFonts w:ascii="Arial" w:hAnsi="Arial" w:cs="Arial"/>
          <w:sz w:val="20"/>
        </w:rPr>
      </w:pPr>
      <w:r>
        <w:rPr>
          <w:rFonts w:ascii="Arial" w:hAnsi="Arial" w:cs="Arial"/>
          <w:sz w:val="20"/>
        </w:rPr>
        <w:t>each issue for which leave to cross-examine is sought; and</w:t>
      </w:r>
    </w:p>
    <w:p w14:paraId="566C0BA8" w14:textId="7BF08A89" w:rsidR="001F07B3" w:rsidRPr="001F07B3" w:rsidRDefault="00721017" w:rsidP="001F07B3">
      <w:pPr>
        <w:ind w:left="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1F07B3" w:rsidRPr="00C017C5">
        <w:rPr>
          <w:rFonts w:ascii="Arial" w:hAnsi="Arial" w:cs="Arial"/>
          <w:b/>
          <w:bCs/>
          <w:sz w:val="20"/>
          <w:shd w:val="clear" w:color="auto" w:fill="FFF2CC"/>
        </w:rPr>
        <w:t>efore 28/12/2025</w:t>
      </w:r>
    </w:p>
    <w:p w14:paraId="6B17FA69" w14:textId="17193ACF"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the evidence of the witness is relevant to the issue; and</w:t>
      </w:r>
    </w:p>
    <w:p w14:paraId="6BF6B2B9" w14:textId="01F91200"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cross-examination of the witness on the issue is justified;</w:t>
      </w:r>
    </w:p>
    <w:p w14:paraId="4E7E0518" w14:textId="5F3FB2F3" w:rsidR="001F07B3" w:rsidRPr="001F07B3" w:rsidRDefault="00721017" w:rsidP="001F07B3">
      <w:pPr>
        <w:ind w:firstLine="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001F07B3" w:rsidRPr="001F07B3">
        <w:rPr>
          <w:rFonts w:ascii="Arial" w:hAnsi="Arial" w:cs="Arial"/>
          <w:b/>
          <w:bCs/>
          <w:sz w:val="20"/>
          <w:shd w:val="clear" w:color="auto" w:fill="FFF2CC"/>
        </w:rPr>
        <w:t xml:space="preserve"> 28/12/2025</w:t>
      </w:r>
    </w:p>
    <w:p w14:paraId="4DA97156" w14:textId="40550A23" w:rsidR="00923196" w:rsidRDefault="001F07B3" w:rsidP="001F07B3">
      <w:pPr>
        <w:ind w:left="714" w:hanging="357"/>
        <w:jc w:val="both"/>
        <w:rPr>
          <w:rFonts w:ascii="Arial" w:hAnsi="Arial" w:cs="Arial"/>
          <w:sz w:val="20"/>
        </w:rPr>
      </w:pPr>
      <w:r>
        <w:rPr>
          <w:rFonts w:ascii="Arial" w:hAnsi="Arial" w:cs="Arial"/>
          <w:sz w:val="20"/>
        </w:rPr>
        <w:t>(ii)</w:t>
      </w:r>
      <w:r>
        <w:rPr>
          <w:rFonts w:ascii="Arial" w:hAnsi="Arial" w:cs="Arial"/>
          <w:sz w:val="20"/>
        </w:rPr>
        <w:tab/>
        <w:t>how cross-examination of the witness on the issue is directly and substantially relevant to that issue; and</w:t>
      </w:r>
    </w:p>
    <w:p w14:paraId="6085B59A" w14:textId="7B9FACC5" w:rsidR="001F07B3" w:rsidRDefault="001F07B3" w:rsidP="001F07B3">
      <w:pPr>
        <w:ind w:left="714" w:hanging="357"/>
        <w:jc w:val="both"/>
        <w:rPr>
          <w:rFonts w:ascii="Arial" w:hAnsi="Arial" w:cs="Arial"/>
          <w:sz w:val="20"/>
        </w:rPr>
      </w:pPr>
      <w:r>
        <w:rPr>
          <w:rFonts w:ascii="Arial" w:hAnsi="Arial" w:cs="Arial"/>
          <w:sz w:val="20"/>
        </w:rPr>
        <w:t>(iii)</w:t>
      </w:r>
      <w:r>
        <w:rPr>
          <w:rFonts w:ascii="Arial" w:hAnsi="Arial" w:cs="Arial"/>
          <w:sz w:val="20"/>
        </w:rPr>
        <w:tab/>
        <w:t>the reasons why, in the interests of justice, the witness should be cross-examined on that issue; and</w:t>
      </w:r>
    </w:p>
    <w:p w14:paraId="0E3385A5" w14:textId="37B53612" w:rsidR="001F07B3" w:rsidRP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why the accused is of the view that the reasons referred to in (iii) are substantial reasons.</w:t>
      </w:r>
    </w:p>
    <w:p w14:paraId="19A93305" w14:textId="12119797" w:rsidR="001F07B3" w:rsidRPr="00923196" w:rsidRDefault="00F65B29" w:rsidP="00F47D3D">
      <w:pPr>
        <w:pStyle w:val="ListParagraph"/>
        <w:numPr>
          <w:ilvl w:val="0"/>
          <w:numId w:val="115"/>
        </w:numPr>
        <w:ind w:left="357" w:hanging="357"/>
        <w:jc w:val="both"/>
        <w:rPr>
          <w:rFonts w:ascii="Arial" w:hAnsi="Arial" w:cs="Arial"/>
          <w:sz w:val="20"/>
        </w:rPr>
      </w:pPr>
      <w:r>
        <w:rPr>
          <w:rFonts w:ascii="Arial" w:hAnsi="Arial" w:cs="Arial"/>
          <w:sz w:val="20"/>
        </w:rPr>
        <w:t>must state, in respect of each issue specified in accordance with paragraph (c)–</w:t>
      </w:r>
    </w:p>
    <w:p w14:paraId="6413064A" w14:textId="4F4E5D5A"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whether the informant consents to or opposes leave being granted in respect of that issue; and</w:t>
      </w:r>
    </w:p>
    <w:p w14:paraId="5EAF530E" w14:textId="41418AC8"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if the informant opposes leave being granted, the reason why leave is opposed;</w:t>
      </w:r>
    </w:p>
    <w:p w14:paraId="5DE50509" w14:textId="215316AB" w:rsidR="001F07B3" w:rsidRPr="00F65B29" w:rsidRDefault="00F65B29" w:rsidP="00F47D3D">
      <w:pPr>
        <w:pStyle w:val="ListParagraph"/>
        <w:numPr>
          <w:ilvl w:val="0"/>
          <w:numId w:val="115"/>
        </w:numPr>
        <w:ind w:left="357" w:hanging="357"/>
        <w:jc w:val="both"/>
        <w:rPr>
          <w:rFonts w:ascii="Arial" w:hAnsi="Arial" w:cs="Arial"/>
          <w:sz w:val="20"/>
        </w:rPr>
      </w:pPr>
      <w:r w:rsidRPr="00F65B29">
        <w:rPr>
          <w:rFonts w:ascii="Arial" w:hAnsi="Arial" w:cs="Arial"/>
          <w:sz w:val="20"/>
        </w:rPr>
        <w:t>may include a statement that the accused requires–</w:t>
      </w:r>
    </w:p>
    <w:p w14:paraId="1803FE83" w14:textId="7A461836" w:rsidR="00F65B29" w:rsidRPr="00F65B29" w:rsidRDefault="00F65B29" w:rsidP="00F47D3D">
      <w:pPr>
        <w:pStyle w:val="ListParagraph"/>
        <w:numPr>
          <w:ilvl w:val="0"/>
          <w:numId w:val="118"/>
        </w:numPr>
        <w:jc w:val="both"/>
        <w:rPr>
          <w:rFonts w:ascii="Arial" w:hAnsi="Arial" w:cs="Arial"/>
          <w:sz w:val="20"/>
        </w:rPr>
      </w:pPr>
      <w:r>
        <w:rPr>
          <w:rFonts w:ascii="Arial" w:hAnsi="Arial" w:cs="Arial"/>
          <w:sz w:val="20"/>
        </w:rPr>
        <w:t xml:space="preserve">specified items listed in the hand-up brief to be produced for inspection </w:t>
      </w:r>
      <w:r w:rsidR="009733CC">
        <w:rPr>
          <w:rFonts w:ascii="Arial" w:hAnsi="Arial" w:cs="Arial"/>
          <w:sz w:val="20"/>
        </w:rPr>
        <w:t>or a copy given to the accused on or before the committal mention hearing</w:t>
      </w:r>
      <w:r w:rsidRPr="00F65B29">
        <w:rPr>
          <w:rFonts w:ascii="Arial" w:hAnsi="Arial" w:cs="Arial"/>
          <w:sz w:val="20"/>
        </w:rPr>
        <w:t>;</w:t>
      </w:r>
    </w:p>
    <w:p w14:paraId="6C47984B" w14:textId="6E1BBD89" w:rsid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t>a copy of any information, document or thing specified by the accused that the accused considers ought to have been included in the hand-up brief;</w:t>
      </w:r>
    </w:p>
    <w:p w14:paraId="5EACB561" w14:textId="45ED9C09" w:rsidR="009733CC" w:rsidRP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lastRenderedPageBreak/>
        <w:t>particulars of previous convictions of any witness on whose evidence the prosecution intends to rely in the committal proceeding;</w:t>
      </w:r>
    </w:p>
    <w:p w14:paraId="6CAFA296" w14:textId="6D9B9C3E" w:rsidR="00F65B29" w:rsidRDefault="00F65B29" w:rsidP="00F65B29">
      <w:pPr>
        <w:ind w:left="357" w:hanging="357"/>
        <w:jc w:val="both"/>
        <w:rPr>
          <w:rFonts w:ascii="Arial" w:hAnsi="Arial" w:cs="Arial"/>
          <w:sz w:val="20"/>
        </w:rPr>
      </w:pPr>
      <w:r>
        <w:rPr>
          <w:rFonts w:ascii="Arial" w:hAnsi="Arial" w:cs="Arial"/>
          <w:sz w:val="20"/>
        </w:rPr>
        <w:t>(f)</w:t>
      </w:r>
      <w:r>
        <w:rPr>
          <w:rFonts w:ascii="Arial" w:hAnsi="Arial" w:cs="Arial"/>
          <w:sz w:val="20"/>
        </w:rPr>
        <w:tab/>
        <w:t xml:space="preserve">may include a statement that the accused </w:t>
      </w:r>
      <w:r w:rsidR="009733CC">
        <w:rPr>
          <w:rFonts w:ascii="Arial" w:hAnsi="Arial" w:cs="Arial"/>
          <w:sz w:val="20"/>
        </w:rPr>
        <w:t xml:space="preserve">is prepared, or is not prepared, to proceed or proceed further with the </w:t>
      </w:r>
      <w:r w:rsidR="0028708B">
        <w:rPr>
          <w:rFonts w:ascii="Arial" w:hAnsi="Arial" w:cs="Arial"/>
          <w:sz w:val="20"/>
        </w:rPr>
        <w:t>committal proceeding while a forensic procedure, examination or test described in the hand-up brief remains uncompleted;</w:t>
      </w:r>
    </w:p>
    <w:p w14:paraId="34759474" w14:textId="70FA9D8A" w:rsidR="00F65B29" w:rsidRDefault="00F65B29" w:rsidP="00F65B29">
      <w:pPr>
        <w:ind w:left="357" w:hanging="357"/>
        <w:jc w:val="both"/>
        <w:rPr>
          <w:rFonts w:ascii="Arial" w:hAnsi="Arial" w:cs="Arial"/>
          <w:sz w:val="20"/>
        </w:rPr>
      </w:pPr>
      <w:r>
        <w:rPr>
          <w:rFonts w:ascii="Arial" w:hAnsi="Arial" w:cs="Arial"/>
          <w:sz w:val="20"/>
        </w:rPr>
        <w:t>(g)</w:t>
      </w:r>
      <w:r>
        <w:rPr>
          <w:rFonts w:ascii="Arial" w:hAnsi="Arial" w:cs="Arial"/>
          <w:sz w:val="20"/>
        </w:rPr>
        <w:tab/>
        <w:t xml:space="preserve">must be signed by or on behalf of the </w:t>
      </w:r>
      <w:r w:rsidR="0028708B">
        <w:rPr>
          <w:rFonts w:ascii="Arial" w:hAnsi="Arial" w:cs="Arial"/>
          <w:sz w:val="20"/>
        </w:rPr>
        <w:t>accused and the DPP or, if the DPP is not conducting the committal proceeding, the informant.</w:t>
      </w:r>
    </w:p>
    <w:p w14:paraId="12FCFB78" w14:textId="77777777" w:rsidR="001F07B3" w:rsidRDefault="001F07B3" w:rsidP="0008023B">
      <w:pPr>
        <w:jc w:val="both"/>
        <w:rPr>
          <w:rFonts w:ascii="Arial" w:hAnsi="Arial" w:cs="Arial"/>
          <w:sz w:val="20"/>
        </w:rPr>
      </w:pPr>
    </w:p>
    <w:p w14:paraId="7BFE8F39" w14:textId="5805E436"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r w:rsidR="00136264">
        <w:rPr>
          <w:rFonts w:ascii="Arial" w:hAnsi="Arial" w:cs="Arial"/>
          <w:sz w:val="20"/>
        </w:rPr>
        <w:t xml:space="preserve"> Section 121 allows an adjournment without appearance of the parties in certain circumstances. Section 122 governs the issue of the informant’s compliance with a request by the accused pursuant to s.119(1)(e) to copy or inspect items or disclose previous convictions of witnesses.</w:t>
      </w:r>
    </w:p>
    <w:p w14:paraId="387AD0D7" w14:textId="77777777" w:rsidR="008A2FA4" w:rsidRDefault="008A2FA4" w:rsidP="0008023B">
      <w:pPr>
        <w:jc w:val="both"/>
        <w:rPr>
          <w:rFonts w:ascii="Arial" w:hAnsi="Arial" w:cs="Arial"/>
          <w:sz w:val="20"/>
        </w:rPr>
      </w:pPr>
    </w:p>
    <w:p w14:paraId="3DF49C59" w14:textId="6F052648" w:rsidR="00136264" w:rsidRDefault="00445A0A" w:rsidP="008A2FA4">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w:t>
      </w:r>
      <w:r w:rsidR="00B5717E">
        <w:rPr>
          <w:rFonts w:ascii="Arial" w:hAnsi="Arial" w:cs="Arial"/>
          <w:sz w:val="20"/>
        </w:rPr>
        <w:t>–</w:t>
      </w:r>
    </w:p>
    <w:p w14:paraId="41B097A9" w14:textId="44B1EF90" w:rsidR="00B5717E" w:rsidRDefault="001C4C3D" w:rsidP="00B5717E">
      <w:pPr>
        <w:numPr>
          <w:ilvl w:val="0"/>
          <w:numId w:val="60"/>
        </w:numPr>
        <w:ind w:left="357" w:hanging="357"/>
        <w:jc w:val="both"/>
        <w:rPr>
          <w:rFonts w:ascii="Arial" w:hAnsi="Arial" w:cs="Arial"/>
          <w:sz w:val="20"/>
        </w:rPr>
      </w:pPr>
      <w:r>
        <w:rPr>
          <w:rFonts w:ascii="Arial" w:hAnsi="Arial" w:cs="Arial"/>
          <w:b/>
          <w:bCs/>
          <w:sz w:val="20"/>
          <w:szCs w:val="20"/>
          <w:shd w:val="clear" w:color="auto" w:fill="FFF2CC"/>
        </w:rPr>
        <w:t>criminal proceeding</w:t>
      </w:r>
      <w:r w:rsidR="00B4597E">
        <w:rPr>
          <w:rFonts w:ascii="Arial" w:hAnsi="Arial" w:cs="Arial"/>
          <w:b/>
          <w:bCs/>
          <w:sz w:val="20"/>
          <w:szCs w:val="20"/>
          <w:shd w:val="clear" w:color="auto" w:fill="FFF2CC"/>
        </w:rPr>
        <w:t xml:space="preserve"> </w:t>
      </w:r>
      <w:r w:rsidR="004C0D77">
        <w:rPr>
          <w:rFonts w:ascii="Arial" w:hAnsi="Arial" w:cs="Arial"/>
          <w:b/>
          <w:bCs/>
          <w:sz w:val="20"/>
          <w:szCs w:val="20"/>
          <w:shd w:val="clear" w:color="auto" w:fill="FFF2CC"/>
        </w:rPr>
        <w:t>c</w:t>
      </w:r>
      <w:r w:rsidR="00B5717E" w:rsidRPr="00F73010">
        <w:rPr>
          <w:rFonts w:ascii="Arial" w:hAnsi="Arial" w:cs="Arial"/>
          <w:b/>
          <w:bCs/>
          <w:sz w:val="20"/>
          <w:szCs w:val="20"/>
          <w:shd w:val="clear" w:color="auto" w:fill="FFF2CC"/>
        </w:rPr>
        <w:t>ommenc</w:t>
      </w:r>
      <w:r w:rsidR="00675952">
        <w:rPr>
          <w:rFonts w:ascii="Arial" w:hAnsi="Arial" w:cs="Arial"/>
          <w:b/>
          <w:bCs/>
          <w:sz w:val="20"/>
          <w:szCs w:val="20"/>
          <w:shd w:val="clear" w:color="auto" w:fill="FFF2CC"/>
        </w:rPr>
        <w:t>ed</w:t>
      </w:r>
      <w:r w:rsidR="00B5717E" w:rsidRPr="00F73010">
        <w:rPr>
          <w:rFonts w:ascii="Arial" w:hAnsi="Arial" w:cs="Arial"/>
          <w:b/>
          <w:bCs/>
          <w:sz w:val="20"/>
          <w:szCs w:val="20"/>
          <w:shd w:val="clear" w:color="auto" w:fill="FFF2CC"/>
        </w:rPr>
        <w:t xml:space="preserve"> </w:t>
      </w:r>
      <w:r w:rsidR="00B5717E">
        <w:rPr>
          <w:rFonts w:ascii="Arial" w:hAnsi="Arial" w:cs="Arial"/>
          <w:b/>
          <w:bCs/>
          <w:sz w:val="20"/>
          <w:szCs w:val="20"/>
          <w:shd w:val="clear" w:color="auto" w:fill="FFF2CC"/>
        </w:rPr>
        <w:t>before</w:t>
      </w:r>
      <w:r w:rsidR="00B5717E" w:rsidRPr="00F73010">
        <w:rPr>
          <w:rFonts w:ascii="Arial" w:hAnsi="Arial" w:cs="Arial"/>
          <w:b/>
          <w:bCs/>
          <w:sz w:val="20"/>
          <w:szCs w:val="20"/>
          <w:shd w:val="clear" w:color="auto" w:fill="FFF2CC"/>
        </w:rPr>
        <w:t xml:space="preserve"> 28/12/2025</w:t>
      </w:r>
      <w:r w:rsidR="00B5717E">
        <w:rPr>
          <w:rFonts w:ascii="Arial" w:hAnsi="Arial" w:cs="Arial"/>
          <w:sz w:val="20"/>
        </w:rPr>
        <w:t xml:space="preserve"> that relates (wholly or partly) to a charge for a </w:t>
      </w:r>
      <w:r w:rsidR="00B5717E" w:rsidRPr="00B5717E">
        <w:rPr>
          <w:rFonts w:ascii="Arial" w:hAnsi="Arial" w:cs="Arial"/>
          <w:sz w:val="20"/>
        </w:rPr>
        <w:t>sexual offence if, when the criminal proceeding commenced, a complainant in relation to a charge for a sexual offence was a child or a person with a cognitive impairment</w:t>
      </w:r>
      <w:r w:rsidR="00B5717E">
        <w:rPr>
          <w:rFonts w:ascii="Arial" w:hAnsi="Arial" w:cs="Arial"/>
          <w:sz w:val="20"/>
        </w:rPr>
        <w:t>; or</w:t>
      </w:r>
    </w:p>
    <w:p w14:paraId="6F624A7B" w14:textId="3CB77362" w:rsidR="00B5717E" w:rsidRPr="00B5717E" w:rsidRDefault="001C4C3D" w:rsidP="008A2FA4">
      <w:pPr>
        <w:numPr>
          <w:ilvl w:val="0"/>
          <w:numId w:val="60"/>
        </w:numPr>
        <w:ind w:left="357" w:hanging="357"/>
        <w:jc w:val="both"/>
        <w:rPr>
          <w:rFonts w:ascii="Arial" w:hAnsi="Arial" w:cs="Arial"/>
          <w:sz w:val="20"/>
        </w:rPr>
      </w:pPr>
      <w:r>
        <w:rPr>
          <w:rFonts w:ascii="Arial" w:hAnsi="Arial" w:cs="Arial"/>
          <w:b/>
          <w:bCs/>
          <w:sz w:val="20"/>
          <w:szCs w:val="20"/>
          <w:shd w:val="clear" w:color="auto" w:fill="FFF2CC"/>
        </w:rPr>
        <w:t>c</w:t>
      </w:r>
      <w:r w:rsidR="00B4597E">
        <w:rPr>
          <w:rFonts w:ascii="Arial" w:hAnsi="Arial" w:cs="Arial"/>
          <w:b/>
          <w:bCs/>
          <w:sz w:val="20"/>
          <w:szCs w:val="20"/>
          <w:shd w:val="clear" w:color="auto" w:fill="FFF2CC"/>
        </w:rPr>
        <w:t>rim</w:t>
      </w:r>
      <w:r>
        <w:rPr>
          <w:rFonts w:ascii="Arial" w:hAnsi="Arial" w:cs="Arial"/>
          <w:b/>
          <w:bCs/>
          <w:sz w:val="20"/>
          <w:szCs w:val="20"/>
          <w:shd w:val="clear" w:color="auto" w:fill="FFF2CC"/>
        </w:rPr>
        <w:t>inal proceeding</w:t>
      </w:r>
      <w:r w:rsidR="00B4597E">
        <w:rPr>
          <w:rFonts w:ascii="Arial" w:hAnsi="Arial" w:cs="Arial"/>
          <w:b/>
          <w:bCs/>
          <w:sz w:val="20"/>
          <w:szCs w:val="20"/>
          <w:shd w:val="clear" w:color="auto" w:fill="FFF2CC"/>
        </w:rPr>
        <w:t xml:space="preserve"> </w:t>
      </w:r>
      <w:r w:rsidR="00B5717E" w:rsidRPr="00B5717E">
        <w:rPr>
          <w:rFonts w:ascii="Arial" w:hAnsi="Arial" w:cs="Arial"/>
          <w:b/>
          <w:bCs/>
          <w:sz w:val="20"/>
          <w:szCs w:val="20"/>
          <w:shd w:val="clear" w:color="auto" w:fill="FFF2CC"/>
        </w:rPr>
        <w:t>commenc</w:t>
      </w:r>
      <w:r w:rsidR="00675952">
        <w:rPr>
          <w:rFonts w:ascii="Arial" w:hAnsi="Arial" w:cs="Arial"/>
          <w:b/>
          <w:bCs/>
          <w:sz w:val="20"/>
          <w:szCs w:val="20"/>
          <w:shd w:val="clear" w:color="auto" w:fill="FFF2CC"/>
        </w:rPr>
        <w:t>ed</w:t>
      </w:r>
      <w:r w:rsidR="00B5717E" w:rsidRPr="00B5717E">
        <w:rPr>
          <w:rFonts w:ascii="Arial" w:hAnsi="Arial" w:cs="Arial"/>
          <w:b/>
          <w:bCs/>
          <w:sz w:val="20"/>
          <w:szCs w:val="20"/>
          <w:shd w:val="clear" w:color="auto" w:fill="FFF2CC"/>
        </w:rPr>
        <w:t xml:space="preserve"> on or after 28/12/2025</w:t>
      </w:r>
      <w:r w:rsidR="00B5717E" w:rsidRPr="00B5717E">
        <w:rPr>
          <w:rFonts w:ascii="Arial" w:hAnsi="Arial" w:cs="Arial"/>
          <w:sz w:val="20"/>
          <w:szCs w:val="20"/>
        </w:rPr>
        <w:t xml:space="preserve"> that relates </w:t>
      </w:r>
      <w:r w:rsidR="00B5717E">
        <w:rPr>
          <w:rFonts w:ascii="Arial" w:hAnsi="Arial" w:cs="Arial"/>
          <w:sz w:val="20"/>
          <w:szCs w:val="20"/>
        </w:rPr>
        <w:t>(wholly or partly) to a charge for–</w:t>
      </w:r>
    </w:p>
    <w:p w14:paraId="22F4C2D4" w14:textId="41C2999A" w:rsidR="00136264" w:rsidRDefault="00445A0A" w:rsidP="00B5717E">
      <w:pPr>
        <w:numPr>
          <w:ilvl w:val="0"/>
          <w:numId w:val="18"/>
        </w:numPr>
        <w:ind w:left="714" w:hanging="357"/>
        <w:jc w:val="both"/>
        <w:rPr>
          <w:rFonts w:ascii="Arial" w:hAnsi="Arial" w:cs="Arial"/>
          <w:sz w:val="20"/>
        </w:rPr>
      </w:pPr>
      <w:r>
        <w:rPr>
          <w:rFonts w:ascii="Arial" w:hAnsi="Arial" w:cs="Arial"/>
          <w:sz w:val="20"/>
        </w:rPr>
        <w:t>a sexual offence</w:t>
      </w:r>
      <w:r w:rsidR="004A2945">
        <w:rPr>
          <w:rFonts w:ascii="Arial" w:hAnsi="Arial" w:cs="Arial"/>
          <w:sz w:val="20"/>
        </w:rPr>
        <w:t xml:space="preserve"> as elaborately </w:t>
      </w:r>
      <w:r w:rsidR="00B5717E">
        <w:rPr>
          <w:rFonts w:ascii="Arial" w:hAnsi="Arial" w:cs="Arial"/>
          <w:sz w:val="20"/>
        </w:rPr>
        <w:t>defined in s.</w:t>
      </w:r>
      <w:r w:rsidR="00A73E3B">
        <w:rPr>
          <w:rFonts w:ascii="Arial" w:hAnsi="Arial" w:cs="Arial"/>
          <w:sz w:val="20"/>
        </w:rPr>
        <w:t>4</w:t>
      </w:r>
      <w:r w:rsidR="00B5717E">
        <w:rPr>
          <w:rFonts w:ascii="Arial" w:hAnsi="Arial" w:cs="Arial"/>
          <w:sz w:val="20"/>
        </w:rPr>
        <w:t xml:space="preserve"> CPA</w:t>
      </w:r>
      <w:r w:rsidR="008A2FA4">
        <w:rPr>
          <w:rFonts w:ascii="Arial" w:hAnsi="Arial" w:cs="Arial"/>
          <w:sz w:val="20"/>
        </w:rPr>
        <w:t>; or</w:t>
      </w:r>
    </w:p>
    <w:p w14:paraId="2C71392E" w14:textId="31E25789" w:rsidR="00271F23" w:rsidRDefault="008A2FA4" w:rsidP="00B5717E">
      <w:pPr>
        <w:numPr>
          <w:ilvl w:val="0"/>
          <w:numId w:val="18"/>
        </w:numPr>
        <w:ind w:left="714" w:hanging="357"/>
        <w:jc w:val="both"/>
        <w:rPr>
          <w:rFonts w:ascii="Arial" w:hAnsi="Arial" w:cs="Arial"/>
          <w:sz w:val="20"/>
        </w:rPr>
      </w:pPr>
      <w:r>
        <w:rPr>
          <w:rFonts w:ascii="Arial" w:hAnsi="Arial" w:cs="Arial"/>
          <w:sz w:val="20"/>
        </w:rPr>
        <w:t>a family violence offence</w:t>
      </w:r>
      <w:r w:rsidR="00271F23">
        <w:rPr>
          <w:rFonts w:ascii="Arial" w:hAnsi="Arial" w:cs="Arial"/>
          <w:sz w:val="20"/>
        </w:rPr>
        <w:t xml:space="preserve">, defined in s.3 CPA as “an offence where the conduct constituting the offence consists of family violence within the meaning of the </w:t>
      </w:r>
      <w:r w:rsidR="00271F23" w:rsidRPr="00271F23">
        <w:rPr>
          <w:rFonts w:ascii="Arial" w:hAnsi="Arial" w:cs="Arial"/>
          <w:i/>
          <w:iCs/>
          <w:sz w:val="20"/>
        </w:rPr>
        <w:t>Family Violence Protection Act 2008</w:t>
      </w:r>
      <w:r w:rsidR="00271F23">
        <w:rPr>
          <w:rFonts w:ascii="Arial" w:hAnsi="Arial" w:cs="Arial"/>
          <w:sz w:val="20"/>
        </w:rPr>
        <w:t>”; or</w:t>
      </w:r>
    </w:p>
    <w:p w14:paraId="1D94D070" w14:textId="50B9E851" w:rsidR="008A2FA4" w:rsidRDefault="008A2FA4" w:rsidP="00B5717E">
      <w:pPr>
        <w:numPr>
          <w:ilvl w:val="0"/>
          <w:numId w:val="18"/>
        </w:numPr>
        <w:ind w:left="714" w:hanging="357"/>
        <w:jc w:val="both"/>
        <w:rPr>
          <w:rFonts w:ascii="Arial" w:hAnsi="Arial" w:cs="Arial"/>
          <w:sz w:val="20"/>
        </w:rPr>
      </w:pPr>
      <w:r>
        <w:rPr>
          <w:rFonts w:ascii="Arial" w:hAnsi="Arial" w:cs="Arial"/>
          <w:sz w:val="20"/>
        </w:rPr>
        <w:t xml:space="preserve">an offence against s.21A(1) of the </w:t>
      </w:r>
      <w:r w:rsidRPr="008A2FA4">
        <w:rPr>
          <w:rFonts w:ascii="Arial" w:hAnsi="Arial" w:cs="Arial"/>
          <w:i/>
          <w:iCs/>
          <w:sz w:val="20"/>
        </w:rPr>
        <w:t>Crimes Act 1958</w:t>
      </w:r>
      <w:r>
        <w:rPr>
          <w:rFonts w:ascii="Arial" w:hAnsi="Arial" w:cs="Arial"/>
          <w:sz w:val="20"/>
        </w:rPr>
        <w:t xml:space="preserve"> (stalking).</w:t>
      </w:r>
    </w:p>
    <w:p w14:paraId="4F411085" w14:textId="77777777" w:rsidR="008A2FA4" w:rsidRDefault="008A2FA4" w:rsidP="008A2FA4">
      <w:pPr>
        <w:jc w:val="both"/>
        <w:rPr>
          <w:rFonts w:ascii="Arial" w:hAnsi="Arial" w:cs="Arial"/>
          <w:bCs/>
          <w:sz w:val="20"/>
        </w:rPr>
      </w:pPr>
    </w:p>
    <w:p w14:paraId="7468D701" w14:textId="1218E9E0" w:rsidR="00A370C6" w:rsidRDefault="004E5F9A" w:rsidP="004C0D77">
      <w:pPr>
        <w:jc w:val="both"/>
        <w:rPr>
          <w:rFonts w:ascii="Arial" w:hAnsi="Arial" w:cs="Arial"/>
          <w:bCs/>
          <w:sz w:val="20"/>
        </w:rPr>
      </w:pPr>
      <w:r>
        <w:rPr>
          <w:rFonts w:ascii="Arial" w:hAnsi="Arial" w:cs="Arial"/>
          <w:bCs/>
          <w:sz w:val="20"/>
        </w:rPr>
        <w:t>The amended version of s.124(3) imposes a more stringent requirement for the accused to demonstrate that cross-examination on a particular issue is justified.</w:t>
      </w:r>
      <w:r w:rsidR="004C0D77">
        <w:rPr>
          <w:rFonts w:ascii="Arial" w:hAnsi="Arial" w:cs="Arial"/>
          <w:bCs/>
          <w:sz w:val="20"/>
        </w:rPr>
        <w:t xml:space="preserve"> </w:t>
      </w:r>
      <w:r w:rsidR="00A370C6">
        <w:rPr>
          <w:rFonts w:ascii="Arial" w:hAnsi="Arial" w:cs="Arial"/>
          <w:bCs/>
          <w:sz w:val="20"/>
        </w:rPr>
        <w:t>Section 124 provides:</w:t>
      </w:r>
    </w:p>
    <w:p w14:paraId="67960C87" w14:textId="500A2A4B" w:rsidR="008A2FA4" w:rsidRDefault="008A2FA4" w:rsidP="00F47D3D">
      <w:pPr>
        <w:pStyle w:val="ListParagraph"/>
        <w:numPr>
          <w:ilvl w:val="0"/>
          <w:numId w:val="120"/>
        </w:numPr>
        <w:ind w:left="357" w:hanging="357"/>
        <w:jc w:val="both"/>
        <w:rPr>
          <w:rFonts w:ascii="Arial" w:hAnsi="Arial" w:cs="Arial"/>
          <w:sz w:val="20"/>
        </w:rPr>
      </w:pPr>
      <w:r w:rsidRPr="00A370C6">
        <w:rPr>
          <w:rFonts w:ascii="Arial" w:hAnsi="Arial" w:cs="Arial"/>
          <w:sz w:val="20"/>
        </w:rPr>
        <w:t>A witness cannot be cross-examined without leave being granted under this section.</w:t>
      </w:r>
    </w:p>
    <w:p w14:paraId="5061BB5E" w14:textId="77777777" w:rsidR="004C0D77" w:rsidRDefault="004C0D77" w:rsidP="004C0D77">
      <w:pPr>
        <w:jc w:val="both"/>
        <w:rPr>
          <w:rFonts w:ascii="Arial" w:hAnsi="Arial" w:cs="Arial"/>
          <w:sz w:val="20"/>
        </w:rPr>
      </w:pPr>
      <w:r>
        <w:rPr>
          <w:rFonts w:ascii="Arial" w:hAnsi="Arial" w:cs="Arial"/>
          <w:sz w:val="20"/>
        </w:rPr>
        <w:t>(1AA)</w:t>
      </w:r>
      <w:r>
        <w:rPr>
          <w:rFonts w:ascii="Arial" w:hAnsi="Arial" w:cs="Arial"/>
          <w:sz w:val="20"/>
        </w:rPr>
        <w:tab/>
        <w:t xml:space="preserve">This section does not apply to: </w:t>
      </w:r>
    </w:p>
    <w:p w14:paraId="3D2C16FA" w14:textId="73CA0E3C" w:rsidR="004C0D77" w:rsidRDefault="004C0D77" w:rsidP="004C0D77">
      <w:pPr>
        <w:ind w:left="1077" w:hanging="357"/>
        <w:jc w:val="both"/>
        <w:rPr>
          <w:rFonts w:ascii="Arial" w:hAnsi="Arial" w:cs="Arial"/>
          <w:sz w:val="20"/>
        </w:rPr>
      </w:pPr>
      <w:r>
        <w:rPr>
          <w:rFonts w:ascii="Arial" w:hAnsi="Arial" w:cs="Arial"/>
          <w:sz w:val="20"/>
        </w:rPr>
        <w:t>(a)</w:t>
      </w:r>
      <w:r>
        <w:rPr>
          <w:rFonts w:ascii="Arial" w:hAnsi="Arial" w:cs="Arial"/>
          <w:sz w:val="20"/>
        </w:rPr>
        <w:tab/>
        <w:t>a committal proceeding to which s.123 applies; or</w:t>
      </w:r>
    </w:p>
    <w:p w14:paraId="235D63DB" w14:textId="77777777" w:rsidR="004C0D77" w:rsidRDefault="004C0D77" w:rsidP="004C0D77">
      <w:pPr>
        <w:ind w:left="1077" w:hanging="357"/>
        <w:jc w:val="both"/>
        <w:rPr>
          <w:rFonts w:ascii="Arial" w:hAnsi="Arial" w:cs="Arial"/>
          <w:sz w:val="20"/>
        </w:rPr>
      </w:pPr>
      <w:r>
        <w:rPr>
          <w:rFonts w:ascii="Arial" w:hAnsi="Arial" w:cs="Arial"/>
          <w:sz w:val="20"/>
        </w:rPr>
        <w:t>(b) a committal proceeding in which Part 4.6A requires the Court to commit the accused for trial in the Supreme Court.</w:t>
      </w:r>
    </w:p>
    <w:p w14:paraId="36A76CEA" w14:textId="6ECE41D7" w:rsidR="00A370C6" w:rsidRDefault="00A370C6" w:rsidP="00F47D3D">
      <w:pPr>
        <w:pStyle w:val="ListParagraph"/>
        <w:numPr>
          <w:ilvl w:val="0"/>
          <w:numId w:val="120"/>
        </w:numPr>
        <w:ind w:left="357" w:hanging="357"/>
        <w:jc w:val="both"/>
        <w:rPr>
          <w:rFonts w:ascii="Arial" w:hAnsi="Arial" w:cs="Arial"/>
          <w:sz w:val="20"/>
        </w:rPr>
      </w:pPr>
      <w:r w:rsidRPr="008A2FA4">
        <w:rPr>
          <w:rFonts w:ascii="Arial" w:hAnsi="Arial" w:cs="Arial"/>
          <w:sz w:val="20"/>
        </w:rPr>
        <w:t>In determining whether to grant leave to cross</w:t>
      </w:r>
      <w:r w:rsidRPr="008A2FA4">
        <w:rPr>
          <w:rFonts w:ascii="Arial" w:hAnsi="Arial" w:cs="Arial"/>
          <w:sz w:val="20"/>
        </w:rPr>
        <w:noBreakHyphen/>
        <w:t>examine a witness, the Court may have regard to whether the informant consents to or opposes leave being granted.</w:t>
      </w:r>
    </w:p>
    <w:p w14:paraId="716E7B5D" w14:textId="55922104" w:rsidR="00A370C6" w:rsidRPr="00A370C6" w:rsidRDefault="001C4C3D" w:rsidP="00F47D3D">
      <w:pPr>
        <w:pStyle w:val="ListParagraph"/>
        <w:numPr>
          <w:ilvl w:val="0"/>
          <w:numId w:val="120"/>
        </w:numPr>
        <w:ind w:left="357" w:hanging="357"/>
        <w:jc w:val="both"/>
        <w:rPr>
          <w:rFonts w:ascii="Arial" w:hAnsi="Arial" w:cs="Arial"/>
          <w:sz w:val="20"/>
        </w:rPr>
      </w:pPr>
      <w:r>
        <w:rPr>
          <w:rFonts w:ascii="Arial" w:hAnsi="Arial" w:cs="Arial"/>
          <w:b/>
          <w:bCs/>
          <w:sz w:val="20"/>
          <w:shd w:val="clear" w:color="auto" w:fill="FFF2CC"/>
        </w:rPr>
        <w:t>For a committal proceeding</w:t>
      </w:r>
      <w:r w:rsidR="009E24B8"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before 28/12/2025</w:t>
      </w:r>
      <w:r w:rsidR="009E24B8">
        <w:rPr>
          <w:rFonts w:ascii="Arial" w:hAnsi="Arial" w:cs="Arial"/>
          <w:sz w:val="20"/>
        </w:rPr>
        <w:t xml:space="preserve">: </w:t>
      </w:r>
      <w:r w:rsidR="00A370C6">
        <w:rPr>
          <w:rFonts w:ascii="Arial" w:hAnsi="Arial" w:cs="Arial"/>
          <w:sz w:val="20"/>
        </w:rPr>
        <w:t>The Court must not grant leave to cross-examine a witness unless the Court is satisfied that–</w:t>
      </w:r>
    </w:p>
    <w:p w14:paraId="026B8950" w14:textId="2962FBDD" w:rsidR="008A2FA4" w:rsidRPr="009E24B8" w:rsidRDefault="009E24B8" w:rsidP="00F47D3D">
      <w:pPr>
        <w:pStyle w:val="ListParagraph"/>
        <w:numPr>
          <w:ilvl w:val="0"/>
          <w:numId w:val="121"/>
        </w:numPr>
        <w:jc w:val="both"/>
        <w:rPr>
          <w:rFonts w:ascii="Arial" w:hAnsi="Arial" w:cs="Arial"/>
          <w:sz w:val="20"/>
        </w:rPr>
      </w:pPr>
      <w:r w:rsidRPr="009E24B8">
        <w:rPr>
          <w:rFonts w:ascii="Arial" w:hAnsi="Arial" w:cs="Arial"/>
          <w:sz w:val="20"/>
        </w:rPr>
        <w:t>the accused has identified an issue to which the proposed questioning relates and has provided a reason why the evidence of the witness is relevant to that issue; and</w:t>
      </w:r>
    </w:p>
    <w:p w14:paraId="2AE835C1" w14:textId="1A3F14A9" w:rsidR="009E24B8" w:rsidRPr="009E24B8" w:rsidRDefault="009E24B8" w:rsidP="00F47D3D">
      <w:pPr>
        <w:pStyle w:val="ListParagraph"/>
        <w:numPr>
          <w:ilvl w:val="0"/>
          <w:numId w:val="121"/>
        </w:numPr>
        <w:jc w:val="both"/>
        <w:rPr>
          <w:rFonts w:ascii="Arial" w:hAnsi="Arial" w:cs="Arial"/>
          <w:sz w:val="20"/>
        </w:rPr>
      </w:pPr>
      <w:r w:rsidRPr="008A2FA4">
        <w:rPr>
          <w:rFonts w:ascii="Arial" w:hAnsi="Arial" w:cs="Arial"/>
          <w:sz w:val="20"/>
        </w:rPr>
        <w:t>cross-examination of the witness on that issue is justified</w:t>
      </w:r>
      <w:r>
        <w:rPr>
          <w:rFonts w:ascii="Arial" w:hAnsi="Arial" w:cs="Arial"/>
          <w:sz w:val="20"/>
        </w:rPr>
        <w:t>.</w:t>
      </w:r>
    </w:p>
    <w:p w14:paraId="1523762A" w14:textId="60B29BF9" w:rsidR="009E24B8" w:rsidRPr="009E24B8" w:rsidRDefault="001C4C3D" w:rsidP="009E24B8">
      <w:pPr>
        <w:pStyle w:val="ListParagraph"/>
        <w:numPr>
          <w:ilvl w:val="0"/>
          <w:numId w:val="111"/>
        </w:numPr>
        <w:ind w:left="357" w:hanging="357"/>
        <w:jc w:val="both"/>
        <w:rPr>
          <w:rFonts w:ascii="Arial" w:hAnsi="Arial" w:cs="Arial"/>
          <w:sz w:val="20"/>
        </w:rPr>
      </w:pPr>
      <w:r>
        <w:rPr>
          <w:rFonts w:ascii="Arial" w:hAnsi="Arial" w:cs="Arial"/>
          <w:b/>
          <w:bCs/>
          <w:sz w:val="20"/>
          <w:shd w:val="clear" w:color="auto" w:fill="FFF2CC"/>
        </w:rPr>
        <w:t xml:space="preserve">For a committal proceeding </w:t>
      </w:r>
      <w:r w:rsidR="009E24B8" w:rsidRPr="009E24B8">
        <w:rPr>
          <w:rFonts w:ascii="Arial" w:hAnsi="Arial" w:cs="Arial"/>
          <w:b/>
          <w:bCs/>
          <w:sz w:val="20"/>
          <w:shd w:val="clear" w:color="auto" w:fill="FFF2CC"/>
        </w:rPr>
        <w:t>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w:t>
      </w:r>
      <w:r w:rsidR="009E24B8">
        <w:rPr>
          <w:rFonts w:ascii="Arial" w:hAnsi="Arial" w:cs="Arial"/>
          <w:b/>
          <w:bCs/>
          <w:sz w:val="20"/>
          <w:shd w:val="clear" w:color="auto" w:fill="FFF2CC"/>
        </w:rPr>
        <w:t>on or after</w:t>
      </w:r>
      <w:r w:rsidR="009E24B8" w:rsidRPr="009E24B8">
        <w:rPr>
          <w:rFonts w:ascii="Arial" w:hAnsi="Arial" w:cs="Arial"/>
          <w:b/>
          <w:bCs/>
          <w:sz w:val="20"/>
          <w:shd w:val="clear" w:color="auto" w:fill="FFF2CC"/>
        </w:rPr>
        <w:t xml:space="preserve"> 28/12/2025</w:t>
      </w:r>
      <w:r w:rsidR="009E24B8" w:rsidRPr="009E24B8">
        <w:rPr>
          <w:rFonts w:ascii="Arial" w:hAnsi="Arial" w:cs="Arial"/>
          <w:sz w:val="20"/>
        </w:rPr>
        <w:t>: The Court must not grant leave to cross-examine a witness unless the Court is satisfied that–</w:t>
      </w:r>
    </w:p>
    <w:p w14:paraId="0C78F28B" w14:textId="0BD2B6B0" w:rsidR="009E24B8" w:rsidRDefault="009E24B8" w:rsidP="00F47D3D">
      <w:pPr>
        <w:pStyle w:val="ListParagraph"/>
        <w:numPr>
          <w:ilvl w:val="0"/>
          <w:numId w:val="122"/>
        </w:numPr>
        <w:jc w:val="both"/>
        <w:rPr>
          <w:rFonts w:ascii="Arial" w:hAnsi="Arial" w:cs="Arial"/>
          <w:sz w:val="20"/>
        </w:rPr>
      </w:pPr>
      <w:r w:rsidRPr="009E24B8">
        <w:rPr>
          <w:rFonts w:ascii="Arial" w:hAnsi="Arial" w:cs="Arial"/>
          <w:sz w:val="20"/>
        </w:rPr>
        <w:t>the accused has identified an issue to which the proposed questioning relates; and</w:t>
      </w:r>
    </w:p>
    <w:p w14:paraId="6B3C854C" w14:textId="52D7650A" w:rsidR="009E24B8" w:rsidRPr="009E24B8" w:rsidRDefault="009E24B8" w:rsidP="00F47D3D">
      <w:pPr>
        <w:pStyle w:val="ListParagraph"/>
        <w:numPr>
          <w:ilvl w:val="0"/>
          <w:numId w:val="122"/>
        </w:numPr>
        <w:jc w:val="both"/>
        <w:rPr>
          <w:rFonts w:ascii="Arial" w:hAnsi="Arial" w:cs="Arial"/>
          <w:sz w:val="20"/>
        </w:rPr>
      </w:pPr>
      <w:r w:rsidRPr="008A2FA4">
        <w:rPr>
          <w:rFonts w:ascii="Arial" w:hAnsi="Arial" w:cs="Arial"/>
          <w:sz w:val="20"/>
        </w:rPr>
        <w:t xml:space="preserve">cross-examination of the witness on that issue is </w:t>
      </w:r>
      <w:r>
        <w:rPr>
          <w:rFonts w:ascii="Arial" w:hAnsi="Arial" w:cs="Arial"/>
          <w:sz w:val="20"/>
        </w:rPr>
        <w:t>directly and substantially relevant to that issue; and</w:t>
      </w:r>
    </w:p>
    <w:p w14:paraId="16FD6456" w14:textId="0E7F372C" w:rsidR="009E24B8" w:rsidRPr="009E24B8" w:rsidRDefault="009E24B8" w:rsidP="00F47D3D">
      <w:pPr>
        <w:pStyle w:val="ListParagraph"/>
        <w:numPr>
          <w:ilvl w:val="0"/>
          <w:numId w:val="121"/>
        </w:numPr>
        <w:jc w:val="both"/>
        <w:rPr>
          <w:rFonts w:ascii="Arial" w:hAnsi="Arial" w:cs="Arial"/>
          <w:sz w:val="20"/>
        </w:rPr>
      </w:pPr>
      <w:r>
        <w:rPr>
          <w:rFonts w:ascii="Arial" w:hAnsi="Arial" w:cs="Arial"/>
          <w:sz w:val="20"/>
        </w:rPr>
        <w:t>there are substantial reasons why, in the interests of justice, the witness should be cross-examined on that issue.</w:t>
      </w:r>
    </w:p>
    <w:p w14:paraId="47813227" w14:textId="398A5333" w:rsidR="00E87805" w:rsidRDefault="008A2FA4" w:rsidP="00E87805">
      <w:pPr>
        <w:pStyle w:val="ListParagraph"/>
        <w:numPr>
          <w:ilvl w:val="0"/>
          <w:numId w:val="111"/>
        </w:numPr>
        <w:ind w:left="357" w:hanging="357"/>
        <w:jc w:val="both"/>
        <w:rPr>
          <w:rFonts w:ascii="Arial" w:hAnsi="Arial" w:cs="Arial"/>
          <w:sz w:val="20"/>
        </w:rPr>
      </w:pPr>
      <w:r w:rsidRPr="00E87805">
        <w:rPr>
          <w:rFonts w:ascii="Arial" w:hAnsi="Arial" w:cs="Arial"/>
          <w:sz w:val="20"/>
        </w:rPr>
        <w:t>In determining whether</w:t>
      </w:r>
      <w:r w:rsidR="007E0329">
        <w:rPr>
          <w:rFonts w:ascii="Arial" w:hAnsi="Arial" w:cs="Arial"/>
          <w:sz w:val="20"/>
        </w:rPr>
        <w:t>–</w:t>
      </w:r>
    </w:p>
    <w:p w14:paraId="0C969AA3" w14:textId="1B686FA1" w:rsid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b</w:t>
      </w:r>
      <w:r w:rsidR="00E87805" w:rsidRPr="00C017C5">
        <w:rPr>
          <w:rFonts w:ascii="Arial" w:hAnsi="Arial" w:cs="Arial"/>
          <w:b/>
          <w:bCs/>
          <w:sz w:val="20"/>
          <w:shd w:val="clear" w:color="auto" w:fill="FFF2CC"/>
        </w:rPr>
        <w:t>efore 28/12/2025</w:t>
      </w:r>
      <w:r w:rsidR="00E87805">
        <w:rPr>
          <w:rFonts w:ascii="Arial" w:hAnsi="Arial" w:cs="Arial"/>
          <w:sz w:val="20"/>
        </w:rPr>
        <w:t>: c</w:t>
      </w:r>
      <w:r w:rsidR="008A2FA4" w:rsidRPr="00E87805">
        <w:rPr>
          <w:rFonts w:ascii="Arial" w:hAnsi="Arial" w:cs="Arial"/>
          <w:sz w:val="20"/>
        </w:rPr>
        <w:t>ross-examination is justified</w:t>
      </w:r>
      <w:r w:rsidR="007E0329">
        <w:rPr>
          <w:rFonts w:ascii="Arial" w:hAnsi="Arial" w:cs="Arial"/>
          <w:sz w:val="20"/>
        </w:rPr>
        <w:t>; or</w:t>
      </w:r>
    </w:p>
    <w:p w14:paraId="02304EF4" w14:textId="5CB48ABD" w:rsidR="00E87805" w:rsidRP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on or after</w:t>
      </w:r>
      <w:r w:rsidR="00E87805" w:rsidRPr="00C017C5">
        <w:rPr>
          <w:rFonts w:ascii="Arial" w:hAnsi="Arial" w:cs="Arial"/>
          <w:b/>
          <w:bCs/>
          <w:sz w:val="20"/>
          <w:shd w:val="clear" w:color="auto" w:fill="FFF2CC"/>
        </w:rPr>
        <w:t xml:space="preserve"> 28/12/2025</w:t>
      </w:r>
      <w:r w:rsidR="00E87805">
        <w:rPr>
          <w:rFonts w:ascii="Arial" w:hAnsi="Arial" w:cs="Arial"/>
          <w:sz w:val="20"/>
        </w:rPr>
        <w:t>: there are substantial reasons why, in the interests of justice, the witness should be cross-examined on an issue</w:t>
      </w:r>
      <w:r w:rsidR="007E0329">
        <w:rPr>
          <w:rFonts w:ascii="Arial" w:hAnsi="Arial" w:cs="Arial"/>
          <w:sz w:val="20"/>
        </w:rPr>
        <w:t>–</w:t>
      </w:r>
    </w:p>
    <w:p w14:paraId="4099756E" w14:textId="53DE641C" w:rsidR="008A2FA4" w:rsidRPr="00E87805" w:rsidRDefault="008A2FA4" w:rsidP="00E87805">
      <w:pPr>
        <w:pStyle w:val="ListParagraph"/>
        <w:ind w:left="357"/>
        <w:jc w:val="both"/>
        <w:rPr>
          <w:rFonts w:ascii="Arial" w:hAnsi="Arial" w:cs="Arial"/>
          <w:sz w:val="20"/>
        </w:rPr>
      </w:pPr>
      <w:r w:rsidRPr="00E87805">
        <w:rPr>
          <w:rFonts w:ascii="Arial" w:hAnsi="Arial" w:cs="Arial"/>
          <w:sz w:val="20"/>
        </w:rPr>
        <w:t>the Court must have regard to the need to ensure that</w:t>
      </w:r>
      <w:r w:rsidR="007E0329">
        <w:rPr>
          <w:rFonts w:ascii="Arial" w:hAnsi="Arial" w:cs="Arial"/>
          <w:sz w:val="20"/>
        </w:rPr>
        <w:t>–</w:t>
      </w:r>
    </w:p>
    <w:p w14:paraId="5A3AD4ED" w14:textId="17E69EB2"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prosecution case is adequately disclosed; and</w:t>
      </w:r>
    </w:p>
    <w:p w14:paraId="1E076B61" w14:textId="0562DFEB"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the issues are adequately defined; and</w:t>
      </w:r>
    </w:p>
    <w:p w14:paraId="1DAF3591" w14:textId="5F021E59"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r>
      <w:r w:rsidR="004C0D77" w:rsidRPr="004C0D77">
        <w:rPr>
          <w:rFonts w:ascii="Arial" w:hAnsi="Arial" w:cs="Arial"/>
          <w:b/>
          <w:bCs/>
          <w:sz w:val="20"/>
          <w:shd w:val="clear" w:color="auto" w:fill="FFF2CC"/>
        </w:rPr>
        <w:t xml:space="preserve">only 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 c</w:t>
      </w:r>
      <w:r w:rsidR="004C0D77" w:rsidRPr="004C0D77">
        <w:rPr>
          <w:rFonts w:ascii="Arial" w:hAnsi="Arial" w:cs="Arial"/>
          <w:b/>
          <w:bCs/>
          <w:sz w:val="20"/>
          <w:shd w:val="clear" w:color="auto" w:fill="FFF2CC"/>
        </w:rPr>
        <w:t>ommenced before 28/12/2025</w:t>
      </w:r>
      <w:r w:rsidR="004C0D77">
        <w:rPr>
          <w:rFonts w:ascii="Arial" w:hAnsi="Arial" w:cs="Arial"/>
          <w:sz w:val="20"/>
        </w:rPr>
        <w:t xml:space="preserve"> </w:t>
      </w:r>
      <w:r w:rsidRPr="008A2FA4">
        <w:rPr>
          <w:rFonts w:ascii="Arial" w:hAnsi="Arial" w:cs="Arial"/>
          <w:sz w:val="20"/>
        </w:rPr>
        <w:t>the evidence is of sufficient weight to support a conviction for the offence with which the accused is charged; and</w:t>
      </w:r>
    </w:p>
    <w:p w14:paraId="65A6C088" w14:textId="3424FD87"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a fair trial will take place if the matter proceeds to trial, including that the accused is able adequately to prepare and present a defence; and</w:t>
      </w:r>
    </w:p>
    <w:p w14:paraId="49351ED6" w14:textId="0A1F000F"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matters relevant to a potential plea of guilty are clarified; and</w:t>
      </w:r>
    </w:p>
    <w:p w14:paraId="15ECD422" w14:textId="6251F505"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matters relevant to a potential discontinuance of prosecution under section 177 are clarified; and</w:t>
      </w:r>
    </w:p>
    <w:p w14:paraId="3992CE68" w14:textId="4438E56B"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trivial, vexatious or oppressive cross-examination is not permitted</w:t>
      </w:r>
      <w:r w:rsidR="00E87805">
        <w:rPr>
          <w:rFonts w:ascii="Arial" w:hAnsi="Arial" w:cs="Arial"/>
          <w:sz w:val="20"/>
        </w:rPr>
        <w:t>.</w:t>
      </w:r>
    </w:p>
    <w:p w14:paraId="30402076" w14:textId="31AFD3B5" w:rsidR="008A2FA4" w:rsidRPr="008A2FA4" w:rsidRDefault="008A2FA4" w:rsidP="004A2945">
      <w:pPr>
        <w:ind w:left="357" w:hanging="357"/>
        <w:jc w:val="both"/>
        <w:rPr>
          <w:rFonts w:ascii="Arial" w:hAnsi="Arial" w:cs="Arial"/>
          <w:sz w:val="20"/>
        </w:rPr>
      </w:pPr>
      <w:r w:rsidRPr="008A2FA4">
        <w:rPr>
          <w:rFonts w:ascii="Arial" w:hAnsi="Arial" w:cs="Arial"/>
          <w:sz w:val="20"/>
        </w:rPr>
        <w:lastRenderedPageBreak/>
        <w:t>(5)</w:t>
      </w:r>
      <w:r w:rsidRPr="008A2FA4">
        <w:rPr>
          <w:rFonts w:ascii="Arial" w:hAnsi="Arial" w:cs="Arial"/>
          <w:sz w:val="20"/>
        </w:rPr>
        <w:tab/>
        <w:t xml:space="preserve">In addition to the requirements of subsection (4), if the witness is a </w:t>
      </w:r>
      <w:r w:rsidRPr="004E5F9A">
        <w:rPr>
          <w:rFonts w:ascii="Arial" w:hAnsi="Arial" w:cs="Arial"/>
          <w:b/>
          <w:bCs/>
          <w:sz w:val="20"/>
        </w:rPr>
        <w:t>specified witness</w:t>
      </w:r>
      <w:r w:rsidR="004E5F9A">
        <w:rPr>
          <w:rFonts w:ascii="Arial" w:hAnsi="Arial" w:cs="Arial"/>
          <w:sz w:val="20"/>
        </w:rPr>
        <w:t xml:space="preserve"> (defined in s.124(5A) as “a child or a person with a cognitive impairment”), </w:t>
      </w:r>
      <w:r w:rsidRPr="008A2FA4">
        <w:rPr>
          <w:rFonts w:ascii="Arial" w:hAnsi="Arial" w:cs="Arial"/>
          <w:sz w:val="20"/>
        </w:rPr>
        <w:t>the Court must have regard to—</w:t>
      </w:r>
    </w:p>
    <w:p w14:paraId="272A21F7" w14:textId="793FE7FA"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need to minimise the trauma that might be experienced by the witness in giving evidence; and</w:t>
      </w:r>
    </w:p>
    <w:p w14:paraId="1665C511" w14:textId="23B36B77"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any relevant condition or characteristic of the witness, including age, culture, personality, education and level of understanding; and</w:t>
      </w:r>
    </w:p>
    <w:p w14:paraId="5945E9D4" w14:textId="352E81A2"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t>any mental, intellectual or physical disability to which the witness is or appears to be subject and of which the court is aware; and</w:t>
      </w:r>
    </w:p>
    <w:p w14:paraId="6A283CE2" w14:textId="542FEFAE"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the importance of the witness to the case for the prosecution; and</w:t>
      </w:r>
    </w:p>
    <w:p w14:paraId="24B4A642" w14:textId="4E0AB928"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the existence or lack of evidence that corroborates the proposed evidence of the witness; and</w:t>
      </w:r>
    </w:p>
    <w:p w14:paraId="415B0AFE" w14:textId="0C6E104C"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the extent of any proposed admissions; and</w:t>
      </w:r>
    </w:p>
    <w:p w14:paraId="5CC18405" w14:textId="7573E223"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the probative value of the proposed evidence of the witness; and</w:t>
      </w:r>
    </w:p>
    <w:p w14:paraId="06F2942E" w14:textId="06491768" w:rsidR="008A2FA4" w:rsidRPr="008A2FA4" w:rsidRDefault="008A2FA4" w:rsidP="00E87805">
      <w:pPr>
        <w:ind w:left="714" w:hanging="357"/>
        <w:jc w:val="both"/>
        <w:rPr>
          <w:rFonts w:ascii="Arial" w:hAnsi="Arial" w:cs="Arial"/>
          <w:sz w:val="20"/>
        </w:rPr>
      </w:pPr>
      <w:r w:rsidRPr="008A2FA4">
        <w:rPr>
          <w:rFonts w:ascii="Arial" w:hAnsi="Arial" w:cs="Arial"/>
          <w:sz w:val="20"/>
        </w:rPr>
        <w:t>(h)</w:t>
      </w:r>
      <w:r w:rsidRPr="008A2FA4">
        <w:rPr>
          <w:rFonts w:ascii="Arial" w:hAnsi="Arial" w:cs="Arial"/>
          <w:sz w:val="20"/>
        </w:rPr>
        <w:tab/>
        <w:t>the issues in dispute; and</w:t>
      </w:r>
    </w:p>
    <w:p w14:paraId="232B4C74" w14:textId="3D139379" w:rsidR="008A2FA4" w:rsidRPr="008A2FA4" w:rsidRDefault="008A2FA4" w:rsidP="00E87805">
      <w:pPr>
        <w:ind w:left="714" w:hanging="357"/>
        <w:jc w:val="both"/>
        <w:rPr>
          <w:rFonts w:ascii="Arial" w:hAnsi="Arial" w:cs="Arial"/>
          <w:sz w:val="20"/>
        </w:rPr>
      </w:pPr>
      <w:r w:rsidRPr="008A2FA4">
        <w:rPr>
          <w:rFonts w:ascii="Arial" w:hAnsi="Arial" w:cs="Arial"/>
          <w:sz w:val="20"/>
        </w:rPr>
        <w:t>(i)</w:t>
      </w:r>
      <w:r w:rsidRPr="008A2FA4">
        <w:rPr>
          <w:rFonts w:ascii="Arial" w:hAnsi="Arial" w:cs="Arial"/>
          <w:sz w:val="20"/>
        </w:rPr>
        <w:tab/>
        <w:t>the weight of the proposed evidence of the witness; and</w:t>
      </w:r>
    </w:p>
    <w:p w14:paraId="4F20CA44" w14:textId="330D669E" w:rsidR="008A2FA4" w:rsidRPr="008A2FA4" w:rsidRDefault="008A2FA4" w:rsidP="00E87805">
      <w:pPr>
        <w:ind w:left="714" w:hanging="357"/>
        <w:jc w:val="both"/>
        <w:rPr>
          <w:rFonts w:ascii="Arial" w:hAnsi="Arial" w:cs="Arial"/>
          <w:sz w:val="20"/>
        </w:rPr>
      </w:pPr>
      <w:r w:rsidRPr="008A2FA4">
        <w:rPr>
          <w:rFonts w:ascii="Arial" w:hAnsi="Arial" w:cs="Arial"/>
          <w:sz w:val="20"/>
        </w:rPr>
        <w:t>(j)</w:t>
      </w:r>
      <w:r w:rsidRPr="008A2FA4">
        <w:rPr>
          <w:rFonts w:ascii="Arial" w:hAnsi="Arial" w:cs="Arial"/>
          <w:sz w:val="20"/>
        </w:rPr>
        <w:tab/>
        <w:t>any statements of other witnesses that contradict the proposed evidence of the witness.</w:t>
      </w:r>
    </w:p>
    <w:p w14:paraId="7F7AD561" w14:textId="77777777" w:rsidR="004E5F9A" w:rsidRDefault="004E5F9A" w:rsidP="008A2FA4">
      <w:pPr>
        <w:jc w:val="both"/>
        <w:rPr>
          <w:rFonts w:ascii="Arial" w:hAnsi="Arial" w:cs="Arial"/>
          <w:sz w:val="20"/>
        </w:rPr>
      </w:pPr>
    </w:p>
    <w:p w14:paraId="3A5DB749" w14:textId="515E9FB7" w:rsidR="004E5F9A" w:rsidRDefault="004E5F9A" w:rsidP="008A2FA4">
      <w:pPr>
        <w:jc w:val="both"/>
        <w:rPr>
          <w:rFonts w:ascii="Arial" w:hAnsi="Arial" w:cs="Arial"/>
          <w:sz w:val="20"/>
        </w:rPr>
      </w:pPr>
      <w:r>
        <w:rPr>
          <w:rFonts w:ascii="Arial" w:hAnsi="Arial" w:cs="Arial"/>
          <w:sz w:val="20"/>
        </w:rPr>
        <w:t xml:space="preserve">For a discussion of s.124 and the requirement of procedural fairness see </w:t>
      </w:r>
      <w:bookmarkStart w:id="96" w:name="_Hlk118890951"/>
      <w:r w:rsidRPr="000231F7">
        <w:rPr>
          <w:rFonts w:ascii="Arial" w:hAnsi="Arial" w:cs="Arial"/>
          <w:i/>
          <w:iCs/>
          <w:sz w:val="20"/>
          <w:szCs w:val="20"/>
        </w:rPr>
        <w:t>The Crown in Right of the State of Victoria (Department of Health) v Magistrates’ Court of Victoria</w:t>
      </w:r>
      <w:r>
        <w:rPr>
          <w:rFonts w:ascii="Arial" w:hAnsi="Arial" w:cs="Arial"/>
          <w:i/>
          <w:iCs/>
          <w:sz w:val="20"/>
          <w:szCs w:val="20"/>
        </w:rPr>
        <w:t xml:space="preserve"> </w:t>
      </w:r>
      <w:r w:rsidRPr="000231F7">
        <w:rPr>
          <w:rFonts w:ascii="Arial" w:hAnsi="Arial" w:cs="Arial"/>
          <w:sz w:val="20"/>
          <w:szCs w:val="20"/>
        </w:rPr>
        <w:t>[2022] VSC 630.</w:t>
      </w:r>
      <w:bookmarkEnd w:id="96"/>
    </w:p>
    <w:p w14:paraId="07CF4792" w14:textId="77777777" w:rsidR="004E5F9A" w:rsidRPr="008A2FA4" w:rsidRDefault="004E5F9A" w:rsidP="008A2FA4">
      <w:pPr>
        <w:jc w:val="both"/>
        <w:rPr>
          <w:rFonts w:ascii="Arial" w:hAnsi="Arial" w:cs="Arial"/>
          <w:sz w:val="20"/>
        </w:rPr>
      </w:pPr>
    </w:p>
    <w:p w14:paraId="3A757485" w14:textId="485C65EE" w:rsidR="008A2FA4" w:rsidRPr="008A2FA4" w:rsidRDefault="00102574" w:rsidP="008A2FA4">
      <w:pPr>
        <w:jc w:val="both"/>
        <w:rPr>
          <w:rFonts w:ascii="Arial" w:hAnsi="Arial" w:cs="Arial"/>
          <w:sz w:val="20"/>
        </w:rPr>
      </w:pPr>
      <w:r>
        <w:rPr>
          <w:rFonts w:ascii="Arial" w:hAnsi="Arial" w:cs="Arial"/>
          <w:sz w:val="20"/>
        </w:rPr>
        <w:t>If the Court grants leave under s.124 to cross-examine a witness, s.124A requires the Court to–</w:t>
      </w:r>
    </w:p>
    <w:p w14:paraId="15665545" w14:textId="1BBF31C8" w:rsidR="008A2FA4" w:rsidRPr="008A2FA4" w:rsidRDefault="008A2FA4" w:rsidP="00102574">
      <w:pPr>
        <w:ind w:left="357" w:hanging="357"/>
        <w:jc w:val="both"/>
        <w:rPr>
          <w:rFonts w:ascii="Arial" w:hAnsi="Arial" w:cs="Arial"/>
          <w:sz w:val="20"/>
        </w:rPr>
      </w:pPr>
      <w:r w:rsidRPr="008A2FA4">
        <w:rPr>
          <w:rFonts w:ascii="Arial" w:hAnsi="Arial" w:cs="Arial"/>
          <w:sz w:val="20"/>
        </w:rPr>
        <w:t>(a)</w:t>
      </w:r>
      <w:r w:rsidRPr="008A2FA4">
        <w:rPr>
          <w:rFonts w:ascii="Arial" w:hAnsi="Arial" w:cs="Arial"/>
          <w:sz w:val="20"/>
        </w:rPr>
        <w:tab/>
        <w:t>state the reasons for granting leave, with reference to the matters set out in section 124(4) and (5); and</w:t>
      </w:r>
    </w:p>
    <w:p w14:paraId="11E2070B" w14:textId="10E582BA" w:rsidR="008A2FA4" w:rsidRPr="008A2FA4" w:rsidRDefault="008A2FA4" w:rsidP="00102574">
      <w:pPr>
        <w:ind w:left="357" w:hanging="357"/>
        <w:jc w:val="both"/>
        <w:rPr>
          <w:rFonts w:ascii="Arial" w:hAnsi="Arial" w:cs="Arial"/>
          <w:sz w:val="20"/>
        </w:rPr>
      </w:pPr>
      <w:r w:rsidRPr="008A2FA4">
        <w:rPr>
          <w:rFonts w:ascii="Arial" w:hAnsi="Arial" w:cs="Arial"/>
          <w:sz w:val="20"/>
        </w:rPr>
        <w:t>(b)</w:t>
      </w:r>
      <w:r w:rsidRPr="008A2FA4">
        <w:rPr>
          <w:rFonts w:ascii="Arial" w:hAnsi="Arial" w:cs="Arial"/>
          <w:sz w:val="20"/>
        </w:rPr>
        <w:tab/>
        <w:t>identify each issue on which the witness may be cross-examined.</w:t>
      </w:r>
    </w:p>
    <w:p w14:paraId="5B9B5A8C" w14:textId="77777777" w:rsidR="008A2FA4" w:rsidRDefault="008A2FA4" w:rsidP="0008023B">
      <w:pPr>
        <w:jc w:val="both"/>
        <w:rPr>
          <w:rFonts w:ascii="Arial" w:hAnsi="Arial" w:cs="Arial"/>
          <w:sz w:val="20"/>
        </w:rPr>
      </w:pPr>
    </w:p>
    <w:p w14:paraId="0A1F0BF3" w14:textId="0DF836C5" w:rsidR="00B63E66" w:rsidRDefault="00C6231C" w:rsidP="00B63E66">
      <w:pPr>
        <w:jc w:val="both"/>
        <w:rPr>
          <w:rFonts w:ascii="Arial" w:hAnsi="Arial" w:cs="Arial"/>
          <w:sz w:val="20"/>
        </w:rPr>
      </w:pPr>
      <w:r>
        <w:rPr>
          <w:rFonts w:ascii="Arial" w:hAnsi="Arial" w:cs="Arial"/>
          <w:sz w:val="20"/>
        </w:rPr>
        <w:t>In relation to the amendment to s.124, t</w:t>
      </w:r>
      <w:r w:rsidR="00B63E66">
        <w:rPr>
          <w:rFonts w:ascii="Arial" w:hAnsi="Arial" w:cs="Arial"/>
          <w:sz w:val="20"/>
        </w:rPr>
        <w:t xml:space="preserve">he </w:t>
      </w:r>
      <w:r w:rsidR="00B63E66" w:rsidRPr="00630D88">
        <w:rPr>
          <w:rFonts w:ascii="Arial" w:hAnsi="Arial" w:cs="Arial"/>
          <w:sz w:val="20"/>
          <w:szCs w:val="32"/>
        </w:rPr>
        <w:t xml:space="preserve">Explanatory Memorandum to the </w:t>
      </w:r>
      <w:r w:rsidR="00B63E66" w:rsidRPr="00630D88">
        <w:rPr>
          <w:rFonts w:ascii="Arial" w:hAnsi="Arial" w:cs="Arial"/>
          <w:i/>
          <w:iCs/>
          <w:sz w:val="20"/>
        </w:rPr>
        <w:t xml:space="preserve">Justice Legislation Amendment (Committals) </w:t>
      </w:r>
      <w:r w:rsidR="004643B3">
        <w:rPr>
          <w:rFonts w:ascii="Arial" w:hAnsi="Arial" w:cs="Arial"/>
          <w:i/>
          <w:iCs/>
          <w:sz w:val="20"/>
        </w:rPr>
        <w:t xml:space="preserve">Bill </w:t>
      </w:r>
      <w:r w:rsidR="00B63E66" w:rsidRPr="00630D88">
        <w:rPr>
          <w:rFonts w:ascii="Arial" w:hAnsi="Arial" w:cs="Arial"/>
          <w:i/>
          <w:iCs/>
          <w:sz w:val="20"/>
        </w:rPr>
        <w:t>202</w:t>
      </w:r>
      <w:r w:rsidR="004643B3">
        <w:rPr>
          <w:rFonts w:ascii="Arial" w:hAnsi="Arial" w:cs="Arial"/>
          <w:i/>
          <w:iCs/>
          <w:sz w:val="20"/>
        </w:rPr>
        <w:t>4</w:t>
      </w:r>
      <w:r w:rsidR="00B63E66" w:rsidRPr="00630D88">
        <w:rPr>
          <w:rFonts w:ascii="Arial" w:hAnsi="Arial" w:cs="Arial"/>
          <w:sz w:val="20"/>
        </w:rPr>
        <w:t xml:space="preserve"> </w:t>
      </w:r>
      <w:r w:rsidR="00B63E66">
        <w:rPr>
          <w:rFonts w:ascii="Arial" w:hAnsi="Arial" w:cs="Arial"/>
          <w:sz w:val="20"/>
        </w:rPr>
        <w:t xml:space="preserve">states </w:t>
      </w:r>
      <w:r w:rsidR="003961B1">
        <w:rPr>
          <w:rFonts w:ascii="Arial" w:hAnsi="Arial" w:cs="Arial"/>
          <w:sz w:val="20"/>
        </w:rPr>
        <w:t>at pp.6-7</w:t>
      </w:r>
      <w:r w:rsidR="00B63E66">
        <w:rPr>
          <w:rFonts w:ascii="Arial" w:hAnsi="Arial" w:cs="Arial"/>
          <w:sz w:val="20"/>
        </w:rPr>
        <w:t>:</w:t>
      </w:r>
    </w:p>
    <w:p w14:paraId="17ED1F5E" w14:textId="0CE30885" w:rsidR="003961B1" w:rsidRDefault="003961B1" w:rsidP="0066555A">
      <w:pPr>
        <w:spacing w:before="60"/>
        <w:ind w:left="567" w:right="567"/>
        <w:jc w:val="both"/>
        <w:rPr>
          <w:rFonts w:ascii="Arial" w:hAnsi="Arial" w:cs="Arial"/>
          <w:sz w:val="20"/>
        </w:rPr>
      </w:pPr>
      <w:r>
        <w:rPr>
          <w:rFonts w:ascii="Arial" w:hAnsi="Arial" w:cs="Arial"/>
          <w:sz w:val="20"/>
        </w:rPr>
        <w:t>“</w:t>
      </w:r>
      <w:r w:rsidRPr="003961B1">
        <w:rPr>
          <w:rFonts w:ascii="Arial" w:hAnsi="Arial" w:cs="Arial"/>
          <w:sz w:val="20"/>
        </w:rPr>
        <w:t>This amendment narrows the scope of issues that can be raised</w:t>
      </w:r>
      <w:r>
        <w:rPr>
          <w:rFonts w:ascii="Arial" w:hAnsi="Arial" w:cs="Arial"/>
          <w:sz w:val="20"/>
        </w:rPr>
        <w:t xml:space="preserve"> </w:t>
      </w:r>
      <w:r w:rsidRPr="003961B1">
        <w:rPr>
          <w:rFonts w:ascii="Arial" w:hAnsi="Arial" w:cs="Arial"/>
          <w:sz w:val="20"/>
        </w:rPr>
        <w:t>and replaces the requirement for parties to demonstrate that</w:t>
      </w:r>
      <w:r>
        <w:rPr>
          <w:rFonts w:ascii="Arial" w:hAnsi="Arial" w:cs="Arial"/>
          <w:sz w:val="20"/>
        </w:rPr>
        <w:t xml:space="preserve"> </w:t>
      </w:r>
      <w:r w:rsidRPr="003961B1">
        <w:rPr>
          <w:rFonts w:ascii="Arial" w:hAnsi="Arial" w:cs="Arial"/>
          <w:sz w:val="20"/>
        </w:rPr>
        <w:t>cross-examination on a particular issue is justified with a more</w:t>
      </w:r>
      <w:r>
        <w:rPr>
          <w:rFonts w:ascii="Arial" w:hAnsi="Arial" w:cs="Arial"/>
          <w:sz w:val="20"/>
        </w:rPr>
        <w:t xml:space="preserve"> </w:t>
      </w:r>
      <w:r w:rsidRPr="003961B1">
        <w:rPr>
          <w:rFonts w:ascii="Arial" w:hAnsi="Arial" w:cs="Arial"/>
          <w:sz w:val="20"/>
        </w:rPr>
        <w:t>stringent requirement to show that there are substantial reasons</w:t>
      </w:r>
      <w:r>
        <w:rPr>
          <w:rFonts w:ascii="Arial" w:hAnsi="Arial" w:cs="Arial"/>
          <w:sz w:val="20"/>
        </w:rPr>
        <w:t xml:space="preserve"> </w:t>
      </w:r>
      <w:r w:rsidRPr="003961B1">
        <w:rPr>
          <w:rFonts w:ascii="Arial" w:hAnsi="Arial" w:cs="Arial"/>
          <w:sz w:val="20"/>
        </w:rPr>
        <w:t>why, in the interests of justice, leave should be granted on a</w:t>
      </w:r>
      <w:r>
        <w:rPr>
          <w:rFonts w:ascii="Arial" w:hAnsi="Arial" w:cs="Arial"/>
          <w:sz w:val="20"/>
        </w:rPr>
        <w:t xml:space="preserve"> </w:t>
      </w:r>
      <w:r w:rsidRPr="003961B1">
        <w:rPr>
          <w:rFonts w:ascii="Arial" w:hAnsi="Arial" w:cs="Arial"/>
          <w:sz w:val="20"/>
        </w:rPr>
        <w:t>particular issue.</w:t>
      </w:r>
    </w:p>
    <w:p w14:paraId="67252F09" w14:textId="77777777" w:rsidR="003961B1" w:rsidRDefault="003961B1" w:rsidP="0066555A">
      <w:pPr>
        <w:spacing w:before="60"/>
        <w:ind w:left="567" w:right="567"/>
        <w:jc w:val="both"/>
        <w:rPr>
          <w:rFonts w:ascii="Arial" w:hAnsi="Arial" w:cs="Arial"/>
          <w:sz w:val="20"/>
        </w:rPr>
      </w:pPr>
      <w:r w:rsidRPr="003961B1">
        <w:rPr>
          <w:rFonts w:ascii="Arial" w:hAnsi="Arial" w:cs="Arial"/>
          <w:sz w:val="20"/>
        </w:rPr>
        <w:t>While it is not possible to exhaustively define what substantial</w:t>
      </w:r>
      <w:r>
        <w:rPr>
          <w:rFonts w:ascii="Arial" w:hAnsi="Arial" w:cs="Arial"/>
          <w:sz w:val="20"/>
        </w:rPr>
        <w:t xml:space="preserve"> </w:t>
      </w:r>
      <w:r w:rsidRPr="003961B1">
        <w:rPr>
          <w:rFonts w:ascii="Arial" w:hAnsi="Arial" w:cs="Arial"/>
          <w:sz w:val="20"/>
        </w:rPr>
        <w:t>reasons are or might be (as noted in New South Wales case law</w:t>
      </w:r>
      <w:r>
        <w:rPr>
          <w:rFonts w:ascii="Arial" w:hAnsi="Arial" w:cs="Arial"/>
          <w:sz w:val="20"/>
        </w:rPr>
        <w:t xml:space="preserve"> </w:t>
      </w:r>
      <w:r w:rsidRPr="003961B1">
        <w:rPr>
          <w:rFonts w:ascii="Arial" w:hAnsi="Arial" w:cs="Arial"/>
          <w:sz w:val="20"/>
        </w:rPr>
        <w:t>where a similar test is used), it has been held that reasons must</w:t>
      </w:r>
      <w:r>
        <w:rPr>
          <w:rFonts w:ascii="Arial" w:hAnsi="Arial" w:cs="Arial"/>
          <w:sz w:val="20"/>
        </w:rPr>
        <w:t xml:space="preserve"> </w:t>
      </w:r>
      <w:r w:rsidRPr="003961B1">
        <w:rPr>
          <w:rFonts w:ascii="Arial" w:hAnsi="Arial" w:cs="Arial"/>
          <w:sz w:val="20"/>
        </w:rPr>
        <w:t>have substance in the context of the proceedings, having</w:t>
      </w:r>
      <w:r>
        <w:rPr>
          <w:rFonts w:ascii="Arial" w:hAnsi="Arial" w:cs="Arial"/>
          <w:sz w:val="20"/>
        </w:rPr>
        <w:t xml:space="preserve"> </w:t>
      </w:r>
      <w:r w:rsidRPr="003961B1">
        <w:rPr>
          <w:rFonts w:ascii="Arial" w:hAnsi="Arial" w:cs="Arial"/>
          <w:sz w:val="20"/>
        </w:rPr>
        <w:t>particular regard to the facts and circumstances and issues that</w:t>
      </w:r>
      <w:r>
        <w:rPr>
          <w:rFonts w:ascii="Arial" w:hAnsi="Arial" w:cs="Arial"/>
          <w:sz w:val="20"/>
        </w:rPr>
        <w:t xml:space="preserve"> </w:t>
      </w:r>
      <w:r w:rsidRPr="003961B1">
        <w:rPr>
          <w:rFonts w:ascii="Arial" w:hAnsi="Arial" w:cs="Arial"/>
          <w:sz w:val="20"/>
        </w:rPr>
        <w:t xml:space="preserve">are likely to arise in the particular matter (see </w:t>
      </w:r>
      <w:r w:rsidRPr="003961B1">
        <w:rPr>
          <w:rFonts w:ascii="Arial" w:hAnsi="Arial" w:cs="Arial"/>
          <w:i/>
          <w:iCs/>
          <w:sz w:val="20"/>
        </w:rPr>
        <w:t>DPP v Losurdo &amp;</w:t>
      </w:r>
      <w:r>
        <w:rPr>
          <w:rFonts w:ascii="Arial" w:hAnsi="Arial" w:cs="Arial"/>
          <w:i/>
          <w:iCs/>
          <w:sz w:val="20"/>
        </w:rPr>
        <w:t xml:space="preserve"> </w:t>
      </w:r>
      <w:r w:rsidRPr="003961B1">
        <w:rPr>
          <w:rFonts w:ascii="Arial" w:hAnsi="Arial" w:cs="Arial"/>
          <w:i/>
          <w:iCs/>
          <w:sz w:val="20"/>
        </w:rPr>
        <w:t xml:space="preserve">Anor </w:t>
      </w:r>
      <w:r w:rsidRPr="003961B1">
        <w:rPr>
          <w:rFonts w:ascii="Arial" w:hAnsi="Arial" w:cs="Arial"/>
          <w:sz w:val="20"/>
        </w:rPr>
        <w:t xml:space="preserve">(1998) 44 NSWLR 618 at 622, 632; </w:t>
      </w:r>
      <w:r w:rsidRPr="003961B1">
        <w:rPr>
          <w:rFonts w:ascii="Arial" w:hAnsi="Arial" w:cs="Arial"/>
          <w:i/>
          <w:iCs/>
          <w:sz w:val="20"/>
        </w:rPr>
        <w:t>Sim v Magistrate</w:t>
      </w:r>
      <w:r>
        <w:rPr>
          <w:rFonts w:ascii="Arial" w:hAnsi="Arial" w:cs="Arial"/>
          <w:i/>
          <w:iCs/>
          <w:sz w:val="20"/>
        </w:rPr>
        <w:t xml:space="preserve"> </w:t>
      </w:r>
      <w:r w:rsidRPr="003961B1">
        <w:rPr>
          <w:rFonts w:ascii="Arial" w:hAnsi="Arial" w:cs="Arial"/>
          <w:i/>
          <w:iCs/>
          <w:sz w:val="20"/>
        </w:rPr>
        <w:t xml:space="preserve">Corbett </w:t>
      </w:r>
      <w:r w:rsidRPr="003961B1">
        <w:rPr>
          <w:rFonts w:ascii="Arial" w:hAnsi="Arial" w:cs="Arial"/>
          <w:sz w:val="20"/>
        </w:rPr>
        <w:t xml:space="preserve">[2006] NSWSC 665 at [20]). In the case of </w:t>
      </w:r>
      <w:r w:rsidRPr="003961B1">
        <w:rPr>
          <w:rFonts w:ascii="Arial" w:hAnsi="Arial" w:cs="Arial"/>
          <w:i/>
          <w:iCs/>
          <w:sz w:val="20"/>
        </w:rPr>
        <w:t>Sim</w:t>
      </w:r>
      <w:r w:rsidRPr="003961B1">
        <w:rPr>
          <w:rFonts w:ascii="Arial" w:hAnsi="Arial" w:cs="Arial"/>
          <w:sz w:val="20"/>
        </w:rPr>
        <w:t>, the</w:t>
      </w:r>
      <w:r>
        <w:rPr>
          <w:rFonts w:ascii="Arial" w:hAnsi="Arial" w:cs="Arial"/>
          <w:sz w:val="20"/>
        </w:rPr>
        <w:t xml:space="preserve"> </w:t>
      </w:r>
      <w:r w:rsidRPr="003961B1">
        <w:rPr>
          <w:rFonts w:ascii="Arial" w:hAnsi="Arial" w:cs="Arial"/>
          <w:sz w:val="20"/>
        </w:rPr>
        <w:t>court also found at [20] that "substantial reasons" will depend in</w:t>
      </w:r>
      <w:r>
        <w:rPr>
          <w:rFonts w:ascii="Arial" w:hAnsi="Arial" w:cs="Arial"/>
          <w:sz w:val="20"/>
        </w:rPr>
        <w:t xml:space="preserve"> </w:t>
      </w:r>
      <w:r w:rsidRPr="003961B1">
        <w:rPr>
          <w:rFonts w:ascii="Arial" w:hAnsi="Arial" w:cs="Arial"/>
          <w:sz w:val="20"/>
        </w:rPr>
        <w:t>each case on its own facts and circumstances and cannot be</w:t>
      </w:r>
      <w:r>
        <w:rPr>
          <w:rFonts w:ascii="Arial" w:hAnsi="Arial" w:cs="Arial"/>
          <w:sz w:val="20"/>
        </w:rPr>
        <w:t xml:space="preserve"> </w:t>
      </w:r>
      <w:r w:rsidRPr="003961B1">
        <w:rPr>
          <w:rFonts w:ascii="Arial" w:hAnsi="Arial" w:cs="Arial"/>
          <w:sz w:val="20"/>
        </w:rPr>
        <w:t>exhaustively defined.</w:t>
      </w:r>
    </w:p>
    <w:p w14:paraId="50F9B471" w14:textId="2EF11FE0" w:rsidR="003961B1" w:rsidRDefault="003961B1" w:rsidP="0066555A">
      <w:pPr>
        <w:spacing w:before="60"/>
        <w:ind w:left="567" w:right="567"/>
        <w:jc w:val="both"/>
        <w:rPr>
          <w:rFonts w:ascii="Arial" w:hAnsi="Arial" w:cs="Arial"/>
          <w:sz w:val="20"/>
        </w:rPr>
      </w:pPr>
      <w:r w:rsidRPr="003961B1">
        <w:rPr>
          <w:rFonts w:ascii="Arial" w:hAnsi="Arial" w:cs="Arial"/>
          <w:sz w:val="20"/>
        </w:rPr>
        <w:t xml:space="preserve">It was held in </w:t>
      </w:r>
      <w:r w:rsidRPr="003961B1">
        <w:rPr>
          <w:rFonts w:ascii="Arial" w:hAnsi="Arial" w:cs="Arial"/>
          <w:i/>
          <w:iCs/>
          <w:sz w:val="20"/>
        </w:rPr>
        <w:t xml:space="preserve">O'Hare v Director of Public Prosecutions </w:t>
      </w:r>
      <w:r w:rsidRPr="003961B1">
        <w:rPr>
          <w:rFonts w:ascii="Arial" w:hAnsi="Arial" w:cs="Arial"/>
          <w:sz w:val="20"/>
        </w:rPr>
        <w:t>(NSW)</w:t>
      </w:r>
      <w:r>
        <w:rPr>
          <w:rFonts w:ascii="Arial" w:hAnsi="Arial" w:cs="Arial"/>
          <w:sz w:val="20"/>
        </w:rPr>
        <w:t xml:space="preserve"> </w:t>
      </w:r>
      <w:r w:rsidRPr="003961B1">
        <w:rPr>
          <w:rFonts w:ascii="Arial" w:hAnsi="Arial" w:cs="Arial"/>
          <w:sz w:val="20"/>
        </w:rPr>
        <w:t>[2000] NSWSC 665 at [51] that relevance to the interests of</w:t>
      </w:r>
      <w:r>
        <w:rPr>
          <w:rFonts w:ascii="Arial" w:hAnsi="Arial" w:cs="Arial"/>
          <w:sz w:val="20"/>
        </w:rPr>
        <w:t xml:space="preserve"> </w:t>
      </w:r>
      <w:r w:rsidRPr="003961B1">
        <w:rPr>
          <w:rFonts w:ascii="Arial" w:hAnsi="Arial" w:cs="Arial"/>
          <w:sz w:val="20"/>
        </w:rPr>
        <w:t>justice will involve consideration of a range of factors, including</w:t>
      </w:r>
      <w:r>
        <w:rPr>
          <w:rFonts w:ascii="Arial" w:hAnsi="Arial" w:cs="Arial"/>
          <w:sz w:val="20"/>
        </w:rPr>
        <w:t xml:space="preserve"> </w:t>
      </w:r>
      <w:r w:rsidRPr="003961B1">
        <w:rPr>
          <w:rFonts w:ascii="Arial" w:hAnsi="Arial" w:cs="Arial"/>
          <w:sz w:val="20"/>
        </w:rPr>
        <w:t>interests of the complainant and the accused and the prospect of</w:t>
      </w:r>
      <w:r>
        <w:rPr>
          <w:rFonts w:ascii="Arial" w:hAnsi="Arial" w:cs="Arial"/>
          <w:sz w:val="20"/>
        </w:rPr>
        <w:t xml:space="preserve"> </w:t>
      </w:r>
      <w:r w:rsidRPr="003961B1">
        <w:rPr>
          <w:rFonts w:ascii="Arial" w:hAnsi="Arial" w:cs="Arial"/>
          <w:sz w:val="20"/>
        </w:rPr>
        <w:t>prejudice to the accused, for example.</w:t>
      </w:r>
      <w:r>
        <w:rPr>
          <w:rFonts w:ascii="Arial" w:hAnsi="Arial" w:cs="Arial"/>
          <w:sz w:val="20"/>
        </w:rPr>
        <w:t xml:space="preserve"> </w:t>
      </w:r>
      <w:r w:rsidRPr="003961B1">
        <w:rPr>
          <w:rFonts w:ascii="Arial" w:hAnsi="Arial" w:cs="Arial"/>
          <w:sz w:val="20"/>
        </w:rPr>
        <w:t>The test will operate to restrict cross-examination by setting a</w:t>
      </w:r>
      <w:r>
        <w:rPr>
          <w:rFonts w:ascii="Arial" w:hAnsi="Arial" w:cs="Arial"/>
          <w:sz w:val="20"/>
        </w:rPr>
        <w:t xml:space="preserve"> </w:t>
      </w:r>
      <w:r w:rsidRPr="003961B1">
        <w:rPr>
          <w:rFonts w:ascii="Arial" w:hAnsi="Arial" w:cs="Arial"/>
          <w:sz w:val="20"/>
        </w:rPr>
        <w:t>higher threshold than the current test, but not imposing an</w:t>
      </w:r>
      <w:r>
        <w:rPr>
          <w:rFonts w:ascii="Arial" w:hAnsi="Arial" w:cs="Arial"/>
          <w:sz w:val="20"/>
        </w:rPr>
        <w:t xml:space="preserve"> </w:t>
      </w:r>
      <w:r w:rsidRPr="003961B1">
        <w:rPr>
          <w:rFonts w:ascii="Arial" w:hAnsi="Arial" w:cs="Arial"/>
          <w:sz w:val="20"/>
        </w:rPr>
        <w:t>impossible hurdle for an accused person to overcome in</w:t>
      </w:r>
      <w:r>
        <w:rPr>
          <w:rFonts w:ascii="Arial" w:hAnsi="Arial" w:cs="Arial"/>
          <w:sz w:val="20"/>
        </w:rPr>
        <w:t xml:space="preserve"> </w:t>
      </w:r>
      <w:r w:rsidRPr="003961B1">
        <w:rPr>
          <w:rFonts w:ascii="Arial" w:hAnsi="Arial" w:cs="Arial"/>
          <w:sz w:val="20"/>
        </w:rPr>
        <w:t>appropriate cases.</w:t>
      </w:r>
      <w:r>
        <w:rPr>
          <w:rFonts w:ascii="Arial" w:hAnsi="Arial" w:cs="Arial"/>
          <w:sz w:val="20"/>
        </w:rPr>
        <w:t>”</w:t>
      </w:r>
    </w:p>
    <w:p w14:paraId="0E3303E5" w14:textId="77777777" w:rsidR="00B916BD" w:rsidRDefault="00B916BD" w:rsidP="00B916BD">
      <w:pPr>
        <w:jc w:val="both"/>
        <w:rPr>
          <w:rFonts w:ascii="Arial" w:hAnsi="Arial" w:cs="Arial"/>
          <w:sz w:val="20"/>
        </w:rPr>
      </w:pPr>
    </w:p>
    <w:p w14:paraId="56292BBD" w14:textId="7A06E5CD" w:rsidR="00B916BD" w:rsidRPr="00A637B1" w:rsidRDefault="00B916BD" w:rsidP="00B916BD">
      <w:pPr>
        <w:shd w:val="clear" w:color="auto" w:fill="000000" w:themeFill="text1"/>
        <w:spacing w:after="120"/>
        <w:jc w:val="center"/>
        <w:rPr>
          <w:rFonts w:ascii="Arial" w:hAnsi="Arial" w:cs="Arial"/>
          <w:b/>
          <w:bCs/>
          <w:sz w:val="20"/>
          <w:szCs w:val="20"/>
        </w:rPr>
      </w:pPr>
      <w:r>
        <w:rPr>
          <w:rFonts w:ascii="Arial" w:hAnsi="Arial" w:cs="Arial"/>
          <w:b/>
          <w:bCs/>
          <w:sz w:val="20"/>
          <w:szCs w:val="20"/>
        </w:rPr>
        <w:t>PROCEDURE IN A COMMITTAL HEARING</w:t>
      </w:r>
    </w:p>
    <w:p w14:paraId="03C4BC0F" w14:textId="465C178A" w:rsidR="002814AD" w:rsidRDefault="002814AD" w:rsidP="002814AD">
      <w:pPr>
        <w:jc w:val="both"/>
        <w:rPr>
          <w:rFonts w:ascii="Arial" w:hAnsi="Arial" w:cs="Arial"/>
          <w:sz w:val="20"/>
        </w:rPr>
      </w:pPr>
      <w:r>
        <w:rPr>
          <w:rFonts w:ascii="Arial" w:hAnsi="Arial" w:cs="Arial"/>
          <w:sz w:val="20"/>
        </w:rPr>
        <w:t>Sections 128-140 of the CPA regulate procedure in a committal hearing.</w:t>
      </w:r>
    </w:p>
    <w:p w14:paraId="1F85FF01" w14:textId="77777777" w:rsidR="002814AD" w:rsidRDefault="002814AD" w:rsidP="002814AD">
      <w:pPr>
        <w:jc w:val="both"/>
        <w:rPr>
          <w:rFonts w:ascii="Arial" w:hAnsi="Arial" w:cs="Arial"/>
          <w:sz w:val="20"/>
        </w:rPr>
      </w:pPr>
    </w:p>
    <w:p w14:paraId="4DD4C63D" w14:textId="0659E7AE" w:rsidR="002814AD" w:rsidRDefault="002814AD" w:rsidP="002814AD">
      <w:pPr>
        <w:jc w:val="both"/>
        <w:rPr>
          <w:rFonts w:ascii="Arial" w:hAnsi="Arial" w:cs="Arial"/>
          <w:sz w:val="20"/>
        </w:rPr>
      </w:pPr>
      <w:r>
        <w:rPr>
          <w:rFonts w:ascii="Arial" w:hAnsi="Arial" w:cs="Arial"/>
          <w:sz w:val="20"/>
        </w:rPr>
        <w:t xml:space="preserve">Section 128 CPA provides: </w:t>
      </w:r>
    </w:p>
    <w:p w14:paraId="76C5F2F7" w14:textId="77777777" w:rsidR="002814AD" w:rsidRDefault="002814AD" w:rsidP="002814AD">
      <w:pPr>
        <w:spacing w:before="60"/>
        <w:ind w:left="567" w:right="567"/>
        <w:jc w:val="both"/>
        <w:rPr>
          <w:rFonts w:ascii="Arial" w:hAnsi="Arial" w:cs="Arial"/>
          <w:sz w:val="20"/>
        </w:rPr>
      </w:pPr>
      <w:r>
        <w:rPr>
          <w:rFonts w:ascii="Arial" w:hAnsi="Arial" w:cs="Arial"/>
          <w:sz w:val="20"/>
        </w:rPr>
        <w:t>“At a committal hearing, the Court–</w:t>
      </w:r>
    </w:p>
    <w:p w14:paraId="2306E1A6" w14:textId="77777777" w:rsidR="002814AD"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offer a summary hearing or determine an application for a summary hearing…;</w:t>
      </w:r>
    </w:p>
    <w:p w14:paraId="5A0B50C7" w14:textId="77777777" w:rsidR="002814AD" w:rsidRDefault="002814AD" w:rsidP="002814AD">
      <w:pPr>
        <w:pStyle w:val="ListParagraph"/>
        <w:numPr>
          <w:ilvl w:val="0"/>
          <w:numId w:val="113"/>
        </w:numPr>
        <w:ind w:left="924" w:hanging="357"/>
        <w:jc w:val="both"/>
        <w:rPr>
          <w:rFonts w:ascii="Arial" w:hAnsi="Arial" w:cs="Arial"/>
          <w:sz w:val="20"/>
        </w:rPr>
      </w:pPr>
      <w:r>
        <w:rPr>
          <w:rFonts w:ascii="Arial" w:hAnsi="Arial" w:cs="Arial"/>
          <w:sz w:val="20"/>
        </w:rPr>
        <w:t>may hear evidence in accordance with s.130 CPA;</w:t>
      </w:r>
    </w:p>
    <w:p w14:paraId="7F26DA53" w14:textId="508B2823" w:rsidR="002814AD" w:rsidRDefault="004643B3" w:rsidP="002814AD">
      <w:pPr>
        <w:pStyle w:val="ListParagraph"/>
        <w:numPr>
          <w:ilvl w:val="0"/>
          <w:numId w:val="113"/>
        </w:numPr>
        <w:ind w:left="924" w:right="567" w:hanging="357"/>
        <w:jc w:val="both"/>
        <w:rPr>
          <w:rFonts w:ascii="Arial" w:hAnsi="Arial" w:cs="Arial"/>
          <w:sz w:val="20"/>
        </w:rPr>
      </w:pPr>
      <w:r w:rsidRPr="004643B3">
        <w:rPr>
          <w:rFonts w:ascii="Arial" w:hAnsi="Arial" w:cs="Arial"/>
          <w:b/>
          <w:bCs/>
          <w:sz w:val="20"/>
          <w:shd w:val="clear" w:color="auto" w:fill="FFF2CC"/>
        </w:rPr>
        <w:t xml:space="preserve">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before 28/12/2025</w:t>
      </w:r>
      <w:r>
        <w:rPr>
          <w:rFonts w:ascii="Arial" w:hAnsi="Arial" w:cs="Arial"/>
          <w:sz w:val="20"/>
        </w:rPr>
        <w:t xml:space="preserve">: </w:t>
      </w:r>
      <w:r w:rsidR="002814AD">
        <w:rPr>
          <w:rFonts w:ascii="Arial" w:hAnsi="Arial" w:cs="Arial"/>
          <w:sz w:val="20"/>
        </w:rPr>
        <w:t>if the committal hearing proceeds, must determine</w:t>
      </w:r>
      <w:r>
        <w:rPr>
          <w:rFonts w:ascii="Arial" w:hAnsi="Arial" w:cs="Arial"/>
          <w:sz w:val="20"/>
        </w:rPr>
        <w:t>,</w:t>
      </w:r>
      <w:r w:rsidR="002814AD">
        <w:rPr>
          <w:rFonts w:ascii="Arial" w:hAnsi="Arial" w:cs="Arial"/>
          <w:sz w:val="20"/>
        </w:rPr>
        <w:t xml:space="preserve"> in accordance with s.141 CPA</w:t>
      </w:r>
      <w:r>
        <w:rPr>
          <w:rFonts w:ascii="Arial" w:hAnsi="Arial" w:cs="Arial"/>
          <w:sz w:val="20"/>
        </w:rPr>
        <w:t>, whether there is evidence of sufficient weight to support a conviction;</w:t>
      </w:r>
    </w:p>
    <w:p w14:paraId="6F66573C" w14:textId="3AC22676" w:rsidR="004643B3" w:rsidRPr="004643B3" w:rsidRDefault="004643B3" w:rsidP="004643B3">
      <w:pPr>
        <w:ind w:left="924" w:right="567" w:hanging="357"/>
        <w:jc w:val="both"/>
        <w:rPr>
          <w:rFonts w:ascii="Arial" w:hAnsi="Arial" w:cs="Arial"/>
          <w:sz w:val="20"/>
        </w:rPr>
      </w:pPr>
      <w:r w:rsidRPr="004643B3">
        <w:rPr>
          <w:rFonts w:ascii="Arial" w:hAnsi="Arial" w:cs="Arial"/>
          <w:sz w:val="20"/>
        </w:rPr>
        <w:t>(c</w:t>
      </w:r>
      <w:r>
        <w:rPr>
          <w:rFonts w:ascii="Arial" w:hAnsi="Arial" w:cs="Arial"/>
          <w:sz w:val="20"/>
        </w:rPr>
        <w:t>)</w:t>
      </w:r>
      <w:r>
        <w:rPr>
          <w:rFonts w:ascii="Arial" w:hAnsi="Arial" w:cs="Arial"/>
          <w:sz w:val="20"/>
        </w:rPr>
        <w:tab/>
      </w:r>
      <w:r w:rsidRPr="004643B3">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on or after 28/12/2025</w:t>
      </w:r>
      <w:r>
        <w:rPr>
          <w:rFonts w:ascii="Arial" w:hAnsi="Arial" w:cs="Arial"/>
          <w:sz w:val="20"/>
        </w:rPr>
        <w:t>: if the committal hearing proceeds, must determine the committal proceeding in accordance with s.141 CPA;</w:t>
      </w:r>
    </w:p>
    <w:p w14:paraId="1092A1E9" w14:textId="77777777" w:rsidR="002814AD" w:rsidRPr="00795EC5"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make any order or give any direction that the Court considers appropriate.”</w:t>
      </w:r>
    </w:p>
    <w:p w14:paraId="3C4E42F3" w14:textId="77777777" w:rsidR="002814AD" w:rsidRDefault="002814AD" w:rsidP="0008023B">
      <w:pPr>
        <w:jc w:val="both"/>
        <w:rPr>
          <w:rFonts w:ascii="Arial" w:hAnsi="Arial" w:cs="Arial"/>
          <w:sz w:val="20"/>
        </w:rPr>
      </w:pPr>
    </w:p>
    <w:p w14:paraId="415188F2" w14:textId="28F900F5" w:rsidR="00D7645F" w:rsidRDefault="002814AD" w:rsidP="0008023B">
      <w:pPr>
        <w:jc w:val="both"/>
        <w:rPr>
          <w:rFonts w:ascii="Arial" w:hAnsi="Arial" w:cs="Arial"/>
          <w:sz w:val="20"/>
        </w:rPr>
      </w:pPr>
      <w:r>
        <w:rPr>
          <w:rFonts w:ascii="Arial" w:hAnsi="Arial" w:cs="Arial"/>
          <w:sz w:val="20"/>
        </w:rPr>
        <w:lastRenderedPageBreak/>
        <w:t xml:space="preserve">Sections 130-132 </w:t>
      </w:r>
      <w:r w:rsidR="00D85041">
        <w:rPr>
          <w:rFonts w:ascii="Arial" w:hAnsi="Arial" w:cs="Arial"/>
          <w:sz w:val="20"/>
        </w:rPr>
        <w:t xml:space="preserve">&amp; 132A </w:t>
      </w:r>
      <w:r>
        <w:rPr>
          <w:rFonts w:ascii="Arial" w:hAnsi="Arial" w:cs="Arial"/>
          <w:sz w:val="20"/>
        </w:rPr>
        <w:t xml:space="preserve">CPA regulate the giving of evidence-in-chief and cross-examination of a witness at a committal hearing. </w:t>
      </w:r>
    </w:p>
    <w:p w14:paraId="37B4B86A" w14:textId="032BC5D7" w:rsidR="002814AD" w:rsidRDefault="002814AD" w:rsidP="00D7645F">
      <w:pPr>
        <w:spacing w:before="60"/>
        <w:jc w:val="both"/>
        <w:rPr>
          <w:rFonts w:ascii="Arial" w:hAnsi="Arial" w:cs="Arial"/>
          <w:sz w:val="20"/>
        </w:rPr>
      </w:pPr>
      <w:r>
        <w:rPr>
          <w:rFonts w:ascii="Arial" w:hAnsi="Arial" w:cs="Arial"/>
          <w:sz w:val="20"/>
        </w:rPr>
        <w:t>Section 130(2) provides that a witness may be called to give evidence at a committal hearing if–</w:t>
      </w:r>
    </w:p>
    <w:p w14:paraId="03BC0CFE" w14:textId="12B1044D"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the Court grants leave under s.124 for the cross-examination of the witness; or</w:t>
      </w:r>
    </w:p>
    <w:p w14:paraId="6582B398" w14:textId="0554170F"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having regard to the interests of justice, the Court grants leave to the prosecution to call the witness to give oral evidence-in-chief.</w:t>
      </w:r>
    </w:p>
    <w:p w14:paraId="272CF9C0" w14:textId="791446CB" w:rsidR="002814AD" w:rsidRDefault="002814AD" w:rsidP="00D7645F">
      <w:pPr>
        <w:spacing w:before="60"/>
        <w:jc w:val="both"/>
        <w:rPr>
          <w:rFonts w:ascii="Arial" w:hAnsi="Arial" w:cs="Arial"/>
          <w:sz w:val="20"/>
        </w:rPr>
      </w:pPr>
      <w:r>
        <w:rPr>
          <w:rFonts w:ascii="Arial" w:hAnsi="Arial" w:cs="Arial"/>
          <w:sz w:val="20"/>
        </w:rPr>
        <w:t xml:space="preserve">Section 131 provides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5F71AB08" w14:textId="3E1467DB" w:rsidR="002814AD" w:rsidRDefault="00D7645F" w:rsidP="00D7645F">
      <w:pPr>
        <w:spacing w:before="60"/>
        <w:jc w:val="both"/>
        <w:rPr>
          <w:rFonts w:ascii="Arial" w:hAnsi="Arial" w:cs="Arial"/>
          <w:sz w:val="20"/>
        </w:rPr>
      </w:pPr>
      <w:r>
        <w:rPr>
          <w:rFonts w:ascii="Arial" w:hAnsi="Arial" w:cs="Arial"/>
          <w:sz w:val="20"/>
        </w:rPr>
        <w:t xml:space="preserve">Section 132 </w:t>
      </w:r>
      <w:r w:rsidR="00D85041">
        <w:rPr>
          <w:rFonts w:ascii="Arial" w:hAnsi="Arial" w:cs="Arial"/>
          <w:sz w:val="20"/>
        </w:rPr>
        <w:t>provides:</w:t>
      </w:r>
    </w:p>
    <w:p w14:paraId="4F9D9170" w14:textId="322D6DD1" w:rsidR="00D85041" w:rsidRPr="00D85041" w:rsidRDefault="00D85041" w:rsidP="00F47D3D">
      <w:pPr>
        <w:pStyle w:val="ListParagraph"/>
        <w:numPr>
          <w:ilvl w:val="0"/>
          <w:numId w:val="124"/>
        </w:numPr>
        <w:ind w:left="357" w:hanging="357"/>
        <w:jc w:val="both"/>
        <w:rPr>
          <w:rFonts w:ascii="Arial" w:hAnsi="Arial" w:cs="Arial"/>
          <w:sz w:val="20"/>
        </w:rPr>
      </w:pPr>
      <w:r w:rsidRPr="00D85041">
        <w:rPr>
          <w:rFonts w:ascii="Arial" w:hAnsi="Arial" w:cs="Arial"/>
          <w:sz w:val="20"/>
        </w:rPr>
        <w:t>A</w:t>
      </w:r>
      <w:r>
        <w:rPr>
          <w:rFonts w:ascii="Arial" w:hAnsi="Arial" w:cs="Arial"/>
          <w:sz w:val="20"/>
        </w:rPr>
        <w:t>n accused who obtains leave to cross-examine a witness is limited to cross-examining the witness on–</w:t>
      </w:r>
    </w:p>
    <w:p w14:paraId="390E0E5E" w14:textId="483069EA"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identified under s.124A(b); and</w:t>
      </w:r>
    </w:p>
    <w:p w14:paraId="5A51AF95" w14:textId="2B7F2C31"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if any, in relation to which leave has been obtained under s.132A.</w:t>
      </w:r>
    </w:p>
    <w:p w14:paraId="17118EE2" w14:textId="5911CBEC" w:rsidR="004B5ED3" w:rsidRPr="004B5ED3" w:rsidRDefault="004B5ED3" w:rsidP="00F47D3D">
      <w:pPr>
        <w:pStyle w:val="ListParagraph"/>
        <w:numPr>
          <w:ilvl w:val="0"/>
          <w:numId w:val="124"/>
        </w:numPr>
        <w:ind w:left="357" w:hanging="357"/>
        <w:jc w:val="both"/>
        <w:rPr>
          <w:rFonts w:ascii="Arial" w:hAnsi="Arial" w:cs="Arial"/>
          <w:sz w:val="20"/>
        </w:rPr>
      </w:pPr>
      <w:r w:rsidRPr="004B5ED3">
        <w:rPr>
          <w:rFonts w:ascii="Arial" w:hAnsi="Arial" w:cs="Arial"/>
          <w:sz w:val="20"/>
          <w:szCs w:val="16"/>
        </w:rPr>
        <w:t>Without limiting any other power that it has to forbid or disallow questions, the Magistrates' Court may disallow any question asked of a witness in the course of cross-examination in a committal hearing if it appears to the court that—</w:t>
      </w:r>
    </w:p>
    <w:p w14:paraId="4D908E9C" w14:textId="57FA97BF"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p>
    <w:p w14:paraId="0B9804EB" w14:textId="4494E3BC" w:rsidR="004B5ED3" w:rsidRDefault="004B5ED3" w:rsidP="00F47D3D">
      <w:pPr>
        <w:pStyle w:val="ListParagraph"/>
        <w:numPr>
          <w:ilvl w:val="0"/>
          <w:numId w:val="126"/>
        </w:numPr>
        <w:jc w:val="both"/>
        <w:rPr>
          <w:rFonts w:ascii="Arial" w:hAnsi="Arial" w:cs="Arial"/>
          <w:sz w:val="20"/>
        </w:rPr>
      </w:pPr>
      <w:r>
        <w:rPr>
          <w:rFonts w:ascii="Arial" w:hAnsi="Arial" w:cs="Arial"/>
          <w:sz w:val="20"/>
        </w:rPr>
        <w:t xml:space="preserve">the question </w:t>
      </w:r>
      <w:r w:rsidR="007C759B">
        <w:rPr>
          <w:rFonts w:ascii="Arial" w:hAnsi="Arial" w:cs="Arial"/>
          <w:sz w:val="20"/>
        </w:rPr>
        <w:t>does not relate to</w:t>
      </w:r>
      <w:r>
        <w:rPr>
          <w:rFonts w:ascii="Arial" w:hAnsi="Arial" w:cs="Arial"/>
          <w:sz w:val="20"/>
        </w:rPr>
        <w:t xml:space="preserve"> an issue in relation to which leave has been obtained under s.124 or 132A; or</w:t>
      </w:r>
    </w:p>
    <w:p w14:paraId="62015CBF" w14:textId="3E4EA326" w:rsidR="004B5ED3" w:rsidRDefault="004B5ED3" w:rsidP="00F47D3D">
      <w:pPr>
        <w:pStyle w:val="ListParagraph"/>
        <w:numPr>
          <w:ilvl w:val="0"/>
          <w:numId w:val="126"/>
        </w:numPr>
        <w:jc w:val="both"/>
        <w:rPr>
          <w:rFonts w:ascii="Arial" w:hAnsi="Arial" w:cs="Arial"/>
          <w:sz w:val="20"/>
        </w:rPr>
      </w:pPr>
      <w:r>
        <w:rPr>
          <w:rFonts w:ascii="Arial" w:hAnsi="Arial" w:cs="Arial"/>
          <w:sz w:val="20"/>
        </w:rPr>
        <w:t>the question is not justified.</w:t>
      </w:r>
    </w:p>
    <w:p w14:paraId="542F9614" w14:textId="14585BB8"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p>
    <w:p w14:paraId="409D5947" w14:textId="411BC659" w:rsidR="004B5ED3" w:rsidRPr="004B5ED3" w:rsidRDefault="004B5ED3" w:rsidP="00F47D3D">
      <w:pPr>
        <w:pStyle w:val="ListParagraph"/>
        <w:numPr>
          <w:ilvl w:val="0"/>
          <w:numId w:val="127"/>
        </w:numPr>
        <w:jc w:val="both"/>
        <w:rPr>
          <w:rFonts w:ascii="Arial" w:hAnsi="Arial" w:cs="Arial"/>
          <w:sz w:val="20"/>
        </w:rPr>
      </w:pPr>
      <w:r w:rsidRPr="004B5ED3">
        <w:rPr>
          <w:rFonts w:ascii="Arial" w:hAnsi="Arial" w:cs="Arial"/>
          <w:sz w:val="20"/>
        </w:rPr>
        <w:t>the question is not directly and substantially relevant to an issue in relation to which leave has been obtained under s.124 or 132A; or</w:t>
      </w:r>
    </w:p>
    <w:p w14:paraId="6F76D4BA" w14:textId="77777777" w:rsidR="004B5ED3" w:rsidRDefault="004B5ED3" w:rsidP="00F47D3D">
      <w:pPr>
        <w:pStyle w:val="ListParagraph"/>
        <w:numPr>
          <w:ilvl w:val="0"/>
          <w:numId w:val="127"/>
        </w:numPr>
        <w:jc w:val="both"/>
        <w:rPr>
          <w:rFonts w:ascii="Arial" w:hAnsi="Arial" w:cs="Arial"/>
          <w:sz w:val="20"/>
        </w:rPr>
      </w:pPr>
      <w:r>
        <w:rPr>
          <w:rFonts w:ascii="Arial" w:hAnsi="Arial" w:cs="Arial"/>
          <w:sz w:val="20"/>
        </w:rPr>
        <w:t>there are not substantial reasons why, in the interests of justice, the question should be asked.</w:t>
      </w:r>
    </w:p>
    <w:p w14:paraId="6D921B4F" w14:textId="0A6A345E" w:rsidR="00644EAE" w:rsidRPr="00644EAE" w:rsidRDefault="00644EAE" w:rsidP="00644EAE">
      <w:pPr>
        <w:pStyle w:val="ListParagraph"/>
        <w:numPr>
          <w:ilvl w:val="0"/>
          <w:numId w:val="124"/>
        </w:numPr>
        <w:ind w:left="357" w:hanging="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determining whether a question is justified, the Court must have regard to the matters referred to in section 124(4) and (5).</w:t>
      </w:r>
    </w:p>
    <w:p w14:paraId="0476AA30" w14:textId="1B0B3644" w:rsidR="00644EAE" w:rsidRPr="00644EAE" w:rsidRDefault="00644EAE" w:rsidP="00644EAE">
      <w:pPr>
        <w:ind w:left="357" w:hanging="357"/>
        <w:jc w:val="both"/>
        <w:rPr>
          <w:rFonts w:ascii="Arial" w:hAnsi="Arial" w:cs="Arial"/>
          <w:sz w:val="20"/>
        </w:rPr>
      </w:pPr>
      <w:r w:rsidRPr="00644EAE">
        <w:rPr>
          <w:rFonts w:ascii="Arial" w:hAnsi="Arial" w:cs="Arial"/>
          <w:sz w:val="20"/>
          <w:szCs w:val="20"/>
        </w:rPr>
        <w:t>(3)</w:t>
      </w:r>
      <w:r>
        <w:rPr>
          <w:rFonts w:ascii="Arial" w:hAnsi="Arial" w:cs="Arial"/>
          <w:sz w:val="20"/>
          <w:szCs w:val="20"/>
        </w:rPr>
        <w:tab/>
      </w: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 xml:space="preserve">determining whether </w:t>
      </w:r>
      <w:r>
        <w:rPr>
          <w:rFonts w:ascii="Arial" w:hAnsi="Arial" w:cs="Arial"/>
          <w:sz w:val="20"/>
          <w:szCs w:val="16"/>
        </w:rPr>
        <w:t>to disallow a question under subsection (2)(b)</w:t>
      </w:r>
      <w:r w:rsidRPr="00644EAE">
        <w:rPr>
          <w:rFonts w:ascii="Arial" w:hAnsi="Arial" w:cs="Arial"/>
          <w:sz w:val="20"/>
          <w:szCs w:val="16"/>
        </w:rPr>
        <w:t>, the Court must have regard to the matters referred to in section 124(4) and (5).</w:t>
      </w:r>
    </w:p>
    <w:p w14:paraId="0B3559E0" w14:textId="18390749" w:rsidR="00D85041" w:rsidRDefault="00644EAE" w:rsidP="00644EAE">
      <w:pPr>
        <w:spacing w:before="60"/>
        <w:jc w:val="both"/>
        <w:rPr>
          <w:rFonts w:ascii="Arial" w:hAnsi="Arial" w:cs="Arial"/>
          <w:sz w:val="20"/>
        </w:rPr>
      </w:pPr>
      <w:r>
        <w:rPr>
          <w:rFonts w:ascii="Arial" w:hAnsi="Arial" w:cs="Arial"/>
          <w:sz w:val="20"/>
        </w:rPr>
        <w:t>Section 132A empowers the Court to grant leave for the accused to cross-examine a witness on an issue that was not identified in the original grant of leave in the circumstances detailed in ss.1</w:t>
      </w:r>
      <w:r w:rsidR="00CC5E9C">
        <w:rPr>
          <w:rFonts w:ascii="Arial" w:hAnsi="Arial" w:cs="Arial"/>
          <w:sz w:val="20"/>
        </w:rPr>
        <w:t>32</w:t>
      </w:r>
      <w:proofErr w:type="gramStart"/>
      <w:r>
        <w:rPr>
          <w:rFonts w:ascii="Arial" w:hAnsi="Arial" w:cs="Arial"/>
          <w:sz w:val="20"/>
        </w:rPr>
        <w:t>A(</w:t>
      </w:r>
      <w:proofErr w:type="gramEnd"/>
      <w:r>
        <w:rPr>
          <w:rFonts w:ascii="Arial" w:hAnsi="Arial" w:cs="Arial"/>
          <w:sz w:val="20"/>
        </w:rPr>
        <w:t xml:space="preserve">3) to </w:t>
      </w:r>
      <w:r w:rsidR="00CC5E9C">
        <w:rPr>
          <w:rFonts w:ascii="Arial" w:hAnsi="Arial" w:cs="Arial"/>
          <w:sz w:val="20"/>
        </w:rPr>
        <w:t>132</w:t>
      </w:r>
      <w:proofErr w:type="gramStart"/>
      <w:r w:rsidR="00CC5E9C">
        <w:rPr>
          <w:rFonts w:ascii="Arial" w:hAnsi="Arial" w:cs="Arial"/>
          <w:sz w:val="20"/>
        </w:rPr>
        <w:t>A(</w:t>
      </w:r>
      <w:proofErr w:type="gramEnd"/>
      <w:r w:rsidR="00CC5E9C">
        <w:rPr>
          <w:rFonts w:ascii="Arial" w:hAnsi="Arial" w:cs="Arial"/>
          <w:sz w:val="20"/>
        </w:rPr>
        <w:t>5).</w:t>
      </w:r>
    </w:p>
    <w:p w14:paraId="6F4D3622" w14:textId="77777777" w:rsidR="00D85041" w:rsidRDefault="00D85041" w:rsidP="0008023B">
      <w:pPr>
        <w:jc w:val="both"/>
        <w:rPr>
          <w:rFonts w:ascii="Arial" w:hAnsi="Arial" w:cs="Arial"/>
          <w:sz w:val="20"/>
        </w:rPr>
      </w:pPr>
    </w:p>
    <w:p w14:paraId="631AB5EA" w14:textId="6ACACDCF" w:rsidR="00723697" w:rsidRDefault="00CC5E9C" w:rsidP="0008023B">
      <w:pPr>
        <w:jc w:val="both"/>
        <w:rPr>
          <w:rFonts w:ascii="Arial" w:hAnsi="Arial" w:cs="Arial"/>
          <w:sz w:val="20"/>
        </w:rPr>
      </w:pPr>
      <w:r>
        <w:rPr>
          <w:rFonts w:ascii="Arial" w:hAnsi="Arial" w:cs="Arial"/>
          <w:sz w:val="20"/>
        </w:rPr>
        <w:t>Other provisions relating to procedure in a committal hearing</w:t>
      </w:r>
      <w:r w:rsidR="00DB26A2">
        <w:rPr>
          <w:rFonts w:ascii="Arial" w:hAnsi="Arial" w:cs="Arial"/>
          <w:sz w:val="20"/>
        </w:rPr>
        <w:t xml:space="preserve"> include</w:t>
      </w:r>
      <w:r w:rsidR="00B162EF">
        <w:rPr>
          <w:rFonts w:ascii="Arial" w:hAnsi="Arial" w:cs="Arial"/>
          <w:sz w:val="20"/>
        </w:rPr>
        <w:t>:</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5168834A" w14:textId="77777777" w:rsidR="001149B3" w:rsidRDefault="001149B3" w:rsidP="001149B3">
      <w:pPr>
        <w:jc w:val="both"/>
        <w:rPr>
          <w:rFonts w:ascii="Arial" w:hAnsi="Arial" w:cs="Arial"/>
          <w:sz w:val="20"/>
        </w:rPr>
      </w:pPr>
    </w:p>
    <w:p w14:paraId="26D966C3" w14:textId="1BDF5EF0" w:rsidR="00713D4D" w:rsidRDefault="00713D4D" w:rsidP="00114FAA">
      <w:pPr>
        <w:pStyle w:val="Heading3"/>
        <w:spacing w:after="120" w:line="240" w:lineRule="auto"/>
        <w:rPr>
          <w:rFonts w:ascii="Arial" w:hAnsi="Arial" w:cs="Arial"/>
          <w:b/>
          <w:bCs/>
          <w:sz w:val="20"/>
        </w:rPr>
      </w:pPr>
      <w:bookmarkStart w:id="97" w:name="_10.2.5_Determination_of_1"/>
      <w:bookmarkEnd w:id="97"/>
      <w:r>
        <w:rPr>
          <w:rFonts w:ascii="Arial" w:hAnsi="Arial" w:cs="Arial"/>
          <w:b/>
          <w:bCs/>
          <w:sz w:val="20"/>
        </w:rPr>
        <w:t>10.2.5</w:t>
      </w:r>
      <w:r>
        <w:rPr>
          <w:rFonts w:ascii="Arial" w:hAnsi="Arial" w:cs="Arial"/>
          <w:b/>
          <w:bCs/>
          <w:sz w:val="20"/>
        </w:rPr>
        <w:tab/>
        <w:t>Determination of committal proceeding</w:t>
      </w:r>
    </w:p>
    <w:p w14:paraId="25CC810E" w14:textId="543B6B28" w:rsidR="00713D4D" w:rsidRDefault="00713D4D" w:rsidP="00713D4D">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w:t>
      </w:r>
      <w:r w:rsidR="005717E3">
        <w:rPr>
          <w:rFonts w:ascii="Arial" w:hAnsi="Arial" w:cs="Arial"/>
          <w:sz w:val="20"/>
        </w:rPr>
        <w:t> </w:t>
      </w:r>
      <w:r>
        <w:rPr>
          <w:rFonts w:ascii="Arial" w:hAnsi="Arial" w:cs="Arial"/>
          <w:sz w:val="20"/>
        </w:rPr>
        <w:t xml:space="preserve">the </w:t>
      </w:r>
      <w:r w:rsidR="005717E3">
        <w:rPr>
          <w:rFonts w:ascii="Arial" w:hAnsi="Arial" w:cs="Arial"/>
          <w:sz w:val="20"/>
        </w:rPr>
        <w:t>C</w:t>
      </w:r>
      <w:r>
        <w:rPr>
          <w:rFonts w:ascii="Arial" w:hAnsi="Arial" w:cs="Arial"/>
          <w:sz w:val="20"/>
        </w:rPr>
        <w:t xml:space="preserve">ourt considers that the accused understands the nature and consequences of the election, the </w:t>
      </w:r>
      <w:r w:rsidR="005717E3">
        <w:rPr>
          <w:rFonts w:ascii="Arial" w:hAnsi="Arial" w:cs="Arial"/>
          <w:sz w:val="20"/>
        </w:rPr>
        <w:t>C</w:t>
      </w:r>
      <w:r>
        <w:rPr>
          <w:rFonts w:ascii="Arial" w:hAnsi="Arial" w:cs="Arial"/>
          <w:sz w:val="20"/>
        </w:rPr>
        <w:t xml:space="preserve">ourt must commit the accused for trial. </w:t>
      </w:r>
    </w:p>
    <w:p w14:paraId="353C1C36" w14:textId="4CB635A2" w:rsidR="00A67090" w:rsidRDefault="005717E3" w:rsidP="00114FAA">
      <w:pPr>
        <w:spacing w:before="120"/>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w:t>
      </w:r>
      <w:r w:rsidR="00114FAA">
        <w:rPr>
          <w:rFonts w:ascii="Arial" w:hAnsi="Arial" w:cs="Arial"/>
          <w:sz w:val="20"/>
        </w:rPr>
        <w:t xml:space="preserve"> If a plea brief is served, the Court a</w:t>
      </w:r>
      <w:r>
        <w:rPr>
          <w:rFonts w:ascii="Arial" w:hAnsi="Arial" w:cs="Arial"/>
          <w:sz w:val="20"/>
        </w:rPr>
        <w:t xml:space="preserve">t the committal mention hearing the court must ask how the accused pleads to the charge to which the committal proceeding relates. </w:t>
      </w:r>
      <w:r w:rsidR="00114FAA">
        <w:rPr>
          <w:rFonts w:ascii="Arial" w:hAnsi="Arial" w:cs="Arial"/>
          <w:sz w:val="20"/>
        </w:rPr>
        <w:t>If</w:t>
      </w:r>
      <w:r w:rsidR="00A67090">
        <w:rPr>
          <w:rFonts w:ascii="Arial" w:hAnsi="Arial" w:cs="Arial"/>
          <w:sz w:val="20"/>
        </w:rPr>
        <w:t>–</w:t>
      </w:r>
    </w:p>
    <w:p w14:paraId="69631F4A" w14:textId="6E2C0DA8" w:rsidR="00A67090" w:rsidRDefault="00A67090" w:rsidP="00A67090">
      <w:pPr>
        <w:numPr>
          <w:ilvl w:val="0"/>
          <w:numId w:val="60"/>
        </w:numPr>
        <w:ind w:left="357" w:hanging="357"/>
        <w:jc w:val="both"/>
        <w:rPr>
          <w:rFonts w:ascii="Arial" w:hAnsi="Arial" w:cs="Arial"/>
          <w:sz w:val="20"/>
        </w:rPr>
      </w:pPr>
      <w:r>
        <w:rPr>
          <w:rFonts w:ascii="Arial" w:hAnsi="Arial" w:cs="Arial"/>
          <w:sz w:val="20"/>
        </w:rPr>
        <w:t>the accused pleads guilty;</w:t>
      </w:r>
    </w:p>
    <w:p w14:paraId="582287F6" w14:textId="0BBDB8D1" w:rsidR="00A67090" w:rsidRDefault="00A67090" w:rsidP="00A67090">
      <w:pPr>
        <w:numPr>
          <w:ilvl w:val="0"/>
          <w:numId w:val="60"/>
        </w:numPr>
        <w:ind w:left="357" w:hanging="357"/>
        <w:jc w:val="both"/>
        <w:rPr>
          <w:rFonts w:ascii="Arial" w:hAnsi="Arial" w:cs="Arial"/>
          <w:sz w:val="20"/>
        </w:rPr>
      </w:pPr>
      <w:r w:rsidRPr="00A67090">
        <w:rPr>
          <w:rFonts w:ascii="Arial" w:hAnsi="Arial" w:cs="Arial"/>
          <w:b/>
          <w:bCs/>
          <w:sz w:val="20"/>
          <w:shd w:val="clear" w:color="auto" w:fill="FFF2CC"/>
        </w:rPr>
        <w:t xml:space="preserve">and </w:t>
      </w:r>
      <w:r w:rsidRPr="00114FAA">
        <w:rPr>
          <w:rFonts w:ascii="Arial" w:hAnsi="Arial" w:cs="Arial"/>
          <w:b/>
          <w:bCs/>
          <w:sz w:val="20"/>
          <w:shd w:val="clear" w:color="auto" w:fill="FFF2CC"/>
        </w:rPr>
        <w:t xml:space="preserve">for a </w:t>
      </w:r>
      <w:r>
        <w:rPr>
          <w:rFonts w:ascii="Arial" w:hAnsi="Arial" w:cs="Arial"/>
          <w:b/>
          <w:bCs/>
          <w:sz w:val="20"/>
          <w:shd w:val="clear" w:color="auto" w:fill="FFF2CC"/>
        </w:rPr>
        <w:t>committal proceeding</w:t>
      </w:r>
      <w:r w:rsidRPr="00114FAA">
        <w:rPr>
          <w:rFonts w:ascii="Arial" w:hAnsi="Arial" w:cs="Arial"/>
          <w:b/>
          <w:bCs/>
          <w:sz w:val="20"/>
          <w:shd w:val="clear" w:color="auto" w:fill="FFF2CC"/>
        </w:rPr>
        <w:t xml:space="preserve"> commenc</w:t>
      </w:r>
      <w:r>
        <w:rPr>
          <w:rFonts w:ascii="Arial" w:hAnsi="Arial" w:cs="Arial"/>
          <w:b/>
          <w:bCs/>
          <w:sz w:val="20"/>
          <w:shd w:val="clear" w:color="auto" w:fill="FFF2CC"/>
        </w:rPr>
        <w:t>ed</w:t>
      </w:r>
      <w:r w:rsidRPr="00114FAA">
        <w:rPr>
          <w:rFonts w:ascii="Arial" w:hAnsi="Arial" w:cs="Arial"/>
          <w:b/>
          <w:bCs/>
          <w:sz w:val="20"/>
          <w:shd w:val="clear" w:color="auto" w:fill="FFF2CC"/>
        </w:rPr>
        <w:t xml:space="preserve"> before 28/12/2025</w:t>
      </w:r>
      <w:r>
        <w:rPr>
          <w:rFonts w:ascii="Arial" w:hAnsi="Arial" w:cs="Arial"/>
          <w:sz w:val="20"/>
        </w:rPr>
        <w:t xml:space="preserve"> the Court is satisfied that </w:t>
      </w:r>
      <w:r w:rsidRPr="00114FAA">
        <w:rPr>
          <w:rFonts w:ascii="Arial" w:hAnsi="Arial" w:cs="Arial"/>
          <w:sz w:val="20"/>
        </w:rPr>
        <w:t>the evidence is of sufficient weight to support a conviction for the offence with which the accused is charged</w:t>
      </w:r>
      <w:r>
        <w:rPr>
          <w:rFonts w:ascii="Arial" w:hAnsi="Arial" w:cs="Arial"/>
          <w:sz w:val="20"/>
        </w:rPr>
        <w:t>–</w:t>
      </w:r>
    </w:p>
    <w:p w14:paraId="018AFB7A" w14:textId="0867F42F" w:rsidR="005717E3" w:rsidRDefault="00114FAA" w:rsidP="00A67090">
      <w:pPr>
        <w:jc w:val="both"/>
        <w:rPr>
          <w:rFonts w:ascii="Arial" w:hAnsi="Arial" w:cs="Arial"/>
          <w:sz w:val="20"/>
        </w:rPr>
      </w:pPr>
      <w:r>
        <w:rPr>
          <w:rFonts w:ascii="Arial" w:hAnsi="Arial" w:cs="Arial"/>
          <w:sz w:val="20"/>
        </w:rPr>
        <w:t xml:space="preserve">the Court must </w:t>
      </w:r>
      <w:r w:rsidRPr="00114FAA">
        <w:rPr>
          <w:rFonts w:ascii="Arial" w:hAnsi="Arial" w:cs="Arial"/>
          <w:sz w:val="20"/>
        </w:rPr>
        <w:t>commit the accused for trial in accordance with section 144.</w:t>
      </w:r>
      <w:r>
        <w:rPr>
          <w:rFonts w:ascii="Arial" w:hAnsi="Arial" w:cs="Arial"/>
          <w:sz w:val="20"/>
        </w:rPr>
        <w:t xml:space="preserve"> </w:t>
      </w:r>
      <w:r w:rsidR="005717E3">
        <w:rPr>
          <w:rFonts w:ascii="Arial" w:hAnsi="Arial" w:cs="Arial"/>
          <w:sz w:val="20"/>
        </w:rPr>
        <w:t xml:space="preserve">If the accused does not plead guilty to the charge, the </w:t>
      </w:r>
      <w:r>
        <w:rPr>
          <w:rFonts w:ascii="Arial" w:hAnsi="Arial" w:cs="Arial"/>
          <w:sz w:val="20"/>
        </w:rPr>
        <w:t>C</w:t>
      </w:r>
      <w:r w:rsidR="005717E3">
        <w:rPr>
          <w:rFonts w:ascii="Arial" w:hAnsi="Arial" w:cs="Arial"/>
          <w:sz w:val="20"/>
        </w:rPr>
        <w:t>ourt must direct the informant to prepare and serve a hand-up brief.</w:t>
      </w:r>
    </w:p>
    <w:p w14:paraId="2D313376" w14:textId="7471A02D" w:rsidR="005717E3" w:rsidRDefault="00713D4D" w:rsidP="00B4597E">
      <w:pPr>
        <w:keepNext/>
        <w:keepLines/>
        <w:spacing w:before="120"/>
        <w:jc w:val="both"/>
        <w:rPr>
          <w:rFonts w:ascii="Arial" w:hAnsi="Arial" w:cs="Arial"/>
          <w:sz w:val="20"/>
        </w:rPr>
      </w:pPr>
      <w:r w:rsidRPr="006B677C">
        <w:rPr>
          <w:rFonts w:ascii="Arial" w:hAnsi="Arial" w:cs="Arial"/>
          <w:b/>
          <w:sz w:val="20"/>
          <w:u w:val="single"/>
        </w:rPr>
        <w:lastRenderedPageBreak/>
        <w:t>Where hand-up brief used</w:t>
      </w:r>
      <w:r w:rsidR="005717E3" w:rsidRPr="005717E3">
        <w:rPr>
          <w:rFonts w:ascii="Arial" w:hAnsi="Arial" w:cs="Arial"/>
          <w:bCs/>
          <w:sz w:val="20"/>
        </w:rPr>
        <w:t xml:space="preserve"> [s.141]</w:t>
      </w:r>
      <w:r>
        <w:rPr>
          <w:rFonts w:ascii="Arial" w:hAnsi="Arial" w:cs="Arial"/>
          <w:sz w:val="20"/>
        </w:rPr>
        <w:t>:</w:t>
      </w:r>
    </w:p>
    <w:p w14:paraId="0D2801FE" w14:textId="24D66AD6" w:rsidR="00713D4D" w:rsidRDefault="005717E3" w:rsidP="005717E3">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713D4D">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r>
        <w:rPr>
          <w:rFonts w:ascii="Arial" w:hAnsi="Arial" w:cs="Arial"/>
          <w:sz w:val="20"/>
        </w:rPr>
        <w:t>–</w:t>
      </w:r>
    </w:p>
    <w:p w14:paraId="52E11E47" w14:textId="77777777" w:rsidR="00713D4D" w:rsidRDefault="00713D4D" w:rsidP="00713D4D">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21535BB1" w14:textId="77777777" w:rsidR="00713D4D" w:rsidRDefault="00713D4D" w:rsidP="00713D4D">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2A5045FF" w14:textId="2A65AF8C" w:rsidR="00176582" w:rsidRDefault="005717E3" w:rsidP="00114FAA">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176582">
        <w:rPr>
          <w:rFonts w:ascii="Arial" w:hAnsi="Arial" w:cs="Arial"/>
          <w:sz w:val="20"/>
        </w:rPr>
        <w:t>Section 141 CPA is amended to provide:</w:t>
      </w:r>
    </w:p>
    <w:p w14:paraId="649A0899" w14:textId="77777777" w:rsidR="00176582" w:rsidRDefault="00176582" w:rsidP="00176582">
      <w:pPr>
        <w:spacing w:before="60"/>
        <w:ind w:left="567" w:right="567"/>
        <w:jc w:val="both"/>
        <w:rPr>
          <w:rFonts w:ascii="Arial" w:hAnsi="Arial" w:cs="Arial"/>
          <w:sz w:val="20"/>
        </w:rPr>
      </w:pPr>
      <w:r>
        <w:rPr>
          <w:rFonts w:ascii="Arial" w:hAnsi="Arial" w:cs="Arial"/>
          <w:sz w:val="20"/>
        </w:rPr>
        <w:t>“If a hand-up brief is served and the accused has not elected to stand trial under s.143, the Court must commit the accused for trial in accordance with s.144:</w:t>
      </w:r>
    </w:p>
    <w:p w14:paraId="0448C1EF" w14:textId="77777777" w:rsidR="00176582"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no cross-examination of witnesses, at the end of the committal mention hearing; or</w:t>
      </w:r>
    </w:p>
    <w:p w14:paraId="764493F6" w14:textId="1C2DC0D5" w:rsidR="00176582" w:rsidRPr="003B2ACF"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cross-examination of witnesses, at the end of the committal hearing.</w:t>
      </w:r>
      <w:r w:rsidR="00E42F3E">
        <w:rPr>
          <w:rFonts w:ascii="Arial" w:hAnsi="Arial" w:cs="Arial"/>
          <w:sz w:val="20"/>
        </w:rPr>
        <w:t>”</w:t>
      </w:r>
    </w:p>
    <w:p w14:paraId="547E75F9" w14:textId="42F93003" w:rsidR="00713D4D" w:rsidRDefault="00713D4D" w:rsidP="00114FAA">
      <w:pPr>
        <w:spacing w:before="120"/>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Before committing an accused for trial, s.144(1) requires the </w:t>
      </w:r>
      <w:r w:rsidR="005717E3">
        <w:rPr>
          <w:rFonts w:ascii="Arial" w:hAnsi="Arial" w:cs="Arial"/>
          <w:sz w:val="20"/>
        </w:rPr>
        <w:t>C</w:t>
      </w:r>
      <w:r>
        <w:rPr>
          <w:rFonts w:ascii="Arial" w:hAnsi="Arial" w:cs="Arial"/>
          <w:sz w:val="20"/>
        </w:rPr>
        <w:t>ourt, in the manner prescribed by rules of court, to-</w:t>
      </w:r>
    </w:p>
    <w:p w14:paraId="1280B291"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6E4F27BC"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inform the accused that the sentencing court may take into account a plea of guilty and the stage in the proceeding at which the plea or an intention to plead guilty was indicated.</w:t>
      </w:r>
    </w:p>
    <w:p w14:paraId="6DB446F0" w14:textId="77777777" w:rsidR="00713D4D" w:rsidRDefault="00713D4D" w:rsidP="00713D4D">
      <w:pPr>
        <w:jc w:val="both"/>
        <w:rPr>
          <w:rFonts w:ascii="Arial" w:hAnsi="Arial" w:cs="Arial"/>
          <w:sz w:val="20"/>
        </w:rPr>
      </w:pPr>
    </w:p>
    <w:p w14:paraId="381257E7" w14:textId="38495AE9"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2.06N</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 xml:space="preserve">144(2)(b)(iii) of the CPA, the Court may inform the accused by using the manner of caution set out in Form </w:t>
      </w:r>
      <w:r w:rsidR="00A67090">
        <w:rPr>
          <w:rFonts w:ascii="Arial" w:hAnsi="Arial" w:cs="Arial"/>
          <w:sz w:val="20"/>
          <w:szCs w:val="20"/>
        </w:rPr>
        <w:t>6H</w:t>
      </w:r>
      <w:r>
        <w:rPr>
          <w:rFonts w:ascii="Arial" w:hAnsi="Arial" w:cs="Arial"/>
          <w:sz w:val="20"/>
          <w:szCs w:val="20"/>
        </w:rPr>
        <w:t>which is as follows:</w:t>
      </w:r>
    </w:p>
    <w:p w14:paraId="32C3165B" w14:textId="77777777" w:rsidR="00713D4D" w:rsidRPr="00C0633B" w:rsidRDefault="00713D4D" w:rsidP="00713D4D">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f you plead guilty to all of the charges or some of the charges today or at any time before or during your trial, the sentencing judge may take into account whether you pleaded guilty and the stage in the proceedings at which you pleaded guilty or indicated an intention to plead guilty.</w:t>
      </w:r>
    </w:p>
    <w:p w14:paraId="013D67F2" w14:textId="77777777" w:rsidR="00713D4D" w:rsidRPr="00C0633B" w:rsidRDefault="00713D4D" w:rsidP="00713D4D">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2BC95BF3" w14:textId="77777777" w:rsidR="00713D4D" w:rsidRDefault="00713D4D" w:rsidP="00713D4D">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66D9331F" w14:textId="77777777" w:rsidR="00713D4D" w:rsidRDefault="00713D4D" w:rsidP="00713D4D">
      <w:pPr>
        <w:spacing w:before="60"/>
        <w:ind w:left="567" w:right="567"/>
        <w:jc w:val="both"/>
        <w:rPr>
          <w:rFonts w:ascii="Arial" w:hAnsi="Arial" w:cs="Arial"/>
          <w:sz w:val="20"/>
        </w:rPr>
      </w:pPr>
      <w:r>
        <w:rPr>
          <w:rFonts w:ascii="Arial" w:hAnsi="Arial" w:cs="Arial"/>
          <w:sz w:val="20"/>
          <w:szCs w:val="20"/>
        </w:rPr>
        <w:t>Do you plead guilty or not guilty?”</w:t>
      </w:r>
    </w:p>
    <w:p w14:paraId="358B1A4B" w14:textId="77777777" w:rsidR="00713D4D" w:rsidRDefault="00713D4D" w:rsidP="00713D4D">
      <w:pPr>
        <w:jc w:val="both"/>
        <w:rPr>
          <w:rFonts w:ascii="Arial" w:hAnsi="Arial" w:cs="Arial"/>
          <w:sz w:val="20"/>
        </w:rPr>
      </w:pPr>
    </w:p>
    <w:p w14:paraId="347C924D" w14:textId="43DFE51A" w:rsidR="00713D4D" w:rsidRDefault="00713D4D" w:rsidP="00713D4D">
      <w:pPr>
        <w:jc w:val="both"/>
        <w:rPr>
          <w:rFonts w:ascii="Arial" w:hAnsi="Arial" w:cs="Arial"/>
          <w:sz w:val="20"/>
        </w:rPr>
      </w:pPr>
      <w:r>
        <w:rPr>
          <w:rFonts w:ascii="Arial" w:hAnsi="Arial" w:cs="Arial"/>
          <w:sz w:val="20"/>
        </w:rPr>
        <w:t xml:space="preserve">On committing an accused for trial, s.144(2) requires the </w:t>
      </w:r>
      <w:r w:rsidR="005717E3">
        <w:rPr>
          <w:rFonts w:ascii="Arial" w:hAnsi="Arial" w:cs="Arial"/>
          <w:sz w:val="20"/>
        </w:rPr>
        <w:t>C</w:t>
      </w:r>
      <w:r>
        <w:rPr>
          <w:rFonts w:ascii="Arial" w:hAnsi="Arial" w:cs="Arial"/>
          <w:sz w:val="20"/>
        </w:rPr>
        <w:t>ourt to-</w:t>
      </w:r>
    </w:p>
    <w:p w14:paraId="2A0572C2"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2E104DB3"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4281A1F8" w14:textId="77777777" w:rsidR="00713D4D" w:rsidRDefault="00713D4D" w:rsidP="00713D4D">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022F8E0D" w14:textId="77777777" w:rsidR="00713D4D" w:rsidRDefault="00713D4D" w:rsidP="00713D4D">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75692BDC" w14:textId="77777777" w:rsidR="00713D4D" w:rsidRDefault="00713D4D" w:rsidP="00713D4D">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5EC49E6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37FD62D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0EC54C90" w14:textId="77777777" w:rsidR="00713D4D" w:rsidRDefault="00713D4D" w:rsidP="00713D4D">
      <w:pPr>
        <w:jc w:val="both"/>
        <w:rPr>
          <w:rFonts w:ascii="Arial" w:hAnsi="Arial" w:cs="Arial"/>
          <w:sz w:val="20"/>
        </w:rPr>
      </w:pPr>
    </w:p>
    <w:p w14:paraId="4216F938" w14:textId="1073B7F7"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2.06O</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A67090">
        <w:rPr>
          <w:rFonts w:ascii="Arial" w:hAnsi="Arial" w:cs="Arial"/>
          <w:sz w:val="20"/>
          <w:szCs w:val="20"/>
        </w:rPr>
        <w:t>6</w:t>
      </w:r>
      <w:r w:rsidR="00A67090" w:rsidRPr="00A67090">
        <w:rPr>
          <w:sz w:val="20"/>
          <w:szCs w:val="20"/>
        </w:rPr>
        <w:t>I</w:t>
      </w:r>
      <w:r>
        <w:rPr>
          <w:rFonts w:ascii="Arial" w:hAnsi="Arial" w:cs="Arial"/>
          <w:sz w:val="20"/>
          <w:szCs w:val="20"/>
        </w:rPr>
        <w:t xml:space="preserve"> which is as follows:</w:t>
      </w:r>
    </w:p>
    <w:p w14:paraId="0663A912" w14:textId="77777777" w:rsidR="00713D4D" w:rsidRDefault="00713D4D" w:rsidP="00713D4D">
      <w:pPr>
        <w:pStyle w:val="HTMLPreformatted"/>
        <w:spacing w:before="60"/>
        <w:ind w:left="567" w:right="567"/>
        <w:jc w:val="both"/>
        <w:rPr>
          <w:rFonts w:ascii="Arial" w:hAnsi="Arial" w:cs="Arial"/>
        </w:rPr>
      </w:pPr>
      <w:r>
        <w:rPr>
          <w:rFonts w:ascii="Arial" w:hAnsi="Arial" w:cs="Arial"/>
        </w:rPr>
        <w:t>“</w:t>
      </w:r>
      <w:r w:rsidRPr="00026853">
        <w:rPr>
          <w:rFonts w:ascii="Arial" w:hAnsi="Arial" w:cs="Arial"/>
        </w:rPr>
        <w:t>I caution you that your right to call evidence at trial in support of an alibi is restricted.</w:t>
      </w:r>
    </w:p>
    <w:p w14:paraId="3859D535"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69551889"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The notice must contain–</w:t>
      </w:r>
    </w:p>
    <w:p w14:paraId="009B2826"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5B5FEE41"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0A441327"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709F6E72"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2F5CFCDB" w14:textId="77777777" w:rsidR="00713D4D" w:rsidRPr="00C0633B" w:rsidRDefault="00713D4D" w:rsidP="00713D4D">
      <w:pPr>
        <w:pStyle w:val="HTMLPreformatted"/>
        <w:ind w:left="567" w:right="567"/>
        <w:jc w:val="both"/>
        <w:rPr>
          <w:rFonts w:ascii="Arial" w:hAnsi="Arial" w:cs="Arial"/>
        </w:rPr>
      </w:pPr>
      <w:r>
        <w:rPr>
          <w:rFonts w:ascii="Arial" w:hAnsi="Arial" w:cs="Arial"/>
        </w:rPr>
        <w:t>in support of your alibi.”</w:t>
      </w:r>
    </w:p>
    <w:p w14:paraId="1D5D37B3" w14:textId="77777777" w:rsidR="00713D4D" w:rsidRDefault="00713D4D" w:rsidP="00713D4D">
      <w:pPr>
        <w:jc w:val="both"/>
        <w:rPr>
          <w:rFonts w:ascii="Arial" w:hAnsi="Arial" w:cs="Arial"/>
          <w:sz w:val="20"/>
        </w:rPr>
      </w:pPr>
    </w:p>
    <w:p w14:paraId="1C2E9536" w14:textId="77777777" w:rsidR="00713D4D" w:rsidRDefault="00713D4D" w:rsidP="00713D4D">
      <w:pPr>
        <w:jc w:val="both"/>
        <w:rPr>
          <w:rFonts w:ascii="Arial" w:hAnsi="Arial" w:cs="Arial"/>
          <w:sz w:val="20"/>
        </w:rPr>
      </w:pPr>
      <w:r>
        <w:rPr>
          <w:rFonts w:ascii="Arial" w:hAnsi="Arial" w:cs="Arial"/>
          <w:sz w:val="20"/>
        </w:rPr>
        <w:lastRenderedPageBreak/>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421F0186" w14:textId="77777777" w:rsidR="00713D4D" w:rsidRDefault="00713D4D" w:rsidP="00713D4D">
      <w:pPr>
        <w:jc w:val="both"/>
        <w:rPr>
          <w:rFonts w:ascii="Arial" w:hAnsi="Arial" w:cs="Arial"/>
          <w:sz w:val="20"/>
        </w:rPr>
      </w:pPr>
    </w:p>
    <w:p w14:paraId="3A8A4167" w14:textId="4E1B7F83" w:rsidR="00713D4D" w:rsidRPr="00E035CF" w:rsidRDefault="00713D4D" w:rsidP="00713D4D">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accused has no entitlement to 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also 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2E42BD64" w14:textId="77777777" w:rsidR="001149B3" w:rsidRDefault="001149B3" w:rsidP="0008023B">
      <w:pPr>
        <w:jc w:val="both"/>
        <w:rPr>
          <w:rFonts w:ascii="Arial" w:hAnsi="Arial" w:cs="Arial"/>
          <w:sz w:val="20"/>
        </w:rPr>
      </w:pPr>
    </w:p>
    <w:p w14:paraId="2DD0EA3F" w14:textId="243DFFC2" w:rsidR="00821A45" w:rsidRDefault="00821A45" w:rsidP="00821A45">
      <w:pPr>
        <w:pStyle w:val="Heading3"/>
        <w:keepNext/>
        <w:spacing w:after="80" w:line="240" w:lineRule="auto"/>
        <w:rPr>
          <w:rFonts w:ascii="Arial" w:hAnsi="Arial" w:cs="Arial"/>
          <w:b/>
          <w:bCs/>
          <w:sz w:val="20"/>
        </w:rPr>
      </w:pPr>
      <w:bookmarkStart w:id="98" w:name="_10.2.4_Joint_committal"/>
      <w:bookmarkEnd w:id="98"/>
      <w:r>
        <w:rPr>
          <w:rFonts w:ascii="Arial" w:hAnsi="Arial" w:cs="Arial"/>
          <w:b/>
          <w:bCs/>
          <w:sz w:val="20"/>
        </w:rPr>
        <w:t>10.2.</w:t>
      </w:r>
      <w:r w:rsidR="00713D4D">
        <w:rPr>
          <w:rFonts w:ascii="Arial" w:hAnsi="Arial" w:cs="Arial"/>
          <w:b/>
          <w:bCs/>
          <w:sz w:val="20"/>
        </w:rPr>
        <w:t>6</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26AEFB5D"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w:t>
      </w:r>
      <w:r w:rsidR="00625AF1">
        <w:rPr>
          <w:rFonts w:ascii="Arial" w:hAnsi="Arial" w:cs="Arial"/>
          <w:sz w:val="20"/>
        </w:rPr>
        <w:t>were sometimes</w:t>
      </w:r>
      <w:r w:rsidR="00F1390F">
        <w:rPr>
          <w:rFonts w:ascii="Arial" w:hAnsi="Arial" w:cs="Arial"/>
          <w:sz w:val="20"/>
        </w:rPr>
        <w:t xml:space="preserve"> conducted in cases where:</w:t>
      </w:r>
    </w:p>
    <w:p w14:paraId="083344DB" w14:textId="1BAC1E93" w:rsidR="00F1390F" w:rsidRDefault="00F1390F" w:rsidP="00A300D0">
      <w:pPr>
        <w:numPr>
          <w:ilvl w:val="0"/>
          <w:numId w:val="89"/>
        </w:numPr>
        <w:jc w:val="both"/>
        <w:rPr>
          <w:rFonts w:ascii="Arial" w:hAnsi="Arial" w:cs="Arial"/>
          <w:sz w:val="20"/>
        </w:rPr>
      </w:pPr>
      <w:r>
        <w:rPr>
          <w:rFonts w:ascii="Arial" w:hAnsi="Arial" w:cs="Arial"/>
          <w:sz w:val="20"/>
        </w:rPr>
        <w:t xml:space="preserve">there </w:t>
      </w:r>
      <w:r w:rsidR="00625AF1">
        <w:rPr>
          <w:rFonts w:ascii="Arial" w:hAnsi="Arial" w:cs="Arial"/>
          <w:sz w:val="20"/>
        </w:rPr>
        <w:t>wa</w:t>
      </w:r>
      <w:r>
        <w:rPr>
          <w:rFonts w:ascii="Arial" w:hAnsi="Arial" w:cs="Arial"/>
          <w:sz w:val="20"/>
        </w:rPr>
        <w:t>s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1AFB902E" w:rsidR="00F1390F" w:rsidRDefault="00F1390F" w:rsidP="00A300D0">
      <w:pPr>
        <w:numPr>
          <w:ilvl w:val="0"/>
          <w:numId w:val="89"/>
        </w:numPr>
        <w:jc w:val="both"/>
        <w:rPr>
          <w:rFonts w:ascii="Arial" w:hAnsi="Arial" w:cs="Arial"/>
          <w:sz w:val="20"/>
        </w:rPr>
      </w:pPr>
      <w:r>
        <w:rPr>
          <w:rFonts w:ascii="Arial" w:hAnsi="Arial" w:cs="Arial"/>
          <w:sz w:val="20"/>
        </w:rPr>
        <w:t xml:space="preserve">the charges the subject of the committal included at least one of the </w:t>
      </w:r>
      <w:r w:rsidR="00F63F5B">
        <w:rPr>
          <w:rFonts w:ascii="Arial" w:hAnsi="Arial" w:cs="Arial"/>
          <w:sz w:val="20"/>
        </w:rPr>
        <w:t>seven</w:t>
      </w:r>
      <w:r>
        <w:rPr>
          <w:rFonts w:ascii="Arial" w:hAnsi="Arial" w:cs="Arial"/>
          <w:sz w:val="20"/>
        </w:rPr>
        <w:t xml:space="preserve"> </w:t>
      </w:r>
      <w:r w:rsidR="005851DB">
        <w:rPr>
          <w:rFonts w:ascii="Arial" w:hAnsi="Arial" w:cs="Arial"/>
          <w:sz w:val="20"/>
        </w:rPr>
        <w:t>“</w:t>
      </w:r>
      <w:r>
        <w:rPr>
          <w:rFonts w:ascii="Arial" w:hAnsi="Arial" w:cs="Arial"/>
          <w:sz w:val="20"/>
        </w:rPr>
        <w:t>death offences</w:t>
      </w:r>
      <w:r w:rsidR="005851DB">
        <w:rPr>
          <w:rFonts w:ascii="Arial" w:hAnsi="Arial" w:cs="Arial"/>
          <w:sz w:val="20"/>
        </w:rPr>
        <w:t>”</w:t>
      </w:r>
      <w:r>
        <w:rPr>
          <w:rFonts w:ascii="Arial" w:hAnsi="Arial" w:cs="Arial"/>
          <w:sz w:val="20"/>
        </w:rPr>
        <w:t xml:space="preserve">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2C4ADB2B"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w:t>
      </w:r>
      <w:r w:rsidR="00892A8B">
        <w:rPr>
          <w:rFonts w:ascii="Arial" w:hAnsi="Arial" w:cs="Arial"/>
          <w:sz w:val="20"/>
        </w:rPr>
        <w:t xml:space="preserve">had </w:t>
      </w:r>
      <w:r w:rsidR="00C073D7">
        <w:rPr>
          <w:rFonts w:ascii="Arial" w:hAnsi="Arial" w:cs="Arial"/>
          <w:sz w:val="20"/>
        </w:rPr>
        <w:t xml:space="preserve">a </w:t>
      </w:r>
      <w:r w:rsidR="00625AF1">
        <w:rPr>
          <w:rFonts w:ascii="Arial" w:hAnsi="Arial" w:cs="Arial"/>
          <w:sz w:val="20"/>
        </w:rPr>
        <w:t>statutory</w:t>
      </w:r>
      <w:r w:rsidR="00C073D7">
        <w:rPr>
          <w:rFonts w:ascii="Arial" w:hAnsi="Arial" w:cs="Arial"/>
          <w:sz w:val="20"/>
        </w:rPr>
        <w:t xml:space="preserve"> basis in 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D15C5D">
        <w:rPr>
          <w:rFonts w:ascii="Arial" w:hAnsi="Arial" w:cs="Arial"/>
          <w:sz w:val="20"/>
        </w:rPr>
        <w:t xml:space="preserve">Section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w:t>
      </w:r>
      <w:r w:rsidR="005851DB">
        <w:rPr>
          <w:rFonts w:ascii="Arial" w:hAnsi="Arial" w:cs="Arial"/>
          <w:sz w:val="20"/>
        </w:rPr>
        <w:t>(1)</w:t>
      </w:r>
      <w:r w:rsidR="00817251">
        <w:rPr>
          <w:rFonts w:ascii="Arial" w:hAnsi="Arial" w:cs="Arial"/>
          <w:sz w:val="20"/>
        </w:rPr>
        <w:t xml:space="preserve">(c) </w:t>
      </w:r>
      <w:r w:rsidR="005851DB">
        <w:rPr>
          <w:rFonts w:ascii="Arial" w:hAnsi="Arial" w:cs="Arial"/>
          <w:sz w:val="20"/>
        </w:rPr>
        <w:t xml:space="preserve">to conduct a committal proceeding into a charge against a child for an indictable offence </w:t>
      </w:r>
      <w:r w:rsidR="00817251">
        <w:rPr>
          <w:rFonts w:ascii="Arial" w:hAnsi="Arial" w:cs="Arial"/>
          <w:sz w:val="20"/>
        </w:rPr>
        <w:t>may be exercised concurrently with the jurisdiction of the Magistrates’ Court to conduct a committal proceeding if</w:t>
      </w:r>
      <w:r w:rsidR="00FC5987">
        <w:rPr>
          <w:rFonts w:ascii="Arial" w:hAnsi="Arial" w:cs="Arial"/>
          <w:sz w:val="20"/>
        </w:rPr>
        <w:t>–</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6702EFF8" w14:textId="77777777" w:rsidR="005851DB" w:rsidRDefault="00AE1107" w:rsidP="005851DB">
      <w:pPr>
        <w:tabs>
          <w:tab w:val="left" w:pos="357"/>
        </w:tabs>
        <w:ind w:left="357" w:hanging="357"/>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r w:rsidR="005851DB">
        <w:rPr>
          <w:rFonts w:ascii="Arial" w:hAnsi="Arial" w:cs="Arial"/>
          <w:sz w:val="20"/>
        </w:rPr>
        <w:t xml:space="preserve">– </w:t>
      </w:r>
    </w:p>
    <w:p w14:paraId="46A813D2" w14:textId="77777777" w:rsidR="005851DB" w:rsidRDefault="005851DB" w:rsidP="005851DB">
      <w:pPr>
        <w:numPr>
          <w:ilvl w:val="0"/>
          <w:numId w:val="89"/>
        </w:numPr>
        <w:ind w:left="720"/>
        <w:jc w:val="both"/>
        <w:rPr>
          <w:rFonts w:ascii="Arial" w:hAnsi="Arial" w:cs="Arial"/>
          <w:sz w:val="20"/>
        </w:rPr>
      </w:pPr>
      <w:r>
        <w:rPr>
          <w:rFonts w:ascii="Arial" w:hAnsi="Arial" w:cs="Arial"/>
          <w:sz w:val="20"/>
        </w:rPr>
        <w:t>is of or over the age of 15 years at the time the criminal proceeding against the child for the offence is commenced; and</w:t>
      </w:r>
    </w:p>
    <w:p w14:paraId="316D19C3" w14:textId="5EA459DC" w:rsidR="005851DB" w:rsidRDefault="005851DB" w:rsidP="005851DB">
      <w:pPr>
        <w:numPr>
          <w:ilvl w:val="0"/>
          <w:numId w:val="89"/>
        </w:numPr>
        <w:ind w:left="720"/>
        <w:jc w:val="both"/>
        <w:rPr>
          <w:rFonts w:ascii="Arial" w:hAnsi="Arial" w:cs="Arial"/>
          <w:sz w:val="20"/>
        </w:rPr>
      </w:pPr>
      <w:r>
        <w:rPr>
          <w:rFonts w:ascii="Arial" w:hAnsi="Arial" w:cs="Arial"/>
          <w:sz w:val="20"/>
        </w:rPr>
        <w:t>is charged with one of the seven “death offences”; or</w:t>
      </w:r>
    </w:p>
    <w:p w14:paraId="649B8C91" w14:textId="7B0BC5B8" w:rsidR="005851DB" w:rsidRDefault="005851DB" w:rsidP="005851DB">
      <w:pPr>
        <w:numPr>
          <w:ilvl w:val="0"/>
          <w:numId w:val="89"/>
        </w:numPr>
        <w:ind w:left="720"/>
        <w:jc w:val="both"/>
        <w:rPr>
          <w:rFonts w:ascii="Arial" w:hAnsi="Arial" w:cs="Arial"/>
          <w:sz w:val="20"/>
        </w:rPr>
      </w:pPr>
      <w:r>
        <w:rPr>
          <w:rFonts w:ascii="Arial" w:hAnsi="Arial" w:cs="Arial"/>
          <w:sz w:val="20"/>
        </w:rPr>
        <w:t>is charged with a “designated offence” committed on or after 27/02/2026 and when the child was aged 15 years or over;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041803BD" w14:textId="03053EBA" w:rsidR="005851DB" w:rsidRDefault="005851DB" w:rsidP="005851DB">
      <w:pPr>
        <w:spacing w:before="120"/>
        <w:jc w:val="both"/>
        <w:rPr>
          <w:rFonts w:ascii="Arial" w:hAnsi="Arial" w:cs="Arial"/>
          <w:sz w:val="20"/>
        </w:rPr>
      </w:pPr>
      <w:r>
        <w:rPr>
          <w:rFonts w:ascii="Arial" w:hAnsi="Arial" w:cs="Arial"/>
          <w:sz w:val="20"/>
        </w:rPr>
        <w:t xml:space="preserve">The “designated offences” are defined in s.516(7) of the CYFA as from 27/02/2026 as the following offences against the </w:t>
      </w:r>
      <w:r w:rsidRPr="005851DB">
        <w:rPr>
          <w:rFonts w:ascii="Arial" w:hAnsi="Arial" w:cs="Arial"/>
          <w:i/>
          <w:iCs/>
          <w:sz w:val="20"/>
        </w:rPr>
        <w:t>Crimes Act 1958</w:t>
      </w:r>
      <w:r>
        <w:rPr>
          <w:rFonts w:ascii="Arial" w:hAnsi="Arial" w:cs="Arial"/>
          <w:sz w:val="20"/>
        </w:rPr>
        <w:t>:</w:t>
      </w:r>
    </w:p>
    <w:p w14:paraId="73738F06" w14:textId="7FFF9D5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45FB0530" w14:textId="771A032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17ED6979" w14:textId="740FA1B6"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3A1BEB2A" w14:textId="064F7D1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272405ED" w14:textId="1F50D06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p>
    <w:p w14:paraId="4866A4F2" w14:textId="22FF8A2B" w:rsidR="00C073D7" w:rsidRDefault="00AE1107" w:rsidP="005851DB">
      <w:pPr>
        <w:spacing w:before="120"/>
        <w:jc w:val="both"/>
        <w:rPr>
          <w:rFonts w:ascii="Arial" w:hAnsi="Arial" w:cs="Arial"/>
          <w:sz w:val="20"/>
        </w:rPr>
      </w:pPr>
      <w:r>
        <w:rPr>
          <w:rFonts w:ascii="Arial" w:hAnsi="Arial" w:cs="Arial"/>
          <w:sz w:val="20"/>
        </w:rPr>
        <w:t>Section 516</w:t>
      </w:r>
      <w:proofErr w:type="gramStart"/>
      <w:r>
        <w:rPr>
          <w:rFonts w:ascii="Arial" w:hAnsi="Arial" w:cs="Arial"/>
          <w:sz w:val="20"/>
        </w:rPr>
        <w:t>A(</w:t>
      </w:r>
      <w:proofErr w:type="gramEnd"/>
      <w:r>
        <w:rPr>
          <w:rFonts w:ascii="Arial" w:hAnsi="Arial" w:cs="Arial"/>
          <w:sz w:val="20"/>
        </w:rPr>
        <w:t xml:space="preserve">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 xml:space="preserve">ommittal. Section 516A(3)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 xml:space="preserve">5) </w:t>
      </w:r>
      <w:r w:rsidR="00FC5987">
        <w:rPr>
          <w:rFonts w:ascii="Arial" w:hAnsi="Arial" w:cs="Arial"/>
          <w:sz w:val="20"/>
        </w:rPr>
        <w:t>empowers the Children’s Court to adjourn the proceeding for a period not exceeding 28 days to enable the Magistrates’ Court to determine whether joint committal proceedings are appropriate in the particular case.</w:t>
      </w:r>
      <w:r w:rsidR="00D21213">
        <w:rPr>
          <w:rFonts w:ascii="Arial" w:hAnsi="Arial" w:cs="Arial"/>
          <w:sz w:val="20"/>
        </w:rPr>
        <w:t xml:space="preserve">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53B38AA9" w14:textId="77777777" w:rsidR="005E22A6" w:rsidRPr="009831B9" w:rsidRDefault="005E22A6" w:rsidP="005851DB">
      <w:pPr>
        <w:spacing w:before="120"/>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088AA62B" w14:textId="77777777" w:rsidR="00713D4D" w:rsidRDefault="00713D4D" w:rsidP="00713D4D">
      <w:pPr>
        <w:jc w:val="both"/>
        <w:rPr>
          <w:rFonts w:ascii="Arial" w:hAnsi="Arial" w:cs="Arial"/>
          <w:sz w:val="20"/>
        </w:rPr>
      </w:pPr>
    </w:p>
    <w:p w14:paraId="4A1563D0" w14:textId="6FF29176" w:rsidR="00713D4D" w:rsidRPr="005C5E3E" w:rsidRDefault="00713D4D" w:rsidP="005851DB">
      <w:pPr>
        <w:pStyle w:val="Heading3"/>
        <w:keepNext/>
        <w:keepLines/>
        <w:spacing w:line="240" w:lineRule="auto"/>
        <w:rPr>
          <w:rFonts w:ascii="Arial" w:hAnsi="Arial" w:cs="Arial"/>
          <w:b/>
          <w:bCs/>
          <w:sz w:val="20"/>
          <w:szCs w:val="16"/>
        </w:rPr>
      </w:pPr>
      <w:bookmarkStart w:id="99" w:name="_Fast_tracking_of"/>
      <w:bookmarkStart w:id="100" w:name="_10.2.8_Fast_tracking"/>
      <w:bookmarkEnd w:id="99"/>
      <w:bookmarkEnd w:id="100"/>
      <w:r>
        <w:rPr>
          <w:rFonts w:ascii="Arial" w:hAnsi="Arial" w:cs="Arial"/>
          <w:b/>
          <w:bCs/>
          <w:sz w:val="20"/>
          <w:szCs w:val="16"/>
        </w:rPr>
        <w:lastRenderedPageBreak/>
        <w:t>10.2.7</w:t>
      </w:r>
      <w:r>
        <w:rPr>
          <w:rFonts w:ascii="Arial" w:hAnsi="Arial" w:cs="Arial"/>
          <w:b/>
          <w:bCs/>
          <w:sz w:val="20"/>
          <w:szCs w:val="16"/>
        </w:rPr>
        <w:tab/>
      </w:r>
      <w:r w:rsidR="00330E29">
        <w:rPr>
          <w:rFonts w:ascii="Arial" w:hAnsi="Arial" w:cs="Arial"/>
          <w:b/>
          <w:bCs/>
          <w:sz w:val="20"/>
          <w:szCs w:val="16"/>
        </w:rPr>
        <w:t>Early committal for trial in</w:t>
      </w:r>
      <w:r>
        <w:rPr>
          <w:rFonts w:ascii="Arial" w:hAnsi="Arial" w:cs="Arial"/>
          <w:b/>
          <w:bCs/>
          <w:sz w:val="20"/>
          <w:szCs w:val="16"/>
        </w:rPr>
        <w:t xml:space="preserve"> the Supreme Court</w:t>
      </w:r>
    </w:p>
    <w:p w14:paraId="31A2F223" w14:textId="77777777" w:rsidR="00713D4D" w:rsidRDefault="00713D4D" w:rsidP="005851DB">
      <w:pPr>
        <w:keepNext/>
        <w:keepLines/>
        <w:jc w:val="both"/>
        <w:rPr>
          <w:rFonts w:ascii="Arial" w:hAnsi="Arial" w:cs="Arial"/>
          <w:sz w:val="20"/>
        </w:rPr>
      </w:pPr>
    </w:p>
    <w:p w14:paraId="532FFECE" w14:textId="58764388" w:rsidR="00713D4D" w:rsidRDefault="00713D4D" w:rsidP="00713D4D">
      <w:pPr>
        <w:jc w:val="both"/>
        <w:rPr>
          <w:rFonts w:ascii="Arial" w:hAnsi="Arial" w:cs="Arial"/>
          <w:sz w:val="20"/>
        </w:rPr>
      </w:pPr>
      <w:r>
        <w:rPr>
          <w:rFonts w:ascii="Arial" w:hAnsi="Arial" w:cs="Arial"/>
          <w:sz w:val="20"/>
        </w:rPr>
        <w:t xml:space="preserve">Ordinarily, </w:t>
      </w:r>
      <w:r w:rsidR="00F44782">
        <w:rPr>
          <w:rFonts w:ascii="Arial" w:hAnsi="Arial" w:cs="Arial"/>
          <w:sz w:val="20"/>
        </w:rPr>
        <w:t>homicide</w:t>
      </w:r>
      <w:r>
        <w:rPr>
          <w:rFonts w:ascii="Arial" w:hAnsi="Arial" w:cs="Arial"/>
          <w:sz w:val="20"/>
        </w:rPr>
        <w:t xml:space="preserve"> charges against an accused undergo a committal process in the Children’s Court or the Magistrates’ Court (as the case may be) before the accused is committed to stand trial in the Supreme Court.</w:t>
      </w:r>
    </w:p>
    <w:p w14:paraId="734F19B9" w14:textId="77777777" w:rsidR="00713D4D" w:rsidRDefault="00713D4D" w:rsidP="00713D4D">
      <w:pPr>
        <w:jc w:val="both"/>
        <w:rPr>
          <w:rFonts w:ascii="Arial" w:hAnsi="Arial" w:cs="Arial"/>
          <w:sz w:val="20"/>
        </w:rPr>
      </w:pPr>
    </w:p>
    <w:p w14:paraId="3C9AB5D5" w14:textId="487E8192" w:rsidR="00713D4D" w:rsidRDefault="00713D4D" w:rsidP="00713D4D">
      <w:pPr>
        <w:jc w:val="both"/>
        <w:rPr>
          <w:rFonts w:ascii="Arial" w:hAnsi="Arial" w:cs="Arial"/>
          <w:sz w:val="20"/>
        </w:rPr>
      </w:pPr>
      <w:r>
        <w:rPr>
          <w:rFonts w:ascii="Arial" w:hAnsi="Arial" w:cs="Arial"/>
          <w:sz w:val="20"/>
        </w:rPr>
        <w:t>In response to the COVID-19 pandemic, the Supreme Court introduced a</w:t>
      </w:r>
      <w:r w:rsidR="00330E29">
        <w:rPr>
          <w:rFonts w:ascii="Arial" w:hAnsi="Arial" w:cs="Arial"/>
          <w:sz w:val="20"/>
        </w:rPr>
        <w:t>n informal</w:t>
      </w:r>
      <w:r>
        <w:rPr>
          <w:rFonts w:ascii="Arial" w:hAnsi="Arial" w:cs="Arial"/>
          <w:sz w:val="20"/>
        </w:rPr>
        <w:t xml:space="preserve"> </w:t>
      </w:r>
      <w:r w:rsidR="00F44782">
        <w:rPr>
          <w:rFonts w:ascii="Arial" w:hAnsi="Arial" w:cs="Arial"/>
          <w:sz w:val="20"/>
        </w:rPr>
        <w:t>“</w:t>
      </w:r>
      <w:r>
        <w:rPr>
          <w:rFonts w:ascii="Arial" w:hAnsi="Arial" w:cs="Arial"/>
          <w:sz w:val="20"/>
        </w:rPr>
        <w:t>fast-track committal process</w:t>
      </w:r>
      <w:r w:rsidR="00F44782">
        <w:rPr>
          <w:rFonts w:ascii="Arial" w:hAnsi="Arial" w:cs="Arial"/>
          <w:sz w:val="20"/>
        </w:rPr>
        <w:t>”</w:t>
      </w:r>
      <w:r w:rsidR="00E06381">
        <w:rPr>
          <w:rFonts w:ascii="Arial" w:hAnsi="Arial" w:cs="Arial"/>
          <w:sz w:val="20"/>
        </w:rPr>
        <w:t xml:space="preserve"> in order:</w:t>
      </w:r>
    </w:p>
    <w:p w14:paraId="163E8E50"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 and the Magistrates’ Court;</w:t>
      </w:r>
    </w:p>
    <w:p w14:paraId="78E6560C"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377FF309"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429B70AB" w14:textId="77777777" w:rsidR="00713D4D" w:rsidRDefault="00713D4D" w:rsidP="00713D4D">
      <w:pPr>
        <w:jc w:val="both"/>
        <w:rPr>
          <w:rFonts w:ascii="Arial" w:hAnsi="Arial" w:cs="Arial"/>
          <w:sz w:val="20"/>
        </w:rPr>
      </w:pPr>
    </w:p>
    <w:p w14:paraId="21720284" w14:textId="458B5C9D" w:rsidR="006238D7" w:rsidRDefault="00D07B79" w:rsidP="00713D4D">
      <w:pPr>
        <w:jc w:val="both"/>
        <w:rPr>
          <w:rFonts w:ascii="Arial" w:hAnsi="Arial" w:cs="Arial"/>
          <w:sz w:val="20"/>
        </w:rPr>
      </w:pPr>
      <w:r>
        <w:rPr>
          <w:rFonts w:ascii="Arial" w:hAnsi="Arial" w:cs="Arial"/>
          <w:sz w:val="20"/>
        </w:rPr>
        <w:t xml:space="preserve">For a </w:t>
      </w:r>
      <w:r w:rsidRPr="00D07B79">
        <w:rPr>
          <w:rFonts w:ascii="Arial" w:hAnsi="Arial" w:cs="Arial"/>
          <w:b/>
          <w:bCs/>
          <w:sz w:val="20"/>
          <w:shd w:val="clear" w:color="auto" w:fill="FFF2CC"/>
        </w:rPr>
        <w:t xml:space="preserve">committal proceeding commencing </w:t>
      </w:r>
      <w:r w:rsidR="00330E29" w:rsidRPr="00D07B79">
        <w:rPr>
          <w:rFonts w:ascii="Arial" w:hAnsi="Arial" w:cs="Arial"/>
          <w:b/>
          <w:bCs/>
          <w:sz w:val="20"/>
          <w:shd w:val="clear" w:color="auto" w:fill="FFF2CC"/>
        </w:rPr>
        <w:t xml:space="preserve">on </w:t>
      </w:r>
      <w:r w:rsidRPr="00D07B79">
        <w:rPr>
          <w:rFonts w:ascii="Arial" w:hAnsi="Arial" w:cs="Arial"/>
          <w:b/>
          <w:bCs/>
          <w:sz w:val="20"/>
          <w:shd w:val="clear" w:color="auto" w:fill="FFF2CC"/>
        </w:rPr>
        <w:t xml:space="preserve">or after </w:t>
      </w:r>
      <w:r w:rsidR="00330E29" w:rsidRPr="00D07B79">
        <w:rPr>
          <w:rFonts w:ascii="Arial" w:hAnsi="Arial" w:cs="Arial"/>
          <w:b/>
          <w:bCs/>
          <w:sz w:val="20"/>
          <w:shd w:val="clear" w:color="auto" w:fill="FFF2CC"/>
        </w:rPr>
        <w:t>28 December 2025</w:t>
      </w:r>
      <w:r w:rsidR="00330E29">
        <w:rPr>
          <w:rFonts w:ascii="Arial" w:hAnsi="Arial" w:cs="Arial"/>
          <w:sz w:val="20"/>
        </w:rPr>
        <w:t xml:space="preserve"> this informal process </w:t>
      </w:r>
      <w:r>
        <w:rPr>
          <w:rFonts w:ascii="Arial" w:hAnsi="Arial" w:cs="Arial"/>
          <w:sz w:val="20"/>
        </w:rPr>
        <w:t>is</w:t>
      </w:r>
      <w:r w:rsidR="00330E29">
        <w:rPr>
          <w:rFonts w:ascii="Arial" w:hAnsi="Arial" w:cs="Arial"/>
          <w:sz w:val="20"/>
        </w:rPr>
        <w:t xml:space="preserve"> replaced by new Part 4.6A (ss.127A to127F) of the CPA which provides for </w:t>
      </w:r>
      <w:r w:rsidR="0066555A">
        <w:rPr>
          <w:rFonts w:ascii="Arial" w:hAnsi="Arial" w:cs="Arial"/>
          <w:sz w:val="20"/>
        </w:rPr>
        <w:t>“</w:t>
      </w:r>
      <w:r w:rsidR="00330E29">
        <w:rPr>
          <w:rFonts w:ascii="Arial" w:hAnsi="Arial" w:cs="Arial"/>
          <w:sz w:val="20"/>
        </w:rPr>
        <w:t>early committal for trial in the Supreme Court</w:t>
      </w:r>
      <w:r w:rsidR="0066555A">
        <w:rPr>
          <w:rFonts w:ascii="Arial" w:hAnsi="Arial" w:cs="Arial"/>
          <w:sz w:val="20"/>
        </w:rPr>
        <w:t>”</w:t>
      </w:r>
      <w:r w:rsidR="00330E29">
        <w:rPr>
          <w:rFonts w:ascii="Arial" w:hAnsi="Arial" w:cs="Arial"/>
          <w:sz w:val="20"/>
        </w:rPr>
        <w:t xml:space="preserve"> if–</w:t>
      </w:r>
    </w:p>
    <w:p w14:paraId="0A27086E" w14:textId="245DFAC6" w:rsidR="00330E29" w:rsidRPr="00C00D9A" w:rsidRDefault="00330E29" w:rsidP="005714D6">
      <w:pPr>
        <w:pStyle w:val="ListParagraph"/>
        <w:numPr>
          <w:ilvl w:val="0"/>
          <w:numId w:val="92"/>
        </w:numPr>
        <w:ind w:left="357" w:hanging="357"/>
        <w:jc w:val="both"/>
        <w:rPr>
          <w:rFonts w:ascii="Arial" w:hAnsi="Arial" w:cs="Arial"/>
          <w:sz w:val="20"/>
        </w:rPr>
      </w:pPr>
      <w:r w:rsidRPr="00C00D9A">
        <w:rPr>
          <w:rFonts w:ascii="Arial" w:hAnsi="Arial" w:cs="Arial"/>
          <w:sz w:val="20"/>
        </w:rPr>
        <w:t>the accused is charged with an “applicable offence”, defined in s.127A CPA as</w:t>
      </w:r>
      <w:r w:rsidR="00C00D9A" w:rsidRPr="00C00D9A">
        <w:rPr>
          <w:rFonts w:ascii="Arial" w:hAnsi="Arial" w:cs="Arial"/>
          <w:sz w:val="20"/>
        </w:rPr>
        <w:t xml:space="preserve"> </w:t>
      </w:r>
      <w:r w:rsidRPr="00C00D9A">
        <w:rPr>
          <w:rFonts w:ascii="Arial" w:hAnsi="Arial" w:cs="Arial"/>
          <w:sz w:val="20"/>
        </w:rPr>
        <w:t xml:space="preserve">“an indictable offence that: (a) is not within the jurisdiction of the County Court; </w:t>
      </w:r>
      <w:r w:rsidR="00C00D9A">
        <w:rPr>
          <w:rFonts w:ascii="Arial" w:hAnsi="Arial" w:cs="Arial"/>
          <w:sz w:val="20"/>
        </w:rPr>
        <w:t>or</w:t>
      </w:r>
      <w:r w:rsidRPr="00C00D9A">
        <w:rPr>
          <w:rFonts w:ascii="Arial" w:hAnsi="Arial" w:cs="Arial"/>
          <w:sz w:val="20"/>
        </w:rPr>
        <w:t xml:space="preserve"> (b) is prescribed by the regulations</w:t>
      </w:r>
      <w:r w:rsidR="00C00D9A">
        <w:rPr>
          <w:rFonts w:ascii="Arial" w:hAnsi="Arial" w:cs="Arial"/>
          <w:sz w:val="20"/>
        </w:rPr>
        <w:t>”</w:t>
      </w:r>
      <w:r w:rsidRPr="00C00D9A">
        <w:rPr>
          <w:rFonts w:ascii="Arial" w:hAnsi="Arial" w:cs="Arial"/>
          <w:sz w:val="20"/>
        </w:rPr>
        <w:t>; and</w:t>
      </w:r>
    </w:p>
    <w:p w14:paraId="6BCEE5A5" w14:textId="57E926E3" w:rsidR="00330E29" w:rsidRDefault="00330E29" w:rsidP="00330E29">
      <w:pPr>
        <w:pStyle w:val="ListParagraph"/>
        <w:numPr>
          <w:ilvl w:val="0"/>
          <w:numId w:val="92"/>
        </w:numPr>
        <w:ind w:left="357" w:hanging="357"/>
        <w:jc w:val="both"/>
        <w:rPr>
          <w:rFonts w:ascii="Arial" w:hAnsi="Arial" w:cs="Arial"/>
          <w:sz w:val="20"/>
        </w:rPr>
      </w:pPr>
      <w:r>
        <w:rPr>
          <w:rFonts w:ascii="Arial" w:hAnsi="Arial" w:cs="Arial"/>
          <w:sz w:val="20"/>
        </w:rPr>
        <w:t>a hand-up brief has been served on the accused and filed with the registrar.</w:t>
      </w:r>
    </w:p>
    <w:p w14:paraId="74347018" w14:textId="77777777" w:rsidR="002E06BB" w:rsidRDefault="002E06BB" w:rsidP="00713D4D">
      <w:pPr>
        <w:jc w:val="both"/>
        <w:rPr>
          <w:rFonts w:ascii="Arial" w:hAnsi="Arial" w:cs="Arial"/>
          <w:sz w:val="20"/>
        </w:rPr>
      </w:pPr>
    </w:p>
    <w:p w14:paraId="34F5A574" w14:textId="1D5DD546" w:rsidR="006238D7" w:rsidRDefault="00330E29" w:rsidP="00713D4D">
      <w:pPr>
        <w:jc w:val="both"/>
        <w:rPr>
          <w:rFonts w:ascii="Arial" w:hAnsi="Arial" w:cs="Arial"/>
          <w:sz w:val="20"/>
        </w:rPr>
      </w:pPr>
      <w:r>
        <w:rPr>
          <w:rFonts w:ascii="Arial" w:hAnsi="Arial" w:cs="Arial"/>
          <w:sz w:val="20"/>
        </w:rPr>
        <w:t>Th</w:t>
      </w:r>
      <w:r w:rsidR="0066555A">
        <w:rPr>
          <w:rFonts w:ascii="Arial" w:hAnsi="Arial" w:cs="Arial"/>
          <w:sz w:val="20"/>
        </w:rPr>
        <w:t>is</w:t>
      </w:r>
      <w:r>
        <w:rPr>
          <w:rFonts w:ascii="Arial" w:hAnsi="Arial" w:cs="Arial"/>
          <w:sz w:val="20"/>
        </w:rPr>
        <w:t xml:space="preserve"> </w:t>
      </w:r>
      <w:r w:rsidR="00F44782">
        <w:rPr>
          <w:rFonts w:ascii="Arial" w:hAnsi="Arial" w:cs="Arial"/>
          <w:sz w:val="20"/>
        </w:rPr>
        <w:t>new statutory “</w:t>
      </w:r>
      <w:r w:rsidR="002E06BB">
        <w:rPr>
          <w:rFonts w:ascii="Arial" w:hAnsi="Arial" w:cs="Arial"/>
          <w:sz w:val="20"/>
        </w:rPr>
        <w:t>early committal</w:t>
      </w:r>
      <w:r w:rsidR="0066555A">
        <w:rPr>
          <w:rFonts w:ascii="Arial" w:hAnsi="Arial" w:cs="Arial"/>
          <w:sz w:val="20"/>
        </w:rPr>
        <w:t>”</w:t>
      </w:r>
      <w:r w:rsidR="002E06BB">
        <w:rPr>
          <w:rFonts w:ascii="Arial" w:hAnsi="Arial" w:cs="Arial"/>
          <w:sz w:val="20"/>
        </w:rPr>
        <w:t xml:space="preserve"> jurisdiction is detailed in 3 sections:</w:t>
      </w:r>
    </w:p>
    <w:p w14:paraId="65589820" w14:textId="6F8EDDB7"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[s.127B]: Early committal – if committal proceeding not jointly conducted;</w:t>
      </w:r>
    </w:p>
    <w:p w14:paraId="697B2B9E" w14:textId="64DC462B"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[s.127C]: Early committal – if multiple accused are each charged with an applicable offence;</w:t>
      </w:r>
    </w:p>
    <w:p w14:paraId="5B229BAC" w14:textId="500CC276"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[s.127E]: Early committal – if not every accused is charged with an applicable offence.</w:t>
      </w:r>
    </w:p>
    <w:p w14:paraId="631F2927" w14:textId="299491E2" w:rsidR="00330E29" w:rsidRDefault="008A56C6" w:rsidP="00713D4D">
      <w:pPr>
        <w:jc w:val="both"/>
        <w:rPr>
          <w:rFonts w:ascii="Arial" w:hAnsi="Arial" w:cs="Arial"/>
          <w:sz w:val="20"/>
        </w:rPr>
      </w:pPr>
      <w:r>
        <w:rPr>
          <w:rFonts w:ascii="Arial" w:hAnsi="Arial" w:cs="Arial"/>
          <w:sz w:val="20"/>
        </w:rPr>
        <w:t xml:space="preserve">If the jurisdictional pre-requisites in the </w:t>
      </w:r>
      <w:r w:rsidR="00F44782">
        <w:rPr>
          <w:rFonts w:ascii="Arial" w:hAnsi="Arial" w:cs="Arial"/>
          <w:sz w:val="20"/>
        </w:rPr>
        <w:t xml:space="preserve">relevant </w:t>
      </w:r>
      <w:r>
        <w:rPr>
          <w:rFonts w:ascii="Arial" w:hAnsi="Arial" w:cs="Arial"/>
          <w:sz w:val="20"/>
        </w:rPr>
        <w:t>section are satisfied the Court must commit the accused for trial in the Supreme Court in accordance with s.144 CPA. Pursuant to s.125(1)(a) this is done at a committal mention hearing.</w:t>
      </w:r>
    </w:p>
    <w:p w14:paraId="0E20D292" w14:textId="77777777" w:rsidR="008A56C6" w:rsidRDefault="008A56C6" w:rsidP="00713D4D">
      <w:pPr>
        <w:jc w:val="both"/>
        <w:rPr>
          <w:rFonts w:ascii="Arial" w:hAnsi="Arial" w:cs="Arial"/>
          <w:sz w:val="20"/>
        </w:rPr>
      </w:pPr>
    </w:p>
    <w:p w14:paraId="2633348B" w14:textId="6A7E8DD0" w:rsidR="00330E29" w:rsidRPr="00451308" w:rsidRDefault="002E06BB" w:rsidP="00713D4D">
      <w:pPr>
        <w:jc w:val="both"/>
        <w:rPr>
          <w:rFonts w:ascii="Arial" w:hAnsi="Arial" w:cs="Arial"/>
          <w:sz w:val="20"/>
        </w:rPr>
      </w:pPr>
      <w:r>
        <w:rPr>
          <w:rFonts w:ascii="Arial" w:hAnsi="Arial" w:cs="Arial"/>
          <w:sz w:val="20"/>
        </w:rPr>
        <w:t>Section 127D CPA provides that the Children’s Court must not commit an accused for trial in the Supreme Court under ss.127B or 127C unless the accused consents.</w:t>
      </w:r>
    </w:p>
    <w:p w14:paraId="2C910164" w14:textId="77777777" w:rsidR="00713D4D" w:rsidRDefault="00713D4D" w:rsidP="00713D4D">
      <w:pPr>
        <w:jc w:val="both"/>
        <w:rPr>
          <w:rFonts w:ascii="Arial" w:hAnsi="Arial" w:cs="Arial"/>
          <w:sz w:val="20"/>
        </w:rPr>
      </w:pPr>
    </w:p>
    <w:p w14:paraId="51EF2348" w14:textId="141356C2" w:rsidR="00713D4D" w:rsidRDefault="00713D4D" w:rsidP="00713D4D">
      <w:pPr>
        <w:jc w:val="both"/>
        <w:rPr>
          <w:rFonts w:ascii="Arial" w:hAnsi="Arial" w:cs="Arial"/>
          <w:sz w:val="20"/>
        </w:rPr>
      </w:pPr>
      <w:r>
        <w:rPr>
          <w:rFonts w:ascii="Arial" w:hAnsi="Arial" w:cs="Arial"/>
          <w:sz w:val="20"/>
        </w:rPr>
        <w:t>Once fast-tracked to the Supreme Court, the matter is managed by a judicial registrar.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5E2965B5" w14:textId="77777777" w:rsidR="00713D4D" w:rsidRDefault="00713D4D" w:rsidP="00713D4D">
      <w:pPr>
        <w:jc w:val="both"/>
        <w:rPr>
          <w:rFonts w:ascii="Arial" w:hAnsi="Arial" w:cs="Arial"/>
          <w:sz w:val="20"/>
        </w:rPr>
      </w:pPr>
    </w:p>
    <w:p w14:paraId="752FC7D0" w14:textId="44F3FD0F" w:rsidR="00713D4D" w:rsidRDefault="00713D4D" w:rsidP="00713D4D">
      <w:pPr>
        <w:jc w:val="both"/>
        <w:rPr>
          <w:rFonts w:ascii="Arial" w:hAnsi="Arial" w:cs="Arial"/>
          <w:sz w:val="20"/>
        </w:rPr>
      </w:pPr>
      <w:r>
        <w:rPr>
          <w:rFonts w:ascii="Arial" w:hAnsi="Arial" w:cs="Arial"/>
          <w:sz w:val="20"/>
        </w:rPr>
        <w:t>An eligible matter can be fast-tracked from any venue of the Children’s Court or the Magistrates’ Court in Victoria. 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11E003E5" w14:textId="77777777" w:rsidR="00D7335E" w:rsidRDefault="00D7335E">
      <w:pPr>
        <w:jc w:val="both"/>
        <w:rPr>
          <w:rFonts w:ascii="Arial" w:hAnsi="Arial" w:cs="Arial"/>
          <w:sz w:val="20"/>
        </w:rPr>
      </w:pPr>
      <w:bookmarkStart w:id="101" w:name="_10.2.6_Effect_of"/>
      <w:bookmarkEnd w:id="101"/>
    </w:p>
    <w:p w14:paraId="5A0219B8" w14:textId="216FB599" w:rsidR="00D7335E" w:rsidRDefault="00D7335E">
      <w:pPr>
        <w:pStyle w:val="Heading3"/>
        <w:keepNext/>
        <w:spacing w:after="80" w:line="240" w:lineRule="auto"/>
        <w:rPr>
          <w:rFonts w:ascii="Arial" w:hAnsi="Arial" w:cs="Arial"/>
          <w:b/>
          <w:bCs/>
          <w:sz w:val="20"/>
        </w:rPr>
      </w:pPr>
      <w:bookmarkStart w:id="102" w:name="_10.2.7_Taking_evidence"/>
      <w:bookmarkEnd w:id="102"/>
      <w:r>
        <w:rPr>
          <w:rFonts w:ascii="Arial" w:hAnsi="Arial" w:cs="Arial"/>
          <w:b/>
          <w:bCs/>
          <w:sz w:val="20"/>
        </w:rPr>
        <w:t>10.2.</w:t>
      </w:r>
      <w:r w:rsidR="00713D4D">
        <w:rPr>
          <w:rFonts w:ascii="Arial" w:hAnsi="Arial" w:cs="Arial"/>
          <w:b/>
          <w:bCs/>
          <w:sz w:val="20"/>
        </w:rPr>
        <w:t>8</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49FE2A52" w:rsidR="00D7335E" w:rsidRDefault="00D7335E">
      <w:pPr>
        <w:jc w:val="both"/>
        <w:rPr>
          <w:rFonts w:ascii="Arial" w:hAnsi="Arial" w:cs="Arial"/>
          <w:sz w:val="20"/>
        </w:rPr>
      </w:pPr>
      <w:r>
        <w:rPr>
          <w:rFonts w:ascii="Arial" w:hAnsi="Arial" w:cs="Arial"/>
          <w:sz w:val="20"/>
        </w:rPr>
        <w:t xml:space="preserve">Subsequent to the decision in </w:t>
      </w:r>
      <w:bookmarkStart w:id="103" w:name="_Hlk208571760"/>
      <w:r>
        <w:rPr>
          <w:rFonts w:ascii="Arial" w:hAnsi="Arial" w:cs="Arial"/>
          <w:i/>
          <w:iCs/>
          <w:sz w:val="20"/>
        </w:rPr>
        <w:t>R v Basha</w:t>
      </w:r>
      <w:r>
        <w:rPr>
          <w:rFonts w:ascii="Arial" w:hAnsi="Arial" w:cs="Arial"/>
          <w:sz w:val="20"/>
        </w:rPr>
        <w:t xml:space="preserve"> (1989) 39 A Crim R 337</w:t>
      </w:r>
      <w:bookmarkEnd w:id="103"/>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w:t>
      </w:r>
      <w:r w:rsidR="00F44782">
        <w:rPr>
          <w:rFonts w:ascii="Arial" w:hAnsi="Arial" w:cs="Arial"/>
          <w:b/>
          <w:bCs/>
          <w:sz w:val="20"/>
          <w:shd w:val="clear" w:color="auto" w:fill="C5E0B3" w:themeFill="accent6" w:themeFillTint="66"/>
        </w:rPr>
        <w:t>7</w:t>
      </w:r>
      <w:r w:rsidR="001B36C7">
        <w:rPr>
          <w:rFonts w:ascii="Arial" w:hAnsi="Arial" w:cs="Arial"/>
          <w:sz w:val="20"/>
        </w:rPr>
        <w:t xml:space="preserve"> </w:t>
      </w:r>
      <w:r w:rsidR="00F44782">
        <w:rPr>
          <w:rFonts w:ascii="Arial" w:hAnsi="Arial" w:cs="Arial"/>
          <w:sz w:val="20"/>
        </w:rPr>
        <w:t>above</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proceeding, but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since, and is known as a Basha inquiry.  The practice was referred to </w:t>
      </w:r>
      <w:r>
        <w:rPr>
          <w:rFonts w:ascii="Arial" w:hAnsi="Arial" w:cs="Arial"/>
          <w:sz w:val="20"/>
        </w:rPr>
        <w:lastRenderedPageBreak/>
        <w:t xml:space="preserve">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Indeed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 xml:space="preserve">[41]…It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43F80CEB"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63DD40A4" w14:textId="77777777" w:rsidR="001A4B0E" w:rsidRPr="001A4B0E" w:rsidRDefault="001A4B0E">
      <w:pPr>
        <w:rPr>
          <w:rFonts w:ascii="Arial" w:hAnsi="Arial" w:cs="Arial"/>
          <w:sz w:val="20"/>
        </w:rPr>
      </w:pPr>
      <w:bookmarkStart w:id="104" w:name="_Committal_and_‘uplift’"/>
      <w:bookmarkStart w:id="105" w:name="_Toc30691450"/>
      <w:bookmarkStart w:id="106" w:name="_Toc30691829"/>
      <w:bookmarkStart w:id="107" w:name="_Toc30692209"/>
      <w:bookmarkStart w:id="108" w:name="_Toc30692967"/>
      <w:bookmarkStart w:id="109" w:name="_Toc30693346"/>
      <w:bookmarkStart w:id="110" w:name="_Toc30693724"/>
      <w:bookmarkStart w:id="111" w:name="_Toc30694102"/>
      <w:bookmarkStart w:id="112" w:name="_Toc30694482"/>
      <w:bookmarkStart w:id="113" w:name="_Toc30699072"/>
      <w:bookmarkStart w:id="114" w:name="_Toc30699457"/>
      <w:bookmarkStart w:id="115" w:name="_Toc30699842"/>
      <w:bookmarkStart w:id="116" w:name="_Toc30700997"/>
      <w:bookmarkStart w:id="117" w:name="_Toc30701384"/>
      <w:bookmarkStart w:id="118" w:name="_Toc30743989"/>
      <w:bookmarkStart w:id="119" w:name="_Toc30754812"/>
      <w:bookmarkStart w:id="120" w:name="_Toc30757268"/>
      <w:bookmarkStart w:id="121" w:name="_Toc30757816"/>
      <w:bookmarkStart w:id="122" w:name="_Toc30758216"/>
      <w:bookmarkStart w:id="123" w:name="_Toc30762977"/>
      <w:bookmarkStart w:id="124" w:name="_Toc30767631"/>
      <w:bookmarkStart w:id="125" w:name="_Toc34823649"/>
      <w:bookmarkEnd w:id="104"/>
    </w:p>
    <w:p w14:paraId="34DC7D39" w14:textId="3046C9ED" w:rsidR="00634DDC" w:rsidRPr="00634DDC" w:rsidRDefault="008A267A" w:rsidP="00CD0FDB">
      <w:pPr>
        <w:pStyle w:val="Heading3"/>
        <w:spacing w:after="120" w:line="240" w:lineRule="auto"/>
        <w:rPr>
          <w:rFonts w:ascii="Arial" w:hAnsi="Arial" w:cs="Arial"/>
          <w:b/>
          <w:bCs/>
          <w:sz w:val="20"/>
          <w:szCs w:val="16"/>
        </w:rPr>
      </w:pPr>
      <w:bookmarkStart w:id="126" w:name="_10.2.9_Committal_and"/>
      <w:bookmarkEnd w:id="126"/>
      <w:r>
        <w:rPr>
          <w:rFonts w:ascii="Arial" w:hAnsi="Arial" w:cs="Arial"/>
          <w:b/>
          <w:bCs/>
          <w:sz w:val="20"/>
        </w:rPr>
        <w:t>10.2.9</w:t>
      </w:r>
      <w:r>
        <w:rPr>
          <w:rFonts w:ascii="Arial" w:hAnsi="Arial" w:cs="Arial"/>
          <w:b/>
          <w:bCs/>
          <w:sz w:val="20"/>
        </w:rPr>
        <w:tab/>
      </w:r>
      <w:r w:rsidR="00D20C86">
        <w:rPr>
          <w:rFonts w:ascii="Arial" w:hAnsi="Arial" w:cs="Arial"/>
          <w:b/>
          <w:bCs/>
          <w:sz w:val="20"/>
        </w:rPr>
        <w:t>C</w:t>
      </w:r>
      <w:r w:rsidR="00293DFE">
        <w:rPr>
          <w:rFonts w:ascii="Arial" w:hAnsi="Arial" w:cs="Arial"/>
          <w:b/>
          <w:bCs/>
          <w:sz w:val="20"/>
        </w:rPr>
        <w:t>hildren’s Court c</w:t>
      </w:r>
      <w:r w:rsidR="00D20C86">
        <w:rPr>
          <w:rFonts w:ascii="Arial" w:hAnsi="Arial" w:cs="Arial"/>
          <w:b/>
          <w:bCs/>
          <w:sz w:val="20"/>
        </w:rPr>
        <w:t>ommittal and ‘uplift’ statistics</w:t>
      </w: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348ECE3B" w14:textId="60984BE2" w:rsidR="00D20C86" w:rsidRDefault="00D20C86" w:rsidP="00CD0FDB">
      <w:pPr>
        <w:keepNext/>
        <w:keepLines/>
        <w:spacing w:before="120" w:after="120"/>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Import market quantity border controlled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Possess comm quantity border controlled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lastRenderedPageBreak/>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5F110ABC" w14:textId="7B20416A" w:rsidR="00440183" w:rsidRPr="00440183" w:rsidRDefault="00440183" w:rsidP="00CD0FDB">
      <w:pPr>
        <w:spacing w:before="120"/>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In the 3 year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AA was placed on a youth supervision order on charges of home invasion and theft of motor vehicle;</w:t>
      </w:r>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27"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4B5ED3">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4B5ED3">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4B5ED3">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4B5ED3">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4B5ED3">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4B5ED3">
            <w:pPr>
              <w:jc w:val="center"/>
              <w:rPr>
                <w:b/>
                <w:bCs/>
                <w:sz w:val="20"/>
                <w:szCs w:val="20"/>
              </w:rPr>
            </w:pPr>
            <w:r>
              <w:rPr>
                <w:rFonts w:ascii="MS Gothic" w:eastAsia="MS Gothic" w:hAnsi="MS Gothic" w:hint="eastAsia"/>
                <w:b/>
                <w:bCs/>
                <w:sz w:val="20"/>
                <w:szCs w:val="20"/>
              </w:rPr>
              <w:lastRenderedPageBreak/>
              <w:t>③</w:t>
            </w:r>
          </w:p>
        </w:tc>
        <w:tc>
          <w:tcPr>
            <w:tcW w:w="1984" w:type="dxa"/>
          </w:tcPr>
          <w:p w14:paraId="3A07BD3D" w14:textId="77777777" w:rsidR="00F22E46" w:rsidRPr="00622A59" w:rsidRDefault="00F22E46" w:rsidP="004B5ED3">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4B5ED3">
            <w:pPr>
              <w:jc w:val="center"/>
              <w:rPr>
                <w:b/>
                <w:bCs/>
                <w:sz w:val="20"/>
                <w:szCs w:val="20"/>
              </w:rPr>
            </w:pPr>
            <w:r>
              <w:rPr>
                <w:b/>
                <w:bCs/>
                <w:sz w:val="20"/>
                <w:szCs w:val="20"/>
              </w:rPr>
              <w:t>Murder</w:t>
            </w:r>
          </w:p>
        </w:tc>
        <w:tc>
          <w:tcPr>
            <w:tcW w:w="1758" w:type="dxa"/>
          </w:tcPr>
          <w:p w14:paraId="7DC52EE7" w14:textId="77777777" w:rsidR="00F22E46" w:rsidRPr="00622A59" w:rsidRDefault="00F22E46" w:rsidP="004B5ED3">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4B5ED3">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4B5ED3">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4B5ED3">
            <w:pPr>
              <w:jc w:val="center"/>
              <w:rPr>
                <w:rFonts w:ascii="MS Gothic" w:eastAsia="MS Gothic" w:hAnsi="MS Gothic"/>
                <w:b/>
                <w:bCs/>
                <w:sz w:val="20"/>
                <w:szCs w:val="20"/>
              </w:rPr>
            </w:pPr>
          </w:p>
        </w:tc>
        <w:tc>
          <w:tcPr>
            <w:tcW w:w="1984" w:type="dxa"/>
            <w:vMerge/>
          </w:tcPr>
          <w:p w14:paraId="449EB69A" w14:textId="77777777" w:rsidR="003B1103" w:rsidRDefault="003B1103" w:rsidP="004B5ED3">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4B5ED3">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4B5ED3">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4B5ED3">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4B5ED3">
            <w:pPr>
              <w:jc w:val="center"/>
              <w:rPr>
                <w:b/>
                <w:bCs/>
                <w:sz w:val="20"/>
                <w:szCs w:val="20"/>
              </w:rPr>
            </w:pPr>
            <w:r>
              <w:rPr>
                <w:b/>
                <w:bCs/>
                <w:sz w:val="20"/>
                <w:szCs w:val="20"/>
              </w:rPr>
              <w:t>Murder</w:t>
            </w:r>
          </w:p>
        </w:tc>
        <w:tc>
          <w:tcPr>
            <w:tcW w:w="1758" w:type="dxa"/>
          </w:tcPr>
          <w:p w14:paraId="7DF524E1" w14:textId="1F187B1B" w:rsidR="00DD099D" w:rsidRPr="00622A59" w:rsidRDefault="0005140C" w:rsidP="004B5ED3">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4B5ED3">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4B5ED3">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4B5ED3">
            <w:pPr>
              <w:jc w:val="center"/>
              <w:rPr>
                <w:b/>
                <w:bCs/>
                <w:sz w:val="20"/>
                <w:szCs w:val="20"/>
              </w:rPr>
            </w:pPr>
            <w:r>
              <w:rPr>
                <w:b/>
                <w:bCs/>
                <w:sz w:val="20"/>
                <w:szCs w:val="20"/>
              </w:rPr>
              <w:t>Murder</w:t>
            </w:r>
          </w:p>
        </w:tc>
        <w:tc>
          <w:tcPr>
            <w:tcW w:w="1758" w:type="dxa"/>
          </w:tcPr>
          <w:p w14:paraId="4C0824AB" w14:textId="5FA06F73" w:rsidR="00DD099D" w:rsidRPr="00622A59" w:rsidRDefault="0005140C" w:rsidP="004B5ED3">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4B5ED3">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4B5ED3">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4B5ED3">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4B5ED3">
        <w:trPr>
          <w:gridAfter w:val="1"/>
          <w:wAfter w:w="18" w:type="dxa"/>
          <w:jc w:val="center"/>
        </w:trPr>
        <w:tc>
          <w:tcPr>
            <w:tcW w:w="7991" w:type="dxa"/>
            <w:gridSpan w:val="4"/>
            <w:shd w:val="clear" w:color="auto" w:fill="000000" w:themeFill="text1"/>
          </w:tcPr>
          <w:p w14:paraId="7BAF9D03" w14:textId="34D15C2C" w:rsidR="00C3329A" w:rsidRDefault="00C3329A" w:rsidP="00F648AD">
            <w:pPr>
              <w:keepNext/>
              <w:keepLines/>
              <w:jc w:val="center"/>
              <w:rPr>
                <w:b/>
                <w:bCs/>
              </w:rPr>
            </w:pPr>
            <w:r>
              <w:rPr>
                <w:b/>
                <w:bCs/>
              </w:rPr>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4B5ED3">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4B5ED3">
            <w:pPr>
              <w:jc w:val="center"/>
              <w:rPr>
                <w:b/>
                <w:bCs/>
              </w:rPr>
            </w:pPr>
            <w:r>
              <w:rPr>
                <w:b/>
                <w:bCs/>
              </w:rPr>
              <w:t>DATE OF COMMITTAL ORDER</w:t>
            </w:r>
          </w:p>
        </w:tc>
        <w:tc>
          <w:tcPr>
            <w:tcW w:w="2485" w:type="dxa"/>
            <w:shd w:val="clear" w:color="auto" w:fill="DDDDDD"/>
          </w:tcPr>
          <w:p w14:paraId="38080C36" w14:textId="77777777" w:rsidR="00C3329A" w:rsidRPr="0075267B" w:rsidRDefault="00C3329A" w:rsidP="004B5ED3">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4B5ED3">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4B5ED3">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4B5ED3">
            <w:pPr>
              <w:jc w:val="center"/>
              <w:rPr>
                <w:b/>
                <w:bCs/>
                <w:sz w:val="20"/>
                <w:szCs w:val="20"/>
              </w:rPr>
            </w:pPr>
            <w:r>
              <w:rPr>
                <w:b/>
                <w:bCs/>
                <w:sz w:val="20"/>
                <w:szCs w:val="20"/>
              </w:rPr>
              <w:t>Affray</w:t>
            </w:r>
          </w:p>
        </w:tc>
        <w:tc>
          <w:tcPr>
            <w:tcW w:w="1776" w:type="dxa"/>
          </w:tcPr>
          <w:p w14:paraId="126444FF" w14:textId="77777777" w:rsidR="00C3329A" w:rsidRDefault="00C3329A" w:rsidP="004B5ED3">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4B5ED3">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4B5ED3">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4B5ED3">
            <w:pPr>
              <w:jc w:val="center"/>
              <w:rPr>
                <w:b/>
                <w:bCs/>
                <w:sz w:val="20"/>
                <w:szCs w:val="20"/>
              </w:rPr>
            </w:pPr>
            <w:r>
              <w:rPr>
                <w:b/>
                <w:bCs/>
                <w:sz w:val="20"/>
                <w:szCs w:val="20"/>
              </w:rPr>
              <w:t>Murder</w:t>
            </w:r>
          </w:p>
        </w:tc>
        <w:tc>
          <w:tcPr>
            <w:tcW w:w="1776" w:type="dxa"/>
          </w:tcPr>
          <w:p w14:paraId="3ACBA230" w14:textId="42F42BF6" w:rsidR="00C3329A" w:rsidRPr="00622A59" w:rsidRDefault="00C3329A" w:rsidP="004B5ED3">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4B5ED3">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4B5ED3">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4B5ED3">
            <w:pPr>
              <w:jc w:val="center"/>
              <w:rPr>
                <w:b/>
                <w:bCs/>
                <w:sz w:val="20"/>
                <w:szCs w:val="20"/>
              </w:rPr>
            </w:pPr>
            <w:r>
              <w:rPr>
                <w:b/>
                <w:bCs/>
                <w:sz w:val="20"/>
                <w:szCs w:val="20"/>
              </w:rPr>
              <w:t>Murder</w:t>
            </w:r>
          </w:p>
        </w:tc>
        <w:tc>
          <w:tcPr>
            <w:tcW w:w="1776" w:type="dxa"/>
          </w:tcPr>
          <w:p w14:paraId="4B8F9504" w14:textId="1037F0C8" w:rsidR="00C3329A" w:rsidRPr="00622A59" w:rsidRDefault="00C3329A" w:rsidP="004B5ED3">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4B5ED3">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4B5ED3">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4B5ED3">
            <w:pPr>
              <w:jc w:val="center"/>
              <w:rPr>
                <w:b/>
                <w:bCs/>
                <w:sz w:val="20"/>
                <w:szCs w:val="20"/>
              </w:rPr>
            </w:pPr>
            <w:r>
              <w:rPr>
                <w:b/>
                <w:bCs/>
                <w:sz w:val="20"/>
                <w:szCs w:val="20"/>
              </w:rPr>
              <w:t>Murder</w:t>
            </w:r>
          </w:p>
        </w:tc>
        <w:tc>
          <w:tcPr>
            <w:tcW w:w="1776" w:type="dxa"/>
          </w:tcPr>
          <w:p w14:paraId="64E2E776" w14:textId="1C3918AD" w:rsidR="00C3329A" w:rsidRPr="00622A59" w:rsidRDefault="00C3329A" w:rsidP="004B5ED3">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4B5ED3">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4B5ED3">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4B5ED3">
            <w:pPr>
              <w:jc w:val="center"/>
              <w:rPr>
                <w:b/>
                <w:bCs/>
                <w:sz w:val="20"/>
                <w:szCs w:val="20"/>
              </w:rPr>
            </w:pPr>
            <w:r>
              <w:rPr>
                <w:b/>
                <w:bCs/>
                <w:sz w:val="20"/>
                <w:szCs w:val="20"/>
              </w:rPr>
              <w:t>Murder</w:t>
            </w:r>
          </w:p>
        </w:tc>
        <w:tc>
          <w:tcPr>
            <w:tcW w:w="1776" w:type="dxa"/>
          </w:tcPr>
          <w:p w14:paraId="5ADF2CBC" w14:textId="77777777" w:rsidR="00C3329A" w:rsidRPr="00622A59" w:rsidRDefault="00C3329A" w:rsidP="004B5ED3">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4B5ED3">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4B5ED3">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4B5ED3">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4B5ED3">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4B5ED3">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4B5ED3">
            <w:pPr>
              <w:jc w:val="center"/>
              <w:rPr>
                <w:b/>
                <w:bCs/>
                <w:sz w:val="20"/>
                <w:szCs w:val="20"/>
              </w:rPr>
            </w:pPr>
            <w:r>
              <w:rPr>
                <w:b/>
                <w:bCs/>
                <w:sz w:val="20"/>
                <w:szCs w:val="20"/>
              </w:rPr>
              <w:t>Affray</w:t>
            </w:r>
          </w:p>
        </w:tc>
        <w:tc>
          <w:tcPr>
            <w:tcW w:w="1776" w:type="dxa"/>
          </w:tcPr>
          <w:p w14:paraId="56D0958D" w14:textId="24C36BF8" w:rsidR="00C3329A" w:rsidRDefault="00C3329A" w:rsidP="004B5ED3">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4B5ED3">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4B5ED3">
            <w:pPr>
              <w:jc w:val="center"/>
              <w:rPr>
                <w:b/>
                <w:bCs/>
                <w:sz w:val="20"/>
                <w:szCs w:val="20"/>
              </w:rPr>
            </w:pPr>
            <w:r>
              <w:rPr>
                <w:b/>
                <w:bCs/>
                <w:sz w:val="20"/>
                <w:szCs w:val="20"/>
              </w:rPr>
              <w:t>Murder</w:t>
            </w:r>
          </w:p>
        </w:tc>
        <w:tc>
          <w:tcPr>
            <w:tcW w:w="1776" w:type="dxa"/>
          </w:tcPr>
          <w:p w14:paraId="40D6D37B" w14:textId="6293D869" w:rsidR="00C3329A" w:rsidRDefault="00C3329A" w:rsidP="004B5ED3">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4B5ED3">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4B5ED3">
            <w:pPr>
              <w:jc w:val="center"/>
              <w:rPr>
                <w:b/>
                <w:bCs/>
                <w:sz w:val="20"/>
                <w:szCs w:val="20"/>
              </w:rPr>
            </w:pPr>
            <w:r>
              <w:rPr>
                <w:b/>
                <w:bCs/>
                <w:sz w:val="20"/>
                <w:szCs w:val="20"/>
              </w:rPr>
              <w:t>Murder</w:t>
            </w:r>
          </w:p>
        </w:tc>
        <w:tc>
          <w:tcPr>
            <w:tcW w:w="1776" w:type="dxa"/>
          </w:tcPr>
          <w:p w14:paraId="6468C5A7" w14:textId="5CE20C77" w:rsidR="00C3329A" w:rsidRDefault="00C3329A" w:rsidP="004B5ED3">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4B5ED3">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4B5ED3">
            <w:pPr>
              <w:jc w:val="center"/>
              <w:rPr>
                <w:b/>
                <w:bCs/>
                <w:sz w:val="20"/>
                <w:szCs w:val="20"/>
              </w:rPr>
            </w:pPr>
            <w:r>
              <w:rPr>
                <w:b/>
                <w:bCs/>
                <w:sz w:val="20"/>
                <w:szCs w:val="20"/>
              </w:rPr>
              <w:t>Dangerous driving death</w:t>
            </w:r>
          </w:p>
        </w:tc>
        <w:tc>
          <w:tcPr>
            <w:tcW w:w="1776" w:type="dxa"/>
          </w:tcPr>
          <w:p w14:paraId="33BBD064" w14:textId="670518DB" w:rsidR="00C3329A" w:rsidRDefault="00C3329A" w:rsidP="004B5ED3">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4B5ED3">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4B5ED3">
            <w:pPr>
              <w:jc w:val="center"/>
              <w:rPr>
                <w:b/>
                <w:bCs/>
                <w:sz w:val="20"/>
                <w:szCs w:val="20"/>
              </w:rPr>
            </w:pPr>
            <w:r>
              <w:rPr>
                <w:b/>
                <w:bCs/>
                <w:sz w:val="20"/>
                <w:szCs w:val="20"/>
              </w:rPr>
              <w:t>Aggravated burglary</w:t>
            </w:r>
          </w:p>
        </w:tc>
        <w:tc>
          <w:tcPr>
            <w:tcW w:w="1776" w:type="dxa"/>
          </w:tcPr>
          <w:p w14:paraId="5138CA75" w14:textId="209C2843" w:rsidR="00C3329A" w:rsidRDefault="00C3329A" w:rsidP="004B5ED3">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4B5ED3">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4B5ED3">
            <w:pPr>
              <w:jc w:val="center"/>
              <w:rPr>
                <w:b/>
                <w:bCs/>
                <w:sz w:val="20"/>
                <w:szCs w:val="20"/>
              </w:rPr>
            </w:pPr>
            <w:r>
              <w:rPr>
                <w:b/>
                <w:bCs/>
                <w:sz w:val="20"/>
                <w:szCs w:val="20"/>
              </w:rPr>
              <w:t>Murder</w:t>
            </w:r>
          </w:p>
        </w:tc>
        <w:tc>
          <w:tcPr>
            <w:tcW w:w="1776" w:type="dxa"/>
          </w:tcPr>
          <w:p w14:paraId="07E818C1" w14:textId="21C1624A" w:rsidR="00C3329A" w:rsidRDefault="00C3329A" w:rsidP="004B5ED3">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4B5ED3">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4B5ED3">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4B5ED3">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FF49D0" w:rsidRPr="00622A59" w14:paraId="1E5F4C5B" w14:textId="77777777" w:rsidTr="00067700">
        <w:trPr>
          <w:gridAfter w:val="1"/>
          <w:wAfter w:w="18" w:type="dxa"/>
          <w:jc w:val="center"/>
        </w:trPr>
        <w:tc>
          <w:tcPr>
            <w:tcW w:w="7991" w:type="dxa"/>
            <w:gridSpan w:val="4"/>
            <w:shd w:val="clear" w:color="auto" w:fill="000000" w:themeFill="text1"/>
          </w:tcPr>
          <w:p w14:paraId="3C0EC9C5" w14:textId="1143523F" w:rsidR="00FF49D0" w:rsidRDefault="00FF49D0" w:rsidP="00067700">
            <w:pPr>
              <w:keepNext/>
              <w:keepLines/>
              <w:jc w:val="center"/>
              <w:rPr>
                <w:b/>
                <w:bCs/>
              </w:rPr>
            </w:pPr>
            <w:r>
              <w:rPr>
                <w:b/>
                <w:bCs/>
              </w:rPr>
              <w:t>2024/25</w:t>
            </w:r>
          </w:p>
        </w:tc>
      </w:tr>
      <w:tr w:rsidR="00FF49D0" w:rsidRPr="00622A59" w14:paraId="67DE6477" w14:textId="77777777" w:rsidTr="00067700">
        <w:trPr>
          <w:gridAfter w:val="1"/>
          <w:wAfter w:w="18" w:type="dxa"/>
          <w:jc w:val="center"/>
        </w:trPr>
        <w:tc>
          <w:tcPr>
            <w:tcW w:w="1749" w:type="dxa"/>
            <w:shd w:val="clear" w:color="auto" w:fill="DDDDDD"/>
          </w:tcPr>
          <w:p w14:paraId="490104F7" w14:textId="77777777" w:rsidR="00FF49D0" w:rsidRPr="00B148B3" w:rsidRDefault="00FF49D0" w:rsidP="00067700">
            <w:pPr>
              <w:spacing w:before="240"/>
              <w:jc w:val="center"/>
              <w:rPr>
                <w:b/>
                <w:bCs/>
              </w:rPr>
            </w:pPr>
            <w:r>
              <w:rPr>
                <w:b/>
                <w:bCs/>
              </w:rPr>
              <w:t>INCIDENT</w:t>
            </w:r>
          </w:p>
        </w:tc>
        <w:tc>
          <w:tcPr>
            <w:tcW w:w="1981" w:type="dxa"/>
            <w:shd w:val="clear" w:color="auto" w:fill="DDDDDD"/>
          </w:tcPr>
          <w:p w14:paraId="472863A1" w14:textId="77777777" w:rsidR="00FF49D0" w:rsidRPr="00B148B3" w:rsidRDefault="00FF49D0" w:rsidP="00067700">
            <w:pPr>
              <w:jc w:val="center"/>
              <w:rPr>
                <w:b/>
                <w:bCs/>
              </w:rPr>
            </w:pPr>
            <w:r>
              <w:rPr>
                <w:b/>
                <w:bCs/>
              </w:rPr>
              <w:t>DATE OF COMMITTAL ORDER</w:t>
            </w:r>
          </w:p>
        </w:tc>
        <w:tc>
          <w:tcPr>
            <w:tcW w:w="2485" w:type="dxa"/>
            <w:shd w:val="clear" w:color="auto" w:fill="DDDDDD"/>
          </w:tcPr>
          <w:p w14:paraId="7382E08A" w14:textId="77777777" w:rsidR="00FF49D0" w:rsidRPr="0075267B" w:rsidRDefault="00FF49D0" w:rsidP="00067700">
            <w:pPr>
              <w:spacing w:before="120"/>
              <w:jc w:val="center"/>
              <w:rPr>
                <w:b/>
                <w:bCs/>
              </w:rPr>
            </w:pPr>
            <w:r w:rsidRPr="0075267B">
              <w:rPr>
                <w:b/>
                <w:bCs/>
              </w:rPr>
              <w:t>MAJOR OFFENCE DESCRIPTION</w:t>
            </w:r>
          </w:p>
        </w:tc>
        <w:tc>
          <w:tcPr>
            <w:tcW w:w="1776" w:type="dxa"/>
            <w:shd w:val="clear" w:color="auto" w:fill="DDDDDD"/>
          </w:tcPr>
          <w:p w14:paraId="7EED1227" w14:textId="77777777" w:rsidR="00FF49D0" w:rsidRPr="00622A59" w:rsidRDefault="00FF49D0" w:rsidP="00067700">
            <w:pPr>
              <w:jc w:val="center"/>
              <w:rPr>
                <w:b/>
                <w:bCs/>
              </w:rPr>
            </w:pPr>
            <w:r>
              <w:rPr>
                <w:b/>
                <w:bCs/>
              </w:rPr>
              <w:t>NUMBER OF COMMITTED YOUTH</w:t>
            </w:r>
          </w:p>
        </w:tc>
      </w:tr>
      <w:tr w:rsidR="00FF49D0" w:rsidRPr="00622A59" w14:paraId="43DCF3B4" w14:textId="77777777" w:rsidTr="00067700">
        <w:trPr>
          <w:gridAfter w:val="1"/>
          <w:wAfter w:w="18" w:type="dxa"/>
          <w:jc w:val="center"/>
        </w:trPr>
        <w:tc>
          <w:tcPr>
            <w:tcW w:w="1749" w:type="dxa"/>
          </w:tcPr>
          <w:p w14:paraId="59C124A3" w14:textId="77777777" w:rsidR="00FF49D0" w:rsidRPr="00440183" w:rsidRDefault="00FF49D0" w:rsidP="00067700">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61A76145" w14:textId="7FF82420" w:rsidR="00FF49D0" w:rsidRDefault="00FF49D0" w:rsidP="00067700">
            <w:pPr>
              <w:tabs>
                <w:tab w:val="left" w:pos="284"/>
              </w:tabs>
              <w:jc w:val="center"/>
              <w:rPr>
                <w:b/>
                <w:bCs/>
                <w:sz w:val="20"/>
                <w:szCs w:val="20"/>
              </w:rPr>
            </w:pPr>
            <w:r>
              <w:rPr>
                <w:b/>
                <w:bCs/>
                <w:sz w:val="20"/>
                <w:szCs w:val="20"/>
              </w:rPr>
              <w:t>1</w:t>
            </w:r>
            <w:r w:rsidR="00CC6A69">
              <w:rPr>
                <w:b/>
                <w:bCs/>
                <w:sz w:val="20"/>
                <w:szCs w:val="20"/>
              </w:rPr>
              <w:t>2</w:t>
            </w:r>
            <w:r>
              <w:rPr>
                <w:b/>
                <w:bCs/>
                <w:sz w:val="20"/>
                <w:szCs w:val="20"/>
              </w:rPr>
              <w:t xml:space="preserve"> </w:t>
            </w:r>
            <w:r w:rsidR="00CC6A69">
              <w:rPr>
                <w:b/>
                <w:bCs/>
                <w:sz w:val="20"/>
                <w:szCs w:val="20"/>
              </w:rPr>
              <w:t>Jul</w:t>
            </w:r>
            <w:r>
              <w:rPr>
                <w:b/>
                <w:bCs/>
                <w:sz w:val="20"/>
                <w:szCs w:val="20"/>
              </w:rPr>
              <w:t xml:space="preserve"> 202</w:t>
            </w:r>
            <w:r w:rsidR="00CC6A69">
              <w:rPr>
                <w:b/>
                <w:bCs/>
                <w:sz w:val="20"/>
                <w:szCs w:val="20"/>
              </w:rPr>
              <w:t>4</w:t>
            </w:r>
          </w:p>
        </w:tc>
        <w:tc>
          <w:tcPr>
            <w:tcW w:w="2485" w:type="dxa"/>
            <w:shd w:val="clear" w:color="auto" w:fill="F7D5FF"/>
          </w:tcPr>
          <w:p w14:paraId="6D4B8F05" w14:textId="296AD267" w:rsidR="00FF49D0" w:rsidRDefault="00CC6A69" w:rsidP="00067700">
            <w:pPr>
              <w:jc w:val="center"/>
              <w:rPr>
                <w:b/>
                <w:bCs/>
                <w:sz w:val="20"/>
                <w:szCs w:val="20"/>
              </w:rPr>
            </w:pPr>
            <w:r>
              <w:rPr>
                <w:b/>
                <w:bCs/>
                <w:sz w:val="20"/>
                <w:szCs w:val="20"/>
              </w:rPr>
              <w:t>Armed robbery</w:t>
            </w:r>
          </w:p>
        </w:tc>
        <w:tc>
          <w:tcPr>
            <w:tcW w:w="1776" w:type="dxa"/>
          </w:tcPr>
          <w:p w14:paraId="06BAB5CB" w14:textId="1D95151C" w:rsidR="00FF49D0" w:rsidRDefault="00CC6A69" w:rsidP="00067700">
            <w:pPr>
              <w:jc w:val="center"/>
              <w:rPr>
                <w:b/>
                <w:bCs/>
                <w:sz w:val="20"/>
                <w:szCs w:val="20"/>
              </w:rPr>
            </w:pPr>
            <w:r>
              <w:rPr>
                <w:b/>
                <w:bCs/>
                <w:sz w:val="20"/>
                <w:szCs w:val="20"/>
              </w:rPr>
              <w:t>2</w:t>
            </w:r>
          </w:p>
        </w:tc>
      </w:tr>
      <w:tr w:rsidR="00FF49D0" w:rsidRPr="00622A59" w14:paraId="4D1B5973" w14:textId="77777777" w:rsidTr="00067700">
        <w:trPr>
          <w:gridAfter w:val="1"/>
          <w:wAfter w:w="18" w:type="dxa"/>
          <w:jc w:val="center"/>
        </w:trPr>
        <w:tc>
          <w:tcPr>
            <w:tcW w:w="1749" w:type="dxa"/>
          </w:tcPr>
          <w:p w14:paraId="0E7E1AC2" w14:textId="77777777" w:rsidR="00FF49D0" w:rsidRPr="00622A59" w:rsidRDefault="00FF49D0" w:rsidP="00067700">
            <w:pPr>
              <w:jc w:val="center"/>
              <w:rPr>
                <w:b/>
                <w:bCs/>
                <w:sz w:val="20"/>
                <w:szCs w:val="20"/>
              </w:rPr>
            </w:pPr>
            <w:r>
              <w:rPr>
                <w:rFonts w:ascii="MS Gothic" w:eastAsia="MS Gothic" w:hAnsi="MS Gothic" w:hint="eastAsia"/>
                <w:b/>
                <w:bCs/>
                <w:sz w:val="20"/>
                <w:szCs w:val="20"/>
              </w:rPr>
              <w:t>②</w:t>
            </w:r>
          </w:p>
        </w:tc>
        <w:tc>
          <w:tcPr>
            <w:tcW w:w="1981" w:type="dxa"/>
          </w:tcPr>
          <w:p w14:paraId="16D53A34" w14:textId="7475A979" w:rsidR="00FF49D0" w:rsidRPr="00622A59" w:rsidRDefault="00CC6A69" w:rsidP="00067700">
            <w:pPr>
              <w:tabs>
                <w:tab w:val="left" w:pos="284"/>
              </w:tabs>
              <w:jc w:val="center"/>
              <w:rPr>
                <w:b/>
                <w:bCs/>
                <w:sz w:val="20"/>
                <w:szCs w:val="20"/>
              </w:rPr>
            </w:pPr>
            <w:r>
              <w:rPr>
                <w:b/>
                <w:bCs/>
                <w:sz w:val="20"/>
                <w:szCs w:val="20"/>
              </w:rPr>
              <w:t>28</w:t>
            </w:r>
            <w:r w:rsidR="00FF49D0">
              <w:rPr>
                <w:b/>
                <w:bCs/>
                <w:sz w:val="20"/>
                <w:szCs w:val="20"/>
              </w:rPr>
              <w:t xml:space="preserve"> </w:t>
            </w:r>
            <w:r>
              <w:rPr>
                <w:b/>
                <w:bCs/>
                <w:sz w:val="20"/>
                <w:szCs w:val="20"/>
              </w:rPr>
              <w:t>Nov</w:t>
            </w:r>
            <w:r w:rsidR="00FF49D0">
              <w:rPr>
                <w:b/>
                <w:bCs/>
                <w:sz w:val="20"/>
                <w:szCs w:val="20"/>
              </w:rPr>
              <w:t xml:space="preserve"> 202</w:t>
            </w:r>
            <w:r>
              <w:rPr>
                <w:b/>
                <w:bCs/>
                <w:sz w:val="20"/>
                <w:szCs w:val="20"/>
              </w:rPr>
              <w:t>4</w:t>
            </w:r>
          </w:p>
        </w:tc>
        <w:tc>
          <w:tcPr>
            <w:tcW w:w="2485" w:type="dxa"/>
            <w:shd w:val="clear" w:color="auto" w:fill="F7D5FF"/>
          </w:tcPr>
          <w:p w14:paraId="0D269970" w14:textId="5D342EB9" w:rsidR="00FF49D0" w:rsidRPr="00622A59" w:rsidRDefault="00CC6A69" w:rsidP="00067700">
            <w:pPr>
              <w:jc w:val="center"/>
              <w:rPr>
                <w:b/>
                <w:bCs/>
                <w:sz w:val="20"/>
                <w:szCs w:val="20"/>
              </w:rPr>
            </w:pPr>
            <w:r>
              <w:rPr>
                <w:b/>
                <w:bCs/>
                <w:sz w:val="20"/>
                <w:szCs w:val="20"/>
              </w:rPr>
              <w:t>Culpable driving</w:t>
            </w:r>
          </w:p>
        </w:tc>
        <w:tc>
          <w:tcPr>
            <w:tcW w:w="1776" w:type="dxa"/>
          </w:tcPr>
          <w:p w14:paraId="1CD9082D" w14:textId="06DF2844" w:rsidR="00FF49D0" w:rsidRPr="00622A59" w:rsidRDefault="00CC6A69" w:rsidP="00067700">
            <w:pPr>
              <w:jc w:val="center"/>
              <w:rPr>
                <w:b/>
                <w:bCs/>
                <w:sz w:val="20"/>
                <w:szCs w:val="20"/>
              </w:rPr>
            </w:pPr>
            <w:r>
              <w:rPr>
                <w:b/>
                <w:bCs/>
                <w:sz w:val="20"/>
                <w:szCs w:val="20"/>
              </w:rPr>
              <w:t>1</w:t>
            </w:r>
          </w:p>
        </w:tc>
      </w:tr>
      <w:tr w:rsidR="00FF49D0" w:rsidRPr="00622A59" w14:paraId="0C0FC2D1" w14:textId="77777777" w:rsidTr="00067700">
        <w:trPr>
          <w:gridAfter w:val="1"/>
          <w:wAfter w:w="18" w:type="dxa"/>
          <w:jc w:val="center"/>
        </w:trPr>
        <w:tc>
          <w:tcPr>
            <w:tcW w:w="1749" w:type="dxa"/>
          </w:tcPr>
          <w:p w14:paraId="2D4365F9" w14:textId="77777777" w:rsidR="00FF49D0" w:rsidRPr="00622A59" w:rsidRDefault="00FF49D0" w:rsidP="00067700">
            <w:pPr>
              <w:jc w:val="center"/>
              <w:rPr>
                <w:b/>
                <w:bCs/>
                <w:sz w:val="20"/>
                <w:szCs w:val="20"/>
              </w:rPr>
            </w:pPr>
            <w:r>
              <w:rPr>
                <w:rFonts w:ascii="MS Gothic" w:eastAsia="MS Gothic" w:hAnsi="MS Gothic" w:hint="eastAsia"/>
                <w:b/>
                <w:bCs/>
                <w:sz w:val="20"/>
                <w:szCs w:val="20"/>
              </w:rPr>
              <w:t>③</w:t>
            </w:r>
          </w:p>
        </w:tc>
        <w:tc>
          <w:tcPr>
            <w:tcW w:w="1981" w:type="dxa"/>
          </w:tcPr>
          <w:p w14:paraId="0DABC918" w14:textId="2B0A7552" w:rsidR="00FF49D0" w:rsidRPr="00622A59" w:rsidRDefault="00CC6A69" w:rsidP="00067700">
            <w:pPr>
              <w:tabs>
                <w:tab w:val="left" w:pos="284"/>
              </w:tabs>
              <w:jc w:val="center"/>
              <w:rPr>
                <w:b/>
                <w:bCs/>
                <w:sz w:val="20"/>
                <w:szCs w:val="20"/>
              </w:rPr>
            </w:pPr>
            <w:r>
              <w:rPr>
                <w:b/>
                <w:bCs/>
                <w:sz w:val="20"/>
                <w:szCs w:val="20"/>
              </w:rPr>
              <w:t>30 Jan 2025</w:t>
            </w:r>
          </w:p>
        </w:tc>
        <w:tc>
          <w:tcPr>
            <w:tcW w:w="2485" w:type="dxa"/>
            <w:shd w:val="clear" w:color="auto" w:fill="F7D5FF"/>
          </w:tcPr>
          <w:p w14:paraId="124E43B6" w14:textId="77777777" w:rsidR="00FF49D0" w:rsidRPr="00622A59" w:rsidRDefault="00FF49D0" w:rsidP="00067700">
            <w:pPr>
              <w:jc w:val="center"/>
              <w:rPr>
                <w:b/>
                <w:bCs/>
                <w:sz w:val="20"/>
                <w:szCs w:val="20"/>
              </w:rPr>
            </w:pPr>
            <w:r>
              <w:rPr>
                <w:b/>
                <w:bCs/>
                <w:sz w:val="20"/>
                <w:szCs w:val="20"/>
              </w:rPr>
              <w:t>Murder</w:t>
            </w:r>
          </w:p>
        </w:tc>
        <w:tc>
          <w:tcPr>
            <w:tcW w:w="1776" w:type="dxa"/>
          </w:tcPr>
          <w:p w14:paraId="5F88541D" w14:textId="77777777" w:rsidR="00FF49D0" w:rsidRPr="00622A59" w:rsidRDefault="00FF49D0" w:rsidP="00067700">
            <w:pPr>
              <w:jc w:val="center"/>
              <w:rPr>
                <w:b/>
                <w:bCs/>
                <w:sz w:val="20"/>
                <w:szCs w:val="20"/>
              </w:rPr>
            </w:pPr>
            <w:r>
              <w:rPr>
                <w:b/>
                <w:bCs/>
                <w:sz w:val="20"/>
                <w:szCs w:val="20"/>
              </w:rPr>
              <w:t>1</w:t>
            </w:r>
          </w:p>
        </w:tc>
      </w:tr>
      <w:tr w:rsidR="00FF49D0" w:rsidRPr="00622A59" w14:paraId="5965AE59" w14:textId="77777777" w:rsidTr="00067700">
        <w:trPr>
          <w:gridAfter w:val="1"/>
          <w:wAfter w:w="18" w:type="dxa"/>
          <w:trHeight w:val="187"/>
          <w:jc w:val="center"/>
        </w:trPr>
        <w:tc>
          <w:tcPr>
            <w:tcW w:w="1749" w:type="dxa"/>
          </w:tcPr>
          <w:p w14:paraId="53B17D14" w14:textId="77777777" w:rsidR="00FF49D0" w:rsidRPr="00622A59" w:rsidRDefault="00FF49D0" w:rsidP="00067700">
            <w:pPr>
              <w:jc w:val="center"/>
              <w:rPr>
                <w:b/>
                <w:bCs/>
                <w:sz w:val="20"/>
                <w:szCs w:val="20"/>
              </w:rPr>
            </w:pPr>
            <w:r>
              <w:rPr>
                <w:rFonts w:ascii="MS Gothic" w:eastAsia="MS Gothic" w:hAnsi="MS Gothic" w:hint="eastAsia"/>
                <w:b/>
                <w:bCs/>
                <w:sz w:val="20"/>
                <w:szCs w:val="20"/>
              </w:rPr>
              <w:t>④</w:t>
            </w:r>
          </w:p>
        </w:tc>
        <w:tc>
          <w:tcPr>
            <w:tcW w:w="1981" w:type="dxa"/>
          </w:tcPr>
          <w:p w14:paraId="5B184819" w14:textId="55E3B608" w:rsidR="00FF49D0" w:rsidRPr="00622A59" w:rsidRDefault="00CC6A69" w:rsidP="00067700">
            <w:pPr>
              <w:tabs>
                <w:tab w:val="left" w:pos="284"/>
              </w:tabs>
              <w:jc w:val="center"/>
              <w:rPr>
                <w:b/>
                <w:bCs/>
                <w:sz w:val="20"/>
                <w:szCs w:val="20"/>
              </w:rPr>
            </w:pPr>
            <w:r>
              <w:rPr>
                <w:b/>
                <w:bCs/>
                <w:sz w:val="20"/>
                <w:szCs w:val="20"/>
              </w:rPr>
              <w:t>11 Jun 2025</w:t>
            </w:r>
          </w:p>
        </w:tc>
        <w:tc>
          <w:tcPr>
            <w:tcW w:w="2485" w:type="dxa"/>
            <w:shd w:val="clear" w:color="auto" w:fill="F7D5FF"/>
          </w:tcPr>
          <w:p w14:paraId="4D92CD22" w14:textId="4AAC6419" w:rsidR="00FF49D0" w:rsidRPr="003B1103" w:rsidRDefault="007B0D3F" w:rsidP="00067700">
            <w:pPr>
              <w:jc w:val="center"/>
              <w:rPr>
                <w:b/>
                <w:bCs/>
                <w:sz w:val="20"/>
                <w:szCs w:val="20"/>
              </w:rPr>
            </w:pPr>
            <w:r>
              <w:rPr>
                <w:b/>
                <w:bCs/>
                <w:sz w:val="20"/>
                <w:szCs w:val="20"/>
              </w:rPr>
              <w:t>Aggravated home invasion</w:t>
            </w:r>
          </w:p>
        </w:tc>
        <w:tc>
          <w:tcPr>
            <w:tcW w:w="1776" w:type="dxa"/>
          </w:tcPr>
          <w:p w14:paraId="13D47A54" w14:textId="797562FC" w:rsidR="00FF49D0" w:rsidRPr="00622A59" w:rsidRDefault="00CC6A69" w:rsidP="00067700">
            <w:pPr>
              <w:jc w:val="center"/>
              <w:rPr>
                <w:b/>
                <w:bCs/>
                <w:sz w:val="20"/>
                <w:szCs w:val="20"/>
              </w:rPr>
            </w:pPr>
            <w:r>
              <w:rPr>
                <w:b/>
                <w:bCs/>
                <w:sz w:val="20"/>
                <w:szCs w:val="20"/>
              </w:rPr>
              <w:t>1</w:t>
            </w:r>
          </w:p>
        </w:tc>
      </w:tr>
      <w:tr w:rsidR="00FF49D0" w:rsidRPr="00622A59" w14:paraId="0D80CF1B" w14:textId="77777777" w:rsidTr="00067700">
        <w:trPr>
          <w:gridAfter w:val="1"/>
          <w:wAfter w:w="18" w:type="dxa"/>
          <w:jc w:val="center"/>
        </w:trPr>
        <w:tc>
          <w:tcPr>
            <w:tcW w:w="1749" w:type="dxa"/>
          </w:tcPr>
          <w:p w14:paraId="2CDE7143" w14:textId="77777777" w:rsidR="00FF49D0" w:rsidRPr="00622A59" w:rsidRDefault="00FF49D0" w:rsidP="00067700">
            <w:pPr>
              <w:jc w:val="center"/>
              <w:rPr>
                <w:b/>
                <w:bCs/>
                <w:sz w:val="20"/>
                <w:szCs w:val="20"/>
              </w:rPr>
            </w:pPr>
            <w:r>
              <w:rPr>
                <w:rFonts w:ascii="MS Gothic" w:eastAsia="MS Gothic" w:hAnsi="MS Gothic" w:hint="eastAsia"/>
                <w:b/>
                <w:bCs/>
                <w:sz w:val="20"/>
                <w:szCs w:val="20"/>
              </w:rPr>
              <w:t>⑤</w:t>
            </w:r>
          </w:p>
        </w:tc>
        <w:tc>
          <w:tcPr>
            <w:tcW w:w="1981" w:type="dxa"/>
          </w:tcPr>
          <w:p w14:paraId="6CABE483" w14:textId="7BA7FAA7" w:rsidR="00FF49D0" w:rsidRPr="00622A59" w:rsidRDefault="00CC6A69" w:rsidP="00067700">
            <w:pPr>
              <w:tabs>
                <w:tab w:val="left" w:pos="284"/>
              </w:tabs>
              <w:jc w:val="center"/>
              <w:rPr>
                <w:b/>
                <w:bCs/>
                <w:sz w:val="20"/>
                <w:szCs w:val="20"/>
              </w:rPr>
            </w:pPr>
            <w:r>
              <w:rPr>
                <w:b/>
                <w:bCs/>
                <w:sz w:val="20"/>
                <w:szCs w:val="20"/>
              </w:rPr>
              <w:t>27 Jun 2025</w:t>
            </w:r>
          </w:p>
        </w:tc>
        <w:tc>
          <w:tcPr>
            <w:tcW w:w="2485" w:type="dxa"/>
            <w:shd w:val="clear" w:color="auto" w:fill="F7D5FF"/>
          </w:tcPr>
          <w:p w14:paraId="196A793E" w14:textId="77777777" w:rsidR="00FF49D0" w:rsidRPr="00622A59" w:rsidRDefault="00FF49D0" w:rsidP="00067700">
            <w:pPr>
              <w:jc w:val="center"/>
              <w:rPr>
                <w:b/>
                <w:bCs/>
                <w:sz w:val="20"/>
                <w:szCs w:val="20"/>
              </w:rPr>
            </w:pPr>
            <w:r>
              <w:rPr>
                <w:b/>
                <w:bCs/>
                <w:sz w:val="20"/>
                <w:szCs w:val="20"/>
              </w:rPr>
              <w:t>Murder</w:t>
            </w:r>
          </w:p>
        </w:tc>
        <w:tc>
          <w:tcPr>
            <w:tcW w:w="1776" w:type="dxa"/>
          </w:tcPr>
          <w:p w14:paraId="24B9F88C" w14:textId="77777777" w:rsidR="00FF49D0" w:rsidRPr="00622A59" w:rsidRDefault="00FF49D0" w:rsidP="00067700">
            <w:pPr>
              <w:jc w:val="center"/>
              <w:rPr>
                <w:b/>
                <w:bCs/>
                <w:sz w:val="20"/>
                <w:szCs w:val="20"/>
              </w:rPr>
            </w:pPr>
            <w:r>
              <w:rPr>
                <w:b/>
                <w:bCs/>
                <w:sz w:val="20"/>
                <w:szCs w:val="20"/>
              </w:rPr>
              <w:t>1</w:t>
            </w:r>
          </w:p>
        </w:tc>
      </w:tr>
      <w:tr w:rsidR="00FF49D0" w:rsidRPr="00622A59" w14:paraId="4997FCD7" w14:textId="77777777" w:rsidTr="00067700">
        <w:trPr>
          <w:jc w:val="center"/>
        </w:trPr>
        <w:tc>
          <w:tcPr>
            <w:tcW w:w="3730" w:type="dxa"/>
            <w:gridSpan w:val="2"/>
            <w:shd w:val="clear" w:color="auto" w:fill="000000" w:themeFill="text1"/>
          </w:tcPr>
          <w:p w14:paraId="7A429EEC" w14:textId="77777777" w:rsidR="00FF49D0" w:rsidRPr="00622A59" w:rsidRDefault="00FF49D0" w:rsidP="00067700">
            <w:pPr>
              <w:tabs>
                <w:tab w:val="left" w:pos="284"/>
              </w:tabs>
              <w:jc w:val="center"/>
              <w:rPr>
                <w:b/>
                <w:bCs/>
                <w:sz w:val="20"/>
                <w:szCs w:val="20"/>
              </w:rPr>
            </w:pPr>
          </w:p>
        </w:tc>
        <w:tc>
          <w:tcPr>
            <w:tcW w:w="2485" w:type="dxa"/>
            <w:shd w:val="clear" w:color="auto" w:fill="000000" w:themeFill="text1"/>
          </w:tcPr>
          <w:p w14:paraId="68D7B194" w14:textId="77777777" w:rsidR="00FF49D0" w:rsidRPr="00622A59" w:rsidRDefault="00FF49D0" w:rsidP="00067700">
            <w:pPr>
              <w:jc w:val="center"/>
              <w:rPr>
                <w:b/>
                <w:bCs/>
                <w:sz w:val="20"/>
                <w:szCs w:val="20"/>
              </w:rPr>
            </w:pPr>
            <w:r>
              <w:rPr>
                <w:b/>
                <w:bCs/>
                <w:sz w:val="20"/>
                <w:szCs w:val="20"/>
              </w:rPr>
              <w:t>TOTAL</w:t>
            </w:r>
          </w:p>
        </w:tc>
        <w:tc>
          <w:tcPr>
            <w:tcW w:w="1794" w:type="dxa"/>
            <w:gridSpan w:val="2"/>
            <w:shd w:val="clear" w:color="auto" w:fill="000000" w:themeFill="text1"/>
          </w:tcPr>
          <w:p w14:paraId="35C45FB2" w14:textId="3A1862AA" w:rsidR="00FF49D0" w:rsidRPr="00622A59" w:rsidRDefault="00FF49D0" w:rsidP="00067700">
            <w:pPr>
              <w:jc w:val="center"/>
              <w:rPr>
                <w:b/>
                <w:bCs/>
                <w:sz w:val="20"/>
                <w:szCs w:val="20"/>
              </w:rPr>
            </w:pPr>
            <w:r>
              <w:rPr>
                <w:b/>
                <w:bCs/>
                <w:sz w:val="20"/>
                <w:szCs w:val="20"/>
              </w:rPr>
              <w:t>6</w:t>
            </w:r>
          </w:p>
        </w:tc>
      </w:tr>
    </w:tbl>
    <w:p w14:paraId="66CBA164" w14:textId="77777777" w:rsidR="00FF49D0" w:rsidRDefault="00FF49D0" w:rsidP="00FF49D0">
      <w:pPr>
        <w:jc w:val="both"/>
        <w:rPr>
          <w:rFonts w:ascii="Arial" w:hAnsi="Arial" w:cs="Arial"/>
          <w:b/>
          <w:bCs/>
          <w:sz w:val="20"/>
          <w:szCs w:val="20"/>
        </w:rPr>
      </w:pPr>
    </w:p>
    <w:p w14:paraId="5632E2B8" w14:textId="0C056527" w:rsidR="00FF49D0"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made by the Children’s Court statewide</w:t>
      </w:r>
      <w:r w:rsidR="00FF49D0">
        <w:rPr>
          <w:rFonts w:ascii="Arial" w:hAnsi="Arial" w:cs="Arial"/>
          <w:sz w:val="20"/>
          <w:szCs w:val="20"/>
        </w:rPr>
        <w:t>:</w:t>
      </w:r>
    </w:p>
    <w:p w14:paraId="5F5429DA" w14:textId="06984CB1" w:rsidR="006E047F" w:rsidRDefault="006E047F"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2022/23 for the 16 young persons who were committed for trial arising </w:t>
      </w:r>
      <w:r w:rsidR="00CC6A69">
        <w:rPr>
          <w:rFonts w:ascii="Arial" w:hAnsi="Arial" w:cs="Arial"/>
          <w:sz w:val="20"/>
          <w:szCs w:val="20"/>
        </w:rPr>
        <w:t>f</w:t>
      </w:r>
      <w:r>
        <w:rPr>
          <w:rFonts w:ascii="Arial" w:hAnsi="Arial" w:cs="Arial"/>
          <w:sz w:val="20"/>
          <w:szCs w:val="20"/>
        </w:rPr>
        <w:t>rom 6 separate incidents; and</w:t>
      </w:r>
    </w:p>
    <w:p w14:paraId="57B6E1B5" w14:textId="430CDBAC" w:rsidR="00FF49D0" w:rsidRDefault="00AE509E"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in 2023/24 for the 16 young persons who were committed for trial arising from 12 separate incidents</w:t>
      </w:r>
      <w:r w:rsidR="00FF49D0">
        <w:rPr>
          <w:rFonts w:ascii="Arial" w:hAnsi="Arial" w:cs="Arial"/>
          <w:sz w:val="20"/>
          <w:szCs w:val="20"/>
        </w:rPr>
        <w:t>; and</w:t>
      </w:r>
    </w:p>
    <w:p w14:paraId="6CD05EA6" w14:textId="24CC263B" w:rsidR="00FF49D0" w:rsidRPr="001D3D77" w:rsidRDefault="00FF49D0"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2024/25 for the </w:t>
      </w:r>
      <w:r w:rsidR="00EB0F6C">
        <w:rPr>
          <w:rFonts w:ascii="Arial" w:hAnsi="Arial" w:cs="Arial"/>
          <w:sz w:val="20"/>
          <w:szCs w:val="20"/>
        </w:rPr>
        <w:t>6</w:t>
      </w:r>
      <w:r>
        <w:rPr>
          <w:rFonts w:ascii="Arial" w:hAnsi="Arial" w:cs="Arial"/>
          <w:sz w:val="20"/>
          <w:szCs w:val="20"/>
        </w:rPr>
        <w:t xml:space="preserve"> young persons who were committed for trial arising from </w:t>
      </w:r>
      <w:r w:rsidR="00EB0F6C">
        <w:rPr>
          <w:rFonts w:ascii="Arial" w:hAnsi="Arial" w:cs="Arial"/>
          <w:sz w:val="20"/>
          <w:szCs w:val="20"/>
        </w:rPr>
        <w:t>5</w:t>
      </w:r>
      <w:r>
        <w:rPr>
          <w:rFonts w:ascii="Arial" w:hAnsi="Arial" w:cs="Arial"/>
          <w:sz w:val="20"/>
          <w:szCs w:val="20"/>
        </w:rPr>
        <w:t xml:space="preserve"> separate incidents.</w:t>
      </w:r>
    </w:p>
    <w:p w14:paraId="6D14361C" w14:textId="77777777" w:rsidR="00BF122D" w:rsidRDefault="00BF122D" w:rsidP="00D20C86">
      <w:pPr>
        <w:rPr>
          <w:rFonts w:ascii="Arial" w:hAnsi="Arial" w:cs="Arial"/>
          <w:sz w:val="20"/>
          <w:szCs w:val="20"/>
        </w:rPr>
      </w:pPr>
    </w:p>
    <w:bookmarkEnd w:id="127"/>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28" w:name="_10.3_Criminal_Division"/>
      <w:bookmarkEnd w:id="128"/>
      <w:r>
        <w:rPr>
          <w:rFonts w:ascii="Arial" w:hAnsi="Arial" w:cs="Arial"/>
          <w:b/>
          <w:bCs/>
        </w:rPr>
        <w:lastRenderedPageBreak/>
        <w:t>10.3</w:t>
      </w:r>
      <w:r>
        <w:rPr>
          <w:rFonts w:ascii="Arial" w:hAnsi="Arial" w:cs="Arial"/>
          <w:b/>
          <w:bCs/>
        </w:rPr>
        <w:tab/>
        <w:t>Criminal Division summary proceedings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29" w:name="_10.3.1_Jurisdiction"/>
      <w:bookmarkStart w:id="130" w:name="_Toc30743990"/>
      <w:bookmarkStart w:id="131" w:name="_Toc30754813"/>
      <w:bookmarkStart w:id="132" w:name="_Toc30757269"/>
      <w:bookmarkStart w:id="133" w:name="_Toc30757817"/>
      <w:bookmarkStart w:id="134" w:name="_Toc30758217"/>
      <w:bookmarkStart w:id="135" w:name="_Toc30762978"/>
      <w:bookmarkStart w:id="136" w:name="_Toc30767632"/>
      <w:bookmarkStart w:id="137" w:name="_Toc34823650"/>
      <w:bookmarkEnd w:id="129"/>
      <w:r>
        <w:rPr>
          <w:rFonts w:ascii="Arial" w:hAnsi="Arial" w:cs="Arial"/>
          <w:b/>
          <w:bCs/>
          <w:sz w:val="20"/>
        </w:rPr>
        <w:t>10.3.1</w:t>
      </w:r>
      <w:r>
        <w:rPr>
          <w:rFonts w:ascii="Arial" w:hAnsi="Arial" w:cs="Arial"/>
          <w:b/>
          <w:bCs/>
          <w:sz w:val="20"/>
        </w:rPr>
        <w:tab/>
        <w:t>Jurisdiction</w:t>
      </w:r>
      <w:bookmarkEnd w:id="130"/>
      <w:bookmarkEnd w:id="131"/>
      <w:bookmarkEnd w:id="132"/>
      <w:bookmarkEnd w:id="133"/>
      <w:bookmarkEnd w:id="134"/>
      <w:bookmarkEnd w:id="135"/>
      <w:bookmarkEnd w:id="136"/>
      <w:bookmarkEnd w:id="137"/>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32"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">
                <v:line id="Line 84" o:spid="_x0000_s1033"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4"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5"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6"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7"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8"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9"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40"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41"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42"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3"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v:textbox>
                    </v:shape>
                    <v:line id="Line 95" o:spid="_x0000_s1044"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5"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6"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7"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8"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9"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50"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51"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52"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3"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4"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5"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6"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7"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8"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9"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60"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61"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62"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3"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4"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5"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6"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7"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8"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9"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70"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Nq8/Os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4B923545"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D20A52E"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38" w:name="_10.3.2_Transfer_of"/>
      <w:bookmarkEnd w:id="138"/>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39" w:name="_10.3.2_Hearings"/>
      <w:bookmarkStart w:id="140" w:name="_Toc30743991"/>
      <w:bookmarkStart w:id="141" w:name="_Toc30754814"/>
      <w:bookmarkStart w:id="142" w:name="_Toc30757270"/>
      <w:bookmarkStart w:id="143" w:name="_Toc30757818"/>
      <w:bookmarkStart w:id="144" w:name="_Toc30758218"/>
      <w:bookmarkStart w:id="145" w:name="_Toc30762979"/>
      <w:bookmarkStart w:id="146" w:name="_Toc30767633"/>
      <w:bookmarkStart w:id="147" w:name="_Toc34823651"/>
      <w:bookmarkEnd w:id="139"/>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40"/>
      <w:bookmarkEnd w:id="141"/>
      <w:bookmarkEnd w:id="142"/>
      <w:bookmarkEnd w:id="143"/>
      <w:bookmarkEnd w:id="144"/>
      <w:bookmarkEnd w:id="145"/>
      <w:bookmarkEnd w:id="146"/>
      <w:bookmarkEnd w:id="147"/>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48" w:name="_10.3.2.1_Mention"/>
      <w:bookmarkEnd w:id="148"/>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49" w:name="_10.3.2.2_Diversion"/>
      <w:bookmarkEnd w:id="149"/>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50" w:name="_10.3.2.3_Summary_case"/>
      <w:bookmarkEnd w:id="150"/>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51" w:name="_10.3.2.3_Contest_mention"/>
      <w:bookmarkEnd w:id="151"/>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issues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to enable an informal mediation to be conducted by a magistrate with the aim of enabling the case to be resolved without a fully contested hearing;  this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52" w:name="_10.3.2.4_Contested_hearing"/>
      <w:bookmarkEnd w:id="152"/>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53" w:name="_10.3.3.5A_Contested_hearing"/>
      <w:bookmarkEnd w:id="153"/>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4B5ED3">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4B5ED3">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4B5ED3">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4B5ED3">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4B5ED3">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4B5ED3">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4B5ED3">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4B5ED3">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4B5ED3">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4B5ED3">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4B5ED3">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4B5ED3">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4B5ED3">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4B5ED3">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4B5ED3">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4B5ED3">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4B5ED3">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4B5ED3">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4B5ED3">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4B5ED3">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4B5ED3">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4B5ED3">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4B5ED3">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4B5ED3">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4B5ED3">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4B5ED3">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4B5ED3">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4B5ED3">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4B5ED3">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4B5ED3">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4B5ED3">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4B5ED3">
            <w:pPr>
              <w:jc w:val="both"/>
              <w:rPr>
                <w:rFonts w:ascii="Arial" w:hAnsi="Arial" w:cs="Arial"/>
                <w:sz w:val="20"/>
              </w:rPr>
            </w:pPr>
            <w:r>
              <w:rPr>
                <w:rFonts w:ascii="Arial" w:hAnsi="Arial" w:cs="Arial"/>
                <w:sz w:val="20"/>
              </w:rPr>
              <w:t xml:space="preserve">Evidential burden on accused for exception, exemption, proviso, excuse or qualification to suggest a reasonable possibility of the existence of facts that, if they existed, would establish the exception etc.  </w:t>
            </w:r>
          </w:p>
          <w:p w14:paraId="297C97BD" w14:textId="77777777" w:rsidR="00E8437A" w:rsidRDefault="00E8437A" w:rsidP="004B5ED3">
            <w:pPr>
              <w:jc w:val="both"/>
              <w:rPr>
                <w:rFonts w:ascii="Arial" w:hAnsi="Arial" w:cs="Arial"/>
                <w:sz w:val="20"/>
              </w:rPr>
            </w:pPr>
            <w:r w:rsidRPr="003B0481">
              <w:rPr>
                <w:rFonts w:ascii="Arial" w:hAnsi="Arial" w:cs="Arial"/>
                <w:noProof/>
                <w:sz w:val="20"/>
              </w:rPr>
              <w:lastRenderedPageBreak/>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71"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ZFQIAACg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54"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54"/>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lastRenderedPageBreak/>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55" w:name="_10.3.3.5B_Contested_hearing"/>
      <w:bookmarkStart w:id="156" w:name="_Hlk155616675"/>
      <w:bookmarkEnd w:id="155"/>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56"/>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57"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58"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review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lastRenderedPageBreak/>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Teh</w:t>
      </w:r>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57"/>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59"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59"/>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58"/>
    <w:p w14:paraId="3AA81459" w14:textId="77777777" w:rsidR="00862C33" w:rsidRDefault="00862C33" w:rsidP="00862C33">
      <w:pPr>
        <w:jc w:val="both"/>
        <w:rPr>
          <w:rFonts w:ascii="Arial" w:hAnsi="Arial" w:cs="Arial"/>
          <w:color w:val="000000"/>
          <w:sz w:val="20"/>
          <w:szCs w:val="20"/>
        </w:rPr>
      </w:pPr>
      <w:r>
        <w:rPr>
          <w:rFonts w:ascii="Arial" w:hAnsi="Arial" w:cs="Arial"/>
          <w:sz w:val="20"/>
        </w:rPr>
        <w:lastRenderedPageBreak/>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lastRenderedPageBreak/>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16 year old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Zelling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[46]</w:t>
      </w:r>
      <w:r w:rsidR="00D94E75">
        <w:rPr>
          <w:rFonts w:ascii="Arial" w:hAnsi="Arial" w:cs="Arial"/>
          <w:sz w:val="20"/>
          <w:szCs w:val="20"/>
        </w:rPr>
        <w:noBreakHyphen/>
      </w:r>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w:t>
      </w:r>
      <w:r w:rsidRPr="001766CF">
        <w:rPr>
          <w:rFonts w:ascii="Arial" w:hAnsi="Arial" w:cs="Arial"/>
          <w:sz w:val="20"/>
          <w:szCs w:val="20"/>
        </w:rPr>
        <w:lastRenderedPageBreak/>
        <w:t>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 xml:space="preserve">witness may be </w:t>
      </w:r>
      <w:r w:rsidR="008B5B19" w:rsidRPr="008B5B19">
        <w:rPr>
          <w:rFonts w:ascii="Arial" w:hAnsi="Arial" w:cs="Arial"/>
          <w:sz w:val="20"/>
          <w:szCs w:val="20"/>
        </w:rPr>
        <w:lastRenderedPageBreak/>
        <w:t>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730ACA35" w14:textId="32F0BB45" w:rsidR="009B0E9A" w:rsidRDefault="00A56907" w:rsidP="00302C9E">
      <w:pPr>
        <w:jc w:val="both"/>
        <w:rPr>
          <w:rFonts w:ascii="Arial" w:hAnsi="Arial" w:cs="Arial"/>
          <w:sz w:val="20"/>
          <w:szCs w:val="20"/>
        </w:rPr>
      </w:pPr>
      <w:bookmarkStart w:id="160" w:name="_Hlk216250891"/>
      <w:r>
        <w:rPr>
          <w:rFonts w:ascii="Arial" w:hAnsi="Arial" w:cs="Arial"/>
          <w:sz w:val="20"/>
          <w:szCs w:val="20"/>
        </w:rPr>
        <w:t xml:space="preserve">In </w:t>
      </w:r>
      <w:r w:rsidRPr="00A56907">
        <w:rPr>
          <w:rFonts w:ascii="Arial" w:hAnsi="Arial" w:cs="Arial"/>
          <w:i/>
          <w:iCs/>
          <w:sz w:val="20"/>
          <w:szCs w:val="20"/>
        </w:rPr>
        <w:t>Tran (a pseudonym) v The King</w:t>
      </w:r>
      <w:r>
        <w:rPr>
          <w:rFonts w:ascii="Arial" w:hAnsi="Arial" w:cs="Arial"/>
          <w:sz w:val="20"/>
          <w:szCs w:val="20"/>
        </w:rPr>
        <w:t xml:space="preserve"> [2025] VSCA 303 the applicant had been found guilty of rape involving an allegation of oral penetration of his complainant niece </w:t>
      </w:r>
      <w:r w:rsidR="007E1D1B">
        <w:rPr>
          <w:rFonts w:ascii="Arial" w:hAnsi="Arial" w:cs="Arial"/>
          <w:sz w:val="20"/>
          <w:szCs w:val="20"/>
        </w:rPr>
        <w:t xml:space="preserve">some 20 </w:t>
      </w:r>
      <w:r>
        <w:rPr>
          <w:rFonts w:ascii="Arial" w:hAnsi="Arial" w:cs="Arial"/>
          <w:sz w:val="20"/>
          <w:szCs w:val="20"/>
        </w:rPr>
        <w:t xml:space="preserve">years before when his niece was a teenager. </w:t>
      </w:r>
      <w:r w:rsidRPr="00A56907">
        <w:rPr>
          <w:rFonts w:ascii="Arial" w:hAnsi="Arial" w:cs="Arial"/>
          <w:sz w:val="20"/>
          <w:szCs w:val="20"/>
        </w:rPr>
        <w:t xml:space="preserve">The Crown case was founded on evidence by the complainant of a repressed memory. </w:t>
      </w:r>
      <w:r w:rsidR="007E1D1B">
        <w:rPr>
          <w:rFonts w:ascii="Arial" w:hAnsi="Arial" w:cs="Arial"/>
          <w:sz w:val="20"/>
          <w:szCs w:val="20"/>
        </w:rPr>
        <w:t>Her</w:t>
      </w:r>
      <w:r w:rsidRPr="00A56907">
        <w:rPr>
          <w:rFonts w:ascii="Arial" w:hAnsi="Arial" w:cs="Arial"/>
          <w:sz w:val="20"/>
          <w:szCs w:val="20"/>
        </w:rPr>
        <w:t xml:space="preserve"> evidence was that she blocked out all memory of the incident but recovered it 14 to 16 years after the event</w:t>
      </w:r>
      <w:r>
        <w:rPr>
          <w:rFonts w:ascii="Arial" w:hAnsi="Arial" w:cs="Arial"/>
          <w:sz w:val="20"/>
          <w:szCs w:val="20"/>
        </w:rPr>
        <w:t xml:space="preserve"> </w:t>
      </w:r>
      <w:r w:rsidRPr="00A56907">
        <w:rPr>
          <w:rFonts w:ascii="Arial" w:hAnsi="Arial" w:cs="Arial"/>
          <w:sz w:val="20"/>
          <w:szCs w:val="20"/>
        </w:rPr>
        <w:t xml:space="preserve">when the applicant made a sexualised remark about </w:t>
      </w:r>
      <w:r w:rsidR="007E1D1B">
        <w:rPr>
          <w:rFonts w:ascii="Arial" w:hAnsi="Arial" w:cs="Arial"/>
          <w:sz w:val="20"/>
          <w:szCs w:val="20"/>
        </w:rPr>
        <w:t>her</w:t>
      </w:r>
      <w:r w:rsidRPr="00A56907">
        <w:rPr>
          <w:rFonts w:ascii="Arial" w:hAnsi="Arial" w:cs="Arial"/>
          <w:sz w:val="20"/>
          <w:szCs w:val="20"/>
        </w:rPr>
        <w:t xml:space="preserve"> two year old daughter in the complainant’s presence.</w:t>
      </w:r>
      <w:r>
        <w:rPr>
          <w:rFonts w:ascii="Arial" w:hAnsi="Arial" w:cs="Arial"/>
          <w:sz w:val="20"/>
          <w:szCs w:val="20"/>
        </w:rPr>
        <w:t xml:space="preserve"> </w:t>
      </w:r>
      <w:r w:rsidR="009B0E9A">
        <w:rPr>
          <w:rFonts w:ascii="Arial" w:hAnsi="Arial" w:cs="Arial"/>
          <w:sz w:val="20"/>
          <w:szCs w:val="20"/>
        </w:rPr>
        <w:t>The meaning of the comment in Vietnamese was ambiguous. The r</w:t>
      </w:r>
      <w:r w:rsidR="009B0E9A" w:rsidRPr="00A56907">
        <w:rPr>
          <w:rFonts w:ascii="Arial" w:hAnsi="Arial" w:cs="Arial"/>
          <w:sz w:val="20"/>
          <w:szCs w:val="20"/>
        </w:rPr>
        <w:t xml:space="preserve">ecovered memory </w:t>
      </w:r>
      <w:r w:rsidR="009B0E9A">
        <w:rPr>
          <w:rFonts w:ascii="Arial" w:hAnsi="Arial" w:cs="Arial"/>
          <w:sz w:val="20"/>
          <w:szCs w:val="20"/>
        </w:rPr>
        <w:t xml:space="preserve">was </w:t>
      </w:r>
      <w:r w:rsidR="009B0E9A" w:rsidRPr="00A56907">
        <w:rPr>
          <w:rFonts w:ascii="Arial" w:hAnsi="Arial" w:cs="Arial"/>
          <w:sz w:val="20"/>
          <w:szCs w:val="20"/>
        </w:rPr>
        <w:t xml:space="preserve">one of two purportedly recovered as part of déjà vu following </w:t>
      </w:r>
      <w:r w:rsidR="009B0E9A">
        <w:rPr>
          <w:rFonts w:ascii="Arial" w:hAnsi="Arial" w:cs="Arial"/>
          <w:sz w:val="20"/>
          <w:szCs w:val="20"/>
        </w:rPr>
        <w:t xml:space="preserve">the </w:t>
      </w:r>
      <w:r w:rsidR="009B0E9A" w:rsidRPr="00A56907">
        <w:rPr>
          <w:rFonts w:ascii="Arial" w:hAnsi="Arial" w:cs="Arial"/>
          <w:sz w:val="20"/>
          <w:szCs w:val="20"/>
        </w:rPr>
        <w:t xml:space="preserve">same trigger at </w:t>
      </w:r>
      <w:r w:rsidR="009B0E9A">
        <w:rPr>
          <w:rFonts w:ascii="Arial" w:hAnsi="Arial" w:cs="Arial"/>
          <w:sz w:val="20"/>
          <w:szCs w:val="20"/>
        </w:rPr>
        <w:t xml:space="preserve">the </w:t>
      </w:r>
      <w:r w:rsidR="009B0E9A" w:rsidRPr="00A56907">
        <w:rPr>
          <w:rFonts w:ascii="Arial" w:hAnsi="Arial" w:cs="Arial"/>
          <w:sz w:val="20"/>
          <w:szCs w:val="20"/>
        </w:rPr>
        <w:t xml:space="preserve">same time in respect of applicant and </w:t>
      </w:r>
      <w:r w:rsidR="009B0E9A">
        <w:rPr>
          <w:rFonts w:ascii="Arial" w:hAnsi="Arial" w:cs="Arial"/>
          <w:sz w:val="20"/>
          <w:szCs w:val="20"/>
        </w:rPr>
        <w:t xml:space="preserve">a </w:t>
      </w:r>
      <w:r w:rsidR="009B0E9A" w:rsidRPr="00A56907">
        <w:rPr>
          <w:rFonts w:ascii="Arial" w:hAnsi="Arial" w:cs="Arial"/>
          <w:sz w:val="20"/>
          <w:szCs w:val="20"/>
        </w:rPr>
        <w:t>friend of applicant</w:t>
      </w:r>
      <w:r w:rsidR="009B0E9A">
        <w:rPr>
          <w:rFonts w:ascii="Arial" w:hAnsi="Arial" w:cs="Arial"/>
          <w:sz w:val="20"/>
          <w:szCs w:val="20"/>
        </w:rPr>
        <w:t>. The f</w:t>
      </w:r>
      <w:r w:rsidR="009B0E9A" w:rsidRPr="00A56907">
        <w:rPr>
          <w:rFonts w:ascii="Arial" w:hAnsi="Arial" w:cs="Arial"/>
          <w:sz w:val="20"/>
          <w:szCs w:val="20"/>
        </w:rPr>
        <w:t xml:space="preserve">riend of </w:t>
      </w:r>
      <w:r w:rsidR="009B0E9A">
        <w:rPr>
          <w:rFonts w:ascii="Arial" w:hAnsi="Arial" w:cs="Arial"/>
          <w:sz w:val="20"/>
          <w:szCs w:val="20"/>
        </w:rPr>
        <w:t xml:space="preserve">the </w:t>
      </w:r>
      <w:r w:rsidR="009B0E9A" w:rsidRPr="00A56907">
        <w:rPr>
          <w:rFonts w:ascii="Arial" w:hAnsi="Arial" w:cs="Arial"/>
          <w:sz w:val="20"/>
          <w:szCs w:val="20"/>
        </w:rPr>
        <w:t xml:space="preserve">applicant </w:t>
      </w:r>
      <w:r w:rsidR="009B0E9A">
        <w:rPr>
          <w:rFonts w:ascii="Arial" w:hAnsi="Arial" w:cs="Arial"/>
          <w:sz w:val="20"/>
          <w:szCs w:val="20"/>
        </w:rPr>
        <w:t xml:space="preserve">had given </w:t>
      </w:r>
      <w:r w:rsidR="009B0E9A" w:rsidRPr="00A56907">
        <w:rPr>
          <w:rFonts w:ascii="Arial" w:hAnsi="Arial" w:cs="Arial"/>
          <w:sz w:val="20"/>
          <w:szCs w:val="20"/>
        </w:rPr>
        <w:t xml:space="preserve">unchallenged evidence </w:t>
      </w:r>
      <w:r w:rsidR="00F1716D" w:rsidRPr="00A56907">
        <w:rPr>
          <w:rFonts w:ascii="Arial" w:hAnsi="Arial" w:cs="Arial"/>
          <w:sz w:val="20"/>
          <w:szCs w:val="20"/>
        </w:rPr>
        <w:t xml:space="preserve">at </w:t>
      </w:r>
      <w:r w:rsidR="00F1716D">
        <w:rPr>
          <w:rFonts w:ascii="Arial" w:hAnsi="Arial" w:cs="Arial"/>
          <w:sz w:val="20"/>
          <w:szCs w:val="20"/>
        </w:rPr>
        <w:t xml:space="preserve">the applicant’s </w:t>
      </w:r>
      <w:r w:rsidR="00F1716D" w:rsidRPr="00A56907">
        <w:rPr>
          <w:rFonts w:ascii="Arial" w:hAnsi="Arial" w:cs="Arial"/>
          <w:sz w:val="20"/>
          <w:szCs w:val="20"/>
        </w:rPr>
        <w:t xml:space="preserve">trial </w:t>
      </w:r>
      <w:r w:rsidR="009B0E9A" w:rsidRPr="00A56907">
        <w:rPr>
          <w:rFonts w:ascii="Arial" w:hAnsi="Arial" w:cs="Arial"/>
          <w:sz w:val="20"/>
          <w:szCs w:val="20"/>
        </w:rPr>
        <w:t>denying offending by him</w:t>
      </w:r>
      <w:r w:rsidR="009B0E9A">
        <w:rPr>
          <w:rFonts w:ascii="Arial" w:hAnsi="Arial" w:cs="Arial"/>
          <w:sz w:val="20"/>
          <w:szCs w:val="20"/>
        </w:rPr>
        <w:t xml:space="preserve">. The Court of Appeal </w:t>
      </w:r>
      <w:r w:rsidR="00437258">
        <w:rPr>
          <w:rFonts w:ascii="Arial" w:hAnsi="Arial" w:cs="Arial"/>
          <w:sz w:val="20"/>
          <w:szCs w:val="20"/>
        </w:rPr>
        <w:t>granted leave to appeal, allowed the appeal against conviction, set aside the guilty verdict and entered a verdict of acquittal. At</w:t>
      </w:r>
      <w:r w:rsidR="007E1D1B">
        <w:rPr>
          <w:rFonts w:ascii="Arial" w:hAnsi="Arial" w:cs="Arial"/>
          <w:sz w:val="20"/>
          <w:szCs w:val="20"/>
        </w:rPr>
        <w:t> </w:t>
      </w:r>
      <w:r w:rsidR="00437258">
        <w:rPr>
          <w:rFonts w:ascii="Arial" w:hAnsi="Arial" w:cs="Arial"/>
          <w:sz w:val="20"/>
          <w:szCs w:val="20"/>
        </w:rPr>
        <w:t>[61] &amp; [103]-[104] Taylor, Boyce &amp; Osborn JJA said:</w:t>
      </w:r>
    </w:p>
    <w:p w14:paraId="0F2DF89D" w14:textId="75E73E62" w:rsidR="00437258" w:rsidRDefault="00437258" w:rsidP="00437258">
      <w:pPr>
        <w:spacing w:before="60"/>
        <w:ind w:left="567" w:right="567"/>
        <w:jc w:val="both"/>
        <w:rPr>
          <w:rFonts w:ascii="Arial" w:hAnsi="Arial" w:cs="Arial"/>
          <w:sz w:val="20"/>
          <w:szCs w:val="20"/>
        </w:rPr>
      </w:pPr>
      <w:r w:rsidRPr="00F35256">
        <w:rPr>
          <w:rFonts w:ascii="Arial" w:hAnsi="Arial" w:cs="Arial"/>
          <w:sz w:val="20"/>
          <w:szCs w:val="20"/>
        </w:rPr>
        <w:t xml:space="preserve">[61] “The question which must be addressed in the present case is whether, in light of the evidence as a whole, the jury acting rationally must have entertained a reasonable doubt about accepting the complainant’s evidence as to her recovered memory with respect to the charged event, upon which conviction depended: </w:t>
      </w:r>
      <w:r w:rsidR="00F35256" w:rsidRPr="00F35256">
        <w:rPr>
          <w:rFonts w:ascii="Arial" w:hAnsi="Arial" w:cs="Arial"/>
          <w:i/>
          <w:iCs/>
          <w:sz w:val="20"/>
          <w:szCs w:val="20"/>
        </w:rPr>
        <w:t>Pell v The Queen</w:t>
      </w:r>
      <w:r w:rsidR="00F35256" w:rsidRPr="00F35256">
        <w:rPr>
          <w:rFonts w:ascii="Arial" w:hAnsi="Arial" w:cs="Arial"/>
          <w:sz w:val="20"/>
          <w:szCs w:val="20"/>
        </w:rPr>
        <w:t xml:space="preserve"> (2020) 268 CLR 123, 145 [39]; </w:t>
      </w:r>
      <w:r w:rsidR="00F35256" w:rsidRPr="00F35256">
        <w:rPr>
          <w:rFonts w:ascii="Arial" w:hAnsi="Arial" w:cs="Arial"/>
          <w:i/>
          <w:iCs/>
          <w:sz w:val="20"/>
          <w:szCs w:val="20"/>
        </w:rPr>
        <w:t>M v The Queen</w:t>
      </w:r>
      <w:r w:rsidR="00F35256" w:rsidRPr="00F35256">
        <w:rPr>
          <w:rFonts w:ascii="Arial" w:hAnsi="Arial" w:cs="Arial"/>
          <w:sz w:val="20"/>
          <w:szCs w:val="20"/>
        </w:rPr>
        <w:t xml:space="preserve"> (1994) 181 CLR 487, 494.</w:t>
      </w:r>
      <w:r w:rsidR="00F35256">
        <w:rPr>
          <w:rFonts w:ascii="Arial" w:hAnsi="Arial" w:cs="Arial"/>
          <w:sz w:val="20"/>
          <w:szCs w:val="20"/>
        </w:rPr>
        <w:t>”</w:t>
      </w:r>
    </w:p>
    <w:p w14:paraId="1E252A9A" w14:textId="10F0963C" w:rsidR="00F35256" w:rsidRDefault="00F35256" w:rsidP="00437258">
      <w:pPr>
        <w:spacing w:before="60"/>
        <w:ind w:left="567" w:right="567"/>
        <w:jc w:val="both"/>
        <w:rPr>
          <w:rFonts w:ascii="Arial" w:hAnsi="Arial" w:cs="Arial"/>
          <w:sz w:val="20"/>
          <w:szCs w:val="20"/>
        </w:rPr>
      </w:pPr>
      <w:r>
        <w:rPr>
          <w:rFonts w:ascii="Arial" w:hAnsi="Arial" w:cs="Arial"/>
          <w:sz w:val="20"/>
          <w:szCs w:val="20"/>
        </w:rPr>
        <w:t>[103] “</w:t>
      </w:r>
      <w:r w:rsidRPr="009B0E9A">
        <w:rPr>
          <w:rFonts w:ascii="Arial" w:hAnsi="Arial" w:cs="Arial"/>
          <w:sz w:val="20"/>
          <w:szCs w:val="20"/>
        </w:rPr>
        <w:t xml:space="preserve">When the evidence of recovered memory is assessed against the circumstantial evidence as a whole, it is reasonably possible the complainant’s memory is true but it is </w:t>
      </w:r>
      <w:r w:rsidRPr="009B0E9A">
        <w:rPr>
          <w:rFonts w:ascii="Arial" w:hAnsi="Arial" w:cs="Arial"/>
          <w:sz w:val="20"/>
          <w:szCs w:val="20"/>
        </w:rPr>
        <w:lastRenderedPageBreak/>
        <w:t>also reasonably possible that it is untrue. The complainant’s recovered memory was demonstrated by the evidence as a whole to be materially flawed.</w:t>
      </w:r>
    </w:p>
    <w:p w14:paraId="01B40D28" w14:textId="1635ED5F" w:rsidR="00F35256" w:rsidRPr="00F35256" w:rsidRDefault="00F35256" w:rsidP="00437258">
      <w:pPr>
        <w:spacing w:before="60"/>
        <w:ind w:left="567" w:right="567"/>
        <w:jc w:val="both"/>
        <w:rPr>
          <w:rFonts w:ascii="Arial" w:hAnsi="Arial" w:cs="Arial"/>
          <w:sz w:val="20"/>
          <w:szCs w:val="20"/>
        </w:rPr>
      </w:pPr>
      <w:r>
        <w:rPr>
          <w:rFonts w:ascii="Arial" w:hAnsi="Arial" w:cs="Arial"/>
          <w:sz w:val="20"/>
          <w:szCs w:val="20"/>
        </w:rPr>
        <w:t xml:space="preserve">[104] </w:t>
      </w:r>
      <w:r w:rsidRPr="009B0E9A">
        <w:rPr>
          <w:rFonts w:ascii="Arial" w:hAnsi="Arial" w:cs="Arial"/>
          <w:sz w:val="20"/>
          <w:szCs w:val="20"/>
        </w:rPr>
        <w:t>The corollary of this conclusion is that there is necessarily a reasonable doubt concerning the applicant’s guilt. Accordingly, proposed ground 1 of appeal must succeed and leave will be granted with respect to it.</w:t>
      </w:r>
      <w:r>
        <w:rPr>
          <w:rFonts w:ascii="Arial" w:hAnsi="Arial" w:cs="Arial"/>
          <w:sz w:val="20"/>
          <w:szCs w:val="20"/>
        </w:rPr>
        <w:t>”</w:t>
      </w:r>
    </w:p>
    <w:p w14:paraId="4777BBE2" w14:textId="77777777" w:rsidR="009B0E9A" w:rsidRDefault="009B0E9A" w:rsidP="00302C9E">
      <w:pPr>
        <w:jc w:val="both"/>
        <w:rPr>
          <w:rFonts w:ascii="Arial" w:hAnsi="Arial" w:cs="Arial"/>
          <w:sz w:val="20"/>
          <w:szCs w:val="20"/>
        </w:rPr>
      </w:pPr>
    </w:p>
    <w:bookmarkEnd w:id="160"/>
    <w:p w14:paraId="2F212EC1" w14:textId="511F50EA" w:rsidR="00666439" w:rsidRPr="009E41C0" w:rsidRDefault="004D0222" w:rsidP="009E41C0">
      <w:pPr>
        <w:spacing w:before="20"/>
        <w:jc w:val="both"/>
        <w:rPr>
          <w:rFonts w:ascii="Arial" w:hAnsi="Arial" w:cs="Arial"/>
          <w:sz w:val="20"/>
          <w:szCs w:val="20"/>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61"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62"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61"/>
      <w:bookmarkEnd w:id="162"/>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63"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r w:rsidR="006111EB" w:rsidRPr="006111EB">
        <w:rPr>
          <w:rFonts w:ascii="Arial" w:hAnsi="Arial" w:cs="Arial"/>
          <w:i/>
          <w:iCs/>
          <w:sz w:val="20"/>
          <w:szCs w:val="20"/>
        </w:rPr>
        <w:t>Moharaminia v The King</w:t>
      </w:r>
      <w:r w:rsidR="006111EB">
        <w:rPr>
          <w:rFonts w:ascii="Arial" w:hAnsi="Arial" w:cs="Arial"/>
          <w:sz w:val="20"/>
          <w:szCs w:val="20"/>
        </w:rPr>
        <w:t xml:space="preserve"> [2025] VSCA 159 at [79]-[90]</w:t>
      </w:r>
      <w:bookmarkEnd w:id="163"/>
      <w:r w:rsidR="006B0E7D">
        <w:rPr>
          <w:rFonts w:ascii="Arial" w:hAnsi="Arial" w:cs="Arial"/>
          <w:sz w:val="20"/>
          <w:szCs w:val="20"/>
        </w:rPr>
        <w:t xml:space="preserve">; </w:t>
      </w:r>
      <w:proofErr w:type="spellStart"/>
      <w:r w:rsidR="006B0E7D" w:rsidRPr="002C75F4">
        <w:rPr>
          <w:rFonts w:ascii="Arial" w:hAnsi="Arial" w:cs="Arial"/>
          <w:i/>
          <w:iCs/>
          <w:color w:val="000000"/>
          <w:sz w:val="20"/>
          <w:szCs w:val="20"/>
        </w:rPr>
        <w:t>Farshchi</w:t>
      </w:r>
      <w:proofErr w:type="spellEnd"/>
      <w:r w:rsidR="006B0E7D" w:rsidRPr="002C75F4">
        <w:rPr>
          <w:rFonts w:ascii="Arial" w:hAnsi="Arial" w:cs="Arial"/>
          <w:i/>
          <w:iCs/>
          <w:color w:val="000000"/>
          <w:sz w:val="20"/>
          <w:szCs w:val="20"/>
        </w:rPr>
        <w:t xml:space="preserve"> v The King</w:t>
      </w:r>
      <w:r w:rsidR="006B0E7D" w:rsidRPr="002C75F4">
        <w:rPr>
          <w:rFonts w:ascii="Arial" w:hAnsi="Arial" w:cs="Arial"/>
          <w:color w:val="000000"/>
          <w:sz w:val="20"/>
          <w:szCs w:val="20"/>
        </w:rPr>
        <w:t xml:space="preserve"> [2025] HCA 46</w:t>
      </w:r>
      <w:r w:rsidR="006B0E7D">
        <w:rPr>
          <w:rFonts w:ascii="Arial" w:hAnsi="Arial" w:cs="Arial"/>
          <w:color w:val="000000"/>
          <w:sz w:val="20"/>
          <w:szCs w:val="20"/>
        </w:rPr>
        <w:t xml:space="preserve"> discussed in </w:t>
      </w:r>
      <w:r w:rsidR="006B0E7D" w:rsidRPr="006B0E7D">
        <w:rPr>
          <w:rFonts w:ascii="Arial" w:hAnsi="Arial" w:cs="Arial"/>
          <w:b/>
          <w:bCs/>
          <w:color w:val="000000"/>
          <w:sz w:val="20"/>
          <w:szCs w:val="20"/>
          <w:shd w:val="clear" w:color="auto" w:fill="C5E0B3" w:themeFill="accent6" w:themeFillTint="66"/>
        </w:rPr>
        <w:t xml:space="preserve">section </w:t>
      </w:r>
      <w:r w:rsidR="006B0E7D" w:rsidRPr="006B0E7D">
        <w:rPr>
          <w:rFonts w:ascii="Arial" w:hAnsi="Arial" w:cs="Arial"/>
          <w:b/>
          <w:bCs/>
          <w:sz w:val="20"/>
          <w:shd w:val="clear" w:color="auto" w:fill="C5E0B3" w:themeFill="accent6" w:themeFillTint="66"/>
        </w:rPr>
        <w:t>10.3.3.5</w:t>
      </w:r>
      <w:r w:rsidR="006B0E7D" w:rsidRPr="00FB585A">
        <w:rPr>
          <w:rFonts w:ascii="Arial" w:hAnsi="Arial" w:cs="Arial"/>
          <w:b/>
          <w:color w:val="FFFFFF" w:themeColor="background1"/>
          <w:sz w:val="20"/>
          <w:szCs w:val="22"/>
          <w:shd w:val="clear" w:color="auto" w:fill="000000"/>
        </w:rPr>
        <w:t>C</w:t>
      </w:r>
      <w:r w:rsidR="002E6125" w:rsidRPr="002E6125">
        <w:rPr>
          <w:rFonts w:ascii="Arial" w:hAnsi="Arial" w:cs="Arial"/>
          <w:bCs/>
          <w:color w:val="000000" w:themeColor="text1"/>
          <w:sz w:val="20"/>
          <w:szCs w:val="22"/>
        </w:rPr>
        <w:t xml:space="preserve">; </w:t>
      </w:r>
      <w:r w:rsidR="002E6125" w:rsidRPr="002E6125">
        <w:rPr>
          <w:rFonts w:ascii="Arial" w:hAnsi="Arial" w:cs="Arial"/>
          <w:bCs/>
          <w:i/>
          <w:iCs/>
          <w:color w:val="000000" w:themeColor="text1"/>
          <w:sz w:val="20"/>
          <w:szCs w:val="22"/>
        </w:rPr>
        <w:t>Conley (a pseudonym) v The King</w:t>
      </w:r>
      <w:r w:rsidR="002E6125" w:rsidRPr="002E6125">
        <w:rPr>
          <w:rFonts w:ascii="Arial" w:hAnsi="Arial" w:cs="Arial"/>
          <w:bCs/>
          <w:color w:val="000000" w:themeColor="text1"/>
          <w:sz w:val="20"/>
          <w:szCs w:val="22"/>
        </w:rPr>
        <w:t xml:space="preserve"> </w:t>
      </w:r>
      <w:r w:rsidR="002E6125">
        <w:rPr>
          <w:rFonts w:ascii="Arial" w:hAnsi="Arial" w:cs="Arial"/>
          <w:bCs/>
          <w:color w:val="000000" w:themeColor="text1"/>
          <w:sz w:val="20"/>
          <w:szCs w:val="22"/>
        </w:rPr>
        <w:t>[2025] VSCA 327</w:t>
      </w:r>
      <w:r w:rsidR="00BD077B">
        <w:rPr>
          <w:rFonts w:ascii="Arial" w:hAnsi="Arial" w:cs="Arial"/>
          <w:bCs/>
          <w:color w:val="000000" w:themeColor="text1"/>
          <w:sz w:val="20"/>
          <w:szCs w:val="22"/>
        </w:rPr>
        <w:t xml:space="preserve">; </w:t>
      </w:r>
      <w:r w:rsidR="00BD077B" w:rsidRPr="009E41C0">
        <w:rPr>
          <w:rFonts w:ascii="Arial" w:hAnsi="Arial" w:cs="Arial"/>
          <w:bCs/>
          <w:i/>
          <w:iCs/>
          <w:color w:val="000000" w:themeColor="text1"/>
          <w:sz w:val="20"/>
          <w:szCs w:val="20"/>
        </w:rPr>
        <w:t>Sananikone v The King</w:t>
      </w:r>
      <w:r w:rsidR="00BD077B" w:rsidRPr="009E41C0">
        <w:rPr>
          <w:rFonts w:ascii="Arial" w:hAnsi="Arial" w:cs="Arial"/>
          <w:bCs/>
          <w:color w:val="000000" w:themeColor="text1"/>
          <w:sz w:val="20"/>
          <w:szCs w:val="20"/>
        </w:rPr>
        <w:t xml:space="preserve"> [2025] VSCA 330</w:t>
      </w:r>
      <w:r w:rsidR="009E41C0" w:rsidRPr="009E41C0">
        <w:rPr>
          <w:rFonts w:ascii="Arial" w:hAnsi="Arial" w:cs="Arial"/>
          <w:bCs/>
          <w:color w:val="000000" w:themeColor="text1"/>
          <w:sz w:val="20"/>
          <w:szCs w:val="20"/>
        </w:rPr>
        <w:t xml:space="preserve">; </w:t>
      </w:r>
      <w:r w:rsidR="009E41C0" w:rsidRPr="009E41C0">
        <w:rPr>
          <w:rFonts w:ascii="Arial" w:hAnsi="Arial" w:cs="Arial"/>
          <w:i/>
          <w:iCs/>
          <w:color w:val="000000"/>
          <w:sz w:val="20"/>
          <w:szCs w:val="20"/>
        </w:rPr>
        <w:t xml:space="preserve">Blackmore v The King </w:t>
      </w:r>
      <w:r w:rsidR="009E41C0" w:rsidRPr="009E41C0">
        <w:rPr>
          <w:rFonts w:ascii="Arial" w:hAnsi="Arial" w:cs="Arial"/>
          <w:color w:val="000000"/>
          <w:sz w:val="20"/>
          <w:szCs w:val="20"/>
        </w:rPr>
        <w:t>[2026] VSCA 15</w:t>
      </w:r>
      <w:r w:rsidR="009E41C0">
        <w:rPr>
          <w:rFonts w:ascii="Arial" w:hAnsi="Arial" w:cs="Arial"/>
          <w:color w:val="000000"/>
          <w:sz w:val="20"/>
          <w:szCs w:val="20"/>
        </w:rPr>
        <w:t xml:space="preserve"> </w:t>
      </w:r>
      <w:r w:rsidR="00D661E6">
        <w:rPr>
          <w:rFonts w:ascii="Arial" w:hAnsi="Arial" w:cs="Arial"/>
          <w:color w:val="000000"/>
          <w:sz w:val="20"/>
          <w:szCs w:val="20"/>
        </w:rPr>
        <w:t xml:space="preserve">esp. </w:t>
      </w:r>
      <w:r w:rsidR="009E41C0">
        <w:rPr>
          <w:rFonts w:ascii="Arial" w:hAnsi="Arial" w:cs="Arial"/>
          <w:color w:val="000000"/>
          <w:sz w:val="20"/>
          <w:szCs w:val="20"/>
        </w:rPr>
        <w:t>at [47]-[49]</w:t>
      </w:r>
      <w:r w:rsidR="00E939F0">
        <w:rPr>
          <w:rFonts w:ascii="Arial" w:hAnsi="Arial" w:cs="Arial"/>
          <w:color w:val="000000"/>
          <w:sz w:val="20"/>
          <w:szCs w:val="20"/>
        </w:rPr>
        <w:t xml:space="preserve">; </w:t>
      </w:r>
      <w:r w:rsidR="00E939F0" w:rsidRPr="00E939F0">
        <w:rPr>
          <w:rFonts w:ascii="Arial" w:hAnsi="Arial" w:cs="Arial"/>
          <w:i/>
          <w:iCs/>
          <w:color w:val="000000"/>
          <w:sz w:val="20"/>
          <w:szCs w:val="20"/>
        </w:rPr>
        <w:t>O’Loughlin v The King</w:t>
      </w:r>
      <w:r w:rsidR="00E939F0">
        <w:rPr>
          <w:rFonts w:ascii="Arial" w:hAnsi="Arial" w:cs="Arial"/>
          <w:color w:val="000000"/>
          <w:sz w:val="20"/>
          <w:szCs w:val="20"/>
        </w:rPr>
        <w:t xml:space="preserve"> [2026] VSCA 43.</w:t>
      </w:r>
    </w:p>
    <w:p w14:paraId="79C656BE" w14:textId="77777777" w:rsidR="002E6125" w:rsidRPr="00E939F0" w:rsidRDefault="002E6125" w:rsidP="00302C9E">
      <w:pPr>
        <w:jc w:val="both"/>
        <w:rPr>
          <w:rFonts w:ascii="Arial" w:hAnsi="Arial" w:cs="Arial"/>
          <w:color w:val="000000"/>
          <w:sz w:val="18"/>
          <w:szCs w:val="18"/>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64" w:name="_10.3.3.5C_Contested_hearing"/>
      <w:bookmarkStart w:id="165" w:name="_Hlk164835213"/>
      <w:bookmarkStart w:id="166" w:name="_Hlk202246320"/>
      <w:bookmarkEnd w:id="164"/>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65"/>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66"/>
    </w:p>
    <w:p w14:paraId="54425B53" w14:textId="79849C30" w:rsidR="00724416" w:rsidRPr="00E939F0" w:rsidRDefault="00724416" w:rsidP="00D94E75">
      <w:pPr>
        <w:keepNext/>
        <w:keepLines/>
        <w:jc w:val="both"/>
        <w:rPr>
          <w:rFonts w:ascii="Arial" w:hAnsi="Arial" w:cs="Arial"/>
          <w:sz w:val="18"/>
          <w:szCs w:val="22"/>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Pr="00E939F0" w:rsidRDefault="00C232D3" w:rsidP="00EA23A7">
      <w:pPr>
        <w:jc w:val="both"/>
        <w:rPr>
          <w:rFonts w:ascii="Arial" w:hAnsi="Arial" w:cs="Arial"/>
          <w:sz w:val="18"/>
          <w:szCs w:val="22"/>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Pr="00E939F0" w:rsidRDefault="00DB083D" w:rsidP="00EA23A7">
      <w:pPr>
        <w:jc w:val="both"/>
        <w:rPr>
          <w:rFonts w:ascii="Arial" w:hAnsi="Arial" w:cs="Arial"/>
          <w:sz w:val="18"/>
          <w:szCs w:val="22"/>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lastRenderedPageBreak/>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JDA.  These prohibitions also extend to magistrates, limiting them from adopting 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 xml:space="preserve">As and from 11/10/2023 ss.47A &amp; 54H(5)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The onus of proof is on the prosecution and the accused comes to this Court with the presumption of innocence in his favour. The accused is regarded as innocent unless and until the prosecution has proved his guilt beyond reasonable doubt. In order to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(Bray CJ, Mitchell and Zelling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draw</w:t>
      </w:r>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[46]</w:t>
      </w:r>
      <w:r>
        <w:rPr>
          <w:rFonts w:ascii="Arial" w:hAnsi="Arial" w:cs="Arial"/>
          <w:sz w:val="20"/>
          <w:szCs w:val="20"/>
        </w:rPr>
        <w:noBreakHyphen/>
      </w:r>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In order to decide what the facts are in this case, I must assess the credibility and reliability of the witnesses who gave evidence. It is for me to decide whether a witness’ 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w:t>
      </w:r>
      <w:r w:rsidRPr="0067504C">
        <w:rPr>
          <w:rFonts w:ascii="Arial" w:hAnsi="Arial" w:cs="Arial"/>
          <w:sz w:val="20"/>
          <w:szCs w:val="20"/>
        </w:rPr>
        <w:lastRenderedPageBreak/>
        <w:t xml:space="preserve">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R v 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lastRenderedPageBreak/>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w:t>
      </w:r>
      <w:r>
        <w:rPr>
          <w:rFonts w:ascii="Arial" w:hAnsi="Arial" w:cs="Arial"/>
          <w:sz w:val="20"/>
        </w:rPr>
        <w:lastRenderedPageBreak/>
        <w:t>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6600F6F2" w14:textId="2C23ECD8" w:rsidR="00F26C35" w:rsidRDefault="00F26C35" w:rsidP="00F30B9D">
      <w:pPr>
        <w:jc w:val="both"/>
        <w:rPr>
          <w:rFonts w:ascii="Arial" w:hAnsi="Arial" w:cs="Arial"/>
          <w:color w:val="000000"/>
          <w:sz w:val="20"/>
          <w:szCs w:val="20"/>
        </w:rPr>
      </w:pPr>
      <w:r>
        <w:rPr>
          <w:rFonts w:ascii="Arial" w:hAnsi="Arial" w:cs="Arial"/>
          <w:color w:val="000000"/>
          <w:sz w:val="20"/>
          <w:szCs w:val="20"/>
        </w:rPr>
        <w:t xml:space="preserve">In </w:t>
      </w:r>
      <w:r w:rsidRPr="00F26C35">
        <w:rPr>
          <w:rFonts w:ascii="Arial" w:hAnsi="Arial" w:cs="Arial"/>
          <w:i/>
          <w:iCs/>
          <w:color w:val="000000"/>
          <w:sz w:val="20"/>
          <w:szCs w:val="20"/>
        </w:rPr>
        <w:t>Poyser v The King</w:t>
      </w:r>
      <w:r>
        <w:rPr>
          <w:rFonts w:ascii="Arial" w:hAnsi="Arial" w:cs="Arial"/>
          <w:color w:val="000000"/>
          <w:sz w:val="20"/>
          <w:szCs w:val="20"/>
        </w:rPr>
        <w:t xml:space="preserve"> [2025] VSCA 308 the applicant and the complainant </w:t>
      </w:r>
      <w:r w:rsidR="00A80598">
        <w:rPr>
          <w:rFonts w:ascii="Arial" w:hAnsi="Arial" w:cs="Arial"/>
          <w:color w:val="000000"/>
          <w:sz w:val="20"/>
          <w:szCs w:val="20"/>
        </w:rPr>
        <w:t xml:space="preserve">LF </w:t>
      </w:r>
      <w:r>
        <w:rPr>
          <w:rFonts w:ascii="Arial" w:hAnsi="Arial" w:cs="Arial"/>
          <w:color w:val="000000"/>
          <w:sz w:val="20"/>
          <w:szCs w:val="20"/>
        </w:rPr>
        <w:t xml:space="preserve">were female patients in a mental health facility. The applicant had been found guilty of rape and sexual assault. The complainant had been distressed when giving evidence. The trial judge </w:t>
      </w:r>
      <w:r w:rsidR="00A80598">
        <w:rPr>
          <w:rFonts w:ascii="Arial" w:hAnsi="Arial" w:cs="Arial"/>
          <w:color w:val="000000"/>
          <w:sz w:val="20"/>
          <w:szCs w:val="20"/>
        </w:rPr>
        <w:t xml:space="preserve">had </w:t>
      </w:r>
      <w:r>
        <w:rPr>
          <w:rFonts w:ascii="Arial" w:hAnsi="Arial" w:cs="Arial"/>
          <w:color w:val="000000"/>
          <w:sz w:val="20"/>
          <w:szCs w:val="20"/>
        </w:rPr>
        <w:t xml:space="preserve">failed to direct the jury in accordance with s.54K(5) of the </w:t>
      </w:r>
      <w:r w:rsidRPr="00F26C35">
        <w:rPr>
          <w:rFonts w:ascii="Arial" w:hAnsi="Arial" w:cs="Arial"/>
          <w:i/>
          <w:iCs/>
          <w:color w:val="000000"/>
          <w:sz w:val="20"/>
          <w:szCs w:val="20"/>
        </w:rPr>
        <w:t>Jury Directions Act 2015</w:t>
      </w:r>
      <w:r>
        <w:rPr>
          <w:rFonts w:ascii="Arial" w:hAnsi="Arial" w:cs="Arial"/>
          <w:color w:val="000000"/>
          <w:sz w:val="20"/>
          <w:szCs w:val="20"/>
        </w:rPr>
        <w:t xml:space="preserve"> which provides:</w:t>
      </w:r>
    </w:p>
    <w:p w14:paraId="18D4AC27" w14:textId="3DA165A5" w:rsidR="00F26C35" w:rsidRDefault="00F26C35" w:rsidP="00F26C35">
      <w:pPr>
        <w:spacing w:before="80"/>
        <w:ind w:left="567" w:right="567"/>
        <w:jc w:val="both"/>
        <w:rPr>
          <w:rFonts w:ascii="Arial" w:hAnsi="Arial" w:cs="Arial"/>
          <w:sz w:val="20"/>
        </w:rPr>
      </w:pPr>
      <w:r>
        <w:rPr>
          <w:rFonts w:ascii="Arial" w:hAnsi="Arial" w:cs="Arial"/>
          <w:sz w:val="20"/>
        </w:rPr>
        <w:t>“</w:t>
      </w:r>
      <w:r w:rsidRPr="00F26C35">
        <w:rPr>
          <w:rFonts w:ascii="Arial" w:hAnsi="Arial" w:cs="Arial"/>
          <w:color w:val="000000"/>
          <w:sz w:val="20"/>
          <w:szCs w:val="20"/>
        </w:rPr>
        <w:t>In giving a direction under this section, the trial judge must inform the jury that experience shows that—</w:t>
      </w:r>
    </w:p>
    <w:p w14:paraId="3800BF0F" w14:textId="1E128454" w:rsidR="00A80598" w:rsidRPr="00A80598" w:rsidRDefault="00F26C35" w:rsidP="00A80598">
      <w:pPr>
        <w:pStyle w:val="ListParagraph"/>
        <w:numPr>
          <w:ilvl w:val="0"/>
          <w:numId w:val="109"/>
        </w:numPr>
        <w:ind w:right="851"/>
        <w:jc w:val="both"/>
        <w:rPr>
          <w:rFonts w:ascii="Arial" w:hAnsi="Arial" w:cs="Arial"/>
          <w:color w:val="000000"/>
          <w:sz w:val="20"/>
          <w:szCs w:val="20"/>
        </w:rPr>
      </w:pPr>
      <w:r w:rsidRPr="00A80598">
        <w:rPr>
          <w:rFonts w:ascii="Arial" w:hAnsi="Arial" w:cs="Arial"/>
          <w:color w:val="000000"/>
          <w:sz w:val="20"/>
          <w:szCs w:val="20"/>
        </w:rPr>
        <w:t>because trauma affects people differently, some people may show obvious signs of emotion or distress when giving evidence about a sexual offence, while others may not; and</w:t>
      </w:r>
    </w:p>
    <w:p w14:paraId="413B615A" w14:textId="57B3254F" w:rsidR="00A80598" w:rsidRPr="00A80598" w:rsidRDefault="00A80598" w:rsidP="00A80598">
      <w:pPr>
        <w:pStyle w:val="ListParagraph"/>
        <w:numPr>
          <w:ilvl w:val="0"/>
          <w:numId w:val="109"/>
        </w:numPr>
        <w:ind w:right="851"/>
        <w:jc w:val="both"/>
        <w:rPr>
          <w:rFonts w:ascii="Arial" w:hAnsi="Arial" w:cs="Arial"/>
          <w:color w:val="000000"/>
          <w:sz w:val="20"/>
          <w:szCs w:val="20"/>
        </w:rPr>
      </w:pPr>
      <w:r w:rsidRPr="00F26C35">
        <w:rPr>
          <w:rFonts w:ascii="Arial" w:hAnsi="Arial" w:cs="Arial"/>
          <w:color w:val="000000"/>
          <w:sz w:val="20"/>
          <w:szCs w:val="20"/>
        </w:rPr>
        <w:t>both truthful and untruthful accounts of a sexual offence may be given with or without obvious signs of emotion or distress.</w:t>
      </w:r>
    </w:p>
    <w:p w14:paraId="57A90280" w14:textId="49BCC6E3" w:rsidR="00A80598" w:rsidRDefault="00A80598" w:rsidP="00A80598">
      <w:pPr>
        <w:spacing w:before="60"/>
        <w:jc w:val="both"/>
        <w:rPr>
          <w:rFonts w:ascii="Arial" w:hAnsi="Arial" w:cs="Arial"/>
          <w:color w:val="000000"/>
          <w:sz w:val="20"/>
          <w:szCs w:val="20"/>
        </w:rPr>
      </w:pPr>
      <w:r>
        <w:rPr>
          <w:rFonts w:ascii="Arial" w:hAnsi="Arial" w:cs="Arial"/>
          <w:color w:val="000000"/>
          <w:sz w:val="20"/>
          <w:szCs w:val="20"/>
        </w:rPr>
        <w:t>At [32] the Court of Appeal said:</w:t>
      </w:r>
    </w:p>
    <w:p w14:paraId="34792496" w14:textId="09D1D380" w:rsidR="00A80598" w:rsidRDefault="00A80598" w:rsidP="00A80598">
      <w:pPr>
        <w:spacing w:before="60"/>
        <w:ind w:left="567" w:right="567"/>
        <w:jc w:val="both"/>
        <w:rPr>
          <w:rFonts w:ascii="Arial" w:hAnsi="Arial" w:cs="Arial"/>
          <w:color w:val="000000"/>
          <w:sz w:val="20"/>
          <w:szCs w:val="20"/>
        </w:rPr>
      </w:pPr>
      <w:r>
        <w:rPr>
          <w:rFonts w:ascii="Arial" w:hAnsi="Arial" w:cs="Arial"/>
          <w:sz w:val="20"/>
        </w:rPr>
        <w:t xml:space="preserve">“[B]y </w:t>
      </w:r>
      <w:r w:rsidRPr="00A80598">
        <w:rPr>
          <w:rFonts w:ascii="Arial" w:hAnsi="Arial" w:cs="Arial"/>
          <w:color w:val="000000"/>
          <w:sz w:val="20"/>
          <w:szCs w:val="20"/>
        </w:rPr>
        <w:t xml:space="preserve">enacting s 54K(5)(b), Parliament clearly intended that, in cases such as the present, where a complainant’s account in evidence is given with obvious signs of emotion or distress, it is important that the trial judge ensures that the jury understands that experience shows that untruthful accounts may be given with such obvious signs of emotion or distress. </w:t>
      </w:r>
      <w:r w:rsidRPr="00A80598">
        <w:rPr>
          <w:rFonts w:ascii="Arial" w:hAnsi="Arial" w:cs="Arial"/>
          <w:color w:val="000000"/>
          <w:sz w:val="20"/>
          <w:szCs w:val="20"/>
        </w:rPr>
        <w:lastRenderedPageBreak/>
        <w:t>Given that LF’s evidence was pivotal to conviction, the failure to comply with the mandatory provisions of s 54K(5)(b) cannot be dismissed as a trivial contravention</w:t>
      </w:r>
      <w:r>
        <w:rPr>
          <w:rFonts w:ascii="Arial" w:hAnsi="Arial" w:cs="Arial"/>
          <w:color w:val="000000"/>
          <w:sz w:val="20"/>
          <w:szCs w:val="20"/>
        </w:rPr>
        <w:t>.”</w:t>
      </w:r>
    </w:p>
    <w:p w14:paraId="62B9D6FB" w14:textId="62643ADB" w:rsidR="00A80598" w:rsidRPr="00A80598" w:rsidRDefault="00A80598" w:rsidP="00A80598">
      <w:pPr>
        <w:spacing w:before="60"/>
        <w:jc w:val="both"/>
        <w:rPr>
          <w:rFonts w:ascii="Arial" w:hAnsi="Arial" w:cs="Arial"/>
          <w:sz w:val="20"/>
        </w:rPr>
      </w:pPr>
      <w:r>
        <w:rPr>
          <w:rFonts w:ascii="Arial" w:hAnsi="Arial" w:cs="Arial"/>
          <w:color w:val="000000"/>
          <w:sz w:val="20"/>
          <w:szCs w:val="20"/>
        </w:rPr>
        <w:t xml:space="preserve">Holding at [24] that “a </w:t>
      </w:r>
      <w:r w:rsidRPr="00A80598">
        <w:rPr>
          <w:rFonts w:ascii="Arial" w:hAnsi="Arial" w:cs="Arial"/>
          <w:color w:val="000000"/>
          <w:sz w:val="20"/>
          <w:szCs w:val="20"/>
        </w:rPr>
        <w:t>substantial miscarriage of justice resulted from the judge’s failure to give a direction that conformed to s 54K(5)(b) of the JDA</w:t>
      </w:r>
      <w:r>
        <w:rPr>
          <w:rFonts w:ascii="Arial" w:hAnsi="Arial" w:cs="Arial"/>
          <w:color w:val="000000"/>
          <w:sz w:val="20"/>
          <w:szCs w:val="20"/>
        </w:rPr>
        <w:t xml:space="preserve">”, Priest, Beach &amp; Kidd JJA granted leave to appeal, </w:t>
      </w:r>
      <w:r w:rsidRPr="00A80598">
        <w:rPr>
          <w:rFonts w:ascii="Arial" w:hAnsi="Arial" w:cs="Arial"/>
          <w:color w:val="000000"/>
          <w:sz w:val="20"/>
          <w:szCs w:val="20"/>
        </w:rPr>
        <w:t>allowed the appeal</w:t>
      </w:r>
      <w:r>
        <w:rPr>
          <w:rFonts w:ascii="Arial" w:hAnsi="Arial" w:cs="Arial"/>
          <w:color w:val="000000"/>
          <w:sz w:val="20"/>
          <w:szCs w:val="20"/>
        </w:rPr>
        <w:t>,</w:t>
      </w:r>
      <w:r w:rsidRPr="00A80598">
        <w:rPr>
          <w:rFonts w:ascii="Arial" w:hAnsi="Arial" w:cs="Arial"/>
          <w:color w:val="000000"/>
          <w:sz w:val="20"/>
          <w:szCs w:val="20"/>
        </w:rPr>
        <w:t xml:space="preserve"> set aside the convictions and ordered a new trial.</w:t>
      </w:r>
      <w:r>
        <w:rPr>
          <w:rFonts w:ascii="Arial" w:hAnsi="Arial" w:cs="Arial"/>
          <w:color w:val="000000"/>
          <w:sz w:val="20"/>
          <w:szCs w:val="20"/>
        </w:rPr>
        <w:t xml:space="preserve"> </w:t>
      </w:r>
    </w:p>
    <w:p w14:paraId="6359156F" w14:textId="77777777" w:rsidR="00A80598" w:rsidRDefault="00A80598"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r w:rsidRPr="00D07A38">
        <w:rPr>
          <w:rFonts w:ascii="Arial" w:hAnsi="Arial" w:cs="Arial"/>
          <w:i/>
          <w:iCs/>
          <w:color w:val="000000"/>
          <w:sz w:val="20"/>
          <w:szCs w:val="20"/>
        </w:rPr>
        <w:t>Mocenigo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or that there were compelling reasons to depart from it. We are therefore bound to 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lastRenderedPageBreak/>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w:t>
      </w:r>
      <w:proofErr w:type="spellStart"/>
      <w:r>
        <w:rPr>
          <w:rFonts w:ascii="Arial" w:hAnsi="Arial" w:cs="Arial"/>
          <w:color w:val="000000"/>
          <w:sz w:val="20"/>
          <w:szCs w:val="20"/>
        </w:rPr>
        <w:t>Disp</w:t>
      </w:r>
      <w:proofErr w:type="spellEnd"/>
      <w:r>
        <w:rPr>
          <w:rFonts w:ascii="Arial" w:hAnsi="Arial" w:cs="Arial"/>
          <w:color w:val="000000"/>
          <w:sz w:val="20"/>
          <w:szCs w:val="20"/>
        </w:rPr>
        <w:t xml:space="preserve"> 41].</w:t>
      </w:r>
    </w:p>
    <w:p w14:paraId="2B86822A" w14:textId="77777777" w:rsidR="008B18C1" w:rsidRDefault="008B18C1" w:rsidP="000A2449">
      <w:pPr>
        <w:jc w:val="both"/>
        <w:rPr>
          <w:rFonts w:ascii="Arial" w:hAnsi="Arial" w:cs="Arial"/>
          <w:color w:val="000000"/>
          <w:sz w:val="20"/>
          <w:szCs w:val="20"/>
        </w:rPr>
      </w:pPr>
    </w:p>
    <w:p w14:paraId="442BB4C5" w14:textId="5D03F7AF" w:rsidR="002C75F4" w:rsidRPr="002C75F4" w:rsidRDefault="002C75F4" w:rsidP="002C75F4">
      <w:pPr>
        <w:jc w:val="both"/>
        <w:rPr>
          <w:rFonts w:ascii="Arial" w:hAnsi="Arial" w:cs="Arial"/>
          <w:color w:val="000000"/>
          <w:sz w:val="20"/>
          <w:szCs w:val="20"/>
        </w:rPr>
      </w:pPr>
      <w:r w:rsidRPr="002C75F4">
        <w:rPr>
          <w:rFonts w:ascii="Arial" w:hAnsi="Arial" w:cs="Arial"/>
          <w:color w:val="000000"/>
          <w:sz w:val="20"/>
          <w:szCs w:val="20"/>
        </w:rPr>
        <w:t xml:space="preserve">In </w:t>
      </w:r>
      <w:proofErr w:type="spellStart"/>
      <w:r w:rsidRPr="002C75F4">
        <w:rPr>
          <w:rFonts w:ascii="Arial" w:hAnsi="Arial" w:cs="Arial"/>
          <w:i/>
          <w:iCs/>
          <w:color w:val="000000"/>
          <w:sz w:val="20"/>
          <w:szCs w:val="20"/>
        </w:rPr>
        <w:t>Farshchi</w:t>
      </w:r>
      <w:proofErr w:type="spellEnd"/>
      <w:r w:rsidRPr="002C75F4">
        <w:rPr>
          <w:rFonts w:ascii="Arial" w:hAnsi="Arial" w:cs="Arial"/>
          <w:i/>
          <w:iCs/>
          <w:color w:val="000000"/>
          <w:sz w:val="20"/>
          <w:szCs w:val="20"/>
        </w:rPr>
        <w:t xml:space="preserve"> v The King</w:t>
      </w:r>
      <w:r w:rsidRPr="002C75F4">
        <w:rPr>
          <w:rFonts w:ascii="Arial" w:hAnsi="Arial" w:cs="Arial"/>
          <w:color w:val="000000"/>
          <w:sz w:val="20"/>
          <w:szCs w:val="20"/>
        </w:rPr>
        <w:t xml:space="preserve"> [2025] HCA 46 the appellant had been tried, on a joint indictment with his wife, by a jury in the County Court of Victoria for two forced labour offences contrary to s 270.6A(1) and (2)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The appellant was convicted on both counts and sentenced to a total effective sentence of IMP3y6m/18m. The Court of Appeal (Priest JA, Niall and Taylor JJA agreeing) had refused leave to appeal against the convictions and against the appellant's sentence</w:t>
      </w:r>
      <w:r w:rsidR="00D57DB7">
        <w:rPr>
          <w:rFonts w:ascii="Arial" w:hAnsi="Arial" w:cs="Arial"/>
          <w:color w:val="000000"/>
          <w:sz w:val="20"/>
          <w:szCs w:val="20"/>
        </w:rPr>
        <w:t xml:space="preserve">: see </w:t>
      </w:r>
      <w:r w:rsidR="00D57DB7" w:rsidRPr="00D57DB7">
        <w:rPr>
          <w:rFonts w:ascii="Arial" w:hAnsi="Arial" w:cs="Arial"/>
          <w:color w:val="000000"/>
          <w:sz w:val="20"/>
          <w:szCs w:val="20"/>
        </w:rPr>
        <w:t>(2024) 390 FLR 97</w:t>
      </w:r>
      <w:r w:rsidR="00D57DB7">
        <w:rPr>
          <w:rFonts w:ascii="Arial" w:hAnsi="Arial" w:cs="Arial"/>
          <w:color w:val="000000"/>
          <w:sz w:val="20"/>
          <w:szCs w:val="20"/>
        </w:rPr>
        <w:t>;</w:t>
      </w:r>
      <w:r w:rsidR="00D57DB7" w:rsidRPr="00D57DB7">
        <w:rPr>
          <w:rFonts w:ascii="Arial" w:hAnsi="Arial" w:cs="Arial"/>
          <w:color w:val="000000"/>
          <w:sz w:val="20"/>
          <w:szCs w:val="20"/>
        </w:rPr>
        <w:t xml:space="preserve"> </w:t>
      </w:r>
      <w:r w:rsidR="00D57DB7">
        <w:rPr>
          <w:rFonts w:ascii="Arial" w:hAnsi="Arial" w:cs="Arial"/>
          <w:color w:val="000000"/>
          <w:sz w:val="20"/>
          <w:szCs w:val="20"/>
        </w:rPr>
        <w:t>[2024] VSCA 235</w:t>
      </w:r>
      <w:r w:rsidRPr="002C75F4">
        <w:rPr>
          <w:rFonts w:ascii="Arial" w:hAnsi="Arial" w:cs="Arial"/>
          <w:color w:val="000000"/>
          <w:sz w:val="20"/>
          <w:szCs w:val="20"/>
        </w:rPr>
        <w:t>. The High Court, having initially granted special leave to appeal, ultimately dismissed the appeal (7:0 in 3 separate judgments).</w:t>
      </w:r>
    </w:p>
    <w:p w14:paraId="5B140FD7" w14:textId="271772BF"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The determinative question in the appeal was formulated by Jagot J in her separate judgment at [74]</w:t>
      </w:r>
      <w:r w:rsidR="00FB2301">
        <w:rPr>
          <w:rFonts w:ascii="Arial" w:hAnsi="Arial" w:cs="Arial"/>
          <w:color w:val="000000"/>
          <w:sz w:val="20"/>
          <w:szCs w:val="20"/>
        </w:rPr>
        <w:noBreakHyphen/>
      </w:r>
      <w:r w:rsidRPr="002C75F4">
        <w:rPr>
          <w:rFonts w:ascii="Arial" w:hAnsi="Arial" w:cs="Arial"/>
          <w:color w:val="000000"/>
          <w:sz w:val="20"/>
          <w:szCs w:val="20"/>
        </w:rPr>
        <w:t>[75] as follows:</w:t>
      </w:r>
    </w:p>
    <w:p w14:paraId="2BB07F2D"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[74] “The determinative question in this appeal is whether ss 63(1) and 64(1)(e) of the </w:t>
      </w:r>
      <w:r w:rsidRPr="002C75F4">
        <w:rPr>
          <w:rFonts w:ascii="Arial" w:hAnsi="Arial" w:cs="Arial"/>
          <w:i/>
          <w:iCs/>
          <w:color w:val="000000"/>
          <w:sz w:val="20"/>
          <w:szCs w:val="20"/>
        </w:rPr>
        <w:t>Jury Directions Act 2015</w:t>
      </w:r>
      <w:r w:rsidRPr="002C75F4">
        <w:rPr>
          <w:rFonts w:ascii="Arial" w:hAnsi="Arial" w:cs="Arial"/>
          <w:color w:val="000000"/>
          <w:sz w:val="20"/>
          <w:szCs w:val="20"/>
        </w:rPr>
        <w:t xml:space="preserve"> (Vic), in part, are inconsistent with s 13.2(1)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xml:space="preserve">. Section 63(1)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‘[t]he trial judge must give the jury an explanation of the phrase 'proof beyond reasonable doubt' unless there are good reasons for not doing so’. Section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‘[i]n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2D0BB38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[75] 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Criminal Code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w:t>
      </w:r>
    </w:p>
    <w:p w14:paraId="05FEC4B8"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rejecting the appellant’s argument, the plurality (Gageler CJ, Gordon, Gleeson &amp; Beech-Jones JJ) said at [4] &amp; [16]-[17]: </w:t>
      </w:r>
    </w:p>
    <w:p w14:paraId="19CD6ED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[4] “Over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7922A13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[charges] in question ... [W]</w:t>
      </w:r>
      <w:proofErr w:type="spellStart"/>
      <w:r w:rsidRPr="002C75F4">
        <w:rPr>
          <w:rFonts w:ascii="Arial" w:hAnsi="Arial" w:cs="Arial"/>
          <w:color w:val="000000"/>
          <w:sz w:val="18"/>
          <w:szCs w:val="18"/>
        </w:rPr>
        <w:t>hen</w:t>
      </w:r>
      <w:proofErr w:type="spellEnd"/>
      <w:r w:rsidRPr="002C75F4">
        <w:rPr>
          <w:rFonts w:ascii="Arial" w:hAnsi="Arial" w:cs="Arial"/>
          <w:color w:val="000000"/>
          <w:sz w:val="18"/>
          <w:szCs w:val="18"/>
        </w:rPr>
        <w:t xml:space="preserve"> you are considering a charge against an accused you must be satisfied that the prosecution has established the charge in question. </w:t>
      </w:r>
    </w:p>
    <w:p w14:paraId="4090D7FC"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 ... </w:t>
      </w:r>
    </w:p>
    <w:p w14:paraId="0FBAC02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It is almost impossible to prove anything with absolute certainty when reconstructing past events and the prosecution does not have to do so. </w:t>
      </w:r>
      <w:r w:rsidRPr="002C75F4">
        <w:rPr>
          <w:rFonts w:ascii="Arial" w:hAnsi="Arial" w:cs="Arial"/>
          <w:i/>
          <w:iCs/>
          <w:color w:val="000000"/>
          <w:sz w:val="18"/>
          <w:szCs w:val="18"/>
        </w:rPr>
        <w:t>A reasonable doubt is not an imaginary or fanciful doubt or an unrealistic possibility.</w:t>
      </w:r>
      <w:r w:rsidRPr="002C75F4">
        <w:rPr>
          <w:rFonts w:ascii="Arial" w:hAnsi="Arial" w:cs="Arial"/>
          <w:color w:val="000000"/>
          <w:sz w:val="18"/>
          <w:szCs w:val="18"/>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A6B7231"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[16] “…[B]y indicating what does not constitute a reasonable doubt, s 64(1)(e) is evidently intended to guide jurors away from applying a standard that is inappropriately stringent. Section 64(1)(e) does not seek to define the standard of beyond reasonable doubt but rather to carve out from consideration matters of a character that could not raise a reasonable doubt. Contrary to the appellant's submissions, it does not impermissibly define </w:t>
      </w:r>
      <w:r w:rsidRPr="002C75F4">
        <w:rPr>
          <w:rFonts w:ascii="Arial" w:hAnsi="Arial" w:cs="Arial"/>
          <w:color w:val="000000"/>
          <w:sz w:val="20"/>
          <w:szCs w:val="20"/>
        </w:rPr>
        <w:lastRenderedPageBreak/>
        <w:t xml:space="preserve">or control other references to 'proof beyond reasonable doubt' in a trial judge's summing up: </w:t>
      </w:r>
      <w:r w:rsidRPr="002C75F4">
        <w:rPr>
          <w:rFonts w:ascii="Arial" w:hAnsi="Arial" w:cs="Arial"/>
          <w:i/>
          <w:iCs/>
          <w:color w:val="000000"/>
          <w:sz w:val="20"/>
          <w:szCs w:val="20"/>
        </w:rPr>
        <w:t>Thomas v The Queen</w:t>
      </w:r>
      <w:r w:rsidRPr="002C75F4">
        <w:rPr>
          <w:rFonts w:ascii="Arial" w:hAnsi="Arial" w:cs="Arial"/>
          <w:color w:val="000000"/>
          <w:sz w:val="20"/>
          <w:szCs w:val="20"/>
        </w:rPr>
        <w:t xml:space="preserve"> (1960) 102 CLR 584 at 593; </w:t>
      </w:r>
      <w:r w:rsidRPr="002C75F4">
        <w:rPr>
          <w:rFonts w:ascii="Arial" w:hAnsi="Arial" w:cs="Arial"/>
          <w:i/>
          <w:iCs/>
          <w:color w:val="000000"/>
          <w:sz w:val="20"/>
          <w:szCs w:val="20"/>
        </w:rPr>
        <w:t>Green v The Queen</w:t>
      </w:r>
      <w:r w:rsidRPr="002C75F4">
        <w:rPr>
          <w:rFonts w:ascii="Arial" w:hAnsi="Arial" w:cs="Arial"/>
          <w:color w:val="000000"/>
          <w:sz w:val="20"/>
          <w:szCs w:val="20"/>
        </w:rPr>
        <w:t xml:space="preserve"> (1971) 126 CLR 28 at 31.</w:t>
      </w:r>
    </w:p>
    <w:p w14:paraId="57086E3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[17] It follows that the Court of Appeal was correct to conclude that there is no inconsistency between s 64(1)(e)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and s 13.2(1) of the Code, with the consequence that s 64(1)(e) is picked up in its entirety by s 68(1)(c) of the </w:t>
      </w:r>
      <w:r w:rsidRPr="002C75F4">
        <w:rPr>
          <w:rFonts w:ascii="Arial" w:hAnsi="Arial" w:cs="Arial"/>
          <w:i/>
          <w:iCs/>
          <w:color w:val="000000"/>
          <w:sz w:val="20"/>
          <w:szCs w:val="20"/>
        </w:rPr>
        <w:t>Judiciary Act</w:t>
      </w:r>
      <w:r w:rsidRPr="002C75F4">
        <w:rPr>
          <w:rFonts w:ascii="Arial" w:hAnsi="Arial" w:cs="Arial"/>
          <w:color w:val="000000"/>
          <w:sz w:val="20"/>
          <w:szCs w:val="20"/>
        </w:rPr>
        <w:t>…”</w:t>
      </w:r>
    </w:p>
    <w:p w14:paraId="4F2C2AE6"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also rejecting the appellant’s argument, Edelman &amp; Steward JJ concluded at [72]: </w:t>
      </w:r>
    </w:p>
    <w:p w14:paraId="6C768B00"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[72] “Ultimately, therefore, Dr Farshchi's submission should be rejected for the reason given by the Court of Appeal: s 64(1)(e) provides for the standard of proof beyond reasonable doubt to be explained; it does not provide a different standard of proof and does not alter the boundaries of the standard of proof.”</w:t>
      </w:r>
    </w:p>
    <w:p w14:paraId="3C4C8492"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And Jagot J concluded at [89]-[90]:</w:t>
      </w:r>
    </w:p>
    <w:p w14:paraId="5E86AD9A"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[89] “In enacting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all of the matters in s 64(1)(a)-(e).</w:t>
      </w:r>
    </w:p>
    <w:p w14:paraId="6FBEE19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[90] This has particular significance in respect of Commonwealth offences. In short, if it is not inconsistent with s 13.2(1) of the </w:t>
      </w:r>
      <w:r w:rsidRPr="002C75F4">
        <w:rPr>
          <w:rFonts w:ascii="Arial" w:hAnsi="Arial" w:cs="Arial"/>
          <w:i/>
          <w:iCs/>
          <w:color w:val="000000"/>
          <w:sz w:val="20"/>
          <w:szCs w:val="20"/>
        </w:rPr>
        <w:t>Criminal Code</w:t>
      </w:r>
      <w:r w:rsidRPr="002C75F4">
        <w:rPr>
          <w:rFonts w:ascii="Arial" w:hAnsi="Arial" w:cs="Arial"/>
          <w:color w:val="000000"/>
          <w:sz w:val="20"/>
          <w:szCs w:val="20"/>
        </w:rPr>
        <w:t xml:space="preserve"> for a trial judge to explain the phrase ‘proof beyond reasonable doubt’ in accordance with ss 63(1) and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 (</w:t>
      </w:r>
      <w:r w:rsidRPr="002C75F4">
        <w:rPr>
          <w:rFonts w:ascii="Arial" w:hAnsi="Arial" w:cs="Arial"/>
          <w:i/>
          <w:iCs/>
          <w:color w:val="000000"/>
          <w:sz w:val="20"/>
          <w:szCs w:val="20"/>
        </w:rPr>
        <w:t>R v Dookheea</w:t>
      </w:r>
      <w:r w:rsidRPr="002C75F4">
        <w:rPr>
          <w:rFonts w:ascii="Arial" w:hAnsi="Arial" w:cs="Arial"/>
          <w:color w:val="000000"/>
          <w:sz w:val="20"/>
          <w:szCs w:val="20"/>
        </w:rPr>
        <w:t xml:space="preserve"> (2017) 262 CLR 402 at 424 [37]) the result in this case is one more step towards the ultimate calming of the ‘dangerous sea’ on which a trial judge has been said to embark by attempting to explain to a jury the phrase ‘proof beyond reasonable doubt’.”</w:t>
      </w:r>
    </w:p>
    <w:p w14:paraId="67BD116F" w14:textId="77777777" w:rsidR="002C75F4" w:rsidRDefault="002C75F4"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[71]</w:t>
      </w:r>
      <w:r w:rsidR="00535178">
        <w:rPr>
          <w:rFonts w:ascii="Arial" w:hAnsi="Arial" w:cs="Arial"/>
          <w:color w:val="000000"/>
          <w:sz w:val="20"/>
          <w:szCs w:val="20"/>
        </w:rPr>
        <w:noBreakHyphen/>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lastRenderedPageBreak/>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DPP v Roder</w:t>
      </w:r>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r w:rsidRPr="00F6160A">
        <w:rPr>
          <w:rFonts w:ascii="Arial" w:hAnsi="Arial" w:cs="Arial"/>
          <w:i/>
          <w:iCs/>
          <w:color w:val="000000"/>
          <w:sz w:val="20"/>
          <w:szCs w:val="20"/>
        </w:rPr>
        <w:t>Giurina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67"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67"/>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372AC2AC" w:rsidR="001E3540" w:rsidRPr="001E3540" w:rsidRDefault="0000108C">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Farshchi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w:t>
      </w:r>
      <w:r w:rsidR="002C75F4">
        <w:rPr>
          <w:rFonts w:ascii="Arial" w:hAnsi="Arial" w:cs="Arial"/>
          <w:color w:val="000000"/>
          <w:sz w:val="20"/>
          <w:szCs w:val="20"/>
        </w:rPr>
        <w:t>Appeal dismissed by</w:t>
      </w:r>
      <w:r w:rsidR="007604EA">
        <w:rPr>
          <w:rFonts w:ascii="Arial" w:hAnsi="Arial" w:cs="Arial"/>
          <w:color w:val="000000"/>
          <w:sz w:val="20"/>
          <w:szCs w:val="20"/>
        </w:rPr>
        <w:t xml:space="preserve"> the High Court: </w:t>
      </w:r>
      <w:r w:rsidR="002C75F4">
        <w:rPr>
          <w:rFonts w:ascii="Arial" w:hAnsi="Arial" w:cs="Arial"/>
          <w:color w:val="000000"/>
          <w:sz w:val="20"/>
          <w:szCs w:val="20"/>
        </w:rPr>
        <w:t xml:space="preserve">see </w:t>
      </w:r>
      <w:r w:rsidR="007604EA">
        <w:rPr>
          <w:rFonts w:ascii="Arial" w:hAnsi="Arial" w:cs="Arial"/>
          <w:color w:val="000000"/>
          <w:sz w:val="20"/>
          <w:szCs w:val="20"/>
        </w:rPr>
        <w:t xml:space="preserve">[2025] </w:t>
      </w:r>
      <w:r w:rsidR="002C75F4">
        <w:rPr>
          <w:rFonts w:ascii="Arial" w:hAnsi="Arial" w:cs="Arial"/>
          <w:color w:val="000000"/>
          <w:sz w:val="20"/>
          <w:szCs w:val="20"/>
        </w:rPr>
        <w:t>HCA 4</w:t>
      </w:r>
      <w:r w:rsidR="006B0E7D">
        <w:rPr>
          <w:rFonts w:ascii="Arial" w:hAnsi="Arial" w:cs="Arial"/>
          <w:color w:val="000000"/>
          <w:sz w:val="20"/>
          <w:szCs w:val="20"/>
        </w:rPr>
        <w:t>6</w:t>
      </w:r>
      <w:r w:rsidR="002C75F4">
        <w:rPr>
          <w:rFonts w:ascii="Arial" w:hAnsi="Arial" w:cs="Arial"/>
          <w:color w:val="000000"/>
          <w:sz w:val="20"/>
          <w:szCs w:val="20"/>
        </w:rPr>
        <w:t xml:space="preserve"> at [4], [16]-[17], [72], [74</w:t>
      </w:r>
      <w:r w:rsidR="007604EA">
        <w:rPr>
          <w:rFonts w:ascii="Arial" w:hAnsi="Arial" w:cs="Arial"/>
          <w:color w:val="000000"/>
          <w:sz w:val="20"/>
          <w:szCs w:val="20"/>
        </w:rPr>
        <w:t>]</w:t>
      </w:r>
      <w:r w:rsidR="002C75F4">
        <w:rPr>
          <w:rFonts w:ascii="Arial" w:hAnsi="Arial" w:cs="Arial"/>
          <w:color w:val="000000"/>
          <w:sz w:val="20"/>
          <w:szCs w:val="20"/>
        </w:rPr>
        <w:t>-[75] &amp; [89]</w:t>
      </w:r>
      <w:r w:rsidR="002C75F4">
        <w:rPr>
          <w:rFonts w:ascii="Arial" w:hAnsi="Arial" w:cs="Arial"/>
          <w:color w:val="000000"/>
          <w:sz w:val="20"/>
          <w:szCs w:val="20"/>
        </w:rPr>
        <w:noBreakHyphen/>
        <w:t>[90] {re ss.63-64 JDA}];</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68" w:name="_10.3.3.5D_Contested_hearing"/>
      <w:bookmarkStart w:id="169" w:name="_10.3.3.5D_Contested_hearing_1"/>
      <w:bookmarkEnd w:id="168"/>
      <w:bookmarkEnd w:id="169"/>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70"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70"/>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Ugle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Seccull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4B5ED3">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03F21AFB" w14:textId="6CB3FB7A" w:rsidR="00E437D8" w:rsidRPr="00FC7FA0" w:rsidRDefault="00E437D8"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Seymour (a pseudonym) v The King </w:t>
      </w:r>
      <w:r w:rsidRPr="00E437D8">
        <w:rPr>
          <w:rFonts w:ascii="Arial" w:hAnsi="Arial" w:cs="Arial"/>
          <w:color w:val="000000"/>
          <w:sz w:val="20"/>
          <w:szCs w:val="20"/>
        </w:rPr>
        <w:t>[2025] VSCA 334 {re s.18 JDA}.</w:t>
      </w:r>
    </w:p>
    <w:p w14:paraId="06F8CD43" w14:textId="2DB477DD" w:rsidR="00FC7FA0" w:rsidRDefault="00FC7FA0"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Le v The King </w:t>
      </w:r>
      <w:r w:rsidRPr="00FC7FA0">
        <w:rPr>
          <w:rFonts w:ascii="Arial" w:hAnsi="Arial" w:cs="Arial"/>
          <w:color w:val="000000"/>
          <w:sz w:val="20"/>
          <w:szCs w:val="20"/>
        </w:rPr>
        <w:t xml:space="preserve">[2026] VSCA </w:t>
      </w:r>
      <w:r>
        <w:rPr>
          <w:rFonts w:ascii="Arial" w:hAnsi="Arial" w:cs="Arial"/>
          <w:color w:val="000000"/>
          <w:sz w:val="20"/>
          <w:szCs w:val="20"/>
        </w:rPr>
        <w:t xml:space="preserve">14 </w:t>
      </w:r>
      <w:r w:rsidRPr="00FC7FA0">
        <w:rPr>
          <w:rFonts w:ascii="Arial" w:hAnsi="Arial" w:cs="Arial"/>
          <w:color w:val="000000"/>
          <w:sz w:val="20"/>
          <w:szCs w:val="20"/>
        </w:rPr>
        <w:t>{re ss.11, 12, 15, 16 &amp; 32 JDA}.</w:t>
      </w:r>
    </w:p>
    <w:p w14:paraId="39DEB2F0" w14:textId="77777777" w:rsidR="009B00B6" w:rsidRP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71" w:name="_10.3.3.5D_Contested_hearing_2"/>
      <w:bookmarkEnd w:id="171"/>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422A(1)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4B5E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72"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72"/>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73"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73"/>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r w:rsidRPr="009139A3">
        <w:rPr>
          <w:rFonts w:ascii="Arial" w:hAnsi="Arial" w:cs="Arial"/>
          <w:i/>
          <w:iCs/>
          <w:sz w:val="20"/>
          <w:szCs w:val="20"/>
        </w:rPr>
        <w:t>Mareangareu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r w:rsidRPr="009139A3">
        <w:rPr>
          <w:rFonts w:ascii="Arial" w:hAnsi="Arial" w:cs="Arial"/>
          <w:i/>
          <w:iCs/>
          <w:sz w:val="20"/>
          <w:szCs w:val="20"/>
        </w:rPr>
        <w:t>Mareangareu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R v Perdikoyiannis</w:t>
      </w:r>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r w:rsidRPr="00B004FD">
        <w:rPr>
          <w:rFonts w:ascii="Arial" w:hAnsi="Arial" w:cs="Arial"/>
          <w:i/>
          <w:iCs/>
          <w:sz w:val="20"/>
          <w:szCs w:val="20"/>
        </w:rPr>
        <w:t>Mareangareu</w:t>
      </w:r>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r w:rsidRPr="00B004FD">
        <w:rPr>
          <w:rFonts w:ascii="Arial" w:hAnsi="Arial" w:cs="Arial"/>
          <w:i/>
          <w:iCs/>
          <w:sz w:val="20"/>
          <w:szCs w:val="20"/>
        </w:rPr>
        <w:t>Mareangareu</w:t>
      </w:r>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74" w:name="_10.3.3.5E_Contested_hearing"/>
      <w:bookmarkEnd w:id="174"/>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Accordingly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75" w:name="_10.3.3_‘No-case’_procedure"/>
      <w:bookmarkStart w:id="176" w:name="_Toc73162082"/>
      <w:bookmarkEnd w:id="175"/>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stands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Gaudron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R v Mocenigo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of the traditional jury function": (1990) 171 CLR 207 at 215 per Deane, Dawson, Toohey, Gaudron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Gaudron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The test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(Tadgell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R v Faure &amp; Goussis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T.Forrest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R v Benbrika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77" w:name="_10.3.5_Sentence_indication"/>
      <w:bookmarkEnd w:id="176"/>
      <w:bookmarkEnd w:id="177"/>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3631B77A"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Street">
        <w:smartTag w:uri="urn:schemas-microsoft-com:office:smarttags" w:element="address">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C75AA3">
      <w:pPr>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a Magistrates’ Court gives a sentence indication under s.60 and the accused pleads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An application for a sentence indication and the determination of the application are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B3B842D"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However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Default="00D85489" w:rsidP="00B345B6">
      <w:pPr>
        <w:jc w:val="both"/>
        <w:rPr>
          <w:rFonts w:ascii="Arial" w:hAnsi="Arial" w:cs="Arial"/>
          <w:color w:val="000000"/>
          <w:sz w:val="20"/>
        </w:rPr>
      </w:pPr>
    </w:p>
    <w:p w14:paraId="001DA3BE" w14:textId="44130A14" w:rsidR="00C75AA3" w:rsidRDefault="00C75AA3" w:rsidP="00C75AA3">
      <w:pPr>
        <w:jc w:val="both"/>
        <w:rPr>
          <w:rFonts w:ascii="Arial" w:hAnsi="Arial" w:cs="Arial"/>
          <w:bCs/>
          <w:color w:val="000000"/>
          <w:sz w:val="20"/>
        </w:rPr>
      </w:pPr>
      <w:r>
        <w:rPr>
          <w:rFonts w:ascii="Arial" w:hAnsi="Arial" w:cs="Arial"/>
          <w:sz w:val="20"/>
        </w:rPr>
        <w:t xml:space="preserve">The history of the Victorian sentence indication scheme is set out </w:t>
      </w:r>
      <w:r w:rsidR="00830A65">
        <w:rPr>
          <w:rFonts w:ascii="Arial" w:hAnsi="Arial" w:cs="Arial"/>
          <w:bCs/>
          <w:color w:val="000000"/>
          <w:sz w:val="20"/>
        </w:rPr>
        <w:t xml:space="preserve">at [48]-[51] </w:t>
      </w:r>
      <w:r>
        <w:rPr>
          <w:rFonts w:ascii="Arial" w:hAnsi="Arial" w:cs="Arial"/>
          <w:sz w:val="20"/>
        </w:rPr>
        <w:t xml:space="preserve">in the judgment of the Court of Appeal in </w:t>
      </w:r>
      <w:r w:rsidRPr="00A673D6">
        <w:rPr>
          <w:rFonts w:ascii="Arial" w:hAnsi="Arial" w:cs="Arial"/>
          <w:bCs/>
          <w:i/>
          <w:iCs/>
          <w:color w:val="000000"/>
          <w:sz w:val="20"/>
        </w:rPr>
        <w:t xml:space="preserve">DPP v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v The King</w:t>
      </w:r>
      <w:r>
        <w:rPr>
          <w:rFonts w:ascii="Arial" w:hAnsi="Arial" w:cs="Arial"/>
          <w:bCs/>
          <w:color w:val="000000"/>
          <w:sz w:val="20"/>
        </w:rPr>
        <w:t xml:space="preserve"> </w:t>
      </w:r>
      <w:r w:rsidRPr="00A673D6">
        <w:rPr>
          <w:rFonts w:ascii="Arial" w:hAnsi="Arial" w:cs="Arial"/>
          <w:bCs/>
          <w:color w:val="000000"/>
          <w:sz w:val="20"/>
        </w:rPr>
        <w:t>[2025] VSC 420</w:t>
      </w:r>
      <w:r>
        <w:rPr>
          <w:rFonts w:ascii="Arial" w:hAnsi="Arial" w:cs="Arial"/>
          <w:bCs/>
          <w:color w:val="000000"/>
          <w:sz w:val="20"/>
        </w:rPr>
        <w:t xml:space="preserve">, the circumstances of which are summarised in </w:t>
      </w:r>
      <w:r w:rsidRPr="00903214">
        <w:rPr>
          <w:rFonts w:ascii="Arial" w:hAnsi="Arial" w:cs="Arial"/>
          <w:b/>
          <w:color w:val="000000"/>
          <w:sz w:val="20"/>
          <w:shd w:val="clear" w:color="auto" w:fill="C5E0B3" w:themeFill="accent6" w:themeFillTint="66"/>
        </w:rPr>
        <w:t>section</w:t>
      </w:r>
      <w:r>
        <w:rPr>
          <w:rFonts w:ascii="Arial" w:hAnsi="Arial" w:cs="Arial"/>
          <w:b/>
          <w:color w:val="000000"/>
          <w:sz w:val="20"/>
          <w:shd w:val="clear" w:color="auto" w:fill="C5E0B3" w:themeFill="accent6" w:themeFillTint="66"/>
        </w:rPr>
        <w:t>s</w:t>
      </w:r>
      <w:r w:rsidRPr="00903214">
        <w:rPr>
          <w:rFonts w:ascii="Arial" w:hAnsi="Arial" w:cs="Arial"/>
          <w:b/>
          <w:color w:val="000000"/>
          <w:sz w:val="20"/>
          <w:shd w:val="clear" w:color="auto" w:fill="C5E0B3" w:themeFill="accent6" w:themeFillTint="66"/>
        </w:rPr>
        <w:t xml:space="preserve"> </w:t>
      </w:r>
      <w:r>
        <w:rPr>
          <w:rFonts w:ascii="Arial" w:hAnsi="Arial" w:cs="Arial"/>
          <w:b/>
          <w:color w:val="000000"/>
          <w:sz w:val="20"/>
          <w:shd w:val="clear" w:color="auto" w:fill="C5E0B3" w:themeFill="accent6" w:themeFillTint="66"/>
        </w:rPr>
        <w:t xml:space="preserve">3.10.1 &amp; </w:t>
      </w:r>
      <w:r w:rsidRPr="00903214">
        <w:rPr>
          <w:rFonts w:ascii="Arial" w:hAnsi="Arial" w:cs="Arial"/>
          <w:b/>
          <w:color w:val="000000"/>
          <w:sz w:val="20"/>
          <w:shd w:val="clear" w:color="auto" w:fill="C5E0B3" w:themeFill="accent6" w:themeFillTint="66"/>
        </w:rPr>
        <w:t>11.2.27</w:t>
      </w:r>
      <w:r>
        <w:rPr>
          <w:rFonts w:ascii="Arial" w:hAnsi="Arial" w:cs="Arial"/>
          <w:b/>
          <w:color w:val="FFFFFF"/>
          <w:sz w:val="20"/>
          <w:szCs w:val="18"/>
          <w:shd w:val="clear" w:color="auto" w:fill="000000"/>
        </w:rPr>
        <w:t>B</w:t>
      </w:r>
      <w:r>
        <w:rPr>
          <w:rFonts w:ascii="Arial" w:hAnsi="Arial" w:cs="Arial"/>
          <w:sz w:val="20"/>
        </w:rPr>
        <w:t xml:space="preserve">. In dismissing Mr Gluyas’ appeal against conviction following a plea of guilty after a sentence indication, </w:t>
      </w:r>
      <w:r>
        <w:rPr>
          <w:rFonts w:ascii="Arial" w:hAnsi="Arial" w:cs="Arial"/>
          <w:bCs/>
          <w:color w:val="000000"/>
          <w:sz w:val="20"/>
        </w:rPr>
        <w:t>Boyce &amp; Kidd JJA and J Forrest JA said at [</w:t>
      </w:r>
      <w:proofErr w:type="gramStart"/>
      <w:r>
        <w:rPr>
          <w:rFonts w:ascii="Arial" w:hAnsi="Arial" w:cs="Arial"/>
          <w:bCs/>
          <w:color w:val="000000"/>
          <w:sz w:val="20"/>
        </w:rPr>
        <w:t>175]</w:t>
      </w:r>
      <w:r w:rsidR="00830A65">
        <w:rPr>
          <w:rFonts w:ascii="Arial" w:hAnsi="Arial" w:cs="Arial"/>
          <w:bCs/>
          <w:color w:val="000000"/>
          <w:sz w:val="20"/>
        </w:rPr>
        <w:noBreakHyphen/>
      </w:r>
      <w:proofErr w:type="gramEnd"/>
      <w:r>
        <w:rPr>
          <w:rFonts w:ascii="Arial" w:hAnsi="Arial" w:cs="Arial"/>
          <w:bCs/>
          <w:color w:val="000000"/>
          <w:sz w:val="20"/>
        </w:rPr>
        <w:t>[176]:</w:t>
      </w:r>
    </w:p>
    <w:p w14:paraId="0C1F4E26"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Pr="008E6612">
        <w:rPr>
          <w:rFonts w:ascii="Arial" w:hAnsi="Arial" w:cs="Arial"/>
          <w:i/>
          <w:iCs/>
          <w:sz w:val="20"/>
        </w:rPr>
        <w:t>Guariglia v The Queen</w:t>
      </w:r>
      <w:r w:rsidRPr="008E6612">
        <w:rPr>
          <w:rFonts w:ascii="Arial" w:hAnsi="Arial" w:cs="Arial"/>
          <w:sz w:val="20"/>
        </w:rPr>
        <w:t xml:space="preserve"> (2010) 208 A Crim R 49</w:t>
      </w:r>
      <w:r>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Pr>
          <w:rFonts w:ascii="Arial" w:hAnsi="Arial" w:cs="Arial"/>
          <w:i/>
          <w:iCs/>
          <w:sz w:val="20"/>
        </w:rPr>
        <w:t>R v G</w:t>
      </w:r>
      <w:r w:rsidRPr="00BE1C2B">
        <w:rPr>
          <w:rFonts w:ascii="Arial" w:hAnsi="Arial" w:cs="Arial"/>
          <w:i/>
          <w:iCs/>
          <w:sz w:val="20"/>
        </w:rPr>
        <w:t>oodyear</w:t>
      </w:r>
      <w:r>
        <w:rPr>
          <w:rFonts w:ascii="Arial" w:hAnsi="Arial" w:cs="Arial"/>
          <w:sz w:val="20"/>
        </w:rPr>
        <w:t xml:space="preserve"> </w:t>
      </w:r>
      <w:r w:rsidRPr="008E6612">
        <w:rPr>
          <w:rFonts w:ascii="Arial" w:hAnsi="Arial" w:cs="Arial"/>
          <w:sz w:val="20"/>
        </w:rPr>
        <w:t>[2005] 1 WLR 2532</w:t>
      </w:r>
      <w:r>
        <w:rPr>
          <w:rFonts w:ascii="Arial" w:hAnsi="Arial" w:cs="Arial"/>
          <w:sz w:val="20"/>
        </w:rPr>
        <w:t xml:space="preserve">. </w:t>
      </w:r>
      <w:r w:rsidRPr="008E6612">
        <w:rPr>
          <w:rFonts w:ascii="Arial" w:hAnsi="Arial" w:cs="Arial"/>
          <w:sz w:val="20"/>
        </w:rPr>
        <w:t>We were not taken to, nor has our research located any English decision where the simple giving of a ‘</w:t>
      </w:r>
      <w:r w:rsidRPr="008E6612">
        <w:rPr>
          <w:rFonts w:ascii="Arial" w:hAnsi="Arial" w:cs="Arial"/>
          <w:i/>
          <w:iCs/>
          <w:sz w:val="20"/>
        </w:rPr>
        <w:t>Goodyear</w:t>
      </w:r>
      <w:r w:rsidRPr="008E6612">
        <w:rPr>
          <w:rFonts w:ascii="Arial" w:hAnsi="Arial" w:cs="Arial"/>
          <w:sz w:val="20"/>
        </w:rPr>
        <w:t xml:space="preserve"> indication’ vested the sentenced person with a right, on appeal, to withdraw their plea. We note, however, that in </w:t>
      </w:r>
      <w:r w:rsidRPr="008E6612">
        <w:rPr>
          <w:rFonts w:ascii="Arial" w:hAnsi="Arial" w:cs="Arial"/>
          <w:i/>
          <w:iCs/>
          <w:sz w:val="20"/>
        </w:rPr>
        <w:t>Nightingale (Danny)</w:t>
      </w:r>
      <w:r w:rsidRPr="008E6612">
        <w:rPr>
          <w:rFonts w:ascii="Arial" w:hAnsi="Arial" w:cs="Arial"/>
          <w:sz w:val="20"/>
        </w:rPr>
        <w:t xml:space="preserve"> [2013] 2 Cr App R 7, an uninvited sentence indication that was given ‘out of the blue’ entitled the accused to a quashing of his conviction.</w:t>
      </w:r>
    </w:p>
    <w:p w14:paraId="2805BC08"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176</w:t>
      </w:r>
      <w:r>
        <w:rPr>
          <w:rFonts w:ascii="Arial" w:hAnsi="Arial" w:cs="Arial"/>
          <w:sz w:val="20"/>
        </w:rPr>
        <w:t>]</w:t>
      </w:r>
      <w:r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Pr="00BE1C2B">
        <w:rPr>
          <w:rFonts w:ascii="Arial" w:hAnsi="Arial" w:cs="Arial"/>
          <w:i/>
          <w:iCs/>
          <w:sz w:val="20"/>
        </w:rPr>
        <w:t>Goodyear</w:t>
      </w:r>
      <w:r>
        <w:rPr>
          <w:rFonts w:ascii="Arial" w:hAnsi="Arial" w:cs="Arial"/>
          <w:sz w:val="20"/>
        </w:rPr>
        <w:t xml:space="preserve">. </w:t>
      </w:r>
      <w:r w:rsidRPr="008E6612">
        <w:rPr>
          <w:rFonts w:ascii="Arial" w:hAnsi="Arial" w:cs="Arial"/>
          <w:sz w:val="20"/>
        </w:rPr>
        <w:t>Our research has failed to discover a case where the fact of a reference by the Attorney-General to the Court of Appeal in England due to the leniency of a sentence imposed after the giving of a ‘</w:t>
      </w:r>
      <w:r w:rsidRPr="00C75AA3">
        <w:rPr>
          <w:rFonts w:ascii="Arial" w:hAnsi="Arial" w:cs="Arial"/>
          <w:i/>
          <w:iCs/>
          <w:sz w:val="20"/>
        </w:rPr>
        <w:t>Goodyear</w:t>
      </w:r>
      <w:r w:rsidRPr="008E6612">
        <w:rPr>
          <w:rFonts w:ascii="Arial" w:hAnsi="Arial" w:cs="Arial"/>
          <w:sz w:val="20"/>
        </w:rPr>
        <w:t xml:space="preserve"> indication’ provided the sentenced person with a basis to a withdrawal of their plea of guilty on appeal.</w:t>
      </w:r>
      <w:r>
        <w:rPr>
          <w:rFonts w:ascii="Arial" w:hAnsi="Arial" w:cs="Arial"/>
          <w:sz w:val="20"/>
        </w:rPr>
        <w:t>”</w:t>
      </w:r>
    </w:p>
    <w:p w14:paraId="0FAD22D3" w14:textId="77777777" w:rsidR="00C75AA3" w:rsidRPr="0000665E" w:rsidRDefault="00C75AA3"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11E948D2"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w:t>
      </w:r>
      <w:proofErr w:type="gramStart"/>
      <w:r>
        <w:rPr>
          <w:rFonts w:ascii="Arial" w:hAnsi="Arial" w:cs="Arial"/>
          <w:sz w:val="20"/>
        </w:rPr>
        <w:t>months</w:t>
      </w:r>
      <w:proofErr w:type="gramEnd"/>
      <w:r>
        <w:rPr>
          <w:rFonts w:ascii="Arial" w:hAnsi="Arial" w:cs="Arial"/>
          <w:sz w:val="20"/>
        </w:rPr>
        <w:t xml:space="preserve">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78" w:name="_10.3.5_No_summary"/>
      <w:bookmarkStart w:id="179" w:name="_10.3.5_Summary_case"/>
      <w:bookmarkEnd w:id="178"/>
      <w:bookmarkEnd w:id="179"/>
    </w:p>
    <w:p w14:paraId="047653A4" w14:textId="0A9FE05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 xml:space="preserve">We have been informed that this is the first time that the Director has appealed against a sentence which was imposed following the acceptance </w:t>
      </w:r>
      <w:r w:rsidR="00805350" w:rsidRPr="007009D6">
        <w:rPr>
          <w:rFonts w:ascii="Arial" w:hAnsi="Arial" w:cs="Arial"/>
          <w:sz w:val="20"/>
          <w:szCs w:val="20"/>
        </w:rPr>
        <w:lastRenderedPageBreak/>
        <w:t>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take into account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two year old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3 year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make a decision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R v Minhinnick</w:t>
      </w:r>
      <w:r>
        <w:rPr>
          <w:rFonts w:ascii="Arial" w:hAnsi="Arial" w:cs="Arial"/>
          <w:sz w:val="20"/>
          <w:szCs w:val="20"/>
        </w:rPr>
        <w:t xml:space="preserve"> [2023] VSC 736, in the course of sentencing the 22 year old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takes into account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0B8CCB7B" w14:textId="37C06192" w:rsidR="004E7254" w:rsidRDefault="004E7254" w:rsidP="004E7254">
      <w:pPr>
        <w:jc w:val="both"/>
        <w:rPr>
          <w:rFonts w:ascii="Arial" w:hAnsi="Arial" w:cs="Arial"/>
          <w:color w:val="000000"/>
          <w:sz w:val="20"/>
        </w:rPr>
      </w:pPr>
      <w:r>
        <w:rPr>
          <w:rFonts w:ascii="Arial" w:hAnsi="Arial" w:cs="Arial"/>
          <w:sz w:val="20"/>
          <w:szCs w:val="20"/>
        </w:rPr>
        <w:t xml:space="preserve">In </w:t>
      </w:r>
      <w:r w:rsidRPr="008510A7">
        <w:rPr>
          <w:rFonts w:ascii="Arial" w:hAnsi="Arial" w:cs="Arial"/>
          <w:i/>
          <w:iCs/>
          <w:color w:val="000000"/>
          <w:sz w:val="20"/>
        </w:rPr>
        <w:t>R v Mouhamad Rajab</w:t>
      </w:r>
      <w:r>
        <w:rPr>
          <w:rFonts w:ascii="Arial" w:hAnsi="Arial" w:cs="Arial"/>
          <w:color w:val="000000"/>
          <w:sz w:val="20"/>
        </w:rPr>
        <w:t xml:space="preserve"> [2026] VSC 89 following a sentence indication the 47-year old offender pleaded guilty to common law assault of the victim in the circumstances detailed in </w:t>
      </w:r>
      <w:r w:rsidRPr="004E7254">
        <w:rPr>
          <w:rFonts w:ascii="Arial" w:hAnsi="Arial" w:cs="Arial"/>
          <w:b/>
          <w:bCs/>
          <w:color w:val="000000"/>
          <w:sz w:val="20"/>
          <w:shd w:val="clear" w:color="auto" w:fill="C5E0B3" w:themeFill="accent6" w:themeFillTint="66"/>
        </w:rPr>
        <w:t>section 11.2.24.7</w:t>
      </w:r>
      <w:r>
        <w:rPr>
          <w:rFonts w:ascii="Arial" w:hAnsi="Arial" w:cs="Arial"/>
          <w:color w:val="000000"/>
          <w:sz w:val="20"/>
        </w:rPr>
        <w:t xml:space="preserve"> and was sentenced to IMP8 weeks (already served) and a community corrections order. At [26] Gorton J said:</w:t>
      </w:r>
    </w:p>
    <w:p w14:paraId="1A35E5B5" w14:textId="34744383" w:rsidR="004E7254" w:rsidRPr="004E7254" w:rsidRDefault="004E7254" w:rsidP="004E7254">
      <w:pPr>
        <w:spacing w:before="60"/>
        <w:ind w:left="567" w:right="567"/>
        <w:jc w:val="both"/>
        <w:rPr>
          <w:rFonts w:ascii="Arial" w:hAnsi="Arial" w:cs="Arial"/>
          <w:sz w:val="20"/>
        </w:rPr>
      </w:pPr>
      <w:r>
        <w:rPr>
          <w:rFonts w:ascii="Arial" w:hAnsi="Arial" w:cs="Arial"/>
          <w:sz w:val="20"/>
        </w:rPr>
        <w:t>“</w:t>
      </w:r>
      <w:r w:rsidRPr="004E7254">
        <w:rPr>
          <w:rFonts w:ascii="Arial" w:hAnsi="Arial" w:cs="Arial"/>
          <w:sz w:val="20"/>
          <w:szCs w:val="20"/>
        </w:rPr>
        <w:t>The Crown submitted, as I understood it, that I should not depart from the sentence indication and impose a lesser sentence because your circumstances had not materially changed between the application for a sentence indication and the plea hearing. I do not accept that there is any principle that the Court should not depart from a sentence indication by imposing a lesser sentence unless a change in circumstances can be demonstrated. As</w:t>
      </w:r>
      <w:r>
        <w:rPr>
          <w:rFonts w:ascii="Arial" w:hAnsi="Arial" w:cs="Arial"/>
          <w:sz w:val="20"/>
          <w:szCs w:val="20"/>
        </w:rPr>
        <w:t> </w:t>
      </w:r>
      <w:r w:rsidRPr="004E7254">
        <w:rPr>
          <w:rFonts w:ascii="Arial" w:hAnsi="Arial" w:cs="Arial"/>
          <w:sz w:val="20"/>
          <w:szCs w:val="20"/>
        </w:rPr>
        <w:t>the authorities make clear, consistently with the text of the legislation, a sentence indication does no more than ‘constrain the sentencing judge from imposing a more severe sentence than the maximum total sentence indicated’ – it provides a ceiling</w:t>
      </w:r>
      <w:r>
        <w:rPr>
          <w:rFonts w:ascii="Arial" w:hAnsi="Arial" w:cs="Arial"/>
          <w:sz w:val="20"/>
          <w:szCs w:val="20"/>
        </w:rPr>
        <w:t xml:space="preserve">: </w:t>
      </w:r>
      <w:r w:rsidRPr="004E7254">
        <w:rPr>
          <w:rFonts w:ascii="Arial" w:hAnsi="Arial" w:cs="Arial"/>
          <w:i/>
          <w:iCs/>
          <w:sz w:val="20"/>
          <w:szCs w:val="20"/>
        </w:rPr>
        <w:t>Greenaway (a</w:t>
      </w:r>
      <w:r>
        <w:rPr>
          <w:rFonts w:ascii="Arial" w:hAnsi="Arial" w:cs="Arial"/>
          <w:i/>
          <w:iCs/>
          <w:sz w:val="20"/>
          <w:szCs w:val="20"/>
        </w:rPr>
        <w:t> </w:t>
      </w:r>
      <w:r w:rsidRPr="004E7254">
        <w:rPr>
          <w:rFonts w:ascii="Arial" w:hAnsi="Arial" w:cs="Arial"/>
          <w:i/>
          <w:iCs/>
          <w:sz w:val="20"/>
          <w:szCs w:val="20"/>
        </w:rPr>
        <w:t>pseudonym) v The King</w:t>
      </w:r>
      <w:r w:rsidRPr="004E7254">
        <w:rPr>
          <w:rFonts w:ascii="Arial" w:hAnsi="Arial" w:cs="Arial"/>
          <w:sz w:val="20"/>
          <w:szCs w:val="20"/>
        </w:rPr>
        <w:t xml:space="preserve"> [2025] VSCA 280, [12]; </w:t>
      </w:r>
      <w:r w:rsidRPr="004E7254">
        <w:rPr>
          <w:rFonts w:ascii="Arial" w:hAnsi="Arial" w:cs="Arial"/>
          <w:i/>
          <w:iCs/>
          <w:sz w:val="20"/>
          <w:szCs w:val="20"/>
        </w:rPr>
        <w:t>Karam v The King</w:t>
      </w:r>
      <w:r w:rsidRPr="004E7254">
        <w:rPr>
          <w:rFonts w:ascii="Arial" w:hAnsi="Arial" w:cs="Arial"/>
          <w:sz w:val="20"/>
          <w:szCs w:val="20"/>
        </w:rPr>
        <w:t xml:space="preserve"> [2024] VSCA 164, [42].</w:t>
      </w:r>
      <w:r>
        <w:rPr>
          <w:rFonts w:ascii="Arial" w:hAnsi="Arial" w:cs="Arial"/>
          <w:sz w:val="20"/>
          <w:szCs w:val="20"/>
        </w:rPr>
        <w:t xml:space="preserve"> </w:t>
      </w:r>
      <w:r w:rsidRPr="004E7254">
        <w:rPr>
          <w:rFonts w:ascii="Arial" w:hAnsi="Arial" w:cs="Arial"/>
          <w:sz w:val="20"/>
          <w:szCs w:val="20"/>
        </w:rPr>
        <w:t xml:space="preserve">If, after hearing a full plea, a sentencing judge considers on reflection that a lesser sentence is appropriate than that earlier indicated, then that lesser sentence should be imposed. Indeed, it would be contrary to the parsimony principle, enshrined in s 5(3) of the </w:t>
      </w:r>
      <w:r w:rsidRPr="004E7254">
        <w:rPr>
          <w:rFonts w:ascii="Arial" w:hAnsi="Arial" w:cs="Arial"/>
          <w:i/>
          <w:iCs/>
          <w:sz w:val="20"/>
          <w:szCs w:val="20"/>
        </w:rPr>
        <w:t>Sentencing Act 1991</w:t>
      </w:r>
      <w:r w:rsidRPr="004E7254">
        <w:rPr>
          <w:rFonts w:ascii="Arial" w:hAnsi="Arial" w:cs="Arial"/>
          <w:sz w:val="20"/>
          <w:szCs w:val="20"/>
        </w:rPr>
        <w:t>, that the court ‘must not impose a sentence that is more severe than that which is necessary to achieve the purpose or purposes for which the sentence is imposed.’</w:t>
      </w:r>
      <w:r>
        <w:rPr>
          <w:rFonts w:ascii="Arial" w:hAnsi="Arial" w:cs="Arial"/>
          <w:sz w:val="20"/>
          <w:szCs w:val="20"/>
        </w:rPr>
        <w:t>”</w:t>
      </w:r>
    </w:p>
    <w:p w14:paraId="1ECD743E" w14:textId="77777777" w:rsidR="004E7254" w:rsidRDefault="004E7254"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80" w:name="_10.3.6_Plea_agreements"/>
      <w:bookmarkEnd w:id="180"/>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purpose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w:t>
      </w:r>
      <w:r>
        <w:rPr>
          <w:rFonts w:ascii="Arial" w:hAnsi="Arial" w:cs="Arial"/>
          <w:sz w:val="20"/>
        </w:rPr>
        <w:lastRenderedPageBreak/>
        <w:t>Children's Court summary jurisdiction such 'plea agreements' are inevitably informal and oral.  Given the pressure of work in the Children's Court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81" w:name="_10.3.7_Withdrawal_of"/>
      <w:bookmarkEnd w:id="181"/>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place">
        <w:smartTag w:uri="urn:schemas-microsoft-com:office:smarttags" w:element="City">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R v Middap</w:t>
      </w:r>
      <w:r w:rsidRPr="0000665E">
        <w:rPr>
          <w:rFonts w:ascii="Arial" w:hAnsi="Arial" w:cs="Arial"/>
          <w:color w:val="000000"/>
          <w:sz w:val="20"/>
          <w:szCs w:val="20"/>
        </w:rPr>
        <w:t xml:space="preserve"> (1989) 43 A Crim R 362, 364 (‘</w:t>
      </w:r>
      <w:r w:rsidRPr="0000665E">
        <w:rPr>
          <w:rFonts w:ascii="Arial" w:hAnsi="Arial" w:cs="Arial"/>
          <w:i/>
          <w:color w:val="000000"/>
          <w:sz w:val="20"/>
          <w:szCs w:val="20"/>
        </w:rPr>
        <w:t>Middap</w:t>
      </w:r>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r w:rsidRPr="0000665E">
        <w:rPr>
          <w:rFonts w:ascii="Arial" w:hAnsi="Arial" w:cs="Arial"/>
          <w:i/>
          <w:color w:val="000000"/>
          <w:sz w:val="20"/>
          <w:szCs w:val="20"/>
        </w:rPr>
        <w:t>Middap</w:t>
      </w:r>
      <w:r w:rsidRPr="0000665E">
        <w:rPr>
          <w:rFonts w:ascii="Arial" w:hAnsi="Arial" w:cs="Arial"/>
          <w:color w:val="000000"/>
          <w:sz w:val="20"/>
          <w:szCs w:val="20"/>
        </w:rPr>
        <w:t>, the expression used is ‘would’.  Counsel for Mokbel also used “would”</w:t>
      </w:r>
      <w:r w:rsidR="00383AD4" w:rsidRPr="0000665E">
        <w:rPr>
          <w:rFonts w:ascii="Arial" w:hAnsi="Arial" w:cs="Arial"/>
          <w:color w:val="000000"/>
          <w:sz w:val="20"/>
          <w:szCs w:val="20"/>
        </w:rPr>
        <w:t>…</w:t>
      </w:r>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R v Kouroumalos</w:t>
      </w:r>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R v Marchando</w:t>
      </w:r>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r w:rsidR="00F83B65" w:rsidRPr="0000665E">
        <w:rPr>
          <w:rFonts w:ascii="Arial" w:hAnsi="Arial" w:cs="Arial"/>
          <w:i/>
          <w:color w:val="000000"/>
          <w:sz w:val="20"/>
          <w:szCs w:val="20"/>
        </w:rPr>
        <w:t>Middap</w:t>
      </w:r>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82" w:name="_10.3.8_Duplicity,_Uncertainty"/>
      <w:bookmarkEnd w:id="182"/>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“[40]  As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Trotter  </w:t>
      </w:r>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lastRenderedPageBreak/>
        <w:t xml:space="preserve">[41]  In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 xml:space="preserve">[42]  In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Again there was no duplicity in the charge; the ambiguity arose out of the evidence.  But in the course of the judgment the Court also said (7 A Crim R at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r>
        <w:rPr>
          <w:rFonts w:ascii="Arial" w:hAnsi="Arial" w:cs="Arial"/>
          <w:sz w:val="20"/>
        </w:rPr>
        <w:t xml:space="preserve">However a charge will not be duplicitous if it refers to one prohibited act having certain characteristics as opposed to more than one such act.  See for instance </w:t>
      </w:r>
      <w:r>
        <w:rPr>
          <w:rFonts w:ascii="Arial" w:hAnsi="Arial" w:cs="Arial"/>
          <w:i/>
          <w:iCs/>
          <w:sz w:val="20"/>
        </w:rPr>
        <w:t>R v Ginies</w:t>
      </w:r>
      <w:r>
        <w:rPr>
          <w:rFonts w:ascii="Arial" w:hAnsi="Arial" w:cs="Arial"/>
          <w:sz w:val="20"/>
        </w:rPr>
        <w:t xml:space="preserve"> [1972] VR 349 at 400 per Winneke CJ, Little &amp; Barber JJ.  The distinction was pointed out by Bray CJ in </w:t>
      </w:r>
      <w:r>
        <w:rPr>
          <w:rFonts w:ascii="Arial" w:hAnsi="Arial" w:cs="Arial"/>
          <w:i/>
          <w:iCs/>
          <w:sz w:val="20"/>
        </w:rPr>
        <w:t>Romeyko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r w:rsidR="00702EE8">
        <w:rPr>
          <w:rFonts w:ascii="Arial" w:hAnsi="Arial" w:cs="Arial"/>
          <w:sz w:val="20"/>
        </w:rPr>
        <w:t>90</w:t>
      </w:r>
      <w:r>
        <w:rPr>
          <w:rFonts w:ascii="Arial" w:hAnsi="Arial" w:cs="Arial"/>
          <w:sz w:val="20"/>
        </w:rPr>
        <w:t>]</w:t>
      </w:r>
      <w:r w:rsidR="0061011E">
        <w:rPr>
          <w:rFonts w:ascii="Arial" w:hAnsi="Arial" w:cs="Arial"/>
          <w:sz w:val="20"/>
        </w:rPr>
        <w:noBreakHyphen/>
      </w:r>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eg.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 xml:space="preserve">Patent duplicity is a matter of form, not evidence. If, upon a fair reading of a charge, it alleges the commission of two or more separate offences, the charge would be patently </w:t>
      </w:r>
      <w:r w:rsidRPr="00702EE8">
        <w:rPr>
          <w:rFonts w:ascii="Arial" w:hAnsi="Arial" w:cs="Arial"/>
          <w:sz w:val="20"/>
        </w:rPr>
        <w:lastRenderedPageBreak/>
        <w:t>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‘ensure that the accused knows the “particular act, matter or thing alleged as the 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a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lastRenderedPageBreak/>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Perhaps an indication of the considerable difficulty of the task to be found is in the fact that, in many of the leadings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This is not a case where the evidence of the first instance was notional rather than actual: see eg.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There was therefore no requirement for any further details which objectively distinguished the first instance from the other sleep penetrations. As Redlich JA said in PPP at [46], ‘the particulars of the offence as being the ‘first occasion’ will generally be 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[125] Charge 6 was thus founded upon a single act of penetration. It was sufficiently clear that this was the ‘particular act, matter or thing alleged as the foundation’ of this charge. On the ‘first occasion’ particularisation approach, te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83" w:name="_10.3.9_“Representative”_counts"/>
      <w:bookmarkEnd w:id="183"/>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taking into account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 xml:space="preserve">“Not only does the fact that a count is agreed to be representative preclude its being said in mitigation that the offence was isolated, it affirmatively enables the offence to be seen in its full circumstantial context.  The offender is not, by a loading of the sentence, to be punished for the represented offences, but the sentence for the representative offence may </w:t>
      </w:r>
      <w:r w:rsidRPr="0094266D">
        <w:rPr>
          <w:rFonts w:ascii="Arial" w:hAnsi="Arial" w:cs="Arial"/>
          <w:sz w:val="20"/>
          <w:szCs w:val="20"/>
        </w:rPr>
        <w:lastRenderedPageBreak/>
        <w:t>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Winneke P (with whom Charles &amp; Buchanan JJA agreed) approved and applied the above dicta, noting at [8]:  “These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DPP v Mulia</w:t>
      </w:r>
      <w:r w:rsidR="001B1DB2">
        <w:rPr>
          <w:rFonts w:ascii="Arial" w:hAnsi="Arial" w:cs="Arial"/>
          <w:i/>
          <w:sz w:val="20"/>
        </w:rPr>
        <w:t>i</w:t>
      </w:r>
      <w:r w:rsidR="003D62C8" w:rsidRPr="003D62C8">
        <w:rPr>
          <w:rFonts w:ascii="Arial" w:hAnsi="Arial" w:cs="Arial"/>
          <w:i/>
          <w:sz w:val="20"/>
        </w:rPr>
        <w:t>na</w:t>
      </w:r>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t xml:space="preserve">[1999] 1 VR 706”.  However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lastRenderedPageBreak/>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(d) and (daa).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lastRenderedPageBreak/>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and unanimity.  Accordingly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count…[R]olled-up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R v Coukoulis</w:t>
      </w:r>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judge, but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that, in circumstances where offences are charged as a "rolled up" count, the count does not qualify as a continuing criminal enterprise offence by virtue only of the rolled up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84" w:name="_Toc30691451"/>
      <w:bookmarkStart w:id="185" w:name="_Toc30691830"/>
      <w:bookmarkStart w:id="186" w:name="_Toc30692210"/>
      <w:bookmarkStart w:id="187" w:name="_Toc30692968"/>
      <w:bookmarkStart w:id="188" w:name="_Toc30693347"/>
      <w:bookmarkStart w:id="189" w:name="_Toc30693725"/>
      <w:bookmarkStart w:id="190" w:name="_Toc30694103"/>
      <w:bookmarkStart w:id="191" w:name="_Toc30694483"/>
      <w:bookmarkStart w:id="192" w:name="_Toc30699073"/>
      <w:bookmarkStart w:id="193" w:name="_Toc30699458"/>
      <w:bookmarkStart w:id="194" w:name="_Toc30699843"/>
      <w:bookmarkStart w:id="195" w:name="_Toc30700998"/>
      <w:bookmarkStart w:id="196" w:name="_Toc30701385"/>
      <w:bookmarkStart w:id="197" w:name="_Toc30743992"/>
      <w:bookmarkStart w:id="198" w:name="_Toc30754815"/>
      <w:bookmarkStart w:id="199" w:name="_Toc30757271"/>
      <w:bookmarkStart w:id="200" w:name="_Toc30757819"/>
      <w:bookmarkStart w:id="201" w:name="_Toc30758219"/>
      <w:bookmarkStart w:id="202" w:name="_Toc30762980"/>
      <w:bookmarkStart w:id="203" w:name="_Toc30767634"/>
      <w:bookmarkStart w:id="204"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w:t>
      </w:r>
      <w:r>
        <w:rPr>
          <w:rFonts w:ascii="Arial" w:hAnsi="Arial" w:cs="Arial"/>
          <w:sz w:val="20"/>
        </w:rPr>
        <w:lastRenderedPageBreak/>
        <w:t xml:space="preserve">factual circumstances in which the offence was committed.  [See] </w:t>
      </w:r>
      <w:r w:rsidRPr="00494F3E">
        <w:rPr>
          <w:rFonts w:ascii="Arial" w:hAnsi="Arial" w:cs="Arial"/>
          <w:i/>
          <w:sz w:val="20"/>
        </w:rPr>
        <w:t>R v Giretti</w:t>
      </w:r>
      <w:r>
        <w:rPr>
          <w:rFonts w:ascii="Arial" w:hAnsi="Arial" w:cs="Arial"/>
          <w:sz w:val="20"/>
        </w:rPr>
        <w:t xml:space="preserve"> (1986) 24 A Crim R 112, 118 per Crockett J…A charge of this kind is of course, to be distinguished from a “rolled up count”.  A rolled up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t xml:space="preserve">For a general discussion of “rolled up” as opposed to “representative” charges see </w:t>
      </w:r>
      <w:r w:rsidRPr="00C37F2B">
        <w:rPr>
          <w:rFonts w:ascii="Arial" w:hAnsi="Arial" w:cs="Arial"/>
          <w:bCs/>
          <w:i/>
          <w:iCs/>
          <w:color w:val="000000"/>
          <w:sz w:val="20"/>
          <w:szCs w:val="20"/>
        </w:rPr>
        <w:t>DPP v Za Lian &amp; Hlawnceu</w:t>
      </w:r>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r w:rsidR="00960A4F" w:rsidRPr="00960A4F">
        <w:rPr>
          <w:rFonts w:ascii="Arial" w:hAnsi="Arial" w:cs="Arial"/>
          <w:bCs/>
          <w:i/>
          <w:iCs/>
          <w:color w:val="000000"/>
          <w:sz w:val="20"/>
          <w:szCs w:val="20"/>
        </w:rPr>
        <w:t>Stanczewski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DPP v Lapatis; DPP v Stakic</w:t>
      </w:r>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205" w:name="_10.3.10_Right_to"/>
      <w:bookmarkEnd w:id="205"/>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206"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206"/>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R v Benbrika and ors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592;  </w:t>
      </w:r>
      <w:r w:rsidR="00CD2188" w:rsidRPr="00CD2188">
        <w:rPr>
          <w:rFonts w:ascii="Arial" w:eastAsia="Book Antiqua" w:hAnsi="Arial" w:cs="Arial"/>
          <w:i/>
          <w:sz w:val="20"/>
          <w:szCs w:val="20"/>
        </w:rPr>
        <w:t xml:space="preserve">Dupas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lastRenderedPageBreak/>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The following propositions may, I think, be drawn from the judgment of Osborn JA (with whom Redlich JA and Sifris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(Gaudron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77-8  (Gaudron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“[S]uch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w:t>
      </w:r>
      <w:r>
        <w:rPr>
          <w:rFonts w:ascii="Arial" w:hAnsi="Arial" w:cs="Arial"/>
          <w:sz w:val="20"/>
          <w:szCs w:val="16"/>
        </w:rPr>
        <w:lastRenderedPageBreak/>
        <w:t xml:space="preserve">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Philippine Airlines v Goldair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Yuill v Spedley Securities Ltd (in liq)</w:t>
      </w:r>
      <w:r w:rsidR="00E02E3D" w:rsidRPr="00E02E3D">
        <w:rPr>
          <w:rFonts w:ascii="Arial" w:hAnsi="Arial" w:cs="Arial"/>
          <w:sz w:val="20"/>
        </w:rPr>
        <w:t xml:space="preserve"> (1992) 8 ACSR 272; </w:t>
      </w:r>
      <w:r w:rsidR="00E02E3D" w:rsidRPr="00E02E3D">
        <w:rPr>
          <w:rFonts w:ascii="Arial" w:eastAsia="Book Antiqua" w:hAnsi="Arial" w:cs="Arial"/>
          <w:i/>
          <w:sz w:val="20"/>
        </w:rPr>
        <w:t>DPP (Cth)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Qd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R v Tuteru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DPP v Tuteru</w:t>
      </w:r>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207"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207"/>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 xml:space="preserve">It is in effect </w:t>
      </w:r>
      <w:r w:rsidRPr="008627AF">
        <w:rPr>
          <w:rFonts w:ascii="Arial" w:hAnsi="Arial" w:cs="Arial"/>
          <w:color w:val="000000"/>
          <w:sz w:val="20"/>
        </w:rPr>
        <w:lastRenderedPageBreak/>
        <w:t>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The term ‘abuse of process’, in a criminal context, includes not only bringing a prosecution for an improper purpose or 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Strickland (a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His Honour took</w:t>
      </w:r>
      <w:r w:rsidR="001514B5">
        <w:rPr>
          <w:rFonts w:ascii="Arial" w:hAnsi="Arial" w:cs="Arial"/>
          <w:sz w:val="20"/>
          <w:szCs w:val="16"/>
        </w:rPr>
        <w:t xml:space="preserve"> into account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lastRenderedPageBreak/>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DPP v Tuteru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[31] There is nothing from which it could be concluded that the prosecution’s decision not to include sexual assault charges on the indictment was underpinned by any improper purpose, or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lastRenderedPageBreak/>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Having viewed all of the video footage, we have concluded that it simply was not open to the judge to find that the charges against the respondents are foredoomed to fail, or that a 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w:t>
      </w:r>
      <w:r w:rsidRPr="00523E6B">
        <w:rPr>
          <w:rFonts w:ascii="Arial" w:hAnsi="Arial" w:cs="Arial"/>
          <w:sz w:val="20"/>
          <w:szCs w:val="20"/>
        </w:rPr>
        <w:lastRenderedPageBreak/>
        <w:t>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Five complainants were students at the 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208" w:name="_10.3.11_Abuse_of"/>
      <w:bookmarkEnd w:id="208"/>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2 year old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Instead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R v Lorkin</w:t>
      </w:r>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[1991] 1 Qd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 xml:space="preserve">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w:t>
      </w:r>
      <w:r w:rsidRPr="00FF69FA">
        <w:rPr>
          <w:rFonts w:ascii="Arial" w:hAnsi="Arial" w:cs="Arial"/>
          <w:sz w:val="20"/>
        </w:rPr>
        <w:lastRenderedPageBreak/>
        <w:t>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209" w:name="_10.3.12_Joinder_or"/>
      <w:bookmarkEnd w:id="209"/>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The prima facie rule is that where more than one accused are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R v Demirok</w:t>
      </w:r>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R v Demirok</w:t>
      </w:r>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 xml:space="preserve">he matters that favour of a joint trial are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w:t>
      </w:r>
      <w:r w:rsidR="0080626A" w:rsidRPr="000A6D12">
        <w:rPr>
          <w:rFonts w:ascii="Arial" w:hAnsi="Arial" w:cs="Arial"/>
          <w:sz w:val="20"/>
          <w:szCs w:val="20"/>
        </w:rPr>
        <w:lastRenderedPageBreak/>
        <w:t>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11B621D7"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slavery based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R v Demirok</w:t>
      </w:r>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210"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210"/>
      <w:r w:rsidR="00372C90" w:rsidRPr="000A6D12">
        <w:rPr>
          <w:rFonts w:ascii="Arial" w:hAnsi="Arial" w:cs="Arial"/>
          <w:sz w:val="20"/>
          <w:szCs w:val="20"/>
        </w:rPr>
        <w:t xml:space="preserve"> 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1"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211"/>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2" w:name="_Toc4663795"/>
      <w:r w:rsidRPr="000B6A21">
        <w:rPr>
          <w:rFonts w:ascii="Arial" w:hAnsi="Arial" w:cs="Arial"/>
          <w:sz w:val="20"/>
        </w:rPr>
        <w:t>57</w:t>
      </w:r>
      <w:r w:rsidRPr="000B6A21">
        <w:rPr>
          <w:rFonts w:ascii="Arial" w:hAnsi="Arial" w:cs="Arial"/>
          <w:sz w:val="20"/>
        </w:rPr>
        <w:tab/>
        <w:t>Joint hearing of charges on separate charge-sheets</w:t>
      </w:r>
      <w:bookmarkEnd w:id="212"/>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3" w:name="_Toc4663796"/>
      <w:r w:rsidRPr="000B6A21">
        <w:rPr>
          <w:rFonts w:ascii="Arial" w:hAnsi="Arial" w:cs="Arial"/>
          <w:sz w:val="20"/>
        </w:rPr>
        <w:t>58</w:t>
      </w:r>
      <w:r w:rsidRPr="000B6A21">
        <w:rPr>
          <w:rFonts w:ascii="Arial" w:hAnsi="Arial" w:cs="Arial"/>
          <w:sz w:val="20"/>
        </w:rPr>
        <w:tab/>
        <w:t>Order for separate hearing</w:t>
      </w:r>
      <w:bookmarkEnd w:id="213"/>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4" w:name="_Toc4664328"/>
      <w:r w:rsidRPr="000B6A21">
        <w:rPr>
          <w:rFonts w:ascii="Arial" w:hAnsi="Arial" w:cs="Arial"/>
          <w:sz w:val="20"/>
        </w:rPr>
        <w:t>5</w:t>
      </w:r>
      <w:r w:rsidRPr="000B6A21">
        <w:rPr>
          <w:rFonts w:ascii="Arial" w:hAnsi="Arial" w:cs="Arial"/>
          <w:sz w:val="20"/>
        </w:rPr>
        <w:tab/>
        <w:t>Joinder of charges</w:t>
      </w:r>
      <w:bookmarkEnd w:id="214"/>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v Renzella</w:t>
      </w:r>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Qd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Qd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lastRenderedPageBreak/>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R v Demirok</w:t>
      </w:r>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Demirok</w:t>
      </w:r>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Sutton 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VSC 882 the accused was presented on a joint indictment that charged him in relation to two separate criminal events: event 1 involved a home invasion and infliction of life threatening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take into account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R v Demirok</w:t>
      </w:r>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20C1BE31" w:rsidR="00A03E5E" w:rsidRPr="003E56AE" w:rsidRDefault="00A03E5E" w:rsidP="00A03E5E">
      <w:pPr>
        <w:ind w:left="357" w:hanging="357"/>
        <w:jc w:val="both"/>
        <w:rPr>
          <w:rFonts w:ascii="Arial" w:hAnsi="Arial" w:cs="Arial"/>
          <w:sz w:val="20"/>
          <w:szCs w:val="20"/>
        </w:rPr>
      </w:pPr>
      <w:r w:rsidRPr="003E56AE">
        <w:rPr>
          <w:rFonts w:ascii="Arial" w:hAnsi="Arial" w:cs="Arial"/>
          <w:sz w:val="20"/>
          <w:szCs w:val="20"/>
        </w:rPr>
        <w:t>16.</w:t>
      </w:r>
      <w:r w:rsidRPr="003E56AE">
        <w:rPr>
          <w:rFonts w:ascii="Arial" w:hAnsi="Arial" w:cs="Arial"/>
          <w:sz w:val="20"/>
          <w:szCs w:val="20"/>
        </w:rPr>
        <w:tab/>
      </w:r>
      <w:r w:rsidRPr="003E56AE">
        <w:rPr>
          <w:rFonts w:ascii="Arial" w:hAnsi="Arial" w:cs="Arial"/>
          <w:b/>
          <w:bCs/>
          <w:sz w:val="20"/>
          <w:szCs w:val="20"/>
        </w:rPr>
        <w:t>The general rule in favour of joint trials will be displaced where this course will deny an accused a fair trial</w:t>
      </w:r>
      <w:r w:rsidRPr="003E56AE">
        <w:rPr>
          <w:rFonts w:ascii="Arial" w:hAnsi="Arial" w:cs="Arial"/>
          <w:sz w:val="20"/>
          <w:szCs w:val="20"/>
        </w:rPr>
        <w:t xml:space="preserve">: </w:t>
      </w:r>
      <w:r w:rsidRPr="003E56AE">
        <w:rPr>
          <w:rFonts w:ascii="Arial" w:hAnsi="Arial" w:cs="Arial"/>
          <w:i/>
          <w:iCs/>
          <w:sz w:val="20"/>
          <w:szCs w:val="20"/>
        </w:rPr>
        <w:t>R v Oliver</w:t>
      </w:r>
      <w:r w:rsidRPr="003E56AE">
        <w:rPr>
          <w:rFonts w:ascii="Arial" w:hAnsi="Arial" w:cs="Arial"/>
          <w:sz w:val="20"/>
          <w:szCs w:val="20"/>
        </w:rPr>
        <w:t xml:space="preserve">; </w:t>
      </w:r>
      <w:r w:rsidRPr="003E56AE">
        <w:rPr>
          <w:rFonts w:ascii="Arial" w:hAnsi="Arial" w:cs="Arial"/>
          <w:i/>
          <w:iCs/>
          <w:sz w:val="20"/>
          <w:szCs w:val="20"/>
        </w:rPr>
        <w:t>R v Patsalis</w:t>
      </w:r>
      <w:r w:rsidRPr="003E56AE">
        <w:rPr>
          <w:rFonts w:ascii="Arial" w:hAnsi="Arial" w:cs="Arial"/>
          <w:sz w:val="20"/>
          <w:szCs w:val="20"/>
        </w:rPr>
        <w:t xml:space="preserve"> [1999] NSWSC 649; </w:t>
      </w:r>
      <w:r w:rsidRPr="003E56AE">
        <w:rPr>
          <w:rFonts w:ascii="Arial" w:hAnsi="Arial" w:cs="Arial"/>
          <w:i/>
          <w:iCs/>
          <w:sz w:val="20"/>
          <w:szCs w:val="20"/>
        </w:rPr>
        <w:t>R v Cox &amp; Ors</w:t>
      </w:r>
      <w:r w:rsidRPr="003E56AE">
        <w:rPr>
          <w:rFonts w:ascii="Arial" w:hAnsi="Arial" w:cs="Arial"/>
          <w:sz w:val="20"/>
          <w:szCs w:val="20"/>
        </w:rPr>
        <w:t xml:space="preserve"> [2005] VSC 255</w:t>
      </w:r>
      <w:r w:rsidR="003E56AE" w:rsidRPr="003E56AE">
        <w:rPr>
          <w:rFonts w:ascii="Arial" w:hAnsi="Arial" w:cs="Arial"/>
          <w:sz w:val="20"/>
          <w:szCs w:val="20"/>
        </w:rPr>
        <w:t xml:space="preserve">; </w:t>
      </w:r>
      <w:r w:rsidR="003E56AE" w:rsidRPr="003E56AE">
        <w:rPr>
          <w:rFonts w:ascii="Arial" w:hAnsi="Arial" w:cs="Arial"/>
          <w:i/>
          <w:iCs/>
          <w:sz w:val="20"/>
          <w:szCs w:val="20"/>
        </w:rPr>
        <w:t>Young &amp; Ors v The Queen</w:t>
      </w:r>
      <w:r w:rsidR="003E56AE" w:rsidRPr="003E56AE">
        <w:rPr>
          <w:rFonts w:ascii="Arial" w:hAnsi="Arial" w:cs="Arial"/>
          <w:sz w:val="20"/>
          <w:szCs w:val="20"/>
        </w:rPr>
        <w:t xml:space="preserve"> [2015] VSCA 265; </w:t>
      </w:r>
      <w:r w:rsidR="003E56AE" w:rsidRPr="003E56AE">
        <w:rPr>
          <w:rFonts w:ascii="Arial" w:hAnsi="Arial" w:cs="Arial"/>
          <w:i/>
          <w:iCs/>
          <w:sz w:val="20"/>
          <w:szCs w:val="20"/>
        </w:rPr>
        <w:t>R v Kepa &amp; Webster (Ruling 1)</w:t>
      </w:r>
      <w:r w:rsidR="003E56AE" w:rsidRPr="003E56AE">
        <w:rPr>
          <w:rFonts w:ascii="Arial" w:hAnsi="Arial" w:cs="Arial"/>
          <w:sz w:val="20"/>
          <w:szCs w:val="20"/>
        </w:rPr>
        <w:t xml:space="preserve"> [2025] VSC 846.</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lastRenderedPageBreak/>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R v Ignjatic</w:t>
      </w:r>
      <w:r w:rsidRPr="000B6A21">
        <w:rPr>
          <w:rFonts w:ascii="Arial" w:hAnsi="Arial" w:cs="Arial"/>
          <w:sz w:val="20"/>
          <w:szCs w:val="20"/>
        </w:rPr>
        <w:t xml:space="preserve"> (unreported, NSWCCA, 06/07/1993), </w:t>
      </w:r>
      <w:r w:rsidRPr="000B6A21">
        <w:rPr>
          <w:rFonts w:ascii="Arial" w:hAnsi="Arial" w:cs="Arial"/>
          <w:i/>
          <w:iCs/>
          <w:sz w:val="20"/>
          <w:szCs w:val="20"/>
        </w:rPr>
        <w:t>R v Patsalis</w:t>
      </w:r>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Grondkowski</w:t>
      </w:r>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15" w:name="_10.3.13_Transfer_of"/>
      <w:bookmarkStart w:id="216" w:name="_10.4_Doli_incapax"/>
      <w:bookmarkEnd w:id="215"/>
      <w:bookmarkEnd w:id="216"/>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City">
        <w:smartTag w:uri="urn:schemas-microsoft-com:office:smarttags" w:element="place">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17" w:name="_10.4.1_The_principle"/>
      <w:bookmarkStart w:id="218" w:name="_Toc54454700"/>
      <w:bookmarkStart w:id="219" w:name="_Toc54544606"/>
      <w:bookmarkStart w:id="220" w:name="_Toc54634645"/>
      <w:bookmarkStart w:id="221" w:name="_Hlk111623801"/>
      <w:bookmarkEnd w:id="217"/>
      <w:r>
        <w:rPr>
          <w:rFonts w:ascii="Arial" w:hAnsi="Arial" w:cs="Arial"/>
          <w:b/>
          <w:bCs/>
          <w:sz w:val="20"/>
        </w:rPr>
        <w:t>10.4.1</w:t>
      </w:r>
      <w:r>
        <w:rPr>
          <w:rFonts w:ascii="Arial" w:hAnsi="Arial" w:cs="Arial"/>
          <w:b/>
          <w:bCs/>
          <w:sz w:val="20"/>
        </w:rPr>
        <w:tab/>
      </w:r>
      <w:bookmarkEnd w:id="218"/>
      <w:bookmarkEnd w:id="219"/>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20"/>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r>
        <w:rPr>
          <w:rFonts w:ascii="Arial" w:hAnsi="Arial" w:cs="Arial"/>
          <w:i/>
          <w:iCs/>
          <w:sz w:val="20"/>
        </w:rPr>
        <w:t>mens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21"/>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22" w:name="_10.4.2_Earlier_Australian"/>
      <w:bookmarkStart w:id="223" w:name="_Toc54454701"/>
      <w:bookmarkStart w:id="224" w:name="_Toc54544607"/>
      <w:bookmarkStart w:id="225" w:name="_Toc54634646"/>
      <w:bookmarkEnd w:id="222"/>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23"/>
      <w:bookmarkEnd w:id="224"/>
      <w:r>
        <w:rPr>
          <w:rFonts w:ascii="Arial" w:hAnsi="Arial" w:cs="Arial"/>
          <w:b/>
          <w:bCs/>
          <w:sz w:val="20"/>
        </w:rPr>
        <w:t>ies</w:t>
      </w:r>
      <w:bookmarkEnd w:id="225"/>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12 year old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mens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J M v Runeckles</w:t>
      </w:r>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r>
        <w:rPr>
          <w:rFonts w:ascii="Arial" w:hAnsi="Arial" w:cs="Arial"/>
          <w:i/>
          <w:iCs/>
          <w:sz w:val="20"/>
        </w:rPr>
        <w:t>Runeckles</w:t>
      </w:r>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r>
        <w:rPr>
          <w:rFonts w:ascii="Arial" w:hAnsi="Arial" w:cs="Arial"/>
          <w:i/>
          <w:iCs/>
          <w:sz w:val="20"/>
        </w:rPr>
        <w:lastRenderedPageBreak/>
        <w:t>mens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Qd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26" w:name="_10.4.3_Demise_of"/>
      <w:bookmarkStart w:id="227" w:name="_Toc54544608"/>
      <w:bookmarkStart w:id="228" w:name="_Toc54634647"/>
      <w:bookmarkEnd w:id="226"/>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27"/>
      <w:bookmarkEnd w:id="228"/>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motor cycle in a private driveway.  C ran away but was caught and arrested.  The motor cycle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motor cycle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Street">
        <w:smartTag w:uri="urn:schemas-microsoft-com:office:smarttags" w:element="address">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where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Tullichettle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29" w:name="_10.4.4_History_of"/>
      <w:bookmarkStart w:id="230" w:name="_Toc54544609"/>
      <w:bookmarkStart w:id="231" w:name="_Toc54634648"/>
      <w:bookmarkEnd w:id="229"/>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30"/>
      <w:bookmarkEnd w:id="231"/>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rape  All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r>
        <w:rPr>
          <w:rFonts w:ascii="Arial" w:hAnsi="Arial" w:cs="Arial"/>
          <w:i/>
          <w:iCs/>
          <w:sz w:val="20"/>
        </w:rPr>
        <w:t>mens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"proof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"the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not be pardoned.  The Eyre of Kent stated that 'an infant under the age of seven years, though he be convicted of felony, shall go free of judgment because he knoweth not of good and evil': (1313-4) S.S. Vol.24, 109.  In 1338 the Year Book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Spigurnel it was found that an infant within age killed his companion, and then concealed himself, and thereupon he was hanged; for he said that by the concealment he could discern between good and evil, </w:t>
      </w:r>
      <w:r>
        <w:rPr>
          <w:rFonts w:ascii="Arial" w:hAnsi="Arial" w:cs="Arial"/>
          <w:i/>
          <w:iCs/>
          <w:sz w:val="20"/>
        </w:rPr>
        <w:t>quia malitia supplet aetatem</w:t>
      </w:r>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It was not until as late as 1588 that a clear age below which liability did not apply was fixed.  Lambard's Eirenarcha when first published in 1581 did not state an age.  However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…an infant under the age of twelve years, unless it may be by some evident token appear, that he had understanding of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fourteen-line;  his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child;  others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take into account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(Cth) and s.7.2 of the </w:t>
      </w:r>
      <w:r>
        <w:rPr>
          <w:rFonts w:ascii="Arial" w:hAnsi="Arial" w:cs="Arial"/>
          <w:i/>
          <w:iCs/>
          <w:sz w:val="20"/>
        </w:rPr>
        <w:t>Criminal Code</w:t>
      </w:r>
      <w:r>
        <w:rPr>
          <w:rFonts w:ascii="Arial" w:hAnsi="Arial" w:cs="Arial"/>
          <w:sz w:val="20"/>
        </w:rPr>
        <w:t xml:space="preserve"> (Cth).  Sections 4N(2)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as an 11-13 year old child were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32" w:name="_10.4.5_The_principle"/>
      <w:bookmarkEnd w:id="232"/>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r w:rsidRPr="009E16B6">
        <w:rPr>
          <w:rFonts w:ascii="Arial" w:hAnsi="Arial" w:cs="Arial"/>
          <w:i/>
          <w:sz w:val="20"/>
        </w:rPr>
        <w:t>mens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mens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F v Padwick</w:t>
      </w:r>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said “if you wanna come out, you gotta let me do this to ya”.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said “don’t say nothin’”.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]he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33"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33"/>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is that a child under 14 years of age is not sufficiently intellectually and morally developed to appreciate the difference between right and wrong, and therefore lacks the capacity for mens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R v Nieterink</w:t>
      </w:r>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16 year old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[68]</w:t>
      </w:r>
      <w:r w:rsidRPr="00B469B8">
        <w:rPr>
          <w:rFonts w:ascii="Arial" w:hAnsi="Arial" w:cs="Arial"/>
          <w:sz w:val="20"/>
          <w:szCs w:val="20"/>
        </w:rPr>
        <w:noBreakHyphen/>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treatment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Lennings and Lennings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(eg,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34" w:name="Heading1756"/>
      <w:bookmarkEnd w:id="234"/>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35" w:name="_Toc146090596"/>
      <w:bookmarkStart w:id="236" w:name="Heading1765"/>
      <w:bookmarkEnd w:id="235"/>
      <w:bookmarkEnd w:id="236"/>
    </w:p>
    <w:p w14:paraId="0B67026C" w14:textId="4CAF04E0" w:rsidR="00C45B0A" w:rsidRDefault="00C45B0A" w:rsidP="005F68BF">
      <w:pPr>
        <w:pStyle w:val="Heading3"/>
        <w:keepNext/>
        <w:spacing w:after="120" w:line="240" w:lineRule="auto"/>
        <w:rPr>
          <w:rFonts w:ascii="Arial" w:hAnsi="Arial" w:cs="Arial"/>
          <w:b/>
          <w:bCs/>
          <w:sz w:val="20"/>
        </w:rPr>
      </w:pPr>
      <w:bookmarkStart w:id="237" w:name="_10.4.6_The_statutory"/>
      <w:bookmarkEnd w:id="237"/>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s.37(1)(ab)];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s.41(ba)];</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s.53A(2)(c)(ia)];</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s.110(ba)];</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s.117(1)(ab)].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38" w:name="_10.5_Effect_of"/>
      <w:bookmarkEnd w:id="238"/>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39" w:name="_10.5.1_Mandatory_adjournment"/>
      <w:bookmarkEnd w:id="239"/>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 xml:space="preserve">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s.249(2)(ba)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 xml:space="preserve">354A(1) &amp; </w:t>
      </w:r>
      <w:r>
        <w:rPr>
          <w:rFonts w:ascii="Arial" w:hAnsi="Arial" w:cs="Arial"/>
          <w:color w:val="000000"/>
          <w:sz w:val="20"/>
        </w:rPr>
        <w:t>354A</w:t>
      </w:r>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40" w:name="_10.5.2_Hearing_of"/>
      <w:bookmarkEnd w:id="240"/>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VChC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be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354A(</w:t>
      </w:r>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354A(</w:t>
      </w:r>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41" w:name="_10.5.3_Privilege_against"/>
      <w:bookmarkEnd w:id="241"/>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42" w:name="_10.6_Unfitness_to"/>
      <w:bookmarkEnd w:id="242"/>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1013E173" w:rsidR="000C2A35" w:rsidRDefault="00CF53CA" w:rsidP="00C43BDC">
      <w:pPr>
        <w:pStyle w:val="Heading3"/>
        <w:keepNext/>
        <w:spacing w:line="240" w:lineRule="auto"/>
        <w:ind w:left="284" w:hanging="284"/>
        <w:rPr>
          <w:rFonts w:ascii="Arial" w:hAnsi="Arial" w:cs="Arial"/>
          <w:b/>
          <w:bCs/>
          <w:sz w:val="20"/>
        </w:rPr>
      </w:pPr>
      <w:bookmarkStart w:id="243" w:name="_A_BACKGROUND_"/>
      <w:bookmarkEnd w:id="243"/>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Default="00CF53CA" w:rsidP="000C2A35">
      <w:pPr>
        <w:ind w:left="284"/>
        <w:jc w:val="both"/>
        <w:rPr>
          <w:rFonts w:ascii="Arial" w:hAnsi="Arial" w:cs="Arial"/>
          <w:sz w:val="20"/>
          <w:szCs w:val="20"/>
        </w:rPr>
      </w:pPr>
    </w:p>
    <w:p w14:paraId="5628A20E" w14:textId="77777777" w:rsidR="004C3E73" w:rsidRDefault="00C43BDC" w:rsidP="00CF53CA">
      <w:pPr>
        <w:ind w:left="284"/>
        <w:jc w:val="both"/>
        <w:rPr>
          <w:rFonts w:ascii="Arial" w:hAnsi="Arial" w:cs="Arial"/>
          <w:sz w:val="20"/>
        </w:rPr>
      </w:pPr>
      <w:r>
        <w:rPr>
          <w:rFonts w:ascii="Arial" w:hAnsi="Arial" w:cs="Arial"/>
          <w:sz w:val="20"/>
        </w:rPr>
        <w:t>The statutory framework of the CMIA in relation to unfitness to plead is discussed by the Court of Appeal (Emerton P and Taylor &amp; Kidd JJA</w:t>
      </w:r>
      <w:r w:rsidR="004C3E73">
        <w:rPr>
          <w:rFonts w:ascii="Arial" w:hAnsi="Arial" w:cs="Arial"/>
          <w:sz w:val="20"/>
        </w:rPr>
        <w:t>)</w:t>
      </w:r>
      <w:r>
        <w:rPr>
          <w:rFonts w:ascii="Arial" w:hAnsi="Arial" w:cs="Arial"/>
          <w:sz w:val="20"/>
        </w:rPr>
        <w:t xml:space="preserve"> in </w:t>
      </w:r>
      <w:r w:rsidRPr="00C43BDC">
        <w:rPr>
          <w:rFonts w:ascii="Arial" w:hAnsi="Arial" w:cs="Arial"/>
          <w:i/>
          <w:iCs/>
          <w:sz w:val="20"/>
        </w:rPr>
        <w:t>Glascott v The King</w:t>
      </w:r>
      <w:r>
        <w:rPr>
          <w:rFonts w:ascii="Arial" w:hAnsi="Arial" w:cs="Arial"/>
          <w:sz w:val="20"/>
        </w:rPr>
        <w:t xml:space="preserve"> [2026] VSCA 42 at [53]-[73].</w:t>
      </w:r>
    </w:p>
    <w:p w14:paraId="2A7038C1" w14:textId="77777777" w:rsidR="004C3E73" w:rsidRDefault="004C3E73" w:rsidP="00CF53CA">
      <w:pPr>
        <w:ind w:left="284"/>
        <w:jc w:val="both"/>
        <w:rPr>
          <w:rFonts w:ascii="Arial" w:hAnsi="Arial" w:cs="Arial"/>
          <w:sz w:val="20"/>
        </w:rPr>
      </w:pPr>
    </w:p>
    <w:p w14:paraId="71761935" w14:textId="2E3E15DD"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w:t>
      </w:r>
      <w:r w:rsidR="00EF76D9">
        <w:rPr>
          <w:rFonts w:ascii="Arial" w:hAnsi="Arial" w:cs="Arial"/>
          <w:sz w:val="20"/>
          <w:szCs w:val="20"/>
        </w:rPr>
        <w:t>: s</w:t>
      </w:r>
      <w:r w:rsidRPr="00CF53CA">
        <w:rPr>
          <w:rFonts w:ascii="Arial" w:hAnsi="Arial" w:cs="Arial"/>
          <w:sz w:val="20"/>
          <w:szCs w:val="20"/>
        </w:rPr>
        <w:t xml:space="preserve">ee </w:t>
      </w:r>
      <w:r w:rsidR="00C43BDC" w:rsidRPr="00CF53CA">
        <w:rPr>
          <w:rFonts w:ascii="Arial" w:hAnsi="Arial" w:cs="Arial"/>
          <w:i/>
          <w:color w:val="000000"/>
          <w:sz w:val="20"/>
          <w:szCs w:val="20"/>
        </w:rPr>
        <w:t>CL (a minor) v Tim Lee and Ors</w:t>
      </w:r>
      <w:r w:rsidR="00C43BDC" w:rsidRPr="00EF76D9">
        <w:rPr>
          <w:rFonts w:ascii="Arial" w:hAnsi="Arial" w:cs="Arial"/>
          <w:iCs/>
          <w:color w:val="000000"/>
          <w:sz w:val="20"/>
          <w:szCs w:val="20"/>
        </w:rPr>
        <w:t xml:space="preserve"> </w:t>
      </w:r>
      <w:r w:rsidR="00EF76D9">
        <w:rPr>
          <w:rFonts w:ascii="Arial" w:hAnsi="Arial" w:cs="Arial"/>
          <w:iCs/>
          <w:color w:val="000000"/>
          <w:sz w:val="20"/>
          <w:szCs w:val="20"/>
        </w:rPr>
        <w:t xml:space="preserve">(2010) </w:t>
      </w:r>
      <w:r w:rsidR="00EF76D9" w:rsidRPr="00EF76D9">
        <w:rPr>
          <w:rFonts w:ascii="Arial" w:hAnsi="Arial" w:cs="Arial"/>
          <w:iCs/>
          <w:color w:val="000000"/>
          <w:sz w:val="20"/>
          <w:szCs w:val="20"/>
        </w:rPr>
        <w:t>29 VR 570</w:t>
      </w:r>
      <w:r w:rsidR="00EF76D9">
        <w:rPr>
          <w:rFonts w:ascii="Arial" w:hAnsi="Arial" w:cs="Arial"/>
          <w:iCs/>
          <w:color w:val="000000"/>
          <w:sz w:val="20"/>
          <w:szCs w:val="20"/>
        </w:rPr>
        <w:t xml:space="preserve">; </w:t>
      </w:r>
      <w:r w:rsidRPr="00CF53CA">
        <w:rPr>
          <w:rFonts w:ascii="Arial" w:hAnsi="Arial" w:cs="Arial"/>
          <w:sz w:val="20"/>
          <w:szCs w:val="20"/>
        </w:rPr>
        <w:t>[2010]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0E3421D3"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EF76D9">
        <w:rPr>
          <w:rFonts w:ascii="Arial" w:hAnsi="Arial" w:cs="Arial"/>
          <w:sz w:val="20"/>
          <w:szCs w:val="20"/>
        </w:rPr>
        <w:t xml:space="preserve"> </w:t>
      </w:r>
      <w:r w:rsidR="00CF53CA" w:rsidRPr="00CF53CA">
        <w:rPr>
          <w:rFonts w:ascii="Arial" w:hAnsi="Arial" w:cs="Arial"/>
          <w:i/>
          <w:color w:val="000000"/>
          <w:sz w:val="20"/>
          <w:szCs w:val="20"/>
        </w:rPr>
        <w:t xml:space="preserve">CL (a minor) v Tim Lee and Ors </w:t>
      </w:r>
      <w:r w:rsidR="00EF76D9">
        <w:rPr>
          <w:rFonts w:ascii="Arial" w:hAnsi="Arial" w:cs="Arial"/>
          <w:color w:val="000000"/>
          <w:sz w:val="20"/>
          <w:szCs w:val="20"/>
        </w:rPr>
        <w:t>(</w:t>
      </w:r>
      <w:r w:rsidR="00CF53CA" w:rsidRPr="00CF53CA">
        <w:rPr>
          <w:rFonts w:ascii="Arial" w:hAnsi="Arial" w:cs="Arial"/>
          <w:color w:val="000000"/>
          <w:sz w:val="20"/>
          <w:szCs w:val="20"/>
        </w:rPr>
        <w:t>2010</w:t>
      </w:r>
      <w:r w:rsidR="00EF76D9">
        <w:rPr>
          <w:rFonts w:ascii="Arial" w:hAnsi="Arial" w:cs="Arial"/>
          <w:color w:val="000000"/>
          <w:sz w:val="20"/>
          <w:szCs w:val="20"/>
        </w:rPr>
        <w:t>)</w:t>
      </w:r>
      <w:r w:rsidR="00CF53CA" w:rsidRPr="00CF53CA">
        <w:rPr>
          <w:rFonts w:ascii="Arial" w:hAnsi="Arial" w:cs="Arial"/>
          <w:color w:val="000000"/>
          <w:sz w:val="20"/>
          <w:szCs w:val="20"/>
        </w:rPr>
        <w:t xml:space="preserve"> </w:t>
      </w:r>
      <w:r w:rsidR="00EF76D9">
        <w:rPr>
          <w:rFonts w:ascii="Arial" w:hAnsi="Arial" w:cs="Arial"/>
          <w:color w:val="000000"/>
          <w:sz w:val="20"/>
          <w:szCs w:val="20"/>
        </w:rPr>
        <w:t>29 VR 570</w:t>
      </w:r>
      <w:r w:rsidR="00CF53CA" w:rsidRPr="00CF53CA">
        <w:rPr>
          <w:rFonts w:ascii="Arial" w:hAnsi="Arial" w:cs="Arial"/>
          <w:color w:val="000000"/>
          <w:sz w:val="20"/>
          <w:szCs w:val="20"/>
        </w:rPr>
        <w:t xml:space="preserve">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44" w:name="_B_AMENDMENTS_TO"/>
      <w:bookmarkEnd w:id="244"/>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AMENDMENTS TO THE CMIA</w:t>
      </w:r>
      <w:r w:rsidRPr="00CF53CA">
        <w:rPr>
          <w:rFonts w:ascii="Arial" w:hAnsi="Arial" w:cs="Arial"/>
          <w:color w:val="000000"/>
          <w:sz w:val="20"/>
        </w:rPr>
        <w:t xml:space="preserve">  In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45" w:name="_C_APPLICATION_OF"/>
      <w:bookmarkEnd w:id="245"/>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(2)</w:t>
      </w:r>
      <w:r w:rsidRPr="00172CD6">
        <w:rPr>
          <w:rFonts w:ascii="Arial" w:hAnsi="Arial" w:cs="Arial"/>
          <w:color w:val="000000"/>
          <w:sz w:val="20"/>
          <w:szCs w:val="22"/>
        </w:rPr>
        <w:tab/>
        <w:t xml:space="preserve">The defence of mental impairment as provided for in s.38ZA of the CMIA and the presumption in s.38ZB(1)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46" w:name="_D_CONSTITUTION_OF"/>
      <w:bookmarkEnd w:id="246"/>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COURT|CMIA-s.38I(1)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47" w:name="_E_WHEN_IS"/>
      <w:bookmarkEnd w:id="247"/>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WHEN IS A CHILD UNFIT TO BE TRIED?|</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38K(1)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counsel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1A65C599" w14:textId="77777777" w:rsidR="00C43BDC" w:rsidRDefault="00C43BDC" w:rsidP="00CF53CA">
      <w:pPr>
        <w:tabs>
          <w:tab w:val="left" w:pos="284"/>
        </w:tabs>
        <w:spacing w:line="240" w:lineRule="exact"/>
        <w:jc w:val="both"/>
        <w:rPr>
          <w:rFonts w:ascii="Arial" w:hAnsi="Arial" w:cs="Arial"/>
          <w:color w:val="000000"/>
          <w:sz w:val="20"/>
        </w:rPr>
      </w:pPr>
    </w:p>
    <w:p w14:paraId="10075BEE" w14:textId="68907E65"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accused, profoundly deaf since birth, had also been assessed with ADHD, autism, mild cerebral palsy and a global intellectual delay with a full scale IQ of 50 which f</w:t>
      </w:r>
      <w:r w:rsidRPr="00766610">
        <w:rPr>
          <w:rFonts w:ascii="Arial" w:hAnsi="Arial" w:cs="Arial"/>
          <w:sz w:val="20"/>
          <w:szCs w:val="20"/>
        </w:rPr>
        <w:t>alls within the extremely low range. KR is non-verbal and communicates through sign, although he is not Auslan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48"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48"/>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 xml:space="preserve">Panduaruangi, </w:t>
      </w:r>
      <w:r w:rsidR="00D6515C" w:rsidRPr="00543740">
        <w:rPr>
          <w:rFonts w:ascii="Arial" w:hAnsi="Arial" w:cs="Arial"/>
          <w:sz w:val="20"/>
          <w:szCs w:val="20"/>
        </w:rPr>
        <w:lastRenderedPageBreak/>
        <w:t>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R v Dellamarta</w:t>
      </w:r>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s.7(4)…[T]he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[40]</w:t>
      </w:r>
      <w:r w:rsidR="00D977C5">
        <w:rPr>
          <w:rFonts w:ascii="Arial" w:hAnsi="Arial" w:cs="Arial"/>
          <w:sz w:val="20"/>
          <w:szCs w:val="20"/>
        </w:rPr>
        <w:t>…</w:t>
      </w:r>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The Queen v Ngatayi</w:t>
      </w:r>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If the accused is able to understand the evidence, and to instruct his [or her] counsel as to the facts of the case, no unfairness or injustice will generally be occasioned by the fact that the accused does not know, and cannot understand, the law. With the assistance of counsel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lastRenderedPageBreak/>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that the minimum requirements that an accused must be able to follow the evidence and respond rationally to the charge does not require that an accused must be able to understand how his or her intention may be inferred from the evidence. 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r w:rsidR="00DE3EB9" w:rsidRPr="00DE3EB9">
        <w:rPr>
          <w:rFonts w:ascii="Arial" w:hAnsi="Arial" w:cs="Arial"/>
          <w:i/>
          <w:iCs/>
          <w:color w:val="000000"/>
          <w:sz w:val="20"/>
        </w:rPr>
        <w:t>Dellamarta’s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49" w:name="_F_PRESUMPTIONS,_STANDARD"/>
      <w:bookmarkEnd w:id="249"/>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50" w:name="_G_QUESTION_OF"/>
      <w:bookmarkEnd w:id="250"/>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38046EB2"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r w:rsidR="0023688B">
        <w:rPr>
          <w:rFonts w:ascii="Arial" w:hAnsi="Arial" w:cs="Arial"/>
          <w:sz w:val="20"/>
        </w:rPr>
        <w:t>–</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23688B" w:rsidRDefault="00CF53CA">
      <w:pPr>
        <w:numPr>
          <w:ilvl w:val="0"/>
          <w:numId w:val="15"/>
        </w:numPr>
        <w:tabs>
          <w:tab w:val="clear" w:pos="1080"/>
          <w:tab w:val="num" w:pos="357"/>
        </w:tabs>
        <w:ind w:left="641" w:hanging="357"/>
        <w:jc w:val="both"/>
        <w:rPr>
          <w:rFonts w:ascii="Arial" w:hAnsi="Arial" w:cs="Arial"/>
          <w:strike/>
          <w:sz w:val="20"/>
        </w:rPr>
      </w:pPr>
      <w:r w:rsidRPr="0023688B">
        <w:rPr>
          <w:rFonts w:ascii="Arial" w:hAnsi="Arial" w:cs="Arial"/>
          <w:strike/>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19CD7ABE" w:rsidR="00CF53CA" w:rsidRDefault="00081E3A" w:rsidP="0023688B">
      <w:pPr>
        <w:tabs>
          <w:tab w:val="left" w:pos="284"/>
        </w:tabs>
        <w:spacing w:line="240" w:lineRule="exact"/>
        <w:ind w:left="284"/>
        <w:jc w:val="both"/>
        <w:rPr>
          <w:rFonts w:ascii="Arial" w:hAnsi="Arial" w:cs="Arial"/>
          <w:color w:val="000000"/>
          <w:sz w:val="20"/>
        </w:rPr>
      </w:pPr>
      <w:r>
        <w:rPr>
          <w:rFonts w:ascii="Arial" w:hAnsi="Arial" w:cs="Arial"/>
          <w:sz w:val="20"/>
        </w:rPr>
        <w:t>Section 38M(1)</w:t>
      </w:r>
      <w:r w:rsidR="0023688B">
        <w:rPr>
          <w:rFonts w:ascii="Arial" w:hAnsi="Arial" w:cs="Arial"/>
          <w:sz w:val="20"/>
        </w:rPr>
        <w:t>(b)</w:t>
      </w:r>
      <w:r>
        <w:rPr>
          <w:rFonts w:ascii="Arial" w:hAnsi="Arial" w:cs="Arial"/>
          <w:sz w:val="20"/>
        </w:rPr>
        <w:t xml:space="preserve"> </w:t>
      </w:r>
      <w:r w:rsidR="0023688B">
        <w:rPr>
          <w:rFonts w:ascii="Arial" w:hAnsi="Arial" w:cs="Arial"/>
          <w:sz w:val="20"/>
        </w:rPr>
        <w:t xml:space="preserve">is repealed for </w:t>
      </w:r>
      <w:r w:rsidR="00722CD1">
        <w:rPr>
          <w:rFonts w:ascii="Arial" w:hAnsi="Arial" w:cs="Arial"/>
          <w:sz w:val="20"/>
        </w:rPr>
        <w:t xml:space="preserve">a </w:t>
      </w:r>
      <w:r w:rsidR="0023688B">
        <w:rPr>
          <w:rFonts w:ascii="Arial" w:hAnsi="Arial" w:cs="Arial"/>
          <w:sz w:val="20"/>
        </w:rPr>
        <w:t>committal</w:t>
      </w:r>
      <w:r w:rsidR="00722CD1">
        <w:rPr>
          <w:rFonts w:ascii="Arial" w:hAnsi="Arial" w:cs="Arial"/>
          <w:sz w:val="20"/>
        </w:rPr>
        <w:t xml:space="preserve"> proceeding</w:t>
      </w:r>
      <w:r w:rsidR="0023688B">
        <w:rPr>
          <w:rFonts w:ascii="Arial" w:hAnsi="Arial" w:cs="Arial"/>
          <w:sz w:val="20"/>
        </w:rPr>
        <w:t xml:space="preserve"> commenced on or after 28 December 2025.</w:t>
      </w:r>
    </w:p>
    <w:p w14:paraId="5468FB6E" w14:textId="33602158" w:rsidR="00CF53CA" w:rsidRPr="00360462" w:rsidRDefault="00CF53CA" w:rsidP="0023688B">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51" w:name="_H_INVESTIGATION_OF"/>
      <w:bookmarkEnd w:id="251"/>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52" w:name="_I_ORDERS_PENDING"/>
      <w:bookmarkEnd w:id="252"/>
      <w:r>
        <w:rPr>
          <w:rFonts w:ascii="Arial" w:hAnsi="Arial" w:cs="Arial"/>
          <w:b/>
          <w:color w:val="FFFFFF"/>
          <w:sz w:val="22"/>
          <w:shd w:val="clear" w:color="auto" w:fill="000000"/>
        </w:rPr>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BAIL, REMAND ETC</w:t>
      </w:r>
      <w:r w:rsidRPr="00360462">
        <w:rPr>
          <w:rFonts w:ascii="Arial" w:hAnsi="Arial" w:cs="Arial"/>
          <w:sz w:val="20"/>
          <w:szCs w:val="20"/>
        </w:rPr>
        <w:t xml:space="preserve">  Pending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 xml:space="preserve">to remand the child in custody if no practical alternative [CMIA/s.38J(1) but note that a s.47 certificate is required per CMIA/s.38J(2)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CHILDREN’S COURT CLINIC ETC</w:t>
      </w:r>
      <w:r>
        <w:rPr>
          <w:rFonts w:ascii="Arial" w:hAnsi="Arial" w:cs="Arial"/>
        </w:rPr>
        <w:t xml:space="preserve">  </w:t>
      </w:r>
      <w:r w:rsidRPr="00360462">
        <w:rPr>
          <w:rFonts w:ascii="Arial" w:hAnsi="Arial" w:cs="Arial"/>
          <w:sz w:val="20"/>
          <w:szCs w:val="20"/>
        </w:rPr>
        <w:t>Section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child undergo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53" w:name="_J_PROCEDURE_ON"/>
      <w:bookmarkEnd w:id="253"/>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38Q(1)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Madafferi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r w:rsidRPr="00B65F49">
        <w:rPr>
          <w:rFonts w:ascii="Arial" w:hAnsi="Arial" w:cs="Arial"/>
          <w:i/>
          <w:sz w:val="20"/>
          <w:szCs w:val="20"/>
        </w:rPr>
        <w:t>Kesavarajah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lastRenderedPageBreak/>
        <w:t>Camurtay</w:t>
      </w:r>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r w:rsidR="00C21D6B" w:rsidRPr="00AE13D0">
        <w:rPr>
          <w:rFonts w:ascii="Arial" w:hAnsi="Arial" w:cs="Arial"/>
          <w:i/>
          <w:iCs/>
          <w:color w:val="000000"/>
          <w:sz w:val="20"/>
        </w:rPr>
        <w:t>Madafferi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R v Yuot</w:t>
      </w:r>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DPP v Yuot</w:t>
      </w:r>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54" w:name="_K_WHAT_HAPPENS"/>
      <w:bookmarkEnd w:id="254"/>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WHAT HAPPENS AFTER AN INVESTIGATION INTO FITNESS?|</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-s.38R(1)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-s.38R(2)</w:t>
      </w:r>
      <w:r w:rsidRPr="00360462">
        <w:rPr>
          <w:rFonts w:ascii="Arial" w:hAnsi="Arial" w:cs="Arial"/>
          <w:color w:val="000000"/>
          <w:sz w:val="20"/>
        </w:rPr>
        <w:t xml:space="preserve">  </w:t>
      </w:r>
      <w:r w:rsidR="006770D4">
        <w:rPr>
          <w:rFonts w:ascii="Arial" w:hAnsi="Arial" w:cs="Arial"/>
          <w:color w:val="000000"/>
          <w:sz w:val="20"/>
        </w:rPr>
        <w:t>The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[CMIA/s.38J(1) but note that a s.47 certificate is required per CMIA/s.38J(2)];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application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-s.38T</w:t>
      </w:r>
      <w:r w:rsidRPr="00360462">
        <w:rPr>
          <w:rFonts w:ascii="Arial" w:hAnsi="Arial" w:cs="Arial"/>
          <w:color w:val="000000"/>
          <w:sz w:val="20"/>
        </w:rPr>
        <w:t xml:space="preserve">  The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s.38R(3)</w:t>
      </w:r>
      <w:r w:rsidRPr="0057148E">
        <w:rPr>
          <w:rFonts w:ascii="Arial" w:hAnsi="Arial" w:cs="Arial"/>
          <w:color w:val="000000"/>
          <w:sz w:val="18"/>
        </w:rPr>
        <w:t xml:space="preserve">  </w:t>
      </w:r>
      <w:r w:rsidRPr="008E111B">
        <w:rPr>
          <w:rFonts w:ascii="Arial" w:hAnsi="Arial" w:cs="Arial"/>
          <w:color w:val="000000"/>
          <w:sz w:val="20"/>
        </w:rPr>
        <w:t>The court must hold a special hearing as soon as possible and in any event within 3 months and may bail/remand or make any other appropriate order for the safe custody of the child.</w:t>
      </w:r>
    </w:p>
    <w:p w14:paraId="41BF37AE" w14:textId="3EEA556F"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 xml:space="preserve">he three adult accused were charged with murder.  The deceased was allegedly pushed off a balcony and fell to his death.  All three accused and the deceased were deaf.  Two of the </w:t>
      </w:r>
      <w:r w:rsidR="007E7B18" w:rsidRPr="004F7D44">
        <w:rPr>
          <w:rFonts w:ascii="Arial" w:hAnsi="Arial" w:cs="Arial"/>
          <w:sz w:val="20"/>
          <w:szCs w:val="20"/>
        </w:rPr>
        <w:lastRenderedPageBreak/>
        <w:t>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r w:rsidR="00D12A07">
        <w:rPr>
          <w:rFonts w:ascii="Arial" w:hAnsi="Arial" w:cs="Arial"/>
          <w:sz w:val="20"/>
          <w:szCs w:val="20"/>
        </w:rPr>
        <w:t>.</w:t>
      </w:r>
    </w:p>
    <w:p w14:paraId="73D07FC6" w14:textId="1500F9CC" w:rsidR="00D12A07" w:rsidRDefault="00D12A07" w:rsidP="00DB33BD">
      <w:pPr>
        <w:tabs>
          <w:tab w:val="left" w:pos="363"/>
        </w:tabs>
        <w:spacing w:before="80"/>
        <w:ind w:left="284"/>
        <w:jc w:val="both"/>
        <w:rPr>
          <w:rFonts w:ascii="Arial" w:hAnsi="Arial" w:cs="Arial"/>
          <w:sz w:val="20"/>
          <w:szCs w:val="20"/>
        </w:rPr>
      </w:pPr>
      <w:r>
        <w:rPr>
          <w:rFonts w:ascii="Arial" w:hAnsi="Arial" w:cs="Arial"/>
          <w:sz w:val="20"/>
          <w:szCs w:val="20"/>
        </w:rPr>
        <w:t xml:space="preserve">In </w:t>
      </w:r>
      <w:r w:rsidRPr="00D12A07">
        <w:rPr>
          <w:rFonts w:ascii="Arial" w:hAnsi="Arial" w:cs="Arial"/>
          <w:i/>
          <w:iCs/>
          <w:sz w:val="20"/>
          <w:szCs w:val="20"/>
        </w:rPr>
        <w:t>Glascott v The King</w:t>
      </w:r>
      <w:r>
        <w:rPr>
          <w:rFonts w:ascii="Arial" w:hAnsi="Arial" w:cs="Arial"/>
          <w:sz w:val="20"/>
          <w:szCs w:val="20"/>
        </w:rPr>
        <w:t xml:space="preserve"> [2026] VSCA 42 </w:t>
      </w:r>
      <w:r w:rsidR="001501D2" w:rsidRPr="001501D2">
        <w:rPr>
          <w:rFonts w:ascii="Arial" w:hAnsi="Arial" w:cs="Arial"/>
          <w:sz w:val="20"/>
          <w:szCs w:val="20"/>
        </w:rPr>
        <w:t>Emerton P</w:t>
      </w:r>
      <w:r w:rsidR="001501D2">
        <w:rPr>
          <w:rFonts w:ascii="Arial" w:hAnsi="Arial" w:cs="Arial"/>
          <w:sz w:val="20"/>
          <w:szCs w:val="20"/>
        </w:rPr>
        <w:t xml:space="preserve"> and</w:t>
      </w:r>
      <w:r w:rsidR="001501D2" w:rsidRPr="001501D2">
        <w:rPr>
          <w:rFonts w:ascii="Arial" w:hAnsi="Arial" w:cs="Arial"/>
          <w:sz w:val="20"/>
          <w:szCs w:val="20"/>
        </w:rPr>
        <w:t xml:space="preserve"> Taylor </w:t>
      </w:r>
      <w:r w:rsidR="001501D2">
        <w:rPr>
          <w:rFonts w:ascii="Arial" w:hAnsi="Arial" w:cs="Arial"/>
          <w:sz w:val="20"/>
          <w:szCs w:val="20"/>
        </w:rPr>
        <w:t>&amp;</w:t>
      </w:r>
      <w:r w:rsidR="001501D2" w:rsidRPr="001501D2">
        <w:rPr>
          <w:rFonts w:ascii="Arial" w:hAnsi="Arial" w:cs="Arial"/>
          <w:sz w:val="20"/>
          <w:szCs w:val="20"/>
        </w:rPr>
        <w:t xml:space="preserve"> Kidd JJA</w:t>
      </w:r>
      <w:r w:rsidR="001501D2">
        <w:rPr>
          <w:rFonts w:ascii="Arial" w:hAnsi="Arial" w:cs="Arial"/>
          <w:sz w:val="20"/>
          <w:szCs w:val="20"/>
        </w:rPr>
        <w:t xml:space="preserve"> said </w:t>
      </w:r>
      <w:r>
        <w:rPr>
          <w:rFonts w:ascii="Arial" w:hAnsi="Arial" w:cs="Arial"/>
          <w:sz w:val="20"/>
          <w:szCs w:val="20"/>
        </w:rPr>
        <w:t>at [185]</w:t>
      </w:r>
      <w:r w:rsidR="00D91BA1">
        <w:rPr>
          <w:rFonts w:ascii="Arial" w:hAnsi="Arial" w:cs="Arial"/>
          <w:sz w:val="20"/>
          <w:szCs w:val="20"/>
        </w:rPr>
        <w:t xml:space="preserve"> in relation to a special hearing for an adult </w:t>
      </w:r>
      <w:r w:rsidR="006E2C98">
        <w:rPr>
          <w:rFonts w:ascii="Arial" w:hAnsi="Arial" w:cs="Arial"/>
          <w:sz w:val="20"/>
          <w:szCs w:val="20"/>
        </w:rPr>
        <w:t xml:space="preserve">referred to in </w:t>
      </w:r>
      <w:r w:rsidR="00D91BA1">
        <w:rPr>
          <w:rFonts w:ascii="Arial" w:hAnsi="Arial" w:cs="Arial"/>
          <w:sz w:val="20"/>
          <w:szCs w:val="20"/>
        </w:rPr>
        <w:t>s.14F</w:t>
      </w:r>
      <w:r w:rsidR="006E2C98">
        <w:rPr>
          <w:rFonts w:ascii="Arial" w:hAnsi="Arial" w:cs="Arial"/>
          <w:sz w:val="20"/>
          <w:szCs w:val="20"/>
        </w:rPr>
        <w:t>(5)</w:t>
      </w:r>
      <w:r w:rsidR="00D91BA1">
        <w:rPr>
          <w:rFonts w:ascii="Arial" w:hAnsi="Arial" w:cs="Arial"/>
          <w:sz w:val="20"/>
          <w:szCs w:val="20"/>
        </w:rPr>
        <w:t xml:space="preserve"> of the CMIA</w:t>
      </w:r>
      <w:r w:rsidR="001501D2">
        <w:rPr>
          <w:rFonts w:ascii="Arial" w:hAnsi="Arial" w:cs="Arial"/>
          <w:sz w:val="20"/>
          <w:szCs w:val="20"/>
        </w:rPr>
        <w:t>:</w:t>
      </w:r>
    </w:p>
    <w:p w14:paraId="258D6FB1" w14:textId="0C0ABEA8" w:rsidR="00D12A07" w:rsidRDefault="00D12A07" w:rsidP="00D12A07">
      <w:pPr>
        <w:tabs>
          <w:tab w:val="left" w:pos="284"/>
        </w:tabs>
        <w:spacing w:before="60" w:line="240" w:lineRule="exact"/>
        <w:ind w:left="851" w:right="567"/>
        <w:jc w:val="both"/>
        <w:rPr>
          <w:rFonts w:ascii="Arial" w:hAnsi="Arial" w:cs="Arial"/>
          <w:sz w:val="20"/>
          <w:szCs w:val="20"/>
        </w:rPr>
      </w:pPr>
      <w:r>
        <w:rPr>
          <w:rFonts w:ascii="Arial" w:hAnsi="Arial" w:cs="Arial"/>
          <w:color w:val="000000"/>
          <w:sz w:val="20"/>
        </w:rPr>
        <w:t>“</w:t>
      </w:r>
      <w:r w:rsidRPr="00D12A07">
        <w:rPr>
          <w:rFonts w:ascii="Arial" w:hAnsi="Arial" w:cs="Arial"/>
          <w:sz w:val="20"/>
          <w:szCs w:val="20"/>
        </w:rPr>
        <w:t>For the reasons outlined above, it must be generally concluded that:</w:t>
      </w:r>
    </w:p>
    <w:p w14:paraId="4498C137" w14:textId="1641F152" w:rsidR="00D12A07" w:rsidRPr="00D12A07" w:rsidRDefault="00D12A07" w:rsidP="00D12A07">
      <w:pPr>
        <w:pStyle w:val="ListParagraph"/>
        <w:numPr>
          <w:ilvl w:val="0"/>
          <w:numId w:val="138"/>
        </w:numPr>
        <w:tabs>
          <w:tab w:val="left" w:pos="284"/>
        </w:tabs>
        <w:spacing w:line="240" w:lineRule="exact"/>
        <w:ind w:left="1208" w:right="567" w:hanging="357"/>
        <w:jc w:val="both"/>
        <w:rPr>
          <w:rFonts w:ascii="Arial" w:hAnsi="Arial" w:cs="Arial"/>
          <w:color w:val="000000"/>
          <w:sz w:val="20"/>
        </w:rPr>
      </w:pPr>
      <w:r w:rsidRPr="00D12A07">
        <w:rPr>
          <w:rFonts w:ascii="Arial" w:hAnsi="Arial" w:cs="Arial"/>
          <w:sz w:val="20"/>
          <w:szCs w:val="20"/>
        </w:rPr>
        <w:t xml:space="preserve">The three month time limit under s </w:t>
      </w:r>
      <w:r w:rsidR="00D91BA1">
        <w:rPr>
          <w:rFonts w:ascii="Arial" w:hAnsi="Arial" w:cs="Arial"/>
          <w:sz w:val="20"/>
          <w:szCs w:val="20"/>
        </w:rPr>
        <w:t>1</w:t>
      </w:r>
      <w:r w:rsidRPr="00D12A07">
        <w:rPr>
          <w:rFonts w:ascii="Arial" w:hAnsi="Arial" w:cs="Arial"/>
          <w:sz w:val="20"/>
          <w:szCs w:val="20"/>
        </w:rPr>
        <w:t>4</w:t>
      </w:r>
      <w:proofErr w:type="gramStart"/>
      <w:r w:rsidRPr="00D12A07">
        <w:rPr>
          <w:rFonts w:ascii="Arial" w:hAnsi="Arial" w:cs="Arial"/>
          <w:sz w:val="20"/>
          <w:szCs w:val="20"/>
        </w:rPr>
        <w:t>F(</w:t>
      </w:r>
      <w:proofErr w:type="gramEnd"/>
      <w:r w:rsidRPr="00D12A07">
        <w:rPr>
          <w:rFonts w:ascii="Arial" w:hAnsi="Arial" w:cs="Arial"/>
          <w:sz w:val="20"/>
          <w:szCs w:val="20"/>
        </w:rPr>
        <w:t>5) is not ‘a hard and fast deadline’.</w:t>
      </w:r>
    </w:p>
    <w:p w14:paraId="4EE1647B" w14:textId="56654724" w:rsidR="00D12A07" w:rsidRPr="00D12A07" w:rsidRDefault="00D12A07" w:rsidP="00D12A07">
      <w:pPr>
        <w:pStyle w:val="ListParagraph"/>
        <w:numPr>
          <w:ilvl w:val="0"/>
          <w:numId w:val="138"/>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Compliance with the three month time limit was not essential to the holding of the special hearing.</w:t>
      </w:r>
    </w:p>
    <w:p w14:paraId="4A11A3E8" w14:textId="6232F077" w:rsidR="00D12A07" w:rsidRPr="00D12A07" w:rsidRDefault="00D12A07" w:rsidP="00D12A07">
      <w:pPr>
        <w:pStyle w:val="ListParagraph"/>
        <w:numPr>
          <w:ilvl w:val="0"/>
          <w:numId w:val="138"/>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Non-compliance with the time limit did not provide a statutory bar to the holding of a valid special hearing</w:t>
      </w:r>
      <w:r>
        <w:rPr>
          <w:rFonts w:ascii="Arial" w:hAnsi="Arial" w:cs="Arial"/>
          <w:sz w:val="20"/>
          <w:szCs w:val="20"/>
        </w:rPr>
        <w:t xml:space="preserve">. </w:t>
      </w:r>
      <w:r w:rsidRPr="00D12A07">
        <w:rPr>
          <w:rFonts w:ascii="Arial" w:hAnsi="Arial" w:cs="Arial"/>
          <w:sz w:val="20"/>
          <w:szCs w:val="20"/>
        </w:rPr>
        <w:t>In other words, non-compliance with the time limit would not vitiate the special hearing. The legislature could not have intended this consequence.</w:t>
      </w:r>
      <w:r>
        <w:rPr>
          <w:rFonts w:ascii="Arial" w:hAnsi="Arial" w:cs="Arial"/>
          <w:sz w:val="20"/>
          <w:szCs w:val="20"/>
        </w:rPr>
        <w:t>”</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55" w:name="_L_SPECIAL_HEARING"/>
      <w:bookmarkEnd w:id="255"/>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-s.38V</w:t>
      </w:r>
      <w:r w:rsidRPr="008E111B">
        <w:rPr>
          <w:rFonts w:ascii="Arial" w:hAnsi="Arial" w:cs="Arial"/>
          <w:sz w:val="20"/>
          <w:szCs w:val="20"/>
        </w:rPr>
        <w:t xml:space="preserve">  The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w:t>
      </w:r>
      <w:r w:rsidRPr="008E111B">
        <w:rPr>
          <w:rFonts w:ascii="Arial" w:hAnsi="Arial" w:cs="Arial"/>
          <w:sz w:val="20"/>
        </w:rPr>
        <w:t xml:space="preserve">  A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-s.38X</w:t>
      </w:r>
      <w:r w:rsidRPr="008E111B">
        <w:rPr>
          <w:rFonts w:ascii="Arial" w:hAnsi="Arial" w:cs="Arial"/>
          <w:sz w:val="20"/>
        </w:rPr>
        <w:t xml:space="preserve">  The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VChC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SUPERVISION|CMIA-s.38Y(5)</w:t>
      </w:r>
      <w:r w:rsidRPr="008E111B">
        <w:rPr>
          <w:rFonts w:ascii="Arial" w:hAnsi="Arial" w:cs="Arial"/>
          <w:color w:val="000000"/>
          <w:sz w:val="20"/>
        </w:rPr>
        <w:t xml:space="preserve">  The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lastRenderedPageBreak/>
        <w:t>BAR ON ORDERING A CHILD TO BE RELEASED UNCONDITIONALLY|CMIA-s.38Y(6)</w:t>
      </w:r>
      <w:r w:rsidRPr="008E111B">
        <w:rPr>
          <w:rFonts w:ascii="Arial" w:hAnsi="Arial" w:cs="Arial"/>
          <w:color w:val="000000"/>
          <w:sz w:val="20"/>
        </w:rPr>
        <w:t xml:space="preserve">  The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4B5ED3">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Embling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56" w:name="_M_DEFENCE_OF"/>
      <w:bookmarkEnd w:id="256"/>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-s.38ZA(1)</w:t>
      </w:r>
      <w:r w:rsidRPr="008E111B">
        <w:rPr>
          <w:rFonts w:ascii="Arial" w:hAnsi="Arial" w:cs="Arial"/>
          <w:sz w:val="20"/>
        </w:rPr>
        <w:t xml:space="preserve">  The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t>
      </w:r>
      <w:r w:rsidRPr="009831B9">
        <w:rPr>
          <w:rFonts w:ascii="Arial" w:hAnsi="Arial" w:cs="Arial"/>
          <w:color w:val="000000"/>
          <w:sz w:val="20"/>
        </w:rPr>
        <w:lastRenderedPageBreak/>
        <w:t xml:space="preserve">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R v Sebalj</w:t>
      </w:r>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2B98FCE7" w14:textId="6D261805" w:rsidR="001E2349" w:rsidRDefault="005A6DC8" w:rsidP="00AB1B85">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DPP v Taleski</w:t>
      </w:r>
      <w:r>
        <w:rPr>
          <w:rFonts w:ascii="Arial" w:hAnsi="Arial" w:cs="Arial"/>
          <w:color w:val="000000"/>
          <w:sz w:val="20"/>
        </w:rPr>
        <w:t xml:space="preserve"> [2007] VSC 183 in which Cavanough J adopted the reasoning in </w:t>
      </w:r>
      <w:r w:rsidRPr="005A6DC8">
        <w:rPr>
          <w:rFonts w:ascii="Arial" w:hAnsi="Arial" w:cs="Arial"/>
          <w:i/>
          <w:color w:val="000000"/>
          <w:sz w:val="20"/>
        </w:rPr>
        <w:t>Sebalj</w:t>
      </w:r>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w:t>
      </w:r>
      <w:r w:rsidR="000B63A8">
        <w:rPr>
          <w:rFonts w:ascii="Arial" w:hAnsi="Arial" w:cs="Arial"/>
          <w:color w:val="000000"/>
          <w:sz w:val="20"/>
        </w:rPr>
        <w:lastRenderedPageBreak/>
        <w:t>impairment, murder)</w:t>
      </w:r>
      <w:r w:rsidR="001E2349">
        <w:rPr>
          <w:rFonts w:ascii="Arial" w:hAnsi="Arial" w:cs="Arial"/>
          <w:color w:val="000000"/>
          <w:sz w:val="20"/>
        </w:rPr>
        <w:t xml:space="preserve">; </w:t>
      </w:r>
      <w:r w:rsidR="001E2349" w:rsidRPr="001E2349">
        <w:rPr>
          <w:rFonts w:ascii="Arial" w:hAnsi="Arial" w:cs="Arial"/>
          <w:i/>
          <w:iCs/>
          <w:color w:val="000000"/>
          <w:sz w:val="20"/>
        </w:rPr>
        <w:t>DPP v HHT</w:t>
      </w:r>
      <w:r w:rsidR="001E2349" w:rsidRPr="001E2349">
        <w:rPr>
          <w:rFonts w:ascii="Arial" w:hAnsi="Arial" w:cs="Arial"/>
          <w:color w:val="000000"/>
          <w:sz w:val="20"/>
        </w:rPr>
        <w:t xml:space="preserve"> [2025] VSC 784 </w:t>
      </w:r>
      <w:r w:rsidR="001E2349">
        <w:rPr>
          <w:rFonts w:ascii="Arial" w:hAnsi="Arial" w:cs="Arial"/>
          <w:color w:val="000000"/>
          <w:sz w:val="20"/>
        </w:rPr>
        <w:t xml:space="preserve">(consent mental impairment </w:t>
      </w:r>
      <w:r w:rsidR="00712486">
        <w:rPr>
          <w:rFonts w:ascii="Arial" w:hAnsi="Arial" w:cs="Arial"/>
          <w:color w:val="000000"/>
          <w:sz w:val="20"/>
        </w:rPr>
        <w:t xml:space="preserve">– </w:t>
      </w:r>
      <w:r w:rsidR="001E2349" w:rsidRPr="001E2349">
        <w:rPr>
          <w:rFonts w:ascii="Arial" w:hAnsi="Arial" w:cs="Arial"/>
          <w:color w:val="000000"/>
          <w:sz w:val="20"/>
        </w:rPr>
        <w:t>schizoaffective disorder</w:t>
      </w:r>
      <w:r w:rsidR="00712486">
        <w:rPr>
          <w:rFonts w:ascii="Arial" w:hAnsi="Arial" w:cs="Arial"/>
          <w:color w:val="000000"/>
          <w:sz w:val="20"/>
        </w:rPr>
        <w:t xml:space="preserve">, </w:t>
      </w:r>
      <w:r w:rsidR="001E2349">
        <w:rPr>
          <w:rFonts w:ascii="Arial" w:hAnsi="Arial" w:cs="Arial"/>
          <w:color w:val="000000"/>
          <w:sz w:val="20"/>
        </w:rPr>
        <w:t>murder, j</w:t>
      </w:r>
      <w:r w:rsidR="001E2349" w:rsidRPr="001E2349">
        <w:rPr>
          <w:rFonts w:ascii="Arial" w:hAnsi="Arial" w:cs="Arial"/>
          <w:color w:val="000000"/>
          <w:sz w:val="20"/>
        </w:rPr>
        <w:t>udge alone trial by agreement</w:t>
      </w:r>
      <w:r w:rsidR="001E2349">
        <w:rPr>
          <w:rFonts w:ascii="Arial" w:hAnsi="Arial" w:cs="Arial"/>
          <w:color w:val="000000"/>
          <w:sz w:val="20"/>
        </w:rPr>
        <w:t>).</w:t>
      </w:r>
    </w:p>
    <w:p w14:paraId="4654CBFC" w14:textId="22AB7D7F"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38ZC(1)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38ZA(1)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r w:rsidR="00322B0E" w:rsidRPr="00322B0E">
        <w:rPr>
          <w:rFonts w:ascii="Arial" w:hAnsi="Arial" w:cs="Arial"/>
          <w:i/>
          <w:iCs/>
          <w:sz w:val="20"/>
          <w:szCs w:val="22"/>
        </w:rPr>
        <w:t>mens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r w:rsidR="0093792D">
        <w:rPr>
          <w:rFonts w:ascii="Arial" w:hAnsi="Arial" w:cs="Arial"/>
          <w:sz w:val="20"/>
          <w:szCs w:val="20"/>
        </w:rPr>
        <w:t>21 year old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first place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R v Tarantello</w:t>
      </w:r>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r w:rsidR="0018366F">
        <w:rPr>
          <w:rFonts w:ascii="Arial" w:hAnsi="Arial" w:cs="Arial"/>
          <w:sz w:val="20"/>
          <w:szCs w:val="20"/>
        </w:rPr>
        <w:t xml:space="preserve">16 year old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lastRenderedPageBreak/>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Minani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r w:rsidRPr="00C6733B">
        <w:rPr>
          <w:rFonts w:ascii="Arial" w:hAnsi="Arial" w:cs="Arial"/>
          <w:i/>
          <w:iCs/>
          <w:sz w:val="20"/>
          <w:szCs w:val="20"/>
        </w:rPr>
        <w:t>mens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-s.38ZA(2),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-s.38ZA(2)</w:t>
      </w:r>
      <w:r w:rsidRPr="00F05ECF">
        <w:rPr>
          <w:rFonts w:ascii="Arial" w:hAnsi="Arial" w:cs="Arial"/>
          <w:color w:val="000000"/>
          <w:sz w:val="20"/>
        </w:rPr>
        <w:t xml:space="preserve">  </w:t>
      </w:r>
      <w:r w:rsidRPr="00F05ECF">
        <w:rPr>
          <w:rFonts w:ascii="Arial" w:hAnsi="Arial" w:cs="Arial"/>
          <w:sz w:val="20"/>
        </w:rPr>
        <w:t xml:space="preserve">If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-s.5A(3)</w:t>
      </w:r>
      <w:r w:rsidRPr="00F05ECF">
        <w:rPr>
          <w:rFonts w:ascii="Arial" w:hAnsi="Arial" w:cs="Arial"/>
          <w:color w:val="000000"/>
          <w:sz w:val="20"/>
        </w:rPr>
        <w:t xml:space="preserve">  The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-s.38ZD(1)</w:t>
      </w:r>
      <w:r w:rsidRPr="00F05ECF">
        <w:rPr>
          <w:rFonts w:ascii="Arial" w:hAnsi="Arial" w:cs="Arial"/>
          <w:color w:val="000000"/>
          <w:sz w:val="20"/>
          <w:szCs w:val="20"/>
        </w:rPr>
        <w:t xml:space="preserve">  If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SUPERVISION|CMIA-s.38ZD(2)</w:t>
      </w:r>
      <w:r w:rsidRPr="00F05ECF">
        <w:rPr>
          <w:rFonts w:ascii="Arial" w:hAnsi="Arial" w:cs="Arial"/>
          <w:color w:val="000000"/>
          <w:sz w:val="20"/>
        </w:rPr>
        <w:t xml:space="preserve">  [Same wording as CMIA-s.38Y(5)]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at [13]-[14], Judge Chambers declared that KR was liable to supervision, having accepted that such a declaration was necessary having regard to the above criteria in s.38</w:t>
      </w:r>
      <w:r w:rsidR="005A4691">
        <w:rPr>
          <w:rFonts w:ascii="Arial" w:hAnsi="Arial" w:cs="Arial"/>
          <w:sz w:val="20"/>
          <w:szCs w:val="20"/>
        </w:rPr>
        <w:t>Z</w:t>
      </w:r>
      <w:r>
        <w:rPr>
          <w:rFonts w:ascii="Arial" w:hAnsi="Arial" w:cs="Arial"/>
          <w:sz w:val="20"/>
          <w:szCs w:val="20"/>
        </w:rPr>
        <w:t>D(2).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UNCONDITIONALLY|CMIA-s.38ZD(3)</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[Same wording as CMIA-s.38Y(6)] The court must not order a child to be released 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57" w:name="_N_DISPOSITION_OF"/>
      <w:bookmarkEnd w:id="257"/>
      <w:r>
        <w:rPr>
          <w:rFonts w:ascii="Arial" w:hAnsi="Arial" w:cs="Arial"/>
          <w:b/>
          <w:color w:val="FFFFFF"/>
          <w:sz w:val="22"/>
          <w:shd w:val="clear" w:color="auto" w:fill="000000"/>
        </w:rPr>
        <w:lastRenderedPageBreak/>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-s.38ZH</w:t>
      </w:r>
      <w:r w:rsidRPr="00E10380">
        <w:rPr>
          <w:rFonts w:ascii="Arial" w:hAnsi="Arial" w:cs="Arial"/>
          <w:sz w:val="20"/>
        </w:rPr>
        <w:t xml:space="preserve">  If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protection of the child or the community.</w:t>
      </w:r>
      <w:r w:rsidR="0059687C">
        <w:rPr>
          <w:rFonts w:ascii="Arial" w:hAnsi="Arial" w:cs="Arial"/>
          <w:color w:val="000000"/>
          <w:sz w:val="20"/>
        </w:rPr>
        <w:t xml:space="preserve">  The court has no power to include conditions on a custodial supervision order,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w:t>
      </w:r>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However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[s.38ZH(4)].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lastRenderedPageBreak/>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08B1B515" w14:textId="7D9B5848" w:rsidR="001916D0" w:rsidRDefault="001916D0" w:rsidP="006163B1">
      <w:pPr>
        <w:spacing w:before="60"/>
        <w:ind w:left="284"/>
        <w:jc w:val="both"/>
        <w:rPr>
          <w:rFonts w:ascii="Arial" w:hAnsi="Arial" w:cs="Arial"/>
          <w:sz w:val="20"/>
          <w:szCs w:val="20"/>
        </w:rPr>
      </w:pPr>
      <w:r>
        <w:rPr>
          <w:rFonts w:ascii="Arial" w:hAnsi="Arial" w:cs="Arial"/>
          <w:sz w:val="20"/>
          <w:szCs w:val="20"/>
        </w:rPr>
        <w:t xml:space="preserve">See </w:t>
      </w: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r w:rsidR="006163B1">
        <w:rPr>
          <w:rFonts w:ascii="Arial" w:hAnsi="Arial" w:cs="Arial"/>
          <w:sz w:val="20"/>
          <w:szCs w:val="20"/>
        </w:rPr>
        <w:t xml:space="preserve"> See also </w:t>
      </w:r>
      <w:r w:rsidR="006163B1" w:rsidRPr="006163B1">
        <w:rPr>
          <w:rFonts w:ascii="Arial" w:hAnsi="Arial" w:cs="Arial"/>
          <w:i/>
          <w:iCs/>
          <w:sz w:val="20"/>
          <w:szCs w:val="20"/>
        </w:rPr>
        <w:t>Re EN</w:t>
      </w:r>
      <w:r w:rsidR="006163B1">
        <w:rPr>
          <w:rFonts w:ascii="Arial" w:hAnsi="Arial" w:cs="Arial"/>
          <w:sz w:val="20"/>
          <w:szCs w:val="20"/>
        </w:rPr>
        <w:t xml:space="preserve"> [2026] VSC 87 where a mother who had intentionally drowned her 3-year old son in the bath and was charged with murder was found not guilty of murder by reason of mental impairment (4 psychiatrists having agreed she was mentally impaired at the time of the drowning) was released on a non-custodial supervision order</w:t>
      </w:r>
    </w:p>
    <w:p w14:paraId="4F8DD46B" w14:textId="4B96AB48" w:rsidR="006163B1" w:rsidRPr="00F05ECF" w:rsidRDefault="006163B1"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58" w:name="_O_REPORTS_AS"/>
      <w:bookmarkEnd w:id="258"/>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59" w:name="_P_CERTIFICATE_OF"/>
      <w:bookmarkEnd w:id="259"/>
      <w:r>
        <w:rPr>
          <w:rFonts w:ascii="Arial" w:hAnsi="Arial" w:cs="Arial"/>
          <w:b/>
          <w:color w:val="FFFFFF"/>
          <w:sz w:val="22"/>
          <w:shd w:val="clear" w:color="auto" w:fill="000000"/>
        </w:rPr>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[s.47(1)(ab)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w:t>
      </w:r>
      <w:r w:rsidRPr="00F05ECF">
        <w:rPr>
          <w:rFonts w:ascii="Arial" w:hAnsi="Arial" w:cs="Arial"/>
          <w:sz w:val="20"/>
          <w:szCs w:val="20"/>
        </w:rPr>
        <w:lastRenderedPageBreak/>
        <w:t xml:space="preserve">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The court has been advised that this will simply state that there is a remand bed available.  What happens if there is not has not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60" w:name="_Q_VARIATION,_REVOCATION,"/>
      <w:bookmarkEnd w:id="260"/>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rsidP="006163B1">
      <w:pPr>
        <w:keepNext/>
        <w:keepLines/>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38ZP</w:t>
      </w:r>
      <w:r w:rsidRPr="00F05ECF">
        <w:rPr>
          <w:rFonts w:ascii="Arial" w:hAnsi="Arial" w:cs="Arial"/>
          <w:color w:val="000000"/>
          <w:sz w:val="20"/>
          <w:szCs w:val="20"/>
        </w:rPr>
        <w:t xml:space="preserve">  The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[ss.38ZO(1) + 38ZO(2)]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38ZO(3)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lastRenderedPageBreak/>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Taking into account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t xml:space="preserve">In </w:t>
      </w:r>
      <w:bookmarkStart w:id="261"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61"/>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60 year old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r w:rsidRPr="004A61D9">
        <w:rPr>
          <w:rFonts w:ascii="Arial" w:hAnsi="Arial" w:cs="Arial"/>
          <w:i/>
          <w:iCs/>
          <w:sz w:val="20"/>
          <w:szCs w:val="20"/>
        </w:rPr>
        <w:t>Briginshaw v Briginshaw</w:t>
      </w:r>
      <w:r w:rsidR="004A61D9">
        <w:rPr>
          <w:rFonts w:ascii="Arial" w:hAnsi="Arial" w:cs="Arial"/>
          <w:sz w:val="20"/>
          <w:szCs w:val="20"/>
        </w:rPr>
        <w:t xml:space="preserve"> Ibid at [74] &amp; [89] citing (1938) 60 CLR 336.”</w:t>
      </w:r>
    </w:p>
    <w:p w14:paraId="78659927" w14:textId="6259CBD7"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62"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63"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63"/>
      <w:r w:rsidR="007952EB">
        <w:rPr>
          <w:rFonts w:ascii="Arial" w:hAnsi="Arial" w:cs="Arial"/>
          <w:sz w:val="20"/>
          <w:szCs w:val="20"/>
        </w:rPr>
        <w:t>.</w:t>
      </w:r>
    </w:p>
    <w:bookmarkEnd w:id="262"/>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75 year old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 xml:space="preserve">-custodial supervision order, if I were well satisfied, by sufficiently cogent </w:t>
      </w:r>
      <w:r w:rsidRPr="003D6C9F">
        <w:rPr>
          <w:rFonts w:ascii="Arial" w:hAnsi="Arial" w:cs="Arial"/>
          <w:sz w:val="20"/>
          <w:szCs w:val="20"/>
        </w:rPr>
        <w:lastRenderedPageBreak/>
        <w:t>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[95] that the risk posed by Mr Stefanovic “is so minimal to the extent that it is almost non-existent in any realistic sense.  Accordingly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14AA6C62"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 xml:space="preserve">Re </w:t>
      </w:r>
      <w:proofErr w:type="spellStart"/>
      <w:r w:rsidR="00F9126E" w:rsidRPr="00F9126E">
        <w:rPr>
          <w:rFonts w:ascii="Arial" w:hAnsi="Arial" w:cs="Arial"/>
          <w:i/>
          <w:iCs/>
          <w:color w:val="000000"/>
          <w:sz w:val="20"/>
          <w:szCs w:val="20"/>
        </w:rPr>
        <w:t>Kozarov</w:t>
      </w:r>
      <w:proofErr w:type="spellEnd"/>
      <w:r w:rsidR="00F9126E">
        <w:rPr>
          <w:rFonts w:ascii="Arial" w:hAnsi="Arial" w:cs="Arial"/>
          <w:color w:val="000000"/>
          <w:sz w:val="20"/>
          <w:szCs w:val="20"/>
        </w:rPr>
        <w:t xml:space="preserve"> [2025] VSC 439</w:t>
      </w:r>
      <w:r w:rsidR="007952EB">
        <w:rPr>
          <w:rFonts w:ascii="Arial" w:hAnsi="Arial" w:cs="Arial"/>
          <w:color w:val="000000"/>
          <w:sz w:val="20"/>
          <w:szCs w:val="20"/>
        </w:rPr>
        <w:t xml:space="preserve">; </w:t>
      </w:r>
      <w:r w:rsidR="007952EB" w:rsidRPr="000D742B">
        <w:rPr>
          <w:rFonts w:ascii="Arial" w:hAnsi="Arial" w:cs="Arial"/>
          <w:i/>
          <w:iCs/>
          <w:sz w:val="20"/>
          <w:szCs w:val="20"/>
        </w:rPr>
        <w:t>Re KL (No 4)</w:t>
      </w:r>
      <w:r w:rsidR="007952EB">
        <w:rPr>
          <w:rFonts w:ascii="Arial" w:hAnsi="Arial" w:cs="Arial"/>
          <w:sz w:val="20"/>
          <w:szCs w:val="20"/>
        </w:rPr>
        <w:t xml:space="preserve"> [2026] VSC 60 at [92]</w:t>
      </w:r>
      <w:r w:rsidR="007952EB">
        <w:rPr>
          <w:rFonts w:ascii="Arial" w:hAnsi="Arial" w:cs="Arial"/>
          <w:sz w:val="20"/>
          <w:szCs w:val="20"/>
        </w:rPr>
        <w:noBreakHyphen/>
        <w:t xml:space="preserve">[96]; </w:t>
      </w:r>
      <w:r w:rsidR="007952EB" w:rsidRPr="007952EB">
        <w:rPr>
          <w:rFonts w:ascii="Arial" w:hAnsi="Arial" w:cs="Arial"/>
          <w:i/>
          <w:iCs/>
          <w:sz w:val="20"/>
          <w:szCs w:val="20"/>
        </w:rPr>
        <w:t>Re TK (No 2)</w:t>
      </w:r>
      <w:r w:rsidR="007952EB" w:rsidRPr="007952EB">
        <w:rPr>
          <w:rFonts w:ascii="Arial" w:hAnsi="Arial" w:cs="Arial"/>
          <w:sz w:val="20"/>
          <w:szCs w:val="20"/>
        </w:rPr>
        <w:t xml:space="preserve"> [2026] VSC 72</w:t>
      </w:r>
      <w:r w:rsidR="00EE58C1">
        <w:rPr>
          <w:rFonts w:ascii="Arial" w:hAnsi="Arial" w:cs="Arial"/>
          <w:color w:val="000000"/>
          <w:sz w:val="20"/>
          <w:szCs w:val="20"/>
        </w:rPr>
        <w:t>.</w:t>
      </w:r>
    </w:p>
    <w:p w14:paraId="5781FDF5" w14:textId="77777777" w:rsidR="00CF53CA" w:rsidRDefault="00CF53CA" w:rsidP="006163B1">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64" w:name="_R_NON-COMPLIANCE_WITH"/>
      <w:bookmarkEnd w:id="264"/>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place">
        <w:smartTag w:uri="urn:schemas-microsoft-com:office:smarttags" w:element="Stat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65" w:name="_S_AGE_JURISDICTION|CMIA-s.38ZG"/>
      <w:bookmarkEnd w:id="265"/>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66" w:name="_T_PRINCIPLES_ON"/>
      <w:bookmarkEnd w:id="266"/>
      <w:r>
        <w:rPr>
          <w:rFonts w:ascii="Arial" w:hAnsi="Arial" w:cs="Arial"/>
          <w:b/>
          <w:color w:val="FFFFFF"/>
          <w:sz w:val="22"/>
          <w:shd w:val="clear" w:color="auto" w:fill="000000"/>
        </w:rPr>
        <w:lastRenderedPageBreak/>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67" w:name="_U_MATTERS_TO"/>
      <w:bookmarkEnd w:id="267"/>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r w:rsidR="00557790" w:rsidRPr="00557790">
        <w:rPr>
          <w:rFonts w:ascii="Arial" w:hAnsi="Arial" w:cs="Arial"/>
          <w:i/>
          <w:sz w:val="20"/>
        </w:rPr>
        <w:t>Norbis v Norbis</w:t>
      </w:r>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In the Marriage of D A and C A Benedich</w:t>
      </w:r>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others’.  This serves to emphasise that the focus is upon the extent of the chance, risk or peril of some harm materialising.  If the harm or injury which is likely to result if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68" w:name="_V_APPEALS|CMIA-Part_5A"/>
      <w:bookmarkEnd w:id="268"/>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lastRenderedPageBreak/>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69" w:name="_V_SUPPRESSION_ORDER|CMIA-s.75"/>
      <w:bookmarkEnd w:id="269"/>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“It was clear that the public interest fell in favour of releasing RD from the non-custodial supervision order and for the suppression order…made on 3 December 2014 by the 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6163B1">
      <w:pPr>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70" w:name="_10.7_Court_diversion"/>
      <w:bookmarkEnd w:id="270"/>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71" w:name="_A_OFFENCES_FOR"/>
      <w:bookmarkEnd w:id="271"/>
      <w:r w:rsidRPr="00AD22D9">
        <w:rPr>
          <w:rFonts w:ascii="Arial" w:hAnsi="Arial" w:cs="Arial"/>
          <w:b/>
          <w:color w:val="FFFFFF"/>
          <w:sz w:val="22"/>
          <w:shd w:val="clear" w:color="auto" w:fill="000000"/>
        </w:rPr>
        <w:t>A</w:t>
      </w:r>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72" w:name="_B_PURPOSES_OF"/>
      <w:bookmarkEnd w:id="272"/>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low risk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73" w:name="_C_PRE-CONDITIONS_FOR"/>
      <w:bookmarkEnd w:id="273"/>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356D(2)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74" w:name="_D_ADJOURNMENT_TO"/>
      <w:bookmarkEnd w:id="274"/>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r w:rsidR="00556471">
        <w:rPr>
          <w:rFonts w:ascii="Arial" w:hAnsi="Arial" w:cs="Arial"/>
          <w:sz w:val="20"/>
        </w:rPr>
        <w:t>D</w:t>
      </w:r>
      <w:r>
        <w:rPr>
          <w:rFonts w:ascii="Arial" w:hAnsi="Arial" w:cs="Arial"/>
          <w:sz w:val="20"/>
        </w:rPr>
        <w:t>(</w:t>
      </w:r>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75" w:name="_E_MATTERS_TO"/>
      <w:bookmarkEnd w:id="275"/>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356G(1)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achievable by the child and measureable;</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76" w:name="_F_THE_CHILDREN’S"/>
      <w:bookmarkEnd w:id="276"/>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provided assistance to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77" w:name="_G_EXTENSION_OF"/>
      <w:bookmarkEnd w:id="277"/>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78" w:name="_H_CONCLUSION_OF"/>
      <w:bookmarkEnd w:id="278"/>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356I(1)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 xml:space="preserve">Section 356I(2) provides that if a child does not complete a diversion program to the satisfaction of the Court and the child is subsequently found guilty of the charge, the Court must take into account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79" w:name="_K_STATISTICS"/>
      <w:bookmarkStart w:id="280" w:name="_I_DIVERSION_STATISTICS"/>
      <w:bookmarkStart w:id="281" w:name="_Hlk219710322"/>
      <w:bookmarkEnd w:id="279"/>
      <w:bookmarkEnd w:id="280"/>
      <w:r w:rsidRPr="009044BD">
        <w:rPr>
          <w:rFonts w:ascii="Times New Roman" w:hAnsi="Times New Roman"/>
          <w:b/>
          <w:color w:val="FFFFFF"/>
          <w:szCs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4B5ED3">
        <w:tc>
          <w:tcPr>
            <w:tcW w:w="9179" w:type="dxa"/>
            <w:gridSpan w:val="2"/>
            <w:shd w:val="clear" w:color="auto" w:fill="000000"/>
          </w:tcPr>
          <w:p w14:paraId="795C2348" w14:textId="77777777" w:rsidR="00CC4BE9" w:rsidRPr="00EC24DC" w:rsidRDefault="00CC4BE9" w:rsidP="004B5ED3">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4B5ED3">
        <w:tc>
          <w:tcPr>
            <w:tcW w:w="1242" w:type="dxa"/>
            <w:shd w:val="clear" w:color="auto" w:fill="000000"/>
          </w:tcPr>
          <w:p w14:paraId="66767D57"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4B5ED3">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4B5ED3">
        <w:tc>
          <w:tcPr>
            <w:tcW w:w="1242" w:type="dxa"/>
            <w:shd w:val="clear" w:color="auto" w:fill="000000"/>
          </w:tcPr>
          <w:p w14:paraId="32D69840"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86A74A0"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w:t>
            </w:r>
            <w:r w:rsidR="00D97239">
              <w:rPr>
                <w:rFonts w:ascii="Arial" w:hAnsi="Arial" w:cs="Arial"/>
                <w:sz w:val="20"/>
                <w:szCs w:val="20"/>
              </w:rPr>
              <w:t> </w:t>
            </w:r>
            <w:r w:rsidRPr="002F0C63">
              <w:rPr>
                <w:rFonts w:ascii="Arial" w:hAnsi="Arial" w:cs="Arial"/>
                <w:sz w:val="20"/>
                <w:szCs w:val="20"/>
              </w:rPr>
              <w:t>total of 88% were born in Australia and of these 12% identified as Aboriginal or Torres Strait Islander or both.</w:t>
            </w:r>
          </w:p>
        </w:tc>
      </w:tr>
      <w:tr w:rsidR="00CC4BE9" w:rsidRPr="002F0C63" w14:paraId="5A6BE529" w14:textId="77777777" w:rsidTr="004B5ED3">
        <w:tc>
          <w:tcPr>
            <w:tcW w:w="1242" w:type="dxa"/>
            <w:shd w:val="clear" w:color="auto" w:fill="000000"/>
          </w:tcPr>
          <w:p w14:paraId="5071E955" w14:textId="77777777" w:rsidR="00CC4BE9" w:rsidRPr="002F0C63" w:rsidRDefault="00CC4BE9" w:rsidP="004B5ED3">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2D33E08E"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15B7A0CD" w:rsidR="00CC4BE9" w:rsidRPr="00D247BF" w:rsidRDefault="00CC4BE9" w:rsidP="004B5ED3">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55F1341A" w:rsidR="00CC4BE9" w:rsidRPr="00E7147E" w:rsidRDefault="00420D1B" w:rsidP="00420D1B">
            <w:pPr>
              <w:spacing w:before="40" w:after="40"/>
              <w:jc w:val="both"/>
              <w:rPr>
                <w:rFonts w:ascii="Arial" w:hAnsi="Arial" w:cs="Arial"/>
                <w:b/>
                <w:bCs/>
                <w:sz w:val="20"/>
                <w:szCs w:val="20"/>
              </w:rPr>
            </w:pPr>
            <w:r w:rsidRPr="00420D1B">
              <w:rPr>
                <w:rFonts w:ascii="Arial" w:hAnsi="Arial" w:cs="Arial"/>
                <w:b/>
                <w:bCs/>
                <w:sz w:val="20"/>
              </w:rPr>
              <w:t>1544</w:t>
            </w:r>
            <w:r w:rsidRPr="00420D1B">
              <w:rPr>
                <w:rFonts w:ascii="Arial" w:hAnsi="Arial" w:cs="Arial"/>
                <w:sz w:val="20"/>
              </w:rPr>
              <w:t xml:space="preserve"> diversions were ordered. Excluding uncompleted diversions, 99% of the diversion plans were successfully completed.</w:t>
            </w:r>
            <w:r>
              <w:rPr>
                <w:rFonts w:ascii="Arial" w:hAnsi="Arial" w:cs="Arial"/>
                <w:sz w:val="20"/>
              </w:rPr>
              <w:t xml:space="preserve"> By comparison there were 1137 cases in which sentencing orders were made.</w:t>
            </w:r>
          </w:p>
        </w:tc>
      </w:tr>
      <w:tr w:rsidR="00CC4BE9" w:rsidRPr="002908DC" w14:paraId="3BFCC925"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3A3A822D" w:rsidR="00CC4BE9" w:rsidRPr="00F46B9E" w:rsidRDefault="00CC4BE9" w:rsidP="004B5ED3">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82" w:name="_Hlk148944254"/>
            <w:r w:rsidRPr="00F46B9E">
              <w:rPr>
                <w:rFonts w:ascii="Arial" w:hAnsi="Arial" w:cs="Arial"/>
                <w:sz w:val="20"/>
                <w:szCs w:val="20"/>
              </w:rPr>
              <w:t xml:space="preserve">Excluding uncompleted diversions, 98% of diversion plans were successfully completed. </w:t>
            </w:r>
            <w:bookmarkEnd w:id="282"/>
            <w:r w:rsidRPr="00F46B9E">
              <w:rPr>
                <w:rFonts w:ascii="Arial" w:hAnsi="Arial" w:cs="Arial"/>
                <w:sz w:val="20"/>
                <w:szCs w:val="20"/>
              </w:rPr>
              <w:t>By comparison there were 886 cases in which sentencing orders were made.</w:t>
            </w:r>
          </w:p>
        </w:tc>
      </w:tr>
      <w:tr w:rsidR="00CC4BE9" w:rsidRPr="002908DC" w14:paraId="1E54720E" w14:textId="77777777" w:rsidTr="00CB3C64">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tcPr>
          <w:p w14:paraId="5B8F2A3E" w14:textId="77777777" w:rsidR="00CC4BE9" w:rsidRPr="00CB3C64" w:rsidRDefault="00CC4BE9" w:rsidP="004B5ED3">
            <w:pPr>
              <w:spacing w:before="40" w:after="40"/>
              <w:jc w:val="both"/>
              <w:rPr>
                <w:rFonts w:ascii="Arial" w:hAnsi="Arial" w:cs="Arial"/>
                <w:sz w:val="20"/>
                <w:szCs w:val="20"/>
              </w:rPr>
            </w:pPr>
            <w:r w:rsidRPr="00420D1B">
              <w:rPr>
                <w:rFonts w:ascii="Arial" w:hAnsi="Arial" w:cs="Arial"/>
                <w:b/>
                <w:bCs/>
                <w:sz w:val="20"/>
                <w:szCs w:val="20"/>
              </w:rPr>
              <w:t>1215</w:t>
            </w:r>
            <w:r w:rsidRPr="00CB3C64">
              <w:rPr>
                <w:rFonts w:ascii="Arial" w:hAnsi="Arial" w:cs="Arial"/>
                <w:sz w:val="20"/>
                <w:szCs w:val="20"/>
              </w:rPr>
              <w:t xml:space="preserve"> diversions were ordered. Excluding uncompleted diversions, 98% of the diversion plans were successfully completed. By comparison there were 803 cases in which sentencing orders were made.</w:t>
            </w:r>
          </w:p>
        </w:tc>
      </w:tr>
      <w:tr w:rsidR="00420D1B" w:rsidRPr="002908DC" w14:paraId="171CFC11" w14:textId="77777777" w:rsidTr="00420D1B">
        <w:tc>
          <w:tcPr>
            <w:tcW w:w="1242" w:type="dxa"/>
            <w:tcBorders>
              <w:top w:val="single" w:sz="4" w:space="0" w:color="auto"/>
              <w:left w:val="single" w:sz="4" w:space="0" w:color="auto"/>
              <w:bottom w:val="single" w:sz="4" w:space="0" w:color="auto"/>
              <w:right w:val="single" w:sz="4" w:space="0" w:color="auto"/>
            </w:tcBorders>
            <w:shd w:val="clear" w:color="auto" w:fill="000000"/>
          </w:tcPr>
          <w:p w14:paraId="4C0D5D0D" w14:textId="62EA9191" w:rsidR="00420D1B" w:rsidRPr="00D247BF" w:rsidRDefault="00420D1B" w:rsidP="008F1986">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4</w:t>
            </w:r>
            <w:r w:rsidRPr="00D247BF">
              <w:rPr>
                <w:rFonts w:ascii="Arial" w:hAnsi="Arial" w:cs="Arial"/>
                <w:b/>
                <w:bCs/>
                <w:sz w:val="22"/>
                <w:szCs w:val="22"/>
              </w:rPr>
              <w:t>/2</w:t>
            </w:r>
            <w:r>
              <w:rPr>
                <w:rFonts w:ascii="Arial" w:hAnsi="Arial" w:cs="Arial"/>
                <w:b/>
                <w:bCs/>
                <w:sz w:val="22"/>
                <w:szCs w:val="22"/>
              </w:rPr>
              <w:t>5</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37B78959" w14:textId="2A3C845F" w:rsidR="00420D1B" w:rsidRPr="00F46B9E" w:rsidRDefault="00420D1B" w:rsidP="008F1986">
            <w:pPr>
              <w:spacing w:before="40" w:after="40"/>
              <w:jc w:val="both"/>
              <w:rPr>
                <w:rFonts w:ascii="Arial" w:hAnsi="Arial" w:cs="Arial"/>
                <w:sz w:val="20"/>
                <w:szCs w:val="20"/>
              </w:rPr>
            </w:pPr>
            <w:r w:rsidRPr="00420D1B">
              <w:rPr>
                <w:rFonts w:ascii="Arial" w:hAnsi="Arial" w:cs="Arial"/>
                <w:b/>
                <w:bCs/>
                <w:sz w:val="20"/>
                <w:szCs w:val="20"/>
              </w:rPr>
              <w:t>1153</w:t>
            </w:r>
            <w:r w:rsidRPr="00F46B9E">
              <w:rPr>
                <w:rFonts w:ascii="Arial" w:hAnsi="Arial" w:cs="Arial"/>
                <w:sz w:val="20"/>
                <w:szCs w:val="20"/>
              </w:rPr>
              <w:t xml:space="preserve"> diversions were ordered. Excluding uncompleted diversions, 98% of diversion plans were successfully completed. By comparison there were </w:t>
            </w:r>
            <w:r>
              <w:rPr>
                <w:rFonts w:ascii="Arial" w:hAnsi="Arial" w:cs="Arial"/>
                <w:sz w:val="20"/>
                <w:szCs w:val="20"/>
              </w:rPr>
              <w:t>1095</w:t>
            </w:r>
            <w:r w:rsidRPr="00F46B9E">
              <w:rPr>
                <w:rFonts w:ascii="Arial" w:hAnsi="Arial" w:cs="Arial"/>
                <w:sz w:val="20"/>
                <w:szCs w:val="20"/>
              </w:rPr>
              <w:t xml:space="preserve">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2295"/>
        <w:gridCol w:w="2295"/>
      </w:tblGrid>
      <w:tr w:rsidR="003725A5" w:rsidRPr="002F0C63" w14:paraId="20BB1877" w14:textId="77777777" w:rsidTr="00CE2EA1">
        <w:tc>
          <w:tcPr>
            <w:tcW w:w="9179" w:type="dxa"/>
            <w:gridSpan w:val="3"/>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83" w:name="_J_SECRETARY_HAS"/>
            <w:bookmarkEnd w:id="281"/>
            <w:bookmarkEnd w:id="283"/>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D97239" w14:paraId="7B15A8B6" w14:textId="77777777" w:rsidTr="00420D1B">
        <w:trPr>
          <w:trHeight w:val="170"/>
        </w:trPr>
        <w:tc>
          <w:tcPr>
            <w:tcW w:w="4589" w:type="dxa"/>
            <w:shd w:val="clear" w:color="auto" w:fill="DDDDDD"/>
          </w:tcPr>
          <w:p w14:paraId="257E6D27" w14:textId="06F5B00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DEMOGRAPHIC CHARACTERISTICS</w:t>
            </w:r>
          </w:p>
        </w:tc>
        <w:tc>
          <w:tcPr>
            <w:tcW w:w="4590" w:type="dxa"/>
            <w:gridSpan w:val="2"/>
            <w:shd w:val="clear" w:color="auto" w:fill="DDDDDD"/>
          </w:tcPr>
          <w:p w14:paraId="12023E1D" w14:textId="02410AE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UNIQUE PARTICIPANTS</w:t>
            </w:r>
          </w:p>
        </w:tc>
      </w:tr>
      <w:tr w:rsidR="00C57C9F" w:rsidRPr="00D97239" w14:paraId="564ABB76" w14:textId="77777777" w:rsidTr="00420D1B">
        <w:trPr>
          <w:trHeight w:val="170"/>
        </w:trPr>
        <w:tc>
          <w:tcPr>
            <w:tcW w:w="4589" w:type="dxa"/>
          </w:tcPr>
          <w:p w14:paraId="6F88DCC6" w14:textId="1E56A4CE"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Female</w:t>
            </w:r>
          </w:p>
        </w:tc>
        <w:tc>
          <w:tcPr>
            <w:tcW w:w="2295" w:type="dxa"/>
          </w:tcPr>
          <w:p w14:paraId="708A8253" w14:textId="2A099D95"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1,210</w:t>
            </w:r>
          </w:p>
        </w:tc>
        <w:tc>
          <w:tcPr>
            <w:tcW w:w="2295" w:type="dxa"/>
          </w:tcPr>
          <w:p w14:paraId="0CB6A7A9" w14:textId="7414094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28.9</w:t>
            </w:r>
            <w:r w:rsidR="00D97239">
              <w:rPr>
                <w:rFonts w:ascii="Arial" w:hAnsi="Arial" w:cs="Arial"/>
                <w:b/>
                <w:bCs/>
                <w:sz w:val="18"/>
                <w:szCs w:val="18"/>
              </w:rPr>
              <w:t>%</w:t>
            </w:r>
          </w:p>
        </w:tc>
      </w:tr>
      <w:tr w:rsidR="00C57C9F" w:rsidRPr="00420D1B" w14:paraId="4AEED36A" w14:textId="77777777" w:rsidTr="00420D1B">
        <w:trPr>
          <w:trHeight w:val="170"/>
        </w:trPr>
        <w:tc>
          <w:tcPr>
            <w:tcW w:w="4589" w:type="dxa"/>
          </w:tcPr>
          <w:p w14:paraId="70DEAACA" w14:textId="1F1BA4AE"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Male</w:t>
            </w:r>
          </w:p>
        </w:tc>
        <w:tc>
          <w:tcPr>
            <w:tcW w:w="2295" w:type="dxa"/>
          </w:tcPr>
          <w:p w14:paraId="294B0BDC" w14:textId="33EBB60B"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2,977</w:t>
            </w:r>
          </w:p>
        </w:tc>
        <w:tc>
          <w:tcPr>
            <w:tcW w:w="2295" w:type="dxa"/>
          </w:tcPr>
          <w:p w14:paraId="3F12AFCB" w14:textId="3FB44CEC"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71.1</w:t>
            </w:r>
            <w:r w:rsidR="00D97239">
              <w:rPr>
                <w:rFonts w:ascii="Arial" w:hAnsi="Arial" w:cs="Arial"/>
                <w:b/>
                <w:bCs/>
                <w:sz w:val="20"/>
                <w:szCs w:val="20"/>
              </w:rPr>
              <w:t>%</w:t>
            </w:r>
          </w:p>
        </w:tc>
      </w:tr>
      <w:tr w:rsidR="00C57C9F" w:rsidRPr="00D97239" w14:paraId="100DE8FD" w14:textId="77777777" w:rsidTr="00420D1B">
        <w:trPr>
          <w:trHeight w:val="170"/>
        </w:trPr>
        <w:tc>
          <w:tcPr>
            <w:tcW w:w="4589" w:type="dxa"/>
            <w:shd w:val="clear" w:color="auto" w:fill="DDDDDD"/>
          </w:tcPr>
          <w:p w14:paraId="6E76443C" w14:textId="22EC07A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ETHNIC GROUP</w:t>
            </w:r>
          </w:p>
        </w:tc>
        <w:tc>
          <w:tcPr>
            <w:tcW w:w="2295" w:type="dxa"/>
            <w:shd w:val="clear" w:color="auto" w:fill="DDDDDD"/>
          </w:tcPr>
          <w:p w14:paraId="4A24A004" w14:textId="77777777" w:rsidR="00C57C9F" w:rsidRPr="00D97239" w:rsidRDefault="00C57C9F" w:rsidP="00CE2EA1">
            <w:pPr>
              <w:spacing w:before="40" w:after="40"/>
              <w:jc w:val="center"/>
              <w:rPr>
                <w:rFonts w:ascii="Arial" w:hAnsi="Arial" w:cs="Arial"/>
                <w:b/>
                <w:bCs/>
                <w:sz w:val="18"/>
                <w:szCs w:val="18"/>
              </w:rPr>
            </w:pPr>
          </w:p>
        </w:tc>
        <w:tc>
          <w:tcPr>
            <w:tcW w:w="2295" w:type="dxa"/>
            <w:shd w:val="clear" w:color="auto" w:fill="DDDDDD"/>
          </w:tcPr>
          <w:p w14:paraId="7A1B9AC8"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6A2BA374" w14:textId="77777777" w:rsidTr="00CE2EA1">
        <w:tc>
          <w:tcPr>
            <w:tcW w:w="4589" w:type="dxa"/>
          </w:tcPr>
          <w:p w14:paraId="30B8769B" w14:textId="4C8E440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Australian (non-Aboriginal)</w:t>
            </w:r>
          </w:p>
        </w:tc>
        <w:tc>
          <w:tcPr>
            <w:tcW w:w="2295" w:type="dxa"/>
          </w:tcPr>
          <w:p w14:paraId="2FAAEC28" w14:textId="60103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1,393</w:t>
            </w:r>
          </w:p>
        </w:tc>
        <w:tc>
          <w:tcPr>
            <w:tcW w:w="2295" w:type="dxa"/>
          </w:tcPr>
          <w:p w14:paraId="4B3277D2" w14:textId="02F7BDB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33.3</w:t>
            </w:r>
            <w:r w:rsidR="00D97239">
              <w:rPr>
                <w:rFonts w:ascii="Arial" w:hAnsi="Arial" w:cs="Arial"/>
                <w:b/>
                <w:bCs/>
                <w:sz w:val="18"/>
                <w:szCs w:val="18"/>
              </w:rPr>
              <w:t>%</w:t>
            </w:r>
          </w:p>
        </w:tc>
      </w:tr>
      <w:tr w:rsidR="00C57C9F" w:rsidRPr="00D97239" w14:paraId="20FC1954" w14:textId="77777777" w:rsidTr="00CE2EA1">
        <w:tc>
          <w:tcPr>
            <w:tcW w:w="4589" w:type="dxa"/>
          </w:tcPr>
          <w:p w14:paraId="2BBC1B6A" w14:textId="3BA7459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Aboriginal</w:t>
            </w:r>
          </w:p>
        </w:tc>
        <w:tc>
          <w:tcPr>
            <w:tcW w:w="2295" w:type="dxa"/>
          </w:tcPr>
          <w:p w14:paraId="6A7482BA" w14:textId="5CBFB3BB"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510</w:t>
            </w:r>
          </w:p>
        </w:tc>
        <w:tc>
          <w:tcPr>
            <w:tcW w:w="2295" w:type="dxa"/>
          </w:tcPr>
          <w:p w14:paraId="12C815E1" w14:textId="753525D6"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12.2</w:t>
            </w:r>
            <w:r w:rsidR="00D97239">
              <w:rPr>
                <w:rFonts w:ascii="Arial" w:hAnsi="Arial" w:cs="Arial"/>
                <w:b/>
                <w:bCs/>
                <w:sz w:val="18"/>
                <w:szCs w:val="18"/>
              </w:rPr>
              <w:t>%</w:t>
            </w:r>
          </w:p>
        </w:tc>
      </w:tr>
      <w:tr w:rsidR="00C57C9F" w:rsidRPr="00D97239" w14:paraId="051D8AB7" w14:textId="77777777" w:rsidTr="00CE2EA1">
        <w:tc>
          <w:tcPr>
            <w:tcW w:w="4589" w:type="dxa"/>
          </w:tcPr>
          <w:p w14:paraId="4957B92D" w14:textId="1A3EE1C8"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Pacific Islander</w:t>
            </w:r>
          </w:p>
        </w:tc>
        <w:tc>
          <w:tcPr>
            <w:tcW w:w="2295" w:type="dxa"/>
          </w:tcPr>
          <w:p w14:paraId="4567DCD9" w14:textId="6A4F8830"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144</w:t>
            </w:r>
          </w:p>
        </w:tc>
        <w:tc>
          <w:tcPr>
            <w:tcW w:w="2295" w:type="dxa"/>
          </w:tcPr>
          <w:p w14:paraId="3C904115" w14:textId="12F96A3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3.4</w:t>
            </w:r>
            <w:r w:rsidR="00D97239">
              <w:rPr>
                <w:rFonts w:ascii="Arial" w:hAnsi="Arial" w:cs="Arial"/>
                <w:b/>
                <w:bCs/>
                <w:sz w:val="18"/>
                <w:szCs w:val="18"/>
              </w:rPr>
              <w:t>%</w:t>
            </w:r>
          </w:p>
        </w:tc>
      </w:tr>
      <w:tr w:rsidR="00C57C9F" w:rsidRPr="00D97239" w14:paraId="5F23F479" w14:textId="77777777" w:rsidTr="00CE2EA1">
        <w:tc>
          <w:tcPr>
            <w:tcW w:w="4589" w:type="dxa"/>
          </w:tcPr>
          <w:p w14:paraId="1F8DF238" w14:textId="6407CD89"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Sudanese/South Sudanese</w:t>
            </w:r>
          </w:p>
        </w:tc>
        <w:tc>
          <w:tcPr>
            <w:tcW w:w="2295" w:type="dxa"/>
          </w:tcPr>
          <w:p w14:paraId="2391FF46" w14:textId="16A8748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131</w:t>
            </w:r>
          </w:p>
        </w:tc>
        <w:tc>
          <w:tcPr>
            <w:tcW w:w="2295" w:type="dxa"/>
          </w:tcPr>
          <w:p w14:paraId="32FAEB5C" w14:textId="66E173D8"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266EAF13" w14:textId="77777777" w:rsidTr="00CE2EA1">
        <w:tc>
          <w:tcPr>
            <w:tcW w:w="4589" w:type="dxa"/>
          </w:tcPr>
          <w:p w14:paraId="37E85BF7" w14:textId="5416274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Other</w:t>
            </w:r>
          </w:p>
        </w:tc>
        <w:tc>
          <w:tcPr>
            <w:tcW w:w="2295" w:type="dxa"/>
          </w:tcPr>
          <w:p w14:paraId="681CF675" w14:textId="658581E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77</w:t>
            </w:r>
          </w:p>
        </w:tc>
        <w:tc>
          <w:tcPr>
            <w:tcW w:w="2295" w:type="dxa"/>
          </w:tcPr>
          <w:p w14:paraId="3A27DDA4" w14:textId="722622B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1.8</w:t>
            </w:r>
            <w:r w:rsidR="00D97239">
              <w:rPr>
                <w:rFonts w:ascii="Arial" w:hAnsi="Arial" w:cs="Arial"/>
                <w:b/>
                <w:bCs/>
                <w:sz w:val="18"/>
                <w:szCs w:val="18"/>
              </w:rPr>
              <w:t>%</w:t>
            </w:r>
          </w:p>
        </w:tc>
      </w:tr>
      <w:tr w:rsidR="00C57C9F" w:rsidRPr="00D97239" w14:paraId="4E70CE16" w14:textId="77777777" w:rsidTr="00CE2EA1">
        <w:tc>
          <w:tcPr>
            <w:tcW w:w="4589" w:type="dxa"/>
          </w:tcPr>
          <w:p w14:paraId="0D6CB6C4" w14:textId="1891256E"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Middle Eastern</w:t>
            </w:r>
          </w:p>
        </w:tc>
        <w:tc>
          <w:tcPr>
            <w:tcW w:w="2295" w:type="dxa"/>
          </w:tcPr>
          <w:p w14:paraId="1EAC3720" w14:textId="05025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130</w:t>
            </w:r>
          </w:p>
        </w:tc>
        <w:tc>
          <w:tcPr>
            <w:tcW w:w="2295" w:type="dxa"/>
          </w:tcPr>
          <w:p w14:paraId="4FCB89C3" w14:textId="3C0FEE3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48EA1A99" w14:textId="77777777" w:rsidTr="00CE2EA1">
        <w:tc>
          <w:tcPr>
            <w:tcW w:w="4589" w:type="dxa"/>
          </w:tcPr>
          <w:p w14:paraId="5D8FB685" w14:textId="04F64300"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Asian</w:t>
            </w:r>
          </w:p>
        </w:tc>
        <w:tc>
          <w:tcPr>
            <w:tcW w:w="2295" w:type="dxa"/>
          </w:tcPr>
          <w:p w14:paraId="6D59F510" w14:textId="3C4DAA1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94</w:t>
            </w:r>
          </w:p>
        </w:tc>
        <w:tc>
          <w:tcPr>
            <w:tcW w:w="2295" w:type="dxa"/>
          </w:tcPr>
          <w:p w14:paraId="2F1B6478" w14:textId="4A31FB4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2.2</w:t>
            </w:r>
            <w:r w:rsidR="00D97239">
              <w:rPr>
                <w:rFonts w:ascii="Arial" w:hAnsi="Arial" w:cs="Arial"/>
                <w:b/>
                <w:bCs/>
                <w:sz w:val="18"/>
                <w:szCs w:val="18"/>
              </w:rPr>
              <w:t>%</w:t>
            </w:r>
          </w:p>
        </w:tc>
      </w:tr>
      <w:tr w:rsidR="00C57C9F" w:rsidRPr="00D97239" w14:paraId="6E1D9DF9" w14:textId="77777777" w:rsidTr="00CE2EA1">
        <w:tc>
          <w:tcPr>
            <w:tcW w:w="4589" w:type="dxa"/>
          </w:tcPr>
          <w:p w14:paraId="725C46FE" w14:textId="7C71789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Other</w:t>
            </w:r>
          </w:p>
        </w:tc>
        <w:tc>
          <w:tcPr>
            <w:tcW w:w="2295" w:type="dxa"/>
          </w:tcPr>
          <w:p w14:paraId="591C82F8" w14:textId="2AA8271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153</w:t>
            </w:r>
          </w:p>
        </w:tc>
        <w:tc>
          <w:tcPr>
            <w:tcW w:w="2295" w:type="dxa"/>
          </w:tcPr>
          <w:p w14:paraId="35D9584F" w14:textId="7A80FFEB"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w:t>
            </w:r>
            <w:r w:rsidR="00D97239">
              <w:rPr>
                <w:rFonts w:ascii="Arial" w:hAnsi="Arial" w:cs="Arial"/>
                <w:b/>
                <w:bCs/>
                <w:sz w:val="18"/>
                <w:szCs w:val="18"/>
              </w:rPr>
              <w:t>%</w:t>
            </w:r>
          </w:p>
        </w:tc>
      </w:tr>
      <w:tr w:rsidR="00C57C9F" w:rsidRPr="00D97239" w14:paraId="58B9E47E" w14:textId="77777777" w:rsidTr="00CE2EA1">
        <w:tc>
          <w:tcPr>
            <w:tcW w:w="4589" w:type="dxa"/>
          </w:tcPr>
          <w:p w14:paraId="2FB57ADF" w14:textId="55B12F9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Not known</w:t>
            </w:r>
          </w:p>
        </w:tc>
        <w:tc>
          <w:tcPr>
            <w:tcW w:w="2295" w:type="dxa"/>
          </w:tcPr>
          <w:p w14:paraId="60377B20" w14:textId="046B130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1,555</w:t>
            </w:r>
          </w:p>
        </w:tc>
        <w:tc>
          <w:tcPr>
            <w:tcW w:w="2295" w:type="dxa"/>
          </w:tcPr>
          <w:p w14:paraId="4B7B6AB8" w14:textId="41E6DE9F"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37.1</w:t>
            </w:r>
            <w:r w:rsidR="00D97239">
              <w:rPr>
                <w:rFonts w:ascii="Arial" w:hAnsi="Arial" w:cs="Arial"/>
                <w:b/>
                <w:bCs/>
                <w:sz w:val="18"/>
                <w:szCs w:val="18"/>
              </w:rPr>
              <w:t>%</w:t>
            </w:r>
          </w:p>
        </w:tc>
      </w:tr>
      <w:tr w:rsidR="00C57C9F" w:rsidRPr="00D97239" w14:paraId="572C8F74"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Pr="00D97239" w:rsidRDefault="00C57C9F" w:rsidP="00CE2EA1">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4F935888" w14:textId="77777777" w:rsidTr="00C57C9F">
        <w:tc>
          <w:tcPr>
            <w:tcW w:w="4589" w:type="dxa"/>
            <w:tcBorders>
              <w:top w:val="single" w:sz="4" w:space="0" w:color="auto"/>
              <w:left w:val="single" w:sz="4" w:space="0" w:color="auto"/>
              <w:bottom w:val="single" w:sz="4" w:space="0" w:color="auto"/>
              <w:right w:val="single" w:sz="4" w:space="0" w:color="auto"/>
            </w:tcBorders>
          </w:tcPr>
          <w:p w14:paraId="63883892" w14:textId="39090971"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207</w:t>
            </w:r>
          </w:p>
        </w:tc>
        <w:tc>
          <w:tcPr>
            <w:tcW w:w="2295" w:type="dxa"/>
            <w:tcBorders>
              <w:top w:val="single" w:sz="4" w:space="0" w:color="auto"/>
              <w:left w:val="single" w:sz="4" w:space="0" w:color="auto"/>
              <w:bottom w:val="single" w:sz="4" w:space="0" w:color="auto"/>
              <w:right w:val="single" w:sz="4" w:space="0" w:color="auto"/>
            </w:tcBorders>
          </w:tcPr>
          <w:p w14:paraId="1DEAB0F5" w14:textId="50F7442A"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3.9</w:t>
            </w:r>
            <w:r w:rsidR="00D97239">
              <w:rPr>
                <w:rFonts w:ascii="Arial" w:hAnsi="Arial" w:cs="Arial"/>
                <w:b/>
                <w:bCs/>
                <w:sz w:val="18"/>
                <w:szCs w:val="18"/>
              </w:rPr>
              <w:t>%</w:t>
            </w:r>
          </w:p>
        </w:tc>
      </w:tr>
      <w:tr w:rsidR="00C57C9F" w:rsidRPr="00D97239" w14:paraId="4992CA86" w14:textId="77777777" w:rsidTr="00C57C9F">
        <w:tc>
          <w:tcPr>
            <w:tcW w:w="4589" w:type="dxa"/>
            <w:tcBorders>
              <w:top w:val="single" w:sz="4" w:space="0" w:color="auto"/>
              <w:left w:val="single" w:sz="4" w:space="0" w:color="auto"/>
              <w:bottom w:val="single" w:sz="4" w:space="0" w:color="auto"/>
              <w:right w:val="single" w:sz="4" w:space="0" w:color="auto"/>
            </w:tcBorders>
          </w:tcPr>
          <w:p w14:paraId="62B835B7" w14:textId="59E39BC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38FEE74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80.8</w:t>
            </w:r>
            <w:r w:rsidR="00D97239">
              <w:rPr>
                <w:rFonts w:ascii="Arial" w:hAnsi="Arial" w:cs="Arial"/>
                <w:b/>
                <w:bCs/>
                <w:sz w:val="18"/>
                <w:szCs w:val="18"/>
              </w:rPr>
              <w:t>%</w:t>
            </w:r>
          </w:p>
        </w:tc>
      </w:tr>
      <w:tr w:rsidR="00C57C9F" w:rsidRPr="00D97239" w14:paraId="2E621D0A" w14:textId="77777777" w:rsidTr="00C57C9F">
        <w:tc>
          <w:tcPr>
            <w:tcW w:w="4589" w:type="dxa"/>
            <w:tcBorders>
              <w:top w:val="single" w:sz="4" w:space="0" w:color="auto"/>
              <w:left w:val="single" w:sz="4" w:space="0" w:color="auto"/>
              <w:bottom w:val="single" w:sz="4" w:space="0" w:color="auto"/>
              <w:right w:val="single" w:sz="4" w:space="0" w:color="auto"/>
            </w:tcBorders>
          </w:tcPr>
          <w:p w14:paraId="1F704150" w14:textId="3725F778"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596</w:t>
            </w:r>
          </w:p>
        </w:tc>
        <w:tc>
          <w:tcPr>
            <w:tcW w:w="2295" w:type="dxa"/>
            <w:tcBorders>
              <w:top w:val="single" w:sz="4" w:space="0" w:color="auto"/>
              <w:left w:val="single" w:sz="4" w:space="0" w:color="auto"/>
              <w:bottom w:val="single" w:sz="4" w:space="0" w:color="auto"/>
              <w:right w:val="single" w:sz="4" w:space="0" w:color="auto"/>
            </w:tcBorders>
          </w:tcPr>
          <w:p w14:paraId="2ADAFE7F" w14:textId="25FAAD5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14.2</w:t>
            </w:r>
            <w:r w:rsidR="00D97239">
              <w:rPr>
                <w:rFonts w:ascii="Arial" w:hAnsi="Arial" w:cs="Arial"/>
                <w:b/>
                <w:bCs/>
                <w:sz w:val="18"/>
                <w:szCs w:val="18"/>
              </w:rPr>
              <w:t>%</w:t>
            </w:r>
          </w:p>
        </w:tc>
      </w:tr>
      <w:tr w:rsidR="0019111F" w:rsidRPr="00D97239" w14:paraId="5B2B632A"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Pr="00D97239" w:rsidRDefault="0019111F" w:rsidP="0019111F">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Pr="00D97239" w:rsidRDefault="0019111F" w:rsidP="00CE2EA1">
            <w:pPr>
              <w:spacing w:before="40" w:after="40"/>
              <w:jc w:val="center"/>
              <w:rPr>
                <w:rFonts w:ascii="Arial" w:hAnsi="Arial" w:cs="Arial"/>
                <w:b/>
                <w:bCs/>
                <w:sz w:val="18"/>
                <w:szCs w:val="18"/>
              </w:rPr>
            </w:pPr>
          </w:p>
        </w:tc>
      </w:tr>
      <w:tr w:rsidR="0019111F" w:rsidRPr="00D97239" w14:paraId="2D3055C0" w14:textId="77777777" w:rsidTr="0019111F">
        <w:tc>
          <w:tcPr>
            <w:tcW w:w="4589" w:type="dxa"/>
            <w:tcBorders>
              <w:top w:val="single" w:sz="4" w:space="0" w:color="auto"/>
              <w:left w:val="single" w:sz="4" w:space="0" w:color="auto"/>
              <w:bottom w:val="single" w:sz="4" w:space="0" w:color="auto"/>
              <w:right w:val="single" w:sz="4" w:space="0" w:color="auto"/>
            </w:tcBorders>
          </w:tcPr>
          <w:p w14:paraId="2A881847" w14:textId="02940383"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1CD7A3D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83.7</w:t>
            </w:r>
            <w:r w:rsidR="00D97239">
              <w:rPr>
                <w:rFonts w:ascii="Arial" w:hAnsi="Arial" w:cs="Arial"/>
                <w:b/>
                <w:bCs/>
                <w:sz w:val="18"/>
                <w:szCs w:val="18"/>
              </w:rPr>
              <w:t>%</w:t>
            </w:r>
          </w:p>
        </w:tc>
      </w:tr>
      <w:tr w:rsidR="0019111F" w:rsidRPr="00D97239" w14:paraId="7126BF60" w14:textId="77777777" w:rsidTr="0019111F">
        <w:tc>
          <w:tcPr>
            <w:tcW w:w="4589" w:type="dxa"/>
            <w:tcBorders>
              <w:top w:val="single" w:sz="4" w:space="0" w:color="auto"/>
              <w:left w:val="single" w:sz="4" w:space="0" w:color="auto"/>
              <w:bottom w:val="single" w:sz="4" w:space="0" w:color="auto"/>
              <w:right w:val="single" w:sz="4" w:space="0" w:color="auto"/>
            </w:tcBorders>
          </w:tcPr>
          <w:p w14:paraId="3256664A" w14:textId="252096C6"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681</w:t>
            </w:r>
          </w:p>
        </w:tc>
        <w:tc>
          <w:tcPr>
            <w:tcW w:w="2295" w:type="dxa"/>
            <w:tcBorders>
              <w:top w:val="single" w:sz="4" w:space="0" w:color="auto"/>
              <w:left w:val="single" w:sz="4" w:space="0" w:color="auto"/>
              <w:bottom w:val="single" w:sz="4" w:space="0" w:color="auto"/>
              <w:right w:val="single" w:sz="4" w:space="0" w:color="auto"/>
            </w:tcBorders>
          </w:tcPr>
          <w:p w14:paraId="69CCCECF" w14:textId="17B5376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16.3</w:t>
            </w:r>
            <w:r w:rsidR="00D97239">
              <w:rPr>
                <w:rFonts w:ascii="Arial" w:hAnsi="Arial" w:cs="Arial"/>
                <w:b/>
                <w:bCs/>
                <w:sz w:val="18"/>
                <w:szCs w:val="18"/>
              </w:rPr>
              <w:t>%</w:t>
            </w:r>
          </w:p>
        </w:tc>
      </w:tr>
      <w:tr w:rsidR="0019111F" w:rsidRPr="00D97239" w14:paraId="3CBC1ABB" w14:textId="77777777" w:rsidTr="00D97239">
        <w:tc>
          <w:tcPr>
            <w:tcW w:w="4589" w:type="dxa"/>
            <w:tcBorders>
              <w:top w:val="single" w:sz="4" w:space="0" w:color="auto"/>
              <w:left w:val="single" w:sz="4" w:space="0" w:color="auto"/>
              <w:bottom w:val="single" w:sz="4" w:space="0" w:color="auto"/>
              <w:right w:val="single" w:sz="4" w:space="0" w:color="auto"/>
            </w:tcBorders>
            <w:shd w:val="clear" w:color="auto" w:fill="000000" w:themeFill="text1"/>
          </w:tcPr>
          <w:p w14:paraId="7688C074" w14:textId="41F9A709"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774C28A2" w14:textId="2A6E5E9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4,187</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3FBFD0DA" w14:textId="1E1B9BD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100.0</w:t>
            </w:r>
            <w:r w:rsidR="00D97239" w:rsidRPr="00D97239">
              <w:rPr>
                <w:rFonts w:ascii="Arial" w:hAnsi="Arial" w:cs="Arial"/>
                <w:b/>
                <w:bCs/>
                <w:sz w:val="18"/>
                <w:szCs w:val="18"/>
              </w:rPr>
              <w:t>%</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84" w:name="_L_STATUTORY_REVIEW"/>
      <w:bookmarkEnd w:id="284"/>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640D0D4E"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‘[p]revention, diversion, and early intervention are the most effective and fiscally responsible ways of reducing youth crime’.</w:t>
      </w:r>
      <w:r>
        <w:rPr>
          <w:rFonts w:ascii="Arial" w:hAnsi="Arial" w:cs="Arial"/>
          <w:sz w:val="20"/>
          <w:szCs w:val="20"/>
        </w:rPr>
        <w:t xml:space="preserve">  T</w:t>
      </w:r>
      <w:r w:rsidRPr="00960B50">
        <w:rPr>
          <w:rFonts w:ascii="Arial" w:hAnsi="Arial" w:cs="Arial"/>
          <w:sz w:val="20"/>
          <w:szCs w:val="20"/>
        </w:rPr>
        <w:t xml:space="preserve">aking into account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including, but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85" w:name="_10.8_The_“ROPES”"/>
      <w:bookmarkEnd w:id="285"/>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86" w:name="_10.8.1_The_program"/>
      <w:bookmarkEnd w:id="286"/>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87" w:name="_10.8.2_The_target"/>
      <w:bookmarkEnd w:id="287"/>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place">
        <w:smartTag w:uri="urn:schemas-microsoft-com:office:smarttags" w:element="City">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88" w:name="_10.8.3_The_aims"/>
      <w:bookmarkEnd w:id="288"/>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89" w:name="_10.8.4_The_content"/>
      <w:bookmarkEnd w:id="289"/>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Low Rock Climbing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High Rock Climbing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anti social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90" w:name="_10.8.5_The_consequence"/>
      <w:bookmarkEnd w:id="290"/>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At the conclusion of the course the young participants are encouraged to contact their respective police members for any matter they may need advice or assistance with in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bookmarkStart w:id="291" w:name="_Hlk216425313"/>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bookmarkEnd w:id="291"/>
    </w:p>
    <w:sectPr w:rsidR="00D7335E" w:rsidSect="004F3C2B">
      <w:footerReference w:type="default" r:id="rId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8D3E" w14:textId="77777777" w:rsidR="00C52E87" w:rsidRDefault="00C52E87">
      <w:r>
        <w:separator/>
      </w:r>
    </w:p>
  </w:endnote>
  <w:endnote w:type="continuationSeparator" w:id="0">
    <w:p w14:paraId="372EC271" w14:textId="77777777" w:rsidR="00C52E87" w:rsidRDefault="00C5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08C37DF2" w:rsidR="00CB5B87" w:rsidRDefault="00CB5B87">
    <w:pPr>
      <w:pStyle w:val="Footer"/>
    </w:pPr>
    <w:r>
      <w:rPr>
        <w:rStyle w:val="PageNumber"/>
        <w:rFonts w:ascii="Arial" w:hAnsi="Arial" w:cs="Arial"/>
        <w:b/>
        <w:bCs/>
        <w:sz w:val="16"/>
      </w:rPr>
      <w:t xml:space="preserve">Last updated </w:t>
    </w:r>
    <w:r w:rsidR="00A01E1B">
      <w:rPr>
        <w:rStyle w:val="PageNumber"/>
        <w:rFonts w:ascii="Arial" w:hAnsi="Arial" w:cs="Arial"/>
        <w:b/>
        <w:bCs/>
        <w:sz w:val="16"/>
      </w:rPr>
      <w:t>2</w:t>
    </w:r>
    <w:r w:rsidR="00162F08">
      <w:rPr>
        <w:rStyle w:val="PageNumber"/>
        <w:rFonts w:ascii="Arial" w:hAnsi="Arial" w:cs="Arial"/>
        <w:b/>
        <w:bCs/>
        <w:sz w:val="16"/>
      </w:rPr>
      <w:t>6</w:t>
    </w:r>
    <w:r w:rsidR="00A01E1B">
      <w:rPr>
        <w:rStyle w:val="PageNumber"/>
        <w:rFonts w:ascii="Arial" w:hAnsi="Arial" w:cs="Arial"/>
        <w:b/>
        <w:bCs/>
        <w:sz w:val="16"/>
      </w:rPr>
      <w:t xml:space="preserve"> </w:t>
    </w:r>
    <w:r w:rsidR="006163B1">
      <w:rPr>
        <w:rStyle w:val="PageNumber"/>
        <w:rFonts w:ascii="Arial" w:hAnsi="Arial" w:cs="Arial"/>
        <w:b/>
        <w:bCs/>
        <w:sz w:val="16"/>
      </w:rPr>
      <w:t>March</w:t>
    </w:r>
    <w:r w:rsidR="00140801">
      <w:rPr>
        <w:rStyle w:val="PageNumber"/>
        <w:rFonts w:ascii="Arial" w:hAnsi="Arial" w:cs="Arial"/>
        <w:b/>
        <w:bCs/>
        <w:sz w:val="16"/>
      </w:rPr>
      <w:t xml:space="preserve">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6ABB" w14:textId="77777777" w:rsidR="00C52E87" w:rsidRDefault="00C52E87">
      <w:r>
        <w:separator/>
      </w:r>
    </w:p>
  </w:footnote>
  <w:footnote w:type="continuationSeparator" w:id="0">
    <w:p w14:paraId="784B3F41" w14:textId="77777777" w:rsidR="00C52E87" w:rsidRDefault="00C5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1E78B7"/>
    <w:multiLevelType w:val="hybridMultilevel"/>
    <w:tmpl w:val="E12AAD04"/>
    <w:lvl w:ilvl="0" w:tplc="2CDEA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596A56"/>
    <w:multiLevelType w:val="hybridMultilevel"/>
    <w:tmpl w:val="95C63418"/>
    <w:lvl w:ilvl="0" w:tplc="9858E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A12BAC"/>
    <w:multiLevelType w:val="hybridMultilevel"/>
    <w:tmpl w:val="1FA216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1"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4"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D0F2510"/>
    <w:multiLevelType w:val="hybridMultilevel"/>
    <w:tmpl w:val="B92C5026"/>
    <w:lvl w:ilvl="0" w:tplc="6DC6B4F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774991"/>
    <w:multiLevelType w:val="hybridMultilevel"/>
    <w:tmpl w:val="D9540870"/>
    <w:lvl w:ilvl="0" w:tplc="FFFFFFFF">
      <w:start w:val="1"/>
      <w:numFmt w:val="lowerRoman"/>
      <w:lvlText w:val="(%1)"/>
      <w:lvlJc w:val="lef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16864F70"/>
    <w:multiLevelType w:val="hybridMultilevel"/>
    <w:tmpl w:val="A27A9AF4"/>
    <w:lvl w:ilvl="0" w:tplc="C7AA79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9"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19796DA8"/>
    <w:multiLevelType w:val="hybridMultilevel"/>
    <w:tmpl w:val="01881BF4"/>
    <w:lvl w:ilvl="0" w:tplc="446E89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21E76357"/>
    <w:multiLevelType w:val="hybridMultilevel"/>
    <w:tmpl w:val="56D6D00C"/>
    <w:lvl w:ilvl="0" w:tplc="CDA0232A">
      <w:start w:val="1"/>
      <w:numFmt w:val="lowerLetter"/>
      <w:lvlText w:val="(%1)"/>
      <w:lvlJc w:val="left"/>
      <w:pPr>
        <w:ind w:left="1211" w:hanging="360"/>
      </w:pPr>
      <w:rPr>
        <w:rFont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42"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D223B7F"/>
    <w:multiLevelType w:val="hybridMultilevel"/>
    <w:tmpl w:val="66F8D8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8"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F132311"/>
    <w:multiLevelType w:val="hybridMultilevel"/>
    <w:tmpl w:val="91C6D3CA"/>
    <w:lvl w:ilvl="0" w:tplc="A7FAA3F6">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2"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4"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33E63A71"/>
    <w:multiLevelType w:val="hybridMultilevel"/>
    <w:tmpl w:val="97D8B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8"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389E3ED7"/>
    <w:multiLevelType w:val="hybridMultilevel"/>
    <w:tmpl w:val="1410FD32"/>
    <w:lvl w:ilvl="0" w:tplc="52029D18">
      <w:start w:val="1"/>
      <w:numFmt w:val="decimal"/>
      <w:lvlText w:val="(%1)"/>
      <w:lvlJc w:val="left"/>
      <w:pPr>
        <w:ind w:left="8015"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61"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2" w15:restartNumberingAfterBreak="0">
    <w:nsid w:val="39B800A5"/>
    <w:multiLevelType w:val="hybridMultilevel"/>
    <w:tmpl w:val="76FE7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5"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6"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7" w15:restartNumberingAfterBreak="0">
    <w:nsid w:val="3CDB4D0C"/>
    <w:multiLevelType w:val="hybridMultilevel"/>
    <w:tmpl w:val="140C8FDE"/>
    <w:lvl w:ilvl="0" w:tplc="16BA5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9"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F073EF0"/>
    <w:multiLevelType w:val="hybridMultilevel"/>
    <w:tmpl w:val="299EE776"/>
    <w:lvl w:ilvl="0" w:tplc="BF140A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72" w15:restartNumberingAfterBreak="0">
    <w:nsid w:val="40925CA3"/>
    <w:multiLevelType w:val="hybridMultilevel"/>
    <w:tmpl w:val="903CF122"/>
    <w:lvl w:ilvl="0" w:tplc="705A88A6">
      <w:start w:val="1"/>
      <w:numFmt w:val="lowerLetter"/>
      <w:lvlText w:val="(%1)"/>
      <w:lvlJc w:val="left"/>
      <w:pPr>
        <w:tabs>
          <w:tab w:val="num" w:pos="6031"/>
        </w:tabs>
        <w:ind w:left="603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7" w15:restartNumberingAfterBreak="0">
    <w:nsid w:val="46211586"/>
    <w:multiLevelType w:val="hybridMultilevel"/>
    <w:tmpl w:val="C2D0590A"/>
    <w:lvl w:ilvl="0" w:tplc="19D0B4E8">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8"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3" w15:restartNumberingAfterBreak="0">
    <w:nsid w:val="4EA41C4E"/>
    <w:multiLevelType w:val="hybridMultilevel"/>
    <w:tmpl w:val="3B9E6760"/>
    <w:lvl w:ilvl="0" w:tplc="0C09000B">
      <w:start w:val="1"/>
      <w:numFmt w:val="bullet"/>
      <w:lvlText w:val=""/>
      <w:lvlJc w:val="left"/>
      <w:pPr>
        <w:ind w:left="777" w:hanging="360"/>
      </w:pPr>
      <w:rPr>
        <w:rFonts w:ascii="Wingdings" w:hAnsi="Wingdings" w:hint="default"/>
        <w:sz w:val="20"/>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4"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5"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86"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7"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88"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0"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3" w15:restartNumberingAfterBreak="0">
    <w:nsid w:val="558636F2"/>
    <w:multiLevelType w:val="hybridMultilevel"/>
    <w:tmpl w:val="4A8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69D0E3D"/>
    <w:multiLevelType w:val="hybridMultilevel"/>
    <w:tmpl w:val="3806BB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8"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9ED2DBE"/>
    <w:multiLevelType w:val="hybridMultilevel"/>
    <w:tmpl w:val="BCA6CBD2"/>
    <w:lvl w:ilvl="0" w:tplc="FFDAEE7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1"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2"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5D984B06"/>
    <w:multiLevelType w:val="hybridMultilevel"/>
    <w:tmpl w:val="E8B884D0"/>
    <w:lvl w:ilvl="0" w:tplc="77DCCE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6"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7"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9" w15:restartNumberingAfterBreak="0">
    <w:nsid w:val="63AC15B8"/>
    <w:multiLevelType w:val="hybridMultilevel"/>
    <w:tmpl w:val="76FE75B2"/>
    <w:lvl w:ilvl="0" w:tplc="98D24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2"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3" w15:restartNumberingAfterBreak="0">
    <w:nsid w:val="671F6B2C"/>
    <w:multiLevelType w:val="hybridMultilevel"/>
    <w:tmpl w:val="190675CC"/>
    <w:lvl w:ilvl="0" w:tplc="1FF689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6"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17"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8" w15:restartNumberingAfterBreak="0">
    <w:nsid w:val="6C414085"/>
    <w:multiLevelType w:val="hybridMultilevel"/>
    <w:tmpl w:val="BCA6CBD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9"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0"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1" w15:restartNumberingAfterBreak="0">
    <w:nsid w:val="736E1354"/>
    <w:multiLevelType w:val="hybridMultilevel"/>
    <w:tmpl w:val="EC6EDFAC"/>
    <w:lvl w:ilvl="0" w:tplc="89AAC382">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737C2B8C"/>
    <w:multiLevelType w:val="hybridMultilevel"/>
    <w:tmpl w:val="14FA43CA"/>
    <w:lvl w:ilvl="0" w:tplc="FFFFFFFF">
      <w:start w:val="1"/>
      <w:numFmt w:val="low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3"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24"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5" w15:restartNumberingAfterBreak="0">
    <w:nsid w:val="76957D03"/>
    <w:multiLevelType w:val="hybridMultilevel"/>
    <w:tmpl w:val="9854544A"/>
    <w:lvl w:ilvl="0" w:tplc="12D838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6" w15:restartNumberingAfterBreak="0">
    <w:nsid w:val="76E34487"/>
    <w:multiLevelType w:val="hybridMultilevel"/>
    <w:tmpl w:val="8C788022"/>
    <w:lvl w:ilvl="0" w:tplc="AC445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6E87921"/>
    <w:multiLevelType w:val="hybridMultilevel"/>
    <w:tmpl w:val="3FCAACAC"/>
    <w:lvl w:ilvl="0" w:tplc="BB1EE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0"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31" w15:restartNumberingAfterBreak="0">
    <w:nsid w:val="7A3E7DC3"/>
    <w:multiLevelType w:val="hybridMultilevel"/>
    <w:tmpl w:val="2D5CAA40"/>
    <w:lvl w:ilvl="0" w:tplc="8AC2D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C841C51"/>
    <w:multiLevelType w:val="hybridMultilevel"/>
    <w:tmpl w:val="14FA43CA"/>
    <w:lvl w:ilvl="0" w:tplc="0D3C033A">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4"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5"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6"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F471395"/>
    <w:multiLevelType w:val="hybridMultilevel"/>
    <w:tmpl w:val="C3B6D8A8"/>
    <w:lvl w:ilvl="0" w:tplc="D56292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446869">
    <w:abstractNumId w:val="30"/>
  </w:num>
  <w:num w:numId="2" w16cid:durableId="1518930696">
    <w:abstractNumId w:val="53"/>
  </w:num>
  <w:num w:numId="3" w16cid:durableId="533857439">
    <w:abstractNumId w:val="52"/>
  </w:num>
  <w:num w:numId="4" w16cid:durableId="108941524">
    <w:abstractNumId w:val="97"/>
  </w:num>
  <w:num w:numId="5" w16cid:durableId="1290622740">
    <w:abstractNumId w:val="41"/>
  </w:num>
  <w:num w:numId="6" w16cid:durableId="293950207">
    <w:abstractNumId w:val="116"/>
  </w:num>
  <w:num w:numId="7" w16cid:durableId="932053166">
    <w:abstractNumId w:val="88"/>
  </w:num>
  <w:num w:numId="8" w16cid:durableId="1768575532">
    <w:abstractNumId w:val="63"/>
  </w:num>
  <w:num w:numId="9" w16cid:durableId="45297735">
    <w:abstractNumId w:val="29"/>
  </w:num>
  <w:num w:numId="10" w16cid:durableId="123163608">
    <w:abstractNumId w:val="59"/>
  </w:num>
  <w:num w:numId="11" w16cid:durableId="319044883">
    <w:abstractNumId w:val="89"/>
  </w:num>
  <w:num w:numId="12" w16cid:durableId="681787156">
    <w:abstractNumId w:val="120"/>
  </w:num>
  <w:num w:numId="13" w16cid:durableId="752706318">
    <w:abstractNumId w:val="119"/>
  </w:num>
  <w:num w:numId="14" w16cid:durableId="1053964263">
    <w:abstractNumId w:val="15"/>
  </w:num>
  <w:num w:numId="15" w16cid:durableId="211578649">
    <w:abstractNumId w:val="32"/>
  </w:num>
  <w:num w:numId="16" w16cid:durableId="27460194">
    <w:abstractNumId w:val="91"/>
  </w:num>
  <w:num w:numId="17" w16cid:durableId="29038114">
    <w:abstractNumId w:val="108"/>
  </w:num>
  <w:num w:numId="18" w16cid:durableId="603462408">
    <w:abstractNumId w:val="72"/>
  </w:num>
  <w:num w:numId="19" w16cid:durableId="854537546">
    <w:abstractNumId w:val="58"/>
  </w:num>
  <w:num w:numId="20" w16cid:durableId="1610428143">
    <w:abstractNumId w:val="13"/>
  </w:num>
  <w:num w:numId="21" w16cid:durableId="1028405940">
    <w:abstractNumId w:val="129"/>
  </w:num>
  <w:num w:numId="22" w16cid:durableId="570192650">
    <w:abstractNumId w:val="27"/>
  </w:num>
  <w:num w:numId="23" w16cid:durableId="699088725">
    <w:abstractNumId w:val="12"/>
  </w:num>
  <w:num w:numId="24" w16cid:durableId="967660956">
    <w:abstractNumId w:val="24"/>
  </w:num>
  <w:num w:numId="25" w16cid:durableId="672226692">
    <w:abstractNumId w:val="35"/>
  </w:num>
  <w:num w:numId="26" w16cid:durableId="1985113314">
    <w:abstractNumId w:val="73"/>
  </w:num>
  <w:num w:numId="27" w16cid:durableId="1387141631">
    <w:abstractNumId w:val="38"/>
  </w:num>
  <w:num w:numId="28" w16cid:durableId="1721057490">
    <w:abstractNumId w:val="17"/>
  </w:num>
  <w:num w:numId="29" w16cid:durableId="1760518028">
    <w:abstractNumId w:val="76"/>
  </w:num>
  <w:num w:numId="30" w16cid:durableId="964774121">
    <w:abstractNumId w:val="135"/>
  </w:num>
  <w:num w:numId="31" w16cid:durableId="344326424">
    <w:abstractNumId w:val="80"/>
  </w:num>
  <w:num w:numId="32" w16cid:durableId="1825929220">
    <w:abstractNumId w:val="28"/>
  </w:num>
  <w:num w:numId="33" w16cid:durableId="580993568">
    <w:abstractNumId w:val="48"/>
  </w:num>
  <w:num w:numId="34" w16cid:durableId="1285648812">
    <w:abstractNumId w:val="130"/>
  </w:num>
  <w:num w:numId="35" w16cid:durableId="1541282616">
    <w:abstractNumId w:val="134"/>
  </w:num>
  <w:num w:numId="36" w16cid:durableId="1020815478">
    <w:abstractNumId w:val="19"/>
  </w:num>
  <w:num w:numId="37" w16cid:durableId="1754549002">
    <w:abstractNumId w:val="5"/>
  </w:num>
  <w:num w:numId="38" w16cid:durableId="1396006305">
    <w:abstractNumId w:val="115"/>
  </w:num>
  <w:num w:numId="39" w16cid:durableId="1928877651">
    <w:abstractNumId w:val="111"/>
  </w:num>
  <w:num w:numId="40" w16cid:durableId="1241452986">
    <w:abstractNumId w:val="61"/>
  </w:num>
  <w:num w:numId="41" w16cid:durableId="1650743759">
    <w:abstractNumId w:val="90"/>
  </w:num>
  <w:num w:numId="42" w16cid:durableId="953974627">
    <w:abstractNumId w:val="128"/>
  </w:num>
  <w:num w:numId="43" w16cid:durableId="107045950">
    <w:abstractNumId w:val="44"/>
  </w:num>
  <w:num w:numId="44" w16cid:durableId="1183397123">
    <w:abstractNumId w:val="87"/>
  </w:num>
  <w:num w:numId="45" w16cid:durableId="1438016748">
    <w:abstractNumId w:val="64"/>
  </w:num>
  <w:num w:numId="46" w16cid:durableId="166482326">
    <w:abstractNumId w:val="10"/>
  </w:num>
  <w:num w:numId="47" w16cid:durableId="1982224275">
    <w:abstractNumId w:val="117"/>
  </w:num>
  <w:num w:numId="48" w16cid:durableId="2018994504">
    <w:abstractNumId w:val="4"/>
  </w:num>
  <w:num w:numId="49" w16cid:durableId="1937134170">
    <w:abstractNumId w:val="68"/>
  </w:num>
  <w:num w:numId="50" w16cid:durableId="1969820662">
    <w:abstractNumId w:val="66"/>
  </w:num>
  <w:num w:numId="51" w16cid:durableId="961762973">
    <w:abstractNumId w:val="94"/>
  </w:num>
  <w:num w:numId="52" w16cid:durableId="1174491273">
    <w:abstractNumId w:val="78"/>
  </w:num>
  <w:num w:numId="53" w16cid:durableId="150341575">
    <w:abstractNumId w:val="49"/>
  </w:num>
  <w:num w:numId="54" w16cid:durableId="2081051675">
    <w:abstractNumId w:val="81"/>
  </w:num>
  <w:num w:numId="55" w16cid:durableId="776102614">
    <w:abstractNumId w:val="36"/>
  </w:num>
  <w:num w:numId="56" w16cid:durableId="1008020792">
    <w:abstractNumId w:val="98"/>
  </w:num>
  <w:num w:numId="57" w16cid:durableId="1005354406">
    <w:abstractNumId w:val="114"/>
  </w:num>
  <w:num w:numId="58" w16cid:durableId="1134059955">
    <w:abstractNumId w:val="9"/>
  </w:num>
  <w:num w:numId="59" w16cid:durableId="423263357">
    <w:abstractNumId w:val="69"/>
  </w:num>
  <w:num w:numId="60" w16cid:durableId="1519781288">
    <w:abstractNumId w:val="14"/>
  </w:num>
  <w:num w:numId="61" w16cid:durableId="2140605916">
    <w:abstractNumId w:val="102"/>
  </w:num>
  <w:num w:numId="62" w16cid:durableId="317271790">
    <w:abstractNumId w:val="103"/>
  </w:num>
  <w:num w:numId="63" w16cid:durableId="1273515851">
    <w:abstractNumId w:val="74"/>
  </w:num>
  <w:num w:numId="64" w16cid:durableId="651179938">
    <w:abstractNumId w:val="45"/>
  </w:num>
  <w:num w:numId="65" w16cid:durableId="1669167818">
    <w:abstractNumId w:val="95"/>
  </w:num>
  <w:num w:numId="66" w16cid:durableId="609779310">
    <w:abstractNumId w:val="124"/>
  </w:num>
  <w:num w:numId="67" w16cid:durableId="2083946328">
    <w:abstractNumId w:val="47"/>
  </w:num>
  <w:num w:numId="68" w16cid:durableId="1665012405">
    <w:abstractNumId w:val="42"/>
  </w:num>
  <w:num w:numId="69" w16cid:durableId="1679691392">
    <w:abstractNumId w:val="51"/>
  </w:num>
  <w:num w:numId="70" w16cid:durableId="989481962">
    <w:abstractNumId w:val="2"/>
  </w:num>
  <w:num w:numId="71" w16cid:durableId="874856198">
    <w:abstractNumId w:val="82"/>
  </w:num>
  <w:num w:numId="72" w16cid:durableId="892499393">
    <w:abstractNumId w:val="85"/>
  </w:num>
  <w:num w:numId="73" w16cid:durableId="102193255">
    <w:abstractNumId w:val="22"/>
  </w:num>
  <w:num w:numId="74" w16cid:durableId="1669096050">
    <w:abstractNumId w:val="86"/>
  </w:num>
  <w:num w:numId="75" w16cid:durableId="693850865">
    <w:abstractNumId w:val="54"/>
  </w:num>
  <w:num w:numId="76" w16cid:durableId="338579296">
    <w:abstractNumId w:val="71"/>
  </w:num>
  <w:num w:numId="77" w16cid:durableId="154998671">
    <w:abstractNumId w:val="75"/>
  </w:num>
  <w:num w:numId="78" w16cid:durableId="1868179036">
    <w:abstractNumId w:val="25"/>
  </w:num>
  <w:num w:numId="79" w16cid:durableId="58485440">
    <w:abstractNumId w:val="123"/>
  </w:num>
  <w:num w:numId="80" w16cid:durableId="1061320167">
    <w:abstractNumId w:val="106"/>
  </w:num>
  <w:num w:numId="81" w16cid:durableId="1370957676">
    <w:abstractNumId w:val="92"/>
  </w:num>
  <w:num w:numId="82" w16cid:durableId="1959024595">
    <w:abstractNumId w:val="20"/>
  </w:num>
  <w:num w:numId="83" w16cid:durableId="1162818172">
    <w:abstractNumId w:val="96"/>
  </w:num>
  <w:num w:numId="84" w16cid:durableId="1829902836">
    <w:abstractNumId w:val="101"/>
  </w:num>
  <w:num w:numId="85" w16cid:durableId="1555846823">
    <w:abstractNumId w:val="39"/>
  </w:num>
  <w:num w:numId="86" w16cid:durableId="2111463123">
    <w:abstractNumId w:val="0"/>
  </w:num>
  <w:num w:numId="87" w16cid:durableId="853300517">
    <w:abstractNumId w:val="105"/>
  </w:num>
  <w:num w:numId="88" w16cid:durableId="1349454166">
    <w:abstractNumId w:val="99"/>
  </w:num>
  <w:num w:numId="89" w16cid:durableId="1713924764">
    <w:abstractNumId w:val="107"/>
  </w:num>
  <w:num w:numId="90" w16cid:durableId="934098101">
    <w:abstractNumId w:val="56"/>
  </w:num>
  <w:num w:numId="91" w16cid:durableId="137571430">
    <w:abstractNumId w:val="136"/>
  </w:num>
  <w:num w:numId="92" w16cid:durableId="1956406748">
    <w:abstractNumId w:val="132"/>
  </w:num>
  <w:num w:numId="93" w16cid:durableId="801000039">
    <w:abstractNumId w:val="34"/>
  </w:num>
  <w:num w:numId="94" w16cid:durableId="1016272444">
    <w:abstractNumId w:val="57"/>
  </w:num>
  <w:num w:numId="95" w16cid:durableId="1817606599">
    <w:abstractNumId w:val="16"/>
  </w:num>
  <w:num w:numId="96" w16cid:durableId="1959753109">
    <w:abstractNumId w:val="43"/>
  </w:num>
  <w:num w:numId="97" w16cid:durableId="324893244">
    <w:abstractNumId w:val="112"/>
  </w:num>
  <w:num w:numId="98" w16cid:durableId="116341225">
    <w:abstractNumId w:val="84"/>
  </w:num>
  <w:num w:numId="99" w16cid:durableId="1577352012">
    <w:abstractNumId w:val="23"/>
  </w:num>
  <w:num w:numId="100" w16cid:durableId="434056869">
    <w:abstractNumId w:val="65"/>
  </w:num>
  <w:num w:numId="101" w16cid:durableId="1157183632">
    <w:abstractNumId w:val="37"/>
  </w:num>
  <w:num w:numId="102" w16cid:durableId="1775439221">
    <w:abstractNumId w:val="1"/>
  </w:num>
  <w:num w:numId="103" w16cid:durableId="244146343">
    <w:abstractNumId w:val="110"/>
  </w:num>
  <w:num w:numId="104" w16cid:durableId="1023819264">
    <w:abstractNumId w:val="31"/>
  </w:num>
  <w:num w:numId="105" w16cid:durableId="1571496381">
    <w:abstractNumId w:val="6"/>
  </w:num>
  <w:num w:numId="106" w16cid:durableId="733435369">
    <w:abstractNumId w:val="11"/>
  </w:num>
  <w:num w:numId="107" w16cid:durableId="1685017088">
    <w:abstractNumId w:val="3"/>
  </w:num>
  <w:num w:numId="108" w16cid:durableId="1754468172">
    <w:abstractNumId w:val="79"/>
  </w:num>
  <w:num w:numId="109" w16cid:durableId="108743676">
    <w:abstractNumId w:val="18"/>
  </w:num>
  <w:num w:numId="110" w16cid:durableId="1569922264">
    <w:abstractNumId w:val="55"/>
  </w:num>
  <w:num w:numId="111" w16cid:durableId="393048143">
    <w:abstractNumId w:val="70"/>
  </w:num>
  <w:num w:numId="112" w16cid:durableId="70929063">
    <w:abstractNumId w:val="33"/>
  </w:num>
  <w:num w:numId="113" w16cid:durableId="816991005">
    <w:abstractNumId w:val="109"/>
  </w:num>
  <w:num w:numId="114" w16cid:durableId="2138063955">
    <w:abstractNumId w:val="126"/>
  </w:num>
  <w:num w:numId="115" w16cid:durableId="1645282113">
    <w:abstractNumId w:val="7"/>
  </w:num>
  <w:num w:numId="116" w16cid:durableId="1143736740">
    <w:abstractNumId w:val="133"/>
  </w:num>
  <w:num w:numId="117" w16cid:durableId="1269046937">
    <w:abstractNumId w:val="122"/>
  </w:num>
  <w:num w:numId="118" w16cid:durableId="235289669">
    <w:abstractNumId w:val="50"/>
  </w:num>
  <w:num w:numId="119" w16cid:durableId="1946616519">
    <w:abstractNumId w:val="121"/>
  </w:num>
  <w:num w:numId="120" w16cid:durableId="1580364348">
    <w:abstractNumId w:val="60"/>
  </w:num>
  <w:num w:numId="121" w16cid:durableId="1442529057">
    <w:abstractNumId w:val="125"/>
  </w:num>
  <w:num w:numId="122" w16cid:durableId="349375800">
    <w:abstractNumId w:val="127"/>
  </w:num>
  <w:num w:numId="123" w16cid:durableId="1442146389">
    <w:abstractNumId w:val="62"/>
  </w:num>
  <w:num w:numId="124" w16cid:durableId="1860117706">
    <w:abstractNumId w:val="67"/>
  </w:num>
  <w:num w:numId="125" w16cid:durableId="392509906">
    <w:abstractNumId w:val="100"/>
  </w:num>
  <w:num w:numId="126" w16cid:durableId="1733381030">
    <w:abstractNumId w:val="118"/>
  </w:num>
  <w:num w:numId="127" w16cid:durableId="564220694">
    <w:abstractNumId w:val="131"/>
  </w:num>
  <w:num w:numId="128" w16cid:durableId="1420711099">
    <w:abstractNumId w:val="93"/>
  </w:num>
  <w:num w:numId="129" w16cid:durableId="680351716">
    <w:abstractNumId w:val="137"/>
  </w:num>
  <w:num w:numId="130" w16cid:durableId="1493176949">
    <w:abstractNumId w:val="77"/>
  </w:num>
  <w:num w:numId="131" w16cid:durableId="201943885">
    <w:abstractNumId w:val="21"/>
  </w:num>
  <w:num w:numId="132" w16cid:durableId="211887837">
    <w:abstractNumId w:val="83"/>
  </w:num>
  <w:num w:numId="133" w16cid:durableId="1535463293">
    <w:abstractNumId w:val="104"/>
  </w:num>
  <w:num w:numId="134" w16cid:durableId="1717969900">
    <w:abstractNumId w:val="8"/>
  </w:num>
  <w:num w:numId="135" w16cid:durableId="346903988">
    <w:abstractNumId w:val="113"/>
  </w:num>
  <w:num w:numId="136" w16cid:durableId="721715198">
    <w:abstractNumId w:val="26"/>
  </w:num>
  <w:num w:numId="137" w16cid:durableId="766853842">
    <w:abstractNumId w:val="46"/>
  </w:num>
  <w:num w:numId="138" w16cid:durableId="1654411958">
    <w:abstractNumId w:val="4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38D4"/>
    <w:rsid w:val="00014095"/>
    <w:rsid w:val="00014CBE"/>
    <w:rsid w:val="00014D78"/>
    <w:rsid w:val="000176CC"/>
    <w:rsid w:val="0001786E"/>
    <w:rsid w:val="000179F0"/>
    <w:rsid w:val="0002140B"/>
    <w:rsid w:val="00021883"/>
    <w:rsid w:val="00021BE8"/>
    <w:rsid w:val="00021D5B"/>
    <w:rsid w:val="000225D7"/>
    <w:rsid w:val="00022C2F"/>
    <w:rsid w:val="000231F7"/>
    <w:rsid w:val="0002360B"/>
    <w:rsid w:val="000240C3"/>
    <w:rsid w:val="00024683"/>
    <w:rsid w:val="00024896"/>
    <w:rsid w:val="000259D8"/>
    <w:rsid w:val="00025B60"/>
    <w:rsid w:val="00025CC6"/>
    <w:rsid w:val="00026853"/>
    <w:rsid w:val="0002769D"/>
    <w:rsid w:val="000312FA"/>
    <w:rsid w:val="00031EE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14C"/>
    <w:rsid w:val="0005140C"/>
    <w:rsid w:val="00051763"/>
    <w:rsid w:val="0005356A"/>
    <w:rsid w:val="000538E9"/>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B75"/>
    <w:rsid w:val="00073C73"/>
    <w:rsid w:val="00074F58"/>
    <w:rsid w:val="00075811"/>
    <w:rsid w:val="00075F3E"/>
    <w:rsid w:val="0007685A"/>
    <w:rsid w:val="0008023B"/>
    <w:rsid w:val="00080420"/>
    <w:rsid w:val="000806DE"/>
    <w:rsid w:val="00081274"/>
    <w:rsid w:val="00081E3A"/>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C86"/>
    <w:rsid w:val="000A2D10"/>
    <w:rsid w:val="000A3EA1"/>
    <w:rsid w:val="000A44F4"/>
    <w:rsid w:val="000A450B"/>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2B0"/>
    <w:rsid w:val="000D1441"/>
    <w:rsid w:val="000D18FA"/>
    <w:rsid w:val="000D262D"/>
    <w:rsid w:val="000D26D6"/>
    <w:rsid w:val="000D2E9F"/>
    <w:rsid w:val="000D5D4E"/>
    <w:rsid w:val="000D63B6"/>
    <w:rsid w:val="000D6710"/>
    <w:rsid w:val="000D6E1A"/>
    <w:rsid w:val="000D742B"/>
    <w:rsid w:val="000E0433"/>
    <w:rsid w:val="000E1A8C"/>
    <w:rsid w:val="000E24E5"/>
    <w:rsid w:val="000E39B3"/>
    <w:rsid w:val="000E4C46"/>
    <w:rsid w:val="000E5655"/>
    <w:rsid w:val="000E6318"/>
    <w:rsid w:val="000E6751"/>
    <w:rsid w:val="000F0B3E"/>
    <w:rsid w:val="000F2571"/>
    <w:rsid w:val="000F325B"/>
    <w:rsid w:val="000F33C9"/>
    <w:rsid w:val="000F5140"/>
    <w:rsid w:val="000F5F83"/>
    <w:rsid w:val="000F680A"/>
    <w:rsid w:val="000F6A90"/>
    <w:rsid w:val="0010068D"/>
    <w:rsid w:val="001010FA"/>
    <w:rsid w:val="00102006"/>
    <w:rsid w:val="00102529"/>
    <w:rsid w:val="00102574"/>
    <w:rsid w:val="00104A98"/>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49B3"/>
    <w:rsid w:val="00114FAA"/>
    <w:rsid w:val="00115895"/>
    <w:rsid w:val="00115F66"/>
    <w:rsid w:val="001179C9"/>
    <w:rsid w:val="0012041E"/>
    <w:rsid w:val="001218D6"/>
    <w:rsid w:val="00123DEC"/>
    <w:rsid w:val="00123FF5"/>
    <w:rsid w:val="00124280"/>
    <w:rsid w:val="001243AC"/>
    <w:rsid w:val="00124597"/>
    <w:rsid w:val="001257F2"/>
    <w:rsid w:val="0012646E"/>
    <w:rsid w:val="00126FAC"/>
    <w:rsid w:val="00127ED9"/>
    <w:rsid w:val="00127EFF"/>
    <w:rsid w:val="00127F12"/>
    <w:rsid w:val="00130B2C"/>
    <w:rsid w:val="001311B5"/>
    <w:rsid w:val="001337DF"/>
    <w:rsid w:val="001338AE"/>
    <w:rsid w:val="0013522F"/>
    <w:rsid w:val="00136264"/>
    <w:rsid w:val="001362CB"/>
    <w:rsid w:val="0013636E"/>
    <w:rsid w:val="00136D1F"/>
    <w:rsid w:val="00136FB6"/>
    <w:rsid w:val="00137901"/>
    <w:rsid w:val="00140801"/>
    <w:rsid w:val="00140D52"/>
    <w:rsid w:val="0014154B"/>
    <w:rsid w:val="00142540"/>
    <w:rsid w:val="00143050"/>
    <w:rsid w:val="00143128"/>
    <w:rsid w:val="00143C7B"/>
    <w:rsid w:val="0014417C"/>
    <w:rsid w:val="00144475"/>
    <w:rsid w:val="0014509B"/>
    <w:rsid w:val="001452FF"/>
    <w:rsid w:val="001455FC"/>
    <w:rsid w:val="001457A8"/>
    <w:rsid w:val="00146562"/>
    <w:rsid w:val="0014732A"/>
    <w:rsid w:val="0014774E"/>
    <w:rsid w:val="001501D2"/>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2F08"/>
    <w:rsid w:val="00164268"/>
    <w:rsid w:val="001647B6"/>
    <w:rsid w:val="00165092"/>
    <w:rsid w:val="00165735"/>
    <w:rsid w:val="0016670A"/>
    <w:rsid w:val="00166ED8"/>
    <w:rsid w:val="0016706F"/>
    <w:rsid w:val="001717E6"/>
    <w:rsid w:val="00171808"/>
    <w:rsid w:val="001720E7"/>
    <w:rsid w:val="00172C3C"/>
    <w:rsid w:val="00172CD6"/>
    <w:rsid w:val="001735C1"/>
    <w:rsid w:val="001745A8"/>
    <w:rsid w:val="00174761"/>
    <w:rsid w:val="00174B32"/>
    <w:rsid w:val="001760B6"/>
    <w:rsid w:val="00176582"/>
    <w:rsid w:val="001766CF"/>
    <w:rsid w:val="001769D6"/>
    <w:rsid w:val="001774E9"/>
    <w:rsid w:val="00177A10"/>
    <w:rsid w:val="0018044A"/>
    <w:rsid w:val="001825D6"/>
    <w:rsid w:val="0018366F"/>
    <w:rsid w:val="001837AA"/>
    <w:rsid w:val="0018396F"/>
    <w:rsid w:val="00184B22"/>
    <w:rsid w:val="00184BB7"/>
    <w:rsid w:val="00184D3A"/>
    <w:rsid w:val="00186356"/>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973AA"/>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36C7"/>
    <w:rsid w:val="001B4231"/>
    <w:rsid w:val="001B557E"/>
    <w:rsid w:val="001B61DE"/>
    <w:rsid w:val="001B7BAD"/>
    <w:rsid w:val="001B7E0E"/>
    <w:rsid w:val="001C014E"/>
    <w:rsid w:val="001C04FB"/>
    <w:rsid w:val="001C076D"/>
    <w:rsid w:val="001C228F"/>
    <w:rsid w:val="001C2CAC"/>
    <w:rsid w:val="001C37E9"/>
    <w:rsid w:val="001C3BD4"/>
    <w:rsid w:val="001C3C9A"/>
    <w:rsid w:val="001C4C3D"/>
    <w:rsid w:val="001C6ACE"/>
    <w:rsid w:val="001C719A"/>
    <w:rsid w:val="001C784F"/>
    <w:rsid w:val="001C7E55"/>
    <w:rsid w:val="001D08B7"/>
    <w:rsid w:val="001D16AC"/>
    <w:rsid w:val="001D209B"/>
    <w:rsid w:val="001D2B85"/>
    <w:rsid w:val="001D3111"/>
    <w:rsid w:val="001D3A6E"/>
    <w:rsid w:val="001D3BF2"/>
    <w:rsid w:val="001D3D77"/>
    <w:rsid w:val="001D4716"/>
    <w:rsid w:val="001D47D4"/>
    <w:rsid w:val="001D4EF7"/>
    <w:rsid w:val="001D4FF3"/>
    <w:rsid w:val="001D517E"/>
    <w:rsid w:val="001D53C5"/>
    <w:rsid w:val="001D6109"/>
    <w:rsid w:val="001D68AE"/>
    <w:rsid w:val="001D6DA9"/>
    <w:rsid w:val="001D7376"/>
    <w:rsid w:val="001E133B"/>
    <w:rsid w:val="001E14FF"/>
    <w:rsid w:val="001E2211"/>
    <w:rsid w:val="001E2349"/>
    <w:rsid w:val="001E257D"/>
    <w:rsid w:val="001E297F"/>
    <w:rsid w:val="001E3540"/>
    <w:rsid w:val="001E4902"/>
    <w:rsid w:val="001E4A07"/>
    <w:rsid w:val="001E50EC"/>
    <w:rsid w:val="001E6B74"/>
    <w:rsid w:val="001E7F39"/>
    <w:rsid w:val="001F07B3"/>
    <w:rsid w:val="001F0AE8"/>
    <w:rsid w:val="001F0CCD"/>
    <w:rsid w:val="001F12DC"/>
    <w:rsid w:val="001F2C26"/>
    <w:rsid w:val="001F30DD"/>
    <w:rsid w:val="001F35BF"/>
    <w:rsid w:val="001F38A0"/>
    <w:rsid w:val="001F44F9"/>
    <w:rsid w:val="001F4A4B"/>
    <w:rsid w:val="001F50EB"/>
    <w:rsid w:val="001F5715"/>
    <w:rsid w:val="001F6DAA"/>
    <w:rsid w:val="001F7216"/>
    <w:rsid w:val="00200D98"/>
    <w:rsid w:val="0020174E"/>
    <w:rsid w:val="00201765"/>
    <w:rsid w:val="00202383"/>
    <w:rsid w:val="002023A5"/>
    <w:rsid w:val="002024C8"/>
    <w:rsid w:val="0020286D"/>
    <w:rsid w:val="00202A14"/>
    <w:rsid w:val="00205A1A"/>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698"/>
    <w:rsid w:val="002277A2"/>
    <w:rsid w:val="00227D26"/>
    <w:rsid w:val="00227EDC"/>
    <w:rsid w:val="002306A8"/>
    <w:rsid w:val="00231807"/>
    <w:rsid w:val="00232E3D"/>
    <w:rsid w:val="00233EAA"/>
    <w:rsid w:val="0023444B"/>
    <w:rsid w:val="0023688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06E5"/>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1F23"/>
    <w:rsid w:val="00272091"/>
    <w:rsid w:val="00272FA0"/>
    <w:rsid w:val="00274857"/>
    <w:rsid w:val="00274B54"/>
    <w:rsid w:val="00275951"/>
    <w:rsid w:val="00275AD9"/>
    <w:rsid w:val="002777FA"/>
    <w:rsid w:val="00280CD1"/>
    <w:rsid w:val="002814AD"/>
    <w:rsid w:val="00281AC8"/>
    <w:rsid w:val="00282E21"/>
    <w:rsid w:val="0028319E"/>
    <w:rsid w:val="002833A3"/>
    <w:rsid w:val="00284AED"/>
    <w:rsid w:val="00285111"/>
    <w:rsid w:val="002851C6"/>
    <w:rsid w:val="00286EA3"/>
    <w:rsid w:val="0028708B"/>
    <w:rsid w:val="00287581"/>
    <w:rsid w:val="00287AF2"/>
    <w:rsid w:val="0029041F"/>
    <w:rsid w:val="00290ACE"/>
    <w:rsid w:val="00290BA0"/>
    <w:rsid w:val="00290DB5"/>
    <w:rsid w:val="00291F4A"/>
    <w:rsid w:val="00292C55"/>
    <w:rsid w:val="002934C8"/>
    <w:rsid w:val="002936E9"/>
    <w:rsid w:val="00293DB2"/>
    <w:rsid w:val="00293DFE"/>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2FBA"/>
    <w:rsid w:val="002B411E"/>
    <w:rsid w:val="002B57BF"/>
    <w:rsid w:val="002B5BB9"/>
    <w:rsid w:val="002B7EA1"/>
    <w:rsid w:val="002C099B"/>
    <w:rsid w:val="002C0AEF"/>
    <w:rsid w:val="002C1A60"/>
    <w:rsid w:val="002C359C"/>
    <w:rsid w:val="002C3DC9"/>
    <w:rsid w:val="002C427D"/>
    <w:rsid w:val="002C42FB"/>
    <w:rsid w:val="002C5CB1"/>
    <w:rsid w:val="002C7020"/>
    <w:rsid w:val="002C706D"/>
    <w:rsid w:val="002C75F4"/>
    <w:rsid w:val="002D1DA2"/>
    <w:rsid w:val="002D2CC0"/>
    <w:rsid w:val="002D2FD1"/>
    <w:rsid w:val="002D3CA6"/>
    <w:rsid w:val="002D412F"/>
    <w:rsid w:val="002D449E"/>
    <w:rsid w:val="002D6001"/>
    <w:rsid w:val="002D612D"/>
    <w:rsid w:val="002D761A"/>
    <w:rsid w:val="002E06BB"/>
    <w:rsid w:val="002E099D"/>
    <w:rsid w:val="002E18B8"/>
    <w:rsid w:val="002E18C6"/>
    <w:rsid w:val="002E1F7E"/>
    <w:rsid w:val="002E2A87"/>
    <w:rsid w:val="002E2AE9"/>
    <w:rsid w:val="002E3EE1"/>
    <w:rsid w:val="002E4787"/>
    <w:rsid w:val="002E4CDC"/>
    <w:rsid w:val="002E5CA6"/>
    <w:rsid w:val="002E6125"/>
    <w:rsid w:val="002F0C63"/>
    <w:rsid w:val="002F1CF8"/>
    <w:rsid w:val="002F2050"/>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A67"/>
    <w:rsid w:val="00327C30"/>
    <w:rsid w:val="00327C9D"/>
    <w:rsid w:val="00330E29"/>
    <w:rsid w:val="0033198B"/>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50917"/>
    <w:rsid w:val="00350BE2"/>
    <w:rsid w:val="00352C1E"/>
    <w:rsid w:val="00352EA8"/>
    <w:rsid w:val="00353DFC"/>
    <w:rsid w:val="00353FD6"/>
    <w:rsid w:val="00355D67"/>
    <w:rsid w:val="00356803"/>
    <w:rsid w:val="00357842"/>
    <w:rsid w:val="00360462"/>
    <w:rsid w:val="00361265"/>
    <w:rsid w:val="003615F6"/>
    <w:rsid w:val="00361B27"/>
    <w:rsid w:val="003624BD"/>
    <w:rsid w:val="00362918"/>
    <w:rsid w:val="003639C5"/>
    <w:rsid w:val="0036569F"/>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12F5"/>
    <w:rsid w:val="00382273"/>
    <w:rsid w:val="003829E9"/>
    <w:rsid w:val="00382BD1"/>
    <w:rsid w:val="00383AD4"/>
    <w:rsid w:val="0038510C"/>
    <w:rsid w:val="003855A7"/>
    <w:rsid w:val="0038630E"/>
    <w:rsid w:val="00390654"/>
    <w:rsid w:val="00392BCD"/>
    <w:rsid w:val="003961B1"/>
    <w:rsid w:val="0039663B"/>
    <w:rsid w:val="0039721E"/>
    <w:rsid w:val="003A0079"/>
    <w:rsid w:val="003A00C7"/>
    <w:rsid w:val="003A01E1"/>
    <w:rsid w:val="003A1E9D"/>
    <w:rsid w:val="003A39A9"/>
    <w:rsid w:val="003A3A54"/>
    <w:rsid w:val="003A45E3"/>
    <w:rsid w:val="003A7419"/>
    <w:rsid w:val="003A751C"/>
    <w:rsid w:val="003B0481"/>
    <w:rsid w:val="003B0855"/>
    <w:rsid w:val="003B0E61"/>
    <w:rsid w:val="003B1103"/>
    <w:rsid w:val="003B1A89"/>
    <w:rsid w:val="003B2479"/>
    <w:rsid w:val="003B2ACF"/>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756"/>
    <w:rsid w:val="003E2B74"/>
    <w:rsid w:val="003E3181"/>
    <w:rsid w:val="003E33DD"/>
    <w:rsid w:val="003E3760"/>
    <w:rsid w:val="003E40C3"/>
    <w:rsid w:val="003E43C4"/>
    <w:rsid w:val="003E497F"/>
    <w:rsid w:val="003E4E37"/>
    <w:rsid w:val="003E4F29"/>
    <w:rsid w:val="003E56AE"/>
    <w:rsid w:val="003E5D52"/>
    <w:rsid w:val="003E5F1B"/>
    <w:rsid w:val="003E6E50"/>
    <w:rsid w:val="003E7179"/>
    <w:rsid w:val="003E7DED"/>
    <w:rsid w:val="003E7EAC"/>
    <w:rsid w:val="003F10E5"/>
    <w:rsid w:val="003F15EB"/>
    <w:rsid w:val="003F1AD9"/>
    <w:rsid w:val="003F3381"/>
    <w:rsid w:val="003F3D03"/>
    <w:rsid w:val="003F46CC"/>
    <w:rsid w:val="003F68FE"/>
    <w:rsid w:val="003F6963"/>
    <w:rsid w:val="003F7D76"/>
    <w:rsid w:val="00400165"/>
    <w:rsid w:val="004011DC"/>
    <w:rsid w:val="00401302"/>
    <w:rsid w:val="004015BE"/>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17EA5"/>
    <w:rsid w:val="004204E7"/>
    <w:rsid w:val="00420D1B"/>
    <w:rsid w:val="00420E83"/>
    <w:rsid w:val="00421C19"/>
    <w:rsid w:val="004226B5"/>
    <w:rsid w:val="004227B0"/>
    <w:rsid w:val="004231BA"/>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258"/>
    <w:rsid w:val="004378EC"/>
    <w:rsid w:val="00440183"/>
    <w:rsid w:val="004403F0"/>
    <w:rsid w:val="00441BAF"/>
    <w:rsid w:val="004424C5"/>
    <w:rsid w:val="00442CF3"/>
    <w:rsid w:val="0044435C"/>
    <w:rsid w:val="00444362"/>
    <w:rsid w:val="0044474B"/>
    <w:rsid w:val="00445A0A"/>
    <w:rsid w:val="00446068"/>
    <w:rsid w:val="004464FC"/>
    <w:rsid w:val="0044676A"/>
    <w:rsid w:val="004468BB"/>
    <w:rsid w:val="00446A02"/>
    <w:rsid w:val="00446CE6"/>
    <w:rsid w:val="00446E2F"/>
    <w:rsid w:val="00450D90"/>
    <w:rsid w:val="00451308"/>
    <w:rsid w:val="004520D9"/>
    <w:rsid w:val="00452144"/>
    <w:rsid w:val="00452356"/>
    <w:rsid w:val="00454383"/>
    <w:rsid w:val="00454687"/>
    <w:rsid w:val="004548F8"/>
    <w:rsid w:val="00455519"/>
    <w:rsid w:val="004555CF"/>
    <w:rsid w:val="00455B4C"/>
    <w:rsid w:val="00455F3B"/>
    <w:rsid w:val="00456169"/>
    <w:rsid w:val="00456C4C"/>
    <w:rsid w:val="00456C55"/>
    <w:rsid w:val="00460FA7"/>
    <w:rsid w:val="00461897"/>
    <w:rsid w:val="00461F37"/>
    <w:rsid w:val="00462BDF"/>
    <w:rsid w:val="004643B3"/>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2817"/>
    <w:rsid w:val="00483246"/>
    <w:rsid w:val="004837E9"/>
    <w:rsid w:val="00483992"/>
    <w:rsid w:val="004849D4"/>
    <w:rsid w:val="0048553C"/>
    <w:rsid w:val="0048594F"/>
    <w:rsid w:val="00485B54"/>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2945"/>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5ED3"/>
    <w:rsid w:val="004B624F"/>
    <w:rsid w:val="004B6302"/>
    <w:rsid w:val="004B63BA"/>
    <w:rsid w:val="004B643E"/>
    <w:rsid w:val="004B6E39"/>
    <w:rsid w:val="004B71A4"/>
    <w:rsid w:val="004B739E"/>
    <w:rsid w:val="004B7966"/>
    <w:rsid w:val="004B7EC8"/>
    <w:rsid w:val="004C0264"/>
    <w:rsid w:val="004C067C"/>
    <w:rsid w:val="004C0D77"/>
    <w:rsid w:val="004C1D37"/>
    <w:rsid w:val="004C31C6"/>
    <w:rsid w:val="004C3E73"/>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5F9A"/>
    <w:rsid w:val="004E7254"/>
    <w:rsid w:val="004E7470"/>
    <w:rsid w:val="004E7937"/>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04A4"/>
    <w:rsid w:val="00500EF0"/>
    <w:rsid w:val="0050114B"/>
    <w:rsid w:val="005018F9"/>
    <w:rsid w:val="005022A0"/>
    <w:rsid w:val="005031FE"/>
    <w:rsid w:val="00503E8E"/>
    <w:rsid w:val="00506417"/>
    <w:rsid w:val="005071BF"/>
    <w:rsid w:val="00507B6B"/>
    <w:rsid w:val="00507E65"/>
    <w:rsid w:val="00510311"/>
    <w:rsid w:val="00510693"/>
    <w:rsid w:val="00510BB8"/>
    <w:rsid w:val="00512269"/>
    <w:rsid w:val="005129B7"/>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2B69"/>
    <w:rsid w:val="00553D7F"/>
    <w:rsid w:val="0055411F"/>
    <w:rsid w:val="005556FA"/>
    <w:rsid w:val="00556471"/>
    <w:rsid w:val="00556D81"/>
    <w:rsid w:val="00556F7C"/>
    <w:rsid w:val="005572AF"/>
    <w:rsid w:val="00557790"/>
    <w:rsid w:val="00560695"/>
    <w:rsid w:val="0056203E"/>
    <w:rsid w:val="0056213E"/>
    <w:rsid w:val="005621B5"/>
    <w:rsid w:val="00563675"/>
    <w:rsid w:val="0056529F"/>
    <w:rsid w:val="00565B63"/>
    <w:rsid w:val="0056633F"/>
    <w:rsid w:val="00566391"/>
    <w:rsid w:val="00566C78"/>
    <w:rsid w:val="005672ED"/>
    <w:rsid w:val="005703FE"/>
    <w:rsid w:val="005714E2"/>
    <w:rsid w:val="005717AF"/>
    <w:rsid w:val="005717E3"/>
    <w:rsid w:val="00571912"/>
    <w:rsid w:val="005727FB"/>
    <w:rsid w:val="005730C7"/>
    <w:rsid w:val="00573CB8"/>
    <w:rsid w:val="00573D5B"/>
    <w:rsid w:val="00573E2F"/>
    <w:rsid w:val="005744AB"/>
    <w:rsid w:val="00574B62"/>
    <w:rsid w:val="00574C94"/>
    <w:rsid w:val="00575B9D"/>
    <w:rsid w:val="005761FF"/>
    <w:rsid w:val="005770AC"/>
    <w:rsid w:val="00577903"/>
    <w:rsid w:val="00580D22"/>
    <w:rsid w:val="005812F1"/>
    <w:rsid w:val="005816F7"/>
    <w:rsid w:val="0058186D"/>
    <w:rsid w:val="0058517C"/>
    <w:rsid w:val="005851DB"/>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694C"/>
    <w:rsid w:val="005A6DC8"/>
    <w:rsid w:val="005A6FCB"/>
    <w:rsid w:val="005A75B9"/>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3CC0"/>
    <w:rsid w:val="005C40A1"/>
    <w:rsid w:val="005C4683"/>
    <w:rsid w:val="005C5A37"/>
    <w:rsid w:val="005C5A38"/>
    <w:rsid w:val="005C5BFE"/>
    <w:rsid w:val="005C5E3E"/>
    <w:rsid w:val="005C74A6"/>
    <w:rsid w:val="005C7835"/>
    <w:rsid w:val="005D1450"/>
    <w:rsid w:val="005D197B"/>
    <w:rsid w:val="005D2690"/>
    <w:rsid w:val="005D2AB8"/>
    <w:rsid w:val="005D2BA1"/>
    <w:rsid w:val="005D5C3D"/>
    <w:rsid w:val="005E01D4"/>
    <w:rsid w:val="005E0416"/>
    <w:rsid w:val="005E0AE9"/>
    <w:rsid w:val="005E1922"/>
    <w:rsid w:val="005E22A6"/>
    <w:rsid w:val="005E2DB3"/>
    <w:rsid w:val="005E3696"/>
    <w:rsid w:val="005E3F45"/>
    <w:rsid w:val="005E4154"/>
    <w:rsid w:val="005E5A57"/>
    <w:rsid w:val="005E5C6A"/>
    <w:rsid w:val="005E61C4"/>
    <w:rsid w:val="005E6269"/>
    <w:rsid w:val="005E7420"/>
    <w:rsid w:val="005F09C2"/>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1BB5"/>
    <w:rsid w:val="00612956"/>
    <w:rsid w:val="006142A8"/>
    <w:rsid w:val="0061550B"/>
    <w:rsid w:val="006163B1"/>
    <w:rsid w:val="00616B9C"/>
    <w:rsid w:val="0061730B"/>
    <w:rsid w:val="0061774F"/>
    <w:rsid w:val="00617FC3"/>
    <w:rsid w:val="00620051"/>
    <w:rsid w:val="006201A4"/>
    <w:rsid w:val="006218C4"/>
    <w:rsid w:val="0062267A"/>
    <w:rsid w:val="0062288F"/>
    <w:rsid w:val="00622BF6"/>
    <w:rsid w:val="006230A7"/>
    <w:rsid w:val="006238D7"/>
    <w:rsid w:val="006239CE"/>
    <w:rsid w:val="00623DE7"/>
    <w:rsid w:val="00624285"/>
    <w:rsid w:val="006247C3"/>
    <w:rsid w:val="006254AC"/>
    <w:rsid w:val="00625723"/>
    <w:rsid w:val="00625940"/>
    <w:rsid w:val="00625A0B"/>
    <w:rsid w:val="00625AF1"/>
    <w:rsid w:val="006261E0"/>
    <w:rsid w:val="00627516"/>
    <w:rsid w:val="006306D0"/>
    <w:rsid w:val="00630D88"/>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374B3"/>
    <w:rsid w:val="0064048E"/>
    <w:rsid w:val="00640D08"/>
    <w:rsid w:val="006416E5"/>
    <w:rsid w:val="00641CFF"/>
    <w:rsid w:val="00643553"/>
    <w:rsid w:val="006448A4"/>
    <w:rsid w:val="006448DD"/>
    <w:rsid w:val="00644ADD"/>
    <w:rsid w:val="00644EAE"/>
    <w:rsid w:val="006450A5"/>
    <w:rsid w:val="006454C0"/>
    <w:rsid w:val="00645C41"/>
    <w:rsid w:val="0064607A"/>
    <w:rsid w:val="0064653E"/>
    <w:rsid w:val="00646D5A"/>
    <w:rsid w:val="006471BF"/>
    <w:rsid w:val="0064799F"/>
    <w:rsid w:val="00647A44"/>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559"/>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555A"/>
    <w:rsid w:val="006663CC"/>
    <w:rsid w:val="00666439"/>
    <w:rsid w:val="006668EE"/>
    <w:rsid w:val="00666FA7"/>
    <w:rsid w:val="00667198"/>
    <w:rsid w:val="0066767D"/>
    <w:rsid w:val="00670F34"/>
    <w:rsid w:val="0067169F"/>
    <w:rsid w:val="00671F93"/>
    <w:rsid w:val="00672670"/>
    <w:rsid w:val="0067337B"/>
    <w:rsid w:val="00673E67"/>
    <w:rsid w:val="006741B2"/>
    <w:rsid w:val="00674552"/>
    <w:rsid w:val="00674B73"/>
    <w:rsid w:val="0067504C"/>
    <w:rsid w:val="00675952"/>
    <w:rsid w:val="0067609C"/>
    <w:rsid w:val="006764F7"/>
    <w:rsid w:val="00676C36"/>
    <w:rsid w:val="006770D4"/>
    <w:rsid w:val="00677772"/>
    <w:rsid w:val="006815C8"/>
    <w:rsid w:val="00681735"/>
    <w:rsid w:val="0068316F"/>
    <w:rsid w:val="00683922"/>
    <w:rsid w:val="00684F48"/>
    <w:rsid w:val="00685450"/>
    <w:rsid w:val="00686CC6"/>
    <w:rsid w:val="00686E7E"/>
    <w:rsid w:val="0069036A"/>
    <w:rsid w:val="00690A76"/>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710"/>
    <w:rsid w:val="006A5AC8"/>
    <w:rsid w:val="006A6BA3"/>
    <w:rsid w:val="006A71B0"/>
    <w:rsid w:val="006B0324"/>
    <w:rsid w:val="006B040F"/>
    <w:rsid w:val="006B06E0"/>
    <w:rsid w:val="006B08FC"/>
    <w:rsid w:val="006B0997"/>
    <w:rsid w:val="006B0E7D"/>
    <w:rsid w:val="006B1291"/>
    <w:rsid w:val="006B3C4D"/>
    <w:rsid w:val="006B43A4"/>
    <w:rsid w:val="006B4DE0"/>
    <w:rsid w:val="006B5CB4"/>
    <w:rsid w:val="006B677C"/>
    <w:rsid w:val="006B7117"/>
    <w:rsid w:val="006B718F"/>
    <w:rsid w:val="006B72CD"/>
    <w:rsid w:val="006B7A31"/>
    <w:rsid w:val="006C15D8"/>
    <w:rsid w:val="006C16E2"/>
    <w:rsid w:val="006C24A8"/>
    <w:rsid w:val="006C250A"/>
    <w:rsid w:val="006C25C3"/>
    <w:rsid w:val="006C3099"/>
    <w:rsid w:val="006C3325"/>
    <w:rsid w:val="006C35C5"/>
    <w:rsid w:val="006C36D7"/>
    <w:rsid w:val="006C3AC5"/>
    <w:rsid w:val="006C3FE7"/>
    <w:rsid w:val="006C4A4A"/>
    <w:rsid w:val="006C6504"/>
    <w:rsid w:val="006C7B2F"/>
    <w:rsid w:val="006C7B93"/>
    <w:rsid w:val="006D0571"/>
    <w:rsid w:val="006D0B24"/>
    <w:rsid w:val="006D0C11"/>
    <w:rsid w:val="006D15C6"/>
    <w:rsid w:val="006D16B9"/>
    <w:rsid w:val="006D284B"/>
    <w:rsid w:val="006D4E76"/>
    <w:rsid w:val="006D6CAC"/>
    <w:rsid w:val="006E047F"/>
    <w:rsid w:val="006E04E6"/>
    <w:rsid w:val="006E1662"/>
    <w:rsid w:val="006E20CC"/>
    <w:rsid w:val="006E231C"/>
    <w:rsid w:val="006E2482"/>
    <w:rsid w:val="006E2C98"/>
    <w:rsid w:val="006E33F5"/>
    <w:rsid w:val="006E356E"/>
    <w:rsid w:val="006E4816"/>
    <w:rsid w:val="006E4C1D"/>
    <w:rsid w:val="006E5724"/>
    <w:rsid w:val="006E5FF3"/>
    <w:rsid w:val="006E7C62"/>
    <w:rsid w:val="006F04E5"/>
    <w:rsid w:val="006F151E"/>
    <w:rsid w:val="006F1A0C"/>
    <w:rsid w:val="006F1B9D"/>
    <w:rsid w:val="006F21C3"/>
    <w:rsid w:val="006F2C6E"/>
    <w:rsid w:val="006F4474"/>
    <w:rsid w:val="006F456B"/>
    <w:rsid w:val="006F7046"/>
    <w:rsid w:val="006F7B3F"/>
    <w:rsid w:val="006F7EC8"/>
    <w:rsid w:val="007004C8"/>
    <w:rsid w:val="00700924"/>
    <w:rsid w:val="007009D6"/>
    <w:rsid w:val="00702EE8"/>
    <w:rsid w:val="00703514"/>
    <w:rsid w:val="00703C27"/>
    <w:rsid w:val="007042C4"/>
    <w:rsid w:val="00705052"/>
    <w:rsid w:val="00705267"/>
    <w:rsid w:val="00705725"/>
    <w:rsid w:val="00706E69"/>
    <w:rsid w:val="00706F03"/>
    <w:rsid w:val="007073D0"/>
    <w:rsid w:val="007105FE"/>
    <w:rsid w:val="00710718"/>
    <w:rsid w:val="007118ED"/>
    <w:rsid w:val="00711D28"/>
    <w:rsid w:val="007122FC"/>
    <w:rsid w:val="00712363"/>
    <w:rsid w:val="00712486"/>
    <w:rsid w:val="0071363D"/>
    <w:rsid w:val="00713D4D"/>
    <w:rsid w:val="00714B12"/>
    <w:rsid w:val="00714F5F"/>
    <w:rsid w:val="007155B0"/>
    <w:rsid w:val="007162E2"/>
    <w:rsid w:val="00716B8A"/>
    <w:rsid w:val="007174DC"/>
    <w:rsid w:val="00721017"/>
    <w:rsid w:val="007212C4"/>
    <w:rsid w:val="007213F8"/>
    <w:rsid w:val="007221D3"/>
    <w:rsid w:val="00722CD1"/>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2950"/>
    <w:rsid w:val="00742A6C"/>
    <w:rsid w:val="00743C94"/>
    <w:rsid w:val="00744452"/>
    <w:rsid w:val="00744BD1"/>
    <w:rsid w:val="00746B1A"/>
    <w:rsid w:val="00747AF8"/>
    <w:rsid w:val="00750529"/>
    <w:rsid w:val="00750F5B"/>
    <w:rsid w:val="00751E15"/>
    <w:rsid w:val="0075267B"/>
    <w:rsid w:val="00752A21"/>
    <w:rsid w:val="00754EE7"/>
    <w:rsid w:val="00754EEE"/>
    <w:rsid w:val="00755C4C"/>
    <w:rsid w:val="00756035"/>
    <w:rsid w:val="007562DB"/>
    <w:rsid w:val="007567D6"/>
    <w:rsid w:val="00756C78"/>
    <w:rsid w:val="00756C97"/>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6CDB"/>
    <w:rsid w:val="00777CA4"/>
    <w:rsid w:val="00777F8A"/>
    <w:rsid w:val="00780B6A"/>
    <w:rsid w:val="007815B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0DC3"/>
    <w:rsid w:val="007919FE"/>
    <w:rsid w:val="00791C5C"/>
    <w:rsid w:val="007932D5"/>
    <w:rsid w:val="007936A8"/>
    <w:rsid w:val="007939D8"/>
    <w:rsid w:val="00793A3B"/>
    <w:rsid w:val="00793EF9"/>
    <w:rsid w:val="0079462E"/>
    <w:rsid w:val="0079485D"/>
    <w:rsid w:val="007949D2"/>
    <w:rsid w:val="007952EB"/>
    <w:rsid w:val="0079583D"/>
    <w:rsid w:val="00795EC5"/>
    <w:rsid w:val="00796674"/>
    <w:rsid w:val="00796FC3"/>
    <w:rsid w:val="007978F0"/>
    <w:rsid w:val="00797C32"/>
    <w:rsid w:val="007A10DE"/>
    <w:rsid w:val="007A13F5"/>
    <w:rsid w:val="007A16AE"/>
    <w:rsid w:val="007A2A86"/>
    <w:rsid w:val="007A4D2A"/>
    <w:rsid w:val="007A57EB"/>
    <w:rsid w:val="007A62E8"/>
    <w:rsid w:val="007A768C"/>
    <w:rsid w:val="007A7A3D"/>
    <w:rsid w:val="007A7AE8"/>
    <w:rsid w:val="007B015D"/>
    <w:rsid w:val="007B06F5"/>
    <w:rsid w:val="007B0D3F"/>
    <w:rsid w:val="007B1329"/>
    <w:rsid w:val="007B23BD"/>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1B3F"/>
    <w:rsid w:val="007C2EFD"/>
    <w:rsid w:val="007C3570"/>
    <w:rsid w:val="007C3CE4"/>
    <w:rsid w:val="007C40FB"/>
    <w:rsid w:val="007C4EB3"/>
    <w:rsid w:val="007C56AB"/>
    <w:rsid w:val="007C575E"/>
    <w:rsid w:val="007C6540"/>
    <w:rsid w:val="007C751D"/>
    <w:rsid w:val="007C759B"/>
    <w:rsid w:val="007D04A0"/>
    <w:rsid w:val="007D056E"/>
    <w:rsid w:val="007D1161"/>
    <w:rsid w:val="007D1330"/>
    <w:rsid w:val="007D2DAE"/>
    <w:rsid w:val="007D31F0"/>
    <w:rsid w:val="007D341E"/>
    <w:rsid w:val="007D4339"/>
    <w:rsid w:val="007D47AD"/>
    <w:rsid w:val="007D4DF2"/>
    <w:rsid w:val="007D55B8"/>
    <w:rsid w:val="007D63EB"/>
    <w:rsid w:val="007D6CBE"/>
    <w:rsid w:val="007D7268"/>
    <w:rsid w:val="007E0329"/>
    <w:rsid w:val="007E136D"/>
    <w:rsid w:val="007E1D1B"/>
    <w:rsid w:val="007E2275"/>
    <w:rsid w:val="007E2C85"/>
    <w:rsid w:val="007E45D1"/>
    <w:rsid w:val="007E4A55"/>
    <w:rsid w:val="007E504F"/>
    <w:rsid w:val="007E5294"/>
    <w:rsid w:val="007E6A83"/>
    <w:rsid w:val="007E6AD4"/>
    <w:rsid w:val="007E76DA"/>
    <w:rsid w:val="007E7B18"/>
    <w:rsid w:val="007F01F8"/>
    <w:rsid w:val="007F09C7"/>
    <w:rsid w:val="007F0D9B"/>
    <w:rsid w:val="007F2821"/>
    <w:rsid w:val="007F2C02"/>
    <w:rsid w:val="007F3F4E"/>
    <w:rsid w:val="007F4DED"/>
    <w:rsid w:val="007F6000"/>
    <w:rsid w:val="007F6EC1"/>
    <w:rsid w:val="007F7443"/>
    <w:rsid w:val="008004D3"/>
    <w:rsid w:val="00800D84"/>
    <w:rsid w:val="00801B46"/>
    <w:rsid w:val="008020B1"/>
    <w:rsid w:val="008039F0"/>
    <w:rsid w:val="00803A93"/>
    <w:rsid w:val="00803B47"/>
    <w:rsid w:val="00804AE0"/>
    <w:rsid w:val="00804DA4"/>
    <w:rsid w:val="00804F02"/>
    <w:rsid w:val="00805350"/>
    <w:rsid w:val="00805ED1"/>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0A65"/>
    <w:rsid w:val="00832147"/>
    <w:rsid w:val="008334DE"/>
    <w:rsid w:val="0083611C"/>
    <w:rsid w:val="00836A74"/>
    <w:rsid w:val="008372B3"/>
    <w:rsid w:val="0083744A"/>
    <w:rsid w:val="0083772D"/>
    <w:rsid w:val="008378D2"/>
    <w:rsid w:val="00841832"/>
    <w:rsid w:val="00843E3F"/>
    <w:rsid w:val="0084441E"/>
    <w:rsid w:val="0084462A"/>
    <w:rsid w:val="00845144"/>
    <w:rsid w:val="00846611"/>
    <w:rsid w:val="0085010D"/>
    <w:rsid w:val="00851553"/>
    <w:rsid w:val="0085159B"/>
    <w:rsid w:val="00851616"/>
    <w:rsid w:val="00852046"/>
    <w:rsid w:val="00853079"/>
    <w:rsid w:val="008558DD"/>
    <w:rsid w:val="008560E3"/>
    <w:rsid w:val="00856CF8"/>
    <w:rsid w:val="00857E49"/>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1BB"/>
    <w:rsid w:val="008766DF"/>
    <w:rsid w:val="0087711E"/>
    <w:rsid w:val="00877723"/>
    <w:rsid w:val="00877735"/>
    <w:rsid w:val="008808B1"/>
    <w:rsid w:val="00882E0F"/>
    <w:rsid w:val="00883C76"/>
    <w:rsid w:val="0088456E"/>
    <w:rsid w:val="00885A6D"/>
    <w:rsid w:val="0088623C"/>
    <w:rsid w:val="008862C2"/>
    <w:rsid w:val="0088633A"/>
    <w:rsid w:val="00886936"/>
    <w:rsid w:val="00890310"/>
    <w:rsid w:val="0089055A"/>
    <w:rsid w:val="0089067A"/>
    <w:rsid w:val="008907BE"/>
    <w:rsid w:val="008907E3"/>
    <w:rsid w:val="00890898"/>
    <w:rsid w:val="00890B4D"/>
    <w:rsid w:val="00891114"/>
    <w:rsid w:val="008923D9"/>
    <w:rsid w:val="0089267B"/>
    <w:rsid w:val="008926C1"/>
    <w:rsid w:val="008929CF"/>
    <w:rsid w:val="00892A8B"/>
    <w:rsid w:val="00892E35"/>
    <w:rsid w:val="0089381C"/>
    <w:rsid w:val="008941B4"/>
    <w:rsid w:val="00894462"/>
    <w:rsid w:val="00895D24"/>
    <w:rsid w:val="00895F00"/>
    <w:rsid w:val="008A085D"/>
    <w:rsid w:val="008A258A"/>
    <w:rsid w:val="008A267A"/>
    <w:rsid w:val="008A26C6"/>
    <w:rsid w:val="008A2FA4"/>
    <w:rsid w:val="008A3777"/>
    <w:rsid w:val="008A378E"/>
    <w:rsid w:val="008A3EA8"/>
    <w:rsid w:val="008A56C6"/>
    <w:rsid w:val="008A6AED"/>
    <w:rsid w:val="008A6CB6"/>
    <w:rsid w:val="008A725A"/>
    <w:rsid w:val="008A74DB"/>
    <w:rsid w:val="008B0A96"/>
    <w:rsid w:val="008B0E08"/>
    <w:rsid w:val="008B103E"/>
    <w:rsid w:val="008B18C1"/>
    <w:rsid w:val="008B199E"/>
    <w:rsid w:val="008B1EED"/>
    <w:rsid w:val="008B2B06"/>
    <w:rsid w:val="008B3387"/>
    <w:rsid w:val="008B3618"/>
    <w:rsid w:val="008B58A9"/>
    <w:rsid w:val="008B59CD"/>
    <w:rsid w:val="008B5B19"/>
    <w:rsid w:val="008B649D"/>
    <w:rsid w:val="008B69D4"/>
    <w:rsid w:val="008B6A02"/>
    <w:rsid w:val="008B6B71"/>
    <w:rsid w:val="008B7053"/>
    <w:rsid w:val="008B7AE7"/>
    <w:rsid w:val="008B7C1A"/>
    <w:rsid w:val="008C0447"/>
    <w:rsid w:val="008C1608"/>
    <w:rsid w:val="008C19ED"/>
    <w:rsid w:val="008C2022"/>
    <w:rsid w:val="008C474F"/>
    <w:rsid w:val="008C4D82"/>
    <w:rsid w:val="008C4E2F"/>
    <w:rsid w:val="008C4FD9"/>
    <w:rsid w:val="008C4FDC"/>
    <w:rsid w:val="008C6260"/>
    <w:rsid w:val="008C63AE"/>
    <w:rsid w:val="008C7F6E"/>
    <w:rsid w:val="008D0EFF"/>
    <w:rsid w:val="008D34DA"/>
    <w:rsid w:val="008D4719"/>
    <w:rsid w:val="008D4CD3"/>
    <w:rsid w:val="008D4E02"/>
    <w:rsid w:val="008D7208"/>
    <w:rsid w:val="008D722E"/>
    <w:rsid w:val="008D74CE"/>
    <w:rsid w:val="008D7990"/>
    <w:rsid w:val="008D7D05"/>
    <w:rsid w:val="008E0B5F"/>
    <w:rsid w:val="008E0CF6"/>
    <w:rsid w:val="008E111B"/>
    <w:rsid w:val="008E1CB6"/>
    <w:rsid w:val="008E2FD8"/>
    <w:rsid w:val="008E3651"/>
    <w:rsid w:val="008E3DB0"/>
    <w:rsid w:val="008E4BB2"/>
    <w:rsid w:val="008E519F"/>
    <w:rsid w:val="008E6B90"/>
    <w:rsid w:val="008E6FDC"/>
    <w:rsid w:val="008F18A3"/>
    <w:rsid w:val="008F22CE"/>
    <w:rsid w:val="008F23CD"/>
    <w:rsid w:val="008F6591"/>
    <w:rsid w:val="008F679C"/>
    <w:rsid w:val="008F75C6"/>
    <w:rsid w:val="0090020F"/>
    <w:rsid w:val="009003F8"/>
    <w:rsid w:val="00900A81"/>
    <w:rsid w:val="00900DAC"/>
    <w:rsid w:val="00901162"/>
    <w:rsid w:val="0090184F"/>
    <w:rsid w:val="00901D90"/>
    <w:rsid w:val="00903214"/>
    <w:rsid w:val="00903921"/>
    <w:rsid w:val="009044BD"/>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196"/>
    <w:rsid w:val="0092339B"/>
    <w:rsid w:val="00923D96"/>
    <w:rsid w:val="00923F87"/>
    <w:rsid w:val="0092421C"/>
    <w:rsid w:val="00925032"/>
    <w:rsid w:val="00925BA8"/>
    <w:rsid w:val="00926058"/>
    <w:rsid w:val="00926C37"/>
    <w:rsid w:val="00927272"/>
    <w:rsid w:val="00927FBD"/>
    <w:rsid w:val="00931994"/>
    <w:rsid w:val="00931C00"/>
    <w:rsid w:val="00932ABC"/>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4FAD"/>
    <w:rsid w:val="00945124"/>
    <w:rsid w:val="009452E9"/>
    <w:rsid w:val="0094543A"/>
    <w:rsid w:val="00945AF9"/>
    <w:rsid w:val="00945F76"/>
    <w:rsid w:val="009473C0"/>
    <w:rsid w:val="0095217E"/>
    <w:rsid w:val="00952251"/>
    <w:rsid w:val="0095253E"/>
    <w:rsid w:val="00952705"/>
    <w:rsid w:val="00952943"/>
    <w:rsid w:val="0095305A"/>
    <w:rsid w:val="00953BC3"/>
    <w:rsid w:val="00954CEE"/>
    <w:rsid w:val="009554B3"/>
    <w:rsid w:val="00955853"/>
    <w:rsid w:val="009558B2"/>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3CC"/>
    <w:rsid w:val="009734CD"/>
    <w:rsid w:val="00973BBE"/>
    <w:rsid w:val="00973DAB"/>
    <w:rsid w:val="009741BD"/>
    <w:rsid w:val="0097498B"/>
    <w:rsid w:val="0097583F"/>
    <w:rsid w:val="00975AC8"/>
    <w:rsid w:val="00975E00"/>
    <w:rsid w:val="00975E27"/>
    <w:rsid w:val="00976E5E"/>
    <w:rsid w:val="00977715"/>
    <w:rsid w:val="009810B7"/>
    <w:rsid w:val="009810C8"/>
    <w:rsid w:val="0098158C"/>
    <w:rsid w:val="00982364"/>
    <w:rsid w:val="00982CEC"/>
    <w:rsid w:val="009831B9"/>
    <w:rsid w:val="00984294"/>
    <w:rsid w:val="009846CC"/>
    <w:rsid w:val="00984BFD"/>
    <w:rsid w:val="00984C6D"/>
    <w:rsid w:val="00984FDE"/>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276"/>
    <w:rsid w:val="009A35AD"/>
    <w:rsid w:val="009A40A6"/>
    <w:rsid w:val="009A4580"/>
    <w:rsid w:val="009A4B05"/>
    <w:rsid w:val="009A56D7"/>
    <w:rsid w:val="009A6564"/>
    <w:rsid w:val="009A6889"/>
    <w:rsid w:val="009A6CA8"/>
    <w:rsid w:val="009B00B6"/>
    <w:rsid w:val="009B0E9A"/>
    <w:rsid w:val="009B0EE1"/>
    <w:rsid w:val="009B1149"/>
    <w:rsid w:val="009B3987"/>
    <w:rsid w:val="009B4C44"/>
    <w:rsid w:val="009B52AB"/>
    <w:rsid w:val="009B599B"/>
    <w:rsid w:val="009B5B47"/>
    <w:rsid w:val="009B5E2A"/>
    <w:rsid w:val="009B6960"/>
    <w:rsid w:val="009B7036"/>
    <w:rsid w:val="009C1B40"/>
    <w:rsid w:val="009C347E"/>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4B8"/>
    <w:rsid w:val="009E2BE3"/>
    <w:rsid w:val="009E358D"/>
    <w:rsid w:val="009E41C0"/>
    <w:rsid w:val="009E4A0F"/>
    <w:rsid w:val="009E5BAE"/>
    <w:rsid w:val="009E66FF"/>
    <w:rsid w:val="009E68BB"/>
    <w:rsid w:val="009E6D92"/>
    <w:rsid w:val="009E7D7C"/>
    <w:rsid w:val="009F07DC"/>
    <w:rsid w:val="009F0A26"/>
    <w:rsid w:val="009F1124"/>
    <w:rsid w:val="009F2986"/>
    <w:rsid w:val="009F432B"/>
    <w:rsid w:val="009F60B3"/>
    <w:rsid w:val="009F6A04"/>
    <w:rsid w:val="009F6A51"/>
    <w:rsid w:val="009F7396"/>
    <w:rsid w:val="009F76E6"/>
    <w:rsid w:val="00A002C6"/>
    <w:rsid w:val="00A003A7"/>
    <w:rsid w:val="00A010C8"/>
    <w:rsid w:val="00A0120F"/>
    <w:rsid w:val="00A0133E"/>
    <w:rsid w:val="00A01ADE"/>
    <w:rsid w:val="00A01E1B"/>
    <w:rsid w:val="00A0261C"/>
    <w:rsid w:val="00A031EB"/>
    <w:rsid w:val="00A03B89"/>
    <w:rsid w:val="00A03E5E"/>
    <w:rsid w:val="00A042DD"/>
    <w:rsid w:val="00A0437A"/>
    <w:rsid w:val="00A05680"/>
    <w:rsid w:val="00A05805"/>
    <w:rsid w:val="00A06145"/>
    <w:rsid w:val="00A10055"/>
    <w:rsid w:val="00A11B87"/>
    <w:rsid w:val="00A13A00"/>
    <w:rsid w:val="00A15A7B"/>
    <w:rsid w:val="00A17BC0"/>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0C6"/>
    <w:rsid w:val="00A371AF"/>
    <w:rsid w:val="00A37256"/>
    <w:rsid w:val="00A427C6"/>
    <w:rsid w:val="00A42D04"/>
    <w:rsid w:val="00A436D3"/>
    <w:rsid w:val="00A44CB7"/>
    <w:rsid w:val="00A454DC"/>
    <w:rsid w:val="00A457CC"/>
    <w:rsid w:val="00A47081"/>
    <w:rsid w:val="00A47920"/>
    <w:rsid w:val="00A50832"/>
    <w:rsid w:val="00A50B73"/>
    <w:rsid w:val="00A50FFA"/>
    <w:rsid w:val="00A524CB"/>
    <w:rsid w:val="00A52AA0"/>
    <w:rsid w:val="00A52F8A"/>
    <w:rsid w:val="00A5357A"/>
    <w:rsid w:val="00A5377A"/>
    <w:rsid w:val="00A537A2"/>
    <w:rsid w:val="00A543E5"/>
    <w:rsid w:val="00A550DF"/>
    <w:rsid w:val="00A55B58"/>
    <w:rsid w:val="00A55CEC"/>
    <w:rsid w:val="00A56907"/>
    <w:rsid w:val="00A600CA"/>
    <w:rsid w:val="00A61B9D"/>
    <w:rsid w:val="00A61C65"/>
    <w:rsid w:val="00A62298"/>
    <w:rsid w:val="00A62F37"/>
    <w:rsid w:val="00A62FB2"/>
    <w:rsid w:val="00A635F2"/>
    <w:rsid w:val="00A637B1"/>
    <w:rsid w:val="00A65421"/>
    <w:rsid w:val="00A65A7E"/>
    <w:rsid w:val="00A67090"/>
    <w:rsid w:val="00A67A45"/>
    <w:rsid w:val="00A70EAA"/>
    <w:rsid w:val="00A71591"/>
    <w:rsid w:val="00A71DE9"/>
    <w:rsid w:val="00A7237B"/>
    <w:rsid w:val="00A726D1"/>
    <w:rsid w:val="00A73E3B"/>
    <w:rsid w:val="00A742B8"/>
    <w:rsid w:val="00A749F6"/>
    <w:rsid w:val="00A75871"/>
    <w:rsid w:val="00A759AE"/>
    <w:rsid w:val="00A7682A"/>
    <w:rsid w:val="00A80541"/>
    <w:rsid w:val="00A80598"/>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5A5A"/>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1F8A"/>
    <w:rsid w:val="00AB22F7"/>
    <w:rsid w:val="00AB30FC"/>
    <w:rsid w:val="00AB40F2"/>
    <w:rsid w:val="00AB4308"/>
    <w:rsid w:val="00AB48E1"/>
    <w:rsid w:val="00AB5247"/>
    <w:rsid w:val="00AB5B4C"/>
    <w:rsid w:val="00AB671F"/>
    <w:rsid w:val="00AB7B27"/>
    <w:rsid w:val="00AC0087"/>
    <w:rsid w:val="00AC0198"/>
    <w:rsid w:val="00AC0246"/>
    <w:rsid w:val="00AC1748"/>
    <w:rsid w:val="00AC199D"/>
    <w:rsid w:val="00AC1FA6"/>
    <w:rsid w:val="00AC2BF0"/>
    <w:rsid w:val="00AC32B7"/>
    <w:rsid w:val="00AC3868"/>
    <w:rsid w:val="00AC3F39"/>
    <w:rsid w:val="00AC4956"/>
    <w:rsid w:val="00AC4AE8"/>
    <w:rsid w:val="00AC577E"/>
    <w:rsid w:val="00AC620F"/>
    <w:rsid w:val="00AC64CE"/>
    <w:rsid w:val="00AC6B6A"/>
    <w:rsid w:val="00AC6C0B"/>
    <w:rsid w:val="00AC7C31"/>
    <w:rsid w:val="00AC7E37"/>
    <w:rsid w:val="00AC7FE8"/>
    <w:rsid w:val="00AD036F"/>
    <w:rsid w:val="00AD0840"/>
    <w:rsid w:val="00AD0BC0"/>
    <w:rsid w:val="00AD1221"/>
    <w:rsid w:val="00AD1B08"/>
    <w:rsid w:val="00AD1F3C"/>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66B"/>
    <w:rsid w:val="00AF37D7"/>
    <w:rsid w:val="00AF3FB2"/>
    <w:rsid w:val="00AF4334"/>
    <w:rsid w:val="00AF4383"/>
    <w:rsid w:val="00AF47BB"/>
    <w:rsid w:val="00AF50B6"/>
    <w:rsid w:val="00AF6D8A"/>
    <w:rsid w:val="00B004FD"/>
    <w:rsid w:val="00B014FD"/>
    <w:rsid w:val="00B0249E"/>
    <w:rsid w:val="00B038F0"/>
    <w:rsid w:val="00B03D32"/>
    <w:rsid w:val="00B066C1"/>
    <w:rsid w:val="00B06F4F"/>
    <w:rsid w:val="00B076D3"/>
    <w:rsid w:val="00B100C3"/>
    <w:rsid w:val="00B11BF3"/>
    <w:rsid w:val="00B11F11"/>
    <w:rsid w:val="00B11FC3"/>
    <w:rsid w:val="00B140FF"/>
    <w:rsid w:val="00B149B0"/>
    <w:rsid w:val="00B14E2B"/>
    <w:rsid w:val="00B1509E"/>
    <w:rsid w:val="00B15AA6"/>
    <w:rsid w:val="00B162EF"/>
    <w:rsid w:val="00B17465"/>
    <w:rsid w:val="00B205DC"/>
    <w:rsid w:val="00B20F8D"/>
    <w:rsid w:val="00B21000"/>
    <w:rsid w:val="00B225CE"/>
    <w:rsid w:val="00B236AE"/>
    <w:rsid w:val="00B23F85"/>
    <w:rsid w:val="00B241A9"/>
    <w:rsid w:val="00B24C20"/>
    <w:rsid w:val="00B25A15"/>
    <w:rsid w:val="00B25D9F"/>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3727A"/>
    <w:rsid w:val="00B4128C"/>
    <w:rsid w:val="00B41297"/>
    <w:rsid w:val="00B423AC"/>
    <w:rsid w:val="00B42BEA"/>
    <w:rsid w:val="00B42C76"/>
    <w:rsid w:val="00B431D9"/>
    <w:rsid w:val="00B432F1"/>
    <w:rsid w:val="00B4442A"/>
    <w:rsid w:val="00B4457E"/>
    <w:rsid w:val="00B4597E"/>
    <w:rsid w:val="00B46674"/>
    <w:rsid w:val="00B469B8"/>
    <w:rsid w:val="00B46C24"/>
    <w:rsid w:val="00B47396"/>
    <w:rsid w:val="00B47536"/>
    <w:rsid w:val="00B479E9"/>
    <w:rsid w:val="00B50121"/>
    <w:rsid w:val="00B50213"/>
    <w:rsid w:val="00B50796"/>
    <w:rsid w:val="00B508DE"/>
    <w:rsid w:val="00B509F7"/>
    <w:rsid w:val="00B50ABC"/>
    <w:rsid w:val="00B52558"/>
    <w:rsid w:val="00B5292E"/>
    <w:rsid w:val="00B52F17"/>
    <w:rsid w:val="00B5366D"/>
    <w:rsid w:val="00B53CC1"/>
    <w:rsid w:val="00B54659"/>
    <w:rsid w:val="00B55A5D"/>
    <w:rsid w:val="00B565D9"/>
    <w:rsid w:val="00B56763"/>
    <w:rsid w:val="00B5717E"/>
    <w:rsid w:val="00B57511"/>
    <w:rsid w:val="00B5755F"/>
    <w:rsid w:val="00B57762"/>
    <w:rsid w:val="00B60BAA"/>
    <w:rsid w:val="00B626A3"/>
    <w:rsid w:val="00B63241"/>
    <w:rsid w:val="00B63533"/>
    <w:rsid w:val="00B63E66"/>
    <w:rsid w:val="00B65B71"/>
    <w:rsid w:val="00B65F16"/>
    <w:rsid w:val="00B65F49"/>
    <w:rsid w:val="00B65F80"/>
    <w:rsid w:val="00B66349"/>
    <w:rsid w:val="00B66E99"/>
    <w:rsid w:val="00B701CB"/>
    <w:rsid w:val="00B707CD"/>
    <w:rsid w:val="00B70D1F"/>
    <w:rsid w:val="00B70F16"/>
    <w:rsid w:val="00B71092"/>
    <w:rsid w:val="00B71288"/>
    <w:rsid w:val="00B71B1D"/>
    <w:rsid w:val="00B71D43"/>
    <w:rsid w:val="00B72851"/>
    <w:rsid w:val="00B72A26"/>
    <w:rsid w:val="00B7357C"/>
    <w:rsid w:val="00B74AA9"/>
    <w:rsid w:val="00B74DB5"/>
    <w:rsid w:val="00B76518"/>
    <w:rsid w:val="00B770F5"/>
    <w:rsid w:val="00B802A5"/>
    <w:rsid w:val="00B80F2F"/>
    <w:rsid w:val="00B81254"/>
    <w:rsid w:val="00B8326A"/>
    <w:rsid w:val="00B8485A"/>
    <w:rsid w:val="00B863F5"/>
    <w:rsid w:val="00B865FF"/>
    <w:rsid w:val="00B86C0D"/>
    <w:rsid w:val="00B90314"/>
    <w:rsid w:val="00B903E6"/>
    <w:rsid w:val="00B90CC6"/>
    <w:rsid w:val="00B916BD"/>
    <w:rsid w:val="00B93469"/>
    <w:rsid w:val="00B94DA1"/>
    <w:rsid w:val="00B956E2"/>
    <w:rsid w:val="00B95FEA"/>
    <w:rsid w:val="00B961D3"/>
    <w:rsid w:val="00B966A3"/>
    <w:rsid w:val="00B967E4"/>
    <w:rsid w:val="00B96E07"/>
    <w:rsid w:val="00B9768B"/>
    <w:rsid w:val="00BA0209"/>
    <w:rsid w:val="00BA0908"/>
    <w:rsid w:val="00BA090D"/>
    <w:rsid w:val="00BA10FA"/>
    <w:rsid w:val="00BA15F1"/>
    <w:rsid w:val="00BA18A9"/>
    <w:rsid w:val="00BA38E4"/>
    <w:rsid w:val="00BA38E7"/>
    <w:rsid w:val="00BA44E3"/>
    <w:rsid w:val="00BA56D7"/>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B8A"/>
    <w:rsid w:val="00BC4F1C"/>
    <w:rsid w:val="00BC5206"/>
    <w:rsid w:val="00BC5350"/>
    <w:rsid w:val="00BC59B9"/>
    <w:rsid w:val="00BC5E52"/>
    <w:rsid w:val="00BC6B27"/>
    <w:rsid w:val="00BC6FB1"/>
    <w:rsid w:val="00BC73AE"/>
    <w:rsid w:val="00BD04AD"/>
    <w:rsid w:val="00BD077B"/>
    <w:rsid w:val="00BD10AC"/>
    <w:rsid w:val="00BD1110"/>
    <w:rsid w:val="00BD115B"/>
    <w:rsid w:val="00BD1997"/>
    <w:rsid w:val="00BD22AC"/>
    <w:rsid w:val="00BD2D04"/>
    <w:rsid w:val="00BD316A"/>
    <w:rsid w:val="00BD3459"/>
    <w:rsid w:val="00BD46E6"/>
    <w:rsid w:val="00BD4786"/>
    <w:rsid w:val="00BD4E21"/>
    <w:rsid w:val="00BD5001"/>
    <w:rsid w:val="00BD5724"/>
    <w:rsid w:val="00BD5CFF"/>
    <w:rsid w:val="00BD66F2"/>
    <w:rsid w:val="00BD7E81"/>
    <w:rsid w:val="00BE03E2"/>
    <w:rsid w:val="00BE1865"/>
    <w:rsid w:val="00BE33A5"/>
    <w:rsid w:val="00BE4818"/>
    <w:rsid w:val="00BE5706"/>
    <w:rsid w:val="00BE680A"/>
    <w:rsid w:val="00BE744D"/>
    <w:rsid w:val="00BE7DF9"/>
    <w:rsid w:val="00BF122D"/>
    <w:rsid w:val="00BF2527"/>
    <w:rsid w:val="00BF28A0"/>
    <w:rsid w:val="00BF2A36"/>
    <w:rsid w:val="00BF2FBC"/>
    <w:rsid w:val="00BF3503"/>
    <w:rsid w:val="00BF3748"/>
    <w:rsid w:val="00BF3FE0"/>
    <w:rsid w:val="00BF41B7"/>
    <w:rsid w:val="00BF48A7"/>
    <w:rsid w:val="00BF7033"/>
    <w:rsid w:val="00BF7B5E"/>
    <w:rsid w:val="00BF7E40"/>
    <w:rsid w:val="00BF7E8F"/>
    <w:rsid w:val="00C00D9A"/>
    <w:rsid w:val="00C012C4"/>
    <w:rsid w:val="00C017C5"/>
    <w:rsid w:val="00C02846"/>
    <w:rsid w:val="00C02F70"/>
    <w:rsid w:val="00C03280"/>
    <w:rsid w:val="00C0419D"/>
    <w:rsid w:val="00C042AF"/>
    <w:rsid w:val="00C044FC"/>
    <w:rsid w:val="00C046F6"/>
    <w:rsid w:val="00C04903"/>
    <w:rsid w:val="00C04B5B"/>
    <w:rsid w:val="00C0633B"/>
    <w:rsid w:val="00C06AC3"/>
    <w:rsid w:val="00C0718E"/>
    <w:rsid w:val="00C073D7"/>
    <w:rsid w:val="00C07E8F"/>
    <w:rsid w:val="00C117C5"/>
    <w:rsid w:val="00C13125"/>
    <w:rsid w:val="00C1431C"/>
    <w:rsid w:val="00C156A5"/>
    <w:rsid w:val="00C16EFA"/>
    <w:rsid w:val="00C17BCA"/>
    <w:rsid w:val="00C17DFC"/>
    <w:rsid w:val="00C20621"/>
    <w:rsid w:val="00C211EF"/>
    <w:rsid w:val="00C21A3A"/>
    <w:rsid w:val="00C21D6B"/>
    <w:rsid w:val="00C22153"/>
    <w:rsid w:val="00C23152"/>
    <w:rsid w:val="00C232D3"/>
    <w:rsid w:val="00C23422"/>
    <w:rsid w:val="00C24285"/>
    <w:rsid w:val="00C242E0"/>
    <w:rsid w:val="00C24FE9"/>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8DD"/>
    <w:rsid w:val="00C40BC9"/>
    <w:rsid w:val="00C4156C"/>
    <w:rsid w:val="00C417A0"/>
    <w:rsid w:val="00C41BC1"/>
    <w:rsid w:val="00C42022"/>
    <w:rsid w:val="00C42A78"/>
    <w:rsid w:val="00C42CBE"/>
    <w:rsid w:val="00C42DCD"/>
    <w:rsid w:val="00C42E89"/>
    <w:rsid w:val="00C432D5"/>
    <w:rsid w:val="00C43BDC"/>
    <w:rsid w:val="00C44D3C"/>
    <w:rsid w:val="00C452D9"/>
    <w:rsid w:val="00C45B0A"/>
    <w:rsid w:val="00C45D0C"/>
    <w:rsid w:val="00C51CF9"/>
    <w:rsid w:val="00C52E87"/>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31C"/>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5AA3"/>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51C"/>
    <w:rsid w:val="00CA0E6C"/>
    <w:rsid w:val="00CA3278"/>
    <w:rsid w:val="00CA45D4"/>
    <w:rsid w:val="00CA4A4D"/>
    <w:rsid w:val="00CA4DF8"/>
    <w:rsid w:val="00CA6EF5"/>
    <w:rsid w:val="00CA7045"/>
    <w:rsid w:val="00CA74D4"/>
    <w:rsid w:val="00CA7817"/>
    <w:rsid w:val="00CA7AE5"/>
    <w:rsid w:val="00CB0604"/>
    <w:rsid w:val="00CB19AD"/>
    <w:rsid w:val="00CB2561"/>
    <w:rsid w:val="00CB27EB"/>
    <w:rsid w:val="00CB379C"/>
    <w:rsid w:val="00CB3934"/>
    <w:rsid w:val="00CB3C64"/>
    <w:rsid w:val="00CB44F7"/>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5E9C"/>
    <w:rsid w:val="00CC6A69"/>
    <w:rsid w:val="00CC7A4B"/>
    <w:rsid w:val="00CD0EF3"/>
    <w:rsid w:val="00CD0FDB"/>
    <w:rsid w:val="00CD2188"/>
    <w:rsid w:val="00CD389C"/>
    <w:rsid w:val="00CD476F"/>
    <w:rsid w:val="00CD4880"/>
    <w:rsid w:val="00CD4B76"/>
    <w:rsid w:val="00CD5904"/>
    <w:rsid w:val="00CD59D5"/>
    <w:rsid w:val="00CD6178"/>
    <w:rsid w:val="00CD69F0"/>
    <w:rsid w:val="00CD7F4C"/>
    <w:rsid w:val="00CE17AB"/>
    <w:rsid w:val="00CE26B4"/>
    <w:rsid w:val="00CE2EA1"/>
    <w:rsid w:val="00CE334D"/>
    <w:rsid w:val="00CE3CBF"/>
    <w:rsid w:val="00CE3E54"/>
    <w:rsid w:val="00CE3F4B"/>
    <w:rsid w:val="00CE4A7D"/>
    <w:rsid w:val="00CE5579"/>
    <w:rsid w:val="00CE6665"/>
    <w:rsid w:val="00CE6C24"/>
    <w:rsid w:val="00CF01CA"/>
    <w:rsid w:val="00CF16BF"/>
    <w:rsid w:val="00CF2221"/>
    <w:rsid w:val="00CF282B"/>
    <w:rsid w:val="00CF290B"/>
    <w:rsid w:val="00CF33B8"/>
    <w:rsid w:val="00CF418F"/>
    <w:rsid w:val="00CF4808"/>
    <w:rsid w:val="00CF4BD2"/>
    <w:rsid w:val="00CF53CA"/>
    <w:rsid w:val="00CF55D6"/>
    <w:rsid w:val="00CF57F8"/>
    <w:rsid w:val="00CF5BCE"/>
    <w:rsid w:val="00CF78E8"/>
    <w:rsid w:val="00CF7E5C"/>
    <w:rsid w:val="00D017DA"/>
    <w:rsid w:val="00D017E3"/>
    <w:rsid w:val="00D021B4"/>
    <w:rsid w:val="00D02332"/>
    <w:rsid w:val="00D02936"/>
    <w:rsid w:val="00D029D3"/>
    <w:rsid w:val="00D03139"/>
    <w:rsid w:val="00D0404A"/>
    <w:rsid w:val="00D0514C"/>
    <w:rsid w:val="00D05839"/>
    <w:rsid w:val="00D07A38"/>
    <w:rsid w:val="00D07B79"/>
    <w:rsid w:val="00D11FFC"/>
    <w:rsid w:val="00D12A07"/>
    <w:rsid w:val="00D14265"/>
    <w:rsid w:val="00D14C84"/>
    <w:rsid w:val="00D1525F"/>
    <w:rsid w:val="00D15B50"/>
    <w:rsid w:val="00D15C5D"/>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93C"/>
    <w:rsid w:val="00D43E00"/>
    <w:rsid w:val="00D44176"/>
    <w:rsid w:val="00D44F40"/>
    <w:rsid w:val="00D452D2"/>
    <w:rsid w:val="00D4672E"/>
    <w:rsid w:val="00D475AC"/>
    <w:rsid w:val="00D50635"/>
    <w:rsid w:val="00D51C5F"/>
    <w:rsid w:val="00D5289E"/>
    <w:rsid w:val="00D5377D"/>
    <w:rsid w:val="00D54844"/>
    <w:rsid w:val="00D54AAA"/>
    <w:rsid w:val="00D55530"/>
    <w:rsid w:val="00D55A4E"/>
    <w:rsid w:val="00D56268"/>
    <w:rsid w:val="00D57DB7"/>
    <w:rsid w:val="00D60042"/>
    <w:rsid w:val="00D6111F"/>
    <w:rsid w:val="00D61A8C"/>
    <w:rsid w:val="00D61E82"/>
    <w:rsid w:val="00D6231F"/>
    <w:rsid w:val="00D6313A"/>
    <w:rsid w:val="00D63605"/>
    <w:rsid w:val="00D63FFC"/>
    <w:rsid w:val="00D643DB"/>
    <w:rsid w:val="00D6515C"/>
    <w:rsid w:val="00D653D3"/>
    <w:rsid w:val="00D661E6"/>
    <w:rsid w:val="00D6714D"/>
    <w:rsid w:val="00D70035"/>
    <w:rsid w:val="00D71235"/>
    <w:rsid w:val="00D71A4E"/>
    <w:rsid w:val="00D71A5A"/>
    <w:rsid w:val="00D71ED7"/>
    <w:rsid w:val="00D7267D"/>
    <w:rsid w:val="00D72974"/>
    <w:rsid w:val="00D7335E"/>
    <w:rsid w:val="00D7596B"/>
    <w:rsid w:val="00D7645F"/>
    <w:rsid w:val="00D80438"/>
    <w:rsid w:val="00D80BA8"/>
    <w:rsid w:val="00D80CD6"/>
    <w:rsid w:val="00D81E19"/>
    <w:rsid w:val="00D825E7"/>
    <w:rsid w:val="00D82DD4"/>
    <w:rsid w:val="00D834A5"/>
    <w:rsid w:val="00D83E4A"/>
    <w:rsid w:val="00D842B9"/>
    <w:rsid w:val="00D85041"/>
    <w:rsid w:val="00D85489"/>
    <w:rsid w:val="00D91BA1"/>
    <w:rsid w:val="00D927C2"/>
    <w:rsid w:val="00D93E62"/>
    <w:rsid w:val="00D941B5"/>
    <w:rsid w:val="00D94318"/>
    <w:rsid w:val="00D94636"/>
    <w:rsid w:val="00D94E75"/>
    <w:rsid w:val="00D95689"/>
    <w:rsid w:val="00D956BB"/>
    <w:rsid w:val="00D96592"/>
    <w:rsid w:val="00D97078"/>
    <w:rsid w:val="00D97239"/>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1C6B"/>
    <w:rsid w:val="00DB233C"/>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1574"/>
    <w:rsid w:val="00DC38C1"/>
    <w:rsid w:val="00DC42AE"/>
    <w:rsid w:val="00DC4B50"/>
    <w:rsid w:val="00DC62F0"/>
    <w:rsid w:val="00DC6352"/>
    <w:rsid w:val="00DD0079"/>
    <w:rsid w:val="00DD02B6"/>
    <w:rsid w:val="00DD099D"/>
    <w:rsid w:val="00DD16AF"/>
    <w:rsid w:val="00DD2412"/>
    <w:rsid w:val="00DD3FEF"/>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2C65"/>
    <w:rsid w:val="00DE3600"/>
    <w:rsid w:val="00DE3882"/>
    <w:rsid w:val="00DE3EB9"/>
    <w:rsid w:val="00DE45D7"/>
    <w:rsid w:val="00DE4FDF"/>
    <w:rsid w:val="00DE5D76"/>
    <w:rsid w:val="00DE7343"/>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6381"/>
    <w:rsid w:val="00E07CEB"/>
    <w:rsid w:val="00E10380"/>
    <w:rsid w:val="00E10606"/>
    <w:rsid w:val="00E10963"/>
    <w:rsid w:val="00E10E24"/>
    <w:rsid w:val="00E10F50"/>
    <w:rsid w:val="00E118E2"/>
    <w:rsid w:val="00E12616"/>
    <w:rsid w:val="00E12C53"/>
    <w:rsid w:val="00E12E00"/>
    <w:rsid w:val="00E12FA6"/>
    <w:rsid w:val="00E13D6A"/>
    <w:rsid w:val="00E14AAC"/>
    <w:rsid w:val="00E152D6"/>
    <w:rsid w:val="00E15381"/>
    <w:rsid w:val="00E167DC"/>
    <w:rsid w:val="00E16EF2"/>
    <w:rsid w:val="00E16F51"/>
    <w:rsid w:val="00E1728E"/>
    <w:rsid w:val="00E175E4"/>
    <w:rsid w:val="00E20594"/>
    <w:rsid w:val="00E205F8"/>
    <w:rsid w:val="00E208A9"/>
    <w:rsid w:val="00E20FDF"/>
    <w:rsid w:val="00E212EE"/>
    <w:rsid w:val="00E2302C"/>
    <w:rsid w:val="00E235DD"/>
    <w:rsid w:val="00E23914"/>
    <w:rsid w:val="00E244A9"/>
    <w:rsid w:val="00E25B40"/>
    <w:rsid w:val="00E26A3C"/>
    <w:rsid w:val="00E26D3C"/>
    <w:rsid w:val="00E27A07"/>
    <w:rsid w:val="00E30BE0"/>
    <w:rsid w:val="00E319CC"/>
    <w:rsid w:val="00E31A01"/>
    <w:rsid w:val="00E3298E"/>
    <w:rsid w:val="00E330BF"/>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2F3E"/>
    <w:rsid w:val="00E43366"/>
    <w:rsid w:val="00E43772"/>
    <w:rsid w:val="00E437D8"/>
    <w:rsid w:val="00E45134"/>
    <w:rsid w:val="00E454B0"/>
    <w:rsid w:val="00E465C8"/>
    <w:rsid w:val="00E46C5A"/>
    <w:rsid w:val="00E476AD"/>
    <w:rsid w:val="00E47AF2"/>
    <w:rsid w:val="00E47FEE"/>
    <w:rsid w:val="00E52919"/>
    <w:rsid w:val="00E52A75"/>
    <w:rsid w:val="00E52E84"/>
    <w:rsid w:val="00E53465"/>
    <w:rsid w:val="00E5372F"/>
    <w:rsid w:val="00E5421D"/>
    <w:rsid w:val="00E54394"/>
    <w:rsid w:val="00E546B7"/>
    <w:rsid w:val="00E5490C"/>
    <w:rsid w:val="00E55322"/>
    <w:rsid w:val="00E55831"/>
    <w:rsid w:val="00E55FCE"/>
    <w:rsid w:val="00E56ED1"/>
    <w:rsid w:val="00E5738E"/>
    <w:rsid w:val="00E57742"/>
    <w:rsid w:val="00E60447"/>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805"/>
    <w:rsid w:val="00E879BC"/>
    <w:rsid w:val="00E87C3B"/>
    <w:rsid w:val="00E9110F"/>
    <w:rsid w:val="00E91812"/>
    <w:rsid w:val="00E91867"/>
    <w:rsid w:val="00E91CFF"/>
    <w:rsid w:val="00E927EC"/>
    <w:rsid w:val="00E92BFA"/>
    <w:rsid w:val="00E92FC4"/>
    <w:rsid w:val="00E939F0"/>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0F6C"/>
    <w:rsid w:val="00EB101B"/>
    <w:rsid w:val="00EB12D9"/>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5A1C"/>
    <w:rsid w:val="00EF6214"/>
    <w:rsid w:val="00EF6C78"/>
    <w:rsid w:val="00EF6C82"/>
    <w:rsid w:val="00EF72ED"/>
    <w:rsid w:val="00EF732D"/>
    <w:rsid w:val="00EF76D9"/>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AA9"/>
    <w:rsid w:val="00F112CF"/>
    <w:rsid w:val="00F1390F"/>
    <w:rsid w:val="00F146DA"/>
    <w:rsid w:val="00F1487C"/>
    <w:rsid w:val="00F15E30"/>
    <w:rsid w:val="00F1716D"/>
    <w:rsid w:val="00F17B77"/>
    <w:rsid w:val="00F20800"/>
    <w:rsid w:val="00F22A6B"/>
    <w:rsid w:val="00F22E46"/>
    <w:rsid w:val="00F25FC3"/>
    <w:rsid w:val="00F25FD9"/>
    <w:rsid w:val="00F26C35"/>
    <w:rsid w:val="00F26DB5"/>
    <w:rsid w:val="00F27307"/>
    <w:rsid w:val="00F27497"/>
    <w:rsid w:val="00F30618"/>
    <w:rsid w:val="00F30B9D"/>
    <w:rsid w:val="00F318CA"/>
    <w:rsid w:val="00F32553"/>
    <w:rsid w:val="00F333AB"/>
    <w:rsid w:val="00F3502C"/>
    <w:rsid w:val="00F35256"/>
    <w:rsid w:val="00F3600F"/>
    <w:rsid w:val="00F378BE"/>
    <w:rsid w:val="00F40600"/>
    <w:rsid w:val="00F40A36"/>
    <w:rsid w:val="00F4108F"/>
    <w:rsid w:val="00F42F74"/>
    <w:rsid w:val="00F4306E"/>
    <w:rsid w:val="00F43D0F"/>
    <w:rsid w:val="00F442A3"/>
    <w:rsid w:val="00F44782"/>
    <w:rsid w:val="00F44C44"/>
    <w:rsid w:val="00F44C9D"/>
    <w:rsid w:val="00F45E5A"/>
    <w:rsid w:val="00F46614"/>
    <w:rsid w:val="00F46B9E"/>
    <w:rsid w:val="00F476C5"/>
    <w:rsid w:val="00F47D32"/>
    <w:rsid w:val="00F47D3D"/>
    <w:rsid w:val="00F5073B"/>
    <w:rsid w:val="00F51C84"/>
    <w:rsid w:val="00F547D8"/>
    <w:rsid w:val="00F55179"/>
    <w:rsid w:val="00F57C73"/>
    <w:rsid w:val="00F613AC"/>
    <w:rsid w:val="00F614B2"/>
    <w:rsid w:val="00F6160A"/>
    <w:rsid w:val="00F623E5"/>
    <w:rsid w:val="00F62D57"/>
    <w:rsid w:val="00F62FC9"/>
    <w:rsid w:val="00F6353F"/>
    <w:rsid w:val="00F6360A"/>
    <w:rsid w:val="00F63D27"/>
    <w:rsid w:val="00F63F5B"/>
    <w:rsid w:val="00F64087"/>
    <w:rsid w:val="00F6486B"/>
    <w:rsid w:val="00F648AD"/>
    <w:rsid w:val="00F654CB"/>
    <w:rsid w:val="00F658D3"/>
    <w:rsid w:val="00F65B29"/>
    <w:rsid w:val="00F66696"/>
    <w:rsid w:val="00F66DBE"/>
    <w:rsid w:val="00F7130A"/>
    <w:rsid w:val="00F71FD8"/>
    <w:rsid w:val="00F7257E"/>
    <w:rsid w:val="00F73010"/>
    <w:rsid w:val="00F73210"/>
    <w:rsid w:val="00F75602"/>
    <w:rsid w:val="00F77F34"/>
    <w:rsid w:val="00F80835"/>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4E1"/>
    <w:rsid w:val="00F9772D"/>
    <w:rsid w:val="00F97B3E"/>
    <w:rsid w:val="00F97E14"/>
    <w:rsid w:val="00FA01C4"/>
    <w:rsid w:val="00FA1B42"/>
    <w:rsid w:val="00FA3188"/>
    <w:rsid w:val="00FA3D17"/>
    <w:rsid w:val="00FA40ED"/>
    <w:rsid w:val="00FA5018"/>
    <w:rsid w:val="00FA59C7"/>
    <w:rsid w:val="00FB04FF"/>
    <w:rsid w:val="00FB0A70"/>
    <w:rsid w:val="00FB1225"/>
    <w:rsid w:val="00FB155E"/>
    <w:rsid w:val="00FB1589"/>
    <w:rsid w:val="00FB159B"/>
    <w:rsid w:val="00FB17A4"/>
    <w:rsid w:val="00FB19AC"/>
    <w:rsid w:val="00FB19C8"/>
    <w:rsid w:val="00FB1EC9"/>
    <w:rsid w:val="00FB2301"/>
    <w:rsid w:val="00FB3013"/>
    <w:rsid w:val="00FB336D"/>
    <w:rsid w:val="00FB3500"/>
    <w:rsid w:val="00FB3742"/>
    <w:rsid w:val="00FB3D3B"/>
    <w:rsid w:val="00FB3DC5"/>
    <w:rsid w:val="00FB45B3"/>
    <w:rsid w:val="00FB471B"/>
    <w:rsid w:val="00FB595F"/>
    <w:rsid w:val="00FB5E5A"/>
    <w:rsid w:val="00FC2FE1"/>
    <w:rsid w:val="00FC3BDC"/>
    <w:rsid w:val="00FC3D42"/>
    <w:rsid w:val="00FC4183"/>
    <w:rsid w:val="00FC50FC"/>
    <w:rsid w:val="00FC5987"/>
    <w:rsid w:val="00FC59E8"/>
    <w:rsid w:val="00FC61B1"/>
    <w:rsid w:val="00FC73E9"/>
    <w:rsid w:val="00FC7FA0"/>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AF4"/>
    <w:rsid w:val="00FF0BB4"/>
    <w:rsid w:val="00FF2F3E"/>
    <w:rsid w:val="00FF3558"/>
    <w:rsid w:val="00FF366E"/>
    <w:rsid w:val="00FF3992"/>
    <w:rsid w:val="00FF49D0"/>
    <w:rsid w:val="00FF4A11"/>
    <w:rsid w:val="00FF503B"/>
    <w:rsid w:val="00FF54C5"/>
    <w:rsid w:val="00FF69FA"/>
    <w:rsid w:val="00FF6EE8"/>
    <w:rsid w:val="00FF7565"/>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7C65AC2"/>
  <w15:docId w15:val="{6177060F-B7E2-4272-BDC7-DE6AF7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 w:type="paragraph" w:customStyle="1" w:styleId="AmendHeading2">
    <w:name w:val="Amend. Heading 2"/>
    <w:basedOn w:val="Normal"/>
    <w:next w:val="Normal"/>
    <w:rsid w:val="00AB1F8A"/>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932ABC"/>
    <w:pPr>
      <w:overflowPunct w:val="0"/>
      <w:autoSpaceDE w:val="0"/>
      <w:autoSpaceDN w:val="0"/>
      <w:adjustRightInd w:val="0"/>
      <w:spacing w:before="120"/>
      <w:textAlignment w:val="baseline"/>
    </w:pPr>
    <w:rPr>
      <w:szCs w:val="20"/>
    </w:rPr>
  </w:style>
  <w:style w:type="paragraph" w:customStyle="1" w:styleId="AmendDefinition1">
    <w:name w:val="Amend Definition 1"/>
    <w:next w:val="Normal"/>
    <w:rsid w:val="00932AB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ndSectionEg">
    <w:name w:val="Amnd Section Eg"/>
    <w:next w:val="Normal"/>
    <w:rsid w:val="00932ABC"/>
    <w:pPr>
      <w:spacing w:before="120"/>
      <w:ind w:left="1871"/>
    </w:pPr>
    <w:rPr>
      <w:lang w:eastAsia="en-US"/>
    </w:rPr>
  </w:style>
  <w:style w:type="paragraph" w:customStyle="1" w:styleId="AmndSub-sectionEg">
    <w:name w:val="Amnd Sub-section Eg"/>
    <w:next w:val="Normal"/>
    <w:rsid w:val="00932ABC"/>
    <w:pPr>
      <w:spacing w:before="120"/>
      <w:ind w:left="2381"/>
    </w:pPr>
    <w:rPr>
      <w:lang w:eastAsia="en-US"/>
    </w:rPr>
  </w:style>
  <w:style w:type="paragraph" w:customStyle="1" w:styleId="AmndSectionNote">
    <w:name w:val="Amnd Section Note"/>
    <w:next w:val="Normal"/>
    <w:rsid w:val="00932ABC"/>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3" Type="http://schemas.openxmlformats.org/officeDocument/2006/relationships/styles" Target="styles.xml"/><Relationship Id="rId21" Type="http://schemas.openxmlformats.org/officeDocument/2006/relationships/hyperlink" Target="https://jade.io/article/113896/section/1323" TargetMode="Externa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 Id="rId8" Type="http://schemas.openxmlformats.org/officeDocument/2006/relationships/hyperlink" Target="https://www.supremecourt.vic.gov.au/sites/default/files/2022-02/Fast-tracking_of_homicide_matters_Nov21_re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100776</Words>
  <Characters>492909</Characters>
  <Application>Microsoft Office Word</Application>
  <DocSecurity>0</DocSecurity>
  <Lines>8514</Lines>
  <Paragraphs>2785</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592525</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2026-02-20T01:31:00Z</cp:lastPrinted>
  <dcterms:created xsi:type="dcterms:W3CDTF">2026-03-25T00:40:00Z</dcterms:created>
  <dcterms:modified xsi:type="dcterms:W3CDTF">2026-03-25T00:40:00Z</dcterms:modified>
</cp:coreProperties>
</file>