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8.__CRIMINAL"/>
    <w:bookmarkStart w:id="1" w:name="_Toc30691775"/>
    <w:bookmarkStart w:id="2" w:name="_Toc30692155"/>
    <w:bookmarkStart w:id="3" w:name="_Toc30692913"/>
    <w:bookmarkStart w:id="4" w:name="_Toc30693292"/>
    <w:bookmarkStart w:id="5" w:name="_Toc30693670"/>
    <w:bookmarkStart w:id="6" w:name="_Toc30694048"/>
    <w:bookmarkStart w:id="7" w:name="_Toc30694428"/>
    <w:bookmarkStart w:id="8" w:name="_Toc30699017"/>
    <w:bookmarkStart w:id="9" w:name="_Toc30699395"/>
    <w:bookmarkStart w:id="10" w:name="_Toc30699780"/>
    <w:bookmarkStart w:id="11" w:name="_Toc30700935"/>
    <w:bookmarkStart w:id="12" w:name="_Toc30701322"/>
    <w:bookmarkStart w:id="13" w:name="_Toc30743933"/>
    <w:bookmarkStart w:id="14" w:name="_Toc30754756"/>
    <w:bookmarkStart w:id="15" w:name="_Toc30757197"/>
    <w:bookmarkStart w:id="16" w:name="_Toc30757745"/>
    <w:bookmarkStart w:id="17" w:name="_Toc30758145"/>
    <w:bookmarkStart w:id="18" w:name="_Toc30762906"/>
    <w:bookmarkStart w:id="19" w:name="_Toc30767560"/>
    <w:bookmarkStart w:id="20" w:name="_Toc34823578"/>
    <w:bookmarkEnd w:id="0"/>
    <w:p w14:paraId="7EE6F4CE" w14:textId="236C84F5" w:rsidR="00EE5134" w:rsidRPr="00715E37" w:rsidRDefault="006C5BB8">
      <w:pPr>
        <w:pStyle w:val="Heading1"/>
        <w:numPr>
          <w:ilvl w:val="0"/>
          <w:numId w:val="0"/>
        </w:numPr>
        <w:spacing w:before="0" w:line="240" w:lineRule="auto"/>
        <w:jc w:val="center"/>
        <w:rPr>
          <w:rFonts w:ascii="Arial" w:hAnsi="Arial" w:cs="Arial"/>
          <w:b/>
          <w:bCs/>
          <w:color w:val="FF0000"/>
          <w:sz w:val="40"/>
        </w:rPr>
      </w:pPr>
      <w:r w:rsidRPr="00715E37">
        <w:rPr>
          <w:rFonts w:ascii="Arial" w:hAnsi="Arial" w:cs="Arial"/>
          <w:b/>
          <w:bCs/>
          <w:color w:val="FF0000"/>
          <w:sz w:val="40"/>
        </w:rPr>
        <w:fldChar w:fldCharType="begin"/>
      </w:r>
      <w:r w:rsidRPr="00715E37">
        <w:rPr>
          <w:rFonts w:ascii="Arial" w:hAnsi="Arial" w:cs="Arial"/>
          <w:b/>
          <w:bCs/>
          <w:color w:val="FF0000"/>
          <w:sz w:val="40"/>
        </w:rPr>
        <w:instrText xml:space="preserve"> HYPERLINK  \l "_8.__CRIMINAL" </w:instrText>
      </w:r>
      <w:r w:rsidRPr="00715E37">
        <w:rPr>
          <w:rFonts w:ascii="Arial" w:hAnsi="Arial" w:cs="Arial"/>
          <w:b/>
          <w:bCs/>
          <w:color w:val="FF0000"/>
          <w:sz w:val="40"/>
        </w:rPr>
      </w:r>
      <w:r w:rsidRPr="00715E37">
        <w:rPr>
          <w:rFonts w:ascii="Arial" w:hAnsi="Arial" w:cs="Arial"/>
          <w:b/>
          <w:bCs/>
          <w:color w:val="FF0000"/>
          <w:sz w:val="40"/>
        </w:rPr>
        <w:fldChar w:fldCharType="separate"/>
      </w:r>
      <w:r w:rsidR="00EE5134" w:rsidRPr="00715E37">
        <w:rPr>
          <w:rStyle w:val="Hyperlink"/>
          <w:rFonts w:ascii="Arial" w:hAnsi="Arial" w:cs="Arial"/>
          <w:b/>
          <w:bCs/>
          <w:color w:val="FF0000"/>
          <w:sz w:val="40"/>
          <w:u w:val="none"/>
        </w:rPr>
        <w:t xml:space="preserve">8.  CRIMINAL DIVISION </w:t>
      </w:r>
      <w:r w:rsidR="009F71A1" w:rsidRPr="00715E37">
        <w:rPr>
          <w:rStyle w:val="Hyperlink"/>
          <w:rFonts w:ascii="Arial" w:hAnsi="Arial" w:cs="Arial"/>
          <w:b/>
          <w:bCs/>
          <w:color w:val="FF0000"/>
          <w:sz w:val="40"/>
          <w:u w:val="none"/>
        </w:rPr>
        <w:t>–</w:t>
      </w:r>
      <w:r w:rsidR="00EE5134" w:rsidRPr="00715E37">
        <w:rPr>
          <w:rStyle w:val="Hyperlink"/>
          <w:rFonts w:ascii="Arial" w:hAnsi="Arial" w:cs="Arial"/>
          <w:b/>
          <w:bCs/>
          <w:color w:val="FF0000"/>
          <w:sz w:val="40"/>
          <w:u w:val="none"/>
        </w:rPr>
        <w:t xml:space="preserve"> INVESTIGATION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715E37">
        <w:rPr>
          <w:rFonts w:ascii="Arial" w:hAnsi="Arial" w:cs="Arial"/>
          <w:b/>
          <w:bCs/>
          <w:color w:val="FF0000"/>
          <w:sz w:val="40"/>
        </w:rPr>
        <w:fldChar w:fldCharType="end"/>
      </w:r>
    </w:p>
    <w:p w14:paraId="7D4A7399" w14:textId="77777777" w:rsidR="00EE5134" w:rsidRDefault="00EE5134">
      <w:pPr>
        <w:jc w:val="both"/>
        <w:rPr>
          <w:rFonts w:ascii="Arial" w:hAnsi="Arial" w:cs="Arial"/>
        </w:rPr>
      </w:pPr>
    </w:p>
    <w:p w14:paraId="2C41C306" w14:textId="77777777" w:rsidR="00EE5134" w:rsidRPr="00715E37" w:rsidRDefault="00EE5134">
      <w:pPr>
        <w:pBdr>
          <w:top w:val="single" w:sz="4" w:space="1" w:color="auto"/>
          <w:left w:val="single" w:sz="4" w:space="4" w:color="auto"/>
          <w:bottom w:val="single" w:sz="4" w:space="1" w:color="auto"/>
          <w:right w:val="single" w:sz="4" w:space="4" w:color="auto"/>
        </w:pBdr>
        <w:rPr>
          <w:rFonts w:ascii="Arial" w:hAnsi="Arial" w:cs="Arial"/>
          <w:b/>
          <w:bCs/>
          <w:sz w:val="20"/>
          <w:szCs w:val="40"/>
        </w:rPr>
      </w:pPr>
    </w:p>
    <w:p w14:paraId="5747BBF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8.1_Search_warrants" w:history="1">
        <w:r w:rsidRPr="008F635B">
          <w:rPr>
            <w:rStyle w:val="Hyperlink"/>
            <w:rFonts w:ascii="Arial" w:hAnsi="Arial" w:cs="Arial"/>
            <w:b/>
            <w:bCs/>
            <w:color w:val="0000FF"/>
            <w:u w:val="none"/>
          </w:rPr>
          <w:t>8.1</w:t>
        </w:r>
        <w:r w:rsidRPr="008F635B">
          <w:rPr>
            <w:rStyle w:val="Hyperlink"/>
            <w:rFonts w:ascii="Arial" w:hAnsi="Arial" w:cs="Arial"/>
            <w:b/>
            <w:bCs/>
            <w:color w:val="0000FF"/>
            <w:u w:val="none"/>
          </w:rPr>
          <w:tab/>
          <w:t>Search warrants</w:t>
        </w:r>
      </w:hyperlink>
    </w:p>
    <w:p w14:paraId="7601EE1B" w14:textId="77777777" w:rsidR="00EE5134" w:rsidRPr="008F635B" w:rsidRDefault="00EE5134" w:rsidP="00BA3CD7">
      <w:pPr>
        <w:pBdr>
          <w:top w:val="single" w:sz="4" w:space="1" w:color="auto"/>
          <w:left w:val="single" w:sz="4" w:space="4" w:color="auto"/>
          <w:bottom w:val="single" w:sz="4" w:space="1" w:color="auto"/>
          <w:right w:val="single" w:sz="4" w:space="4" w:color="auto"/>
        </w:pBdr>
        <w:spacing w:before="120"/>
        <w:rPr>
          <w:rFonts w:ascii="Arial" w:hAnsi="Arial" w:cs="Arial"/>
          <w:b/>
          <w:bCs/>
          <w:color w:val="0000FF"/>
        </w:rPr>
      </w:pPr>
      <w:hyperlink w:anchor="_8.2_Records_of" w:history="1">
        <w:r w:rsidRPr="008F635B">
          <w:rPr>
            <w:rStyle w:val="Hyperlink"/>
            <w:rFonts w:ascii="Arial" w:hAnsi="Arial" w:cs="Arial"/>
            <w:b/>
            <w:bCs/>
            <w:color w:val="0000FF"/>
            <w:u w:val="none"/>
          </w:rPr>
          <w:t>8.2</w:t>
        </w:r>
        <w:r w:rsidRPr="008F635B">
          <w:rPr>
            <w:rStyle w:val="Hyperlink"/>
            <w:rFonts w:ascii="Arial" w:hAnsi="Arial" w:cs="Arial"/>
            <w:b/>
            <w:bCs/>
            <w:color w:val="0000FF"/>
            <w:u w:val="none"/>
          </w:rPr>
          <w:tab/>
          <w:t>Record of interview/Confessional statement</w:t>
        </w:r>
      </w:hyperlink>
    </w:p>
    <w:p w14:paraId="43186EAE" w14:textId="77777777" w:rsidR="00EE5134" w:rsidRPr="008F635B" w:rsidRDefault="00EE5134"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2.1_Voluntariness" w:history="1">
        <w:r w:rsidRPr="008F635B">
          <w:rPr>
            <w:rStyle w:val="Hyperlink"/>
            <w:rFonts w:ascii="Arial" w:hAnsi="Arial" w:cs="Arial"/>
            <w:b/>
            <w:bCs/>
            <w:color w:val="0000FF"/>
            <w:sz w:val="20"/>
            <w:u w:val="none"/>
          </w:rPr>
          <w:tab/>
          <w:t>8.2.1</w:t>
        </w:r>
        <w:r w:rsidRPr="008F635B">
          <w:rPr>
            <w:rStyle w:val="Hyperlink"/>
            <w:rFonts w:ascii="Arial" w:hAnsi="Arial" w:cs="Arial"/>
            <w:b/>
            <w:bCs/>
            <w:color w:val="0000FF"/>
            <w:sz w:val="20"/>
            <w:u w:val="none"/>
          </w:rPr>
          <w:tab/>
          <w:t>Voluntariness</w:t>
        </w:r>
      </w:hyperlink>
    </w:p>
    <w:p w14:paraId="1B5AE035"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2_Regulation_of" w:history="1">
        <w:r w:rsidRPr="008F635B">
          <w:rPr>
            <w:rStyle w:val="Hyperlink"/>
            <w:rFonts w:ascii="Arial" w:hAnsi="Arial" w:cs="Arial"/>
            <w:b/>
            <w:bCs/>
            <w:color w:val="0000FF"/>
            <w:sz w:val="20"/>
            <w:u w:val="none"/>
          </w:rPr>
          <w:tab/>
          <w:t>8.2.2</w:t>
        </w:r>
        <w:r w:rsidRPr="008F635B">
          <w:rPr>
            <w:rStyle w:val="Hyperlink"/>
            <w:rFonts w:ascii="Arial" w:hAnsi="Arial" w:cs="Arial"/>
            <w:b/>
            <w:bCs/>
            <w:color w:val="0000FF"/>
            <w:sz w:val="20"/>
            <w:u w:val="none"/>
          </w:rPr>
          <w:tab/>
        </w:r>
        <w:r w:rsidR="009B0EA5" w:rsidRPr="008F635B">
          <w:rPr>
            <w:rStyle w:val="Hyperlink"/>
            <w:rFonts w:ascii="Arial" w:hAnsi="Arial" w:cs="Arial"/>
            <w:b/>
            <w:bCs/>
            <w:color w:val="0000FF"/>
            <w:sz w:val="20"/>
            <w:u w:val="none"/>
          </w:rPr>
          <w:t>Regulation of conduct by investigating offic</w:t>
        </w:r>
        <w:r w:rsidR="00B81434" w:rsidRPr="008F635B">
          <w:rPr>
            <w:rStyle w:val="Hyperlink"/>
            <w:rFonts w:ascii="Arial" w:hAnsi="Arial" w:cs="Arial"/>
            <w:b/>
            <w:bCs/>
            <w:color w:val="0000FF"/>
            <w:sz w:val="20"/>
            <w:u w:val="none"/>
          </w:rPr>
          <w:t>i</w:t>
        </w:r>
        <w:r w:rsidR="009B0EA5" w:rsidRPr="008F635B">
          <w:rPr>
            <w:rStyle w:val="Hyperlink"/>
            <w:rFonts w:ascii="Arial" w:hAnsi="Arial" w:cs="Arial"/>
            <w:b/>
            <w:bCs/>
            <w:color w:val="0000FF"/>
            <w:sz w:val="20"/>
            <w:u w:val="none"/>
          </w:rPr>
          <w:t>al</w:t>
        </w:r>
      </w:hyperlink>
    </w:p>
    <w:p w14:paraId="08580050"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3_Tape-recording_of" w:history="1">
        <w:r w:rsidRPr="008F635B">
          <w:rPr>
            <w:rStyle w:val="Hyperlink"/>
            <w:rFonts w:ascii="Arial" w:hAnsi="Arial" w:cs="Arial"/>
            <w:b/>
            <w:bCs/>
            <w:color w:val="0000FF"/>
            <w:sz w:val="20"/>
            <w:u w:val="none"/>
          </w:rPr>
          <w:tab/>
          <w:t>8.2.3</w:t>
        </w:r>
        <w:r w:rsidRPr="008F635B">
          <w:rPr>
            <w:rStyle w:val="Hyperlink"/>
            <w:rFonts w:ascii="Arial" w:hAnsi="Arial" w:cs="Arial"/>
            <w:b/>
            <w:bCs/>
            <w:color w:val="0000FF"/>
            <w:sz w:val="20"/>
            <w:u w:val="none"/>
          </w:rPr>
          <w:tab/>
          <w:t>Tape-recording of confessions and admissions</w:t>
        </w:r>
      </w:hyperlink>
    </w:p>
    <w:p w14:paraId="3310B33D" w14:textId="7F4649AD"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4_Whether_the" w:history="1">
        <w:r w:rsidRPr="008F635B">
          <w:rPr>
            <w:rStyle w:val="Hyperlink"/>
            <w:rFonts w:ascii="Arial" w:hAnsi="Arial" w:cs="Arial"/>
            <w:b/>
            <w:bCs/>
            <w:color w:val="0000FF"/>
            <w:sz w:val="20"/>
            <w:u w:val="none"/>
          </w:rPr>
          <w:tab/>
          <w:t>8.2.4</w:t>
        </w:r>
        <w:r w:rsidR="00624FD8">
          <w:rPr>
            <w:rFonts w:ascii="Arial" w:hAnsi="Arial" w:cs="Arial"/>
            <w:b/>
            <w:color w:val="FFFFFF" w:themeColor="background1"/>
            <w:sz w:val="20"/>
            <w:szCs w:val="22"/>
            <w:shd w:val="clear" w:color="auto" w:fill="000000"/>
          </w:rPr>
          <w:t>A</w:t>
        </w:r>
        <w:r w:rsidRPr="008F635B">
          <w:rPr>
            <w:rStyle w:val="Hyperlink"/>
            <w:rFonts w:ascii="Arial" w:hAnsi="Arial" w:cs="Arial"/>
            <w:b/>
            <w:bCs/>
            <w:color w:val="0000FF"/>
            <w:sz w:val="20"/>
            <w:u w:val="none"/>
          </w:rPr>
          <w:tab/>
          <w:t>Whether a person in custody is a 'suspect'</w:t>
        </w:r>
      </w:hyperlink>
    </w:p>
    <w:p w14:paraId="11E7DE08" w14:textId="58435CEF" w:rsidR="00624FD8" w:rsidRDefault="00624FD8">
      <w:pPr>
        <w:pBdr>
          <w:top w:val="single" w:sz="4" w:space="1" w:color="auto"/>
          <w:left w:val="single" w:sz="4" w:space="4" w:color="auto"/>
          <w:bottom w:val="single" w:sz="4" w:space="1" w:color="auto"/>
          <w:right w:val="single" w:sz="4" w:space="4" w:color="auto"/>
        </w:pBdr>
      </w:pPr>
      <w:hyperlink w:anchor="_8.2.4B_Whether_the" w:history="1">
        <w:r w:rsidRPr="008F635B">
          <w:rPr>
            <w:rStyle w:val="Hyperlink"/>
            <w:rFonts w:ascii="Arial" w:hAnsi="Arial" w:cs="Arial"/>
            <w:b/>
            <w:bCs/>
            <w:color w:val="0000FF"/>
            <w:sz w:val="20"/>
            <w:u w:val="none"/>
          </w:rPr>
          <w:tab/>
          <w:t>8.2.4</w:t>
        </w:r>
        <w:r>
          <w:rPr>
            <w:rFonts w:ascii="Arial" w:hAnsi="Arial" w:cs="Arial"/>
            <w:b/>
            <w:color w:val="FFFFFF" w:themeColor="background1"/>
            <w:sz w:val="20"/>
            <w:szCs w:val="22"/>
            <w:shd w:val="clear" w:color="auto" w:fill="000000"/>
          </w:rPr>
          <w:t>B</w:t>
        </w:r>
        <w:r w:rsidRPr="008F635B">
          <w:rPr>
            <w:rStyle w:val="Hyperlink"/>
            <w:rFonts w:ascii="Arial" w:hAnsi="Arial" w:cs="Arial"/>
            <w:b/>
            <w:bCs/>
            <w:color w:val="0000FF"/>
            <w:sz w:val="20"/>
            <w:u w:val="none"/>
          </w:rPr>
          <w:tab/>
          <w:t xml:space="preserve">Whether a person </w:t>
        </w:r>
        <w:r>
          <w:rPr>
            <w:rStyle w:val="Hyperlink"/>
            <w:rFonts w:ascii="Arial" w:hAnsi="Arial" w:cs="Arial"/>
            <w:b/>
            <w:bCs/>
            <w:color w:val="0000FF"/>
            <w:sz w:val="20"/>
            <w:u w:val="none"/>
          </w:rPr>
          <w:t xml:space="preserve">questioned is </w:t>
        </w:r>
        <w:r w:rsidR="00B5433E">
          <w:rPr>
            <w:rStyle w:val="Hyperlink"/>
            <w:rFonts w:ascii="Arial" w:hAnsi="Arial" w:cs="Arial"/>
            <w:b/>
            <w:bCs/>
            <w:color w:val="0000FF"/>
            <w:sz w:val="20"/>
            <w:u w:val="none"/>
          </w:rPr>
          <w:t>‘</w:t>
        </w:r>
        <w:r w:rsidRPr="008F635B">
          <w:rPr>
            <w:rStyle w:val="Hyperlink"/>
            <w:rFonts w:ascii="Arial" w:hAnsi="Arial" w:cs="Arial"/>
            <w:b/>
            <w:bCs/>
            <w:color w:val="0000FF"/>
            <w:sz w:val="20"/>
            <w:u w:val="none"/>
          </w:rPr>
          <w:t>in custod</w:t>
        </w:r>
        <w:r w:rsidR="00B5433E">
          <w:rPr>
            <w:rStyle w:val="Hyperlink"/>
            <w:rFonts w:ascii="Arial" w:hAnsi="Arial" w:cs="Arial"/>
            <w:b/>
            <w:bCs/>
            <w:color w:val="0000FF"/>
            <w:sz w:val="20"/>
            <w:u w:val="none"/>
          </w:rPr>
          <w:t>y’</w:t>
        </w:r>
      </w:hyperlink>
    </w:p>
    <w:p w14:paraId="22B8EB27" w14:textId="4B6F8FAE"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5_Questioning_within" w:history="1">
        <w:r w:rsidRPr="008F635B">
          <w:rPr>
            <w:rStyle w:val="Hyperlink"/>
            <w:rFonts w:ascii="Arial" w:hAnsi="Arial" w:cs="Arial"/>
            <w:b/>
            <w:bCs/>
            <w:color w:val="0000FF"/>
            <w:sz w:val="20"/>
            <w:u w:val="none"/>
          </w:rPr>
          <w:tab/>
          <w:t>8.2.5</w:t>
        </w:r>
        <w:r w:rsidRPr="008F635B">
          <w:rPr>
            <w:rStyle w:val="Hyperlink"/>
            <w:rFonts w:ascii="Arial" w:hAnsi="Arial" w:cs="Arial"/>
            <w:b/>
            <w:bCs/>
            <w:color w:val="0000FF"/>
            <w:sz w:val="20"/>
            <w:u w:val="none"/>
          </w:rPr>
          <w:tab/>
        </w:r>
        <w:bookmarkStart w:id="21" w:name="_Hlk13655133"/>
        <w:r w:rsidR="00285A4A" w:rsidRPr="008F635B">
          <w:rPr>
            <w:rStyle w:val="Hyperlink"/>
            <w:rFonts w:ascii="Arial" w:hAnsi="Arial" w:cs="Arial"/>
            <w:b/>
            <w:bCs/>
            <w:color w:val="0000FF"/>
            <w:sz w:val="20"/>
            <w:u w:val="none"/>
          </w:rPr>
          <w:t>Questioning within reasonable time, information re offence and right to silence</w:t>
        </w:r>
        <w:bookmarkEnd w:id="21"/>
      </w:hyperlink>
    </w:p>
    <w:p w14:paraId="2B21EF4A"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6_Questioning_or" w:history="1">
        <w:r w:rsidRPr="008F635B">
          <w:rPr>
            <w:rStyle w:val="Hyperlink"/>
            <w:rFonts w:ascii="Arial" w:hAnsi="Arial" w:cs="Arial"/>
            <w:b/>
            <w:bCs/>
            <w:color w:val="0000FF"/>
            <w:sz w:val="20"/>
            <w:u w:val="none"/>
          </w:rPr>
          <w:tab/>
          <w:t>8.2.6</w:t>
        </w:r>
        <w:r w:rsidRPr="008F635B">
          <w:rPr>
            <w:rStyle w:val="Hyperlink"/>
            <w:rFonts w:ascii="Arial" w:hAnsi="Arial" w:cs="Arial"/>
            <w:b/>
            <w:bCs/>
            <w:color w:val="0000FF"/>
            <w:sz w:val="20"/>
            <w:u w:val="none"/>
          </w:rPr>
          <w:tab/>
          <w:t>Questioning or investigation of a person already held in custody for anor matter</w:t>
        </w:r>
      </w:hyperlink>
    </w:p>
    <w:p w14:paraId="4FE5C598"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7_Right_to" w:history="1">
        <w:r w:rsidRPr="008F635B">
          <w:rPr>
            <w:rStyle w:val="Hyperlink"/>
            <w:rFonts w:ascii="Arial" w:hAnsi="Arial" w:cs="Arial"/>
            <w:b/>
            <w:bCs/>
            <w:color w:val="0000FF"/>
            <w:sz w:val="20"/>
            <w:u w:val="none"/>
          </w:rPr>
          <w:tab/>
          <w:t>8.2.7</w:t>
        </w:r>
        <w:r w:rsidRPr="008F635B">
          <w:rPr>
            <w:rStyle w:val="Hyperlink"/>
            <w:rFonts w:ascii="Arial" w:hAnsi="Arial" w:cs="Arial"/>
            <w:b/>
            <w:bCs/>
            <w:color w:val="0000FF"/>
            <w:sz w:val="20"/>
            <w:u w:val="none"/>
          </w:rPr>
          <w:tab/>
          <w:t>Right to communicate</w:t>
        </w:r>
      </w:hyperlink>
    </w:p>
    <w:p w14:paraId="3CDA3EA5"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8_Right_to" w:history="1">
        <w:r w:rsidRPr="008F635B">
          <w:rPr>
            <w:rStyle w:val="Hyperlink"/>
            <w:rFonts w:ascii="Arial" w:hAnsi="Arial" w:cs="Arial"/>
            <w:b/>
            <w:bCs/>
            <w:color w:val="0000FF"/>
            <w:sz w:val="20"/>
            <w:u w:val="none"/>
          </w:rPr>
          <w:tab/>
          <w:t>8.2.8</w:t>
        </w:r>
        <w:r w:rsidRPr="008F635B">
          <w:rPr>
            <w:rStyle w:val="Hyperlink"/>
            <w:rFonts w:ascii="Arial" w:hAnsi="Arial" w:cs="Arial"/>
            <w:b/>
            <w:bCs/>
            <w:color w:val="0000FF"/>
            <w:sz w:val="20"/>
            <w:u w:val="none"/>
          </w:rPr>
          <w:tab/>
          <w:t>Right to an interpreter</w:t>
        </w:r>
      </w:hyperlink>
    </w:p>
    <w:p w14:paraId="1BA22566"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9_Right_of" w:history="1">
        <w:r w:rsidRPr="008F635B">
          <w:rPr>
            <w:rStyle w:val="Hyperlink"/>
            <w:rFonts w:ascii="Arial" w:hAnsi="Arial" w:cs="Arial"/>
            <w:b/>
            <w:bCs/>
            <w:color w:val="0000FF"/>
            <w:sz w:val="20"/>
            <w:u w:val="none"/>
          </w:rPr>
          <w:tab/>
          <w:t>8.2.9</w:t>
        </w:r>
        <w:r w:rsidRPr="008F635B">
          <w:rPr>
            <w:rStyle w:val="Hyperlink"/>
            <w:rFonts w:ascii="Arial" w:hAnsi="Arial" w:cs="Arial"/>
            <w:b/>
            <w:bCs/>
            <w:color w:val="0000FF"/>
            <w:sz w:val="20"/>
            <w:u w:val="none"/>
          </w:rPr>
          <w:tab/>
          <w:t>Right of person under 1</w:t>
        </w:r>
        <w:r w:rsidR="003106FD" w:rsidRPr="008F635B">
          <w:rPr>
            <w:rStyle w:val="Hyperlink"/>
            <w:rFonts w:ascii="Arial" w:hAnsi="Arial" w:cs="Arial"/>
            <w:b/>
            <w:bCs/>
            <w:color w:val="0000FF"/>
            <w:sz w:val="20"/>
            <w:u w:val="none"/>
          </w:rPr>
          <w:t>8</w:t>
        </w:r>
        <w:r w:rsidRPr="008F635B">
          <w:rPr>
            <w:rStyle w:val="Hyperlink"/>
            <w:rFonts w:ascii="Arial" w:hAnsi="Arial" w:cs="Arial"/>
            <w:b/>
            <w:bCs/>
            <w:color w:val="0000FF"/>
            <w:sz w:val="20"/>
            <w:u w:val="none"/>
          </w:rPr>
          <w:t xml:space="preserve"> to presence of parent guardian or independent person</w:t>
        </w:r>
      </w:hyperlink>
    </w:p>
    <w:p w14:paraId="36816B49"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0_Consequence_of" w:history="1">
        <w:r w:rsidRPr="008F635B">
          <w:rPr>
            <w:rStyle w:val="Hyperlink"/>
            <w:rFonts w:ascii="Arial" w:hAnsi="Arial" w:cs="Arial"/>
            <w:b/>
            <w:bCs/>
            <w:color w:val="0000FF"/>
            <w:sz w:val="20"/>
            <w:u w:val="none"/>
          </w:rPr>
          <w:tab/>
          <w:t>8.2.10</w:t>
        </w:r>
        <w:r w:rsidRPr="008F635B">
          <w:rPr>
            <w:rStyle w:val="Hyperlink"/>
            <w:rFonts w:ascii="Arial" w:hAnsi="Arial" w:cs="Arial"/>
            <w:b/>
            <w:bCs/>
            <w:color w:val="0000FF"/>
            <w:sz w:val="20"/>
            <w:u w:val="none"/>
          </w:rPr>
          <w:tab/>
          <w:t>Consequence of failure to comply with the statutory requirements</w:t>
        </w:r>
      </w:hyperlink>
    </w:p>
    <w:p w14:paraId="1DFD8FF6"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1_Pollard_v" w:history="1">
        <w:r w:rsidRPr="008F635B">
          <w:rPr>
            <w:rStyle w:val="Hyperlink"/>
            <w:rFonts w:ascii="Arial" w:hAnsi="Arial" w:cs="Arial"/>
            <w:b/>
            <w:bCs/>
            <w:color w:val="0000FF"/>
            <w:sz w:val="20"/>
            <w:u w:val="none"/>
          </w:rPr>
          <w:tab/>
          <w:t>8.2.11</w:t>
        </w:r>
        <w:r w:rsidRPr="008F635B">
          <w:rPr>
            <w:rStyle w:val="Hyperlink"/>
            <w:rFonts w:ascii="Arial" w:hAnsi="Arial" w:cs="Arial"/>
            <w:b/>
            <w:bCs/>
            <w:color w:val="0000FF"/>
            <w:sz w:val="20"/>
            <w:u w:val="none"/>
          </w:rPr>
          <w:tab/>
        </w:r>
        <w:r w:rsidRPr="008F635B">
          <w:rPr>
            <w:rStyle w:val="Hyperlink"/>
            <w:rFonts w:ascii="Arial" w:hAnsi="Arial" w:cs="Arial"/>
            <w:b/>
            <w:bCs/>
            <w:i/>
            <w:iCs/>
            <w:color w:val="0000FF"/>
            <w:sz w:val="20"/>
            <w:u w:val="none"/>
          </w:rPr>
          <w:t>Pollard v R</w:t>
        </w:r>
        <w:r w:rsidRPr="008F635B">
          <w:rPr>
            <w:rStyle w:val="Hyperlink"/>
            <w:rFonts w:ascii="Arial" w:hAnsi="Arial" w:cs="Arial"/>
            <w:b/>
            <w:bCs/>
            <w:color w:val="0000FF"/>
            <w:sz w:val="20"/>
            <w:u w:val="none"/>
          </w:rPr>
          <w:t xml:space="preserve"> (1992) 176 CLR 177</w:t>
        </w:r>
      </w:hyperlink>
    </w:p>
    <w:p w14:paraId="23888BF0"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2_Unfairness_&amp;" w:history="1">
        <w:r w:rsidRPr="008F635B">
          <w:rPr>
            <w:rStyle w:val="Hyperlink"/>
            <w:rFonts w:ascii="Arial" w:hAnsi="Arial" w:cs="Arial"/>
            <w:b/>
            <w:bCs/>
            <w:color w:val="0000FF"/>
            <w:sz w:val="20"/>
            <w:u w:val="none"/>
          </w:rPr>
          <w:tab/>
          <w:t>8.2.12</w:t>
        </w:r>
        <w:r w:rsidRPr="008F635B">
          <w:rPr>
            <w:rStyle w:val="Hyperlink"/>
            <w:rFonts w:ascii="Arial" w:hAnsi="Arial" w:cs="Arial"/>
            <w:b/>
            <w:bCs/>
            <w:color w:val="0000FF"/>
            <w:sz w:val="20"/>
            <w:u w:val="none"/>
          </w:rPr>
          <w:tab/>
          <w:t>Unfairness &amp; public policy in absence of direct illegality</w:t>
        </w:r>
      </w:hyperlink>
    </w:p>
    <w:p w14:paraId="486D392C"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3_Reliability" w:history="1">
        <w:r w:rsidRPr="008F635B">
          <w:rPr>
            <w:rStyle w:val="Hyperlink"/>
            <w:rFonts w:ascii="Arial" w:hAnsi="Arial" w:cs="Arial"/>
            <w:b/>
            <w:bCs/>
            <w:color w:val="0000FF"/>
            <w:sz w:val="20"/>
            <w:u w:val="none"/>
          </w:rPr>
          <w:tab/>
          <w:t>8.2.13</w:t>
        </w:r>
        <w:r w:rsidRPr="008F635B">
          <w:rPr>
            <w:rStyle w:val="Hyperlink"/>
            <w:rFonts w:ascii="Arial" w:hAnsi="Arial" w:cs="Arial"/>
            <w:b/>
            <w:bCs/>
            <w:color w:val="0000FF"/>
            <w:sz w:val="20"/>
            <w:u w:val="none"/>
          </w:rPr>
          <w:tab/>
          <w:t>Reliability</w:t>
        </w:r>
      </w:hyperlink>
    </w:p>
    <w:p w14:paraId="48C7546E" w14:textId="117CB480" w:rsidR="003A32F3" w:rsidRPr="008F635B" w:rsidRDefault="003A32F3" w:rsidP="003A32F3">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4_Inadmissibility_of" w:history="1">
        <w:r w:rsidRPr="008F635B">
          <w:rPr>
            <w:rStyle w:val="Hyperlink"/>
            <w:rFonts w:ascii="Arial" w:hAnsi="Arial" w:cs="Arial"/>
            <w:b/>
            <w:bCs/>
            <w:color w:val="0000FF"/>
            <w:sz w:val="20"/>
            <w:u w:val="none"/>
          </w:rPr>
          <w:tab/>
          <w:t>8.2.1</w:t>
        </w:r>
        <w:r>
          <w:rPr>
            <w:rStyle w:val="Hyperlink"/>
            <w:rFonts w:ascii="Arial" w:hAnsi="Arial" w:cs="Arial"/>
            <w:b/>
            <w:bCs/>
            <w:color w:val="0000FF"/>
            <w:sz w:val="20"/>
            <w:u w:val="none"/>
          </w:rPr>
          <w:t>4</w:t>
        </w:r>
        <w:r w:rsidRPr="008F635B">
          <w:rPr>
            <w:rStyle w:val="Hyperlink"/>
            <w:rFonts w:ascii="Arial" w:hAnsi="Arial" w:cs="Arial"/>
            <w:b/>
            <w:bCs/>
            <w:color w:val="0000FF"/>
            <w:sz w:val="20"/>
            <w:u w:val="none"/>
          </w:rPr>
          <w:tab/>
        </w:r>
        <w:r>
          <w:rPr>
            <w:rStyle w:val="Hyperlink"/>
            <w:rFonts w:ascii="Arial" w:hAnsi="Arial" w:cs="Arial"/>
            <w:b/>
            <w:bCs/>
            <w:color w:val="0000FF"/>
            <w:sz w:val="20"/>
            <w:u w:val="none"/>
          </w:rPr>
          <w:t>Inadmissibility of confession by treat</w:t>
        </w:r>
        <w:r w:rsidR="000D3AA3">
          <w:rPr>
            <w:rStyle w:val="Hyperlink"/>
            <w:rFonts w:ascii="Arial" w:hAnsi="Arial" w:cs="Arial"/>
            <w:b/>
            <w:bCs/>
            <w:color w:val="0000FF"/>
            <w:sz w:val="20"/>
            <w:u w:val="none"/>
          </w:rPr>
          <w:t>ed</w:t>
        </w:r>
        <w:r>
          <w:rPr>
            <w:rStyle w:val="Hyperlink"/>
            <w:rFonts w:ascii="Arial" w:hAnsi="Arial" w:cs="Arial"/>
            <w:b/>
            <w:bCs/>
            <w:color w:val="0000FF"/>
            <w:sz w:val="20"/>
            <w:u w:val="none"/>
          </w:rPr>
          <w:t xml:space="preserve"> child or rating of risk of reoffending</w:t>
        </w:r>
      </w:hyperlink>
    </w:p>
    <w:p w14:paraId="213735A9" w14:textId="77777777" w:rsidR="00EE5134" w:rsidRPr="008F635B" w:rsidRDefault="00EE5134" w:rsidP="003C5F89">
      <w:pPr>
        <w:pBdr>
          <w:top w:val="single" w:sz="4" w:space="1" w:color="auto"/>
          <w:left w:val="single" w:sz="4" w:space="4" w:color="auto"/>
          <w:bottom w:val="single" w:sz="4" w:space="1" w:color="auto"/>
          <w:right w:val="single" w:sz="4" w:space="4" w:color="auto"/>
        </w:pBdr>
        <w:spacing w:before="120"/>
        <w:rPr>
          <w:rFonts w:ascii="Arial" w:hAnsi="Arial" w:cs="Arial"/>
          <w:b/>
          <w:bCs/>
          <w:color w:val="0000FF"/>
        </w:rPr>
      </w:pPr>
      <w:hyperlink w:anchor="_8.3_Fingerprinting" w:history="1">
        <w:r w:rsidRPr="008F635B">
          <w:rPr>
            <w:rStyle w:val="Hyperlink"/>
            <w:rFonts w:ascii="Arial" w:hAnsi="Arial" w:cs="Arial"/>
            <w:b/>
            <w:bCs/>
            <w:color w:val="0000FF"/>
            <w:u w:val="none"/>
          </w:rPr>
          <w:t>8.3</w:t>
        </w:r>
        <w:r w:rsidRPr="008F635B">
          <w:rPr>
            <w:rStyle w:val="Hyperlink"/>
            <w:rFonts w:ascii="Arial" w:hAnsi="Arial" w:cs="Arial"/>
            <w:b/>
            <w:bCs/>
            <w:color w:val="0000FF"/>
            <w:u w:val="none"/>
          </w:rPr>
          <w:tab/>
          <w:t>Fingerprinting</w:t>
        </w:r>
      </w:hyperlink>
    </w:p>
    <w:p w14:paraId="5E1264B7" w14:textId="5BC58388" w:rsidR="00EE5134" w:rsidRPr="008F635B" w:rsidRDefault="00EE5134"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3.1_Adult_or" w:history="1">
        <w:r w:rsidRPr="008F635B">
          <w:rPr>
            <w:rStyle w:val="Hyperlink"/>
            <w:rFonts w:ascii="Arial" w:hAnsi="Arial" w:cs="Arial"/>
            <w:b/>
            <w:bCs/>
            <w:color w:val="0000FF"/>
            <w:sz w:val="20"/>
            <w:u w:val="none"/>
          </w:rPr>
          <w:tab/>
          <w:t>8.3.1</w:t>
        </w:r>
        <w:r w:rsidRPr="008F635B">
          <w:rPr>
            <w:rStyle w:val="Hyperlink"/>
            <w:rFonts w:ascii="Arial" w:hAnsi="Arial" w:cs="Arial"/>
            <w:b/>
            <w:bCs/>
            <w:color w:val="0000FF"/>
            <w:sz w:val="20"/>
            <w:u w:val="none"/>
          </w:rPr>
          <w:tab/>
        </w:r>
        <w:r w:rsidR="00E536EA">
          <w:rPr>
            <w:rStyle w:val="Hyperlink"/>
            <w:rFonts w:ascii="Arial" w:hAnsi="Arial" w:cs="Arial"/>
            <w:b/>
            <w:bCs/>
            <w:color w:val="0000FF"/>
            <w:sz w:val="20"/>
            <w:u w:val="none"/>
          </w:rPr>
          <w:t>Chil</w:t>
        </w:r>
        <w:r w:rsidRPr="008F635B">
          <w:rPr>
            <w:rStyle w:val="Hyperlink"/>
            <w:rFonts w:ascii="Arial" w:hAnsi="Arial" w:cs="Arial"/>
            <w:b/>
            <w:bCs/>
            <w:color w:val="0000FF"/>
            <w:sz w:val="20"/>
            <w:u w:val="none"/>
          </w:rPr>
          <w:t xml:space="preserve">d aged 15 or </w:t>
        </w:r>
        <w:r w:rsidR="00E536EA">
          <w:rPr>
            <w:rStyle w:val="Hyperlink"/>
            <w:rFonts w:ascii="Arial" w:hAnsi="Arial" w:cs="Arial"/>
            <w:b/>
            <w:bCs/>
            <w:color w:val="0000FF"/>
            <w:sz w:val="20"/>
            <w:u w:val="none"/>
          </w:rPr>
          <w:t>over or an adult</w:t>
        </w:r>
      </w:hyperlink>
    </w:p>
    <w:p w14:paraId="02AEB5E6" w14:textId="0B8EE3FA"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2_Child_aged" w:history="1">
        <w:r w:rsidRPr="008F635B">
          <w:rPr>
            <w:rStyle w:val="Hyperlink"/>
            <w:rFonts w:ascii="Arial" w:hAnsi="Arial" w:cs="Arial"/>
            <w:b/>
            <w:bCs/>
            <w:color w:val="0000FF"/>
            <w:sz w:val="20"/>
            <w:u w:val="none"/>
          </w:rPr>
          <w:tab/>
          <w:t>8.3.2</w:t>
        </w:r>
        <w:r w:rsidRPr="008F635B">
          <w:rPr>
            <w:rStyle w:val="Hyperlink"/>
            <w:rFonts w:ascii="Arial" w:hAnsi="Arial" w:cs="Arial"/>
            <w:b/>
            <w:bCs/>
            <w:color w:val="0000FF"/>
            <w:sz w:val="20"/>
            <w:u w:val="none"/>
          </w:rPr>
          <w:tab/>
          <w:t>Child aged under 1</w:t>
        </w:r>
        <w:r w:rsidR="005F7C9E">
          <w:rPr>
            <w:rStyle w:val="Hyperlink"/>
            <w:rFonts w:ascii="Arial" w:hAnsi="Arial" w:cs="Arial"/>
            <w:b/>
            <w:bCs/>
            <w:color w:val="0000FF"/>
            <w:sz w:val="20"/>
            <w:u w:val="none"/>
          </w:rPr>
          <w:t>2</w:t>
        </w:r>
      </w:hyperlink>
    </w:p>
    <w:p w14:paraId="0384DDDF" w14:textId="6F2134A1"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_Child_aged" w:history="1">
        <w:r w:rsidRPr="008F635B">
          <w:rPr>
            <w:rStyle w:val="Hyperlink"/>
            <w:rFonts w:ascii="Arial" w:hAnsi="Arial" w:cs="Arial"/>
            <w:b/>
            <w:bCs/>
            <w:color w:val="0000FF"/>
            <w:sz w:val="20"/>
            <w:u w:val="none"/>
          </w:rPr>
          <w:tab/>
          <w:t>8.3.3</w:t>
        </w:r>
        <w:r w:rsidRPr="008F635B">
          <w:rPr>
            <w:rStyle w:val="Hyperlink"/>
            <w:rFonts w:ascii="Arial" w:hAnsi="Arial" w:cs="Arial"/>
            <w:b/>
            <w:bCs/>
            <w:color w:val="0000FF"/>
            <w:sz w:val="20"/>
            <w:u w:val="none"/>
          </w:rPr>
          <w:tab/>
          <w:t>Child aged 1</w:t>
        </w:r>
        <w:r w:rsidR="005F7C9E">
          <w:rPr>
            <w:rStyle w:val="Hyperlink"/>
            <w:rFonts w:ascii="Arial" w:hAnsi="Arial" w:cs="Arial"/>
            <w:b/>
            <w:bCs/>
            <w:color w:val="0000FF"/>
            <w:sz w:val="20"/>
            <w:u w:val="none"/>
          </w:rPr>
          <w:t>2</w:t>
        </w:r>
        <w:r w:rsidRPr="008F635B">
          <w:rPr>
            <w:rStyle w:val="Hyperlink"/>
            <w:rFonts w:ascii="Arial" w:hAnsi="Arial" w:cs="Arial"/>
            <w:b/>
            <w:bCs/>
            <w:color w:val="0000FF"/>
            <w:sz w:val="20"/>
            <w:u w:val="none"/>
          </w:rPr>
          <w:t xml:space="preserve"> to 14</w:t>
        </w:r>
      </w:hyperlink>
    </w:p>
    <w:p w14:paraId="1B407907"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1_Application_fo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8.3.3.1</w:t>
        </w:r>
        <w:r w:rsidRPr="008F635B">
          <w:rPr>
            <w:rStyle w:val="Hyperlink"/>
            <w:rFonts w:ascii="Arial" w:hAnsi="Arial" w:cs="Arial"/>
            <w:b/>
            <w:bCs/>
            <w:color w:val="0000FF"/>
            <w:sz w:val="20"/>
            <w:u w:val="none"/>
          </w:rPr>
          <w:tab/>
          <w:t>Application for an order for fingerprinting</w:t>
        </w:r>
      </w:hyperlink>
    </w:p>
    <w:p w14:paraId="136FB0D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2_Procedure_at"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8.3.3.2</w:t>
        </w:r>
        <w:r w:rsidRPr="008F635B">
          <w:rPr>
            <w:rStyle w:val="Hyperlink"/>
            <w:rFonts w:ascii="Arial" w:hAnsi="Arial" w:cs="Arial"/>
            <w:b/>
            <w:bCs/>
            <w:color w:val="0000FF"/>
            <w:sz w:val="20"/>
            <w:u w:val="none"/>
          </w:rPr>
          <w:tab/>
          <w:t>Procedure at hearing of application</w:t>
        </w:r>
      </w:hyperlink>
    </w:p>
    <w:p w14:paraId="3EDEFDC2"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3_Order_fo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8.3.3.3</w:t>
        </w:r>
        <w:r w:rsidRPr="008F635B">
          <w:rPr>
            <w:rStyle w:val="Hyperlink"/>
            <w:rFonts w:ascii="Arial" w:hAnsi="Arial" w:cs="Arial"/>
            <w:b/>
            <w:bCs/>
            <w:color w:val="0000FF"/>
            <w:sz w:val="20"/>
            <w:u w:val="none"/>
          </w:rPr>
          <w:tab/>
          <w:t>Order for fingerprinting</w:t>
        </w:r>
      </w:hyperlink>
    </w:p>
    <w:p w14:paraId="0BB9C3AC"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4_Warrant_to"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8.3.3.4</w:t>
        </w:r>
        <w:r w:rsidRPr="008F635B">
          <w:rPr>
            <w:rStyle w:val="Hyperlink"/>
            <w:rFonts w:ascii="Arial" w:hAnsi="Arial" w:cs="Arial"/>
            <w:b/>
            <w:bCs/>
            <w:color w:val="0000FF"/>
            <w:sz w:val="20"/>
            <w:u w:val="none"/>
          </w:rPr>
          <w:tab/>
          <w:t>Warrant to arrest for fingerprinting</w:t>
        </w:r>
      </w:hyperlink>
    </w:p>
    <w:p w14:paraId="70946484" w14:textId="77777777" w:rsidR="00EE5134" w:rsidRPr="008F635B" w:rsidRDefault="006C5BB8">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8F635B">
        <w:rPr>
          <w:rFonts w:ascii="Arial" w:hAnsi="Arial" w:cs="Arial"/>
          <w:b/>
          <w:bCs/>
          <w:color w:val="0000FF"/>
          <w:sz w:val="20"/>
        </w:rPr>
        <w:fldChar w:fldCharType="begin"/>
      </w:r>
      <w:r w:rsidRPr="008F635B">
        <w:rPr>
          <w:rFonts w:ascii="Arial" w:hAnsi="Arial" w:cs="Arial"/>
          <w:b/>
          <w:bCs/>
          <w:color w:val="0000FF"/>
          <w:sz w:val="20"/>
        </w:rPr>
        <w:instrText xml:space="preserve"> HYPERLINK  \l "_8.3.3.5_Mandatory_reasons" </w:instrText>
      </w:r>
      <w:r w:rsidRPr="008F635B">
        <w:rPr>
          <w:rFonts w:ascii="Arial" w:hAnsi="Arial" w:cs="Arial"/>
          <w:b/>
          <w:bCs/>
          <w:color w:val="0000FF"/>
          <w:sz w:val="20"/>
        </w:rPr>
      </w:r>
      <w:r w:rsidRPr="008F635B">
        <w:rPr>
          <w:rFonts w:ascii="Arial" w:hAnsi="Arial" w:cs="Arial"/>
          <w:b/>
          <w:bCs/>
          <w:color w:val="0000FF"/>
          <w:sz w:val="20"/>
        </w:rPr>
        <w:fldChar w:fldCharType="separate"/>
      </w:r>
      <w:r w:rsidR="00EE5134" w:rsidRPr="008F635B">
        <w:rPr>
          <w:rStyle w:val="Hyperlink"/>
          <w:rFonts w:ascii="Arial" w:hAnsi="Arial" w:cs="Arial"/>
          <w:b/>
          <w:bCs/>
          <w:color w:val="0000FF"/>
          <w:sz w:val="20"/>
          <w:u w:val="none"/>
        </w:rPr>
        <w:tab/>
      </w:r>
      <w:r w:rsidR="00EE5134" w:rsidRPr="008F635B">
        <w:rPr>
          <w:rStyle w:val="Hyperlink"/>
          <w:rFonts w:ascii="Arial" w:hAnsi="Arial" w:cs="Arial"/>
          <w:b/>
          <w:bCs/>
          <w:color w:val="0000FF"/>
          <w:sz w:val="20"/>
          <w:u w:val="none"/>
        </w:rPr>
        <w:tab/>
        <w:t>8.3.3.5</w:t>
      </w:r>
      <w:r w:rsidR="00EE5134" w:rsidRPr="008F635B">
        <w:rPr>
          <w:rStyle w:val="Hyperlink"/>
          <w:rFonts w:ascii="Arial" w:hAnsi="Arial" w:cs="Arial"/>
          <w:b/>
          <w:bCs/>
          <w:color w:val="0000FF"/>
          <w:sz w:val="20"/>
          <w:u w:val="none"/>
        </w:rPr>
        <w:tab/>
        <w:t>Mandatory reasons</w:t>
      </w:r>
    </w:p>
    <w:p w14:paraId="07E0FD4A" w14:textId="77777777" w:rsidR="00EE5134" w:rsidRPr="008F635B" w:rsidRDefault="006C5BB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F635B">
        <w:rPr>
          <w:rFonts w:ascii="Arial" w:hAnsi="Arial" w:cs="Arial"/>
          <w:b/>
          <w:bCs/>
          <w:color w:val="0000FF"/>
          <w:sz w:val="20"/>
        </w:rPr>
        <w:fldChar w:fldCharType="end"/>
      </w:r>
      <w:hyperlink w:anchor="_8.3.3.6_Taking_of" w:history="1">
        <w:r w:rsidR="00EE5134" w:rsidRPr="008F635B">
          <w:rPr>
            <w:rStyle w:val="Hyperlink"/>
            <w:rFonts w:ascii="Arial" w:hAnsi="Arial" w:cs="Arial"/>
            <w:b/>
            <w:bCs/>
            <w:color w:val="0000FF"/>
            <w:sz w:val="20"/>
            <w:u w:val="none"/>
          </w:rPr>
          <w:tab/>
        </w:r>
        <w:r w:rsidR="00EE5134" w:rsidRPr="008F635B">
          <w:rPr>
            <w:rStyle w:val="Hyperlink"/>
            <w:rFonts w:ascii="Arial" w:hAnsi="Arial" w:cs="Arial"/>
            <w:b/>
            <w:bCs/>
            <w:color w:val="0000FF"/>
            <w:sz w:val="20"/>
            <w:u w:val="none"/>
          </w:rPr>
          <w:tab/>
          <w:t>8.3.3.6</w:t>
        </w:r>
        <w:r w:rsidR="00EE5134" w:rsidRPr="008F635B">
          <w:rPr>
            <w:rStyle w:val="Hyperlink"/>
            <w:rFonts w:ascii="Arial" w:hAnsi="Arial" w:cs="Arial"/>
            <w:b/>
            <w:bCs/>
            <w:color w:val="0000FF"/>
            <w:sz w:val="20"/>
            <w:u w:val="none"/>
          </w:rPr>
          <w:tab/>
          <w:t>Taking of fingerprints</w:t>
        </w:r>
      </w:hyperlink>
    </w:p>
    <w:p w14:paraId="5D61B18F" w14:textId="77777777" w:rsidR="003C5F89" w:rsidRPr="003C5F89" w:rsidRDefault="003C5F89" w:rsidP="003C5F89">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3C5F89">
        <w:rPr>
          <w:rFonts w:ascii="Arial" w:hAnsi="Arial" w:cs="Arial"/>
          <w:b/>
          <w:bCs/>
          <w:color w:val="0000FF"/>
          <w:sz w:val="20"/>
        </w:rPr>
        <w:fldChar w:fldCharType="begin"/>
      </w:r>
      <w:r w:rsidRPr="003C5F89">
        <w:rPr>
          <w:rFonts w:ascii="Arial" w:hAnsi="Arial" w:cs="Arial"/>
          <w:b/>
          <w:bCs/>
          <w:color w:val="0000FF"/>
          <w:sz w:val="20"/>
        </w:rPr>
        <w:instrText xml:space="preserve"> HYPERLINK  \l "_8.3.4_Other_relevant" </w:instrText>
      </w:r>
      <w:r w:rsidRPr="003C5F89">
        <w:rPr>
          <w:rFonts w:ascii="Arial" w:hAnsi="Arial" w:cs="Arial"/>
          <w:b/>
          <w:bCs/>
          <w:color w:val="0000FF"/>
          <w:sz w:val="20"/>
        </w:rPr>
      </w:r>
      <w:r w:rsidRPr="003C5F89">
        <w:rPr>
          <w:rFonts w:ascii="Arial" w:hAnsi="Arial" w:cs="Arial"/>
          <w:b/>
          <w:bCs/>
          <w:color w:val="0000FF"/>
          <w:sz w:val="20"/>
        </w:rPr>
        <w:fldChar w:fldCharType="separate"/>
      </w:r>
      <w:r w:rsidRPr="003C5F89">
        <w:rPr>
          <w:rStyle w:val="Hyperlink"/>
          <w:rFonts w:ascii="Arial" w:hAnsi="Arial" w:cs="Arial"/>
          <w:b/>
          <w:bCs/>
          <w:color w:val="0000FF"/>
          <w:sz w:val="20"/>
          <w:u w:val="none"/>
        </w:rPr>
        <w:tab/>
        <w:t>8.3.4</w:t>
      </w:r>
      <w:r w:rsidRPr="003C5F89">
        <w:rPr>
          <w:rStyle w:val="Hyperlink"/>
          <w:rFonts w:ascii="Arial" w:hAnsi="Arial" w:cs="Arial"/>
          <w:b/>
          <w:bCs/>
          <w:color w:val="0000FF"/>
          <w:sz w:val="20"/>
          <w:u w:val="none"/>
        </w:rPr>
        <w:tab/>
        <w:t>Other relevant provisions</w:t>
      </w:r>
    </w:p>
    <w:p w14:paraId="07E5A534" w14:textId="77777777" w:rsidR="003C5F89" w:rsidRPr="003C5F89" w:rsidRDefault="003C5F89" w:rsidP="003C5F89">
      <w:pPr>
        <w:pBdr>
          <w:top w:val="single" w:sz="4" w:space="1" w:color="auto"/>
          <w:left w:val="single" w:sz="4" w:space="4" w:color="auto"/>
          <w:bottom w:val="single" w:sz="4" w:space="1" w:color="auto"/>
          <w:right w:val="single" w:sz="4" w:space="4" w:color="auto"/>
        </w:pBdr>
        <w:spacing w:before="120"/>
        <w:rPr>
          <w:rFonts w:ascii="Arial" w:hAnsi="Arial" w:cs="Arial"/>
          <w:b/>
          <w:bCs/>
          <w:color w:val="0000FF"/>
          <w:szCs w:val="32"/>
        </w:rPr>
      </w:pPr>
      <w:r w:rsidRPr="003C5F89">
        <w:rPr>
          <w:rFonts w:ascii="Arial" w:hAnsi="Arial" w:cs="Arial"/>
          <w:b/>
          <w:bCs/>
          <w:color w:val="0000FF"/>
          <w:sz w:val="20"/>
        </w:rPr>
        <w:fldChar w:fldCharType="end"/>
      </w:r>
      <w:hyperlink w:anchor="_8.4_Forensic_procedure" w:history="1">
        <w:r w:rsidRPr="003C5F89">
          <w:rPr>
            <w:rStyle w:val="Hyperlink"/>
            <w:rFonts w:ascii="Arial" w:hAnsi="Arial" w:cs="Arial"/>
            <w:b/>
            <w:bCs/>
            <w:color w:val="0000FF"/>
            <w:szCs w:val="32"/>
            <w:u w:val="none"/>
          </w:rPr>
          <w:t>8.4</w:t>
        </w:r>
        <w:r w:rsidRPr="003C5F89">
          <w:rPr>
            <w:rStyle w:val="Hyperlink"/>
            <w:rFonts w:ascii="Arial" w:hAnsi="Arial" w:cs="Arial"/>
            <w:b/>
            <w:bCs/>
            <w:color w:val="0000FF"/>
            <w:szCs w:val="32"/>
            <w:u w:val="none"/>
          </w:rPr>
          <w:tab/>
          <w:t>Forensic procedure – Compulsory procedure</w:t>
        </w:r>
      </w:hyperlink>
    </w:p>
    <w:p w14:paraId="0FFF5EBC" w14:textId="77777777" w:rsidR="003C5F89" w:rsidRPr="003C5F89" w:rsidRDefault="003C5F89"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4.1_Whether_there" w:history="1">
        <w:r w:rsidRPr="003C5F89">
          <w:rPr>
            <w:rStyle w:val="Hyperlink"/>
            <w:rFonts w:ascii="Arial" w:hAnsi="Arial" w:cs="Arial"/>
            <w:b/>
            <w:bCs/>
            <w:color w:val="0000FF"/>
            <w:sz w:val="20"/>
            <w:u w:val="none"/>
          </w:rPr>
          <w:tab/>
          <w:t>8.4.1</w:t>
        </w:r>
        <w:r w:rsidRPr="003C5F89">
          <w:rPr>
            <w:rStyle w:val="Hyperlink"/>
            <w:rFonts w:ascii="Arial" w:hAnsi="Arial" w:cs="Arial"/>
            <w:b/>
            <w:bCs/>
            <w:color w:val="0000FF"/>
            <w:sz w:val="20"/>
            <w:u w:val="none"/>
          </w:rPr>
          <w:tab/>
          <w:t>Whether there is any difference between the terms</w:t>
        </w:r>
      </w:hyperlink>
    </w:p>
    <w:p w14:paraId="52E21788" w14:textId="7C01F66D" w:rsidR="003C5F89" w:rsidRPr="003C5F89" w:rsidRDefault="003C5F89" w:rsidP="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2_Child_aged" w:history="1">
        <w:r w:rsidRPr="003C5F89">
          <w:rPr>
            <w:rStyle w:val="Hyperlink"/>
            <w:rFonts w:ascii="Arial" w:hAnsi="Arial" w:cs="Arial"/>
            <w:b/>
            <w:bCs/>
            <w:color w:val="0000FF"/>
            <w:sz w:val="20"/>
            <w:u w:val="none"/>
          </w:rPr>
          <w:tab/>
          <w:t>8.4.2</w:t>
        </w:r>
        <w:r w:rsidRPr="003C5F89">
          <w:rPr>
            <w:rStyle w:val="Hyperlink"/>
            <w:rFonts w:ascii="Arial" w:hAnsi="Arial" w:cs="Arial"/>
            <w:b/>
            <w:bCs/>
            <w:color w:val="0000FF"/>
            <w:sz w:val="20"/>
            <w:u w:val="none"/>
          </w:rPr>
          <w:tab/>
          <w:t>Child aged under 1</w:t>
        </w:r>
        <w:r w:rsidR="009C13D2">
          <w:rPr>
            <w:rStyle w:val="Hyperlink"/>
            <w:rFonts w:ascii="Arial" w:hAnsi="Arial" w:cs="Arial"/>
            <w:b/>
            <w:bCs/>
            <w:color w:val="0000FF"/>
            <w:sz w:val="20"/>
            <w:u w:val="none"/>
          </w:rPr>
          <w:t>2</w:t>
        </w:r>
      </w:hyperlink>
    </w:p>
    <w:p w14:paraId="46AD8FF4" w14:textId="3E3193A0" w:rsidR="003C5F89" w:rsidRPr="003C5F89" w:rsidRDefault="003C5F89" w:rsidP="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_Child_aged" w:history="1">
        <w:r w:rsidRPr="003C5F89">
          <w:rPr>
            <w:rStyle w:val="Hyperlink"/>
            <w:rFonts w:ascii="Arial" w:hAnsi="Arial" w:cs="Arial"/>
            <w:b/>
            <w:bCs/>
            <w:color w:val="0000FF"/>
            <w:sz w:val="20"/>
            <w:u w:val="none"/>
          </w:rPr>
          <w:tab/>
          <w:t>8.4.3</w:t>
        </w:r>
        <w:r w:rsidRPr="003C5F89">
          <w:rPr>
            <w:rStyle w:val="Hyperlink"/>
            <w:rFonts w:ascii="Arial" w:hAnsi="Arial" w:cs="Arial"/>
            <w:b/>
            <w:bCs/>
            <w:color w:val="0000FF"/>
            <w:sz w:val="20"/>
            <w:u w:val="none"/>
          </w:rPr>
          <w:tab/>
          <w:t>Child aged 1</w:t>
        </w:r>
        <w:r w:rsidR="005F7C9E">
          <w:rPr>
            <w:rStyle w:val="Hyperlink"/>
            <w:rFonts w:ascii="Arial" w:hAnsi="Arial" w:cs="Arial"/>
            <w:b/>
            <w:bCs/>
            <w:color w:val="0000FF"/>
            <w:sz w:val="20"/>
            <w:u w:val="none"/>
          </w:rPr>
          <w:t>2</w:t>
        </w:r>
        <w:r w:rsidRPr="003C5F89">
          <w:rPr>
            <w:rStyle w:val="Hyperlink"/>
            <w:rFonts w:ascii="Arial" w:hAnsi="Arial" w:cs="Arial"/>
            <w:b/>
            <w:bCs/>
            <w:color w:val="0000FF"/>
            <w:sz w:val="20"/>
            <w:u w:val="none"/>
          </w:rPr>
          <w:t xml:space="preserve"> </w:t>
        </w:r>
        <w:r w:rsidR="001339D7">
          <w:rPr>
            <w:rStyle w:val="Hyperlink"/>
            <w:rFonts w:ascii="Arial" w:hAnsi="Arial" w:cs="Arial"/>
            <w:b/>
            <w:bCs/>
            <w:color w:val="0000FF"/>
            <w:sz w:val="20"/>
            <w:u w:val="none"/>
          </w:rPr>
          <w:t>to 17</w:t>
        </w:r>
      </w:hyperlink>
    </w:p>
    <w:p w14:paraId="0B784B6D" w14:textId="4BFB9A47" w:rsidR="00EE5134" w:rsidRPr="004B57C5" w:rsidRDefault="003C5F89" w:rsidP="003C5F89">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4B57C5">
        <w:rPr>
          <w:rFonts w:ascii="Arial" w:hAnsi="Arial" w:cs="Arial"/>
          <w:b/>
          <w:bCs/>
          <w:color w:val="0000FF"/>
          <w:sz w:val="20"/>
        </w:rPr>
        <w:fldChar w:fldCharType="begin"/>
      </w:r>
      <w:r w:rsidRPr="004B57C5">
        <w:rPr>
          <w:rFonts w:ascii="Arial" w:hAnsi="Arial" w:cs="Arial"/>
          <w:b/>
          <w:bCs/>
          <w:color w:val="0000FF"/>
          <w:sz w:val="20"/>
        </w:rPr>
        <w:instrText xml:space="preserve"> HYPERLINK  \l "_8.4.3.1_Application_for" </w:instrText>
      </w:r>
      <w:r w:rsidRPr="004B57C5">
        <w:rPr>
          <w:rFonts w:ascii="Arial" w:hAnsi="Arial" w:cs="Arial"/>
          <w:b/>
          <w:bCs/>
          <w:color w:val="0000FF"/>
          <w:sz w:val="20"/>
        </w:rPr>
      </w:r>
      <w:r w:rsidRPr="004B57C5">
        <w:rPr>
          <w:rFonts w:ascii="Arial" w:hAnsi="Arial" w:cs="Arial"/>
          <w:b/>
          <w:bCs/>
          <w:color w:val="0000FF"/>
          <w:sz w:val="20"/>
        </w:rPr>
        <w:fldChar w:fldCharType="separate"/>
      </w:r>
      <w:r w:rsidRPr="004B57C5">
        <w:rPr>
          <w:rStyle w:val="Hyperlink"/>
          <w:rFonts w:ascii="Arial" w:hAnsi="Arial" w:cs="Arial"/>
          <w:b/>
          <w:bCs/>
          <w:color w:val="0000FF"/>
          <w:sz w:val="20"/>
          <w:u w:val="none"/>
        </w:rPr>
        <w:tab/>
      </w:r>
      <w:r w:rsidRPr="004B57C5">
        <w:rPr>
          <w:rStyle w:val="Hyperlink"/>
          <w:rFonts w:ascii="Arial" w:hAnsi="Arial" w:cs="Arial"/>
          <w:b/>
          <w:bCs/>
          <w:color w:val="0000FF"/>
          <w:sz w:val="20"/>
          <w:u w:val="none"/>
        </w:rPr>
        <w:tab/>
        <w:t>8.4.3.1</w:t>
      </w:r>
      <w:r w:rsidRPr="004B57C5">
        <w:rPr>
          <w:rStyle w:val="Hyperlink"/>
          <w:rFonts w:ascii="Arial" w:hAnsi="Arial" w:cs="Arial"/>
          <w:b/>
          <w:bCs/>
          <w:color w:val="0000FF"/>
          <w:sz w:val="20"/>
          <w:u w:val="none"/>
        </w:rPr>
        <w:tab/>
        <w:t>Application for order for compulsory procedure</w:t>
      </w:r>
      <w:r w:rsidR="00A7044B">
        <w:rPr>
          <w:rStyle w:val="Hyperlink"/>
          <w:rFonts w:ascii="Arial" w:hAnsi="Arial" w:cs="Arial"/>
          <w:b/>
          <w:bCs/>
          <w:color w:val="0000FF"/>
          <w:sz w:val="20"/>
          <w:u w:val="none"/>
        </w:rPr>
        <w:t xml:space="preserve"> for child aged 12 to 17</w:t>
      </w:r>
    </w:p>
    <w:p w14:paraId="20F24886" w14:textId="6E83FE86" w:rsidR="003C5F89" w:rsidRPr="004B57C5" w:rsidRDefault="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4B57C5">
        <w:rPr>
          <w:rFonts w:ascii="Arial" w:hAnsi="Arial" w:cs="Arial"/>
          <w:b/>
          <w:bCs/>
          <w:color w:val="0000FF"/>
          <w:sz w:val="20"/>
        </w:rPr>
        <w:fldChar w:fldCharType="end"/>
      </w:r>
      <w:r w:rsidR="00A7044B" w:rsidRPr="00A7044B">
        <w:rPr>
          <w:rFonts w:ascii="Arial" w:hAnsi="Arial" w:cs="Arial"/>
          <w:b/>
          <w:bCs/>
          <w:sz w:val="20"/>
        </w:rPr>
        <w:t xml:space="preserve"> </w:t>
      </w:r>
      <w:hyperlink w:anchor="_8.4.3.2_Procedure_at" w:history="1">
        <w:r w:rsidRPr="004B57C5">
          <w:rPr>
            <w:rStyle w:val="Hyperlink"/>
            <w:rFonts w:ascii="Arial" w:hAnsi="Arial" w:cs="Arial"/>
            <w:b/>
            <w:bCs/>
            <w:color w:val="0000FF"/>
            <w:sz w:val="20"/>
            <w:u w:val="none"/>
          </w:rPr>
          <w:tab/>
        </w:r>
        <w:r w:rsidRPr="004B57C5">
          <w:rPr>
            <w:rStyle w:val="Hyperlink"/>
            <w:rFonts w:ascii="Arial" w:hAnsi="Arial" w:cs="Arial"/>
            <w:b/>
            <w:bCs/>
            <w:color w:val="0000FF"/>
            <w:sz w:val="20"/>
            <w:u w:val="none"/>
          </w:rPr>
          <w:tab/>
          <w:t>8.4.3.2</w:t>
        </w:r>
        <w:r w:rsidRPr="004B57C5">
          <w:rPr>
            <w:rStyle w:val="Hyperlink"/>
            <w:rFonts w:ascii="Arial" w:hAnsi="Arial" w:cs="Arial"/>
            <w:b/>
            <w:bCs/>
            <w:color w:val="0000FF"/>
            <w:sz w:val="20"/>
            <w:u w:val="none"/>
          </w:rPr>
          <w:tab/>
          <w:t>Procedure at hearing of application</w:t>
        </w:r>
      </w:hyperlink>
    </w:p>
    <w:p w14:paraId="09D511CD" w14:textId="77777777" w:rsidR="00EE5134" w:rsidRPr="003C5F89" w:rsidRDefault="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3_Order_for" w:history="1">
        <w:r w:rsidRPr="004B57C5">
          <w:rPr>
            <w:rStyle w:val="Hyperlink"/>
            <w:rFonts w:ascii="Arial" w:hAnsi="Arial" w:cs="Arial"/>
            <w:b/>
            <w:bCs/>
            <w:color w:val="0000FF"/>
            <w:sz w:val="20"/>
            <w:u w:val="none"/>
          </w:rPr>
          <w:tab/>
        </w:r>
        <w:r w:rsidRPr="004B57C5">
          <w:rPr>
            <w:rStyle w:val="Hyperlink"/>
            <w:rFonts w:ascii="Arial" w:hAnsi="Arial" w:cs="Arial"/>
            <w:b/>
            <w:bCs/>
            <w:color w:val="0000FF"/>
            <w:sz w:val="20"/>
            <w:u w:val="none"/>
          </w:rPr>
          <w:tab/>
          <w:t>8.4.3.3</w:t>
        </w:r>
        <w:r w:rsidRPr="004B57C5">
          <w:rPr>
            <w:rStyle w:val="Hyperlink"/>
            <w:rFonts w:ascii="Arial" w:hAnsi="Arial" w:cs="Arial"/>
            <w:b/>
            <w:bCs/>
            <w:color w:val="0000FF"/>
            <w:sz w:val="20"/>
            <w:u w:val="none"/>
          </w:rPr>
          <w:tab/>
          <w:t>Order for compulsory procedure</w:t>
        </w:r>
      </w:hyperlink>
    </w:p>
    <w:p w14:paraId="4E18A623" w14:textId="2AE21184"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4_Child_must"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8.4.3.4</w:t>
        </w:r>
        <w:r w:rsidRPr="008F635B">
          <w:rPr>
            <w:rStyle w:val="Hyperlink"/>
            <w:rFonts w:ascii="Arial" w:hAnsi="Arial" w:cs="Arial"/>
            <w:b/>
            <w:bCs/>
            <w:color w:val="0000FF"/>
            <w:sz w:val="20"/>
            <w:u w:val="none"/>
          </w:rPr>
          <w:tab/>
          <w:t>Child must be presen</w:t>
        </w:r>
        <w:r w:rsidR="00F551A4">
          <w:rPr>
            <w:rStyle w:val="Hyperlink"/>
            <w:rFonts w:ascii="Arial" w:hAnsi="Arial" w:cs="Arial"/>
            <w:b/>
            <w:bCs/>
            <w:color w:val="0000FF"/>
            <w:sz w:val="20"/>
            <w:u w:val="none"/>
          </w:rPr>
          <w:t>t in court or appearing by audio visual link</w:t>
        </w:r>
      </w:hyperlink>
    </w:p>
    <w:p w14:paraId="22AA5D3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5_Warrant_to"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8.4.3.5</w:t>
        </w:r>
        <w:r w:rsidRPr="008F635B">
          <w:rPr>
            <w:rStyle w:val="Hyperlink"/>
            <w:rFonts w:ascii="Arial" w:hAnsi="Arial" w:cs="Arial"/>
            <w:b/>
            <w:bCs/>
            <w:color w:val="0000FF"/>
            <w:sz w:val="20"/>
            <w:u w:val="none"/>
          </w:rPr>
          <w:tab/>
          <w:t>Warrant to arrest for compulsory procedure</w:t>
        </w:r>
      </w:hyperlink>
    </w:p>
    <w:p w14:paraId="7CC5D76C"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6_Mandatory_reasons"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8.4.3.6</w:t>
        </w:r>
        <w:r w:rsidRPr="008F635B">
          <w:rPr>
            <w:rStyle w:val="Hyperlink"/>
            <w:rFonts w:ascii="Arial" w:hAnsi="Arial" w:cs="Arial"/>
            <w:b/>
            <w:bCs/>
            <w:color w:val="0000FF"/>
            <w:sz w:val="20"/>
            <w:u w:val="none"/>
          </w:rPr>
          <w:tab/>
          <w:t>Mandatory reasons &amp; explanation</w:t>
        </w:r>
      </w:hyperlink>
    </w:p>
    <w:p w14:paraId="4CE63408"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7_Application_fo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8.4.3.7</w:t>
        </w:r>
        <w:r w:rsidRPr="008F635B">
          <w:rPr>
            <w:rStyle w:val="Hyperlink"/>
            <w:rFonts w:ascii="Arial" w:hAnsi="Arial" w:cs="Arial"/>
            <w:b/>
            <w:bCs/>
            <w:color w:val="0000FF"/>
            <w:sz w:val="20"/>
            <w:u w:val="none"/>
          </w:rPr>
          <w:tab/>
          <w:t>Application for interim order for compulsory procedure</w:t>
        </w:r>
      </w:hyperlink>
    </w:p>
    <w:p w14:paraId="36670307"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8_Interim_orde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8.4.3.8</w:t>
        </w:r>
        <w:r w:rsidRPr="008F635B">
          <w:rPr>
            <w:rStyle w:val="Hyperlink"/>
            <w:rFonts w:ascii="Arial" w:hAnsi="Arial" w:cs="Arial"/>
            <w:b/>
            <w:bCs/>
            <w:color w:val="0000FF"/>
            <w:sz w:val="20"/>
            <w:u w:val="none"/>
          </w:rPr>
          <w:tab/>
          <w:t>Interim order for compulsory procedure</w:t>
        </w:r>
      </w:hyperlink>
    </w:p>
    <w:p w14:paraId="28EC018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9_Conduct_of"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8.4.3.9</w:t>
        </w:r>
        <w:r w:rsidRPr="008F635B">
          <w:rPr>
            <w:rStyle w:val="Hyperlink"/>
            <w:rFonts w:ascii="Arial" w:hAnsi="Arial" w:cs="Arial"/>
            <w:b/>
            <w:bCs/>
            <w:color w:val="0000FF"/>
            <w:sz w:val="20"/>
            <w:u w:val="none"/>
          </w:rPr>
          <w:tab/>
        </w:r>
        <w:r w:rsidRPr="00145E3B">
          <w:rPr>
            <w:rStyle w:val="Hyperlink"/>
            <w:rFonts w:ascii="Arial" w:hAnsi="Arial" w:cs="Arial"/>
            <w:b/>
            <w:bCs/>
            <w:color w:val="0000FF"/>
            <w:sz w:val="20"/>
            <w:u w:val="none"/>
          </w:rPr>
          <w:t>Conduct of forensic procedure or compulsory</w:t>
        </w:r>
        <w:r w:rsidRPr="008F635B">
          <w:rPr>
            <w:rStyle w:val="Hyperlink"/>
            <w:rFonts w:ascii="Arial" w:hAnsi="Arial" w:cs="Arial"/>
            <w:b/>
            <w:bCs/>
            <w:color w:val="0000FF"/>
            <w:sz w:val="20"/>
            <w:u w:val="none"/>
          </w:rPr>
          <w:t xml:space="preserve"> procedure</w:t>
        </w:r>
      </w:hyperlink>
    </w:p>
    <w:p w14:paraId="04043347" w14:textId="017C8485" w:rsidR="002A04B3" w:rsidRPr="002A04B3" w:rsidRDefault="002A04B3">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10_Statistics" w:history="1">
        <w:r w:rsidRPr="002A04B3">
          <w:rPr>
            <w:rStyle w:val="Hyperlink"/>
            <w:rFonts w:ascii="Arial" w:hAnsi="Arial" w:cs="Arial"/>
            <w:b/>
            <w:bCs/>
            <w:color w:val="0000FF"/>
            <w:sz w:val="20"/>
            <w:u w:val="none"/>
          </w:rPr>
          <w:tab/>
        </w:r>
        <w:r w:rsidRPr="002A04B3">
          <w:rPr>
            <w:rStyle w:val="Hyperlink"/>
            <w:rFonts w:ascii="Arial" w:hAnsi="Arial" w:cs="Arial"/>
            <w:b/>
            <w:bCs/>
            <w:color w:val="0000FF"/>
            <w:sz w:val="20"/>
            <w:u w:val="none"/>
          </w:rPr>
          <w:tab/>
          <w:t>8.4.3.10 Statistics</w:t>
        </w:r>
      </w:hyperlink>
    </w:p>
    <w:p w14:paraId="592F0191" w14:textId="61D6CD42" w:rsidR="00137510" w:rsidRPr="00137510" w:rsidRDefault="00137510" w:rsidP="00137510">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Pr>
          <w:rFonts w:ascii="Arial" w:hAnsi="Arial" w:cs="Arial"/>
          <w:b/>
          <w:bCs/>
          <w:color w:val="0000FF"/>
          <w:sz w:val="20"/>
        </w:rPr>
        <w:tab/>
      </w:r>
      <w:hyperlink w:anchor="_8.4.4_Forensic_procedure" w:history="1">
        <w:r w:rsidRPr="00137510">
          <w:rPr>
            <w:rStyle w:val="Hyperlink"/>
            <w:rFonts w:ascii="Arial" w:hAnsi="Arial" w:cs="Arial"/>
            <w:b/>
            <w:bCs/>
            <w:sz w:val="20"/>
            <w:u w:val="none"/>
          </w:rPr>
          <w:t>8.4.4</w:t>
        </w:r>
        <w:r w:rsidRPr="00137510">
          <w:rPr>
            <w:rStyle w:val="Hyperlink"/>
            <w:rFonts w:ascii="Arial" w:hAnsi="Arial" w:cs="Arial"/>
            <w:b/>
            <w:bCs/>
            <w:sz w:val="20"/>
            <w:u w:val="none"/>
          </w:rPr>
          <w:tab/>
          <w:t>Compulsory procedure for adult</w:t>
        </w:r>
      </w:hyperlink>
    </w:p>
    <w:p w14:paraId="23A37268" w14:textId="773ABD0E" w:rsidR="00E86771" w:rsidRPr="00145E3B" w:rsidRDefault="00E86771" w:rsidP="00BA3CD7">
      <w:pPr>
        <w:pBdr>
          <w:top w:val="single" w:sz="4" w:space="1" w:color="auto"/>
          <w:left w:val="single" w:sz="4" w:space="4" w:color="auto"/>
          <w:bottom w:val="single" w:sz="4" w:space="1" w:color="auto"/>
          <w:right w:val="single" w:sz="4" w:space="4" w:color="auto"/>
        </w:pBdr>
        <w:spacing w:before="120"/>
        <w:rPr>
          <w:rFonts w:ascii="Arial" w:hAnsi="Arial" w:cs="Arial"/>
          <w:b/>
          <w:bCs/>
          <w:color w:val="0000FF"/>
          <w:szCs w:val="32"/>
        </w:rPr>
      </w:pPr>
      <w:hyperlink w:anchor="_8.5_DNA_profile" w:history="1">
        <w:r w:rsidRPr="00145E3B">
          <w:rPr>
            <w:rStyle w:val="Hyperlink"/>
            <w:rFonts w:ascii="Arial" w:hAnsi="Arial" w:cs="Arial"/>
            <w:b/>
            <w:bCs/>
            <w:color w:val="0000FF"/>
            <w:szCs w:val="32"/>
            <w:u w:val="none"/>
          </w:rPr>
          <w:t>8.5</w:t>
        </w:r>
        <w:r w:rsidRPr="00145E3B">
          <w:rPr>
            <w:rStyle w:val="Hyperlink"/>
            <w:rFonts w:ascii="Arial" w:hAnsi="Arial" w:cs="Arial"/>
            <w:b/>
            <w:bCs/>
            <w:color w:val="0000FF"/>
            <w:szCs w:val="32"/>
            <w:u w:val="none"/>
          </w:rPr>
          <w:tab/>
          <w:t>DNA profile sampling</w:t>
        </w:r>
      </w:hyperlink>
    </w:p>
    <w:p w14:paraId="3B9AEC8B" w14:textId="4E5743C1" w:rsidR="00BA3CD7" w:rsidRPr="00145E3B" w:rsidRDefault="00BA3CD7"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5.1_Police_request" w:history="1">
        <w:r w:rsidRPr="00145E3B">
          <w:rPr>
            <w:rStyle w:val="Hyperlink"/>
            <w:rFonts w:ascii="Arial" w:hAnsi="Arial" w:cs="Arial"/>
            <w:b/>
            <w:bCs/>
            <w:color w:val="0000FF"/>
            <w:sz w:val="20"/>
            <w:u w:val="none"/>
          </w:rPr>
          <w:tab/>
          <w:t>8.5.1</w:t>
        </w:r>
        <w:r w:rsidRPr="00145E3B">
          <w:rPr>
            <w:rStyle w:val="Hyperlink"/>
            <w:rFonts w:ascii="Arial" w:hAnsi="Arial" w:cs="Arial"/>
            <w:b/>
            <w:bCs/>
            <w:color w:val="0000FF"/>
            <w:sz w:val="20"/>
            <w:u w:val="none"/>
          </w:rPr>
          <w:tab/>
          <w:t>Police request for DNA profile sample from a child aged 15</w:t>
        </w:r>
        <w:r w:rsidR="00EB60D4" w:rsidRPr="00145E3B">
          <w:rPr>
            <w:rStyle w:val="Hyperlink"/>
            <w:rFonts w:ascii="Arial" w:hAnsi="Arial" w:cs="Arial"/>
            <w:b/>
            <w:bCs/>
            <w:color w:val="0000FF"/>
            <w:sz w:val="20"/>
            <w:u w:val="none"/>
          </w:rPr>
          <w:t>-</w:t>
        </w:r>
        <w:r w:rsidRPr="00145E3B">
          <w:rPr>
            <w:rStyle w:val="Hyperlink"/>
            <w:rFonts w:ascii="Arial" w:hAnsi="Arial" w:cs="Arial"/>
            <w:b/>
            <w:bCs/>
            <w:color w:val="0000FF"/>
            <w:sz w:val="20"/>
            <w:u w:val="none"/>
          </w:rPr>
          <w:t>17</w:t>
        </w:r>
      </w:hyperlink>
    </w:p>
    <w:p w14:paraId="4171658A" w14:textId="6043B150" w:rsidR="00BA3CD7" w:rsidRPr="00145E3B" w:rsidRDefault="00BA3CD7" w:rsidP="00BA3CD7">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5.2_Senior_police" w:history="1">
        <w:r w:rsidRPr="00145E3B">
          <w:rPr>
            <w:rStyle w:val="Hyperlink"/>
            <w:rFonts w:ascii="Arial" w:hAnsi="Arial" w:cs="Arial"/>
            <w:b/>
            <w:bCs/>
            <w:color w:val="0000FF"/>
            <w:sz w:val="20"/>
            <w:u w:val="none"/>
          </w:rPr>
          <w:tab/>
          <w:t>8.5.2</w:t>
        </w:r>
        <w:r w:rsidRPr="00145E3B">
          <w:rPr>
            <w:rStyle w:val="Hyperlink"/>
            <w:rFonts w:ascii="Arial" w:hAnsi="Arial" w:cs="Arial"/>
            <w:b/>
            <w:bCs/>
            <w:color w:val="0000FF"/>
            <w:sz w:val="20"/>
            <w:u w:val="none"/>
          </w:rPr>
          <w:tab/>
        </w:r>
        <w:r w:rsidR="00EB60D4" w:rsidRPr="00145E3B">
          <w:rPr>
            <w:rStyle w:val="Hyperlink"/>
            <w:rFonts w:ascii="Arial" w:hAnsi="Arial" w:cs="Arial"/>
            <w:b/>
            <w:bCs/>
            <w:color w:val="0000FF"/>
            <w:sz w:val="20"/>
            <w:u w:val="none"/>
          </w:rPr>
          <w:t>Senior police officer authorisation for DNA profile sample from child aged 15-17</w:t>
        </w:r>
      </w:hyperlink>
    </w:p>
    <w:p w14:paraId="331FC0B0" w14:textId="2476347F" w:rsidR="005E237C" w:rsidRDefault="005E237C" w:rsidP="005E237C">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szCs w:val="32"/>
          <w:u w:val="none"/>
        </w:rPr>
      </w:pPr>
      <w:hyperlink w:anchor="_8.6_Use_of" w:history="1">
        <w:r w:rsidRPr="00145E3B">
          <w:rPr>
            <w:rStyle w:val="Hyperlink"/>
            <w:rFonts w:ascii="Arial" w:hAnsi="Arial" w:cs="Arial"/>
            <w:b/>
            <w:bCs/>
            <w:color w:val="0000FF"/>
            <w:szCs w:val="32"/>
            <w:u w:val="none"/>
          </w:rPr>
          <w:t>8.6</w:t>
        </w:r>
        <w:r w:rsidRPr="00145E3B">
          <w:rPr>
            <w:rStyle w:val="Hyperlink"/>
            <w:rFonts w:ascii="Arial" w:hAnsi="Arial" w:cs="Arial"/>
            <w:b/>
            <w:bCs/>
            <w:color w:val="0000FF"/>
            <w:szCs w:val="32"/>
            <w:u w:val="none"/>
          </w:rPr>
          <w:tab/>
        </w:r>
        <w:r w:rsidR="006F7501" w:rsidRPr="00145E3B">
          <w:rPr>
            <w:rStyle w:val="Hyperlink"/>
            <w:rFonts w:ascii="Arial" w:hAnsi="Arial" w:cs="Arial"/>
            <w:b/>
            <w:bCs/>
            <w:color w:val="0000FF"/>
            <w:szCs w:val="32"/>
            <w:u w:val="none"/>
          </w:rPr>
          <w:t xml:space="preserve">Use of evidence from </w:t>
        </w:r>
        <w:r w:rsidRPr="00145E3B">
          <w:rPr>
            <w:rStyle w:val="Hyperlink"/>
            <w:rFonts w:ascii="Arial" w:hAnsi="Arial" w:cs="Arial"/>
            <w:b/>
            <w:bCs/>
            <w:color w:val="0000FF"/>
            <w:szCs w:val="32"/>
            <w:u w:val="none"/>
          </w:rPr>
          <w:t>DNA sampl</w:t>
        </w:r>
        <w:r w:rsidR="006F7501" w:rsidRPr="00145E3B">
          <w:rPr>
            <w:rStyle w:val="Hyperlink"/>
            <w:rFonts w:ascii="Arial" w:hAnsi="Arial" w:cs="Arial"/>
            <w:b/>
            <w:bCs/>
            <w:color w:val="0000FF"/>
            <w:szCs w:val="32"/>
            <w:u w:val="none"/>
          </w:rPr>
          <w:t>es</w:t>
        </w:r>
      </w:hyperlink>
    </w:p>
    <w:p w14:paraId="65C89F50" w14:textId="021D9474" w:rsidR="00531BEF" w:rsidRPr="004B4C24" w:rsidRDefault="00531BEF" w:rsidP="005E237C">
      <w:pPr>
        <w:pBdr>
          <w:top w:val="single" w:sz="4" w:space="1" w:color="auto"/>
          <w:left w:val="single" w:sz="4" w:space="4" w:color="auto"/>
          <w:bottom w:val="single" w:sz="4" w:space="1" w:color="auto"/>
          <w:right w:val="single" w:sz="4" w:space="4" w:color="auto"/>
        </w:pBdr>
        <w:spacing w:before="120"/>
        <w:rPr>
          <w:rFonts w:ascii="Arial" w:hAnsi="Arial" w:cs="Arial"/>
          <w:b/>
          <w:bCs/>
          <w:color w:val="0000FF"/>
          <w:szCs w:val="32"/>
        </w:rPr>
      </w:pPr>
      <w:hyperlink w:anchor="_8.7_Retention_of" w:history="1">
        <w:r w:rsidRPr="004B4C24">
          <w:rPr>
            <w:rStyle w:val="Hyperlink"/>
            <w:rFonts w:ascii="Arial" w:hAnsi="Arial" w:cs="Arial"/>
            <w:b/>
            <w:bCs/>
            <w:color w:val="0000FF"/>
            <w:szCs w:val="32"/>
            <w:u w:val="none"/>
          </w:rPr>
          <w:t>8.7</w:t>
        </w:r>
        <w:r w:rsidRPr="004B4C24">
          <w:rPr>
            <w:rStyle w:val="Hyperlink"/>
            <w:rFonts w:ascii="Arial" w:hAnsi="Arial" w:cs="Arial"/>
            <w:b/>
            <w:bCs/>
            <w:color w:val="0000FF"/>
            <w:szCs w:val="32"/>
            <w:u w:val="none"/>
          </w:rPr>
          <w:tab/>
          <w:t>Retention of information following finding of guilt</w:t>
        </w:r>
      </w:hyperlink>
    </w:p>
    <w:p w14:paraId="72AE72B2" w14:textId="0FFFA242" w:rsidR="00516F1E" w:rsidRPr="00145E3B" w:rsidRDefault="004E1A5D" w:rsidP="00752B89">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szCs w:val="32"/>
          <w:u w:val="none"/>
        </w:rPr>
      </w:pPr>
      <w:r w:rsidRPr="00145E3B">
        <w:rPr>
          <w:rFonts w:ascii="Arial" w:hAnsi="Arial" w:cs="Arial"/>
          <w:b/>
          <w:bCs/>
          <w:color w:val="0000FF"/>
          <w:szCs w:val="32"/>
        </w:rPr>
        <w:fldChar w:fldCharType="begin"/>
      </w:r>
      <w:r w:rsidRPr="00145E3B">
        <w:rPr>
          <w:rFonts w:ascii="Arial" w:hAnsi="Arial" w:cs="Arial"/>
          <w:b/>
          <w:bCs/>
          <w:color w:val="0000FF"/>
          <w:szCs w:val="32"/>
        </w:rPr>
        <w:instrText xml:space="preserve"> HYPERLINK  \l "_8.7_Other_relevant" </w:instrText>
      </w:r>
      <w:r w:rsidRPr="00145E3B">
        <w:rPr>
          <w:rFonts w:ascii="Arial" w:hAnsi="Arial" w:cs="Arial"/>
          <w:b/>
          <w:bCs/>
          <w:color w:val="0000FF"/>
          <w:szCs w:val="32"/>
        </w:rPr>
      </w:r>
      <w:r w:rsidRPr="00145E3B">
        <w:rPr>
          <w:rFonts w:ascii="Arial" w:hAnsi="Arial" w:cs="Arial"/>
          <w:b/>
          <w:bCs/>
          <w:color w:val="0000FF"/>
          <w:szCs w:val="32"/>
        </w:rPr>
        <w:fldChar w:fldCharType="separate"/>
      </w:r>
      <w:r w:rsidR="00516F1E" w:rsidRPr="00145E3B">
        <w:rPr>
          <w:rStyle w:val="Hyperlink"/>
          <w:rFonts w:ascii="Arial" w:hAnsi="Arial" w:cs="Arial"/>
          <w:b/>
          <w:bCs/>
          <w:color w:val="0000FF"/>
          <w:szCs w:val="32"/>
          <w:u w:val="none"/>
        </w:rPr>
        <w:t>8.</w:t>
      </w:r>
      <w:r w:rsidR="00531BEF">
        <w:rPr>
          <w:rStyle w:val="Hyperlink"/>
          <w:rFonts w:ascii="Arial" w:hAnsi="Arial" w:cs="Arial"/>
          <w:b/>
          <w:bCs/>
          <w:color w:val="0000FF"/>
          <w:szCs w:val="32"/>
          <w:u w:val="none"/>
        </w:rPr>
        <w:t>8</w:t>
      </w:r>
      <w:r w:rsidR="00516F1E" w:rsidRPr="00145E3B">
        <w:rPr>
          <w:rStyle w:val="Hyperlink"/>
          <w:rFonts w:ascii="Arial" w:hAnsi="Arial" w:cs="Arial"/>
          <w:b/>
          <w:bCs/>
          <w:color w:val="0000FF"/>
          <w:szCs w:val="32"/>
          <w:u w:val="none"/>
        </w:rPr>
        <w:tab/>
      </w:r>
      <w:r w:rsidRPr="00145E3B">
        <w:rPr>
          <w:rStyle w:val="Hyperlink"/>
          <w:rFonts w:ascii="Arial" w:hAnsi="Arial" w:cs="Arial"/>
          <w:b/>
          <w:bCs/>
          <w:color w:val="0000FF"/>
          <w:szCs w:val="32"/>
          <w:u w:val="none"/>
        </w:rPr>
        <w:t>Other relevant provisions relating to DNA samples</w:t>
      </w:r>
      <w:r w:rsidR="00752B89" w:rsidRPr="00145E3B">
        <w:rPr>
          <w:rStyle w:val="Hyperlink"/>
          <w:rFonts w:ascii="Arial" w:hAnsi="Arial" w:cs="Arial"/>
          <w:b/>
          <w:bCs/>
          <w:color w:val="0000FF"/>
          <w:szCs w:val="32"/>
          <w:u w:val="none"/>
        </w:rPr>
        <w:t xml:space="preserve"> &amp; forensic procedures</w:t>
      </w:r>
    </w:p>
    <w:p w14:paraId="586E98CE" w14:textId="43B0761E" w:rsidR="00EE5134" w:rsidRDefault="004E1A5D">
      <w:pPr>
        <w:pBdr>
          <w:top w:val="single" w:sz="4" w:space="1" w:color="auto"/>
          <w:left w:val="single" w:sz="4" w:space="4" w:color="auto"/>
          <w:bottom w:val="single" w:sz="4" w:space="1" w:color="auto"/>
          <w:right w:val="single" w:sz="4" w:space="4" w:color="auto"/>
        </w:pBdr>
        <w:rPr>
          <w:rFonts w:ascii="Arial" w:hAnsi="Arial" w:cs="Arial"/>
          <w:b/>
          <w:bCs/>
          <w:sz w:val="12"/>
        </w:rPr>
      </w:pPr>
      <w:r w:rsidRPr="00145E3B">
        <w:rPr>
          <w:rFonts w:ascii="Arial" w:hAnsi="Arial" w:cs="Arial"/>
          <w:b/>
          <w:bCs/>
          <w:color w:val="0000FF"/>
          <w:szCs w:val="32"/>
        </w:rPr>
        <w:fldChar w:fldCharType="end"/>
      </w:r>
    </w:p>
    <w:p w14:paraId="75BEEA76" w14:textId="5AC7E78F" w:rsidR="00EE5134" w:rsidRDefault="00516F1E" w:rsidP="00AF39FE">
      <w:pPr>
        <w:rPr>
          <w:rFonts w:ascii="Arial" w:hAnsi="Arial" w:cs="Arial"/>
          <w:b/>
          <w:bCs/>
        </w:rPr>
      </w:pPr>
      <w:r>
        <w:rPr>
          <w:rFonts w:ascii="Arial" w:hAnsi="Arial" w:cs="Arial"/>
        </w:rPr>
        <w:br w:type="page"/>
      </w:r>
      <w:bookmarkStart w:id="22" w:name="_8.1_Search_warrants"/>
      <w:bookmarkStart w:id="23" w:name="_Toc30669429"/>
      <w:bookmarkStart w:id="24" w:name="_Toc30671650"/>
      <w:bookmarkStart w:id="25" w:name="_Toc30674177"/>
      <w:bookmarkStart w:id="26" w:name="_Toc30691399"/>
      <w:bookmarkStart w:id="27" w:name="_Toc30691776"/>
      <w:bookmarkStart w:id="28" w:name="_Toc30692156"/>
      <w:bookmarkStart w:id="29" w:name="_Toc30692914"/>
      <w:bookmarkStart w:id="30" w:name="_Toc30693293"/>
      <w:bookmarkStart w:id="31" w:name="_Toc30693671"/>
      <w:bookmarkStart w:id="32" w:name="_Toc30694049"/>
      <w:bookmarkStart w:id="33" w:name="_Toc30694429"/>
      <w:bookmarkStart w:id="34" w:name="_Toc30699018"/>
      <w:bookmarkStart w:id="35" w:name="_Toc30699396"/>
      <w:bookmarkStart w:id="36" w:name="_Toc30699781"/>
      <w:bookmarkStart w:id="37" w:name="_Toc30700936"/>
      <w:bookmarkStart w:id="38" w:name="_Toc30701323"/>
      <w:bookmarkStart w:id="39" w:name="_Toc30743934"/>
      <w:bookmarkStart w:id="40" w:name="_Toc30754757"/>
      <w:bookmarkStart w:id="41" w:name="_Toc30757198"/>
      <w:bookmarkStart w:id="42" w:name="_Toc30757746"/>
      <w:bookmarkStart w:id="43" w:name="_Toc30758146"/>
      <w:bookmarkStart w:id="44" w:name="_Toc30762907"/>
      <w:bookmarkStart w:id="45" w:name="_Toc30767561"/>
      <w:bookmarkStart w:id="46" w:name="_Toc34823579"/>
      <w:bookmarkEnd w:id="22"/>
      <w:r w:rsidR="00EE5134">
        <w:rPr>
          <w:rFonts w:ascii="Arial" w:hAnsi="Arial" w:cs="Arial"/>
          <w:b/>
          <w:bCs/>
        </w:rPr>
        <w:lastRenderedPageBreak/>
        <w:t>8.1</w:t>
      </w:r>
      <w:r w:rsidR="00EE5134">
        <w:rPr>
          <w:rFonts w:ascii="Arial" w:hAnsi="Arial" w:cs="Arial"/>
          <w:b/>
          <w:bCs/>
        </w:rPr>
        <w:tab/>
        <w:t>Search warrants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835ACCD" w14:textId="77777777" w:rsidR="00EE5134" w:rsidRPr="00891E2C" w:rsidRDefault="00EE5134">
      <w:pPr>
        <w:jc w:val="both"/>
        <w:rPr>
          <w:rFonts w:ascii="Arial" w:hAnsi="Arial" w:cs="Arial"/>
          <w:sz w:val="20"/>
          <w:szCs w:val="20"/>
        </w:rPr>
      </w:pPr>
    </w:p>
    <w:p w14:paraId="7E32F8BB" w14:textId="77777777" w:rsidR="00EE5134" w:rsidRDefault="00EE5134">
      <w:pPr>
        <w:spacing w:after="120"/>
        <w:jc w:val="both"/>
        <w:rPr>
          <w:rFonts w:ascii="Arial" w:hAnsi="Arial" w:cs="Arial"/>
          <w:sz w:val="20"/>
        </w:rPr>
      </w:pPr>
      <w:r>
        <w:rPr>
          <w:rFonts w:ascii="Arial" w:hAnsi="Arial" w:cs="Arial"/>
          <w:sz w:val="20"/>
        </w:rPr>
        <w:t>There are a large number of statutory provisions which empower a judge or magistrate to issue a warrant to search premises (and/or sometimes a person) for particular items.  Applications for search warrants are generally supported by an affidavit sworn by a police officer of or above a specified rank and are usually heard in chambers.  Most search warrants authorising the search of premises for an item also authorise the arrest of any person found in possession or control of the item.  Some of the more common search warrants include:</w:t>
      </w:r>
    </w:p>
    <w:tbl>
      <w:tblPr>
        <w:tblW w:w="88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868"/>
        <w:gridCol w:w="998"/>
        <w:gridCol w:w="5990"/>
      </w:tblGrid>
      <w:tr w:rsidR="00EE5134" w14:paraId="06768883" w14:textId="77777777">
        <w:trPr>
          <w:cantSplit/>
        </w:trPr>
        <w:tc>
          <w:tcPr>
            <w:tcW w:w="2866" w:type="dxa"/>
            <w:gridSpan w:val="2"/>
            <w:tcBorders>
              <w:top w:val="single" w:sz="18" w:space="0" w:color="auto"/>
              <w:bottom w:val="single" w:sz="18" w:space="0" w:color="auto"/>
            </w:tcBorders>
            <w:shd w:val="pct10" w:color="auto" w:fill="auto"/>
          </w:tcPr>
          <w:p w14:paraId="047D09FC" w14:textId="77777777" w:rsidR="00EE5134" w:rsidRDefault="00EE5134">
            <w:pPr>
              <w:jc w:val="center"/>
              <w:rPr>
                <w:rFonts w:ascii="Arial" w:hAnsi="Arial" w:cs="Arial"/>
                <w:b/>
                <w:bCs/>
                <w:sz w:val="20"/>
              </w:rPr>
            </w:pPr>
            <w:r>
              <w:rPr>
                <w:rFonts w:ascii="Arial" w:hAnsi="Arial" w:cs="Arial"/>
                <w:b/>
                <w:bCs/>
                <w:sz w:val="20"/>
              </w:rPr>
              <w:t>STATUTORY PROVISION</w:t>
            </w:r>
          </w:p>
        </w:tc>
        <w:tc>
          <w:tcPr>
            <w:tcW w:w="5990" w:type="dxa"/>
            <w:tcBorders>
              <w:top w:val="single" w:sz="18" w:space="0" w:color="auto"/>
              <w:bottom w:val="single" w:sz="18" w:space="0" w:color="auto"/>
            </w:tcBorders>
            <w:shd w:val="pct10" w:color="auto" w:fill="auto"/>
          </w:tcPr>
          <w:p w14:paraId="4BF4B953" w14:textId="77777777" w:rsidR="00EE5134" w:rsidRDefault="00EE5134">
            <w:pPr>
              <w:jc w:val="center"/>
              <w:rPr>
                <w:rFonts w:ascii="Arial" w:hAnsi="Arial" w:cs="Arial"/>
                <w:b/>
                <w:bCs/>
                <w:sz w:val="20"/>
              </w:rPr>
            </w:pPr>
            <w:r>
              <w:rPr>
                <w:rFonts w:ascii="Arial" w:hAnsi="Arial" w:cs="Arial"/>
                <w:b/>
                <w:bCs/>
                <w:sz w:val="20"/>
              </w:rPr>
              <w:t>PURPOSE IS TO BREAK, ENTER &amp; SEARCH PREMISES AND SEIZE</w:t>
            </w:r>
          </w:p>
        </w:tc>
      </w:tr>
      <w:tr w:rsidR="00110F53" w14:paraId="0CB505EE" w14:textId="77777777">
        <w:trPr>
          <w:cantSplit/>
        </w:trPr>
        <w:tc>
          <w:tcPr>
            <w:tcW w:w="1868" w:type="dxa"/>
            <w:vMerge w:val="restart"/>
            <w:tcBorders>
              <w:top w:val="single" w:sz="18" w:space="0" w:color="auto"/>
            </w:tcBorders>
          </w:tcPr>
          <w:p w14:paraId="0C5FB786" w14:textId="77777777" w:rsidR="00110F53" w:rsidRDefault="00110F53">
            <w:pPr>
              <w:rPr>
                <w:rFonts w:ascii="Arial" w:hAnsi="Arial" w:cs="Arial"/>
                <w:sz w:val="20"/>
              </w:rPr>
            </w:pPr>
            <w:r>
              <w:rPr>
                <w:rFonts w:ascii="Arial" w:hAnsi="Arial" w:cs="Arial"/>
                <w:sz w:val="20"/>
              </w:rPr>
              <w:t>Crimes Act 1958 (Vic)</w:t>
            </w:r>
          </w:p>
        </w:tc>
        <w:tc>
          <w:tcPr>
            <w:tcW w:w="998" w:type="dxa"/>
            <w:tcBorders>
              <w:top w:val="single" w:sz="18" w:space="0" w:color="auto"/>
              <w:bottom w:val="single" w:sz="4" w:space="0" w:color="auto"/>
            </w:tcBorders>
          </w:tcPr>
          <w:p w14:paraId="4F10506B" w14:textId="77777777" w:rsidR="00110F53" w:rsidRDefault="00110F53">
            <w:pPr>
              <w:rPr>
                <w:rFonts w:ascii="Arial" w:hAnsi="Arial" w:cs="Arial"/>
                <w:sz w:val="20"/>
              </w:rPr>
            </w:pPr>
            <w:r>
              <w:rPr>
                <w:rFonts w:ascii="Arial" w:hAnsi="Arial" w:cs="Arial"/>
                <w:sz w:val="20"/>
              </w:rPr>
              <w:t>s.92(1)</w:t>
            </w:r>
          </w:p>
        </w:tc>
        <w:tc>
          <w:tcPr>
            <w:tcW w:w="5990" w:type="dxa"/>
            <w:tcBorders>
              <w:top w:val="single" w:sz="18" w:space="0" w:color="auto"/>
            </w:tcBorders>
          </w:tcPr>
          <w:p w14:paraId="3FE9F050" w14:textId="77777777" w:rsidR="00110F53" w:rsidRDefault="00110F53">
            <w:pPr>
              <w:jc w:val="both"/>
              <w:rPr>
                <w:rFonts w:ascii="Arial" w:hAnsi="Arial" w:cs="Arial"/>
                <w:sz w:val="20"/>
              </w:rPr>
            </w:pPr>
            <w:r>
              <w:rPr>
                <w:rFonts w:ascii="Arial" w:hAnsi="Arial" w:cs="Arial"/>
                <w:b/>
                <w:bCs/>
                <w:sz w:val="20"/>
              </w:rPr>
              <w:t>stolen goods</w:t>
            </w:r>
            <w:r>
              <w:rPr>
                <w:rFonts w:ascii="Arial" w:hAnsi="Arial" w:cs="Arial"/>
                <w:sz w:val="20"/>
              </w:rPr>
              <w:t xml:space="preserve"> (includes search of person)</w:t>
            </w:r>
          </w:p>
        </w:tc>
      </w:tr>
      <w:tr w:rsidR="00110F53" w14:paraId="781AF27D" w14:textId="77777777">
        <w:trPr>
          <w:cantSplit/>
        </w:trPr>
        <w:tc>
          <w:tcPr>
            <w:tcW w:w="1868" w:type="dxa"/>
            <w:vMerge/>
          </w:tcPr>
          <w:p w14:paraId="17B13F46" w14:textId="77777777" w:rsidR="00110F53" w:rsidRDefault="00110F53">
            <w:pPr>
              <w:rPr>
                <w:rFonts w:ascii="Arial" w:hAnsi="Arial" w:cs="Arial"/>
                <w:sz w:val="20"/>
              </w:rPr>
            </w:pPr>
          </w:p>
        </w:tc>
        <w:tc>
          <w:tcPr>
            <w:tcW w:w="998" w:type="dxa"/>
            <w:tcBorders>
              <w:top w:val="single" w:sz="4" w:space="0" w:color="auto"/>
              <w:bottom w:val="single" w:sz="4" w:space="0" w:color="auto"/>
            </w:tcBorders>
          </w:tcPr>
          <w:p w14:paraId="05D522AC" w14:textId="77777777" w:rsidR="00110F53" w:rsidRDefault="00110F53">
            <w:pPr>
              <w:rPr>
                <w:rFonts w:ascii="Arial" w:hAnsi="Arial" w:cs="Arial"/>
                <w:sz w:val="20"/>
              </w:rPr>
            </w:pPr>
            <w:r>
              <w:rPr>
                <w:rFonts w:ascii="Arial" w:hAnsi="Arial" w:cs="Arial"/>
                <w:sz w:val="20"/>
              </w:rPr>
              <w:t>s.317(9)</w:t>
            </w:r>
          </w:p>
        </w:tc>
        <w:tc>
          <w:tcPr>
            <w:tcW w:w="5990" w:type="dxa"/>
          </w:tcPr>
          <w:p w14:paraId="5C9FC379" w14:textId="77777777" w:rsidR="00110F53" w:rsidRDefault="00110F53">
            <w:pPr>
              <w:jc w:val="both"/>
              <w:rPr>
                <w:rFonts w:ascii="Arial" w:hAnsi="Arial" w:cs="Arial"/>
                <w:sz w:val="20"/>
              </w:rPr>
            </w:pPr>
            <w:r>
              <w:rPr>
                <w:rFonts w:ascii="Arial" w:hAnsi="Arial" w:cs="Arial"/>
                <w:b/>
                <w:bCs/>
                <w:sz w:val="20"/>
              </w:rPr>
              <w:t>explosive substances</w:t>
            </w:r>
            <w:r>
              <w:rPr>
                <w:rFonts w:ascii="Arial" w:hAnsi="Arial" w:cs="Arial"/>
                <w:sz w:val="20"/>
              </w:rPr>
              <w:t xml:space="preserve"> (includes search of person)</w:t>
            </w:r>
          </w:p>
        </w:tc>
      </w:tr>
      <w:tr w:rsidR="00110F53" w14:paraId="3A94C239" w14:textId="77777777">
        <w:trPr>
          <w:cantSplit/>
        </w:trPr>
        <w:tc>
          <w:tcPr>
            <w:tcW w:w="1868" w:type="dxa"/>
            <w:vMerge/>
          </w:tcPr>
          <w:p w14:paraId="3CD59714" w14:textId="77777777" w:rsidR="00110F53" w:rsidRDefault="00110F53">
            <w:pPr>
              <w:rPr>
                <w:rFonts w:ascii="Arial" w:hAnsi="Arial" w:cs="Arial"/>
                <w:sz w:val="20"/>
              </w:rPr>
            </w:pPr>
          </w:p>
        </w:tc>
        <w:tc>
          <w:tcPr>
            <w:tcW w:w="998" w:type="dxa"/>
            <w:tcBorders>
              <w:top w:val="single" w:sz="4" w:space="0" w:color="auto"/>
              <w:bottom w:val="single" w:sz="4" w:space="0" w:color="auto"/>
            </w:tcBorders>
          </w:tcPr>
          <w:p w14:paraId="6911A2DE" w14:textId="77777777" w:rsidR="00110F53" w:rsidRDefault="00110F53">
            <w:pPr>
              <w:rPr>
                <w:rFonts w:ascii="Arial" w:hAnsi="Arial" w:cs="Arial"/>
                <w:sz w:val="20"/>
              </w:rPr>
            </w:pPr>
            <w:r>
              <w:rPr>
                <w:rFonts w:ascii="Arial" w:hAnsi="Arial" w:cs="Arial"/>
                <w:sz w:val="20"/>
              </w:rPr>
              <w:t>s.341</w:t>
            </w:r>
          </w:p>
        </w:tc>
        <w:tc>
          <w:tcPr>
            <w:tcW w:w="5990" w:type="dxa"/>
          </w:tcPr>
          <w:p w14:paraId="64A21F39" w14:textId="77777777" w:rsidR="00110F53" w:rsidRDefault="00110F53">
            <w:pPr>
              <w:jc w:val="both"/>
              <w:rPr>
                <w:rFonts w:ascii="Arial" w:hAnsi="Arial" w:cs="Arial"/>
                <w:sz w:val="20"/>
              </w:rPr>
            </w:pPr>
            <w:r>
              <w:rPr>
                <w:rFonts w:ascii="Arial" w:hAnsi="Arial" w:cs="Arial"/>
                <w:sz w:val="20"/>
              </w:rPr>
              <w:t>any object relevant to the investigation of an offence against a law of a reciprocating State</w:t>
            </w:r>
          </w:p>
        </w:tc>
      </w:tr>
      <w:tr w:rsidR="00110F53" w14:paraId="5248CB3A" w14:textId="77777777" w:rsidTr="00303E64">
        <w:trPr>
          <w:cantSplit/>
        </w:trPr>
        <w:tc>
          <w:tcPr>
            <w:tcW w:w="1868" w:type="dxa"/>
            <w:vMerge/>
          </w:tcPr>
          <w:p w14:paraId="77EBC97D" w14:textId="77777777" w:rsidR="00110F53" w:rsidRDefault="00110F53">
            <w:pPr>
              <w:rPr>
                <w:rFonts w:ascii="Arial" w:hAnsi="Arial" w:cs="Arial"/>
                <w:sz w:val="20"/>
              </w:rPr>
            </w:pPr>
          </w:p>
        </w:tc>
        <w:tc>
          <w:tcPr>
            <w:tcW w:w="998" w:type="dxa"/>
            <w:tcBorders>
              <w:top w:val="single" w:sz="4" w:space="0" w:color="auto"/>
              <w:bottom w:val="single" w:sz="4" w:space="0" w:color="auto"/>
            </w:tcBorders>
          </w:tcPr>
          <w:p w14:paraId="2B9DB6E0" w14:textId="77777777" w:rsidR="00110F53" w:rsidRDefault="00110F53">
            <w:pPr>
              <w:rPr>
                <w:rFonts w:ascii="Arial" w:hAnsi="Arial" w:cs="Arial"/>
                <w:sz w:val="20"/>
              </w:rPr>
            </w:pPr>
            <w:r>
              <w:rPr>
                <w:rFonts w:ascii="Arial" w:hAnsi="Arial" w:cs="Arial"/>
                <w:sz w:val="20"/>
              </w:rPr>
              <w:t>s.465</w:t>
            </w:r>
          </w:p>
        </w:tc>
        <w:tc>
          <w:tcPr>
            <w:tcW w:w="5990" w:type="dxa"/>
            <w:tcBorders>
              <w:bottom w:val="single" w:sz="4" w:space="0" w:color="auto"/>
            </w:tcBorders>
          </w:tcPr>
          <w:p w14:paraId="5C7D6998" w14:textId="3CC7327A" w:rsidR="00110F53" w:rsidRDefault="00110F53">
            <w:pPr>
              <w:jc w:val="both"/>
              <w:rPr>
                <w:rFonts w:ascii="Arial" w:hAnsi="Arial" w:cs="Arial"/>
                <w:sz w:val="20"/>
              </w:rPr>
            </w:pPr>
            <w:r>
              <w:rPr>
                <w:rFonts w:ascii="Arial" w:hAnsi="Arial" w:cs="Arial"/>
                <w:sz w:val="20"/>
              </w:rPr>
              <w:t xml:space="preserve">any item of </w:t>
            </w:r>
            <w:r>
              <w:rPr>
                <w:rFonts w:ascii="Arial" w:hAnsi="Arial" w:cs="Arial"/>
                <w:b/>
                <w:bCs/>
                <w:sz w:val="20"/>
              </w:rPr>
              <w:t>evidence</w:t>
            </w:r>
            <w:r>
              <w:rPr>
                <w:rFonts w:ascii="Arial" w:hAnsi="Arial" w:cs="Arial"/>
                <w:sz w:val="20"/>
              </w:rPr>
              <w:t xml:space="preserve"> in relation to the commission of an indictable offence [a related power in s.465AA is to compel assistance from a person with knowledge of a computer or computer network: see </w:t>
            </w:r>
            <w:r w:rsidRPr="00110F53">
              <w:rPr>
                <w:rFonts w:ascii="Arial" w:hAnsi="Arial" w:cs="Arial"/>
                <w:i/>
                <w:iCs/>
                <w:sz w:val="20"/>
              </w:rPr>
              <w:t>Smit v Lyons &amp; Ors</w:t>
            </w:r>
            <w:r>
              <w:rPr>
                <w:rFonts w:ascii="Arial" w:hAnsi="Arial" w:cs="Arial"/>
                <w:sz w:val="20"/>
              </w:rPr>
              <w:t xml:space="preserve"> [2022] VSC 274 at [89]-[111].]</w:t>
            </w:r>
          </w:p>
        </w:tc>
      </w:tr>
      <w:tr w:rsidR="00EE5134" w14:paraId="1028167C" w14:textId="77777777">
        <w:trPr>
          <w:cantSplit/>
          <w:trHeight w:val="244"/>
        </w:trPr>
        <w:tc>
          <w:tcPr>
            <w:tcW w:w="1868" w:type="dxa"/>
            <w:vMerge w:val="restart"/>
            <w:tcBorders>
              <w:top w:val="single" w:sz="12" w:space="0" w:color="auto"/>
            </w:tcBorders>
          </w:tcPr>
          <w:p w14:paraId="4DA95632" w14:textId="77777777" w:rsidR="00EE5134" w:rsidRDefault="00EE5134">
            <w:pPr>
              <w:rPr>
                <w:rFonts w:ascii="Arial" w:hAnsi="Arial" w:cs="Arial"/>
                <w:sz w:val="20"/>
              </w:rPr>
            </w:pPr>
            <w:r>
              <w:rPr>
                <w:rFonts w:ascii="Arial" w:hAnsi="Arial" w:cs="Arial"/>
                <w:sz w:val="20"/>
              </w:rPr>
              <w:t>Crimes Act 1914 (Cth)</w:t>
            </w:r>
          </w:p>
        </w:tc>
        <w:tc>
          <w:tcPr>
            <w:tcW w:w="998" w:type="dxa"/>
            <w:tcBorders>
              <w:top w:val="single" w:sz="12" w:space="0" w:color="auto"/>
              <w:bottom w:val="single" w:sz="4" w:space="0" w:color="auto"/>
            </w:tcBorders>
          </w:tcPr>
          <w:p w14:paraId="745CAC1B" w14:textId="77777777" w:rsidR="00EE5134" w:rsidRDefault="00EE5134">
            <w:pPr>
              <w:rPr>
                <w:rFonts w:ascii="Arial" w:hAnsi="Arial" w:cs="Arial"/>
                <w:sz w:val="20"/>
              </w:rPr>
            </w:pPr>
            <w:r>
              <w:rPr>
                <w:rFonts w:ascii="Arial" w:hAnsi="Arial" w:cs="Arial"/>
                <w:sz w:val="20"/>
              </w:rPr>
              <w:t>ss.3E &amp; 3R</w:t>
            </w:r>
          </w:p>
        </w:tc>
        <w:tc>
          <w:tcPr>
            <w:tcW w:w="5990" w:type="dxa"/>
            <w:tcBorders>
              <w:top w:val="single" w:sz="12" w:space="0" w:color="auto"/>
              <w:bottom w:val="single" w:sz="4" w:space="0" w:color="auto"/>
            </w:tcBorders>
          </w:tcPr>
          <w:p w14:paraId="22436FE3" w14:textId="77777777" w:rsidR="00EE5134" w:rsidRDefault="00EE5134">
            <w:pPr>
              <w:jc w:val="both"/>
              <w:rPr>
                <w:rFonts w:ascii="Arial" w:hAnsi="Arial" w:cs="Arial"/>
                <w:sz w:val="20"/>
              </w:rPr>
            </w:pPr>
            <w:r>
              <w:rPr>
                <w:rFonts w:ascii="Arial" w:hAnsi="Arial" w:cs="Arial"/>
                <w:sz w:val="20"/>
              </w:rPr>
              <w:t>"</w:t>
            </w:r>
            <w:r>
              <w:rPr>
                <w:rFonts w:ascii="Arial" w:hAnsi="Arial" w:cs="Arial"/>
                <w:b/>
                <w:bCs/>
                <w:sz w:val="20"/>
              </w:rPr>
              <w:t>evidential material</w:t>
            </w:r>
            <w:r>
              <w:rPr>
                <w:rFonts w:ascii="Arial" w:hAnsi="Arial" w:cs="Arial"/>
                <w:sz w:val="20"/>
              </w:rPr>
              <w:t>" in relation to the commission of an offence (may also authorise an ordinary or frisk search of a person suspected to have "evidential material" or "seizable items" in his or her possession)</w:t>
            </w:r>
          </w:p>
        </w:tc>
      </w:tr>
      <w:tr w:rsidR="00EE5134" w14:paraId="3C0CF99C" w14:textId="77777777">
        <w:trPr>
          <w:cantSplit/>
          <w:trHeight w:val="227"/>
        </w:trPr>
        <w:tc>
          <w:tcPr>
            <w:tcW w:w="1868" w:type="dxa"/>
            <w:vMerge/>
          </w:tcPr>
          <w:p w14:paraId="6CF33D4E" w14:textId="77777777" w:rsidR="00EE5134" w:rsidRDefault="00EE5134">
            <w:pPr>
              <w:jc w:val="both"/>
              <w:rPr>
                <w:rFonts w:ascii="Arial" w:hAnsi="Arial" w:cs="Arial"/>
                <w:sz w:val="20"/>
              </w:rPr>
            </w:pPr>
          </w:p>
        </w:tc>
        <w:tc>
          <w:tcPr>
            <w:tcW w:w="6988" w:type="dxa"/>
            <w:gridSpan w:val="2"/>
            <w:tcBorders>
              <w:top w:val="single" w:sz="4" w:space="0" w:color="auto"/>
              <w:bottom w:val="single" w:sz="12" w:space="0" w:color="auto"/>
            </w:tcBorders>
            <w:shd w:val="pct10" w:color="auto" w:fill="auto"/>
          </w:tcPr>
          <w:p w14:paraId="4A83C442" w14:textId="77777777" w:rsidR="00EE5134" w:rsidRDefault="00EE5134">
            <w:pPr>
              <w:jc w:val="center"/>
              <w:rPr>
                <w:rFonts w:ascii="Arial" w:hAnsi="Arial" w:cs="Arial"/>
                <w:sz w:val="20"/>
              </w:rPr>
            </w:pPr>
            <w:r>
              <w:rPr>
                <w:rFonts w:ascii="Arial" w:hAnsi="Arial" w:cs="Arial"/>
                <w:sz w:val="20"/>
              </w:rPr>
              <w:t>[s.3R involves an application by phone or other electronic means]</w:t>
            </w:r>
          </w:p>
        </w:tc>
      </w:tr>
      <w:tr w:rsidR="00EE5134" w14:paraId="48284FB4" w14:textId="77777777">
        <w:trPr>
          <w:cantSplit/>
        </w:trPr>
        <w:tc>
          <w:tcPr>
            <w:tcW w:w="1868" w:type="dxa"/>
            <w:vMerge w:val="restart"/>
            <w:tcBorders>
              <w:top w:val="single" w:sz="12" w:space="0" w:color="auto"/>
            </w:tcBorders>
          </w:tcPr>
          <w:p w14:paraId="58D0A326" w14:textId="77777777" w:rsidR="00EE5134" w:rsidRDefault="00EE5134">
            <w:pPr>
              <w:rPr>
                <w:rFonts w:ascii="Arial" w:hAnsi="Arial" w:cs="Arial"/>
                <w:sz w:val="20"/>
              </w:rPr>
            </w:pPr>
            <w:r>
              <w:rPr>
                <w:rFonts w:ascii="Arial" w:hAnsi="Arial" w:cs="Arial"/>
                <w:sz w:val="20"/>
              </w:rPr>
              <w:t>Customs Act 1901 (Cth)</w:t>
            </w:r>
          </w:p>
        </w:tc>
        <w:tc>
          <w:tcPr>
            <w:tcW w:w="998" w:type="dxa"/>
            <w:tcBorders>
              <w:top w:val="single" w:sz="12" w:space="0" w:color="auto"/>
              <w:bottom w:val="single" w:sz="4" w:space="0" w:color="auto"/>
            </w:tcBorders>
          </w:tcPr>
          <w:p w14:paraId="570FBB99" w14:textId="77777777" w:rsidR="00EE5134" w:rsidRDefault="00EE5134">
            <w:pPr>
              <w:rPr>
                <w:rFonts w:ascii="Arial" w:hAnsi="Arial" w:cs="Arial"/>
                <w:sz w:val="20"/>
              </w:rPr>
            </w:pPr>
            <w:r>
              <w:rPr>
                <w:rFonts w:ascii="Arial" w:hAnsi="Arial" w:cs="Arial"/>
                <w:sz w:val="20"/>
              </w:rPr>
              <w:t>s.198</w:t>
            </w:r>
          </w:p>
        </w:tc>
        <w:tc>
          <w:tcPr>
            <w:tcW w:w="5990" w:type="dxa"/>
            <w:tcBorders>
              <w:top w:val="single" w:sz="12" w:space="0" w:color="auto"/>
              <w:bottom w:val="single" w:sz="4" w:space="0" w:color="auto"/>
            </w:tcBorders>
          </w:tcPr>
          <w:p w14:paraId="119CD1C6" w14:textId="77777777" w:rsidR="00EE5134" w:rsidRDefault="00EE5134">
            <w:pPr>
              <w:jc w:val="both"/>
              <w:rPr>
                <w:rFonts w:ascii="Arial" w:hAnsi="Arial" w:cs="Arial"/>
                <w:sz w:val="20"/>
              </w:rPr>
            </w:pPr>
            <w:r>
              <w:rPr>
                <w:rFonts w:ascii="Arial" w:hAnsi="Arial" w:cs="Arial"/>
                <w:sz w:val="20"/>
              </w:rPr>
              <w:t>"</w:t>
            </w:r>
            <w:r>
              <w:rPr>
                <w:rFonts w:ascii="Arial" w:hAnsi="Arial" w:cs="Arial"/>
                <w:b/>
                <w:bCs/>
                <w:sz w:val="20"/>
              </w:rPr>
              <w:t>evidential material</w:t>
            </w:r>
            <w:r>
              <w:rPr>
                <w:rFonts w:ascii="Arial" w:hAnsi="Arial" w:cs="Arial"/>
                <w:sz w:val="20"/>
              </w:rPr>
              <w:t>" other than "forfeited goods" (may also authorise an ordinary or frisk search of a person suspected to have "evidential material" in his or her possession)</w:t>
            </w:r>
          </w:p>
        </w:tc>
      </w:tr>
      <w:tr w:rsidR="00EE5134" w14:paraId="0B0A912C" w14:textId="77777777">
        <w:trPr>
          <w:cantSplit/>
        </w:trPr>
        <w:tc>
          <w:tcPr>
            <w:tcW w:w="1868" w:type="dxa"/>
            <w:vMerge/>
          </w:tcPr>
          <w:p w14:paraId="4D867DC3" w14:textId="77777777" w:rsidR="00EE5134" w:rsidRDefault="00EE5134">
            <w:pPr>
              <w:rPr>
                <w:rFonts w:ascii="Arial" w:hAnsi="Arial" w:cs="Arial"/>
                <w:sz w:val="20"/>
              </w:rPr>
            </w:pPr>
          </w:p>
        </w:tc>
        <w:tc>
          <w:tcPr>
            <w:tcW w:w="998" w:type="dxa"/>
            <w:tcBorders>
              <w:top w:val="single" w:sz="4" w:space="0" w:color="auto"/>
              <w:bottom w:val="single" w:sz="4" w:space="0" w:color="auto"/>
            </w:tcBorders>
          </w:tcPr>
          <w:p w14:paraId="3B9385B8" w14:textId="77777777" w:rsidR="00EE5134" w:rsidRDefault="00EE5134">
            <w:pPr>
              <w:rPr>
                <w:rFonts w:ascii="Arial" w:hAnsi="Arial" w:cs="Arial"/>
                <w:sz w:val="20"/>
              </w:rPr>
            </w:pPr>
            <w:r>
              <w:rPr>
                <w:rFonts w:ascii="Arial" w:hAnsi="Arial" w:cs="Arial"/>
                <w:sz w:val="20"/>
              </w:rPr>
              <w:t>ss.203</w:t>
            </w:r>
          </w:p>
          <w:p w14:paraId="257DC28E" w14:textId="77777777" w:rsidR="00EE5134" w:rsidRDefault="00EE5134">
            <w:pPr>
              <w:rPr>
                <w:rFonts w:ascii="Arial" w:hAnsi="Arial" w:cs="Arial"/>
                <w:sz w:val="20"/>
              </w:rPr>
            </w:pPr>
            <w:r>
              <w:rPr>
                <w:rFonts w:ascii="Arial" w:hAnsi="Arial" w:cs="Arial"/>
                <w:sz w:val="20"/>
              </w:rPr>
              <w:t>&amp; 203M</w:t>
            </w:r>
          </w:p>
        </w:tc>
        <w:tc>
          <w:tcPr>
            <w:tcW w:w="5990" w:type="dxa"/>
            <w:tcBorders>
              <w:top w:val="single" w:sz="4" w:space="0" w:color="auto"/>
              <w:bottom w:val="single" w:sz="4" w:space="0" w:color="auto"/>
            </w:tcBorders>
          </w:tcPr>
          <w:p w14:paraId="649D8BD7" w14:textId="77777777" w:rsidR="00EE5134" w:rsidRDefault="00EE5134">
            <w:pPr>
              <w:spacing w:line="240" w:lineRule="exact"/>
              <w:jc w:val="both"/>
              <w:rPr>
                <w:rFonts w:ascii="Arial" w:hAnsi="Arial" w:cs="Arial"/>
                <w:sz w:val="20"/>
              </w:rPr>
            </w:pPr>
            <w:r>
              <w:rPr>
                <w:rFonts w:ascii="Arial" w:hAnsi="Arial" w:cs="Arial"/>
                <w:sz w:val="20"/>
              </w:rPr>
              <w:t>"</w:t>
            </w:r>
            <w:r>
              <w:rPr>
                <w:rFonts w:ascii="Arial" w:hAnsi="Arial" w:cs="Arial"/>
                <w:b/>
                <w:bCs/>
                <w:sz w:val="20"/>
              </w:rPr>
              <w:t>forfeited goods</w:t>
            </w:r>
            <w:r>
              <w:rPr>
                <w:rFonts w:ascii="Arial" w:hAnsi="Arial" w:cs="Arial"/>
                <w:sz w:val="20"/>
              </w:rPr>
              <w:t>" or "</w:t>
            </w:r>
            <w:r>
              <w:rPr>
                <w:rFonts w:ascii="Arial" w:hAnsi="Arial" w:cs="Arial"/>
                <w:b/>
                <w:bCs/>
                <w:sz w:val="20"/>
              </w:rPr>
              <w:t>special forfeited goods</w:t>
            </w:r>
            <w:r>
              <w:rPr>
                <w:rFonts w:ascii="Arial" w:hAnsi="Arial" w:cs="Arial"/>
                <w:sz w:val="20"/>
              </w:rPr>
              <w:t>" (may also authorise an ordinary or frisk search of a person suspected to have such items in his or her possession)</w:t>
            </w:r>
          </w:p>
        </w:tc>
      </w:tr>
      <w:tr w:rsidR="00EE5134" w14:paraId="27FA10F0" w14:textId="77777777">
        <w:trPr>
          <w:cantSplit/>
        </w:trPr>
        <w:tc>
          <w:tcPr>
            <w:tcW w:w="1868" w:type="dxa"/>
            <w:vMerge/>
            <w:tcBorders>
              <w:bottom w:val="single" w:sz="12" w:space="0" w:color="auto"/>
            </w:tcBorders>
          </w:tcPr>
          <w:p w14:paraId="2F700533" w14:textId="77777777" w:rsidR="00EE5134" w:rsidRDefault="00EE5134">
            <w:pPr>
              <w:rPr>
                <w:rFonts w:ascii="Arial" w:hAnsi="Arial" w:cs="Arial"/>
                <w:sz w:val="20"/>
              </w:rPr>
            </w:pPr>
          </w:p>
        </w:tc>
        <w:tc>
          <w:tcPr>
            <w:tcW w:w="6988" w:type="dxa"/>
            <w:gridSpan w:val="2"/>
            <w:tcBorders>
              <w:top w:val="single" w:sz="4" w:space="0" w:color="auto"/>
              <w:bottom w:val="single" w:sz="12" w:space="0" w:color="auto"/>
            </w:tcBorders>
            <w:shd w:val="pct10" w:color="auto" w:fill="auto"/>
          </w:tcPr>
          <w:p w14:paraId="7784428D" w14:textId="77777777" w:rsidR="00EE5134" w:rsidRDefault="00EE5134">
            <w:pPr>
              <w:jc w:val="center"/>
              <w:rPr>
                <w:rFonts w:ascii="Arial" w:hAnsi="Arial" w:cs="Arial"/>
                <w:sz w:val="20"/>
              </w:rPr>
            </w:pPr>
            <w:r>
              <w:rPr>
                <w:rFonts w:ascii="Arial" w:hAnsi="Arial" w:cs="Arial"/>
                <w:sz w:val="20"/>
              </w:rPr>
              <w:t>[s.203M involves an application by phone or other electronic means]</w:t>
            </w:r>
          </w:p>
        </w:tc>
      </w:tr>
      <w:tr w:rsidR="00EE5134" w14:paraId="2404163B" w14:textId="77777777">
        <w:trPr>
          <w:cantSplit/>
        </w:trPr>
        <w:tc>
          <w:tcPr>
            <w:tcW w:w="1868" w:type="dxa"/>
            <w:tcBorders>
              <w:top w:val="single" w:sz="12" w:space="0" w:color="auto"/>
              <w:bottom w:val="single" w:sz="12" w:space="0" w:color="auto"/>
            </w:tcBorders>
          </w:tcPr>
          <w:p w14:paraId="3F688873" w14:textId="77777777" w:rsidR="00EE5134" w:rsidRDefault="00EE5134">
            <w:pPr>
              <w:rPr>
                <w:rFonts w:ascii="Arial" w:hAnsi="Arial" w:cs="Arial"/>
                <w:sz w:val="20"/>
              </w:rPr>
            </w:pPr>
            <w:r>
              <w:rPr>
                <w:rFonts w:ascii="Arial" w:hAnsi="Arial" w:cs="Arial"/>
                <w:sz w:val="20"/>
              </w:rPr>
              <w:t>Drugs, Poisons &amp; Controlled Substances Act 1981 (Vic)</w:t>
            </w:r>
          </w:p>
        </w:tc>
        <w:tc>
          <w:tcPr>
            <w:tcW w:w="998" w:type="dxa"/>
            <w:tcBorders>
              <w:top w:val="single" w:sz="12" w:space="0" w:color="auto"/>
              <w:bottom w:val="single" w:sz="12" w:space="0" w:color="auto"/>
            </w:tcBorders>
          </w:tcPr>
          <w:p w14:paraId="284785A3" w14:textId="77777777" w:rsidR="00EE5134" w:rsidRDefault="00EE5134">
            <w:pPr>
              <w:rPr>
                <w:rFonts w:ascii="Arial" w:hAnsi="Arial" w:cs="Arial"/>
                <w:sz w:val="20"/>
              </w:rPr>
            </w:pPr>
            <w:r>
              <w:rPr>
                <w:rFonts w:ascii="Arial" w:hAnsi="Arial" w:cs="Arial"/>
                <w:sz w:val="20"/>
              </w:rPr>
              <w:t>s.81</w:t>
            </w:r>
          </w:p>
        </w:tc>
        <w:tc>
          <w:tcPr>
            <w:tcW w:w="5990" w:type="dxa"/>
            <w:tcBorders>
              <w:top w:val="single" w:sz="12" w:space="0" w:color="auto"/>
              <w:bottom w:val="single" w:sz="12" w:space="0" w:color="auto"/>
            </w:tcBorders>
          </w:tcPr>
          <w:p w14:paraId="5ADE7A3B" w14:textId="77777777" w:rsidR="00EE5134" w:rsidRDefault="00EE5134">
            <w:pPr>
              <w:jc w:val="both"/>
              <w:rPr>
                <w:rFonts w:ascii="Arial" w:hAnsi="Arial" w:cs="Arial"/>
                <w:sz w:val="20"/>
              </w:rPr>
            </w:pPr>
            <w:r>
              <w:rPr>
                <w:rFonts w:ascii="Arial" w:hAnsi="Arial" w:cs="Arial"/>
                <w:b/>
                <w:bCs/>
                <w:sz w:val="20"/>
              </w:rPr>
              <w:t>drugs</w:t>
            </w:r>
            <w:r>
              <w:rPr>
                <w:rFonts w:ascii="Arial" w:hAnsi="Arial" w:cs="Arial"/>
                <w:sz w:val="20"/>
              </w:rPr>
              <w:t>, documents or other evidence of the commission of an offence under the Act</w:t>
            </w:r>
          </w:p>
        </w:tc>
      </w:tr>
      <w:tr w:rsidR="00EE5134" w14:paraId="4DA0FD34" w14:textId="77777777">
        <w:trPr>
          <w:cantSplit/>
        </w:trPr>
        <w:tc>
          <w:tcPr>
            <w:tcW w:w="1868" w:type="dxa"/>
            <w:tcBorders>
              <w:top w:val="single" w:sz="12" w:space="0" w:color="auto"/>
              <w:bottom w:val="single" w:sz="12" w:space="0" w:color="auto"/>
            </w:tcBorders>
          </w:tcPr>
          <w:p w14:paraId="4BD5A562" w14:textId="77777777" w:rsidR="00EE5134" w:rsidRDefault="00EE5134">
            <w:pPr>
              <w:rPr>
                <w:rFonts w:ascii="Arial" w:hAnsi="Arial" w:cs="Arial"/>
                <w:sz w:val="20"/>
              </w:rPr>
            </w:pPr>
            <w:r>
              <w:rPr>
                <w:rFonts w:ascii="Arial" w:hAnsi="Arial" w:cs="Arial"/>
                <w:sz w:val="20"/>
              </w:rPr>
              <w:t>Firearms Act 1996 (Vic)</w:t>
            </w:r>
          </w:p>
        </w:tc>
        <w:tc>
          <w:tcPr>
            <w:tcW w:w="998" w:type="dxa"/>
            <w:tcBorders>
              <w:top w:val="single" w:sz="12" w:space="0" w:color="auto"/>
              <w:bottom w:val="single" w:sz="12" w:space="0" w:color="auto"/>
            </w:tcBorders>
          </w:tcPr>
          <w:p w14:paraId="5E36732C" w14:textId="77777777" w:rsidR="00EE5134" w:rsidRDefault="00EE5134">
            <w:pPr>
              <w:rPr>
                <w:rFonts w:ascii="Arial" w:hAnsi="Arial" w:cs="Arial"/>
                <w:sz w:val="20"/>
              </w:rPr>
            </w:pPr>
            <w:r>
              <w:rPr>
                <w:rFonts w:ascii="Arial" w:hAnsi="Arial" w:cs="Arial"/>
                <w:sz w:val="20"/>
              </w:rPr>
              <w:t>s.146</w:t>
            </w:r>
          </w:p>
        </w:tc>
        <w:tc>
          <w:tcPr>
            <w:tcW w:w="5990" w:type="dxa"/>
            <w:tcBorders>
              <w:top w:val="single" w:sz="12" w:space="0" w:color="auto"/>
              <w:bottom w:val="single" w:sz="12" w:space="0" w:color="auto"/>
            </w:tcBorders>
          </w:tcPr>
          <w:p w14:paraId="69ED3F44" w14:textId="77777777" w:rsidR="00EE5134" w:rsidRDefault="00EE5134">
            <w:pPr>
              <w:jc w:val="both"/>
              <w:rPr>
                <w:rFonts w:ascii="Arial" w:hAnsi="Arial" w:cs="Arial"/>
                <w:sz w:val="20"/>
              </w:rPr>
            </w:pPr>
            <w:r>
              <w:rPr>
                <w:rFonts w:ascii="Arial" w:hAnsi="Arial" w:cs="Arial"/>
                <w:sz w:val="20"/>
              </w:rPr>
              <w:t xml:space="preserve">any evidence in relation to the commission of the </w:t>
            </w:r>
            <w:r>
              <w:rPr>
                <w:rFonts w:ascii="Arial" w:hAnsi="Arial" w:cs="Arial"/>
                <w:b/>
                <w:bCs/>
                <w:sz w:val="20"/>
              </w:rPr>
              <w:t>firearms</w:t>
            </w:r>
            <w:r>
              <w:rPr>
                <w:rFonts w:ascii="Arial" w:hAnsi="Arial" w:cs="Arial"/>
                <w:sz w:val="20"/>
              </w:rPr>
              <w:t xml:space="preserve"> offence named in the warrant</w:t>
            </w:r>
          </w:p>
        </w:tc>
      </w:tr>
      <w:tr w:rsidR="00EE5134" w14:paraId="44C09222" w14:textId="77777777">
        <w:trPr>
          <w:cantSplit/>
        </w:trPr>
        <w:tc>
          <w:tcPr>
            <w:tcW w:w="1868" w:type="dxa"/>
            <w:tcBorders>
              <w:top w:val="single" w:sz="12" w:space="0" w:color="auto"/>
              <w:bottom w:val="single" w:sz="12" w:space="0" w:color="auto"/>
            </w:tcBorders>
          </w:tcPr>
          <w:p w14:paraId="341E8424" w14:textId="77777777" w:rsidR="00EE5134" w:rsidRDefault="00EE5134">
            <w:pPr>
              <w:rPr>
                <w:rFonts w:ascii="Arial" w:hAnsi="Arial" w:cs="Arial"/>
                <w:sz w:val="20"/>
              </w:rPr>
            </w:pPr>
            <w:r>
              <w:rPr>
                <w:rFonts w:ascii="Arial" w:hAnsi="Arial" w:cs="Arial"/>
                <w:sz w:val="20"/>
              </w:rPr>
              <w:t>Fisheries Act 1995 (Vic)</w:t>
            </w:r>
          </w:p>
        </w:tc>
        <w:tc>
          <w:tcPr>
            <w:tcW w:w="998" w:type="dxa"/>
            <w:tcBorders>
              <w:top w:val="single" w:sz="12" w:space="0" w:color="auto"/>
              <w:bottom w:val="single" w:sz="12" w:space="0" w:color="auto"/>
            </w:tcBorders>
          </w:tcPr>
          <w:p w14:paraId="11C0212A" w14:textId="77777777" w:rsidR="00EE5134" w:rsidRDefault="00EE5134">
            <w:pPr>
              <w:rPr>
                <w:rFonts w:ascii="Arial" w:hAnsi="Arial" w:cs="Arial"/>
                <w:sz w:val="20"/>
              </w:rPr>
            </w:pPr>
            <w:r>
              <w:rPr>
                <w:rFonts w:ascii="Arial" w:hAnsi="Arial" w:cs="Arial"/>
                <w:sz w:val="20"/>
              </w:rPr>
              <w:t>s.103</w:t>
            </w:r>
          </w:p>
        </w:tc>
        <w:tc>
          <w:tcPr>
            <w:tcW w:w="5990" w:type="dxa"/>
            <w:tcBorders>
              <w:top w:val="single" w:sz="12" w:space="0" w:color="auto"/>
              <w:bottom w:val="single" w:sz="12" w:space="0" w:color="auto"/>
            </w:tcBorders>
          </w:tcPr>
          <w:p w14:paraId="12C4F1B2" w14:textId="77777777" w:rsidR="00EE5134" w:rsidRDefault="00EE5134" w:rsidP="00E35AA4">
            <w:pPr>
              <w:numPr>
                <w:ilvl w:val="0"/>
                <w:numId w:val="2"/>
              </w:numPr>
              <w:ind w:left="357" w:hanging="357"/>
              <w:jc w:val="both"/>
              <w:rPr>
                <w:rFonts w:ascii="Arial" w:hAnsi="Arial" w:cs="Arial"/>
                <w:sz w:val="20"/>
              </w:rPr>
            </w:pPr>
            <w:r>
              <w:rPr>
                <w:rFonts w:ascii="Arial" w:hAnsi="Arial" w:cs="Arial"/>
                <w:sz w:val="20"/>
              </w:rPr>
              <w:t>any evidence of an offence against the Act or anything used in connection with such offence</w:t>
            </w:r>
          </w:p>
          <w:p w14:paraId="2878FE4D" w14:textId="77777777" w:rsidR="00EE5134" w:rsidRDefault="00EE5134" w:rsidP="00E35AA4">
            <w:pPr>
              <w:numPr>
                <w:ilvl w:val="0"/>
                <w:numId w:val="2"/>
              </w:numPr>
              <w:ind w:left="357" w:hanging="357"/>
              <w:jc w:val="both"/>
              <w:rPr>
                <w:rFonts w:ascii="Arial" w:hAnsi="Arial" w:cs="Arial"/>
                <w:sz w:val="20"/>
              </w:rPr>
            </w:pPr>
            <w:r>
              <w:rPr>
                <w:rFonts w:ascii="Arial" w:hAnsi="Arial" w:cs="Arial"/>
                <w:sz w:val="20"/>
              </w:rPr>
              <w:t>and destroy any aquatic noxious species and any fish believed to be dangerous for consumption by humans or animals at the premises</w:t>
            </w:r>
          </w:p>
        </w:tc>
      </w:tr>
      <w:tr w:rsidR="00EE5134" w14:paraId="5D935421" w14:textId="77777777">
        <w:trPr>
          <w:cantSplit/>
        </w:trPr>
        <w:tc>
          <w:tcPr>
            <w:tcW w:w="1868" w:type="dxa"/>
            <w:tcBorders>
              <w:top w:val="single" w:sz="12" w:space="0" w:color="auto"/>
              <w:bottom w:val="single" w:sz="4" w:space="0" w:color="auto"/>
            </w:tcBorders>
          </w:tcPr>
          <w:p w14:paraId="2AB30B1A" w14:textId="77777777" w:rsidR="00EE5134" w:rsidRDefault="00EE5134">
            <w:pPr>
              <w:rPr>
                <w:rFonts w:ascii="Arial" w:hAnsi="Arial" w:cs="Arial"/>
                <w:sz w:val="20"/>
              </w:rPr>
            </w:pPr>
            <w:r>
              <w:rPr>
                <w:rFonts w:ascii="Arial" w:hAnsi="Arial" w:cs="Arial"/>
                <w:sz w:val="20"/>
              </w:rPr>
              <w:t>Lotteries, Gaming &amp; Betting Act 1966 (Vic)</w:t>
            </w:r>
          </w:p>
        </w:tc>
        <w:tc>
          <w:tcPr>
            <w:tcW w:w="998" w:type="dxa"/>
            <w:tcBorders>
              <w:top w:val="single" w:sz="12" w:space="0" w:color="auto"/>
              <w:bottom w:val="single" w:sz="4" w:space="0" w:color="auto"/>
            </w:tcBorders>
          </w:tcPr>
          <w:p w14:paraId="31BDBBBD" w14:textId="77777777" w:rsidR="00EE5134" w:rsidRDefault="00EE5134">
            <w:pPr>
              <w:rPr>
                <w:rFonts w:ascii="Arial" w:hAnsi="Arial" w:cs="Arial"/>
                <w:sz w:val="20"/>
              </w:rPr>
            </w:pPr>
            <w:r>
              <w:rPr>
                <w:rFonts w:ascii="Arial" w:hAnsi="Arial" w:cs="Arial"/>
                <w:sz w:val="20"/>
              </w:rPr>
              <w:t>ss.45</w:t>
            </w:r>
          </w:p>
          <w:p w14:paraId="56D80C96" w14:textId="77777777" w:rsidR="00EE5134" w:rsidRDefault="00EE5134">
            <w:pPr>
              <w:rPr>
                <w:rFonts w:ascii="Arial" w:hAnsi="Arial" w:cs="Arial"/>
                <w:sz w:val="20"/>
              </w:rPr>
            </w:pPr>
            <w:r>
              <w:rPr>
                <w:rFonts w:ascii="Arial" w:hAnsi="Arial" w:cs="Arial"/>
                <w:sz w:val="20"/>
              </w:rPr>
              <w:t>&amp; 61</w:t>
            </w:r>
          </w:p>
        </w:tc>
        <w:tc>
          <w:tcPr>
            <w:tcW w:w="5990" w:type="dxa"/>
            <w:tcBorders>
              <w:top w:val="single" w:sz="12" w:space="0" w:color="auto"/>
              <w:bottom w:val="single" w:sz="4" w:space="0" w:color="auto"/>
            </w:tcBorders>
          </w:tcPr>
          <w:p w14:paraId="3967C8E9" w14:textId="77777777" w:rsidR="00EE5134" w:rsidRDefault="00EE5134">
            <w:pPr>
              <w:jc w:val="both"/>
              <w:rPr>
                <w:rFonts w:ascii="Arial" w:hAnsi="Arial" w:cs="Arial"/>
                <w:sz w:val="20"/>
              </w:rPr>
            </w:pPr>
            <w:r>
              <w:rPr>
                <w:rFonts w:ascii="Arial" w:hAnsi="Arial" w:cs="Arial"/>
                <w:sz w:val="20"/>
              </w:rPr>
              <w:t xml:space="preserve">all </w:t>
            </w:r>
            <w:r>
              <w:rPr>
                <w:rFonts w:ascii="Arial" w:hAnsi="Arial" w:cs="Arial"/>
                <w:b/>
                <w:bCs/>
                <w:sz w:val="20"/>
              </w:rPr>
              <w:t>instruments of gaming</w:t>
            </w:r>
            <w:r>
              <w:rPr>
                <w:rFonts w:ascii="Arial" w:hAnsi="Arial" w:cs="Arial"/>
                <w:sz w:val="20"/>
              </w:rPr>
              <w:t xml:space="preserve"> and all money and securities found therein or thereon or upon any person</w:t>
            </w:r>
          </w:p>
        </w:tc>
      </w:tr>
      <w:tr w:rsidR="00EE5134" w14:paraId="59A45902" w14:textId="77777777">
        <w:trPr>
          <w:cantSplit/>
        </w:trPr>
        <w:tc>
          <w:tcPr>
            <w:tcW w:w="1868" w:type="dxa"/>
            <w:tcBorders>
              <w:top w:val="single" w:sz="12" w:space="0" w:color="auto"/>
              <w:bottom w:val="single" w:sz="12" w:space="0" w:color="auto"/>
            </w:tcBorders>
          </w:tcPr>
          <w:p w14:paraId="780F6CBF" w14:textId="77777777" w:rsidR="00EE5134" w:rsidRDefault="00EE5134">
            <w:pPr>
              <w:rPr>
                <w:rFonts w:ascii="Arial" w:hAnsi="Arial" w:cs="Arial"/>
                <w:sz w:val="20"/>
              </w:rPr>
            </w:pPr>
            <w:r>
              <w:rPr>
                <w:rFonts w:ascii="Arial" w:hAnsi="Arial" w:cs="Arial"/>
                <w:sz w:val="20"/>
              </w:rPr>
              <w:t>Prostitution Control Act (Vic)</w:t>
            </w:r>
          </w:p>
        </w:tc>
        <w:tc>
          <w:tcPr>
            <w:tcW w:w="998" w:type="dxa"/>
            <w:tcBorders>
              <w:top w:val="single" w:sz="12" w:space="0" w:color="auto"/>
              <w:bottom w:val="single" w:sz="12" w:space="0" w:color="auto"/>
            </w:tcBorders>
          </w:tcPr>
          <w:p w14:paraId="02CBD7C6" w14:textId="77777777" w:rsidR="00EE5134" w:rsidRDefault="00EE5134">
            <w:pPr>
              <w:rPr>
                <w:rFonts w:ascii="Arial" w:hAnsi="Arial" w:cs="Arial"/>
                <w:sz w:val="20"/>
              </w:rPr>
            </w:pPr>
            <w:r>
              <w:rPr>
                <w:rFonts w:ascii="Arial" w:hAnsi="Arial" w:cs="Arial"/>
                <w:sz w:val="20"/>
              </w:rPr>
              <w:t>s.63</w:t>
            </w:r>
          </w:p>
        </w:tc>
        <w:tc>
          <w:tcPr>
            <w:tcW w:w="5990" w:type="dxa"/>
            <w:tcBorders>
              <w:top w:val="single" w:sz="12" w:space="0" w:color="auto"/>
              <w:bottom w:val="single" w:sz="12" w:space="0" w:color="auto"/>
            </w:tcBorders>
          </w:tcPr>
          <w:p w14:paraId="6121681F" w14:textId="77777777" w:rsidR="00EE5134" w:rsidRDefault="00EE5134">
            <w:pPr>
              <w:jc w:val="both"/>
              <w:rPr>
                <w:rFonts w:ascii="Arial" w:hAnsi="Arial" w:cs="Arial"/>
                <w:sz w:val="20"/>
              </w:rPr>
            </w:pPr>
            <w:r>
              <w:rPr>
                <w:rFonts w:ascii="Arial" w:hAnsi="Arial" w:cs="Arial"/>
                <w:sz w:val="20"/>
              </w:rPr>
              <w:t xml:space="preserve">any item of evidence of the commission of the offence of carrying on business at the premises as a </w:t>
            </w:r>
            <w:r>
              <w:rPr>
                <w:rFonts w:ascii="Arial" w:hAnsi="Arial" w:cs="Arial"/>
                <w:b/>
                <w:bCs/>
                <w:sz w:val="20"/>
              </w:rPr>
              <w:t>prostitution service</w:t>
            </w:r>
            <w:r>
              <w:rPr>
                <w:rFonts w:ascii="Arial" w:hAnsi="Arial" w:cs="Arial"/>
                <w:sz w:val="20"/>
              </w:rPr>
              <w:t xml:space="preserve"> provider without holding a licence</w:t>
            </w:r>
          </w:p>
        </w:tc>
      </w:tr>
      <w:tr w:rsidR="00EE5134" w14:paraId="05E3E675" w14:textId="77777777">
        <w:trPr>
          <w:cantSplit/>
        </w:trPr>
        <w:tc>
          <w:tcPr>
            <w:tcW w:w="8856" w:type="dxa"/>
            <w:gridSpan w:val="3"/>
            <w:tcBorders>
              <w:top w:val="single" w:sz="12" w:space="0" w:color="auto"/>
              <w:bottom w:val="single" w:sz="18" w:space="0" w:color="auto"/>
            </w:tcBorders>
            <w:shd w:val="pct10" w:color="auto" w:fill="auto"/>
          </w:tcPr>
          <w:p w14:paraId="10F79A37" w14:textId="77777777" w:rsidR="00EE5134" w:rsidRDefault="00EE5134">
            <w:pPr>
              <w:jc w:val="both"/>
              <w:rPr>
                <w:rFonts w:ascii="Arial" w:hAnsi="Arial" w:cs="Arial"/>
                <w:sz w:val="20"/>
              </w:rPr>
            </w:pPr>
            <w:r>
              <w:rPr>
                <w:rFonts w:ascii="Arial" w:hAnsi="Arial" w:cs="Arial"/>
                <w:sz w:val="20"/>
              </w:rPr>
              <w:t>The above non-exhaustive summary of legislation in relation to the issuing of search warrants is taken from a much more extensive private research paper [not available to the public] prepared for the magistracy by Magistrate Jennifer Bowles in March 2002.</w:t>
            </w:r>
          </w:p>
        </w:tc>
      </w:tr>
    </w:tbl>
    <w:p w14:paraId="130CCC01" w14:textId="77777777" w:rsidR="00EE5134" w:rsidRPr="00891E2C" w:rsidRDefault="00EE5134">
      <w:pPr>
        <w:jc w:val="both"/>
        <w:rPr>
          <w:rFonts w:ascii="Arial" w:hAnsi="Arial" w:cs="Arial"/>
          <w:color w:val="000000"/>
          <w:sz w:val="20"/>
          <w:szCs w:val="20"/>
        </w:rPr>
      </w:pPr>
      <w:bookmarkStart w:id="47" w:name="_Toc30669430"/>
      <w:bookmarkStart w:id="48" w:name="_Toc30671651"/>
      <w:bookmarkStart w:id="49" w:name="_Toc30674178"/>
      <w:bookmarkStart w:id="50" w:name="_Toc30691400"/>
      <w:bookmarkStart w:id="51" w:name="_Toc30691777"/>
      <w:bookmarkStart w:id="52" w:name="_Toc30692157"/>
      <w:bookmarkStart w:id="53" w:name="_Toc30692915"/>
      <w:bookmarkStart w:id="54" w:name="_Toc30693294"/>
      <w:bookmarkStart w:id="55" w:name="_Toc30693672"/>
      <w:bookmarkStart w:id="56" w:name="_Toc30694050"/>
    </w:p>
    <w:p w14:paraId="6CFB105C" w14:textId="77777777" w:rsidR="003A0E1F" w:rsidRPr="000E5AC2" w:rsidRDefault="004321F7" w:rsidP="003A0E1F">
      <w:pPr>
        <w:jc w:val="both"/>
        <w:rPr>
          <w:rFonts w:ascii="Arial" w:hAnsi="Arial" w:cs="Arial"/>
          <w:color w:val="000000"/>
          <w:sz w:val="20"/>
        </w:rPr>
      </w:pPr>
      <w:r w:rsidRPr="000E5AC2">
        <w:rPr>
          <w:rFonts w:ascii="Arial" w:hAnsi="Arial" w:cs="Arial"/>
          <w:color w:val="000000"/>
          <w:sz w:val="20"/>
          <w:szCs w:val="20"/>
        </w:rPr>
        <w:t xml:space="preserve">In </w:t>
      </w:r>
      <w:r w:rsidRPr="000E5AC2">
        <w:rPr>
          <w:rFonts w:ascii="Arial" w:hAnsi="Arial" w:cs="Arial"/>
          <w:i/>
          <w:color w:val="000000"/>
          <w:sz w:val="20"/>
          <w:szCs w:val="20"/>
        </w:rPr>
        <w:t>Director of Public Prosecutions v Marijancevic, Joseph</w:t>
      </w:r>
      <w:r w:rsidRPr="000E5AC2">
        <w:rPr>
          <w:rFonts w:ascii="Arial" w:hAnsi="Arial" w:cs="Arial"/>
          <w:color w:val="000000"/>
          <w:sz w:val="20"/>
          <w:szCs w:val="20"/>
        </w:rPr>
        <w:t xml:space="preserve">; </w:t>
      </w:r>
      <w:r w:rsidRPr="000E5AC2">
        <w:rPr>
          <w:rFonts w:ascii="Arial" w:hAnsi="Arial" w:cs="Arial"/>
          <w:i/>
          <w:color w:val="000000"/>
          <w:sz w:val="20"/>
          <w:szCs w:val="20"/>
        </w:rPr>
        <w:t xml:space="preserve">Preece, Caine; Preece, Nola  </w:t>
      </w:r>
      <w:r w:rsidRPr="000E5AC2">
        <w:rPr>
          <w:rFonts w:ascii="Arial" w:hAnsi="Arial" w:cs="Arial"/>
          <w:color w:val="000000"/>
          <w:sz w:val="20"/>
          <w:szCs w:val="20"/>
        </w:rPr>
        <w:t xml:space="preserve">[2011] VSCA 355 </w:t>
      </w:r>
      <w:r w:rsidR="003A0E1F" w:rsidRPr="000E5AC2">
        <w:rPr>
          <w:rFonts w:ascii="Arial" w:hAnsi="Arial" w:cs="Arial"/>
          <w:color w:val="000000"/>
          <w:sz w:val="20"/>
          <w:szCs w:val="20"/>
        </w:rPr>
        <w:t xml:space="preserve">the respondents were charged with various offences related to drug manufacture and trafficking.  Much of the evidence comprising the prosecution case was obtained by the execution of warrants issued under s.81 of the </w:t>
      </w:r>
      <w:r w:rsidR="003A0E1F" w:rsidRPr="000E5AC2">
        <w:rPr>
          <w:rFonts w:ascii="Arial" w:hAnsi="Arial" w:cs="Arial"/>
          <w:i/>
          <w:color w:val="000000"/>
          <w:sz w:val="20"/>
        </w:rPr>
        <w:t>Drugs, Poisons &amp; Controlled Substances Act 1981</w:t>
      </w:r>
      <w:r w:rsidR="003A0E1F" w:rsidRPr="000E5AC2">
        <w:rPr>
          <w:rFonts w:ascii="Arial" w:hAnsi="Arial" w:cs="Arial"/>
          <w:color w:val="000000"/>
          <w:sz w:val="20"/>
        </w:rPr>
        <w:t xml:space="preserve"> (Vic).</w:t>
      </w:r>
      <w:r w:rsidR="00EA001E" w:rsidRPr="000E5AC2">
        <w:rPr>
          <w:rFonts w:ascii="Arial" w:hAnsi="Arial" w:cs="Arial"/>
          <w:color w:val="000000"/>
          <w:sz w:val="20"/>
        </w:rPr>
        <w:t xml:space="preserve">  During pre-trial argument it emerged that the deponent to certain affidavits in support of the warrants had not sworn as to the truth and accuracy of their content but had merely signed them in the presence of an inspector authorized to take affidavits.  The trial judge accordingly found the search warrants were </w:t>
      </w:r>
      <w:r w:rsidR="00EA001E" w:rsidRPr="000E5AC2">
        <w:rPr>
          <w:rFonts w:ascii="Arial" w:hAnsi="Arial" w:cs="Arial"/>
          <w:color w:val="000000"/>
          <w:sz w:val="20"/>
        </w:rPr>
        <w:lastRenderedPageBreak/>
        <w:t>invalid and that the entries, purportedly under warrant, were unlawful and constituted a trespass.</w:t>
      </w:r>
      <w:r w:rsidR="00353D46" w:rsidRPr="000E5AC2">
        <w:rPr>
          <w:rFonts w:ascii="Arial" w:hAnsi="Arial" w:cs="Arial"/>
          <w:color w:val="000000"/>
          <w:sz w:val="20"/>
        </w:rPr>
        <w:t xml:space="preserve">  The prosecutor applied to have the evidence admitted pursuant to s.138(1) of the</w:t>
      </w:r>
      <w:r w:rsidR="00353D46" w:rsidRPr="000E5AC2">
        <w:rPr>
          <w:rFonts w:ascii="Arial" w:hAnsi="Arial" w:cs="Arial"/>
          <w:i/>
          <w:color w:val="000000"/>
          <w:sz w:val="20"/>
        </w:rPr>
        <w:t xml:space="preserve"> Evidence Act 2008</w:t>
      </w:r>
      <w:r w:rsidR="00353D46" w:rsidRPr="000E5AC2">
        <w:rPr>
          <w:rFonts w:ascii="Arial" w:hAnsi="Arial" w:cs="Arial"/>
          <w:color w:val="000000"/>
          <w:sz w:val="20"/>
        </w:rPr>
        <w:t xml:space="preserve"> (Vic).  This provides that evidence that was obtained improperly or illegally is not to be admitted unless the desirability of admitting the evidence outweighs the undesirability of admitting the evidence.  The trial judge refused the application.  The Court of Appeal, applying </w:t>
      </w:r>
      <w:r w:rsidR="00353D46" w:rsidRPr="000E5AC2">
        <w:rPr>
          <w:rFonts w:ascii="Arial" w:hAnsi="Arial" w:cs="Arial"/>
          <w:i/>
          <w:color w:val="000000"/>
          <w:sz w:val="20"/>
        </w:rPr>
        <w:t>DPP v MD</w:t>
      </w:r>
      <w:r w:rsidR="00353D46" w:rsidRPr="000E5AC2">
        <w:rPr>
          <w:rFonts w:ascii="Arial" w:hAnsi="Arial" w:cs="Arial"/>
          <w:color w:val="000000"/>
          <w:sz w:val="20"/>
        </w:rPr>
        <w:t xml:space="preserve">, proceeded on the basis that the exclusion of an admission pursuant to s.138 involves an exercise of discretion which, on appeal, attracts the operation of the principles in </w:t>
      </w:r>
      <w:r w:rsidR="00353D46" w:rsidRPr="000E5AC2">
        <w:rPr>
          <w:rFonts w:ascii="Arial" w:hAnsi="Arial" w:cs="Arial"/>
          <w:i/>
          <w:color w:val="000000"/>
          <w:sz w:val="20"/>
        </w:rPr>
        <w:t>House v The King</w:t>
      </w:r>
      <w:r w:rsidR="00353D46" w:rsidRPr="000E5AC2">
        <w:rPr>
          <w:rFonts w:ascii="Arial" w:hAnsi="Arial" w:cs="Arial"/>
          <w:color w:val="000000"/>
          <w:sz w:val="20"/>
        </w:rPr>
        <w:t xml:space="preserve"> (1936) 55 CLR 499.</w:t>
      </w:r>
      <w:r w:rsidR="004C3DFE" w:rsidRPr="000E5AC2">
        <w:rPr>
          <w:rFonts w:ascii="Arial" w:hAnsi="Arial" w:cs="Arial"/>
          <w:color w:val="000000"/>
          <w:sz w:val="20"/>
        </w:rPr>
        <w:t xml:space="preserve">  At [54]-[</w:t>
      </w:r>
      <w:r w:rsidR="00D64367" w:rsidRPr="000E5AC2">
        <w:rPr>
          <w:rFonts w:ascii="Arial" w:hAnsi="Arial" w:cs="Arial"/>
          <w:color w:val="000000"/>
          <w:sz w:val="20"/>
        </w:rPr>
        <w:t>57</w:t>
      </w:r>
      <w:r w:rsidR="004C3DFE" w:rsidRPr="000E5AC2">
        <w:rPr>
          <w:rFonts w:ascii="Arial" w:hAnsi="Arial" w:cs="Arial"/>
          <w:color w:val="000000"/>
          <w:sz w:val="20"/>
        </w:rPr>
        <w:t xml:space="preserve">] the Court of Appeal discussed the nature of an affidavit and the importance of </w:t>
      </w:r>
      <w:r w:rsidR="00D64367" w:rsidRPr="000E5AC2">
        <w:rPr>
          <w:rFonts w:ascii="Arial" w:hAnsi="Arial" w:cs="Arial"/>
          <w:color w:val="000000"/>
          <w:sz w:val="20"/>
        </w:rPr>
        <w:t>making an affidavit in order to obtain a search warrant.  At [58] it said:</w:t>
      </w:r>
    </w:p>
    <w:p w14:paraId="76AF9CFE" w14:textId="77777777" w:rsidR="00D64367" w:rsidRPr="000E5AC2" w:rsidRDefault="00D64367" w:rsidP="00455C26">
      <w:pPr>
        <w:spacing w:before="60"/>
        <w:ind w:left="454" w:right="454"/>
        <w:jc w:val="both"/>
        <w:rPr>
          <w:rFonts w:ascii="Arial" w:hAnsi="Arial" w:cs="Arial"/>
          <w:color w:val="000000"/>
          <w:sz w:val="20"/>
        </w:rPr>
      </w:pPr>
      <w:r w:rsidRPr="000E5AC2">
        <w:rPr>
          <w:rFonts w:ascii="Arial" w:hAnsi="Arial" w:cs="Arial"/>
          <w:color w:val="000000"/>
          <w:sz w:val="20"/>
        </w:rPr>
        <w:t>“To proffer to a magistrate material which is not sworn or affirmed in order to obtain a search warrant has a tendency to subvert a fundamental principle of our law.</w:t>
      </w:r>
      <w:r w:rsidR="00AA7214" w:rsidRPr="000E5AC2">
        <w:rPr>
          <w:rFonts w:ascii="Arial" w:hAnsi="Arial" w:cs="Arial"/>
          <w:color w:val="000000"/>
          <w:sz w:val="20"/>
        </w:rPr>
        <w:t>”</w:t>
      </w:r>
    </w:p>
    <w:p w14:paraId="4A26BAFA" w14:textId="77777777" w:rsidR="004321F7" w:rsidRPr="000E5AC2" w:rsidRDefault="004321F7">
      <w:pPr>
        <w:jc w:val="both"/>
        <w:rPr>
          <w:rFonts w:ascii="Arial" w:hAnsi="Arial" w:cs="Arial"/>
          <w:color w:val="000000"/>
          <w:sz w:val="20"/>
          <w:szCs w:val="20"/>
        </w:rPr>
      </w:pPr>
    </w:p>
    <w:p w14:paraId="4ADFE8A7" w14:textId="77777777" w:rsidR="004C3DFE" w:rsidRPr="000E5AC2" w:rsidRDefault="00AA7214">
      <w:pPr>
        <w:jc w:val="both"/>
        <w:rPr>
          <w:rFonts w:ascii="Arial" w:hAnsi="Arial" w:cs="Arial"/>
          <w:color w:val="000000"/>
          <w:sz w:val="20"/>
          <w:szCs w:val="20"/>
        </w:rPr>
      </w:pPr>
      <w:r w:rsidRPr="000E5AC2">
        <w:rPr>
          <w:rFonts w:ascii="Arial" w:hAnsi="Arial" w:cs="Arial"/>
          <w:color w:val="000000"/>
          <w:sz w:val="20"/>
          <w:szCs w:val="20"/>
        </w:rPr>
        <w:t>In granting special leave to appeal but dismissing the appeal the Court of Appeal said at [91]-[92]:</w:t>
      </w:r>
    </w:p>
    <w:p w14:paraId="0AED34B9" w14:textId="77777777" w:rsidR="00AA7214" w:rsidRPr="000E5AC2" w:rsidRDefault="00AA7214" w:rsidP="00455C26">
      <w:pPr>
        <w:spacing w:before="60"/>
        <w:ind w:left="454" w:right="454"/>
        <w:jc w:val="both"/>
        <w:rPr>
          <w:rFonts w:ascii="Arial" w:hAnsi="Arial" w:cs="Arial"/>
          <w:color w:val="000000"/>
          <w:sz w:val="20"/>
        </w:rPr>
      </w:pPr>
      <w:r w:rsidRPr="000E5AC2">
        <w:rPr>
          <w:rFonts w:ascii="Arial" w:hAnsi="Arial" w:cs="Arial"/>
          <w:color w:val="000000"/>
          <w:sz w:val="20"/>
        </w:rPr>
        <w:t>“The [judge’s] decision was reasonably open because of the finding that the [deponent’s] conduct was deliberate, meaning knowingly illegal, and that the gravity of the impropriety was of a high order.</w:t>
      </w:r>
    </w:p>
    <w:p w14:paraId="490C5FD1" w14:textId="77777777" w:rsidR="00AA7214" w:rsidRPr="000E5AC2" w:rsidRDefault="00AA7214" w:rsidP="00455C26">
      <w:pPr>
        <w:spacing w:before="60"/>
        <w:ind w:left="454" w:right="454"/>
        <w:jc w:val="both"/>
        <w:rPr>
          <w:rFonts w:ascii="Arial" w:hAnsi="Arial" w:cs="Arial"/>
          <w:color w:val="000000"/>
          <w:sz w:val="20"/>
        </w:rPr>
      </w:pPr>
      <w:r w:rsidRPr="000E5AC2">
        <w:rPr>
          <w:rFonts w:ascii="Arial" w:hAnsi="Arial" w:cs="Arial"/>
          <w:color w:val="000000"/>
          <w:sz w:val="20"/>
        </w:rPr>
        <w:t>Although we have concluded that the appeal must be dismissed we would not wish it to be thought that the discretion should necessarily be exercised in the same way were the same issues to arise again for consideration in similar circumstances.”</w:t>
      </w:r>
    </w:p>
    <w:p w14:paraId="7AC4C11E" w14:textId="69876B81" w:rsidR="004321F7" w:rsidRPr="00F3147C" w:rsidRDefault="004321F7">
      <w:pPr>
        <w:jc w:val="both"/>
        <w:rPr>
          <w:rFonts w:ascii="Arial" w:hAnsi="Arial" w:cs="Arial"/>
          <w:color w:val="000000"/>
          <w:sz w:val="20"/>
          <w:szCs w:val="20"/>
        </w:rPr>
      </w:pPr>
    </w:p>
    <w:p w14:paraId="6931A730" w14:textId="77777777" w:rsidR="00EE5134" w:rsidRDefault="00EE5134">
      <w:pPr>
        <w:pStyle w:val="Heading2"/>
        <w:keepNext/>
        <w:tabs>
          <w:tab w:val="left" w:pos="567"/>
        </w:tabs>
        <w:spacing w:line="240" w:lineRule="auto"/>
        <w:rPr>
          <w:rFonts w:ascii="Arial" w:hAnsi="Arial" w:cs="Arial"/>
          <w:b/>
          <w:bCs/>
        </w:rPr>
      </w:pPr>
      <w:bookmarkStart w:id="57" w:name="_8.2_Records_of"/>
      <w:bookmarkStart w:id="58" w:name="_Toc30694430"/>
      <w:bookmarkStart w:id="59" w:name="_Toc30699019"/>
      <w:bookmarkStart w:id="60" w:name="_Toc30699397"/>
      <w:bookmarkStart w:id="61" w:name="_Toc30699782"/>
      <w:bookmarkStart w:id="62" w:name="_Toc30700937"/>
      <w:bookmarkStart w:id="63" w:name="_Toc30701324"/>
      <w:bookmarkStart w:id="64" w:name="_Toc30743935"/>
      <w:bookmarkStart w:id="65" w:name="_Toc30754758"/>
      <w:bookmarkStart w:id="66" w:name="_Toc30757199"/>
      <w:bookmarkStart w:id="67" w:name="_Toc30757747"/>
      <w:bookmarkStart w:id="68" w:name="_Toc30758147"/>
      <w:bookmarkStart w:id="69" w:name="_Toc30762908"/>
      <w:bookmarkStart w:id="70" w:name="_Toc30767562"/>
      <w:bookmarkStart w:id="71" w:name="_Toc34823580"/>
      <w:bookmarkEnd w:id="57"/>
      <w:r>
        <w:rPr>
          <w:rFonts w:ascii="Arial" w:hAnsi="Arial" w:cs="Arial"/>
          <w:b/>
          <w:bCs/>
        </w:rPr>
        <w:t>8.2</w:t>
      </w:r>
      <w:r>
        <w:rPr>
          <w:rFonts w:ascii="Arial" w:hAnsi="Arial" w:cs="Arial"/>
          <w:b/>
          <w:bCs/>
        </w:rPr>
        <w:tab/>
        <w:t>Records of interview</w:t>
      </w:r>
      <w:bookmarkEnd w:id="47"/>
      <w:bookmarkEnd w:id="48"/>
      <w:bookmarkEnd w:id="49"/>
      <w:bookmarkEnd w:id="50"/>
      <w:bookmarkEnd w:id="51"/>
      <w:bookmarkEnd w:id="52"/>
      <w:bookmarkEnd w:id="53"/>
      <w:bookmarkEnd w:id="54"/>
      <w:bookmarkEnd w:id="55"/>
      <w:bookmarkEnd w:id="56"/>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ascii="Arial" w:hAnsi="Arial" w:cs="Arial"/>
          <w:b/>
          <w:bCs/>
        </w:rPr>
        <w:t>/Confessional statement</w:t>
      </w:r>
    </w:p>
    <w:p w14:paraId="30E7D00E" w14:textId="77777777" w:rsidR="00EE5134" w:rsidRPr="00F3147C" w:rsidRDefault="00EE5134">
      <w:pPr>
        <w:jc w:val="both"/>
        <w:rPr>
          <w:rFonts w:ascii="Arial" w:hAnsi="Arial" w:cs="Arial"/>
          <w:sz w:val="20"/>
          <w:szCs w:val="20"/>
        </w:rPr>
      </w:pPr>
    </w:p>
    <w:p w14:paraId="482566FA" w14:textId="77777777" w:rsidR="00EE5134" w:rsidRDefault="00EE5134">
      <w:pPr>
        <w:jc w:val="both"/>
        <w:rPr>
          <w:rFonts w:ascii="Arial" w:hAnsi="Arial" w:cs="Arial"/>
          <w:sz w:val="20"/>
        </w:rPr>
      </w:pPr>
      <w:bookmarkStart w:id="72" w:name="_Toc30691401"/>
      <w:bookmarkStart w:id="73" w:name="_Toc30691778"/>
      <w:bookmarkStart w:id="74" w:name="_Toc30692158"/>
      <w:bookmarkStart w:id="75" w:name="_Toc30692916"/>
      <w:bookmarkStart w:id="76" w:name="_Toc30693295"/>
      <w:bookmarkStart w:id="77" w:name="_Toc30693673"/>
      <w:bookmarkStart w:id="78" w:name="_Toc30694051"/>
      <w:bookmarkStart w:id="79" w:name="_Toc30694431"/>
      <w:bookmarkStart w:id="80" w:name="_Toc30699020"/>
      <w:bookmarkStart w:id="81" w:name="_Toc30699398"/>
      <w:bookmarkStart w:id="82" w:name="_Toc30699783"/>
      <w:bookmarkStart w:id="83" w:name="_Toc30700938"/>
      <w:bookmarkStart w:id="84" w:name="_Toc30701325"/>
      <w:bookmarkStart w:id="85" w:name="_Toc30743936"/>
      <w:bookmarkStart w:id="86" w:name="_Toc30754759"/>
      <w:bookmarkStart w:id="87" w:name="_Toc30757200"/>
      <w:bookmarkStart w:id="88" w:name="_Toc30757748"/>
      <w:bookmarkStart w:id="89" w:name="_Toc30758148"/>
      <w:bookmarkStart w:id="90" w:name="_Toc30762909"/>
      <w:bookmarkStart w:id="91" w:name="_Toc30767563"/>
      <w:bookmarkStart w:id="92" w:name="_Toc34823581"/>
      <w:r>
        <w:rPr>
          <w:rFonts w:ascii="Arial" w:hAnsi="Arial" w:cs="Arial"/>
          <w:sz w:val="20"/>
        </w:rPr>
        <w:t xml:space="preserve">It is not uncommon for an accused to seek to have excluded from evidence the whole or part of a confessional statement, that is a statement acknowledging, or from which an acknowledgment might be drawn, that he or she was guilty of the offence charged.  </w:t>
      </w:r>
      <w:r w:rsidR="00E90AC8">
        <w:rPr>
          <w:rFonts w:ascii="Arial" w:hAnsi="Arial" w:cs="Arial"/>
          <w:sz w:val="20"/>
        </w:rPr>
        <w:t>A</w:t>
      </w:r>
      <w:r>
        <w:rPr>
          <w:rFonts w:ascii="Arial" w:hAnsi="Arial" w:cs="Arial"/>
          <w:sz w:val="20"/>
        </w:rPr>
        <w:t xml:space="preserve"> leading authority is </w:t>
      </w:r>
      <w:r>
        <w:rPr>
          <w:rFonts w:ascii="Arial" w:hAnsi="Arial" w:cs="Arial"/>
          <w:i/>
          <w:iCs/>
          <w:sz w:val="20"/>
        </w:rPr>
        <w:t>The Queen v Swaffield; Pavic v The Queen</w:t>
      </w:r>
      <w:r>
        <w:rPr>
          <w:rFonts w:ascii="Arial" w:hAnsi="Arial" w:cs="Arial"/>
          <w:sz w:val="20"/>
        </w:rPr>
        <w:t xml:space="preserve"> [1998] HCA 1; (1998) 192 CLR 159.  In the joint judgment of Toohey, Gaudron &amp; Gummow JJ at [50]-[52] their Honours discerned in decisions of the High Court four bases for the rejection of a statement by an accused person:</w:t>
      </w:r>
    </w:p>
    <w:p w14:paraId="5DEC6002" w14:textId="77777777" w:rsidR="00EE5134" w:rsidRDefault="00EE5134" w:rsidP="00455C26">
      <w:pPr>
        <w:spacing w:before="60"/>
        <w:ind w:left="454" w:right="454"/>
        <w:jc w:val="both"/>
        <w:rPr>
          <w:rFonts w:ascii="Arial" w:hAnsi="Arial" w:cs="Arial"/>
          <w:sz w:val="20"/>
        </w:rPr>
      </w:pPr>
      <w:r>
        <w:rPr>
          <w:rFonts w:ascii="Arial" w:hAnsi="Arial" w:cs="Arial"/>
          <w:sz w:val="20"/>
        </w:rPr>
        <w:t xml:space="preserve">[50]  "The first lies in the fundamental requirement of the common law that a confessional statement must be voluntary, that is, 'made in the exercise of a free choice to speak or be silent': </w:t>
      </w:r>
      <w:r>
        <w:rPr>
          <w:rFonts w:ascii="Arial" w:hAnsi="Arial" w:cs="Arial"/>
          <w:i/>
          <w:iCs/>
          <w:sz w:val="20"/>
        </w:rPr>
        <w:t>R v Lee</w:t>
      </w:r>
      <w:r>
        <w:rPr>
          <w:rFonts w:ascii="Arial" w:hAnsi="Arial" w:cs="Arial"/>
          <w:sz w:val="20"/>
        </w:rPr>
        <w:t xml:space="preserve"> (1950) 82 CLR 133 at 149; see also </w:t>
      </w:r>
      <w:r>
        <w:rPr>
          <w:rFonts w:ascii="Arial" w:hAnsi="Arial" w:cs="Arial"/>
          <w:i/>
          <w:iCs/>
          <w:sz w:val="20"/>
        </w:rPr>
        <w:t>MacPherson v The Queen</w:t>
      </w:r>
      <w:r>
        <w:rPr>
          <w:rFonts w:ascii="Arial" w:hAnsi="Arial" w:cs="Arial"/>
          <w:sz w:val="20"/>
        </w:rPr>
        <w:t xml:space="preserve"> (1981) 147 CLR 512 at 519; </w:t>
      </w:r>
      <w:r>
        <w:rPr>
          <w:rFonts w:ascii="Arial" w:hAnsi="Arial" w:cs="Arial"/>
          <w:i/>
          <w:iCs/>
          <w:sz w:val="20"/>
        </w:rPr>
        <w:t>Cleland v The Queen</w:t>
      </w:r>
      <w:r>
        <w:rPr>
          <w:rFonts w:ascii="Arial" w:hAnsi="Arial" w:cs="Arial"/>
          <w:sz w:val="20"/>
        </w:rPr>
        <w:t xml:space="preserve"> (1982) 151 CLR 1 at 5; </w:t>
      </w:r>
      <w:r>
        <w:rPr>
          <w:rFonts w:ascii="Arial" w:hAnsi="Arial" w:cs="Arial"/>
          <w:i/>
          <w:iCs/>
          <w:sz w:val="20"/>
        </w:rPr>
        <w:t xml:space="preserve">Collins v The Queen </w:t>
      </w:r>
      <w:r>
        <w:rPr>
          <w:rFonts w:ascii="Arial" w:hAnsi="Arial" w:cs="Arial"/>
          <w:sz w:val="20"/>
        </w:rPr>
        <w:t xml:space="preserve">(1980) 31 ALR 257 at 307.  The will of the statement-maker must not have been overborne.  The relevant principle was stated by Dixon J in </w:t>
      </w:r>
      <w:r>
        <w:rPr>
          <w:rFonts w:ascii="Arial" w:hAnsi="Arial" w:cs="Arial"/>
          <w:i/>
          <w:iCs/>
          <w:sz w:val="20"/>
        </w:rPr>
        <w:t>McDermott v The King</w:t>
      </w:r>
      <w:r>
        <w:rPr>
          <w:rFonts w:ascii="Arial" w:hAnsi="Arial" w:cs="Arial"/>
          <w:sz w:val="20"/>
        </w:rPr>
        <w:t xml:space="preserve"> (1948) 76 CLR 501 at 511.</w:t>
      </w:r>
    </w:p>
    <w:p w14:paraId="502C08BD" w14:textId="77777777" w:rsidR="00EE5134" w:rsidRDefault="00EE5134" w:rsidP="00455C26">
      <w:pPr>
        <w:spacing w:before="60"/>
        <w:ind w:left="454" w:right="454"/>
        <w:jc w:val="both"/>
        <w:rPr>
          <w:rFonts w:ascii="Arial" w:hAnsi="Arial" w:cs="Arial"/>
          <w:sz w:val="20"/>
        </w:rPr>
      </w:pPr>
      <w:r>
        <w:rPr>
          <w:rFonts w:ascii="Arial" w:hAnsi="Arial" w:cs="Arial"/>
          <w:sz w:val="20"/>
        </w:rPr>
        <w:t>[51]  The second, third and fourth bases for the rejection of a statement made by an accused person proceed on the footing that the statement was made voluntarily.  Each involves the exercise of a judicial discretion.</w:t>
      </w:r>
    </w:p>
    <w:p w14:paraId="44581699" w14:textId="77777777" w:rsidR="00EE5134" w:rsidRDefault="00EE5134" w:rsidP="00455C26">
      <w:pPr>
        <w:spacing w:before="60"/>
        <w:ind w:left="454" w:right="454"/>
        <w:jc w:val="both"/>
        <w:rPr>
          <w:rFonts w:ascii="Arial" w:hAnsi="Arial" w:cs="Arial"/>
          <w:sz w:val="20"/>
        </w:rPr>
      </w:pPr>
      <w:r>
        <w:rPr>
          <w:rFonts w:ascii="Arial" w:hAnsi="Arial" w:cs="Arial"/>
          <w:sz w:val="20"/>
        </w:rPr>
        <w:t>[52]  The second basis is that it would be unfair to the accused to admit the statement.  The purpose of the discretion to exclude evidence for unfairness is to protect the rights and privileges of the accused person.  The third basis focuses, not on unfairness to the accused, but on considerations of public policy which make it unacceptable to admit the statement into evidence, notwithstanding that the statement was made voluntarily and that its admission would work no particular unfairness to the accused.  The purpose of the discretion which is brought to bear with that emphasis is the protection of the public interest.  The fourth basis focuses on the probative value of the statement, there being a power, usually referred to as a discretion, to reject evidence the prejudicial impact of which is greater than its probative value.  The purpose of that power or discretion is to guard against a miscarriage of justice."</w:t>
      </w:r>
    </w:p>
    <w:p w14:paraId="0267C08E" w14:textId="77777777" w:rsidR="00EE5134" w:rsidRDefault="00EE5134">
      <w:pPr>
        <w:jc w:val="both"/>
        <w:rPr>
          <w:rFonts w:ascii="Arial" w:hAnsi="Arial" w:cs="Arial"/>
          <w:sz w:val="20"/>
        </w:rPr>
      </w:pPr>
    </w:p>
    <w:p w14:paraId="6152BA50"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Lewis</w:t>
      </w:r>
      <w:r>
        <w:rPr>
          <w:rFonts w:ascii="Arial" w:hAnsi="Arial" w:cs="Arial"/>
          <w:sz w:val="20"/>
        </w:rPr>
        <w:t xml:space="preserve"> [2000] 1 VR 290 at [53] the Court of Appeal appears to have added to the four primary rejection bases identified in the above extract from </w:t>
      </w:r>
      <w:r>
        <w:rPr>
          <w:rFonts w:ascii="Arial" w:hAnsi="Arial" w:cs="Arial"/>
          <w:i/>
          <w:iCs/>
          <w:sz w:val="20"/>
        </w:rPr>
        <w:t xml:space="preserve">Swaffield/Pavic </w:t>
      </w:r>
      <w:r>
        <w:rPr>
          <w:rFonts w:ascii="Arial" w:hAnsi="Arial" w:cs="Arial"/>
          <w:sz w:val="20"/>
        </w:rPr>
        <w:t>a fifth broad discretion, described as an "overall" discretion, requiring consideration of all of the circumstances.</w:t>
      </w:r>
    </w:p>
    <w:p w14:paraId="3DC267C8" w14:textId="77777777" w:rsidR="00EE5134" w:rsidRDefault="00EE5134">
      <w:pPr>
        <w:jc w:val="both"/>
        <w:rPr>
          <w:rFonts w:ascii="Arial" w:hAnsi="Arial" w:cs="Arial"/>
          <w:sz w:val="20"/>
        </w:rPr>
      </w:pPr>
    </w:p>
    <w:p w14:paraId="66143088" w14:textId="17D33B40" w:rsidR="00EE5134" w:rsidRDefault="00EE5134">
      <w:pPr>
        <w:jc w:val="both"/>
        <w:rPr>
          <w:rFonts w:ascii="Arial" w:hAnsi="Arial" w:cs="Arial"/>
          <w:sz w:val="20"/>
        </w:rPr>
      </w:pPr>
      <w:r>
        <w:rPr>
          <w:rFonts w:ascii="Arial" w:hAnsi="Arial" w:cs="Arial"/>
          <w:i/>
          <w:iCs/>
          <w:sz w:val="20"/>
        </w:rPr>
        <w:t>Swaffield/Pavic</w:t>
      </w:r>
      <w:r>
        <w:rPr>
          <w:rFonts w:ascii="Arial" w:hAnsi="Arial" w:cs="Arial"/>
          <w:sz w:val="20"/>
        </w:rPr>
        <w:t xml:space="preserve"> has been referred to in a number of subsequent Victorian cases, including </w:t>
      </w:r>
      <w:r>
        <w:rPr>
          <w:rFonts w:ascii="Arial" w:hAnsi="Arial" w:cs="Arial"/>
          <w:i/>
          <w:iCs/>
          <w:sz w:val="20"/>
        </w:rPr>
        <w:t>R v Carter</w:t>
      </w:r>
      <w:r>
        <w:rPr>
          <w:rFonts w:ascii="Arial" w:hAnsi="Arial" w:cs="Arial"/>
          <w:sz w:val="20"/>
        </w:rPr>
        <w:t xml:space="preserve"> (2000) 1 VR 175; </w:t>
      </w:r>
      <w:r>
        <w:rPr>
          <w:rFonts w:ascii="Arial" w:hAnsi="Arial" w:cs="Arial"/>
          <w:i/>
          <w:iCs/>
          <w:sz w:val="20"/>
        </w:rPr>
        <w:t>R v Chimirri</w:t>
      </w:r>
      <w:r>
        <w:rPr>
          <w:rFonts w:ascii="Arial" w:hAnsi="Arial" w:cs="Arial"/>
          <w:sz w:val="20"/>
        </w:rPr>
        <w:t xml:space="preserve"> [2002] VSC 555 (Osborn J); </w:t>
      </w:r>
      <w:r>
        <w:rPr>
          <w:rFonts w:ascii="Arial" w:hAnsi="Arial" w:cs="Arial"/>
          <w:i/>
          <w:iCs/>
          <w:sz w:val="20"/>
        </w:rPr>
        <w:t xml:space="preserve">R v Franklin </w:t>
      </w:r>
      <w:r>
        <w:rPr>
          <w:rFonts w:ascii="Arial" w:hAnsi="Arial" w:cs="Arial"/>
          <w:sz w:val="20"/>
        </w:rPr>
        <w:t>[1998] VSC 217 (Vincent J);</w:t>
      </w:r>
      <w:r>
        <w:rPr>
          <w:rFonts w:ascii="Arial" w:hAnsi="Arial" w:cs="Arial"/>
          <w:i/>
          <w:iCs/>
          <w:sz w:val="20"/>
        </w:rPr>
        <w:t xml:space="preserve"> R v Ghiller</w:t>
      </w:r>
      <w:r>
        <w:rPr>
          <w:rFonts w:ascii="Arial" w:hAnsi="Arial" w:cs="Arial"/>
          <w:sz w:val="20"/>
        </w:rPr>
        <w:t xml:space="preserve">; [2003] VSC 350 (Cummins J); </w:t>
      </w:r>
      <w:r>
        <w:rPr>
          <w:rFonts w:ascii="Arial" w:hAnsi="Arial" w:cs="Arial"/>
          <w:i/>
          <w:iCs/>
          <w:sz w:val="20"/>
        </w:rPr>
        <w:t>R v Heaney &amp; Welsh</w:t>
      </w:r>
      <w:r>
        <w:rPr>
          <w:rFonts w:ascii="Arial" w:hAnsi="Arial" w:cs="Arial"/>
          <w:sz w:val="20"/>
        </w:rPr>
        <w:t xml:space="preserve"> [1998] 4 VR 636; </w:t>
      </w:r>
      <w:r>
        <w:rPr>
          <w:rFonts w:ascii="Arial" w:hAnsi="Arial" w:cs="Arial"/>
          <w:i/>
          <w:iCs/>
          <w:sz w:val="20"/>
        </w:rPr>
        <w:t>R v Juric</w:t>
      </w:r>
      <w:r>
        <w:rPr>
          <w:rFonts w:ascii="Arial" w:hAnsi="Arial" w:cs="Arial"/>
          <w:sz w:val="20"/>
        </w:rPr>
        <w:t xml:space="preserve"> [2002] 4 VR 411; </w:t>
      </w:r>
      <w:r>
        <w:rPr>
          <w:rFonts w:ascii="Arial" w:hAnsi="Arial" w:cs="Arial"/>
          <w:i/>
          <w:iCs/>
          <w:sz w:val="20"/>
        </w:rPr>
        <w:t>R v Lewis</w:t>
      </w:r>
      <w:r>
        <w:rPr>
          <w:rFonts w:ascii="Arial" w:hAnsi="Arial" w:cs="Arial"/>
          <w:sz w:val="20"/>
        </w:rPr>
        <w:t xml:space="preserve"> [Supreme Court of Victoria, unreported, 15/06/1998, Teague J-ruling]; </w:t>
      </w:r>
      <w:r>
        <w:rPr>
          <w:rFonts w:ascii="Arial" w:hAnsi="Arial" w:cs="Arial"/>
          <w:i/>
          <w:iCs/>
          <w:sz w:val="20"/>
        </w:rPr>
        <w:t>R v Roba</w:t>
      </w:r>
      <w:r>
        <w:rPr>
          <w:rFonts w:ascii="Arial" w:hAnsi="Arial" w:cs="Arial"/>
          <w:sz w:val="20"/>
        </w:rPr>
        <w:t xml:space="preserve"> (2000) 110 A Crim R 245 (Coldrey J); </w:t>
      </w:r>
      <w:r>
        <w:rPr>
          <w:rFonts w:ascii="Arial" w:hAnsi="Arial" w:cs="Arial"/>
          <w:i/>
          <w:iCs/>
          <w:sz w:val="20"/>
        </w:rPr>
        <w:t>R v Vale</w:t>
      </w:r>
      <w:r>
        <w:rPr>
          <w:rFonts w:ascii="Arial" w:hAnsi="Arial" w:cs="Arial"/>
          <w:sz w:val="20"/>
        </w:rPr>
        <w:t xml:space="preserve"> (2001) A Crim R 322; </w:t>
      </w:r>
      <w:r>
        <w:rPr>
          <w:rFonts w:ascii="Arial" w:hAnsi="Arial" w:cs="Arial"/>
          <w:i/>
          <w:iCs/>
          <w:sz w:val="20"/>
        </w:rPr>
        <w:t>R v Malcolm Clarke</w:t>
      </w:r>
      <w:r>
        <w:rPr>
          <w:rFonts w:ascii="Arial" w:hAnsi="Arial" w:cs="Arial"/>
          <w:sz w:val="20"/>
        </w:rPr>
        <w:t xml:space="preserve"> [2004] VSC 11 (Kellam J); </w:t>
      </w:r>
      <w:r>
        <w:rPr>
          <w:rFonts w:ascii="Arial" w:hAnsi="Arial" w:cs="Arial"/>
          <w:i/>
          <w:iCs/>
          <w:sz w:val="20"/>
        </w:rPr>
        <w:t>R v Mohammed (Ruling)</w:t>
      </w:r>
      <w:r>
        <w:rPr>
          <w:rFonts w:ascii="Arial" w:hAnsi="Arial" w:cs="Arial"/>
          <w:sz w:val="20"/>
        </w:rPr>
        <w:t xml:space="preserve"> [2004] VSC 408 (Kaye J); </w:t>
      </w:r>
      <w:r>
        <w:rPr>
          <w:rFonts w:ascii="Arial" w:hAnsi="Arial" w:cs="Arial"/>
          <w:i/>
          <w:iCs/>
          <w:sz w:val="20"/>
        </w:rPr>
        <w:t>R v Hassan</w:t>
      </w:r>
      <w:r>
        <w:rPr>
          <w:rFonts w:ascii="Arial" w:hAnsi="Arial" w:cs="Arial"/>
          <w:sz w:val="20"/>
        </w:rPr>
        <w:t xml:space="preserve"> [2004] VSC 85 (Redlich J)</w:t>
      </w:r>
      <w:r w:rsidR="00201B76">
        <w:rPr>
          <w:rFonts w:ascii="Arial" w:hAnsi="Arial" w:cs="Arial"/>
          <w:sz w:val="20"/>
        </w:rPr>
        <w:t xml:space="preserve">, </w:t>
      </w:r>
      <w:r w:rsidR="00201B76" w:rsidRPr="006959CD">
        <w:rPr>
          <w:rFonts w:ascii="Arial" w:hAnsi="Arial" w:cs="Arial"/>
          <w:i/>
          <w:sz w:val="20"/>
        </w:rPr>
        <w:lastRenderedPageBreak/>
        <w:t>R v Mitchell and Brown (Ruling No.1)</w:t>
      </w:r>
      <w:r w:rsidR="00201B76">
        <w:rPr>
          <w:rFonts w:ascii="Arial" w:hAnsi="Arial" w:cs="Arial"/>
          <w:sz w:val="20"/>
        </w:rPr>
        <w:t xml:space="preserve"> [2005] VSC 42 (Whelan J)</w:t>
      </w:r>
      <w:r w:rsidR="009D4C93">
        <w:rPr>
          <w:rFonts w:ascii="Arial" w:hAnsi="Arial" w:cs="Arial"/>
          <w:sz w:val="20"/>
        </w:rPr>
        <w:t>;</w:t>
      </w:r>
      <w:r w:rsidR="00201B76">
        <w:rPr>
          <w:rFonts w:ascii="Arial" w:hAnsi="Arial" w:cs="Arial"/>
          <w:sz w:val="20"/>
        </w:rPr>
        <w:t xml:space="preserve"> </w:t>
      </w:r>
      <w:r>
        <w:rPr>
          <w:rFonts w:ascii="Arial" w:hAnsi="Arial" w:cs="Arial"/>
          <w:i/>
          <w:iCs/>
          <w:sz w:val="20"/>
        </w:rPr>
        <w:t>R v Tofilau</w:t>
      </w:r>
      <w:r>
        <w:rPr>
          <w:rFonts w:ascii="Arial" w:hAnsi="Arial" w:cs="Arial"/>
          <w:sz w:val="20"/>
        </w:rPr>
        <w:t xml:space="preserve"> [2003] VSC 188 (Osborn</w:t>
      </w:r>
      <w:r w:rsidR="009D4C93">
        <w:rPr>
          <w:rFonts w:ascii="Arial" w:hAnsi="Arial" w:cs="Arial"/>
          <w:sz w:val="20"/>
        </w:rPr>
        <w:t> </w:t>
      </w:r>
      <w:r>
        <w:rPr>
          <w:rFonts w:ascii="Arial" w:hAnsi="Arial" w:cs="Arial"/>
          <w:sz w:val="20"/>
        </w:rPr>
        <w:t>J).  In the last-mentioned case, Osborn J referred - in some instances in considerable detail - to over 30</w:t>
      </w:r>
      <w:r w:rsidR="00455C26">
        <w:rPr>
          <w:rFonts w:ascii="Arial" w:hAnsi="Arial" w:cs="Arial"/>
          <w:sz w:val="20"/>
        </w:rPr>
        <w:t> </w:t>
      </w:r>
      <w:r>
        <w:rPr>
          <w:rFonts w:ascii="Arial" w:hAnsi="Arial" w:cs="Arial"/>
          <w:sz w:val="20"/>
        </w:rPr>
        <w:t>cases from Australian and other jurisdictions.</w:t>
      </w:r>
      <w:r w:rsidR="0075029C">
        <w:rPr>
          <w:rFonts w:ascii="Arial" w:hAnsi="Arial" w:cs="Arial"/>
          <w:sz w:val="20"/>
        </w:rPr>
        <w:t xml:space="preserve">  His Honour’s ruling was upheld by the Court of Appeal: [2006] VSCA 40 </w:t>
      </w:r>
      <w:r w:rsidR="00D1739B">
        <w:rPr>
          <w:rFonts w:ascii="Arial" w:hAnsi="Arial" w:cs="Arial"/>
          <w:sz w:val="20"/>
        </w:rPr>
        <w:t xml:space="preserve">at [141]-[191] </w:t>
      </w:r>
      <w:r w:rsidR="0075029C">
        <w:rPr>
          <w:rFonts w:ascii="Arial" w:hAnsi="Arial" w:cs="Arial"/>
          <w:sz w:val="20"/>
        </w:rPr>
        <w:t>(Vincent JA with whom Callaway &amp; Buchanan JJA agreed).</w:t>
      </w:r>
      <w:r w:rsidR="005E1D4C">
        <w:rPr>
          <w:rFonts w:ascii="Arial" w:hAnsi="Arial" w:cs="Arial"/>
          <w:sz w:val="20"/>
        </w:rPr>
        <w:t xml:space="preserve"> I</w:t>
      </w:r>
      <w:r w:rsidR="00D1739B">
        <w:rPr>
          <w:rFonts w:ascii="Arial" w:hAnsi="Arial" w:cs="Arial"/>
          <w:sz w:val="20"/>
        </w:rPr>
        <w:t xml:space="preserve">n </w:t>
      </w:r>
      <w:r w:rsidR="00D1739B" w:rsidRPr="00D1739B">
        <w:rPr>
          <w:rFonts w:ascii="Arial" w:hAnsi="Arial" w:cs="Arial"/>
          <w:i/>
          <w:sz w:val="20"/>
        </w:rPr>
        <w:t xml:space="preserve">R v Hill </w:t>
      </w:r>
      <w:r w:rsidR="00D1739B">
        <w:rPr>
          <w:rFonts w:ascii="Arial" w:hAnsi="Arial" w:cs="Arial"/>
          <w:sz w:val="20"/>
        </w:rPr>
        <w:t xml:space="preserve">[2006] VSCA 41; </w:t>
      </w:r>
      <w:r w:rsidR="00D1739B" w:rsidRPr="00D1739B">
        <w:rPr>
          <w:rFonts w:ascii="Arial" w:hAnsi="Arial" w:cs="Arial"/>
          <w:i/>
          <w:sz w:val="20"/>
        </w:rPr>
        <w:t>R v Clarke</w:t>
      </w:r>
      <w:r w:rsidR="00D1739B">
        <w:rPr>
          <w:rFonts w:ascii="Arial" w:hAnsi="Arial" w:cs="Arial"/>
          <w:sz w:val="20"/>
        </w:rPr>
        <w:t xml:space="preserve"> [2006] VSCA 43 and </w:t>
      </w:r>
      <w:r w:rsidR="00D1739B" w:rsidRPr="00D1739B">
        <w:rPr>
          <w:rFonts w:ascii="Arial" w:hAnsi="Arial" w:cs="Arial"/>
          <w:i/>
          <w:sz w:val="20"/>
        </w:rPr>
        <w:t>R v Favata</w:t>
      </w:r>
      <w:r w:rsidR="005E1D4C">
        <w:rPr>
          <w:rFonts w:ascii="Arial" w:hAnsi="Arial" w:cs="Arial"/>
          <w:sz w:val="20"/>
        </w:rPr>
        <w:t xml:space="preserve"> [2006] VSCA 44 identically constituted Courts of Appeal </w:t>
      </w:r>
      <w:r w:rsidR="00E90AC8">
        <w:rPr>
          <w:rFonts w:ascii="Arial" w:hAnsi="Arial" w:cs="Arial"/>
          <w:sz w:val="20"/>
        </w:rPr>
        <w:t>enunciated the same principles.</w:t>
      </w:r>
    </w:p>
    <w:p w14:paraId="2F96B92F" w14:textId="77777777" w:rsidR="00EE5134" w:rsidRDefault="00EE5134">
      <w:pPr>
        <w:jc w:val="both"/>
        <w:rPr>
          <w:rFonts w:ascii="Arial" w:hAnsi="Arial" w:cs="Arial"/>
          <w:sz w:val="20"/>
        </w:rPr>
      </w:pPr>
    </w:p>
    <w:p w14:paraId="444B0981" w14:textId="77777777" w:rsidR="00EE5134" w:rsidRDefault="00EE5134">
      <w:pPr>
        <w:jc w:val="both"/>
        <w:rPr>
          <w:rFonts w:ascii="Arial" w:hAnsi="Arial" w:cs="Arial"/>
          <w:sz w:val="20"/>
        </w:rPr>
      </w:pPr>
      <w:r>
        <w:rPr>
          <w:rFonts w:ascii="Arial" w:hAnsi="Arial" w:cs="Arial"/>
          <w:sz w:val="20"/>
        </w:rPr>
        <w:t xml:space="preserve">See also </w:t>
      </w:r>
      <w:r>
        <w:rPr>
          <w:rFonts w:ascii="Arial" w:hAnsi="Arial" w:cs="Arial"/>
          <w:i/>
          <w:iCs/>
          <w:sz w:val="20"/>
        </w:rPr>
        <w:t>R v Marks</w:t>
      </w:r>
      <w:r>
        <w:rPr>
          <w:rFonts w:ascii="Arial" w:hAnsi="Arial" w:cs="Arial"/>
          <w:sz w:val="20"/>
        </w:rPr>
        <w:t xml:space="preserve"> [2004] VSC 476 at [57]-[117] where Coldrey J discussed the legal background to the question of the admissibility of confessional material, citing numerous cases in relation to the issues of basal involuntariness, inducement, reliability and the unfairnes</w:t>
      </w:r>
      <w:r w:rsidR="00D1739B">
        <w:rPr>
          <w:rFonts w:ascii="Arial" w:hAnsi="Arial" w:cs="Arial"/>
          <w:sz w:val="20"/>
        </w:rPr>
        <w:t>s and public policy discretions. His Honour’s ruling was subsequently upheld by the Court of Appeal: [2006] VSCA 42.</w:t>
      </w:r>
    </w:p>
    <w:p w14:paraId="0DB87401" w14:textId="77777777" w:rsidR="00EE5134" w:rsidRDefault="00EE5134">
      <w:pPr>
        <w:jc w:val="both"/>
        <w:rPr>
          <w:rFonts w:ascii="Arial" w:hAnsi="Arial" w:cs="Arial"/>
        </w:rPr>
      </w:pPr>
    </w:p>
    <w:p w14:paraId="7847118B" w14:textId="77777777" w:rsidR="00EE5134" w:rsidRDefault="00EE5134">
      <w:pPr>
        <w:pStyle w:val="Heading3"/>
        <w:keepNext/>
        <w:spacing w:after="80" w:line="240" w:lineRule="auto"/>
        <w:rPr>
          <w:rFonts w:ascii="Arial" w:hAnsi="Arial" w:cs="Arial"/>
          <w:b/>
          <w:bCs/>
          <w:sz w:val="20"/>
        </w:rPr>
      </w:pPr>
      <w:bookmarkStart w:id="93" w:name="_8.2.1_Voluntariness"/>
      <w:bookmarkEnd w:id="93"/>
      <w:r>
        <w:rPr>
          <w:rFonts w:ascii="Arial" w:hAnsi="Arial" w:cs="Arial"/>
          <w:b/>
          <w:bCs/>
          <w:sz w:val="20"/>
        </w:rPr>
        <w:t>8.2.1</w:t>
      </w:r>
      <w:r>
        <w:rPr>
          <w:rFonts w:ascii="Arial" w:hAnsi="Arial" w:cs="Arial"/>
          <w:b/>
          <w:bCs/>
          <w:sz w:val="20"/>
        </w:rPr>
        <w:tab/>
        <w:t>Voluntariness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978F0C3" w14:textId="77777777" w:rsidR="00EE5134" w:rsidRDefault="00EE5134">
      <w:pPr>
        <w:jc w:val="both"/>
        <w:rPr>
          <w:rFonts w:ascii="Arial" w:hAnsi="Arial" w:cs="Arial"/>
          <w:i/>
          <w:iCs/>
          <w:sz w:val="20"/>
        </w:rPr>
      </w:pPr>
      <w:r>
        <w:rPr>
          <w:rFonts w:ascii="Arial" w:hAnsi="Arial" w:cs="Arial"/>
          <w:sz w:val="20"/>
        </w:rPr>
        <w:t xml:space="preserve">At common law a confession of crime is only admissible against the person making it if it was voluntary, that is that it was "made in the exercise of a free choice to speak or be silent": </w:t>
      </w:r>
      <w:r>
        <w:rPr>
          <w:rFonts w:ascii="Arial" w:hAnsi="Arial" w:cs="Arial"/>
          <w:i/>
          <w:iCs/>
          <w:sz w:val="20"/>
        </w:rPr>
        <w:t>R v Lee</w:t>
      </w:r>
      <w:r>
        <w:rPr>
          <w:rFonts w:ascii="Arial" w:hAnsi="Arial" w:cs="Arial"/>
          <w:sz w:val="20"/>
        </w:rPr>
        <w:t xml:space="preserve"> (1950) 82 CLR 133 at 149; </w:t>
      </w:r>
      <w:r>
        <w:rPr>
          <w:rFonts w:ascii="Arial" w:hAnsi="Arial" w:cs="Arial"/>
          <w:i/>
          <w:iCs/>
          <w:sz w:val="20"/>
        </w:rPr>
        <w:t>Collins v R</w:t>
      </w:r>
      <w:r>
        <w:rPr>
          <w:rFonts w:ascii="Arial" w:hAnsi="Arial" w:cs="Arial"/>
          <w:sz w:val="20"/>
        </w:rPr>
        <w:t xml:space="preserve"> (1980) 31 ALR 257 at 307 [Full Federal Court].  A confession of crime includes any inculpatory statement as well as a full admission of guilt: </w:t>
      </w:r>
      <w:r>
        <w:rPr>
          <w:rFonts w:ascii="Arial" w:hAnsi="Arial" w:cs="Arial"/>
          <w:i/>
          <w:iCs/>
          <w:sz w:val="20"/>
        </w:rPr>
        <w:t>Customs and Excise Commissioners v Harz and Power</w:t>
      </w:r>
      <w:r>
        <w:rPr>
          <w:rFonts w:ascii="Arial" w:hAnsi="Arial" w:cs="Arial"/>
          <w:sz w:val="20"/>
        </w:rPr>
        <w:t xml:space="preserve"> [1967] 1 AC 760 at 818.  The Supreme Court of Canada has, by majority, extended this to include exculpatory statements: </w:t>
      </w:r>
      <w:r>
        <w:rPr>
          <w:rFonts w:ascii="Arial" w:hAnsi="Arial" w:cs="Arial"/>
          <w:i/>
          <w:iCs/>
          <w:sz w:val="20"/>
        </w:rPr>
        <w:t>Piche v R</w:t>
      </w:r>
      <w:r>
        <w:rPr>
          <w:rFonts w:ascii="Arial" w:hAnsi="Arial" w:cs="Arial"/>
          <w:sz w:val="20"/>
        </w:rPr>
        <w:t xml:space="preserve"> (1970) 11 DLR (3d) 709.  The onus of proof in establishing voluntariness is borne by the Crown on the balance of probabilities: </w:t>
      </w:r>
      <w:r>
        <w:rPr>
          <w:rFonts w:ascii="Arial" w:hAnsi="Arial" w:cs="Arial"/>
          <w:i/>
          <w:iCs/>
          <w:sz w:val="20"/>
        </w:rPr>
        <w:t>Wendo v R</w:t>
      </w:r>
      <w:r>
        <w:rPr>
          <w:rFonts w:ascii="Arial" w:hAnsi="Arial" w:cs="Arial"/>
          <w:sz w:val="20"/>
        </w:rPr>
        <w:t xml:space="preserve"> (1963) 109 CLR 559.  The common law principle was stated thus by Dixon J in </w:t>
      </w:r>
      <w:r>
        <w:rPr>
          <w:rFonts w:ascii="Arial" w:hAnsi="Arial" w:cs="Arial"/>
          <w:i/>
          <w:iCs/>
          <w:sz w:val="20"/>
        </w:rPr>
        <w:t xml:space="preserve">McDermott v </w:t>
      </w:r>
      <w:r w:rsidR="00E90AC8">
        <w:rPr>
          <w:rFonts w:ascii="Arial" w:hAnsi="Arial" w:cs="Arial"/>
          <w:i/>
          <w:iCs/>
          <w:sz w:val="20"/>
        </w:rPr>
        <w:t>The King</w:t>
      </w:r>
      <w:r>
        <w:rPr>
          <w:rFonts w:ascii="Arial" w:hAnsi="Arial" w:cs="Arial"/>
          <w:i/>
          <w:iCs/>
          <w:sz w:val="20"/>
        </w:rPr>
        <w:t xml:space="preserve"> </w:t>
      </w:r>
      <w:r>
        <w:rPr>
          <w:rFonts w:ascii="Arial" w:hAnsi="Arial" w:cs="Arial"/>
          <w:sz w:val="20"/>
        </w:rPr>
        <w:t>(19</w:t>
      </w:r>
      <w:r w:rsidR="00E90AC8">
        <w:rPr>
          <w:rFonts w:ascii="Arial" w:hAnsi="Arial" w:cs="Arial"/>
          <w:sz w:val="20"/>
        </w:rPr>
        <w:t>4</w:t>
      </w:r>
      <w:r>
        <w:rPr>
          <w:rFonts w:ascii="Arial" w:hAnsi="Arial" w:cs="Arial"/>
          <w:sz w:val="20"/>
        </w:rPr>
        <w:t>8) 76 CLR 501 at 511</w:t>
      </w:r>
      <w:r w:rsidR="00E43029">
        <w:rPr>
          <w:rFonts w:ascii="Arial" w:hAnsi="Arial" w:cs="Arial"/>
          <w:sz w:val="20"/>
        </w:rPr>
        <w:t>-512</w:t>
      </w:r>
      <w:r>
        <w:rPr>
          <w:rFonts w:ascii="Arial" w:hAnsi="Arial" w:cs="Arial"/>
          <w:sz w:val="20"/>
        </w:rPr>
        <w:t>:</w:t>
      </w:r>
    </w:p>
    <w:p w14:paraId="0FB95F01" w14:textId="77777777" w:rsidR="00E43029" w:rsidRDefault="00EE5134" w:rsidP="00455C26">
      <w:pPr>
        <w:spacing w:before="60"/>
        <w:ind w:left="454" w:right="454"/>
        <w:jc w:val="both"/>
        <w:rPr>
          <w:rFonts w:ascii="Arial" w:hAnsi="Arial" w:cs="Arial"/>
          <w:sz w:val="20"/>
        </w:rPr>
      </w:pPr>
      <w:r>
        <w:rPr>
          <w:rFonts w:ascii="Arial" w:hAnsi="Arial" w:cs="Arial"/>
          <w:sz w:val="20"/>
        </w:rPr>
        <w:t>"</w:t>
      </w:r>
      <w:r w:rsidR="00E90AC8">
        <w:rPr>
          <w:rFonts w:ascii="Arial" w:hAnsi="Arial" w:cs="Arial"/>
          <w:sz w:val="20"/>
        </w:rPr>
        <w:t xml:space="preserve">At common law a confessional statement made out of court by an accused person may not be admitted in evidence against him upon his trial for the crime to which it relates unless it is shown to have been voluntarily made.  This means substantially that it has been made in the exercise of his free choice.  If he </w:t>
      </w:r>
      <w:r>
        <w:rPr>
          <w:rFonts w:ascii="Arial" w:hAnsi="Arial" w:cs="Arial"/>
          <w:sz w:val="20"/>
        </w:rPr>
        <w:t>speaks because he is overborne his confessional statement cannot be received in evidence and it does not matter by what means he has been overborne.  If his statement is the result of duress, intimidation, persistent importunity, or sustained or undue insistence or pressure, it cannot be voluntary.  But it is also a definite rule of the common law that a confessional statement cannot be voluntary if it is preceded by an inducement held out by a person in authority and the inducement has not been removed before the statement was made</w:t>
      </w:r>
      <w:r w:rsidR="00E43029">
        <w:rPr>
          <w:rFonts w:ascii="Arial" w:hAnsi="Arial" w:cs="Arial"/>
          <w:sz w:val="20"/>
        </w:rPr>
        <w:t xml:space="preserve">: per Cave J in </w:t>
      </w:r>
      <w:r w:rsidR="00E43029" w:rsidRPr="00534C0D">
        <w:rPr>
          <w:rFonts w:ascii="Arial" w:hAnsi="Arial" w:cs="Arial"/>
          <w:i/>
          <w:sz w:val="20"/>
        </w:rPr>
        <w:t>R v Thompson</w:t>
      </w:r>
      <w:r w:rsidR="00E43029">
        <w:rPr>
          <w:rFonts w:ascii="Arial" w:hAnsi="Arial" w:cs="Arial"/>
          <w:sz w:val="20"/>
        </w:rPr>
        <w:t xml:space="preserve"> (1893) 2 QBD 12 at 17.  The expression ‘person in authority’ includes officers of police and the like, the prosecutor, and others concerned in preferring the charge.  An inducement may take the form of some fear of prejudice or hope of advantage exercised or held out by the person in authority (</w:t>
      </w:r>
      <w:r w:rsidR="00E43029" w:rsidRPr="00E43029">
        <w:rPr>
          <w:rFonts w:ascii="Arial" w:hAnsi="Arial" w:cs="Arial"/>
          <w:i/>
          <w:sz w:val="20"/>
        </w:rPr>
        <w:t>Ibrahim v The King</w:t>
      </w:r>
      <w:r w:rsidR="00E43029">
        <w:rPr>
          <w:rFonts w:ascii="Arial" w:hAnsi="Arial" w:cs="Arial"/>
          <w:sz w:val="20"/>
        </w:rPr>
        <w:t xml:space="preserve"> [1918] 1 KB at 537-538;</w:t>
      </w:r>
      <w:r w:rsidR="00E43029" w:rsidRPr="00E43029">
        <w:rPr>
          <w:rFonts w:ascii="Arial" w:hAnsi="Arial" w:cs="Arial"/>
          <w:i/>
          <w:sz w:val="20"/>
        </w:rPr>
        <w:t xml:space="preserve"> R v Voisin</w:t>
      </w:r>
      <w:r w:rsidR="00E43029">
        <w:rPr>
          <w:rFonts w:ascii="Arial" w:hAnsi="Arial" w:cs="Arial"/>
          <w:sz w:val="20"/>
        </w:rPr>
        <w:t xml:space="preserve"> [1914] AC at 609, 610).  That is the classical ground for the rejection of confessions and looms largest in a consideration of the subject.”</w:t>
      </w:r>
    </w:p>
    <w:p w14:paraId="557E6DFF" w14:textId="77777777" w:rsidR="00E43029" w:rsidRDefault="00E43029" w:rsidP="004B3986">
      <w:pPr>
        <w:spacing w:before="120"/>
        <w:jc w:val="both"/>
        <w:rPr>
          <w:rFonts w:ascii="Arial" w:hAnsi="Arial" w:cs="Arial"/>
          <w:sz w:val="20"/>
        </w:rPr>
      </w:pPr>
      <w:r>
        <w:rPr>
          <w:rFonts w:ascii="Arial" w:hAnsi="Arial" w:cs="Arial"/>
          <w:sz w:val="20"/>
        </w:rPr>
        <w:t xml:space="preserve">In </w:t>
      </w:r>
      <w:r w:rsidRPr="004B3986">
        <w:rPr>
          <w:rFonts w:ascii="Arial" w:hAnsi="Arial" w:cs="Arial"/>
          <w:i/>
          <w:sz w:val="20"/>
        </w:rPr>
        <w:t>R v Thomas</w:t>
      </w:r>
      <w:r>
        <w:rPr>
          <w:rFonts w:ascii="Arial" w:hAnsi="Arial" w:cs="Arial"/>
          <w:sz w:val="20"/>
        </w:rPr>
        <w:t xml:space="preserve"> [2006] VSCA 165 at [</w:t>
      </w:r>
      <w:r w:rsidR="004B3986">
        <w:rPr>
          <w:rFonts w:ascii="Arial" w:hAnsi="Arial" w:cs="Arial"/>
          <w:sz w:val="20"/>
        </w:rPr>
        <w:t>66</w:t>
      </w:r>
      <w:r>
        <w:rPr>
          <w:rFonts w:ascii="Arial" w:hAnsi="Arial" w:cs="Arial"/>
          <w:sz w:val="20"/>
        </w:rPr>
        <w:t>] the Court of Appeal (Maxwell P, Buchanan &amp; Vincent JJA) said of this dict</w:t>
      </w:r>
      <w:r w:rsidR="004B3986">
        <w:rPr>
          <w:rFonts w:ascii="Arial" w:hAnsi="Arial" w:cs="Arial"/>
          <w:sz w:val="20"/>
        </w:rPr>
        <w:t>um</w:t>
      </w:r>
      <w:r>
        <w:rPr>
          <w:rFonts w:ascii="Arial" w:hAnsi="Arial" w:cs="Arial"/>
          <w:sz w:val="20"/>
        </w:rPr>
        <w:t>:</w:t>
      </w:r>
      <w:r w:rsidR="004B3986">
        <w:rPr>
          <w:rFonts w:ascii="Arial" w:hAnsi="Arial" w:cs="Arial"/>
          <w:sz w:val="20"/>
        </w:rPr>
        <w:t xml:space="preserve"> </w:t>
      </w:r>
      <w:r>
        <w:rPr>
          <w:rFonts w:ascii="Arial" w:hAnsi="Arial" w:cs="Arial"/>
          <w:sz w:val="20"/>
        </w:rPr>
        <w:t xml:space="preserve">“What his Honour said was adopted by a unanimous court in </w:t>
      </w:r>
      <w:r w:rsidRPr="004B3986">
        <w:rPr>
          <w:rFonts w:ascii="Arial" w:hAnsi="Arial" w:cs="Arial"/>
          <w:i/>
          <w:sz w:val="20"/>
        </w:rPr>
        <w:t>R v Lee</w:t>
      </w:r>
      <w:r>
        <w:rPr>
          <w:rFonts w:ascii="Arial" w:hAnsi="Arial" w:cs="Arial"/>
          <w:sz w:val="20"/>
        </w:rPr>
        <w:t xml:space="preserve"> </w:t>
      </w:r>
      <w:r w:rsidR="004B3986">
        <w:rPr>
          <w:rFonts w:ascii="Arial" w:hAnsi="Arial" w:cs="Arial"/>
          <w:sz w:val="20"/>
        </w:rPr>
        <w:t>(1950) 82 CLR 133 at 144 and has continued to be applied ever since.”  At [67] the Court of Appeal noted that the principle “represented an aspect of a very carefully constructed bal</w:t>
      </w:r>
      <w:r w:rsidR="00534C0D">
        <w:rPr>
          <w:rFonts w:ascii="Arial" w:hAnsi="Arial" w:cs="Arial"/>
          <w:sz w:val="20"/>
        </w:rPr>
        <w:t>ance between the respective righ</w:t>
      </w:r>
      <w:r w:rsidR="004B3986">
        <w:rPr>
          <w:rFonts w:ascii="Arial" w:hAnsi="Arial" w:cs="Arial"/>
          <w:sz w:val="20"/>
        </w:rPr>
        <w:t xml:space="preserve">ts and obligations of the State </w:t>
      </w:r>
      <w:r w:rsidR="004B3986" w:rsidRPr="004B3986">
        <w:rPr>
          <w:rFonts w:ascii="Arial" w:hAnsi="Arial" w:cs="Arial"/>
          <w:sz w:val="20"/>
        </w:rPr>
        <w:t>and the individual and have been developed to ensure that reliability and integrity is maintained in a system directed to the protection of the rights of both the community and the individual and to the advancement of the interests of justice.</w:t>
      </w:r>
      <w:r w:rsidR="004B3986">
        <w:rPr>
          <w:rFonts w:ascii="Arial" w:hAnsi="Arial" w:cs="Arial"/>
          <w:sz w:val="20"/>
        </w:rPr>
        <w:t xml:space="preserve">”  See also </w:t>
      </w:r>
      <w:r w:rsidR="004B3986" w:rsidRPr="004B3986">
        <w:rPr>
          <w:rFonts w:ascii="Arial" w:hAnsi="Arial" w:cs="Arial"/>
          <w:i/>
          <w:sz w:val="20"/>
        </w:rPr>
        <w:t>R v Tofilau</w:t>
      </w:r>
      <w:r w:rsidR="004B3986">
        <w:rPr>
          <w:rFonts w:ascii="Arial" w:hAnsi="Arial" w:cs="Arial"/>
          <w:sz w:val="20"/>
        </w:rPr>
        <w:t xml:space="preserve"> [2006] VSCA 40 at [152].</w:t>
      </w:r>
    </w:p>
    <w:p w14:paraId="6E4EB829" w14:textId="77777777" w:rsidR="00E43029" w:rsidRDefault="00E43029">
      <w:pPr>
        <w:jc w:val="both"/>
        <w:rPr>
          <w:rFonts w:ascii="Arial" w:hAnsi="Arial" w:cs="Arial"/>
          <w:sz w:val="20"/>
        </w:rPr>
      </w:pPr>
    </w:p>
    <w:p w14:paraId="5CFBE5A5"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Li</w:t>
      </w:r>
      <w:r>
        <w:rPr>
          <w:rFonts w:ascii="Arial" w:hAnsi="Arial" w:cs="Arial"/>
          <w:sz w:val="20"/>
        </w:rPr>
        <w:t xml:space="preserve"> [1993] 2 VR 80 at 87, in excluding a record of interview as involuntary, Coldrey J said:</w:t>
      </w:r>
    </w:p>
    <w:p w14:paraId="46A5C262" w14:textId="77777777" w:rsidR="00EE5134" w:rsidRDefault="00EE5134" w:rsidP="00455C26">
      <w:pPr>
        <w:spacing w:before="60"/>
        <w:ind w:left="454" w:right="454"/>
        <w:jc w:val="both"/>
        <w:rPr>
          <w:rFonts w:ascii="Arial" w:hAnsi="Arial" w:cs="Arial"/>
          <w:sz w:val="20"/>
        </w:rPr>
      </w:pPr>
      <w:r>
        <w:rPr>
          <w:rFonts w:ascii="Arial" w:hAnsi="Arial" w:cs="Arial"/>
          <w:sz w:val="20"/>
        </w:rPr>
        <w:t>"The breadth of the concept of voluntariness is often misunderstood.  In my view it extends to and encompasses the situation where answers are given by an accused person who lacks understanding that such questions need not be answered, and, as a result, feels compelled to participate in the interview process.  In such circumstances, the interview will be non-voluntary.  This is so even though the interview itself may be conducted in an ost</w:t>
      </w:r>
      <w:r w:rsidR="004B3986">
        <w:rPr>
          <w:rFonts w:ascii="Arial" w:hAnsi="Arial" w:cs="Arial"/>
          <w:sz w:val="20"/>
        </w:rPr>
        <w:t xml:space="preserve">ensibly co-operative fashion." </w:t>
      </w:r>
    </w:p>
    <w:p w14:paraId="601F0277" w14:textId="77777777" w:rsidR="00EE5134" w:rsidRDefault="00EE5134">
      <w:pPr>
        <w:jc w:val="both"/>
        <w:rPr>
          <w:rFonts w:ascii="Arial" w:hAnsi="Arial" w:cs="Arial"/>
          <w:sz w:val="20"/>
        </w:rPr>
      </w:pPr>
    </w:p>
    <w:p w14:paraId="20AE7968" w14:textId="77777777" w:rsidR="005E1D4C" w:rsidRDefault="004B3986" w:rsidP="005E1D4C">
      <w:pPr>
        <w:jc w:val="both"/>
        <w:rPr>
          <w:rFonts w:ascii="Arial" w:hAnsi="Arial" w:cs="Arial"/>
          <w:sz w:val="20"/>
        </w:rPr>
      </w:pPr>
      <w:r>
        <w:rPr>
          <w:rFonts w:ascii="Arial" w:hAnsi="Arial" w:cs="Arial"/>
          <w:sz w:val="20"/>
        </w:rPr>
        <w:t xml:space="preserve">In </w:t>
      </w:r>
      <w:r w:rsidRPr="004B3986">
        <w:rPr>
          <w:rFonts w:ascii="Arial" w:hAnsi="Arial" w:cs="Arial"/>
          <w:i/>
          <w:sz w:val="20"/>
        </w:rPr>
        <w:t>R v Thomas</w:t>
      </w:r>
      <w:r>
        <w:rPr>
          <w:rFonts w:ascii="Arial" w:hAnsi="Arial" w:cs="Arial"/>
          <w:sz w:val="20"/>
        </w:rPr>
        <w:t xml:space="preserve"> [2006] VSCA 165 at [</w:t>
      </w:r>
      <w:r w:rsidR="00B00B1D">
        <w:rPr>
          <w:rFonts w:ascii="Arial" w:hAnsi="Arial" w:cs="Arial"/>
          <w:sz w:val="20"/>
        </w:rPr>
        <w:t>89</w:t>
      </w:r>
      <w:r>
        <w:rPr>
          <w:rFonts w:ascii="Arial" w:hAnsi="Arial" w:cs="Arial"/>
          <w:sz w:val="20"/>
        </w:rPr>
        <w:t>] the Court of A</w:t>
      </w:r>
      <w:r w:rsidR="00B00B1D">
        <w:rPr>
          <w:rFonts w:ascii="Arial" w:hAnsi="Arial" w:cs="Arial"/>
          <w:sz w:val="20"/>
        </w:rPr>
        <w:t>ppeal adopted dicta from</w:t>
      </w:r>
      <w:r>
        <w:rPr>
          <w:rFonts w:ascii="Arial" w:hAnsi="Arial" w:cs="Arial"/>
          <w:sz w:val="20"/>
        </w:rPr>
        <w:t xml:space="preserve"> </w:t>
      </w:r>
      <w:r w:rsidRPr="004B3986">
        <w:rPr>
          <w:rFonts w:ascii="Arial" w:hAnsi="Arial" w:cs="Arial"/>
          <w:i/>
          <w:sz w:val="20"/>
        </w:rPr>
        <w:t>R</w:t>
      </w:r>
      <w:r w:rsidR="000D1261">
        <w:rPr>
          <w:rFonts w:ascii="Arial" w:hAnsi="Arial" w:cs="Arial"/>
          <w:i/>
          <w:sz w:val="20"/>
        </w:rPr>
        <w:t> </w:t>
      </w:r>
      <w:r w:rsidRPr="004B3986">
        <w:rPr>
          <w:rFonts w:ascii="Arial" w:hAnsi="Arial" w:cs="Arial"/>
          <w:i/>
          <w:sz w:val="20"/>
        </w:rPr>
        <w:t>v Tofilau</w:t>
      </w:r>
      <w:r>
        <w:rPr>
          <w:rFonts w:ascii="Arial" w:hAnsi="Arial" w:cs="Arial"/>
          <w:sz w:val="20"/>
        </w:rPr>
        <w:t xml:space="preserve"> [2006] VSCA 40 at [155] about </w:t>
      </w:r>
      <w:r w:rsidR="000D1261">
        <w:rPr>
          <w:rFonts w:ascii="Arial" w:hAnsi="Arial" w:cs="Arial"/>
          <w:sz w:val="20"/>
        </w:rPr>
        <w:t>what constituted</w:t>
      </w:r>
      <w:r>
        <w:rPr>
          <w:rFonts w:ascii="Arial" w:hAnsi="Arial" w:cs="Arial"/>
          <w:sz w:val="20"/>
        </w:rPr>
        <w:t xml:space="preserve"> “free choice” </w:t>
      </w:r>
      <w:r w:rsidR="000D1261">
        <w:rPr>
          <w:rFonts w:ascii="Arial" w:hAnsi="Arial" w:cs="Arial"/>
          <w:sz w:val="20"/>
        </w:rPr>
        <w:t>for</w:t>
      </w:r>
      <w:r>
        <w:rPr>
          <w:rFonts w:ascii="Arial" w:hAnsi="Arial" w:cs="Arial"/>
          <w:sz w:val="20"/>
        </w:rPr>
        <w:t xml:space="preserve"> determining whether or not an individual’s confessional statement was voluntary:</w:t>
      </w:r>
    </w:p>
    <w:p w14:paraId="60744D04" w14:textId="77777777" w:rsidR="004B3986" w:rsidRDefault="004B3986" w:rsidP="00455C26">
      <w:pPr>
        <w:spacing w:before="60"/>
        <w:ind w:left="454" w:right="454"/>
        <w:jc w:val="both"/>
        <w:rPr>
          <w:rFonts w:ascii="Arial" w:hAnsi="Arial" w:cs="Arial"/>
          <w:sz w:val="20"/>
        </w:rPr>
      </w:pPr>
      <w:r>
        <w:rPr>
          <w:rFonts w:ascii="Arial" w:hAnsi="Arial" w:cs="Arial"/>
          <w:sz w:val="20"/>
        </w:rPr>
        <w:t>“</w:t>
      </w:r>
      <w:r w:rsidRPr="004B3986">
        <w:rPr>
          <w:rFonts w:ascii="Arial" w:hAnsi="Arial" w:cs="Arial"/>
          <w:sz w:val="20"/>
        </w:rPr>
        <w:t xml:space="preserve">There are almost certainly, in any given situation, a multiplicity of situational and psychological factors operating on the mind of an individual when considering whether </w:t>
      </w:r>
      <w:r w:rsidRPr="004B3986">
        <w:rPr>
          <w:rFonts w:ascii="Arial" w:hAnsi="Arial" w:cs="Arial"/>
          <w:sz w:val="20"/>
        </w:rPr>
        <w:lastRenderedPageBreak/>
        <w:t>anything and, if so what, should be said about a matter that may affect them or others around them. The notion of a free choice does not require an absence of possible benefits or detriments upon which the will may operate, but the absence of pressure that overbears the individual’s will thereby restricting the available choices or the manner of their exercise.”</w:t>
      </w:r>
    </w:p>
    <w:p w14:paraId="68BB822B" w14:textId="77777777" w:rsidR="005E1D4C" w:rsidRPr="00FD0640" w:rsidRDefault="005E1D4C">
      <w:pPr>
        <w:jc w:val="both"/>
        <w:rPr>
          <w:rFonts w:ascii="Arial" w:hAnsi="Arial" w:cs="Arial"/>
          <w:color w:val="000000"/>
          <w:sz w:val="20"/>
        </w:rPr>
      </w:pPr>
    </w:p>
    <w:p w14:paraId="7C7DA527" w14:textId="77777777" w:rsidR="00DF5F35" w:rsidRPr="00FD0640" w:rsidRDefault="00DF5F35">
      <w:pPr>
        <w:jc w:val="both"/>
        <w:rPr>
          <w:rFonts w:ascii="Arial" w:hAnsi="Arial" w:cs="Arial"/>
          <w:color w:val="000000"/>
          <w:sz w:val="20"/>
        </w:rPr>
      </w:pPr>
      <w:r w:rsidRPr="00FD0640">
        <w:rPr>
          <w:rFonts w:ascii="Arial" w:hAnsi="Arial" w:cs="Arial"/>
          <w:color w:val="000000"/>
          <w:sz w:val="20"/>
        </w:rPr>
        <w:t>The common law doctrine in relation to “voluntariness” has now been enshrined in s.84 of the Evidence Act 2008 which provides:</w:t>
      </w:r>
    </w:p>
    <w:p w14:paraId="7B35BAD5" w14:textId="77777777" w:rsidR="00744BDF" w:rsidRPr="00FD0640" w:rsidRDefault="00327B44" w:rsidP="00327B44">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of an admission is not admissible unless the court is satisfied that the admission, and the making of the admission, were not influenced by-</w:t>
      </w:r>
    </w:p>
    <w:p w14:paraId="574D6C59" w14:textId="77777777" w:rsidR="00744BDF" w:rsidRPr="00FD0640" w:rsidRDefault="00327B44" w:rsidP="00327B44">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violent, oppressive, inhuman or degrading conduct, whether towards the person who made the admission or towards another person; or</w:t>
      </w:r>
    </w:p>
    <w:p w14:paraId="50426C9F" w14:textId="77777777" w:rsidR="00327B44" w:rsidRPr="00FD0640" w:rsidRDefault="00327B44" w:rsidP="00327B44">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a threat of conduct of that kind.</w:t>
      </w:r>
    </w:p>
    <w:p w14:paraId="1F4DE4E2" w14:textId="77777777" w:rsidR="00327B44" w:rsidRPr="00FD0640" w:rsidRDefault="00327B44" w:rsidP="00327B44">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 xml:space="preserve">Subsection (1) only applies if the party against </w:t>
      </w:r>
      <w:r w:rsidR="00347A6F" w:rsidRPr="00FD0640">
        <w:rPr>
          <w:rFonts w:ascii="Arial" w:hAnsi="Arial" w:cs="Arial"/>
          <w:color w:val="000000"/>
          <w:sz w:val="20"/>
        </w:rPr>
        <w:t>whom evidence of the admission is adduced has raised in the proceeding an issue about whether the admission or its making were so influenced.”</w:t>
      </w:r>
    </w:p>
    <w:p w14:paraId="0A5272C5" w14:textId="77777777" w:rsidR="00347A6F" w:rsidRPr="00FD0640" w:rsidRDefault="00347A6F" w:rsidP="00347A6F">
      <w:pPr>
        <w:jc w:val="both"/>
        <w:rPr>
          <w:rFonts w:ascii="Arial" w:hAnsi="Arial" w:cs="Arial"/>
          <w:color w:val="000000"/>
          <w:sz w:val="20"/>
        </w:rPr>
      </w:pPr>
    </w:p>
    <w:p w14:paraId="180999AE" w14:textId="77777777" w:rsidR="008312BC" w:rsidRPr="00FD0640" w:rsidRDefault="00347A6F" w:rsidP="00347A6F">
      <w:pPr>
        <w:jc w:val="both"/>
        <w:rPr>
          <w:rFonts w:ascii="Arial" w:hAnsi="Arial" w:cs="Arial"/>
          <w:color w:val="000000"/>
          <w:sz w:val="20"/>
        </w:rPr>
      </w:pPr>
      <w:r w:rsidRPr="00FD0640">
        <w:rPr>
          <w:rFonts w:ascii="Arial" w:hAnsi="Arial" w:cs="Arial"/>
          <w:color w:val="000000"/>
          <w:sz w:val="20"/>
        </w:rPr>
        <w:t xml:space="preserve">In </w:t>
      </w:r>
      <w:r w:rsidRPr="00FD0640">
        <w:rPr>
          <w:rFonts w:ascii="Arial" w:hAnsi="Arial" w:cs="Arial"/>
          <w:i/>
          <w:color w:val="000000"/>
          <w:sz w:val="20"/>
          <w:szCs w:val="20"/>
        </w:rPr>
        <w:t>R v Aujla &amp; anor</w:t>
      </w:r>
      <w:r w:rsidRPr="00FD0640">
        <w:rPr>
          <w:rFonts w:ascii="Arial" w:hAnsi="Arial" w:cs="Arial"/>
          <w:color w:val="000000"/>
          <w:sz w:val="20"/>
        </w:rPr>
        <w:t xml:space="preserve"> [2012] VSC 2</w:t>
      </w:r>
      <w:r w:rsidR="008312BC" w:rsidRPr="00FD0640">
        <w:rPr>
          <w:rFonts w:ascii="Arial" w:hAnsi="Arial" w:cs="Arial"/>
          <w:color w:val="000000"/>
          <w:sz w:val="20"/>
        </w:rPr>
        <w:t>1</w:t>
      </w:r>
      <w:r w:rsidRPr="00FD0640">
        <w:rPr>
          <w:rFonts w:ascii="Arial" w:hAnsi="Arial" w:cs="Arial"/>
          <w:color w:val="000000"/>
          <w:sz w:val="20"/>
        </w:rPr>
        <w:t xml:space="preserve">3 </w:t>
      </w:r>
      <w:r w:rsidR="008312BC" w:rsidRPr="00FD0640">
        <w:rPr>
          <w:rFonts w:ascii="Arial" w:hAnsi="Arial" w:cs="Arial"/>
          <w:color w:val="000000"/>
          <w:sz w:val="20"/>
        </w:rPr>
        <w:t xml:space="preserve">at [4] </w:t>
      </w:r>
      <w:r w:rsidRPr="00FD0640">
        <w:rPr>
          <w:rFonts w:ascii="Arial" w:hAnsi="Arial" w:cs="Arial"/>
          <w:color w:val="000000"/>
          <w:sz w:val="20"/>
        </w:rPr>
        <w:t xml:space="preserve">T Forrest J </w:t>
      </w:r>
      <w:r w:rsidR="008312BC" w:rsidRPr="00FD0640">
        <w:rPr>
          <w:rFonts w:ascii="Arial" w:hAnsi="Arial" w:cs="Arial"/>
          <w:color w:val="000000"/>
          <w:sz w:val="20"/>
        </w:rPr>
        <w:t>summarized the legal principles inherent in s.84:</w:t>
      </w:r>
    </w:p>
    <w:p w14:paraId="43595ED5" w14:textId="77777777" w:rsidR="008312BC" w:rsidRPr="00FD0640" w:rsidRDefault="008312BC" w:rsidP="008312BC">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w:t>
      </w:r>
      <w:r w:rsidRPr="00FD0640">
        <w:rPr>
          <w:rFonts w:ascii="Arial" w:hAnsi="Arial" w:cs="Arial"/>
          <w:color w:val="000000"/>
          <w:sz w:val="20"/>
        </w:rPr>
        <w:tab/>
        <w:t>Once the issue of voluntariness is raised the onus rests with the prosecution to demonstrate that the admissions were not influenced by violent, oppressive, inhuman or degrading conduct or a threat of that kind.</w:t>
      </w:r>
    </w:p>
    <w:p w14:paraId="5697FB2D" w14:textId="77777777" w:rsidR="008312BC" w:rsidRPr="00FD0640" w:rsidRDefault="008312BC" w:rsidP="008312BC">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(ii)</w:t>
      </w:r>
      <w:r w:rsidRPr="00FD0640">
        <w:rPr>
          <w:rFonts w:ascii="Arial" w:hAnsi="Arial" w:cs="Arial"/>
          <w:color w:val="000000"/>
          <w:sz w:val="20"/>
        </w:rPr>
        <w:tab/>
        <w:t xml:space="preserve">Oppressive conduct is not limited to physical or threatened physical conduct.  It may involve mental or psychological pressure and may also involve a combination of factors: </w:t>
      </w:r>
      <w:r w:rsidRPr="00FD0640">
        <w:rPr>
          <w:rFonts w:ascii="Arial" w:hAnsi="Arial" w:cs="Arial"/>
          <w:i/>
          <w:color w:val="000000"/>
          <w:sz w:val="20"/>
        </w:rPr>
        <w:t xml:space="preserve">Higgins v The Queen </w:t>
      </w:r>
      <w:r w:rsidRPr="00FD0640">
        <w:rPr>
          <w:rFonts w:ascii="Arial" w:hAnsi="Arial" w:cs="Arial"/>
          <w:color w:val="000000"/>
          <w:sz w:val="20"/>
        </w:rPr>
        <w:t>[2007] NSWCCA 56 at [26].</w:t>
      </w:r>
    </w:p>
    <w:p w14:paraId="1F8BD979" w14:textId="77777777" w:rsidR="008312BC" w:rsidRPr="00FD0640" w:rsidRDefault="008312BC" w:rsidP="008312BC">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(iii)</w:t>
      </w:r>
      <w:r w:rsidRPr="00FD0640">
        <w:rPr>
          <w:rFonts w:ascii="Arial" w:hAnsi="Arial" w:cs="Arial"/>
          <w:color w:val="000000"/>
          <w:sz w:val="20"/>
        </w:rPr>
        <w:tab/>
        <w:t>Causation is critical however.  Perceived psychological pressure that is either predicament related, or related to subjective factors peculiar to the suspect being interviewed cannot be the product of oppressive conduct</w:t>
      </w:r>
      <w:r w:rsidR="00B81434" w:rsidRPr="00FD0640">
        <w:rPr>
          <w:rFonts w:ascii="Arial" w:hAnsi="Arial" w:cs="Arial"/>
          <w:color w:val="000000"/>
          <w:sz w:val="20"/>
        </w:rPr>
        <w:t xml:space="preserve">: See for example </w:t>
      </w:r>
      <w:r w:rsidR="00B81434" w:rsidRPr="00FD0640">
        <w:rPr>
          <w:rFonts w:ascii="Arial" w:hAnsi="Arial" w:cs="Arial"/>
          <w:i/>
          <w:color w:val="000000"/>
          <w:sz w:val="20"/>
        </w:rPr>
        <w:t xml:space="preserve">The Queen v Tang </w:t>
      </w:r>
      <w:r w:rsidR="00B81434" w:rsidRPr="00FD0640">
        <w:rPr>
          <w:rFonts w:ascii="Arial" w:hAnsi="Arial" w:cs="Arial"/>
          <w:color w:val="000000"/>
          <w:sz w:val="20"/>
        </w:rPr>
        <w:t>[2010] VSC 578</w:t>
      </w:r>
      <w:r w:rsidRPr="00FD0640">
        <w:rPr>
          <w:rFonts w:ascii="Arial" w:hAnsi="Arial" w:cs="Arial"/>
          <w:color w:val="000000"/>
          <w:sz w:val="20"/>
        </w:rPr>
        <w:t>.</w:t>
      </w:r>
      <w:r w:rsidR="00B81434" w:rsidRPr="00FD0640">
        <w:rPr>
          <w:rFonts w:ascii="Arial" w:hAnsi="Arial" w:cs="Arial"/>
          <w:color w:val="000000"/>
          <w:sz w:val="20"/>
        </w:rPr>
        <w:t>”</w:t>
      </w:r>
    </w:p>
    <w:p w14:paraId="5322AE8E" w14:textId="77777777" w:rsidR="00347A6F" w:rsidRPr="00FD0640" w:rsidRDefault="008312BC" w:rsidP="008312BC">
      <w:pPr>
        <w:spacing w:before="120"/>
        <w:jc w:val="both"/>
        <w:rPr>
          <w:rFonts w:ascii="Arial" w:hAnsi="Arial" w:cs="Arial"/>
          <w:color w:val="000000"/>
          <w:sz w:val="20"/>
        </w:rPr>
      </w:pPr>
      <w:r w:rsidRPr="00285A4A">
        <w:rPr>
          <w:rFonts w:ascii="Arial" w:hAnsi="Arial" w:cs="Arial"/>
          <w:color w:val="000000"/>
          <w:sz w:val="20"/>
          <w:szCs w:val="20"/>
        </w:rPr>
        <w:t xml:space="preserve">Applying these principles his Honour </w:t>
      </w:r>
      <w:r w:rsidR="00347A6F" w:rsidRPr="00285A4A">
        <w:rPr>
          <w:rFonts w:ascii="Arial" w:hAnsi="Arial" w:cs="Arial"/>
          <w:color w:val="000000"/>
          <w:sz w:val="20"/>
          <w:szCs w:val="20"/>
        </w:rPr>
        <w:t>held that the admissions made by the accused were not influenced by any violent, oppressive</w:t>
      </w:r>
      <w:r w:rsidRPr="00285A4A">
        <w:rPr>
          <w:rFonts w:ascii="Arial" w:hAnsi="Arial" w:cs="Arial"/>
          <w:color w:val="000000"/>
          <w:sz w:val="20"/>
          <w:szCs w:val="20"/>
        </w:rPr>
        <w:t>, degrading or inhuman conduct or threats of same by any police officer and hence were admissible in evidence</w:t>
      </w:r>
      <w:r w:rsidRPr="00FD0640">
        <w:rPr>
          <w:rFonts w:ascii="Arial" w:hAnsi="Arial" w:cs="Arial"/>
          <w:color w:val="000000"/>
          <w:sz w:val="20"/>
          <w:szCs w:val="20"/>
        </w:rPr>
        <w:t>.</w:t>
      </w:r>
    </w:p>
    <w:p w14:paraId="748F4EE1" w14:textId="77777777" w:rsidR="00B81434" w:rsidRPr="00FD0640" w:rsidRDefault="00B81434" w:rsidP="00B81434">
      <w:pPr>
        <w:jc w:val="both"/>
        <w:rPr>
          <w:rFonts w:ascii="Arial" w:hAnsi="Arial" w:cs="Arial"/>
          <w:color w:val="000000"/>
          <w:sz w:val="20"/>
        </w:rPr>
      </w:pPr>
      <w:bookmarkStart w:id="94" w:name="_Toc30691402"/>
      <w:bookmarkStart w:id="95" w:name="_Toc30691779"/>
      <w:bookmarkStart w:id="96" w:name="_Toc30692159"/>
      <w:bookmarkStart w:id="97" w:name="_Toc30692917"/>
      <w:bookmarkStart w:id="98" w:name="_Toc30693296"/>
      <w:bookmarkStart w:id="99" w:name="_Toc30693674"/>
      <w:bookmarkStart w:id="100" w:name="_Toc30694052"/>
      <w:bookmarkStart w:id="101" w:name="_Toc30694432"/>
      <w:bookmarkStart w:id="102" w:name="_Toc30699021"/>
      <w:bookmarkStart w:id="103" w:name="_Toc30699399"/>
      <w:bookmarkStart w:id="104" w:name="_Toc30699784"/>
      <w:bookmarkStart w:id="105" w:name="_Toc30700939"/>
      <w:bookmarkStart w:id="106" w:name="_Toc30701326"/>
      <w:bookmarkStart w:id="107" w:name="_Toc30743937"/>
      <w:bookmarkStart w:id="108" w:name="_Toc30754760"/>
      <w:bookmarkStart w:id="109" w:name="_Toc30757201"/>
      <w:bookmarkStart w:id="110" w:name="_Toc30757749"/>
      <w:bookmarkStart w:id="111" w:name="_Toc30758149"/>
      <w:bookmarkStart w:id="112" w:name="_Toc30762910"/>
      <w:bookmarkStart w:id="113" w:name="_Toc30767564"/>
      <w:bookmarkStart w:id="114" w:name="_Toc34823582"/>
    </w:p>
    <w:p w14:paraId="38D21103" w14:textId="77777777" w:rsidR="00EE5134" w:rsidRPr="00FD0640" w:rsidRDefault="00EE5134">
      <w:pPr>
        <w:pStyle w:val="Heading3"/>
        <w:keepNext/>
        <w:spacing w:after="80" w:line="240" w:lineRule="auto"/>
        <w:rPr>
          <w:rFonts w:ascii="Arial" w:hAnsi="Arial" w:cs="Arial"/>
          <w:b/>
          <w:bCs/>
          <w:color w:val="000000"/>
          <w:sz w:val="20"/>
        </w:rPr>
      </w:pPr>
      <w:bookmarkStart w:id="115" w:name="_8.2.2_Regulation_of"/>
      <w:bookmarkEnd w:id="115"/>
      <w:r w:rsidRPr="00FD0640">
        <w:rPr>
          <w:rFonts w:ascii="Arial" w:hAnsi="Arial" w:cs="Arial"/>
          <w:b/>
          <w:bCs/>
          <w:color w:val="000000"/>
          <w:sz w:val="20"/>
        </w:rPr>
        <w:t>8.2.2</w:t>
      </w:r>
      <w:r w:rsidRPr="00FD0640">
        <w:rPr>
          <w:rFonts w:ascii="Arial" w:hAnsi="Arial" w:cs="Arial"/>
          <w:b/>
          <w:bCs/>
          <w:color w:val="000000"/>
          <w:sz w:val="20"/>
        </w:rPr>
        <w:tab/>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9B0EA5" w:rsidRPr="00FD0640">
        <w:rPr>
          <w:rFonts w:ascii="Arial" w:hAnsi="Arial" w:cs="Arial"/>
          <w:b/>
          <w:bCs/>
          <w:color w:val="000000"/>
          <w:sz w:val="20"/>
        </w:rPr>
        <w:t>Regulation of conduct by investigating offic</w:t>
      </w:r>
      <w:r w:rsidR="00B81434" w:rsidRPr="00FD0640">
        <w:rPr>
          <w:rFonts w:ascii="Arial" w:hAnsi="Arial" w:cs="Arial"/>
          <w:b/>
          <w:bCs/>
          <w:color w:val="000000"/>
          <w:sz w:val="20"/>
        </w:rPr>
        <w:t>i</w:t>
      </w:r>
      <w:r w:rsidR="009B0EA5" w:rsidRPr="00FD0640">
        <w:rPr>
          <w:rFonts w:ascii="Arial" w:hAnsi="Arial" w:cs="Arial"/>
          <w:b/>
          <w:bCs/>
          <w:color w:val="000000"/>
          <w:sz w:val="20"/>
        </w:rPr>
        <w:t>al</w:t>
      </w:r>
    </w:p>
    <w:p w14:paraId="6DE382EB" w14:textId="077B9DF9" w:rsidR="00EE5134" w:rsidRPr="00FD0640" w:rsidRDefault="00EE5134">
      <w:pPr>
        <w:jc w:val="both"/>
        <w:rPr>
          <w:rFonts w:ascii="Arial" w:hAnsi="Arial" w:cs="Arial"/>
          <w:color w:val="000000"/>
          <w:sz w:val="20"/>
        </w:rPr>
      </w:pPr>
      <w:r w:rsidRPr="00FD0640">
        <w:rPr>
          <w:rFonts w:ascii="Arial" w:hAnsi="Arial" w:cs="Arial"/>
          <w:color w:val="000000"/>
          <w:sz w:val="20"/>
        </w:rPr>
        <w:t xml:space="preserve">Sections 464A-H of the </w:t>
      </w:r>
      <w:r w:rsidRPr="00891E2C">
        <w:rPr>
          <w:rFonts w:ascii="Arial" w:hAnsi="Arial" w:cs="Arial"/>
          <w:i/>
          <w:iCs/>
          <w:color w:val="000000"/>
          <w:sz w:val="20"/>
        </w:rPr>
        <w:t>Crimes Act 1958 (Vic)</w:t>
      </w:r>
      <w:r w:rsidRPr="00FD0640">
        <w:rPr>
          <w:rFonts w:ascii="Arial" w:hAnsi="Arial" w:cs="Arial"/>
          <w:color w:val="000000"/>
          <w:sz w:val="20"/>
        </w:rPr>
        <w:t xml:space="preserve"> regulate the conduct by an investigating official of questioning or an investigation under ss.464A(2) or 464B(5) of a person (including a child) in custody who is suspected of having committed an offence.</w:t>
      </w:r>
      <w:r w:rsidR="00891E2C">
        <w:rPr>
          <w:rFonts w:ascii="Arial" w:hAnsi="Arial" w:cs="Arial"/>
          <w:color w:val="000000"/>
          <w:sz w:val="20"/>
        </w:rPr>
        <w:t xml:space="preserve">  </w:t>
      </w:r>
      <w:r w:rsidRPr="00FD0640">
        <w:rPr>
          <w:rFonts w:ascii="Arial" w:hAnsi="Arial" w:cs="Arial"/>
          <w:color w:val="000000"/>
          <w:sz w:val="20"/>
        </w:rPr>
        <w:t xml:space="preserve"> A member of the Australian Federal Police is not an 'investigating official' within subdiv. (30A) although in certain circumstances he or she may have the powers and duties of one:  </w:t>
      </w:r>
      <w:r w:rsidRPr="00FD0640">
        <w:rPr>
          <w:rFonts w:ascii="Arial" w:hAnsi="Arial" w:cs="Arial"/>
          <w:i/>
          <w:iCs/>
          <w:color w:val="000000"/>
          <w:sz w:val="20"/>
        </w:rPr>
        <w:t>R v Frugtinet</w:t>
      </w:r>
      <w:r w:rsidRPr="00FD0640">
        <w:rPr>
          <w:rFonts w:ascii="Arial" w:hAnsi="Arial" w:cs="Arial"/>
          <w:color w:val="000000"/>
          <w:sz w:val="20"/>
        </w:rPr>
        <w:t xml:space="preserve"> </w:t>
      </w:r>
      <w:r w:rsidRPr="00FD0640">
        <w:rPr>
          <w:rFonts w:ascii="Arial" w:hAnsi="Arial" w:cs="Arial"/>
          <w:i/>
          <w:iCs/>
          <w:color w:val="000000"/>
          <w:sz w:val="20"/>
        </w:rPr>
        <w:t>&amp; Frugtinet</w:t>
      </w:r>
      <w:r w:rsidRPr="00FD0640">
        <w:rPr>
          <w:rFonts w:ascii="Arial" w:hAnsi="Arial" w:cs="Arial"/>
          <w:color w:val="000000"/>
          <w:sz w:val="20"/>
        </w:rPr>
        <w:t xml:space="preserve"> [1999] 2 VR 297 at 308-11.</w:t>
      </w:r>
    </w:p>
    <w:p w14:paraId="4C22619D" w14:textId="2C680212" w:rsidR="00EE5134" w:rsidRDefault="00EE5134">
      <w:pPr>
        <w:jc w:val="both"/>
        <w:rPr>
          <w:rFonts w:ascii="Arial" w:hAnsi="Arial" w:cs="Arial"/>
          <w:color w:val="000000"/>
          <w:sz w:val="20"/>
        </w:rPr>
      </w:pPr>
    </w:p>
    <w:p w14:paraId="2D243140" w14:textId="76F47DAE" w:rsidR="00891E2C" w:rsidRPr="00891E2C" w:rsidRDefault="0070560A">
      <w:pPr>
        <w:jc w:val="both"/>
        <w:rPr>
          <w:rFonts w:ascii="Arial" w:hAnsi="Arial" w:cs="Arial"/>
          <w:color w:val="000000"/>
          <w:szCs w:val="28"/>
        </w:rPr>
      </w:pPr>
      <w:r>
        <w:rPr>
          <w:rFonts w:ascii="Arial" w:hAnsi="Arial" w:cs="Arial"/>
          <w:sz w:val="20"/>
          <w:szCs w:val="16"/>
        </w:rPr>
        <w:t>As and from 01/01/2024 s.</w:t>
      </w:r>
      <w:r w:rsidR="00891E2C" w:rsidRPr="00891E2C">
        <w:rPr>
          <w:rFonts w:ascii="Arial" w:hAnsi="Arial" w:cs="Arial"/>
          <w:sz w:val="20"/>
          <w:szCs w:val="16"/>
        </w:rPr>
        <w:t>464FA</w:t>
      </w:r>
      <w:r w:rsidR="00891E2C" w:rsidRPr="00891E2C">
        <w:rPr>
          <w:rFonts w:ascii="Arial" w:hAnsi="Arial" w:cs="Arial"/>
          <w:b/>
          <w:bCs/>
          <w:sz w:val="20"/>
          <w:szCs w:val="16"/>
        </w:rPr>
        <w:t xml:space="preserve"> </w:t>
      </w:r>
      <w:r w:rsidR="00455C26" w:rsidRPr="00FD0640">
        <w:rPr>
          <w:rFonts w:ascii="Arial" w:hAnsi="Arial" w:cs="Arial"/>
          <w:color w:val="000000"/>
          <w:sz w:val="20"/>
        </w:rPr>
        <w:t xml:space="preserve">of the </w:t>
      </w:r>
      <w:r w:rsidR="00455C26" w:rsidRPr="00891E2C">
        <w:rPr>
          <w:rFonts w:ascii="Arial" w:hAnsi="Arial" w:cs="Arial"/>
          <w:i/>
          <w:iCs/>
          <w:color w:val="000000"/>
          <w:sz w:val="20"/>
        </w:rPr>
        <w:t>Crimes Act 1958 (Vic)</w:t>
      </w:r>
      <w:r w:rsidR="00455C26" w:rsidRPr="00FD0640">
        <w:rPr>
          <w:rFonts w:ascii="Arial" w:hAnsi="Arial" w:cs="Arial"/>
          <w:color w:val="000000"/>
          <w:sz w:val="20"/>
        </w:rPr>
        <w:t xml:space="preserve"> </w:t>
      </w:r>
      <w:r w:rsidR="00891E2C" w:rsidRPr="00891E2C">
        <w:rPr>
          <w:rFonts w:ascii="Arial" w:hAnsi="Arial" w:cs="Arial"/>
          <w:sz w:val="20"/>
          <w:szCs w:val="16"/>
        </w:rPr>
        <w:t>require</w:t>
      </w:r>
      <w:r w:rsidR="00891E2C">
        <w:rPr>
          <w:rFonts w:ascii="Arial" w:hAnsi="Arial" w:cs="Arial"/>
          <w:sz w:val="20"/>
          <w:szCs w:val="16"/>
        </w:rPr>
        <w:t>s</w:t>
      </w:r>
      <w:r w:rsidR="00891E2C" w:rsidRPr="00891E2C">
        <w:rPr>
          <w:rFonts w:ascii="Arial" w:hAnsi="Arial" w:cs="Arial"/>
          <w:sz w:val="20"/>
          <w:szCs w:val="16"/>
        </w:rPr>
        <w:t xml:space="preserve"> an investigating official to notify the Victorian Aboriginal Legal Service within one hour of a person being taken into custody or as soon as practicable thereafter if the person states that they are an Aboriginal person or a TSI or the official knows or is of the opinion that the person is an Aboriginal person or a TSI.</w:t>
      </w:r>
    </w:p>
    <w:p w14:paraId="7D13C6DD" w14:textId="77777777" w:rsidR="00891E2C" w:rsidRPr="00FD0640" w:rsidRDefault="00891E2C">
      <w:pPr>
        <w:jc w:val="both"/>
        <w:rPr>
          <w:rFonts w:ascii="Arial" w:hAnsi="Arial" w:cs="Arial"/>
          <w:color w:val="000000"/>
          <w:sz w:val="20"/>
        </w:rPr>
      </w:pPr>
    </w:p>
    <w:p w14:paraId="5E07A1C5" w14:textId="77777777" w:rsidR="00EE5134" w:rsidRPr="00FD0640" w:rsidRDefault="00EE5134">
      <w:pPr>
        <w:pStyle w:val="Heading3"/>
        <w:keepNext/>
        <w:spacing w:after="80" w:line="240" w:lineRule="auto"/>
        <w:rPr>
          <w:rFonts w:ascii="Arial" w:hAnsi="Arial" w:cs="Arial"/>
          <w:b/>
          <w:bCs/>
          <w:color w:val="000000"/>
          <w:sz w:val="20"/>
        </w:rPr>
      </w:pPr>
      <w:bookmarkStart w:id="116" w:name="_8.2.3_Tape-recording_of"/>
      <w:bookmarkStart w:id="117" w:name="_Toc30691403"/>
      <w:bookmarkStart w:id="118" w:name="_Toc30691780"/>
      <w:bookmarkStart w:id="119" w:name="_Toc30692160"/>
      <w:bookmarkStart w:id="120" w:name="_Toc30692918"/>
      <w:bookmarkStart w:id="121" w:name="_Toc30693297"/>
      <w:bookmarkStart w:id="122" w:name="_Toc30693675"/>
      <w:bookmarkStart w:id="123" w:name="_Toc30694053"/>
      <w:bookmarkStart w:id="124" w:name="_Toc30694433"/>
      <w:bookmarkStart w:id="125" w:name="_Toc30699022"/>
      <w:bookmarkStart w:id="126" w:name="_Toc30699400"/>
      <w:bookmarkStart w:id="127" w:name="_Toc30699785"/>
      <w:bookmarkStart w:id="128" w:name="_Toc30700940"/>
      <w:bookmarkStart w:id="129" w:name="_Toc30701327"/>
      <w:bookmarkStart w:id="130" w:name="_Toc30743938"/>
      <w:bookmarkStart w:id="131" w:name="_Toc30754761"/>
      <w:bookmarkStart w:id="132" w:name="_Toc30757202"/>
      <w:bookmarkStart w:id="133" w:name="_Toc30757750"/>
      <w:bookmarkStart w:id="134" w:name="_Toc30758150"/>
      <w:bookmarkStart w:id="135" w:name="_Toc30762911"/>
      <w:bookmarkStart w:id="136" w:name="_Toc30767565"/>
      <w:bookmarkStart w:id="137" w:name="_Toc34823583"/>
      <w:bookmarkEnd w:id="116"/>
      <w:r w:rsidRPr="00FD0640">
        <w:rPr>
          <w:rFonts w:ascii="Arial" w:hAnsi="Arial" w:cs="Arial"/>
          <w:b/>
          <w:bCs/>
          <w:color w:val="000000"/>
          <w:sz w:val="20"/>
        </w:rPr>
        <w:t>8.2.3</w:t>
      </w:r>
      <w:r w:rsidRPr="00FD0640">
        <w:rPr>
          <w:rFonts w:ascii="Arial" w:hAnsi="Arial" w:cs="Arial"/>
          <w:b/>
          <w:bCs/>
          <w:color w:val="000000"/>
          <w:sz w:val="20"/>
        </w:rPr>
        <w:tab/>
        <w:t>Tape-recording of confessions and admissions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5D5E552" w14:textId="77777777" w:rsidR="00EE5134" w:rsidRPr="00FD0640" w:rsidRDefault="00EE5134">
      <w:pPr>
        <w:jc w:val="both"/>
        <w:rPr>
          <w:rFonts w:ascii="Arial" w:hAnsi="Arial" w:cs="Arial"/>
          <w:color w:val="000000"/>
          <w:sz w:val="20"/>
        </w:rPr>
      </w:pPr>
      <w:r w:rsidRPr="00FD0640">
        <w:rPr>
          <w:rFonts w:ascii="Arial" w:hAnsi="Arial" w:cs="Arial"/>
          <w:color w:val="000000"/>
          <w:sz w:val="20"/>
        </w:rPr>
        <w:t>This is generally mandatory for an indictable offence and is regulated by s.464H.  Section 464H(1) provides that, subject to the exceptional exceptions in s.464H(2), evidence of a confession or admission made to an investigating official by a person who-</w:t>
      </w:r>
    </w:p>
    <w:p w14:paraId="59CB6410"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was suspected; or</w:t>
      </w:r>
    </w:p>
    <w:p w14:paraId="6ACA9B84" w14:textId="279F8F24"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ought reasonably to have been suspected</w:t>
      </w:r>
      <w:r w:rsidR="00540D9B">
        <w:rPr>
          <w:rFonts w:ascii="Arial" w:hAnsi="Arial" w:cs="Arial"/>
          <w:color w:val="000000"/>
          <w:sz w:val="20"/>
        </w:rPr>
        <w:t>–</w:t>
      </w:r>
    </w:p>
    <w:p w14:paraId="79BD11C2" w14:textId="77777777" w:rsidR="00EE5134" w:rsidRPr="00FD0640" w:rsidRDefault="00EE5134">
      <w:pPr>
        <w:jc w:val="both"/>
        <w:rPr>
          <w:rFonts w:ascii="Arial" w:hAnsi="Arial" w:cs="Arial"/>
          <w:color w:val="000000"/>
          <w:sz w:val="20"/>
        </w:rPr>
      </w:pPr>
      <w:r w:rsidRPr="00FD0640">
        <w:rPr>
          <w:rFonts w:ascii="Arial" w:hAnsi="Arial" w:cs="Arial"/>
          <w:color w:val="000000"/>
          <w:sz w:val="20"/>
        </w:rPr>
        <w:t>of having committed an offence is inadmissible against the person in proceedings for an indictable offence unless if the confession or admission was made-</w:t>
      </w:r>
    </w:p>
    <w:p w14:paraId="655F3496" w14:textId="77777777" w:rsidR="00EE5134" w:rsidRPr="00FD0640" w:rsidRDefault="00EE5134" w:rsidP="00455C26">
      <w:pPr>
        <w:ind w:left="363" w:hanging="363"/>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before the commencement of questioning, it was tape-recorded or its substance was confirmed by the person and the confirmation was tape-recorded; or</w:t>
      </w:r>
    </w:p>
    <w:p w14:paraId="10715B1A"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during questioning at a place where facilities were available to conduct an interview, the questioning and anything said by the person was tape-recorded; or</w:t>
      </w:r>
    </w:p>
    <w:p w14:paraId="67C0AA8B"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during questioning at a place where facilities were not available to conduct an interview, the questioning and anything said by the person was tape-recorded or the substance of the confession or admission was confirmed by the person and confirmation was tape-recorded; or</w:t>
      </w:r>
    </w:p>
    <w:p w14:paraId="655B75E1"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lastRenderedPageBreak/>
        <w:t>(f)</w:t>
      </w:r>
      <w:r w:rsidRPr="00FD0640">
        <w:rPr>
          <w:rFonts w:ascii="Arial" w:hAnsi="Arial" w:cs="Arial"/>
          <w:color w:val="000000"/>
          <w:sz w:val="20"/>
        </w:rPr>
        <w:tab/>
        <w:t>during questioning in accordance with an order made under s.464B(5), the questioning and anything said by the person was video-recorded-</w:t>
      </w:r>
    </w:p>
    <w:p w14:paraId="00C61B59"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and the tape-recording or video-recording is available to be tendered in evidence.</w:t>
      </w:r>
    </w:p>
    <w:p w14:paraId="4B13DA4E" w14:textId="77777777" w:rsidR="00EB08FF" w:rsidRPr="00FD0640" w:rsidRDefault="00EB08FF">
      <w:pPr>
        <w:jc w:val="both"/>
        <w:rPr>
          <w:rFonts w:ascii="Arial" w:hAnsi="Arial" w:cs="Arial"/>
          <w:color w:val="000000"/>
          <w:sz w:val="20"/>
        </w:rPr>
      </w:pPr>
    </w:p>
    <w:p w14:paraId="53AACC49" w14:textId="5D0EEE8C" w:rsidR="00EE5134" w:rsidRPr="00FD0640" w:rsidRDefault="00EE5134">
      <w:pPr>
        <w:pStyle w:val="Heading3"/>
        <w:keepNext/>
        <w:spacing w:after="80" w:line="240" w:lineRule="auto"/>
        <w:rPr>
          <w:rFonts w:ascii="Arial" w:hAnsi="Arial" w:cs="Arial"/>
          <w:b/>
          <w:bCs/>
          <w:color w:val="000000"/>
          <w:sz w:val="20"/>
        </w:rPr>
      </w:pPr>
      <w:bookmarkStart w:id="138" w:name="_8.2.4_Whether_the"/>
      <w:bookmarkStart w:id="139" w:name="_Toc30691404"/>
      <w:bookmarkStart w:id="140" w:name="_Toc30691781"/>
      <w:bookmarkStart w:id="141" w:name="_Toc30692161"/>
      <w:bookmarkStart w:id="142" w:name="_Toc30692919"/>
      <w:bookmarkStart w:id="143" w:name="_Toc30693298"/>
      <w:bookmarkStart w:id="144" w:name="_Toc30693676"/>
      <w:bookmarkStart w:id="145" w:name="_Toc30694054"/>
      <w:bookmarkStart w:id="146" w:name="_Toc30694434"/>
      <w:bookmarkStart w:id="147" w:name="_Toc30699023"/>
      <w:bookmarkStart w:id="148" w:name="_Toc30699401"/>
      <w:bookmarkStart w:id="149" w:name="_Toc30699786"/>
      <w:bookmarkStart w:id="150" w:name="_Toc30700941"/>
      <w:bookmarkStart w:id="151" w:name="_Toc30701328"/>
      <w:bookmarkStart w:id="152" w:name="_Toc30743939"/>
      <w:bookmarkStart w:id="153" w:name="_Toc30754762"/>
      <w:bookmarkStart w:id="154" w:name="_Toc30757203"/>
      <w:bookmarkStart w:id="155" w:name="_Toc30757751"/>
      <w:bookmarkStart w:id="156" w:name="_Toc30758151"/>
      <w:bookmarkStart w:id="157" w:name="_Toc30762912"/>
      <w:bookmarkStart w:id="158" w:name="_Toc30767566"/>
      <w:bookmarkStart w:id="159" w:name="_Toc34823584"/>
      <w:bookmarkEnd w:id="138"/>
      <w:r w:rsidRPr="00FD0640">
        <w:rPr>
          <w:rFonts w:ascii="Arial" w:hAnsi="Arial" w:cs="Arial"/>
          <w:b/>
          <w:bCs/>
          <w:color w:val="000000"/>
          <w:sz w:val="20"/>
        </w:rPr>
        <w:t>8.2.4</w:t>
      </w:r>
      <w:hyperlink w:anchor="_8.2.4_Whether_the" w:history="1">
        <w:r w:rsidR="00624FD8">
          <w:rPr>
            <w:rFonts w:ascii="Arial" w:hAnsi="Arial" w:cs="Arial"/>
            <w:b/>
            <w:color w:val="FFFFFF" w:themeColor="background1"/>
            <w:sz w:val="20"/>
            <w:szCs w:val="22"/>
            <w:shd w:val="clear" w:color="auto" w:fill="000000"/>
          </w:rPr>
          <w:t>A</w:t>
        </w:r>
        <w:r w:rsidR="00624FD8" w:rsidRPr="008F635B">
          <w:rPr>
            <w:rStyle w:val="Hyperlink"/>
            <w:rFonts w:ascii="Arial" w:hAnsi="Arial" w:cs="Arial"/>
            <w:b/>
            <w:bCs/>
            <w:color w:val="0000FF"/>
            <w:sz w:val="20"/>
            <w:u w:val="none"/>
          </w:rPr>
          <w:tab/>
        </w:r>
      </w:hyperlink>
      <w:r w:rsidRPr="00FD0640">
        <w:rPr>
          <w:rFonts w:ascii="Arial" w:hAnsi="Arial" w:cs="Arial"/>
          <w:b/>
          <w:bCs/>
          <w:color w:val="000000"/>
          <w:sz w:val="20"/>
        </w:rPr>
        <w:t>Whether the person in custody is a 'suspect'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A6BEBAD" w14:textId="26A50CA2" w:rsidR="00EE5134" w:rsidRDefault="00EE5134">
      <w:pPr>
        <w:jc w:val="both"/>
        <w:rPr>
          <w:rFonts w:ascii="Arial" w:hAnsi="Arial" w:cs="Arial"/>
          <w:sz w:val="20"/>
        </w:rPr>
      </w:pPr>
      <w:r w:rsidRPr="00FD0640">
        <w:rPr>
          <w:rFonts w:ascii="Arial" w:hAnsi="Arial" w:cs="Arial"/>
          <w:color w:val="000000"/>
          <w:sz w:val="20"/>
        </w:rPr>
        <w:t>The question of whether or not a person in custody is a 'suspect' for the purposes of ss.464</w:t>
      </w:r>
      <w:proofErr w:type="gramStart"/>
      <w:r w:rsidRPr="00FD0640">
        <w:rPr>
          <w:rFonts w:ascii="Arial" w:hAnsi="Arial" w:cs="Arial"/>
          <w:color w:val="000000"/>
          <w:sz w:val="20"/>
        </w:rPr>
        <w:t>H(</w:t>
      </w:r>
      <w:proofErr w:type="gramEnd"/>
      <w:r w:rsidRPr="00FD0640">
        <w:rPr>
          <w:rFonts w:ascii="Arial" w:hAnsi="Arial" w:cs="Arial"/>
          <w:color w:val="000000"/>
          <w:sz w:val="20"/>
        </w:rPr>
        <w:t xml:space="preserve">1) </w:t>
      </w:r>
      <w:r w:rsidR="00540D9B">
        <w:rPr>
          <w:rFonts w:ascii="Arial" w:hAnsi="Arial" w:cs="Arial"/>
          <w:color w:val="000000"/>
          <w:sz w:val="20"/>
        </w:rPr>
        <w:t>–</w:t>
      </w:r>
      <w:r w:rsidRPr="00FD0640">
        <w:rPr>
          <w:rFonts w:ascii="Arial" w:hAnsi="Arial" w:cs="Arial"/>
          <w:color w:val="000000"/>
          <w:sz w:val="20"/>
        </w:rPr>
        <w:t xml:space="preserve"> and</w:t>
      </w:r>
      <w:r w:rsidR="00540D9B">
        <w:rPr>
          <w:rFonts w:ascii="Arial" w:hAnsi="Arial" w:cs="Arial"/>
          <w:color w:val="000000"/>
          <w:sz w:val="20"/>
        </w:rPr>
        <w:t xml:space="preserve"> </w:t>
      </w:r>
      <w:r w:rsidRPr="00FD0640">
        <w:rPr>
          <w:rFonts w:ascii="Arial" w:hAnsi="Arial" w:cs="Arial"/>
          <w:color w:val="000000"/>
          <w:sz w:val="20"/>
        </w:rPr>
        <w:t>thus of</w:t>
      </w:r>
      <w:r>
        <w:rPr>
          <w:rFonts w:ascii="Arial" w:hAnsi="Arial" w:cs="Arial"/>
          <w:sz w:val="20"/>
        </w:rPr>
        <w:t xml:space="preserve"> 464</w:t>
      </w:r>
      <w:proofErr w:type="gramStart"/>
      <w:r>
        <w:rPr>
          <w:rFonts w:ascii="Arial" w:hAnsi="Arial" w:cs="Arial"/>
          <w:sz w:val="20"/>
        </w:rPr>
        <w:t>A(</w:t>
      </w:r>
      <w:proofErr w:type="gramEnd"/>
      <w:r>
        <w:rPr>
          <w:rFonts w:ascii="Arial" w:hAnsi="Arial" w:cs="Arial"/>
          <w:sz w:val="20"/>
        </w:rPr>
        <w:t xml:space="preserve">2) </w:t>
      </w:r>
      <w:r w:rsidR="00285A4A">
        <w:rPr>
          <w:rFonts w:ascii="Arial" w:hAnsi="Arial" w:cs="Arial"/>
          <w:sz w:val="20"/>
        </w:rPr>
        <w:t>–</w:t>
      </w:r>
      <w:r>
        <w:rPr>
          <w:rFonts w:ascii="Arial" w:hAnsi="Arial" w:cs="Arial"/>
          <w:sz w:val="20"/>
        </w:rPr>
        <w:t xml:space="preserve"> was</w:t>
      </w:r>
      <w:r w:rsidR="00285A4A">
        <w:rPr>
          <w:rFonts w:ascii="Arial" w:hAnsi="Arial" w:cs="Arial"/>
          <w:sz w:val="20"/>
        </w:rPr>
        <w:t xml:space="preserve"> </w:t>
      </w:r>
      <w:r>
        <w:rPr>
          <w:rFonts w:ascii="Arial" w:hAnsi="Arial" w:cs="Arial"/>
          <w:sz w:val="20"/>
        </w:rPr>
        <w:t xml:space="preserve">discussed in detail by the Court of Criminal Appeal in </w:t>
      </w:r>
      <w:r>
        <w:rPr>
          <w:rFonts w:ascii="Arial" w:hAnsi="Arial" w:cs="Arial"/>
          <w:i/>
          <w:iCs/>
          <w:sz w:val="20"/>
        </w:rPr>
        <w:t>R v Heaney</w:t>
      </w:r>
      <w:r>
        <w:rPr>
          <w:rFonts w:ascii="Arial" w:hAnsi="Arial" w:cs="Arial"/>
          <w:sz w:val="20"/>
        </w:rPr>
        <w:t xml:space="preserve"> [1992] 2 VR 531 at 547-8:</w:t>
      </w:r>
    </w:p>
    <w:p w14:paraId="793D3FE9" w14:textId="0AAB342D" w:rsidR="00EE5134" w:rsidRDefault="00EE5134" w:rsidP="00D96967">
      <w:pPr>
        <w:spacing w:before="60"/>
        <w:ind w:left="567" w:right="567"/>
        <w:jc w:val="both"/>
        <w:rPr>
          <w:rFonts w:ascii="Arial" w:hAnsi="Arial" w:cs="Arial"/>
          <w:sz w:val="20"/>
        </w:rPr>
      </w:pPr>
      <w:r>
        <w:rPr>
          <w:rFonts w:ascii="Arial" w:hAnsi="Arial" w:cs="Arial"/>
          <w:sz w:val="20"/>
        </w:rPr>
        <w:t xml:space="preserve">"The question of the meaning of the words 'a person who was suspected or ought reasonably to have been suspected' was considered by the [trial] judge. His Honour considered </w:t>
      </w:r>
      <w:r>
        <w:rPr>
          <w:rFonts w:ascii="Arial" w:hAnsi="Arial" w:cs="Arial"/>
          <w:i/>
          <w:iCs/>
          <w:sz w:val="20"/>
        </w:rPr>
        <w:t>George v Rockett</w:t>
      </w:r>
      <w:r>
        <w:rPr>
          <w:rFonts w:ascii="Arial" w:hAnsi="Arial" w:cs="Arial"/>
          <w:sz w:val="20"/>
        </w:rPr>
        <w:t xml:space="preserve"> (1990) 83 ALR 485, </w:t>
      </w:r>
      <w:r>
        <w:rPr>
          <w:rFonts w:ascii="Arial" w:hAnsi="Arial" w:cs="Arial"/>
          <w:i/>
          <w:iCs/>
          <w:sz w:val="20"/>
        </w:rPr>
        <w:t>Walsh v Loughnan</w:t>
      </w:r>
      <w:r>
        <w:rPr>
          <w:rFonts w:ascii="Arial" w:hAnsi="Arial" w:cs="Arial"/>
          <w:sz w:val="20"/>
        </w:rPr>
        <w:t xml:space="preserve"> [1991] 2 VR 351 and a ruling given by Hampel J on </w:t>
      </w:r>
      <w:smartTag w:uri="urn:schemas-microsoft-com:office:smarttags" w:element="date">
        <w:smartTagPr>
          <w:attr w:name="Year" w:val="1990"/>
          <w:attr w:name="Day" w:val="27"/>
          <w:attr w:name="Month" w:val="3"/>
        </w:smartTagPr>
        <w:r>
          <w:rPr>
            <w:rFonts w:ascii="Arial" w:hAnsi="Arial" w:cs="Arial"/>
            <w:sz w:val="20"/>
          </w:rPr>
          <w:t>27/03/1990</w:t>
        </w:r>
      </w:smartTag>
      <w:r>
        <w:rPr>
          <w:rFonts w:ascii="Arial" w:hAnsi="Arial" w:cs="Arial"/>
          <w:sz w:val="20"/>
        </w:rPr>
        <w:t xml:space="preserve"> in </w:t>
      </w:r>
      <w:r>
        <w:rPr>
          <w:rFonts w:ascii="Arial" w:hAnsi="Arial" w:cs="Arial"/>
          <w:i/>
          <w:iCs/>
          <w:sz w:val="20"/>
        </w:rPr>
        <w:t>R v Redenbach and Ors.</w:t>
      </w:r>
      <w:r>
        <w:rPr>
          <w:rFonts w:ascii="Arial" w:hAnsi="Arial" w:cs="Arial"/>
          <w:sz w:val="20"/>
        </w:rPr>
        <w:t xml:space="preserve">  In</w:t>
      </w:r>
      <w:r w:rsidR="00540D9B">
        <w:rPr>
          <w:rFonts w:ascii="Arial" w:hAnsi="Arial" w:cs="Arial"/>
          <w:sz w:val="20"/>
        </w:rPr>
        <w:t> </w:t>
      </w:r>
      <w:r>
        <w:rPr>
          <w:rFonts w:ascii="Arial" w:hAnsi="Arial" w:cs="Arial"/>
          <w:i/>
          <w:iCs/>
          <w:sz w:val="20"/>
        </w:rPr>
        <w:t>Redenbach</w:t>
      </w:r>
      <w:r>
        <w:rPr>
          <w:rFonts w:ascii="Arial" w:hAnsi="Arial" w:cs="Arial"/>
          <w:sz w:val="20"/>
        </w:rPr>
        <w:t>, Hampel observed: '</w:t>
      </w:r>
    </w:p>
    <w:p w14:paraId="3DC9B559" w14:textId="77777777" w:rsidR="00EE5134" w:rsidRPr="00540D9B" w:rsidRDefault="00EE5134" w:rsidP="00540D9B">
      <w:pPr>
        <w:spacing w:before="60"/>
        <w:ind w:left="1134" w:right="1134"/>
        <w:jc w:val="both"/>
        <w:rPr>
          <w:rFonts w:ascii="Arial" w:hAnsi="Arial" w:cs="Arial"/>
          <w:sz w:val="18"/>
          <w:szCs w:val="22"/>
        </w:rPr>
      </w:pPr>
      <w:r w:rsidRPr="00540D9B">
        <w:rPr>
          <w:rFonts w:ascii="Arial" w:hAnsi="Arial" w:cs="Arial"/>
          <w:sz w:val="18"/>
          <w:szCs w:val="22"/>
        </w:rPr>
        <w:t xml:space="preserve">'I don’t think that for the purpose of categorizing a person as a suspect one has to go further than to take the view that there are circumstances which tend to arouse suspicion of complicity.  It doesn't have to be supported by objective direct evidence.  The Act seeks to protect persons who are suspected of committing certain offences from interrogation contrary to the provisions of [s.464H].  The whole purpose of this legislation is to ensure that if the person moves from the position of being a suspect to a position of being an accused, the Court has before it information in the form which renders </w:t>
      </w:r>
      <w:r w:rsidRPr="00540D9B">
        <w:rPr>
          <w:rFonts w:ascii="Arial" w:hAnsi="Arial" w:cs="Arial"/>
          <w:i/>
          <w:iCs/>
          <w:sz w:val="18"/>
          <w:szCs w:val="22"/>
        </w:rPr>
        <w:t>voir dires</w:t>
      </w:r>
      <w:r w:rsidRPr="00540D9B">
        <w:rPr>
          <w:rFonts w:ascii="Arial" w:hAnsi="Arial" w:cs="Arial"/>
          <w:sz w:val="18"/>
          <w:szCs w:val="22"/>
        </w:rPr>
        <w:t xml:space="preserve"> unnecessary in most cases.'</w:t>
      </w:r>
    </w:p>
    <w:p w14:paraId="7E3ED9CA" w14:textId="77777777" w:rsidR="00EE5134" w:rsidRDefault="00EE5134">
      <w:pPr>
        <w:spacing w:before="60"/>
        <w:ind w:left="567" w:right="567"/>
        <w:jc w:val="both"/>
        <w:rPr>
          <w:rFonts w:ascii="Arial" w:hAnsi="Arial" w:cs="Arial"/>
          <w:sz w:val="20"/>
        </w:rPr>
      </w:pPr>
      <w:r>
        <w:rPr>
          <w:rFonts w:ascii="Arial" w:hAnsi="Arial" w:cs="Arial"/>
          <w:sz w:val="20"/>
        </w:rPr>
        <w:t xml:space="preserve">In </w:t>
      </w:r>
      <w:r>
        <w:rPr>
          <w:rFonts w:ascii="Arial" w:hAnsi="Arial" w:cs="Arial"/>
          <w:i/>
          <w:iCs/>
          <w:sz w:val="20"/>
        </w:rPr>
        <w:t>George v Rockett</w:t>
      </w:r>
      <w:r>
        <w:rPr>
          <w:rFonts w:ascii="Arial" w:hAnsi="Arial" w:cs="Arial"/>
          <w:sz w:val="20"/>
        </w:rPr>
        <w:t xml:space="preserve"> the High Court, in drawing a distinction between 'suspicion and belief' as a state of mind, stated that 'it requires the existence of facts which are sufficient to induce that state of mind in a reasonable person', at p.488. </w:t>
      </w:r>
    </w:p>
    <w:p w14:paraId="4C361F01" w14:textId="77777777" w:rsidR="00EE5134" w:rsidRDefault="00EE5134">
      <w:pPr>
        <w:spacing w:before="60"/>
        <w:ind w:left="567" w:right="567"/>
        <w:jc w:val="both"/>
        <w:rPr>
          <w:rFonts w:ascii="Arial" w:hAnsi="Arial" w:cs="Arial"/>
          <w:sz w:val="20"/>
        </w:rPr>
      </w:pPr>
      <w:r>
        <w:rPr>
          <w:rFonts w:ascii="Arial" w:hAnsi="Arial" w:cs="Arial"/>
          <w:sz w:val="20"/>
        </w:rPr>
        <w:t xml:space="preserve">The distinction between suspicion and belief as a state of mind was analysed by Vincent J in </w:t>
      </w:r>
      <w:r>
        <w:rPr>
          <w:rFonts w:ascii="Arial" w:hAnsi="Arial" w:cs="Arial"/>
          <w:i/>
          <w:iCs/>
          <w:sz w:val="20"/>
        </w:rPr>
        <w:t>Walsh v Loughnan</w:t>
      </w:r>
      <w:r>
        <w:rPr>
          <w:rFonts w:ascii="Arial" w:hAnsi="Arial" w:cs="Arial"/>
          <w:sz w:val="20"/>
        </w:rPr>
        <w:t>, at pp.356-7: 'Although the creation of a suspicion requires a lesser factual basis than the creation of a belief, it must, nonetheless, be built upon some factual foundation.'</w:t>
      </w:r>
    </w:p>
    <w:p w14:paraId="535056AF" w14:textId="77777777" w:rsidR="00EE5134" w:rsidRDefault="00EE5134">
      <w:pPr>
        <w:spacing w:before="60"/>
        <w:ind w:left="567" w:right="567"/>
        <w:jc w:val="both"/>
        <w:rPr>
          <w:rFonts w:ascii="Arial" w:hAnsi="Arial" w:cs="Arial"/>
          <w:sz w:val="20"/>
        </w:rPr>
      </w:pPr>
      <w:r>
        <w:rPr>
          <w:rFonts w:ascii="Arial" w:hAnsi="Arial" w:cs="Arial"/>
          <w:sz w:val="20"/>
        </w:rPr>
        <w:t xml:space="preserve">In our opinion, that observation is plainly correct.  The section is not concerned with a state of mind founded upon speculation or 'mere idle wondering' (Kitto J in </w:t>
      </w:r>
      <w:r>
        <w:rPr>
          <w:rFonts w:ascii="Arial" w:hAnsi="Arial" w:cs="Arial"/>
          <w:i/>
          <w:iCs/>
          <w:sz w:val="20"/>
        </w:rPr>
        <w:t>Queensland Bacon Pty Ltd v Rees</w:t>
      </w:r>
      <w:r>
        <w:rPr>
          <w:rFonts w:ascii="Arial" w:hAnsi="Arial" w:cs="Arial"/>
          <w:sz w:val="20"/>
        </w:rPr>
        <w:t xml:space="preserve"> (1966) 115 CLR 266, at p.303) but is concerned with a state of mind arrived upon consideration of known facts out of which an apprehension that a person might possibly have committed an offence is created." '</w:t>
      </w:r>
    </w:p>
    <w:p w14:paraId="4C1A51F0" w14:textId="77777777" w:rsidR="00EE5134" w:rsidRDefault="00EE5134">
      <w:pPr>
        <w:jc w:val="both"/>
        <w:rPr>
          <w:rFonts w:ascii="Arial" w:hAnsi="Arial" w:cs="Arial"/>
          <w:sz w:val="20"/>
        </w:rPr>
      </w:pPr>
    </w:p>
    <w:p w14:paraId="28C64047" w14:textId="677609F1" w:rsidR="00EE5134" w:rsidRDefault="00EE5134" w:rsidP="00BC578C">
      <w:pPr>
        <w:jc w:val="both"/>
        <w:rPr>
          <w:rFonts w:ascii="Arial" w:hAnsi="Arial" w:cs="Arial"/>
          <w:sz w:val="20"/>
        </w:rPr>
      </w:pPr>
      <w:r>
        <w:rPr>
          <w:rFonts w:ascii="Arial" w:hAnsi="Arial" w:cs="Arial"/>
          <w:sz w:val="20"/>
        </w:rPr>
        <w:t xml:space="preserve">In </w:t>
      </w:r>
      <w:r>
        <w:rPr>
          <w:rFonts w:ascii="Arial" w:hAnsi="Arial" w:cs="Arial"/>
          <w:i/>
          <w:iCs/>
          <w:sz w:val="20"/>
        </w:rPr>
        <w:t>R v Alexander</w:t>
      </w:r>
      <w:r>
        <w:rPr>
          <w:rFonts w:ascii="Arial" w:hAnsi="Arial" w:cs="Arial"/>
          <w:sz w:val="20"/>
        </w:rPr>
        <w:t xml:space="preserve"> [1994] 2 VR 249 at 255-6 the Court of Criminal Appeal approved and applied the above dicta and held: "In the ebb and flow of preliminary enquiry, mere advertence of an investigating officer to the possibility of a person having committed an offence falls far short of the purview of s.464H(1)(a) and (b)." See also </w:t>
      </w:r>
      <w:r>
        <w:rPr>
          <w:rFonts w:ascii="Arial" w:hAnsi="Arial" w:cs="Arial"/>
          <w:i/>
          <w:iCs/>
          <w:sz w:val="20"/>
        </w:rPr>
        <w:t>Pollard v R</w:t>
      </w:r>
      <w:r>
        <w:rPr>
          <w:rFonts w:ascii="Arial" w:hAnsi="Arial" w:cs="Arial"/>
          <w:sz w:val="20"/>
        </w:rPr>
        <w:t xml:space="preserve"> (1992) 176 CLR 177 discussed below.</w:t>
      </w:r>
      <w:r w:rsidR="009E5D5B">
        <w:rPr>
          <w:rFonts w:ascii="Arial" w:hAnsi="Arial" w:cs="Arial"/>
          <w:sz w:val="20"/>
        </w:rPr>
        <w:t xml:space="preserve"> See </w:t>
      </w:r>
      <w:r w:rsidR="009E5D5B" w:rsidRPr="009E5D5B">
        <w:rPr>
          <w:rFonts w:ascii="Arial" w:hAnsi="Arial" w:cs="Arial"/>
          <w:i/>
          <w:sz w:val="20"/>
        </w:rPr>
        <w:t>R v Cuong Quoc Lam &amp; Ors</w:t>
      </w:r>
      <w:r w:rsidR="009E5D5B">
        <w:rPr>
          <w:rFonts w:ascii="Arial" w:hAnsi="Arial" w:cs="Arial"/>
          <w:sz w:val="20"/>
        </w:rPr>
        <w:t xml:space="preserve"> [2004] VSC 469 </w:t>
      </w:r>
      <w:r w:rsidR="00461B92">
        <w:rPr>
          <w:rFonts w:ascii="Arial" w:hAnsi="Arial" w:cs="Arial"/>
          <w:sz w:val="20"/>
        </w:rPr>
        <w:t xml:space="preserve">and </w:t>
      </w:r>
      <w:r w:rsidR="00461B92" w:rsidRPr="00461B92">
        <w:rPr>
          <w:rFonts w:ascii="Arial" w:hAnsi="Arial" w:cs="Arial"/>
          <w:i/>
          <w:sz w:val="20"/>
        </w:rPr>
        <w:t>R v Laracy</w:t>
      </w:r>
      <w:r w:rsidR="00461B92">
        <w:rPr>
          <w:rFonts w:ascii="Arial" w:hAnsi="Arial" w:cs="Arial"/>
          <w:sz w:val="20"/>
        </w:rPr>
        <w:t xml:space="preserve"> [2007] VSC 19 for </w:t>
      </w:r>
      <w:r w:rsidR="009E5D5B">
        <w:rPr>
          <w:rFonts w:ascii="Arial" w:hAnsi="Arial" w:cs="Arial"/>
          <w:sz w:val="20"/>
        </w:rPr>
        <w:t>instance</w:t>
      </w:r>
      <w:r w:rsidR="00461B92">
        <w:rPr>
          <w:rFonts w:ascii="Arial" w:hAnsi="Arial" w:cs="Arial"/>
          <w:sz w:val="20"/>
        </w:rPr>
        <w:t xml:space="preserve">s of </w:t>
      </w:r>
      <w:r w:rsidR="009E5D5B">
        <w:rPr>
          <w:rFonts w:ascii="Arial" w:hAnsi="Arial" w:cs="Arial"/>
          <w:sz w:val="20"/>
        </w:rPr>
        <w:t>case</w:t>
      </w:r>
      <w:r w:rsidR="00461B92">
        <w:rPr>
          <w:rFonts w:ascii="Arial" w:hAnsi="Arial" w:cs="Arial"/>
          <w:sz w:val="20"/>
        </w:rPr>
        <w:t>s</w:t>
      </w:r>
      <w:r w:rsidR="009E5D5B">
        <w:rPr>
          <w:rFonts w:ascii="Arial" w:hAnsi="Arial" w:cs="Arial"/>
          <w:sz w:val="20"/>
        </w:rPr>
        <w:t xml:space="preserve"> in which the accused was a witness, not a suspect, at the time</w:t>
      </w:r>
      <w:r w:rsidR="00461B92">
        <w:rPr>
          <w:rFonts w:ascii="Arial" w:hAnsi="Arial" w:cs="Arial"/>
          <w:sz w:val="20"/>
        </w:rPr>
        <w:t xml:space="preserve"> a statement was taken.</w:t>
      </w:r>
    </w:p>
    <w:p w14:paraId="2C53E1A0" w14:textId="77777777" w:rsidR="00BC578C" w:rsidRDefault="00BC578C" w:rsidP="00BC578C">
      <w:pPr>
        <w:jc w:val="both"/>
        <w:rPr>
          <w:rFonts w:ascii="Arial" w:hAnsi="Arial" w:cs="Arial"/>
          <w:sz w:val="20"/>
        </w:rPr>
      </w:pPr>
    </w:p>
    <w:p w14:paraId="784E05D5" w14:textId="3898AB6C" w:rsidR="00624FD8" w:rsidRPr="00FD0640" w:rsidRDefault="00624FD8" w:rsidP="00624FD8">
      <w:pPr>
        <w:pStyle w:val="Heading3"/>
        <w:keepNext/>
        <w:spacing w:after="80" w:line="240" w:lineRule="auto"/>
        <w:rPr>
          <w:rFonts w:ascii="Arial" w:hAnsi="Arial" w:cs="Arial"/>
          <w:b/>
          <w:bCs/>
          <w:color w:val="000000"/>
          <w:sz w:val="20"/>
        </w:rPr>
      </w:pPr>
      <w:bookmarkStart w:id="160" w:name="_8.2.4B_Whether_the"/>
      <w:bookmarkEnd w:id="160"/>
      <w:r w:rsidRPr="00FD0640">
        <w:rPr>
          <w:rFonts w:ascii="Arial" w:hAnsi="Arial" w:cs="Arial"/>
          <w:b/>
          <w:bCs/>
          <w:color w:val="000000"/>
          <w:sz w:val="20"/>
        </w:rPr>
        <w:t>8.2.4</w:t>
      </w:r>
      <w:hyperlink w:anchor="_8.2.4_Whether_the" w:history="1">
        <w:r>
          <w:rPr>
            <w:rFonts w:ascii="Arial" w:hAnsi="Arial" w:cs="Arial"/>
            <w:b/>
            <w:color w:val="FFFFFF" w:themeColor="background1"/>
            <w:sz w:val="20"/>
            <w:szCs w:val="22"/>
            <w:shd w:val="clear" w:color="auto" w:fill="000000"/>
          </w:rPr>
          <w:t>B</w:t>
        </w:r>
        <w:r w:rsidRPr="008F635B">
          <w:rPr>
            <w:rStyle w:val="Hyperlink"/>
            <w:rFonts w:ascii="Arial" w:hAnsi="Arial" w:cs="Arial"/>
            <w:b/>
            <w:bCs/>
            <w:color w:val="0000FF"/>
            <w:sz w:val="20"/>
            <w:u w:val="none"/>
          </w:rPr>
          <w:tab/>
        </w:r>
      </w:hyperlink>
      <w:r w:rsidRPr="00FD0640">
        <w:rPr>
          <w:rFonts w:ascii="Arial" w:hAnsi="Arial" w:cs="Arial"/>
          <w:b/>
          <w:bCs/>
          <w:color w:val="000000"/>
          <w:sz w:val="20"/>
        </w:rPr>
        <w:t xml:space="preserve">Whether the person </w:t>
      </w:r>
      <w:r>
        <w:rPr>
          <w:rFonts w:ascii="Arial" w:hAnsi="Arial" w:cs="Arial"/>
          <w:b/>
          <w:bCs/>
          <w:color w:val="000000"/>
          <w:sz w:val="20"/>
        </w:rPr>
        <w:t>questioned is ‘</w:t>
      </w:r>
      <w:r w:rsidRPr="00FD0640">
        <w:rPr>
          <w:rFonts w:ascii="Arial" w:hAnsi="Arial" w:cs="Arial"/>
          <w:b/>
          <w:bCs/>
          <w:color w:val="000000"/>
          <w:sz w:val="20"/>
        </w:rPr>
        <w:t>in custody</w:t>
      </w:r>
      <w:r>
        <w:rPr>
          <w:rFonts w:ascii="Arial" w:hAnsi="Arial" w:cs="Arial"/>
          <w:b/>
          <w:bCs/>
          <w:color w:val="000000"/>
          <w:sz w:val="20"/>
        </w:rPr>
        <w:t>’</w:t>
      </w:r>
    </w:p>
    <w:p w14:paraId="0910E314" w14:textId="5B62DB13" w:rsidR="00BC578C" w:rsidRDefault="00A54D88" w:rsidP="00BC578C">
      <w:pPr>
        <w:jc w:val="both"/>
        <w:rPr>
          <w:rFonts w:ascii="Arial" w:hAnsi="Arial" w:cs="Arial"/>
          <w:sz w:val="20"/>
        </w:rPr>
      </w:pPr>
      <w:r>
        <w:rPr>
          <w:rFonts w:ascii="Arial" w:hAnsi="Arial" w:cs="Arial"/>
          <w:sz w:val="20"/>
        </w:rPr>
        <w:t>R</w:t>
      </w:r>
      <w:r w:rsidR="00CD1E27">
        <w:rPr>
          <w:rFonts w:ascii="Arial" w:hAnsi="Arial" w:cs="Arial"/>
          <w:sz w:val="20"/>
        </w:rPr>
        <w:t xml:space="preserve">elated to the </w:t>
      </w:r>
      <w:r w:rsidR="0056589B">
        <w:rPr>
          <w:rFonts w:ascii="Arial" w:hAnsi="Arial" w:cs="Arial"/>
          <w:sz w:val="20"/>
        </w:rPr>
        <w:t>issue discussed in section 8.2.4</w:t>
      </w:r>
      <w:r w:rsidR="0056589B" w:rsidRPr="0056589B">
        <w:rPr>
          <w:rFonts w:ascii="Arial" w:hAnsi="Arial" w:cs="Arial"/>
          <w:b/>
          <w:bCs/>
          <w:sz w:val="20"/>
          <w:shd w:val="clear" w:color="auto" w:fill="000000" w:themeFill="text1"/>
        </w:rPr>
        <w:t>A</w:t>
      </w:r>
      <w:r w:rsidR="0056589B" w:rsidRPr="0056589B">
        <w:t xml:space="preserve"> </w:t>
      </w:r>
      <w:r w:rsidR="00CD1E27">
        <w:rPr>
          <w:rFonts w:ascii="Arial" w:hAnsi="Arial" w:cs="Arial"/>
          <w:sz w:val="20"/>
        </w:rPr>
        <w:t xml:space="preserve">whether a person in custody is a ‘suspect’ is whether the person questioned is actually ‘in custody’. </w:t>
      </w:r>
      <w:r w:rsidR="00BC578C">
        <w:rPr>
          <w:rFonts w:ascii="Arial" w:hAnsi="Arial" w:cs="Arial"/>
          <w:sz w:val="20"/>
        </w:rPr>
        <w:t xml:space="preserve">In </w:t>
      </w:r>
      <w:proofErr w:type="spellStart"/>
      <w:r w:rsidR="00BC578C" w:rsidRPr="00BC578C">
        <w:rPr>
          <w:rFonts w:ascii="Arial" w:hAnsi="Arial" w:cs="Arial"/>
          <w:i/>
          <w:iCs/>
          <w:sz w:val="20"/>
        </w:rPr>
        <w:t>Dastmodz</w:t>
      </w:r>
      <w:proofErr w:type="spellEnd"/>
      <w:r w:rsidR="00BC578C" w:rsidRPr="00BC578C">
        <w:rPr>
          <w:rFonts w:ascii="Arial" w:hAnsi="Arial" w:cs="Arial"/>
          <w:i/>
          <w:iCs/>
          <w:sz w:val="20"/>
        </w:rPr>
        <w:t xml:space="preserve"> v The King</w:t>
      </w:r>
      <w:r w:rsidR="00BC578C">
        <w:rPr>
          <w:rFonts w:ascii="Arial" w:hAnsi="Arial" w:cs="Arial"/>
          <w:sz w:val="20"/>
        </w:rPr>
        <w:t xml:space="preserve"> [2025] VSCA 138 </w:t>
      </w:r>
      <w:r w:rsidR="00DD4FB9">
        <w:rPr>
          <w:rFonts w:ascii="Arial" w:hAnsi="Arial" w:cs="Arial"/>
          <w:sz w:val="20"/>
        </w:rPr>
        <w:t xml:space="preserve">in the first 20 seconds after arriving </w:t>
      </w:r>
      <w:r w:rsidR="00BC578C">
        <w:rPr>
          <w:rFonts w:ascii="Arial" w:hAnsi="Arial" w:cs="Arial"/>
          <w:sz w:val="20"/>
        </w:rPr>
        <w:t xml:space="preserve">police told the applicant to get on the ground and asked whether he had stabbed the complainant before cautioning him. Police had </w:t>
      </w:r>
      <w:r w:rsidR="00D96967">
        <w:rPr>
          <w:rFonts w:ascii="Arial" w:hAnsi="Arial" w:cs="Arial"/>
          <w:sz w:val="20"/>
        </w:rPr>
        <w:t xml:space="preserve">then </w:t>
      </w:r>
      <w:r w:rsidR="00BC578C">
        <w:rPr>
          <w:rFonts w:ascii="Arial" w:hAnsi="Arial" w:cs="Arial"/>
          <w:sz w:val="20"/>
        </w:rPr>
        <w:t xml:space="preserve">formally arrested the applicant after he made admissions. </w:t>
      </w:r>
      <w:r w:rsidR="00A41814" w:rsidRPr="00BC578C">
        <w:rPr>
          <w:rFonts w:ascii="Arial" w:hAnsi="Arial" w:cs="Arial"/>
          <w:sz w:val="20"/>
        </w:rPr>
        <w:t>Ground 1 concerned whether the applicant’s admission that he stabbed Mr</w:t>
      </w:r>
      <w:r w:rsidR="003A34B0">
        <w:rPr>
          <w:rFonts w:ascii="Arial" w:hAnsi="Arial" w:cs="Arial"/>
          <w:sz w:val="20"/>
        </w:rPr>
        <w:t> </w:t>
      </w:r>
      <w:r w:rsidR="00A41814" w:rsidRPr="00BC578C">
        <w:rPr>
          <w:rFonts w:ascii="Arial" w:hAnsi="Arial" w:cs="Arial"/>
          <w:sz w:val="20"/>
        </w:rPr>
        <w:t>Nejad ought to have been excluded. Th</w:t>
      </w:r>
      <w:r w:rsidR="0056589B">
        <w:rPr>
          <w:rFonts w:ascii="Arial" w:hAnsi="Arial" w:cs="Arial"/>
          <w:sz w:val="20"/>
        </w:rPr>
        <w:t>e</w:t>
      </w:r>
      <w:r w:rsidR="00A41814" w:rsidRPr="00BC578C">
        <w:rPr>
          <w:rFonts w:ascii="Arial" w:hAnsi="Arial" w:cs="Arial"/>
          <w:sz w:val="20"/>
        </w:rPr>
        <w:t xml:space="preserve"> argument turned on whether th</w:t>
      </w:r>
      <w:r w:rsidR="00624FD8">
        <w:rPr>
          <w:rFonts w:ascii="Arial" w:hAnsi="Arial" w:cs="Arial"/>
          <w:sz w:val="20"/>
        </w:rPr>
        <w:t>is</w:t>
      </w:r>
      <w:r w:rsidR="00A41814" w:rsidRPr="00BC578C">
        <w:rPr>
          <w:rFonts w:ascii="Arial" w:hAnsi="Arial" w:cs="Arial"/>
          <w:sz w:val="20"/>
        </w:rPr>
        <w:t xml:space="preserve"> evidence had been obtained improperly or in contravention of an Australian law, contrary to section 138(1)(a) of the </w:t>
      </w:r>
      <w:r w:rsidR="00A41814" w:rsidRPr="006E5820">
        <w:rPr>
          <w:rFonts w:ascii="Arial" w:hAnsi="Arial" w:cs="Arial"/>
          <w:i/>
          <w:iCs/>
          <w:sz w:val="20"/>
        </w:rPr>
        <w:t>Evidence Act</w:t>
      </w:r>
      <w:r w:rsidR="00A41814" w:rsidRPr="00BC578C">
        <w:rPr>
          <w:rFonts w:ascii="Arial" w:hAnsi="Arial" w:cs="Arial"/>
          <w:sz w:val="20"/>
        </w:rPr>
        <w:t>.</w:t>
      </w:r>
      <w:r w:rsidR="00A41814">
        <w:rPr>
          <w:rFonts w:ascii="Arial" w:hAnsi="Arial" w:cs="Arial"/>
          <w:sz w:val="20"/>
        </w:rPr>
        <w:t xml:space="preserve"> </w:t>
      </w:r>
      <w:r w:rsidR="00BC578C">
        <w:rPr>
          <w:rFonts w:ascii="Arial" w:hAnsi="Arial" w:cs="Arial"/>
          <w:sz w:val="20"/>
        </w:rPr>
        <w:t xml:space="preserve">The Court of Appeal granted leave to appeal but dismissed the appeal, applying dicta from </w:t>
      </w:r>
      <w:r w:rsidR="00BC578C" w:rsidRPr="00BC578C">
        <w:rPr>
          <w:rFonts w:ascii="Arial" w:hAnsi="Arial" w:cs="Arial"/>
          <w:i/>
          <w:iCs/>
          <w:sz w:val="20"/>
        </w:rPr>
        <w:t>George v Rockett</w:t>
      </w:r>
      <w:r w:rsidR="00BC578C" w:rsidRPr="00BC578C">
        <w:rPr>
          <w:rFonts w:ascii="Arial" w:hAnsi="Arial" w:cs="Arial"/>
          <w:sz w:val="20"/>
        </w:rPr>
        <w:t xml:space="preserve"> (1990) 170 CLR 104</w:t>
      </w:r>
      <w:r w:rsidR="00BC578C">
        <w:rPr>
          <w:rFonts w:ascii="Arial" w:hAnsi="Arial" w:cs="Arial"/>
          <w:sz w:val="20"/>
        </w:rPr>
        <w:t xml:space="preserve"> and distinguishing </w:t>
      </w:r>
      <w:r w:rsidR="00BC578C" w:rsidRPr="00BC578C">
        <w:rPr>
          <w:rFonts w:ascii="Arial" w:hAnsi="Arial" w:cs="Arial"/>
          <w:i/>
          <w:iCs/>
          <w:sz w:val="20"/>
        </w:rPr>
        <w:t>Severino v The King</w:t>
      </w:r>
      <w:r w:rsidR="00BC578C" w:rsidRPr="00BC578C">
        <w:rPr>
          <w:rFonts w:ascii="Arial" w:hAnsi="Arial" w:cs="Arial"/>
          <w:sz w:val="20"/>
        </w:rPr>
        <w:t xml:space="preserve"> [2017] NSWCCA 80</w:t>
      </w:r>
      <w:r w:rsidR="00BC578C">
        <w:rPr>
          <w:rFonts w:ascii="Arial" w:hAnsi="Arial" w:cs="Arial"/>
          <w:sz w:val="20"/>
        </w:rPr>
        <w:t xml:space="preserve">. At </w:t>
      </w:r>
      <w:r w:rsidR="003A34B0">
        <w:rPr>
          <w:rFonts w:ascii="Arial" w:hAnsi="Arial" w:cs="Arial"/>
          <w:sz w:val="20"/>
        </w:rPr>
        <w:t xml:space="preserve">[65]-[66] &amp; </w:t>
      </w:r>
      <w:r w:rsidR="00BC578C">
        <w:rPr>
          <w:rFonts w:ascii="Arial" w:hAnsi="Arial" w:cs="Arial"/>
          <w:sz w:val="20"/>
        </w:rPr>
        <w:t>[</w:t>
      </w:r>
      <w:r w:rsidR="00A41814">
        <w:rPr>
          <w:rFonts w:ascii="Arial" w:hAnsi="Arial" w:cs="Arial"/>
          <w:sz w:val="20"/>
        </w:rPr>
        <w:t>7</w:t>
      </w:r>
      <w:r w:rsidR="006E5820">
        <w:rPr>
          <w:rFonts w:ascii="Arial" w:hAnsi="Arial" w:cs="Arial"/>
          <w:sz w:val="20"/>
        </w:rPr>
        <w:t>4</w:t>
      </w:r>
      <w:r w:rsidR="00BC578C">
        <w:rPr>
          <w:rFonts w:ascii="Arial" w:hAnsi="Arial" w:cs="Arial"/>
          <w:sz w:val="20"/>
        </w:rPr>
        <w:t>]</w:t>
      </w:r>
      <w:r w:rsidR="00A41814">
        <w:rPr>
          <w:rFonts w:ascii="Arial" w:hAnsi="Arial" w:cs="Arial"/>
          <w:sz w:val="20"/>
        </w:rPr>
        <w:t>-[7</w:t>
      </w:r>
      <w:r w:rsidR="006E5820">
        <w:rPr>
          <w:rFonts w:ascii="Arial" w:hAnsi="Arial" w:cs="Arial"/>
          <w:sz w:val="20"/>
        </w:rPr>
        <w:t>5</w:t>
      </w:r>
      <w:r w:rsidR="00A41814">
        <w:rPr>
          <w:rFonts w:ascii="Arial" w:hAnsi="Arial" w:cs="Arial"/>
          <w:sz w:val="20"/>
        </w:rPr>
        <w:t>]</w:t>
      </w:r>
      <w:r w:rsidR="00BC578C">
        <w:rPr>
          <w:rFonts w:ascii="Arial" w:hAnsi="Arial" w:cs="Arial"/>
          <w:sz w:val="20"/>
        </w:rPr>
        <w:t xml:space="preserve"> Walker, Taylor &amp; Osborn JJA said: </w:t>
      </w:r>
    </w:p>
    <w:p w14:paraId="402C2295" w14:textId="6833A98F" w:rsidR="003A34B0" w:rsidRDefault="003A34B0" w:rsidP="00A41814">
      <w:pPr>
        <w:spacing w:before="60"/>
        <w:ind w:left="567" w:right="567"/>
        <w:jc w:val="both"/>
        <w:rPr>
          <w:rFonts w:ascii="Arial" w:hAnsi="Arial" w:cs="Arial"/>
          <w:sz w:val="20"/>
        </w:rPr>
      </w:pPr>
      <w:r>
        <w:rPr>
          <w:rFonts w:ascii="Arial" w:hAnsi="Arial" w:cs="Arial"/>
          <w:sz w:val="20"/>
        </w:rPr>
        <w:t xml:space="preserve">[65] </w:t>
      </w:r>
      <w:r w:rsidRPr="003A34B0">
        <w:rPr>
          <w:rFonts w:ascii="Arial" w:hAnsi="Arial" w:cs="Arial"/>
          <w:sz w:val="20"/>
        </w:rPr>
        <w:t>We do not consider that it is plausible to characterise what occurred in this 20</w:t>
      </w:r>
      <w:r w:rsidR="00615A9E">
        <w:rPr>
          <w:rFonts w:ascii="Arial" w:hAnsi="Arial" w:cs="Arial"/>
          <w:sz w:val="20"/>
        </w:rPr>
        <w:t> </w:t>
      </w:r>
      <w:r w:rsidRPr="003A34B0">
        <w:rPr>
          <w:rFonts w:ascii="Arial" w:hAnsi="Arial" w:cs="Arial"/>
          <w:sz w:val="20"/>
        </w:rPr>
        <w:t>second period as the applicant being ‘in the company of SC Kung for the purposes of questioning’. This was a volatile situation, where a stabbing had occurred, the weapon had not been recovered, members of the public could be at risk and the precise number of offenders was unknown. We infer from the evidence that SC Kung was seeking to locate the weapon and ensure the safety of members of the public, including by directing the applicant to get on the ground. His purpose at the relevant time was not directed at questioning the applicant, in the sense of interrogating him.</w:t>
      </w:r>
    </w:p>
    <w:p w14:paraId="77AF666D" w14:textId="6F90D50A" w:rsidR="003A34B0" w:rsidRDefault="003A34B0" w:rsidP="003A34B0">
      <w:pPr>
        <w:spacing w:before="60"/>
        <w:ind w:left="567" w:right="567"/>
        <w:jc w:val="both"/>
        <w:rPr>
          <w:rFonts w:ascii="Arial" w:hAnsi="Arial" w:cs="Arial"/>
          <w:sz w:val="20"/>
        </w:rPr>
      </w:pPr>
      <w:r>
        <w:rPr>
          <w:rFonts w:ascii="Arial" w:hAnsi="Arial" w:cs="Arial"/>
          <w:sz w:val="20"/>
        </w:rPr>
        <w:lastRenderedPageBreak/>
        <w:t xml:space="preserve">[66] </w:t>
      </w:r>
      <w:r w:rsidRPr="003A34B0">
        <w:rPr>
          <w:rFonts w:ascii="Arial" w:hAnsi="Arial" w:cs="Arial"/>
          <w:sz w:val="20"/>
        </w:rPr>
        <w:t xml:space="preserve">Thus we consider that s 139(5) </w:t>
      </w:r>
      <w:r>
        <w:rPr>
          <w:rFonts w:ascii="Arial" w:hAnsi="Arial" w:cs="Arial"/>
          <w:sz w:val="20"/>
        </w:rPr>
        <w:t xml:space="preserve">[of the </w:t>
      </w:r>
      <w:r w:rsidRPr="003A34B0">
        <w:rPr>
          <w:rFonts w:ascii="Arial" w:hAnsi="Arial" w:cs="Arial"/>
          <w:i/>
          <w:iCs/>
          <w:sz w:val="20"/>
        </w:rPr>
        <w:t>Evidence Act 2008</w:t>
      </w:r>
      <w:r>
        <w:rPr>
          <w:rFonts w:ascii="Arial" w:hAnsi="Arial" w:cs="Arial"/>
          <w:sz w:val="20"/>
        </w:rPr>
        <w:t xml:space="preserve">] </w:t>
      </w:r>
      <w:r w:rsidRPr="003A34B0">
        <w:rPr>
          <w:rFonts w:ascii="Arial" w:hAnsi="Arial" w:cs="Arial"/>
          <w:sz w:val="20"/>
        </w:rPr>
        <w:t>was not engaged at the time SC Kung asked the critical question, so as to bring into play any enlarged meaning of when a person is ‘under arrest’.</w:t>
      </w:r>
    </w:p>
    <w:p w14:paraId="602BC495" w14:textId="523122AB" w:rsidR="003A34B0" w:rsidRDefault="003A34B0" w:rsidP="00A41814">
      <w:pPr>
        <w:spacing w:before="60"/>
        <w:ind w:left="567" w:right="567"/>
        <w:jc w:val="both"/>
        <w:rPr>
          <w:rFonts w:ascii="Arial" w:hAnsi="Arial" w:cs="Arial"/>
          <w:sz w:val="20"/>
        </w:rPr>
      </w:pPr>
      <w:r>
        <w:rPr>
          <w:rFonts w:ascii="Arial" w:hAnsi="Arial" w:cs="Arial"/>
          <w:sz w:val="20"/>
        </w:rPr>
        <w:t>…</w:t>
      </w:r>
    </w:p>
    <w:p w14:paraId="1B8628B6" w14:textId="1EF961DB" w:rsidR="006E5820" w:rsidRDefault="006E5820" w:rsidP="00A41814">
      <w:pPr>
        <w:spacing w:before="60"/>
        <w:ind w:left="567" w:right="567"/>
        <w:jc w:val="both"/>
        <w:rPr>
          <w:rFonts w:ascii="Arial" w:hAnsi="Arial" w:cs="Arial"/>
          <w:sz w:val="20"/>
        </w:rPr>
      </w:pPr>
      <w:r>
        <w:rPr>
          <w:rFonts w:ascii="Arial" w:hAnsi="Arial" w:cs="Arial"/>
          <w:sz w:val="20"/>
        </w:rPr>
        <w:t>[74] “</w:t>
      </w:r>
      <w:r w:rsidRPr="00A41814">
        <w:rPr>
          <w:rFonts w:ascii="Arial" w:hAnsi="Arial" w:cs="Arial"/>
          <w:sz w:val="20"/>
        </w:rPr>
        <w:t>We do not consider that, either at the time that SC Kung left his vehicle, or at the time he asked the applicant ‘Did you stab the other guy?’, he had reasonable grounds to believe that the applicant had committed an offence</w:t>
      </w:r>
      <w:r>
        <w:rPr>
          <w:rFonts w:ascii="Arial" w:hAnsi="Arial" w:cs="Arial"/>
          <w:sz w:val="20"/>
        </w:rPr>
        <w:t xml:space="preserve"> as </w:t>
      </w:r>
      <w:r w:rsidRPr="006E5820">
        <w:rPr>
          <w:rFonts w:ascii="Arial" w:hAnsi="Arial" w:cs="Arial"/>
          <w:sz w:val="20"/>
        </w:rPr>
        <w:t xml:space="preserve">required for the exercise of the arrest power found in s 459 of the </w:t>
      </w:r>
      <w:r w:rsidRPr="006E5820">
        <w:rPr>
          <w:rFonts w:ascii="Arial" w:hAnsi="Arial" w:cs="Arial"/>
          <w:i/>
          <w:iCs/>
          <w:sz w:val="20"/>
        </w:rPr>
        <w:t>Crimes Act</w:t>
      </w:r>
      <w:r>
        <w:rPr>
          <w:rFonts w:ascii="Arial" w:hAnsi="Arial" w:cs="Arial"/>
          <w:sz w:val="20"/>
        </w:rPr>
        <w:t xml:space="preserve">. </w:t>
      </w:r>
      <w:r w:rsidRPr="00A41814">
        <w:rPr>
          <w:rFonts w:ascii="Arial" w:hAnsi="Arial" w:cs="Arial"/>
          <w:sz w:val="20"/>
        </w:rPr>
        <w:t xml:space="preserve">We accept that there were reasonable grounds to believe that an offence had been committed, given that SC Kung had seen that Mr Nejad had been stabbed. But, in the first 20 seconds after getting out of the car, we do not consider that there were reasonable grounds for SC Kung to believe that the applicant was the person who had committed the offence. He might have suspected that the applicant was the offender, but as the High Court explained in </w:t>
      </w:r>
      <w:r w:rsidRPr="006E5820">
        <w:rPr>
          <w:rFonts w:ascii="Arial" w:hAnsi="Arial" w:cs="Arial"/>
          <w:i/>
          <w:iCs/>
          <w:sz w:val="20"/>
        </w:rPr>
        <w:t>George v Rocket</w:t>
      </w:r>
      <w:r>
        <w:rPr>
          <w:rFonts w:ascii="Arial" w:hAnsi="Arial" w:cs="Arial"/>
          <w:i/>
          <w:iCs/>
          <w:sz w:val="20"/>
        </w:rPr>
        <w:t xml:space="preserve"> </w:t>
      </w:r>
      <w:r w:rsidRPr="006E5820">
        <w:rPr>
          <w:rFonts w:ascii="Arial" w:hAnsi="Arial" w:cs="Arial"/>
          <w:sz w:val="20"/>
        </w:rPr>
        <w:t>(1990) 170 CLR 104; [1990] HCA 26</w:t>
      </w:r>
      <w:r>
        <w:rPr>
          <w:rFonts w:ascii="Arial" w:hAnsi="Arial" w:cs="Arial"/>
          <w:sz w:val="20"/>
        </w:rPr>
        <w:t xml:space="preserve"> at 115-116</w:t>
      </w:r>
      <w:r w:rsidRPr="00A41814">
        <w:rPr>
          <w:rFonts w:ascii="Arial" w:hAnsi="Arial" w:cs="Arial"/>
          <w:sz w:val="20"/>
        </w:rPr>
        <w:t>, suspicion and belief are different states of mind. Suspicion is a state of conjecture or surmise where proof is lacking; whereas the objective circumstances sufficient to show a reason to believe something need to point more clearly to the subject matter of the belief. The objective circumstances were not of that kind within the first 20 seconds of SC Kung getting out of his car. Rather, the objective circumstances reached that level after the applicant said ‘yeah’ in response to SC Kung’s question ‘Did you stab the other guy?’ — after which he was handcuffed.</w:t>
      </w:r>
    </w:p>
    <w:p w14:paraId="69ECAB63" w14:textId="26B06830" w:rsidR="006E5820" w:rsidRDefault="006E5820" w:rsidP="00A41814">
      <w:pPr>
        <w:spacing w:before="60"/>
        <w:ind w:left="567" w:right="567"/>
        <w:jc w:val="both"/>
        <w:rPr>
          <w:rFonts w:ascii="Arial" w:hAnsi="Arial" w:cs="Arial"/>
          <w:sz w:val="20"/>
        </w:rPr>
      </w:pPr>
      <w:r>
        <w:rPr>
          <w:rFonts w:ascii="Arial" w:hAnsi="Arial" w:cs="Arial"/>
          <w:sz w:val="20"/>
        </w:rPr>
        <w:t>[</w:t>
      </w:r>
      <w:r w:rsidRPr="00A41814">
        <w:rPr>
          <w:rFonts w:ascii="Arial" w:hAnsi="Arial" w:cs="Arial"/>
          <w:sz w:val="20"/>
        </w:rPr>
        <w:t>75</w:t>
      </w:r>
      <w:r>
        <w:rPr>
          <w:rFonts w:ascii="Arial" w:hAnsi="Arial" w:cs="Arial"/>
          <w:sz w:val="20"/>
        </w:rPr>
        <w:t>]</w:t>
      </w:r>
      <w:r w:rsidRPr="00A41814">
        <w:rPr>
          <w:rFonts w:ascii="Arial" w:hAnsi="Arial" w:cs="Arial"/>
          <w:sz w:val="20"/>
        </w:rPr>
        <w:t xml:space="preserve"> Given that conclusion, we do not consider that the applicant was ‘in custody’ within the meaning of s 464 of the </w:t>
      </w:r>
      <w:r w:rsidRPr="006E5820">
        <w:rPr>
          <w:rFonts w:ascii="Arial" w:hAnsi="Arial" w:cs="Arial"/>
          <w:i/>
          <w:iCs/>
          <w:sz w:val="20"/>
        </w:rPr>
        <w:t>Crimes Act</w:t>
      </w:r>
      <w:r w:rsidRPr="00A41814">
        <w:rPr>
          <w:rFonts w:ascii="Arial" w:hAnsi="Arial" w:cs="Arial"/>
          <w:sz w:val="20"/>
        </w:rPr>
        <w:t xml:space="preserve"> at the time SC Kung asked him ‘did you stab the other guy’.</w:t>
      </w:r>
      <w:r>
        <w:rPr>
          <w:rFonts w:ascii="Arial" w:hAnsi="Arial" w:cs="Arial"/>
          <w:sz w:val="20"/>
        </w:rPr>
        <w:t>”</w:t>
      </w:r>
    </w:p>
    <w:p w14:paraId="202E2AF0" w14:textId="77777777" w:rsidR="00A41814" w:rsidRDefault="00A41814" w:rsidP="00BC578C">
      <w:pPr>
        <w:jc w:val="both"/>
        <w:rPr>
          <w:rFonts w:ascii="Arial" w:hAnsi="Arial" w:cs="Arial"/>
          <w:sz w:val="20"/>
        </w:rPr>
      </w:pPr>
    </w:p>
    <w:p w14:paraId="0BBFD418" w14:textId="77777777" w:rsidR="00EE5134" w:rsidRDefault="00EE5134">
      <w:pPr>
        <w:pStyle w:val="Heading3"/>
        <w:keepNext/>
        <w:spacing w:after="80" w:line="240" w:lineRule="auto"/>
        <w:rPr>
          <w:rFonts w:ascii="Arial" w:hAnsi="Arial" w:cs="Arial"/>
          <w:b/>
          <w:bCs/>
          <w:sz w:val="20"/>
        </w:rPr>
      </w:pPr>
      <w:bookmarkStart w:id="161" w:name="_8.2.5_Questioning_within"/>
      <w:bookmarkStart w:id="162" w:name="_Toc30691405"/>
      <w:bookmarkStart w:id="163" w:name="_Toc30691782"/>
      <w:bookmarkStart w:id="164" w:name="_Toc30692162"/>
      <w:bookmarkStart w:id="165" w:name="_Toc30692920"/>
      <w:bookmarkStart w:id="166" w:name="_Toc30693299"/>
      <w:bookmarkStart w:id="167" w:name="_Toc30693677"/>
      <w:bookmarkStart w:id="168" w:name="_Toc30694055"/>
      <w:bookmarkStart w:id="169" w:name="_Toc30694435"/>
      <w:bookmarkStart w:id="170" w:name="_Toc30699024"/>
      <w:bookmarkStart w:id="171" w:name="_Toc30699402"/>
      <w:bookmarkStart w:id="172" w:name="_Toc30699787"/>
      <w:bookmarkStart w:id="173" w:name="_Toc30700942"/>
      <w:bookmarkStart w:id="174" w:name="_Toc30701329"/>
      <w:bookmarkStart w:id="175" w:name="_Toc30743940"/>
      <w:bookmarkStart w:id="176" w:name="_Toc30754763"/>
      <w:bookmarkStart w:id="177" w:name="_Toc30757204"/>
      <w:bookmarkStart w:id="178" w:name="_Toc30757752"/>
      <w:bookmarkStart w:id="179" w:name="_Toc30758152"/>
      <w:bookmarkStart w:id="180" w:name="_Toc30762913"/>
      <w:bookmarkStart w:id="181" w:name="_Toc30767567"/>
      <w:bookmarkStart w:id="182" w:name="_Toc34823585"/>
      <w:bookmarkEnd w:id="161"/>
      <w:r>
        <w:rPr>
          <w:rFonts w:ascii="Arial" w:hAnsi="Arial" w:cs="Arial"/>
          <w:b/>
          <w:bCs/>
          <w:sz w:val="20"/>
        </w:rPr>
        <w:t>8.2.5</w:t>
      </w:r>
      <w:r>
        <w:rPr>
          <w:rFonts w:ascii="Arial" w:hAnsi="Arial" w:cs="Arial"/>
          <w:b/>
          <w:bCs/>
          <w:sz w:val="20"/>
        </w:rPr>
        <w:tab/>
      </w:r>
      <w:r w:rsidR="00285A4A">
        <w:rPr>
          <w:rFonts w:ascii="Arial" w:hAnsi="Arial" w:cs="Arial"/>
          <w:b/>
          <w:bCs/>
          <w:sz w:val="20"/>
        </w:rPr>
        <w:t>Questioning within reasonable time, i</w:t>
      </w:r>
      <w:r>
        <w:rPr>
          <w:rFonts w:ascii="Arial" w:hAnsi="Arial" w:cs="Arial"/>
          <w:b/>
          <w:bCs/>
          <w:sz w:val="20"/>
        </w:rPr>
        <w:t>nformation about offence and right to silence</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9384FD2" w14:textId="77777777" w:rsidR="00285A4A" w:rsidRPr="00285A4A" w:rsidRDefault="00746293" w:rsidP="00285A4A">
      <w:pPr>
        <w:jc w:val="both"/>
        <w:rPr>
          <w:rFonts w:ascii="Arial" w:hAnsi="Arial" w:cs="Arial"/>
          <w:sz w:val="20"/>
        </w:rPr>
      </w:pPr>
      <w:r>
        <w:rPr>
          <w:rFonts w:ascii="Arial" w:hAnsi="Arial" w:cs="Arial"/>
          <w:sz w:val="20"/>
        </w:rPr>
        <w:t>Section 464A(1) provides</w:t>
      </w:r>
      <w:r w:rsidR="006C3F45">
        <w:rPr>
          <w:rFonts w:ascii="Arial" w:hAnsi="Arial" w:cs="Arial"/>
          <w:sz w:val="20"/>
        </w:rPr>
        <w:t>:</w:t>
      </w:r>
      <w:r>
        <w:rPr>
          <w:rFonts w:ascii="Arial" w:hAnsi="Arial" w:cs="Arial"/>
          <w:sz w:val="20"/>
        </w:rPr>
        <w:t xml:space="preserve"> “</w:t>
      </w:r>
      <w:r w:rsidR="00285A4A" w:rsidRPr="00285A4A">
        <w:rPr>
          <w:rFonts w:ascii="Arial" w:hAnsi="Arial" w:cs="Arial"/>
          <w:sz w:val="20"/>
        </w:rPr>
        <w:t xml:space="preserve">Every person taken into custody for an offence (whether committed in Victoria or elsewhere) must be— </w:t>
      </w:r>
    </w:p>
    <w:p w14:paraId="605B007B" w14:textId="77777777" w:rsidR="00285A4A" w:rsidRPr="00285A4A" w:rsidRDefault="00285A4A" w:rsidP="00285A4A">
      <w:pPr>
        <w:jc w:val="both"/>
        <w:rPr>
          <w:rFonts w:ascii="Arial" w:hAnsi="Arial" w:cs="Arial"/>
          <w:sz w:val="20"/>
        </w:rPr>
      </w:pPr>
      <w:r w:rsidRPr="00285A4A">
        <w:rPr>
          <w:rFonts w:ascii="Arial" w:hAnsi="Arial" w:cs="Arial"/>
          <w:sz w:val="20"/>
        </w:rPr>
        <w:t xml:space="preserve">(a)  released unconditionally; or </w:t>
      </w:r>
    </w:p>
    <w:p w14:paraId="1E2E5CAE" w14:textId="77777777" w:rsidR="00285A4A" w:rsidRPr="00285A4A" w:rsidRDefault="00285A4A" w:rsidP="00285A4A">
      <w:pPr>
        <w:jc w:val="both"/>
        <w:rPr>
          <w:rFonts w:ascii="Arial" w:hAnsi="Arial" w:cs="Arial"/>
          <w:sz w:val="20"/>
        </w:rPr>
      </w:pPr>
      <w:r w:rsidRPr="00285A4A">
        <w:rPr>
          <w:rFonts w:ascii="Arial" w:hAnsi="Arial" w:cs="Arial"/>
          <w:sz w:val="20"/>
        </w:rPr>
        <w:t xml:space="preserve">(b)  released on bail; or </w:t>
      </w:r>
    </w:p>
    <w:p w14:paraId="73A64B8F" w14:textId="77777777" w:rsidR="00285A4A" w:rsidRPr="00285A4A" w:rsidRDefault="00285A4A" w:rsidP="00285A4A">
      <w:pPr>
        <w:jc w:val="both"/>
        <w:rPr>
          <w:rFonts w:ascii="Arial" w:hAnsi="Arial" w:cs="Arial"/>
          <w:sz w:val="20"/>
        </w:rPr>
      </w:pPr>
      <w:r w:rsidRPr="00285A4A">
        <w:rPr>
          <w:rFonts w:ascii="Arial" w:hAnsi="Arial" w:cs="Arial"/>
          <w:sz w:val="20"/>
        </w:rPr>
        <w:t xml:space="preserve">(c)  brought before a bail justice or the Magistrates' Court— </w:t>
      </w:r>
    </w:p>
    <w:p w14:paraId="4DADB0AC" w14:textId="77777777" w:rsidR="00746293" w:rsidRDefault="00285A4A" w:rsidP="00285A4A">
      <w:pPr>
        <w:jc w:val="both"/>
        <w:rPr>
          <w:rFonts w:ascii="Arial" w:hAnsi="Arial" w:cs="Arial"/>
          <w:sz w:val="20"/>
        </w:rPr>
      </w:pPr>
      <w:r w:rsidRPr="00285A4A">
        <w:rPr>
          <w:rFonts w:ascii="Arial" w:hAnsi="Arial" w:cs="Arial"/>
          <w:sz w:val="20"/>
        </w:rPr>
        <w:t>within a reasonable time of being taken into custody.</w:t>
      </w:r>
      <w:r w:rsidR="00746293">
        <w:rPr>
          <w:rFonts w:ascii="Arial" w:hAnsi="Arial" w:cs="Arial"/>
          <w:sz w:val="20"/>
        </w:rPr>
        <w:t>”</w:t>
      </w:r>
    </w:p>
    <w:p w14:paraId="1B5F9CEA" w14:textId="77777777" w:rsidR="00746293" w:rsidRDefault="00746293" w:rsidP="00285A4A">
      <w:pPr>
        <w:jc w:val="both"/>
        <w:rPr>
          <w:rFonts w:ascii="Arial" w:hAnsi="Arial" w:cs="Arial"/>
          <w:sz w:val="20"/>
        </w:rPr>
      </w:pPr>
    </w:p>
    <w:p w14:paraId="3E137C19" w14:textId="77777777" w:rsidR="00EE5134" w:rsidRDefault="00EE5134" w:rsidP="00285A4A">
      <w:pPr>
        <w:jc w:val="both"/>
        <w:rPr>
          <w:rFonts w:ascii="Arial" w:hAnsi="Arial" w:cs="Arial"/>
          <w:sz w:val="20"/>
        </w:rPr>
      </w:pPr>
      <w:r>
        <w:rPr>
          <w:rFonts w:ascii="Arial" w:hAnsi="Arial" w:cs="Arial"/>
          <w:sz w:val="20"/>
        </w:rPr>
        <w:t>Section 464A(2) provides that if a person suspected of having committed an offence is in custody for that offence, an investigating official may, within a reasonable time</w:t>
      </w:r>
      <w:r w:rsidR="00746293">
        <w:rPr>
          <w:rFonts w:ascii="Arial" w:hAnsi="Arial" w:cs="Arial"/>
          <w:sz w:val="20"/>
        </w:rPr>
        <w:t xml:space="preserve"> (referred to in s.464A(1))</w:t>
      </w:r>
      <w:r>
        <w:rPr>
          <w:rFonts w:ascii="Arial" w:hAnsi="Arial" w:cs="Arial"/>
          <w:sz w:val="20"/>
        </w:rPr>
        <w:t>-</w:t>
      </w:r>
    </w:p>
    <w:p w14:paraId="0C8CA2AD" w14:textId="77777777" w:rsidR="00EE5134" w:rsidRDefault="00EE5134">
      <w:pPr>
        <w:jc w:val="both"/>
        <w:rPr>
          <w:rFonts w:ascii="Arial" w:hAnsi="Arial" w:cs="Arial"/>
          <w:sz w:val="20"/>
        </w:rPr>
      </w:pPr>
      <w:r>
        <w:rPr>
          <w:rFonts w:ascii="Arial" w:hAnsi="Arial" w:cs="Arial"/>
          <w:sz w:val="20"/>
        </w:rPr>
        <w:t>(a)</w:t>
      </w:r>
      <w:r>
        <w:rPr>
          <w:rFonts w:ascii="Arial" w:hAnsi="Arial" w:cs="Arial"/>
          <w:sz w:val="20"/>
        </w:rPr>
        <w:tab/>
        <w:t>inform the person of the circumstances of the offence; and</w:t>
      </w:r>
    </w:p>
    <w:p w14:paraId="0A49874A" w14:textId="77777777" w:rsidR="00EE5134" w:rsidRDefault="00EE5134">
      <w:pPr>
        <w:ind w:left="720" w:hanging="720"/>
        <w:jc w:val="both"/>
        <w:rPr>
          <w:rFonts w:ascii="Arial" w:hAnsi="Arial" w:cs="Arial"/>
          <w:sz w:val="20"/>
        </w:rPr>
      </w:pPr>
      <w:r>
        <w:rPr>
          <w:rFonts w:ascii="Arial" w:hAnsi="Arial" w:cs="Arial"/>
          <w:sz w:val="20"/>
        </w:rPr>
        <w:t>(b)</w:t>
      </w:r>
      <w:r>
        <w:rPr>
          <w:rFonts w:ascii="Arial" w:hAnsi="Arial" w:cs="Arial"/>
          <w:sz w:val="20"/>
        </w:rPr>
        <w:tab/>
        <w:t>question the person or carry out investigations in which the person participates in order to determine the involvement (if any) of the person in that offence.</w:t>
      </w:r>
    </w:p>
    <w:p w14:paraId="41D7DD73" w14:textId="77777777" w:rsidR="00EE5134" w:rsidRDefault="00EE5134">
      <w:pPr>
        <w:jc w:val="both"/>
        <w:rPr>
          <w:rFonts w:ascii="Arial" w:hAnsi="Arial" w:cs="Arial"/>
          <w:sz w:val="20"/>
        </w:rPr>
      </w:pPr>
      <w:r>
        <w:rPr>
          <w:rFonts w:ascii="Arial" w:hAnsi="Arial" w:cs="Arial"/>
          <w:sz w:val="20"/>
        </w:rPr>
        <w:t xml:space="preserve">In determining what constitutes a 'reasonable time', the 12 matters set out in s.464A(4) may be considered.  See also </w:t>
      </w:r>
      <w:r>
        <w:rPr>
          <w:rFonts w:ascii="Arial" w:hAnsi="Arial" w:cs="Arial"/>
          <w:i/>
          <w:iCs/>
          <w:sz w:val="20"/>
        </w:rPr>
        <w:t>R v Saxon</w:t>
      </w:r>
      <w:r>
        <w:rPr>
          <w:rFonts w:ascii="Arial" w:hAnsi="Arial" w:cs="Arial"/>
          <w:sz w:val="20"/>
        </w:rPr>
        <w:t xml:space="preserve"> [1998] 1 VR 503 at 514-21</w:t>
      </w:r>
      <w:r w:rsidR="008C2C87">
        <w:rPr>
          <w:rFonts w:ascii="Arial" w:hAnsi="Arial" w:cs="Arial"/>
          <w:sz w:val="20"/>
        </w:rPr>
        <w:t xml:space="preserve">; </w:t>
      </w:r>
      <w:bookmarkStart w:id="183" w:name="_Hlk12599860"/>
      <w:r w:rsidR="008C2C87" w:rsidRPr="008C2C87">
        <w:rPr>
          <w:rFonts w:ascii="Arial" w:hAnsi="Arial" w:cs="Arial"/>
          <w:i/>
          <w:iCs/>
          <w:sz w:val="20"/>
        </w:rPr>
        <w:t>DPP v Karen Hollis (a pseudonym) &amp; Alex Hull (a pseudonym)</w:t>
      </w:r>
      <w:r w:rsidR="008C2C87">
        <w:rPr>
          <w:rFonts w:ascii="Arial" w:hAnsi="Arial" w:cs="Arial"/>
          <w:sz w:val="20"/>
        </w:rPr>
        <w:t xml:space="preserve"> [2019] VSCA 110 at [10]-[13]</w:t>
      </w:r>
      <w:bookmarkEnd w:id="183"/>
      <w:r w:rsidR="00791752">
        <w:rPr>
          <w:rFonts w:ascii="Arial" w:hAnsi="Arial" w:cs="Arial"/>
          <w:sz w:val="20"/>
        </w:rPr>
        <w:t>.</w:t>
      </w:r>
    </w:p>
    <w:p w14:paraId="11576E21" w14:textId="77777777" w:rsidR="00791752" w:rsidRDefault="00791752">
      <w:pPr>
        <w:jc w:val="both"/>
        <w:rPr>
          <w:rFonts w:ascii="Arial" w:hAnsi="Arial" w:cs="Arial"/>
          <w:sz w:val="20"/>
        </w:rPr>
      </w:pPr>
    </w:p>
    <w:p w14:paraId="6228AA4C" w14:textId="77777777" w:rsidR="009E5D5B" w:rsidRDefault="00EE5134" w:rsidP="009E5D5B">
      <w:pPr>
        <w:jc w:val="both"/>
        <w:rPr>
          <w:rFonts w:ascii="Arial" w:hAnsi="Arial" w:cs="Arial"/>
          <w:sz w:val="20"/>
        </w:rPr>
      </w:pPr>
      <w:r>
        <w:rPr>
          <w:rFonts w:ascii="Arial" w:hAnsi="Arial" w:cs="Arial"/>
          <w:sz w:val="20"/>
        </w:rPr>
        <w:t>Section 464A(3) requires that before any questioning (other than the person's name and address) or investigation under s.464A(2) is commenced, an investigating official must inform the suspect that he or she does not have to say or do anything but that anything the suspect does say or do may be given in evidence.</w:t>
      </w:r>
    </w:p>
    <w:p w14:paraId="4D1A1C4C" w14:textId="77777777" w:rsidR="009E5D5B" w:rsidRDefault="009E5D5B" w:rsidP="009E5D5B">
      <w:pPr>
        <w:jc w:val="both"/>
        <w:rPr>
          <w:rFonts w:ascii="Arial" w:hAnsi="Arial" w:cs="Arial"/>
          <w:sz w:val="20"/>
        </w:rPr>
      </w:pPr>
    </w:p>
    <w:p w14:paraId="7DBC5EA8" w14:textId="77777777" w:rsidR="00EE5134" w:rsidRDefault="00EE5134" w:rsidP="009E5D5B">
      <w:pPr>
        <w:jc w:val="both"/>
        <w:rPr>
          <w:rFonts w:ascii="Arial" w:hAnsi="Arial" w:cs="Arial"/>
          <w:sz w:val="20"/>
        </w:rPr>
      </w:pPr>
      <w:r>
        <w:rPr>
          <w:rFonts w:ascii="Arial" w:hAnsi="Arial" w:cs="Arial"/>
          <w:sz w:val="20"/>
        </w:rPr>
        <w:t xml:space="preserve">In </w:t>
      </w:r>
      <w:r>
        <w:rPr>
          <w:rFonts w:ascii="Arial" w:hAnsi="Arial" w:cs="Arial"/>
          <w:i/>
          <w:iCs/>
          <w:sz w:val="20"/>
        </w:rPr>
        <w:t xml:space="preserve">R v </w:t>
      </w:r>
      <w:smartTag w:uri="urn:schemas-microsoft-com:office:smarttags" w:element="place">
        <w:smartTag w:uri="urn:schemas-microsoft-com:office:smarttags" w:element="City">
          <w:r>
            <w:rPr>
              <w:rFonts w:ascii="Arial" w:hAnsi="Arial" w:cs="Arial"/>
              <w:i/>
              <w:iCs/>
              <w:sz w:val="20"/>
            </w:rPr>
            <w:t>Lancaster</w:t>
          </w:r>
        </w:smartTag>
      </w:smartTag>
      <w:r>
        <w:rPr>
          <w:rFonts w:ascii="Arial" w:hAnsi="Arial" w:cs="Arial"/>
          <w:sz w:val="20"/>
        </w:rPr>
        <w:t xml:space="preserve"> [1998] 4 VR 550 the Court of Appeal construed s.464A(2) as follows-</w:t>
      </w:r>
    </w:p>
    <w:p w14:paraId="3E884513"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555 per Tadgell JA with whom Winneke P agreed: Section 464A(2)(a) "should be read as a kind of proviso" to s.464A(2)(b):</w:t>
      </w:r>
    </w:p>
    <w:p w14:paraId="0CCEAF11" w14:textId="77777777" w:rsidR="00EE5134" w:rsidRDefault="00EE5134" w:rsidP="009E5D5B">
      <w:pPr>
        <w:spacing w:before="60"/>
        <w:ind w:left="567" w:right="567"/>
        <w:jc w:val="both"/>
        <w:rPr>
          <w:rFonts w:ascii="Arial" w:hAnsi="Arial" w:cs="Arial"/>
          <w:sz w:val="20"/>
        </w:rPr>
      </w:pPr>
      <w:r>
        <w:rPr>
          <w:rFonts w:ascii="Arial" w:hAnsi="Arial" w:cs="Arial"/>
          <w:sz w:val="20"/>
        </w:rPr>
        <w:t>"The information, I consider, must be provided at the latest before the questioning goes too far when the information would become, if not useless, then less useful to the person being questioned than it would be if it were provided at the outset." '</w:t>
      </w:r>
    </w:p>
    <w:p w14:paraId="701EC563"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 xml:space="preserve">at 557 per Batt JA with whom Winneke P agreed: Questioning pursuant to s.464A(2) may occur lawfully only if, at some stage during custody of the person to be questioned and before the questioning proceeds beyond preliminaries, the information referred to in that section was given: cf. </w:t>
      </w:r>
      <w:r>
        <w:rPr>
          <w:rFonts w:ascii="Arial" w:hAnsi="Arial" w:cs="Arial"/>
          <w:i/>
          <w:iCs/>
          <w:sz w:val="20"/>
        </w:rPr>
        <w:t>Pollard v R</w:t>
      </w:r>
      <w:r>
        <w:rPr>
          <w:rFonts w:ascii="Arial" w:hAnsi="Arial" w:cs="Arial"/>
          <w:sz w:val="20"/>
        </w:rPr>
        <w:t xml:space="preserve"> (1992) 176 CLR 177 at 195.</w:t>
      </w:r>
    </w:p>
    <w:p w14:paraId="6787593A"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 xml:space="preserve">at 557 per Batt JA with whom Winneke P agreed:  What is required by s.464A(2) was sufficient information about the circumstances of the offence to enable the suspect both to understand what he is to be asked about or the investigations he is to participate in, and also to make an informed decision concerning his or her rights, such as the right of silence and the right to communicate </w:t>
      </w:r>
      <w:r>
        <w:rPr>
          <w:rFonts w:ascii="Arial" w:hAnsi="Arial" w:cs="Arial"/>
          <w:sz w:val="20"/>
        </w:rPr>
        <w:lastRenderedPageBreak/>
        <w:t xml:space="preserve">with a friend, relative or lawyer.  The amount and content of the information required will vary from case to case, but it does not require a statement of all the facts of the offending then known to the official nor a statement of the elements of the offence or its name: cf. </w:t>
      </w:r>
      <w:r>
        <w:rPr>
          <w:rFonts w:ascii="Arial" w:hAnsi="Arial" w:cs="Arial"/>
          <w:i/>
          <w:iCs/>
          <w:sz w:val="20"/>
        </w:rPr>
        <w:t>R v Vollmer</w:t>
      </w:r>
      <w:r>
        <w:rPr>
          <w:rFonts w:ascii="Arial" w:hAnsi="Arial" w:cs="Arial"/>
          <w:sz w:val="20"/>
        </w:rPr>
        <w:t xml:space="preserve"> [1996] 1 VR 95; </w:t>
      </w:r>
      <w:r>
        <w:rPr>
          <w:rFonts w:ascii="Arial" w:hAnsi="Arial" w:cs="Arial"/>
          <w:i/>
          <w:iCs/>
          <w:sz w:val="20"/>
        </w:rPr>
        <w:t>R v Roy</w:t>
      </w:r>
      <w:r>
        <w:rPr>
          <w:rFonts w:ascii="Arial" w:hAnsi="Arial" w:cs="Arial"/>
          <w:sz w:val="20"/>
        </w:rPr>
        <w:t xml:space="preserve"> [Court of Criminal Appeal, unreported, 16/11/1993].  See also at 555-6 per Tadgell JA.</w:t>
      </w:r>
    </w:p>
    <w:p w14:paraId="4E77066C" w14:textId="77777777" w:rsidR="00EE5134" w:rsidRDefault="00EE5134">
      <w:pPr>
        <w:ind w:left="363" w:hanging="363"/>
        <w:jc w:val="both"/>
        <w:rPr>
          <w:rFonts w:ascii="Arial" w:hAnsi="Arial" w:cs="Arial"/>
          <w:sz w:val="20"/>
        </w:rPr>
      </w:pPr>
    </w:p>
    <w:p w14:paraId="473E3CD8"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Kirk</w:t>
      </w:r>
      <w:r>
        <w:rPr>
          <w:rFonts w:ascii="Arial" w:hAnsi="Arial" w:cs="Arial"/>
          <w:sz w:val="20"/>
        </w:rPr>
        <w:t xml:space="preserve"> [2000] WLR 567 police officers had questioned a suspect in relation to an offence of robbery and he admitted to taking the shopping bag.  Only then did the police officers tell him that the owner had died of injuries sustained in the incident.  He was charged with robbery and manslaughter.  On trial for manslaughter the admission was excluded as unfairly obtained, the Court holding that in such circumstances the police should make a suspect aware of the true nature of the investigation in order that he may decide whether or not to exercise his various rights.  In </w:t>
      </w:r>
      <w:r>
        <w:rPr>
          <w:rFonts w:ascii="Arial" w:hAnsi="Arial" w:cs="Arial"/>
          <w:i/>
          <w:iCs/>
          <w:sz w:val="20"/>
        </w:rPr>
        <w:t>R v Hannah</w:t>
      </w:r>
      <w:r>
        <w:rPr>
          <w:rFonts w:ascii="Arial" w:hAnsi="Arial" w:cs="Arial"/>
          <w:sz w:val="20"/>
        </w:rPr>
        <w:t xml:space="preserve"> [unreported, 23/06/1998] the Court of Appeal held that advice to a suspect that police wanted to question him about a fire at his premises at a particular address and how and why it started complied with s.464A(2)(a).  In </w:t>
      </w:r>
      <w:r>
        <w:rPr>
          <w:rFonts w:ascii="Arial" w:hAnsi="Arial" w:cs="Arial"/>
          <w:i/>
          <w:iCs/>
          <w:sz w:val="20"/>
        </w:rPr>
        <w:t>R v Olden</w:t>
      </w:r>
      <w:r>
        <w:rPr>
          <w:rFonts w:ascii="Arial" w:hAnsi="Arial" w:cs="Arial"/>
          <w:sz w:val="20"/>
        </w:rPr>
        <w:t xml:space="preserve"> [2001] VSC 81 at [4] Coldrey J held that a statement by the interviewing police officer: "I intend to interview you about the death of Paul Lisinksi" satisfied the requirements of s.464A(2)(a).</w:t>
      </w:r>
    </w:p>
    <w:p w14:paraId="39B0FB9E" w14:textId="77777777" w:rsidR="00EE5134" w:rsidRDefault="00EE5134">
      <w:pPr>
        <w:ind w:left="363" w:hanging="363"/>
        <w:jc w:val="both"/>
        <w:rPr>
          <w:rFonts w:ascii="Arial" w:hAnsi="Arial" w:cs="Arial"/>
          <w:sz w:val="20"/>
        </w:rPr>
      </w:pPr>
    </w:p>
    <w:p w14:paraId="55B1AB5F" w14:textId="77777777" w:rsidR="00285A4A" w:rsidRDefault="00D0612E" w:rsidP="00D0612E">
      <w:pPr>
        <w:jc w:val="both"/>
        <w:rPr>
          <w:rFonts w:ascii="Arial" w:hAnsi="Arial" w:cs="Arial"/>
          <w:sz w:val="20"/>
        </w:rPr>
      </w:pPr>
      <w:r>
        <w:rPr>
          <w:rFonts w:ascii="Arial" w:hAnsi="Arial" w:cs="Arial"/>
          <w:sz w:val="20"/>
        </w:rPr>
        <w:t xml:space="preserve">In </w:t>
      </w:r>
      <w:r w:rsidRPr="00791752">
        <w:rPr>
          <w:rFonts w:ascii="Arial" w:hAnsi="Arial" w:cs="Arial"/>
          <w:i/>
          <w:iCs/>
          <w:sz w:val="20"/>
        </w:rPr>
        <w:t>DPP v Dalton (Ruling No 1)</w:t>
      </w:r>
      <w:r w:rsidRPr="00791752">
        <w:rPr>
          <w:rFonts w:ascii="Arial" w:hAnsi="Arial" w:cs="Arial"/>
          <w:sz w:val="20"/>
        </w:rPr>
        <w:t xml:space="preserve"> </w:t>
      </w:r>
      <w:r>
        <w:rPr>
          <w:rFonts w:ascii="Arial" w:hAnsi="Arial" w:cs="Arial"/>
          <w:sz w:val="20"/>
        </w:rPr>
        <w:t xml:space="preserve">[2019] VSC 226 Beale J excluded a record of interview and </w:t>
      </w:r>
      <w:r w:rsidRPr="00791752">
        <w:rPr>
          <w:rFonts w:ascii="Arial" w:hAnsi="Arial" w:cs="Arial"/>
          <w:sz w:val="20"/>
        </w:rPr>
        <w:t xml:space="preserve">crime scene re-enactments in which accused </w:t>
      </w:r>
      <w:r w:rsidR="00746293">
        <w:rPr>
          <w:rFonts w:ascii="Arial" w:hAnsi="Arial" w:cs="Arial"/>
          <w:sz w:val="20"/>
        </w:rPr>
        <w:t xml:space="preserve">had </w:t>
      </w:r>
      <w:r w:rsidRPr="00791752">
        <w:rPr>
          <w:rFonts w:ascii="Arial" w:hAnsi="Arial" w:cs="Arial"/>
          <w:sz w:val="20"/>
        </w:rPr>
        <w:t>participated</w:t>
      </w:r>
      <w:r>
        <w:rPr>
          <w:rFonts w:ascii="Arial" w:hAnsi="Arial" w:cs="Arial"/>
          <w:sz w:val="20"/>
        </w:rPr>
        <w:t xml:space="preserve">, </w:t>
      </w:r>
      <w:r w:rsidR="00285A4A">
        <w:rPr>
          <w:rFonts w:ascii="Arial" w:hAnsi="Arial" w:cs="Arial"/>
          <w:sz w:val="20"/>
        </w:rPr>
        <w:t xml:space="preserve">describing </w:t>
      </w:r>
      <w:r w:rsidR="00746293">
        <w:rPr>
          <w:rFonts w:ascii="Arial" w:hAnsi="Arial" w:cs="Arial"/>
          <w:sz w:val="20"/>
        </w:rPr>
        <w:t xml:space="preserve">at [54] </w:t>
      </w:r>
      <w:r w:rsidR="00285A4A">
        <w:rPr>
          <w:rFonts w:ascii="Arial" w:hAnsi="Arial" w:cs="Arial"/>
          <w:sz w:val="20"/>
        </w:rPr>
        <w:t xml:space="preserve">the </w:t>
      </w:r>
      <w:r w:rsidR="00746293">
        <w:rPr>
          <w:rFonts w:ascii="Arial" w:hAnsi="Arial" w:cs="Arial"/>
          <w:sz w:val="20"/>
        </w:rPr>
        <w:t xml:space="preserve">gravity of the illegality of the </w:t>
      </w:r>
      <w:r w:rsidR="00285A4A">
        <w:rPr>
          <w:rFonts w:ascii="Arial" w:hAnsi="Arial" w:cs="Arial"/>
          <w:sz w:val="20"/>
        </w:rPr>
        <w:t xml:space="preserve">police behaviour </w:t>
      </w:r>
      <w:r w:rsidR="00746293">
        <w:rPr>
          <w:rFonts w:ascii="Arial" w:hAnsi="Arial" w:cs="Arial"/>
          <w:sz w:val="20"/>
        </w:rPr>
        <w:t>as “being of a high order” and holding at [47]-[48] &amp; [50]:</w:t>
      </w:r>
    </w:p>
    <w:p w14:paraId="1C084696" w14:textId="77777777" w:rsidR="00D0612E" w:rsidRDefault="00746293" w:rsidP="00D0612E">
      <w:pPr>
        <w:spacing w:before="60"/>
        <w:ind w:left="567" w:right="567"/>
        <w:jc w:val="both"/>
        <w:rPr>
          <w:rFonts w:ascii="Arial" w:hAnsi="Arial" w:cs="Arial"/>
          <w:sz w:val="20"/>
        </w:rPr>
      </w:pPr>
      <w:r>
        <w:rPr>
          <w:rFonts w:ascii="Arial" w:hAnsi="Arial" w:cs="Arial"/>
          <w:sz w:val="20"/>
        </w:rPr>
        <w:t xml:space="preserve">[47] </w:t>
      </w:r>
      <w:r w:rsidR="00D0612E">
        <w:rPr>
          <w:rFonts w:ascii="Arial" w:hAnsi="Arial" w:cs="Arial"/>
          <w:sz w:val="20"/>
        </w:rPr>
        <w:t>“</w:t>
      </w:r>
      <w:r w:rsidR="00D0612E" w:rsidRPr="00791752">
        <w:rPr>
          <w:rFonts w:ascii="Arial" w:hAnsi="Arial" w:cs="Arial"/>
          <w:sz w:val="20"/>
        </w:rPr>
        <w:t>In my view, Dalton was illegally detained when she was not released from custody on the night of the 24 October 2017 after the Watson interview. Clearly, the police did not have enough evidence to charge her at that time</w:t>
      </w:r>
      <w:r w:rsidR="00D0612E">
        <w:rPr>
          <w:rFonts w:ascii="Arial" w:hAnsi="Arial" w:cs="Arial"/>
          <w:sz w:val="20"/>
        </w:rPr>
        <w:t>, a</w:t>
      </w:r>
      <w:r w:rsidR="00D0612E" w:rsidRPr="00791752">
        <w:rPr>
          <w:rFonts w:ascii="Arial" w:hAnsi="Arial" w:cs="Arial"/>
          <w:sz w:val="20"/>
        </w:rPr>
        <w:t xml:space="preserve"> point conceded by the prosecution.</w:t>
      </w:r>
      <w:r w:rsidR="00D0612E">
        <w:rPr>
          <w:rFonts w:ascii="Arial" w:hAnsi="Arial" w:cs="Arial"/>
          <w:sz w:val="20"/>
        </w:rPr>
        <w:t xml:space="preserve">  </w:t>
      </w:r>
      <w:r w:rsidR="00D0612E" w:rsidRPr="00791752">
        <w:rPr>
          <w:rFonts w:ascii="Arial" w:hAnsi="Arial" w:cs="Arial"/>
          <w:sz w:val="20"/>
        </w:rPr>
        <w:t>Further, she had indicated to Watson a number of times in the course of that interview that she had received advice from her barrister to answer no comment and that she intended to stick to that advice. Whilst Watson and the other detectives may have wanted to gather more information regarding her possible involvement in the killing of Goodwin and to put that information to her in due course, they could not just ignore the protections afforded to her by s 464A, especially given her reliance on the right to silence. In all the circumstances, s464A required them to release her unconditionally on the night of 24</w:t>
      </w:r>
      <w:r w:rsidR="00D0612E">
        <w:rPr>
          <w:rFonts w:ascii="Arial" w:hAnsi="Arial" w:cs="Arial"/>
          <w:sz w:val="20"/>
        </w:rPr>
        <w:t> </w:t>
      </w:r>
      <w:r w:rsidR="00D0612E" w:rsidRPr="00791752">
        <w:rPr>
          <w:rFonts w:ascii="Arial" w:hAnsi="Arial" w:cs="Arial"/>
          <w:sz w:val="20"/>
        </w:rPr>
        <w:t>October because to hold her in custody overnight and beyond, was to hold her for more than a reasonable time.</w:t>
      </w:r>
      <w:r w:rsidR="00D0612E">
        <w:rPr>
          <w:rFonts w:ascii="Arial" w:hAnsi="Arial" w:cs="Arial"/>
          <w:sz w:val="20"/>
        </w:rPr>
        <w:t>”</w:t>
      </w:r>
    </w:p>
    <w:p w14:paraId="0488B1A0" w14:textId="77777777" w:rsidR="00746293" w:rsidRDefault="00746293" w:rsidP="006C3F45">
      <w:pPr>
        <w:spacing w:before="60"/>
        <w:ind w:left="567" w:right="567"/>
        <w:jc w:val="both"/>
        <w:rPr>
          <w:rFonts w:ascii="Arial" w:hAnsi="Arial" w:cs="Arial"/>
          <w:sz w:val="20"/>
        </w:rPr>
      </w:pPr>
      <w:r>
        <w:rPr>
          <w:rFonts w:ascii="Arial" w:hAnsi="Arial" w:cs="Arial"/>
          <w:sz w:val="20"/>
        </w:rPr>
        <w:t xml:space="preserve">[48] </w:t>
      </w:r>
      <w:r w:rsidRPr="00746293">
        <w:rPr>
          <w:rFonts w:ascii="Arial" w:hAnsi="Arial" w:cs="Arial"/>
          <w:sz w:val="20"/>
        </w:rPr>
        <w:t xml:space="preserve">By keeping her in custody overnight and throughout the next two days, there was a real potential for Dalton’s right to silence to be undermined, for her to be worn down, whether or not that was the intention of the police at the time. It is not difficult to see how a suspect’s resolve to act on her lawyer’s advice to answer no comment can be weakened and possibly overcome if the suspect is kept in custody for an extended period of time. As the period of detention wears on, the suspect may well reason that, since silence in response to questioning has not brought about her </w:t>
      </w:r>
      <w:r w:rsidR="006C3F45">
        <w:rPr>
          <w:rFonts w:ascii="Arial" w:hAnsi="Arial" w:cs="Arial"/>
          <w:sz w:val="20"/>
        </w:rPr>
        <w:t>e</w:t>
      </w:r>
      <w:r w:rsidRPr="00746293">
        <w:rPr>
          <w:rFonts w:ascii="Arial" w:hAnsi="Arial" w:cs="Arial"/>
          <w:sz w:val="20"/>
        </w:rPr>
        <w:t>xtrication from police custody, one way or another, the only hope is to start answering questions</w:t>
      </w:r>
      <w:r w:rsidR="006C3F45">
        <w:rPr>
          <w:rFonts w:ascii="Arial" w:hAnsi="Arial" w:cs="Arial"/>
          <w:sz w:val="20"/>
        </w:rPr>
        <w:t>…</w:t>
      </w:r>
    </w:p>
    <w:p w14:paraId="0B130565" w14:textId="77777777" w:rsidR="00746293" w:rsidRDefault="00746293" w:rsidP="00D0612E">
      <w:pPr>
        <w:spacing w:before="60"/>
        <w:ind w:left="567" w:right="567"/>
        <w:jc w:val="both"/>
        <w:rPr>
          <w:rFonts w:ascii="Arial" w:hAnsi="Arial" w:cs="Arial"/>
          <w:sz w:val="20"/>
        </w:rPr>
      </w:pPr>
      <w:r>
        <w:rPr>
          <w:rFonts w:ascii="Arial" w:hAnsi="Arial" w:cs="Arial"/>
          <w:sz w:val="20"/>
        </w:rPr>
        <w:t>[50] “</w:t>
      </w:r>
      <w:r w:rsidRPr="00285A4A">
        <w:rPr>
          <w:rFonts w:ascii="Arial" w:hAnsi="Arial" w:cs="Arial"/>
          <w:sz w:val="20"/>
        </w:rPr>
        <w:t>In summary, I am satisfied that there was a contravention of s 464A(1) and that there was a causal nexus between Dalton’s illegal detention and the police obtaining the impugned evidence</w:t>
      </w:r>
      <w:r>
        <w:rPr>
          <w:rFonts w:ascii="Arial" w:hAnsi="Arial" w:cs="Arial"/>
          <w:sz w:val="20"/>
        </w:rPr>
        <w:t>.”</w:t>
      </w:r>
    </w:p>
    <w:p w14:paraId="73C2A4FE" w14:textId="77777777" w:rsidR="00285A4A" w:rsidRDefault="00285A4A">
      <w:pPr>
        <w:ind w:left="363" w:hanging="363"/>
        <w:jc w:val="both"/>
        <w:rPr>
          <w:rFonts w:ascii="Arial" w:hAnsi="Arial" w:cs="Arial"/>
          <w:sz w:val="20"/>
        </w:rPr>
      </w:pPr>
    </w:p>
    <w:p w14:paraId="0D40920C" w14:textId="77777777" w:rsidR="00EE5134" w:rsidRDefault="00EE5134">
      <w:pPr>
        <w:pStyle w:val="Heading3"/>
        <w:keepNext/>
        <w:spacing w:after="80" w:line="240" w:lineRule="auto"/>
        <w:rPr>
          <w:rFonts w:ascii="Arial" w:hAnsi="Arial" w:cs="Arial"/>
          <w:b/>
          <w:bCs/>
          <w:sz w:val="20"/>
        </w:rPr>
      </w:pPr>
      <w:bookmarkStart w:id="184" w:name="_8.2.6_Questioning_or"/>
      <w:bookmarkStart w:id="185" w:name="_Toc30691406"/>
      <w:bookmarkStart w:id="186" w:name="_Toc30691783"/>
      <w:bookmarkStart w:id="187" w:name="_Toc30692163"/>
      <w:bookmarkStart w:id="188" w:name="_Toc30692921"/>
      <w:bookmarkStart w:id="189" w:name="_Toc30693300"/>
      <w:bookmarkStart w:id="190" w:name="_Toc30693678"/>
      <w:bookmarkStart w:id="191" w:name="_Toc30694056"/>
      <w:bookmarkStart w:id="192" w:name="_Toc30694436"/>
      <w:bookmarkStart w:id="193" w:name="_Toc30699025"/>
      <w:bookmarkStart w:id="194" w:name="_Toc30699403"/>
      <w:bookmarkStart w:id="195" w:name="_Toc30699788"/>
      <w:bookmarkStart w:id="196" w:name="_Toc30700943"/>
      <w:bookmarkStart w:id="197" w:name="_Toc30701330"/>
      <w:bookmarkStart w:id="198" w:name="_Toc30743941"/>
      <w:bookmarkStart w:id="199" w:name="_Toc30754764"/>
      <w:bookmarkStart w:id="200" w:name="_Toc30757205"/>
      <w:bookmarkStart w:id="201" w:name="_Toc30757753"/>
      <w:bookmarkStart w:id="202" w:name="_Toc30758153"/>
      <w:bookmarkStart w:id="203" w:name="_Toc30762914"/>
      <w:bookmarkStart w:id="204" w:name="_Toc30767568"/>
      <w:bookmarkStart w:id="205" w:name="_Toc34823586"/>
      <w:bookmarkEnd w:id="184"/>
      <w:r>
        <w:rPr>
          <w:rFonts w:ascii="Arial" w:hAnsi="Arial" w:cs="Arial"/>
          <w:b/>
          <w:bCs/>
          <w:sz w:val="20"/>
        </w:rPr>
        <w:t>8.2.6</w:t>
      </w:r>
      <w:r>
        <w:rPr>
          <w:rFonts w:ascii="Arial" w:hAnsi="Arial" w:cs="Arial"/>
          <w:b/>
          <w:bCs/>
          <w:sz w:val="20"/>
        </w:rPr>
        <w:tab/>
        <w:t>Questioning or investigation of person already held in custody for another matter</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12F8DE3" w14:textId="77777777" w:rsidR="00EE5134" w:rsidRPr="000E5AC2" w:rsidRDefault="00EE5134" w:rsidP="00013BEF">
      <w:pPr>
        <w:keepNext/>
        <w:keepLines/>
        <w:jc w:val="both"/>
        <w:rPr>
          <w:rFonts w:ascii="Arial" w:hAnsi="Arial" w:cs="Arial"/>
          <w:color w:val="000000"/>
          <w:sz w:val="20"/>
        </w:rPr>
      </w:pPr>
      <w:r>
        <w:rPr>
          <w:rFonts w:ascii="Arial" w:hAnsi="Arial" w:cs="Arial"/>
          <w:sz w:val="20"/>
        </w:rPr>
        <w:t>This is regulated by s.464B.  In particular s.464B(5) empowers the Children's Court to order the trans</w:t>
      </w:r>
      <w:r w:rsidR="00D833D2">
        <w:rPr>
          <w:rFonts w:ascii="Arial" w:hAnsi="Arial" w:cs="Arial"/>
          <w:sz w:val="20"/>
        </w:rPr>
        <w:t xml:space="preserve">fer of the custody of a </w:t>
      </w:r>
      <w:r>
        <w:rPr>
          <w:rFonts w:ascii="Arial" w:hAnsi="Arial" w:cs="Arial"/>
          <w:sz w:val="20"/>
        </w:rPr>
        <w:t xml:space="preserve">child </w:t>
      </w:r>
      <w:r w:rsidR="00D833D2">
        <w:rPr>
          <w:rFonts w:ascii="Arial" w:hAnsi="Arial" w:cs="Arial"/>
          <w:sz w:val="20"/>
        </w:rPr>
        <w:t xml:space="preserve">suspect </w:t>
      </w:r>
      <w:r>
        <w:rPr>
          <w:rFonts w:ascii="Arial" w:hAnsi="Arial" w:cs="Arial"/>
          <w:sz w:val="20"/>
        </w:rPr>
        <w:t xml:space="preserve">to an applicant investigating official for the purpose of questioning or investigation for a maximum period of time specified in the order, being a reasonable </w:t>
      </w:r>
      <w:r w:rsidRPr="000E5AC2">
        <w:rPr>
          <w:rFonts w:ascii="Arial" w:hAnsi="Arial" w:cs="Arial"/>
          <w:color w:val="000000"/>
          <w:sz w:val="20"/>
        </w:rPr>
        <w:t>time within which the questioning or investigation may take place.</w:t>
      </w:r>
      <w:r w:rsidR="00D833D2" w:rsidRPr="000E5AC2">
        <w:rPr>
          <w:rFonts w:ascii="Arial" w:hAnsi="Arial" w:cs="Arial"/>
          <w:color w:val="000000"/>
          <w:sz w:val="20"/>
        </w:rPr>
        <w:t xml:space="preserve">  Section 464B(10) provides that for the purposes of s.464B</w:t>
      </w:r>
      <w:r w:rsidR="00B72464" w:rsidRPr="000E5AC2">
        <w:rPr>
          <w:rFonts w:ascii="Arial" w:hAnsi="Arial" w:cs="Arial"/>
          <w:color w:val="000000"/>
          <w:sz w:val="20"/>
        </w:rPr>
        <w:t>,</w:t>
      </w:r>
      <w:r w:rsidR="00D833D2" w:rsidRPr="000E5AC2">
        <w:rPr>
          <w:rFonts w:ascii="Arial" w:hAnsi="Arial" w:cs="Arial"/>
          <w:color w:val="000000"/>
          <w:sz w:val="20"/>
        </w:rPr>
        <w:t xml:space="preserve"> “child” means a person who at the time of the suspected commission of the offence was under the age of 18 years but does not include any person who is of or above the age of 19 years at the time of the making of the application for him or her under s.464B.</w:t>
      </w:r>
      <w:r w:rsidR="00655434" w:rsidRPr="000E5AC2">
        <w:rPr>
          <w:rFonts w:ascii="Arial" w:hAnsi="Arial" w:cs="Arial"/>
          <w:color w:val="000000"/>
          <w:sz w:val="20"/>
        </w:rPr>
        <w:t xml:space="preserve">  However, it is clear from the</w:t>
      </w:r>
      <w:r w:rsidR="00655434" w:rsidRPr="000E5AC2">
        <w:rPr>
          <w:rFonts w:ascii="Arial" w:hAnsi="Arial" w:cs="Arial"/>
          <w:color w:val="000000"/>
          <w:sz w:val="20"/>
          <w:szCs w:val="20"/>
        </w:rPr>
        <w:t xml:space="preserve"> decision of Pagone J in </w:t>
      </w:r>
      <w:r w:rsidR="00655434" w:rsidRPr="000E5AC2">
        <w:rPr>
          <w:rFonts w:ascii="Arial" w:hAnsi="Arial" w:cs="Arial"/>
          <w:i/>
          <w:color w:val="000000"/>
          <w:sz w:val="20"/>
          <w:szCs w:val="20"/>
        </w:rPr>
        <w:t>Detective Jason Wallace v Bandali Debs &amp; Anor</w:t>
      </w:r>
      <w:r w:rsidR="00655434" w:rsidRPr="000E5AC2">
        <w:rPr>
          <w:rFonts w:ascii="Arial" w:hAnsi="Arial" w:cs="Arial"/>
          <w:color w:val="000000"/>
          <w:sz w:val="20"/>
          <w:szCs w:val="20"/>
        </w:rPr>
        <w:t xml:space="preserve"> [2009] VSC 355 that </w:t>
      </w:r>
      <w:r w:rsidR="00655434" w:rsidRPr="000E5AC2">
        <w:rPr>
          <w:rFonts w:ascii="Arial" w:hAnsi="Arial" w:cs="Arial"/>
          <w:color w:val="000000"/>
          <w:sz w:val="20"/>
        </w:rPr>
        <w:t>s.464B only applies to questioning or investigation in relation to “an offence under Victorian law and not to any offence under the laws of any other place, whether another jurisdiction in Australia or elsewhere in the world.”</w:t>
      </w:r>
    </w:p>
    <w:p w14:paraId="1862E16F" w14:textId="77777777" w:rsidR="00655434" w:rsidRPr="000E5AC2" w:rsidRDefault="00655434" w:rsidP="000E5A20">
      <w:pPr>
        <w:ind w:left="363" w:hanging="363"/>
        <w:jc w:val="both"/>
        <w:rPr>
          <w:rFonts w:ascii="Arial" w:hAnsi="Arial" w:cs="Arial"/>
          <w:color w:val="000000"/>
          <w:sz w:val="20"/>
        </w:rPr>
      </w:pPr>
      <w:bookmarkStart w:id="206" w:name="_Toc30691407"/>
      <w:bookmarkStart w:id="207" w:name="_Toc30691784"/>
      <w:bookmarkStart w:id="208" w:name="_Toc30692164"/>
      <w:bookmarkStart w:id="209" w:name="_Toc30692922"/>
      <w:bookmarkStart w:id="210" w:name="_Toc30693301"/>
      <w:bookmarkStart w:id="211" w:name="_Toc30693679"/>
      <w:bookmarkStart w:id="212" w:name="_Toc30694057"/>
      <w:bookmarkStart w:id="213" w:name="_Toc30694437"/>
      <w:bookmarkStart w:id="214" w:name="_Toc30699026"/>
      <w:bookmarkStart w:id="215" w:name="_Toc30699404"/>
      <w:bookmarkStart w:id="216" w:name="_Toc30699789"/>
      <w:bookmarkStart w:id="217" w:name="_Toc30700944"/>
      <w:bookmarkStart w:id="218" w:name="_Toc30701331"/>
      <w:bookmarkStart w:id="219" w:name="_Toc30743942"/>
      <w:bookmarkStart w:id="220" w:name="_Toc30754765"/>
      <w:bookmarkStart w:id="221" w:name="_Toc30757206"/>
      <w:bookmarkStart w:id="222" w:name="_Toc30757754"/>
      <w:bookmarkStart w:id="223" w:name="_Toc30758154"/>
      <w:bookmarkStart w:id="224" w:name="_Toc30762915"/>
      <w:bookmarkStart w:id="225" w:name="_Toc30767569"/>
      <w:bookmarkStart w:id="226" w:name="_Toc34823587"/>
    </w:p>
    <w:p w14:paraId="246F19FF" w14:textId="77777777" w:rsidR="00EE5134" w:rsidRDefault="00EE5134">
      <w:pPr>
        <w:pStyle w:val="Heading3"/>
        <w:keepNext/>
        <w:spacing w:after="80" w:line="240" w:lineRule="auto"/>
        <w:rPr>
          <w:rFonts w:ascii="Arial" w:hAnsi="Arial" w:cs="Arial"/>
          <w:b/>
          <w:bCs/>
          <w:sz w:val="20"/>
        </w:rPr>
      </w:pPr>
      <w:bookmarkStart w:id="227" w:name="_8.2.7_Right_to"/>
      <w:bookmarkEnd w:id="227"/>
      <w:r>
        <w:rPr>
          <w:rFonts w:ascii="Arial" w:hAnsi="Arial" w:cs="Arial"/>
          <w:b/>
          <w:bCs/>
          <w:sz w:val="20"/>
        </w:rPr>
        <w:t>8.2.7</w:t>
      </w:r>
      <w:r>
        <w:rPr>
          <w:rFonts w:ascii="Arial" w:hAnsi="Arial" w:cs="Arial"/>
          <w:b/>
          <w:bCs/>
          <w:sz w:val="20"/>
        </w:rPr>
        <w:tab/>
        <w:t>Right to communicate</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5FF9A7B" w14:textId="286A3B7F" w:rsidR="00EE5134" w:rsidRDefault="00EE5134">
      <w:pPr>
        <w:jc w:val="both"/>
        <w:rPr>
          <w:rFonts w:ascii="Arial" w:hAnsi="Arial" w:cs="Arial"/>
          <w:sz w:val="20"/>
        </w:rPr>
      </w:pPr>
      <w:r>
        <w:rPr>
          <w:rFonts w:ascii="Arial" w:hAnsi="Arial" w:cs="Arial"/>
          <w:sz w:val="20"/>
        </w:rPr>
        <w:t xml:space="preserve">Section 464C(1) confers a general right on a suspect in custody to communicate with a friend or relative and with a legal practitioner prior to such questioning or investigation..  This right may be </w:t>
      </w:r>
      <w:r>
        <w:rPr>
          <w:rFonts w:ascii="Arial" w:hAnsi="Arial" w:cs="Arial"/>
          <w:sz w:val="20"/>
        </w:rPr>
        <w:lastRenderedPageBreak/>
        <w:t>abrogated in urgent situations: ss.464C(1)(c)-(d).</w:t>
      </w:r>
      <w:r w:rsidR="003F073B">
        <w:rPr>
          <w:rFonts w:ascii="Arial" w:hAnsi="Arial" w:cs="Arial"/>
          <w:sz w:val="20"/>
        </w:rPr>
        <w:t xml:space="preserve">  See Ruling 4 in </w:t>
      </w:r>
      <w:r w:rsidR="003F073B" w:rsidRPr="009A47B6">
        <w:rPr>
          <w:rFonts w:ascii="Arial" w:hAnsi="Arial" w:cs="Arial"/>
          <w:i/>
          <w:iCs/>
          <w:sz w:val="20"/>
        </w:rPr>
        <w:t>DPP v Alhassan (Rulings 1 to 5)</w:t>
      </w:r>
      <w:r w:rsidR="003F073B">
        <w:rPr>
          <w:rFonts w:ascii="Arial" w:hAnsi="Arial" w:cs="Arial"/>
          <w:sz w:val="20"/>
        </w:rPr>
        <w:t xml:space="preserve"> [2024] VSC 573 at [118]-[119].</w:t>
      </w:r>
    </w:p>
    <w:p w14:paraId="5A47B07D" w14:textId="77777777" w:rsidR="003F073B" w:rsidRDefault="003F073B">
      <w:pPr>
        <w:jc w:val="both"/>
        <w:rPr>
          <w:rFonts w:ascii="Arial" w:hAnsi="Arial" w:cs="Arial"/>
          <w:sz w:val="20"/>
        </w:rPr>
      </w:pPr>
    </w:p>
    <w:p w14:paraId="49D65353" w14:textId="77777777"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F(</w:t>
      </w:r>
      <w:proofErr w:type="gramEnd"/>
      <w:r>
        <w:rPr>
          <w:rFonts w:ascii="Arial" w:hAnsi="Arial" w:cs="Arial"/>
          <w:sz w:val="20"/>
        </w:rPr>
        <w:t>1) confers a similar right on a foreign national to communicate with the consular office of the country of which he or she is a citizen.</w:t>
      </w:r>
    </w:p>
    <w:p w14:paraId="3E476D8C" w14:textId="77777777" w:rsidR="00EE5134" w:rsidRDefault="00EE5134">
      <w:pPr>
        <w:jc w:val="both"/>
        <w:rPr>
          <w:rFonts w:ascii="Arial" w:hAnsi="Arial" w:cs="Arial"/>
          <w:sz w:val="20"/>
        </w:rPr>
      </w:pPr>
    </w:p>
    <w:p w14:paraId="554257E5" w14:textId="77777777" w:rsidR="00EE5134" w:rsidRDefault="00EE5134">
      <w:pPr>
        <w:pStyle w:val="Heading3"/>
        <w:keepNext/>
        <w:spacing w:after="80" w:line="240" w:lineRule="auto"/>
        <w:rPr>
          <w:rFonts w:ascii="Arial" w:hAnsi="Arial" w:cs="Arial"/>
          <w:b/>
          <w:bCs/>
          <w:sz w:val="20"/>
        </w:rPr>
      </w:pPr>
      <w:bookmarkStart w:id="228" w:name="_8.2.8_Right_to"/>
      <w:bookmarkStart w:id="229" w:name="_Toc30691408"/>
      <w:bookmarkStart w:id="230" w:name="_Toc30691785"/>
      <w:bookmarkStart w:id="231" w:name="_Toc30692165"/>
      <w:bookmarkStart w:id="232" w:name="_Toc30692923"/>
      <w:bookmarkStart w:id="233" w:name="_Toc30693302"/>
      <w:bookmarkStart w:id="234" w:name="_Toc30693680"/>
      <w:bookmarkStart w:id="235" w:name="_Toc30694058"/>
      <w:bookmarkStart w:id="236" w:name="_Toc30694438"/>
      <w:bookmarkStart w:id="237" w:name="_Toc30699027"/>
      <w:bookmarkStart w:id="238" w:name="_Toc30699405"/>
      <w:bookmarkStart w:id="239" w:name="_Toc30699790"/>
      <w:bookmarkStart w:id="240" w:name="_Toc30700945"/>
      <w:bookmarkStart w:id="241" w:name="_Toc30701332"/>
      <w:bookmarkStart w:id="242" w:name="_Toc30743943"/>
      <w:bookmarkStart w:id="243" w:name="_Toc30754766"/>
      <w:bookmarkStart w:id="244" w:name="_Toc30757207"/>
      <w:bookmarkStart w:id="245" w:name="_Toc30757755"/>
      <w:bookmarkStart w:id="246" w:name="_Toc30758155"/>
      <w:bookmarkStart w:id="247" w:name="_Toc30762916"/>
      <w:bookmarkStart w:id="248" w:name="_Toc30767570"/>
      <w:bookmarkStart w:id="249" w:name="_Toc34823588"/>
      <w:bookmarkEnd w:id="228"/>
      <w:r>
        <w:rPr>
          <w:rFonts w:ascii="Arial" w:hAnsi="Arial" w:cs="Arial"/>
          <w:b/>
          <w:bCs/>
          <w:sz w:val="20"/>
        </w:rPr>
        <w:t>8.2.8</w:t>
      </w:r>
      <w:r>
        <w:rPr>
          <w:rFonts w:ascii="Arial" w:hAnsi="Arial" w:cs="Arial"/>
          <w:b/>
          <w:bCs/>
          <w:sz w:val="20"/>
        </w:rPr>
        <w:tab/>
        <w:t>Right to an interpreter</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D32C355" w14:textId="77777777" w:rsidR="00EE5134" w:rsidRDefault="00EE5134">
      <w:pPr>
        <w:jc w:val="both"/>
        <w:rPr>
          <w:rFonts w:ascii="Arial" w:hAnsi="Arial" w:cs="Arial"/>
          <w:sz w:val="20"/>
        </w:rPr>
      </w:pPr>
      <w:r>
        <w:rPr>
          <w:rFonts w:ascii="Arial" w:hAnsi="Arial" w:cs="Arial"/>
          <w:sz w:val="20"/>
        </w:rPr>
        <w:t>Section 464D provides that if a person in custody does not have a knowledge of the English language that is sufficient to enable the person to understanding the questioning, an investigating official must, before any questioning or investigation commences, arrange for the presence of a competent interpreter and defer the questioning or investigation until the interpreter is present.  This provision does not apply to questioning or investigation in connection with a drink-driving offence under s.49(1) of the Road Safety Act 1986 (Vic).</w:t>
      </w:r>
    </w:p>
    <w:p w14:paraId="4F7C773C" w14:textId="77777777" w:rsidR="00EE5134" w:rsidRDefault="00EE5134">
      <w:pPr>
        <w:jc w:val="both"/>
        <w:rPr>
          <w:rFonts w:ascii="Arial" w:hAnsi="Arial" w:cs="Arial"/>
          <w:sz w:val="20"/>
        </w:rPr>
      </w:pPr>
      <w:bookmarkStart w:id="250" w:name="_Toc30691409"/>
      <w:bookmarkStart w:id="251" w:name="_Toc30691786"/>
      <w:bookmarkStart w:id="252" w:name="_Toc30692166"/>
      <w:bookmarkStart w:id="253" w:name="_Toc30692924"/>
      <w:bookmarkStart w:id="254" w:name="_Toc30693303"/>
      <w:bookmarkStart w:id="255" w:name="_Toc30693681"/>
      <w:bookmarkStart w:id="256" w:name="_Toc30694059"/>
      <w:bookmarkStart w:id="257" w:name="_Toc30694439"/>
      <w:bookmarkStart w:id="258" w:name="_Toc30699028"/>
      <w:bookmarkStart w:id="259" w:name="_Toc30699406"/>
      <w:bookmarkStart w:id="260" w:name="_Toc30699791"/>
      <w:bookmarkStart w:id="261" w:name="_Toc30700946"/>
      <w:bookmarkStart w:id="262" w:name="_Toc30701333"/>
      <w:bookmarkStart w:id="263" w:name="_Toc30743944"/>
      <w:bookmarkStart w:id="264" w:name="_Toc30754767"/>
      <w:bookmarkStart w:id="265" w:name="_Toc30757208"/>
      <w:bookmarkStart w:id="266" w:name="_Toc30757756"/>
      <w:bookmarkStart w:id="267" w:name="_Toc30758156"/>
      <w:bookmarkStart w:id="268" w:name="_Toc30762917"/>
      <w:bookmarkStart w:id="269" w:name="_Toc30767571"/>
      <w:bookmarkStart w:id="270" w:name="_Toc34823589"/>
    </w:p>
    <w:p w14:paraId="74F70D3D" w14:textId="77777777" w:rsidR="00EE5134" w:rsidRDefault="00EE5134">
      <w:pPr>
        <w:pStyle w:val="Heading3"/>
        <w:keepNext/>
        <w:spacing w:after="80" w:line="240" w:lineRule="auto"/>
        <w:rPr>
          <w:rFonts w:ascii="Arial" w:hAnsi="Arial" w:cs="Arial"/>
          <w:b/>
          <w:bCs/>
          <w:sz w:val="20"/>
        </w:rPr>
      </w:pPr>
      <w:bookmarkStart w:id="271" w:name="_8.2.9_Right_of"/>
      <w:bookmarkEnd w:id="271"/>
      <w:r>
        <w:rPr>
          <w:rFonts w:ascii="Arial" w:hAnsi="Arial" w:cs="Arial"/>
          <w:b/>
          <w:bCs/>
          <w:sz w:val="20"/>
        </w:rPr>
        <w:t>8.2.9</w:t>
      </w:r>
      <w:r>
        <w:rPr>
          <w:rFonts w:ascii="Arial" w:hAnsi="Arial" w:cs="Arial"/>
          <w:b/>
          <w:bCs/>
          <w:sz w:val="20"/>
        </w:rPr>
        <w:tab/>
        <w:t>Right of person under 1</w:t>
      </w:r>
      <w:r w:rsidR="003106FD">
        <w:rPr>
          <w:rFonts w:ascii="Arial" w:hAnsi="Arial" w:cs="Arial"/>
          <w:b/>
          <w:bCs/>
          <w:sz w:val="20"/>
        </w:rPr>
        <w:t>8</w:t>
      </w:r>
      <w:r>
        <w:rPr>
          <w:rFonts w:ascii="Arial" w:hAnsi="Arial" w:cs="Arial"/>
          <w:b/>
          <w:bCs/>
          <w:sz w:val="20"/>
        </w:rPr>
        <w:t xml:space="preserve"> to presence of parent, guardian or independent person</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4C3D233" w14:textId="77777777" w:rsidR="00EE5134" w:rsidRDefault="00EE5134">
      <w:pPr>
        <w:jc w:val="both"/>
        <w:rPr>
          <w:rFonts w:ascii="Arial" w:hAnsi="Arial" w:cs="Arial"/>
          <w:sz w:val="20"/>
        </w:rPr>
      </w:pPr>
      <w:r>
        <w:rPr>
          <w:rFonts w:ascii="Arial" w:hAnsi="Arial" w:cs="Arial"/>
          <w:sz w:val="20"/>
        </w:rPr>
        <w:t>Section 464E(1) provides that if a person in custody is under the age of 1</w:t>
      </w:r>
      <w:r w:rsidR="003106FD">
        <w:rPr>
          <w:rFonts w:ascii="Arial" w:hAnsi="Arial" w:cs="Arial"/>
          <w:sz w:val="20"/>
        </w:rPr>
        <w:t>8</w:t>
      </w:r>
      <w:r>
        <w:rPr>
          <w:rFonts w:ascii="Arial" w:hAnsi="Arial" w:cs="Arial"/>
          <w:sz w:val="20"/>
        </w:rPr>
        <w:t xml:space="preserve"> years, an investigating official must not, save for urgent situations referred to in s.464E(2), question or carry out an investigation ss.464A(2) or 464B(5) unless-</w:t>
      </w:r>
    </w:p>
    <w:p w14:paraId="2763BDE1"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a parent or guardian of the person in custody or, if a parent or guardian is not available, an independent person is present; and</w:t>
      </w:r>
    </w:p>
    <w:p w14:paraId="387821ED"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before the commencement of any questioning or investigation, the investigating official has allowed the person in custody to communicate with his or her parent or guardian or the independent person in circumstances in which as far as practicable the communication will not be overheard.</w:t>
      </w:r>
    </w:p>
    <w:p w14:paraId="73BA5BFC" w14:textId="77777777" w:rsidR="00EE5134" w:rsidRDefault="00EE5134">
      <w:pPr>
        <w:jc w:val="both"/>
        <w:rPr>
          <w:rFonts w:ascii="Arial" w:hAnsi="Arial" w:cs="Arial"/>
          <w:sz w:val="20"/>
        </w:rPr>
      </w:pPr>
    </w:p>
    <w:p w14:paraId="4F67B90C"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JPD</w:t>
      </w:r>
      <w:r>
        <w:rPr>
          <w:rFonts w:ascii="Arial" w:hAnsi="Arial" w:cs="Arial"/>
          <w:sz w:val="20"/>
        </w:rPr>
        <w:t xml:space="preserve"> [2002] VSC 202 the investigating police members, "conscious of their obligations" under s.464E, had made some endeavours to secure the attendance of a parent of the accused but "the impression was formed that, for one reason or another, this was unlikely to be arranged" and an independent person was used at the child's interview.  Vincent J held that the investigators had acted reasonably and had complied with s.464E.  At [7] he said:</w:t>
      </w:r>
    </w:p>
    <w:p w14:paraId="5932EDC8" w14:textId="77777777" w:rsidR="00EE5134" w:rsidRDefault="00EE5134" w:rsidP="00791752">
      <w:pPr>
        <w:spacing w:before="60"/>
        <w:ind w:left="567" w:right="567"/>
        <w:jc w:val="both"/>
        <w:rPr>
          <w:rFonts w:ascii="Arial" w:hAnsi="Arial" w:cs="Arial"/>
          <w:sz w:val="20"/>
        </w:rPr>
      </w:pPr>
      <w:r>
        <w:rPr>
          <w:rFonts w:ascii="Arial" w:hAnsi="Arial" w:cs="Arial"/>
          <w:sz w:val="20"/>
        </w:rPr>
        <w:t>"[T]he availability of a parent or guardian is essentially a question of fact but it does involve the assessment of the practicability of arranging attendance in the particular circumstances having regard to the situation of the young person and the investigation.  In the present matter, when it appeared that the presence of a parent could not be secured, at least for some time, a clearly appropriate independent person was contacted."</w:t>
      </w:r>
    </w:p>
    <w:p w14:paraId="11D8E521" w14:textId="77777777" w:rsidR="00EE5134" w:rsidRDefault="00EE5134">
      <w:pPr>
        <w:jc w:val="both"/>
        <w:rPr>
          <w:rFonts w:ascii="Arial" w:hAnsi="Arial" w:cs="Arial"/>
          <w:sz w:val="20"/>
        </w:rPr>
      </w:pPr>
    </w:p>
    <w:p w14:paraId="48DAE3CD"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DPP v Blake</w:t>
      </w:r>
      <w:r>
        <w:rPr>
          <w:rFonts w:ascii="Arial" w:hAnsi="Arial" w:cs="Arial"/>
          <w:sz w:val="20"/>
        </w:rPr>
        <w:t xml:space="preserve"> [1989] 1 WLR 432 the Divisional Court held that the mere presence of an adult who comes within the definition of an appropriate adult but with whom the juvenile has no empathy does not satisfy the English equivalent of s.464E.  By contrast, in </w:t>
      </w:r>
      <w:r>
        <w:rPr>
          <w:rFonts w:ascii="Arial" w:hAnsi="Arial" w:cs="Arial"/>
          <w:i/>
          <w:iCs/>
          <w:sz w:val="20"/>
        </w:rPr>
        <w:t>R v Cotton</w:t>
      </w:r>
      <w:r>
        <w:rPr>
          <w:rFonts w:ascii="Arial" w:hAnsi="Arial" w:cs="Arial"/>
          <w:sz w:val="20"/>
        </w:rPr>
        <w:t xml:space="preserve"> (1990) 19 NSWLR 593 at 595; 48 A Crim R 316, it was held under relevant NSW legislation that the presence of a father who did not have the day to day care of the child and with whom the child was not living nevertheless fulfilled the statutory requirement.</w:t>
      </w:r>
    </w:p>
    <w:p w14:paraId="10620DE3" w14:textId="77777777" w:rsidR="00EE5134" w:rsidRDefault="00EE5134">
      <w:pPr>
        <w:jc w:val="both"/>
        <w:rPr>
          <w:rFonts w:ascii="Arial" w:hAnsi="Arial" w:cs="Arial"/>
          <w:sz w:val="20"/>
        </w:rPr>
      </w:pPr>
    </w:p>
    <w:p w14:paraId="1CBB6BD9" w14:textId="322F26CF" w:rsidR="00EE5134" w:rsidRDefault="00EE5134">
      <w:pPr>
        <w:jc w:val="both"/>
        <w:rPr>
          <w:rFonts w:ascii="Arial" w:hAnsi="Arial" w:cs="Arial"/>
          <w:sz w:val="20"/>
        </w:rPr>
      </w:pPr>
      <w:r>
        <w:rPr>
          <w:rFonts w:ascii="Arial" w:hAnsi="Arial" w:cs="Arial"/>
          <w:sz w:val="20"/>
        </w:rPr>
        <w:t xml:space="preserve">In </w:t>
      </w:r>
      <w:r w:rsidR="002068A0" w:rsidRPr="002068A0">
        <w:rPr>
          <w:rFonts w:ascii="Arial" w:hAnsi="Arial" w:cs="Arial"/>
          <w:i/>
          <w:iCs/>
          <w:sz w:val="20"/>
        </w:rPr>
        <w:t xml:space="preserve">R v </w:t>
      </w:r>
      <w:r>
        <w:rPr>
          <w:rFonts w:ascii="Arial" w:hAnsi="Arial" w:cs="Arial"/>
          <w:i/>
          <w:iCs/>
          <w:sz w:val="20"/>
        </w:rPr>
        <w:t>H (A Child)</w:t>
      </w:r>
      <w:r>
        <w:rPr>
          <w:rFonts w:ascii="Arial" w:hAnsi="Arial" w:cs="Arial"/>
          <w:sz w:val="20"/>
        </w:rPr>
        <w:t xml:space="preserve"> (1996) 85 A Crim R 481 Hidden J discussed the role of an adult attending a child's interview pursuant to </w:t>
      </w:r>
      <w:r w:rsidR="009148E0">
        <w:rPr>
          <w:rFonts w:ascii="Arial" w:hAnsi="Arial" w:cs="Arial"/>
          <w:sz w:val="20"/>
        </w:rPr>
        <w:t xml:space="preserve">s.13 of the </w:t>
      </w:r>
      <w:r w:rsidR="009148E0" w:rsidRPr="009148E0">
        <w:rPr>
          <w:rFonts w:ascii="Arial" w:hAnsi="Arial" w:cs="Arial"/>
          <w:i/>
          <w:iCs/>
          <w:sz w:val="20"/>
        </w:rPr>
        <w:t>Children (Criminal Proceedings) Act 1987</w:t>
      </w:r>
      <w:r w:rsidR="00AD0609">
        <w:rPr>
          <w:rFonts w:ascii="Arial" w:hAnsi="Arial" w:cs="Arial"/>
          <w:i/>
          <w:iCs/>
          <w:sz w:val="20"/>
        </w:rPr>
        <w:t xml:space="preserve"> </w:t>
      </w:r>
      <w:r w:rsidR="00AD0609" w:rsidRPr="00AD0609">
        <w:rPr>
          <w:rFonts w:ascii="Arial" w:hAnsi="Arial" w:cs="Arial"/>
          <w:sz w:val="20"/>
        </w:rPr>
        <w:t>NSW</w:t>
      </w:r>
      <w:r w:rsidR="009148E0">
        <w:rPr>
          <w:rFonts w:ascii="Arial" w:hAnsi="Arial" w:cs="Arial"/>
          <w:sz w:val="20"/>
        </w:rPr>
        <w:t xml:space="preserve"> which </w:t>
      </w:r>
      <w:r w:rsidR="002B7B1C">
        <w:rPr>
          <w:rFonts w:ascii="Arial" w:hAnsi="Arial" w:cs="Arial"/>
          <w:sz w:val="20"/>
        </w:rPr>
        <w:t xml:space="preserve">– </w:t>
      </w:r>
      <w:r w:rsidR="009148E0">
        <w:rPr>
          <w:rFonts w:ascii="Arial" w:hAnsi="Arial" w:cs="Arial"/>
          <w:sz w:val="20"/>
        </w:rPr>
        <w:t>although</w:t>
      </w:r>
      <w:r w:rsidR="002B7B1C">
        <w:rPr>
          <w:rFonts w:ascii="Arial" w:hAnsi="Arial" w:cs="Arial"/>
          <w:sz w:val="20"/>
        </w:rPr>
        <w:t xml:space="preserve"> </w:t>
      </w:r>
      <w:r w:rsidR="009148E0">
        <w:rPr>
          <w:rFonts w:ascii="Arial" w:hAnsi="Arial" w:cs="Arial"/>
          <w:sz w:val="20"/>
        </w:rPr>
        <w:t xml:space="preserve">expressed in somewhat broader terms than s.464E </w:t>
      </w:r>
      <w:r w:rsidR="002B7B1C">
        <w:rPr>
          <w:rFonts w:ascii="Arial" w:hAnsi="Arial" w:cs="Arial"/>
          <w:sz w:val="20"/>
        </w:rPr>
        <w:t xml:space="preserve">– </w:t>
      </w:r>
      <w:r w:rsidR="009148E0">
        <w:rPr>
          <w:rFonts w:ascii="Arial" w:hAnsi="Arial" w:cs="Arial"/>
          <w:sz w:val="20"/>
        </w:rPr>
        <w:t>was</w:t>
      </w:r>
      <w:r w:rsidR="002B7B1C">
        <w:rPr>
          <w:rFonts w:ascii="Arial" w:hAnsi="Arial" w:cs="Arial"/>
          <w:sz w:val="20"/>
        </w:rPr>
        <w:t xml:space="preserve"> </w:t>
      </w:r>
      <w:r w:rsidR="009148E0">
        <w:rPr>
          <w:rFonts w:ascii="Arial" w:hAnsi="Arial" w:cs="Arial"/>
          <w:sz w:val="20"/>
        </w:rPr>
        <w:t xml:space="preserve">said by Bell J in </w:t>
      </w:r>
      <w:r w:rsidR="009148E0" w:rsidRPr="000E5A20">
        <w:rPr>
          <w:rFonts w:ascii="Arial" w:hAnsi="Arial" w:cs="Arial"/>
          <w:i/>
          <w:sz w:val="20"/>
        </w:rPr>
        <w:t>DPP v Toomalat</w:t>
      </w:r>
      <w:r w:rsidR="009148E0">
        <w:rPr>
          <w:rFonts w:ascii="Arial" w:hAnsi="Arial" w:cs="Arial"/>
          <w:i/>
          <w:sz w:val="20"/>
        </w:rPr>
        <w:t>a</w:t>
      </w:r>
      <w:r w:rsidR="009148E0" w:rsidRPr="000E5A20">
        <w:rPr>
          <w:rFonts w:ascii="Arial" w:hAnsi="Arial" w:cs="Arial"/>
          <w:i/>
          <w:sz w:val="20"/>
        </w:rPr>
        <w:t>i</w:t>
      </w:r>
      <w:r w:rsidR="009148E0">
        <w:rPr>
          <w:rFonts w:ascii="Arial" w:hAnsi="Arial" w:cs="Arial"/>
          <w:sz w:val="20"/>
        </w:rPr>
        <w:t xml:space="preserve"> </w:t>
      </w:r>
      <w:r w:rsidR="009148E0" w:rsidRPr="00420987">
        <w:rPr>
          <w:rFonts w:ascii="Arial" w:hAnsi="Arial" w:cs="Arial"/>
          <w:sz w:val="20"/>
          <w:szCs w:val="20"/>
        </w:rPr>
        <w:t>(2006) 13</w:t>
      </w:r>
      <w:r w:rsidR="00AD0609">
        <w:rPr>
          <w:rFonts w:ascii="Arial" w:hAnsi="Arial" w:cs="Arial"/>
          <w:sz w:val="20"/>
          <w:szCs w:val="20"/>
        </w:rPr>
        <w:t> </w:t>
      </w:r>
      <w:r w:rsidR="009148E0" w:rsidRPr="00420987">
        <w:rPr>
          <w:rFonts w:ascii="Arial" w:hAnsi="Arial" w:cs="Arial"/>
          <w:sz w:val="20"/>
          <w:szCs w:val="20"/>
        </w:rPr>
        <w:t>VR 319</w:t>
      </w:r>
      <w:r w:rsidR="009148E0">
        <w:rPr>
          <w:rFonts w:ascii="Arial" w:hAnsi="Arial" w:cs="Arial"/>
          <w:sz w:val="20"/>
          <w:szCs w:val="20"/>
        </w:rPr>
        <w:t>;</w:t>
      </w:r>
      <w:r w:rsidR="009148E0">
        <w:rPr>
          <w:rFonts w:ascii="Arial" w:hAnsi="Arial" w:cs="Arial"/>
          <w:sz w:val="20"/>
        </w:rPr>
        <w:t xml:space="preserve"> [2006] VSC 256 at [63] </w:t>
      </w:r>
      <w:r w:rsidR="00AD0609">
        <w:rPr>
          <w:rFonts w:ascii="Arial" w:hAnsi="Arial" w:cs="Arial"/>
          <w:sz w:val="20"/>
        </w:rPr>
        <w:t xml:space="preserve">not to be materially different in this regard.  </w:t>
      </w:r>
      <w:r>
        <w:rPr>
          <w:rFonts w:ascii="Arial" w:hAnsi="Arial" w:cs="Arial"/>
          <w:sz w:val="20"/>
        </w:rPr>
        <w:t xml:space="preserve">After citing with approval dicta of Roden J in </w:t>
      </w:r>
      <w:r>
        <w:rPr>
          <w:rFonts w:ascii="Arial" w:hAnsi="Arial" w:cs="Arial"/>
          <w:i/>
          <w:iCs/>
          <w:sz w:val="20"/>
        </w:rPr>
        <w:t>Williams</w:t>
      </w:r>
      <w:r>
        <w:rPr>
          <w:rFonts w:ascii="Arial" w:hAnsi="Arial" w:cs="Arial"/>
          <w:sz w:val="20"/>
        </w:rPr>
        <w:t xml:space="preserve"> [Supreme Court of NSW, unreported, </w:t>
      </w:r>
      <w:smartTag w:uri="urn:schemas-microsoft-com:office:smarttags" w:element="date">
        <w:smartTagPr>
          <w:attr w:name="Year" w:val="1982"/>
          <w:attr w:name="Day" w:val="9"/>
          <w:attr w:name="Month" w:val="8"/>
        </w:smartTagPr>
        <w:r>
          <w:rPr>
            <w:rFonts w:ascii="Arial" w:hAnsi="Arial" w:cs="Arial"/>
            <w:sz w:val="20"/>
          </w:rPr>
          <w:t>09/08/1982</w:t>
        </w:r>
      </w:smartTag>
      <w:r>
        <w:rPr>
          <w:rFonts w:ascii="Arial" w:hAnsi="Arial" w:cs="Arial"/>
          <w:sz w:val="20"/>
        </w:rPr>
        <w:t>], Hidden J said at 486-7:</w:t>
      </w:r>
    </w:p>
    <w:p w14:paraId="5D252804" w14:textId="77777777" w:rsidR="00EE5134" w:rsidRDefault="00EE5134">
      <w:pPr>
        <w:spacing w:before="60"/>
        <w:ind w:left="567" w:right="567"/>
        <w:jc w:val="both"/>
        <w:rPr>
          <w:rFonts w:ascii="Arial" w:hAnsi="Arial" w:cs="Arial"/>
          <w:sz w:val="20"/>
        </w:rPr>
      </w:pPr>
      <w:r>
        <w:rPr>
          <w:rFonts w:ascii="Arial" w:hAnsi="Arial" w:cs="Arial"/>
          <w:sz w:val="20"/>
        </w:rPr>
        <w:t xml:space="preserve">"The primary aim of such a provision is to protect children from the disadvantaged position inherent in their age, quite apart from any impropriety on the part of the police.  That protective purpose can be met only by an adult who is free, not only to protect against perceived unfairness, but also to advise the child of his or her rights.  As the occasion requires, this advice might be a reminder of the right to silence, or an admonition against further participation in an interview in the absence of legal advice…Obviously, the right of an adult to intervene in the course of an interview is not unfettered.  Police should not be required to tolerate behaviour which is abusive or obstructive.  Nor should the adult be permitted to become the child's 'mouthpiece', so that the answers supplied are not really those of the child.  Unacceptable behaviour of that kind may justify interviewing police in demanding that the adult leave the interview room.  </w:t>
      </w:r>
      <w:r>
        <w:rPr>
          <w:rFonts w:ascii="Arial" w:hAnsi="Arial" w:cs="Arial"/>
          <w:sz w:val="20"/>
        </w:rPr>
        <w:lastRenderedPageBreak/>
        <w:t>In that event, however, the interview should not continue until the presence of another appropriate adult has been secured".</w:t>
      </w:r>
    </w:p>
    <w:p w14:paraId="757D0687" w14:textId="77777777" w:rsidR="00EE5134" w:rsidRDefault="00EE5134">
      <w:pPr>
        <w:pStyle w:val="Heading1"/>
        <w:numPr>
          <w:ilvl w:val="0"/>
          <w:numId w:val="0"/>
        </w:numPr>
        <w:spacing w:before="0" w:line="240" w:lineRule="auto"/>
        <w:ind w:left="720" w:hanging="720"/>
        <w:rPr>
          <w:rFonts w:ascii="Arial" w:hAnsi="Arial" w:cs="Arial"/>
          <w:sz w:val="20"/>
        </w:rPr>
      </w:pPr>
    </w:p>
    <w:p w14:paraId="58706A85" w14:textId="77777777" w:rsidR="00EE5134" w:rsidRDefault="00EE5134">
      <w:pPr>
        <w:jc w:val="both"/>
        <w:rPr>
          <w:rFonts w:ascii="Arial" w:hAnsi="Arial" w:cs="Arial"/>
          <w:sz w:val="20"/>
        </w:rPr>
      </w:pPr>
      <w:r>
        <w:rPr>
          <w:rFonts w:ascii="Arial" w:hAnsi="Arial" w:cs="Arial"/>
          <w:sz w:val="20"/>
        </w:rPr>
        <w:t xml:space="preserve">The role of an independent person in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was discussed by Hampel J in </w:t>
      </w:r>
      <w:r>
        <w:rPr>
          <w:rFonts w:ascii="Arial" w:hAnsi="Arial" w:cs="Arial"/>
          <w:i/>
          <w:iCs/>
          <w:sz w:val="20"/>
        </w:rPr>
        <w:t>R v G</w:t>
      </w:r>
      <w:r>
        <w:rPr>
          <w:rFonts w:ascii="Arial" w:hAnsi="Arial" w:cs="Arial"/>
          <w:sz w:val="20"/>
        </w:rPr>
        <w:t xml:space="preserve"> [Supreme Court of Victoria, unreported, 22/071994].  G was a 14 year old Aboriginal boy with an IQ of 72 who was on trial for murder.  He had made admissions to police in a record of interview.  Before the interview G had spoken with a Mr R in the following circumstances, recounted by Hampel J at pp.172-3 of the transcript:</w:t>
      </w:r>
    </w:p>
    <w:p w14:paraId="6BB3455C" w14:textId="77777777" w:rsidR="00EE5134" w:rsidRDefault="00EE5134">
      <w:pPr>
        <w:spacing w:before="60"/>
        <w:ind w:left="567" w:right="567"/>
        <w:jc w:val="both"/>
        <w:rPr>
          <w:rFonts w:ascii="Arial" w:hAnsi="Arial" w:cs="Arial"/>
          <w:sz w:val="20"/>
        </w:rPr>
      </w:pPr>
      <w:r>
        <w:rPr>
          <w:rFonts w:ascii="Arial" w:hAnsi="Arial" w:cs="Arial"/>
          <w:sz w:val="20"/>
        </w:rPr>
        <w:t xml:space="preserve">"He had made an admission at the police station…He then spoke to a solicitor whose advice he did not want and probably did not trust, so much so that later he did not even want to have him in the room.  He had a private conversation with two men who were to act as independent persons while the accused was to be questioned, or at least one of them was to act in that capacity…The accused would have perceived those two, particularly Mr R, to be people in authority upon whose help he could rely.  Mr R was in fact chosen by the accused to sit in on the interview.  It was Mr R, during the private conversation, who perceived that the accused may not have realized the seriousness of his position and hoped that Mr R would take him home.  Mr R was in fact related to him.  The accused had met him before.  It was in those circumstances and in that relationship between them that Mr R questioned the accused about the very matter that was to be the subject of the interrogation by the police…It is clear, in my view, that although the accused realized that he did not have to answer questions, he would probably have concluded from what was said to him by Mr R that some help and assistance would be available if he told the truth both to Mr R and the police.  He may well have hoped that Mr R would be able to take him home.  All this, of course, must be considered by reference to the fact that the accused was a 14 year old boy with an IQ of 72, which is only 3 points above what is classified as intellectually disabled." </w:t>
      </w:r>
    </w:p>
    <w:p w14:paraId="5778BA7B" w14:textId="77777777" w:rsidR="00EE5134" w:rsidRDefault="00EE5134">
      <w:pPr>
        <w:jc w:val="both"/>
        <w:rPr>
          <w:rFonts w:ascii="Arial" w:hAnsi="Arial" w:cs="Arial"/>
          <w:sz w:val="20"/>
        </w:rPr>
      </w:pPr>
    </w:p>
    <w:p w14:paraId="4D96D56D" w14:textId="77777777" w:rsidR="00EE5134" w:rsidRDefault="00EE5134">
      <w:pPr>
        <w:jc w:val="both"/>
        <w:rPr>
          <w:rFonts w:ascii="Arial" w:hAnsi="Arial" w:cs="Arial"/>
          <w:sz w:val="20"/>
        </w:rPr>
      </w:pPr>
      <w:r>
        <w:rPr>
          <w:rFonts w:ascii="Arial" w:hAnsi="Arial" w:cs="Arial"/>
          <w:sz w:val="20"/>
        </w:rPr>
        <w:t>Hampel J excluded the record of interview, finding that it was not "voluntary in the legal sense":</w:t>
      </w:r>
    </w:p>
    <w:p w14:paraId="2E86A126" w14:textId="77777777" w:rsidR="00EE5134" w:rsidRDefault="00EE5134">
      <w:pPr>
        <w:spacing w:before="60"/>
        <w:ind w:left="567" w:right="567"/>
        <w:jc w:val="both"/>
        <w:rPr>
          <w:rFonts w:ascii="Arial" w:hAnsi="Arial" w:cs="Arial"/>
          <w:sz w:val="20"/>
        </w:rPr>
      </w:pPr>
      <w:r>
        <w:rPr>
          <w:rFonts w:ascii="Arial" w:hAnsi="Arial" w:cs="Arial"/>
          <w:sz w:val="20"/>
        </w:rPr>
        <w:t xml:space="preserve">"I think what was said to [G] during these private conversations [with Mr R], in the circumstances in which he found himself, and given his age and intellectual capacity, very probably operated as an inducement to answer questions, despite the fact that he had been told, and I think, understood, that he did not have to do so." </w:t>
      </w:r>
    </w:p>
    <w:p w14:paraId="7DE0ED84" w14:textId="77777777" w:rsidR="00EE5134" w:rsidRDefault="00EE5134">
      <w:pPr>
        <w:jc w:val="both"/>
        <w:rPr>
          <w:rFonts w:ascii="Arial" w:hAnsi="Arial" w:cs="Arial"/>
          <w:sz w:val="20"/>
        </w:rPr>
      </w:pPr>
    </w:p>
    <w:p w14:paraId="3904E26E" w14:textId="77777777" w:rsidR="00EE5134" w:rsidRDefault="00EE5134">
      <w:pPr>
        <w:jc w:val="both"/>
        <w:rPr>
          <w:rFonts w:ascii="Arial" w:hAnsi="Arial" w:cs="Arial"/>
          <w:sz w:val="20"/>
        </w:rPr>
      </w:pPr>
      <w:r>
        <w:rPr>
          <w:rFonts w:ascii="Arial" w:hAnsi="Arial" w:cs="Arial"/>
          <w:sz w:val="20"/>
        </w:rPr>
        <w:t>At p.175 of the transcript, his Honour also made some observations about the role of independent persons in terms which suggest that an independent person would be wise to make and retain fairly detailed notes of his or her conversation with a young suspect prior to questioning.</w:t>
      </w:r>
    </w:p>
    <w:p w14:paraId="0B6F6B02" w14:textId="77777777" w:rsidR="00EE5134" w:rsidRDefault="00EE5134">
      <w:pPr>
        <w:spacing w:before="60"/>
        <w:ind w:left="567" w:right="567"/>
        <w:jc w:val="both"/>
        <w:rPr>
          <w:rFonts w:ascii="Arial" w:hAnsi="Arial" w:cs="Arial"/>
          <w:sz w:val="20"/>
        </w:rPr>
      </w:pPr>
      <w:r>
        <w:rPr>
          <w:rFonts w:ascii="Arial" w:hAnsi="Arial" w:cs="Arial"/>
          <w:sz w:val="20"/>
        </w:rPr>
        <w:t>"[I]n my view problems will inevitably arise if an accused is questioned by [an independent] person about the crime under investigation and is offered assistance, coupled with advice, particularly about telling the truth.  Problems will also arise, as I think they have arisen here, where the independent person is not able to give a fairly full and accurate account of what transpired during the private conversation with the accused once any issue about the effect</w:t>
      </w:r>
      <w:r w:rsidR="00DA2E45">
        <w:rPr>
          <w:rFonts w:ascii="Arial" w:hAnsi="Arial" w:cs="Arial"/>
          <w:sz w:val="20"/>
        </w:rPr>
        <w:t xml:space="preserve"> of such conversations arises."</w:t>
      </w:r>
    </w:p>
    <w:p w14:paraId="4C68E56C" w14:textId="77777777" w:rsidR="00EE5134" w:rsidRDefault="00EE5134">
      <w:pPr>
        <w:jc w:val="both"/>
        <w:rPr>
          <w:rFonts w:ascii="Arial" w:hAnsi="Arial" w:cs="Arial"/>
          <w:sz w:val="20"/>
        </w:rPr>
      </w:pPr>
    </w:p>
    <w:p w14:paraId="6F3634D3" w14:textId="6D8F35E9" w:rsidR="000359A7" w:rsidRDefault="000E5A20">
      <w:pPr>
        <w:jc w:val="both"/>
        <w:rPr>
          <w:rFonts w:ascii="Arial" w:hAnsi="Arial" w:cs="Arial"/>
          <w:sz w:val="20"/>
        </w:rPr>
      </w:pPr>
      <w:r>
        <w:rPr>
          <w:rFonts w:ascii="Arial" w:hAnsi="Arial" w:cs="Arial"/>
          <w:sz w:val="20"/>
        </w:rPr>
        <w:t xml:space="preserve">In </w:t>
      </w:r>
      <w:r w:rsidRPr="000E5A20">
        <w:rPr>
          <w:rFonts w:ascii="Arial" w:hAnsi="Arial" w:cs="Arial"/>
          <w:i/>
          <w:sz w:val="20"/>
        </w:rPr>
        <w:t>DPP v Toomalat</w:t>
      </w:r>
      <w:r>
        <w:rPr>
          <w:rFonts w:ascii="Arial" w:hAnsi="Arial" w:cs="Arial"/>
          <w:i/>
          <w:sz w:val="20"/>
        </w:rPr>
        <w:t>a</w:t>
      </w:r>
      <w:r w:rsidRPr="000E5A20">
        <w:rPr>
          <w:rFonts w:ascii="Arial" w:hAnsi="Arial" w:cs="Arial"/>
          <w:i/>
          <w:sz w:val="20"/>
        </w:rPr>
        <w:t>i</w:t>
      </w:r>
      <w:r>
        <w:rPr>
          <w:rFonts w:ascii="Arial" w:hAnsi="Arial" w:cs="Arial"/>
          <w:sz w:val="20"/>
        </w:rPr>
        <w:t xml:space="preserve"> </w:t>
      </w:r>
      <w:r w:rsidR="00AD0609" w:rsidRPr="00420987">
        <w:rPr>
          <w:rFonts w:ascii="Arial" w:hAnsi="Arial" w:cs="Arial"/>
          <w:sz w:val="20"/>
          <w:szCs w:val="20"/>
        </w:rPr>
        <w:t>(2006) 13 VR 319</w:t>
      </w:r>
      <w:r w:rsidR="00AD0609">
        <w:rPr>
          <w:rFonts w:ascii="Arial" w:hAnsi="Arial" w:cs="Arial"/>
          <w:sz w:val="20"/>
          <w:szCs w:val="20"/>
        </w:rPr>
        <w:t>;</w:t>
      </w:r>
      <w:r w:rsidR="00AD0609">
        <w:rPr>
          <w:rFonts w:ascii="Arial" w:hAnsi="Arial" w:cs="Arial"/>
          <w:sz w:val="20"/>
        </w:rPr>
        <w:t xml:space="preserve"> </w:t>
      </w:r>
      <w:r>
        <w:rPr>
          <w:rFonts w:ascii="Arial" w:hAnsi="Arial" w:cs="Arial"/>
          <w:sz w:val="20"/>
        </w:rPr>
        <w:t xml:space="preserve">[2006] VSC 256 the defendant, who was </w:t>
      </w:r>
      <w:r w:rsidR="002B7B1C">
        <w:rPr>
          <w:rFonts w:ascii="Arial" w:hAnsi="Arial" w:cs="Arial"/>
          <w:sz w:val="20"/>
        </w:rPr>
        <w:t xml:space="preserve">aged </w:t>
      </w:r>
      <w:r>
        <w:rPr>
          <w:rFonts w:ascii="Arial" w:hAnsi="Arial" w:cs="Arial"/>
          <w:sz w:val="20"/>
        </w:rPr>
        <w:t>16 years and 2</w:t>
      </w:r>
      <w:r w:rsidR="002B7B1C">
        <w:rPr>
          <w:rFonts w:ascii="Arial" w:hAnsi="Arial" w:cs="Arial"/>
          <w:sz w:val="20"/>
        </w:rPr>
        <w:t> </w:t>
      </w:r>
      <w:r>
        <w:rPr>
          <w:rFonts w:ascii="Arial" w:hAnsi="Arial" w:cs="Arial"/>
          <w:sz w:val="20"/>
        </w:rPr>
        <w:t xml:space="preserve">months, was charged with affray, manslaughter and intentionally or recklessly causing serious injury.  </w:t>
      </w:r>
      <w:r w:rsidR="000359A7">
        <w:rPr>
          <w:rFonts w:ascii="Arial" w:hAnsi="Arial" w:cs="Arial"/>
          <w:sz w:val="20"/>
        </w:rPr>
        <w:t xml:space="preserve">His father having declined to attend the interview, police arranged for a Justice of the Peace to attend as an independent person pursuant to s.464E(1) of the </w:t>
      </w:r>
      <w:r w:rsidR="000359A7" w:rsidRPr="002B7B1C">
        <w:rPr>
          <w:rFonts w:ascii="Arial" w:hAnsi="Arial" w:cs="Arial"/>
          <w:i/>
          <w:iCs/>
          <w:sz w:val="20"/>
        </w:rPr>
        <w:t>Crimes Act 1958</w:t>
      </w:r>
      <w:r w:rsidR="000359A7">
        <w:rPr>
          <w:rFonts w:ascii="Arial" w:hAnsi="Arial" w:cs="Arial"/>
          <w:sz w:val="20"/>
        </w:rPr>
        <w:t xml:space="preserve"> (Vic).  In the independent person’s presence the police properly cautioned the defendant and then interviewed him.  Just before the interview began, the independent person admonished the defendant for being involved in the incident, told him that his father would be devastated and conveyed the impression it would be in the defendant’s interests to speak to the police.  During the interview the defendant made gushing </w:t>
      </w:r>
      <w:r w:rsidR="001B188D">
        <w:rPr>
          <w:rFonts w:ascii="Arial" w:hAnsi="Arial" w:cs="Arial"/>
          <w:sz w:val="20"/>
        </w:rPr>
        <w:t xml:space="preserve">and reckless </w:t>
      </w:r>
      <w:r w:rsidR="000359A7">
        <w:rPr>
          <w:rFonts w:ascii="Arial" w:hAnsi="Arial" w:cs="Arial"/>
          <w:sz w:val="20"/>
        </w:rPr>
        <w:t xml:space="preserve">admissions about his role in the fight.  The independent person was genuinely trying to help the defendant but in the interview he just sat passively by.  At [89] </w:t>
      </w:r>
      <w:r>
        <w:rPr>
          <w:rFonts w:ascii="Arial" w:hAnsi="Arial" w:cs="Arial"/>
          <w:sz w:val="20"/>
        </w:rPr>
        <w:t xml:space="preserve">Bell J held that admissions made by the defendant were made voluntarily but that evidence of them should be excluded in the exercise </w:t>
      </w:r>
      <w:r w:rsidR="002F68CB">
        <w:rPr>
          <w:rFonts w:ascii="Arial" w:hAnsi="Arial" w:cs="Arial"/>
          <w:sz w:val="20"/>
        </w:rPr>
        <w:t xml:space="preserve">of </w:t>
      </w:r>
      <w:r>
        <w:rPr>
          <w:rFonts w:ascii="Arial" w:hAnsi="Arial" w:cs="Arial"/>
          <w:sz w:val="20"/>
        </w:rPr>
        <w:t xml:space="preserve">his judicial discretion on the basis that the failings of the independent person were so serious, the disadvantages faced by the defendant in the interview were so great and the admissions made by him so unreliable that it would be unfair to allow them to be used against him in the trial.  </w:t>
      </w:r>
      <w:r w:rsidR="000359A7">
        <w:rPr>
          <w:rFonts w:ascii="Arial" w:hAnsi="Arial" w:cs="Arial"/>
          <w:sz w:val="20"/>
        </w:rPr>
        <w:t xml:space="preserve">At [33]-[34] Bell J held that the independent person was a “person in authority”, relying on dicta of Hampel J in the afore-mentioned case of </w:t>
      </w:r>
      <w:r w:rsidR="000359A7" w:rsidRPr="000359A7">
        <w:rPr>
          <w:rFonts w:ascii="Arial" w:hAnsi="Arial" w:cs="Arial"/>
          <w:i/>
          <w:sz w:val="20"/>
        </w:rPr>
        <w:t>R v G</w:t>
      </w:r>
      <w:r w:rsidR="000359A7">
        <w:rPr>
          <w:rFonts w:ascii="Arial" w:hAnsi="Arial" w:cs="Arial"/>
          <w:sz w:val="20"/>
        </w:rPr>
        <w:t xml:space="preserve"> and of Wood J in </w:t>
      </w:r>
      <w:r w:rsidR="000359A7" w:rsidRPr="00534C0D">
        <w:rPr>
          <w:rFonts w:ascii="Arial" w:hAnsi="Arial" w:cs="Arial"/>
          <w:i/>
          <w:sz w:val="20"/>
        </w:rPr>
        <w:t>R v Dixon</w:t>
      </w:r>
      <w:r w:rsidR="000359A7">
        <w:rPr>
          <w:rFonts w:ascii="Arial" w:hAnsi="Arial" w:cs="Arial"/>
          <w:sz w:val="20"/>
        </w:rPr>
        <w:t xml:space="preserve"> (1992) 28 NSWLR 215 at 229.  In the course of his extensive ruling Bell J discussed</w:t>
      </w:r>
      <w:r w:rsidR="001B188D">
        <w:rPr>
          <w:rFonts w:ascii="Arial" w:hAnsi="Arial" w:cs="Arial"/>
          <w:sz w:val="20"/>
        </w:rPr>
        <w:t xml:space="preserve"> a </w:t>
      </w:r>
      <w:r w:rsidR="000359A7">
        <w:rPr>
          <w:rFonts w:ascii="Arial" w:hAnsi="Arial" w:cs="Arial"/>
          <w:sz w:val="20"/>
        </w:rPr>
        <w:t xml:space="preserve">number of cases </w:t>
      </w:r>
      <w:r w:rsidR="00570B05">
        <w:rPr>
          <w:rFonts w:ascii="Arial" w:hAnsi="Arial" w:cs="Arial"/>
          <w:sz w:val="20"/>
        </w:rPr>
        <w:t>under the following headings</w:t>
      </w:r>
      <w:r w:rsidR="001B188D">
        <w:rPr>
          <w:rFonts w:ascii="Arial" w:hAnsi="Arial" w:cs="Arial"/>
          <w:sz w:val="20"/>
        </w:rPr>
        <w:t>:</w:t>
      </w:r>
    </w:p>
    <w:p w14:paraId="671599B1" w14:textId="77777777" w:rsidR="00A91E87" w:rsidRDefault="001B188D" w:rsidP="00A91E87">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lastRenderedPageBreak/>
        <w:t>[48]-</w:t>
      </w:r>
      <w:r w:rsidR="009D4C93">
        <w:rPr>
          <w:rFonts w:ascii="Arial" w:hAnsi="Arial" w:cs="Arial"/>
          <w:sz w:val="20"/>
        </w:rPr>
        <w:t>[</w:t>
      </w:r>
      <w:r w:rsidR="00570B05">
        <w:rPr>
          <w:rFonts w:ascii="Arial" w:hAnsi="Arial" w:cs="Arial"/>
          <w:sz w:val="20"/>
        </w:rPr>
        <w:t>50]:</w:t>
      </w:r>
      <w:r w:rsidR="00570B05">
        <w:rPr>
          <w:rFonts w:ascii="Arial" w:hAnsi="Arial" w:cs="Arial"/>
          <w:sz w:val="20"/>
        </w:rPr>
        <w:tab/>
      </w:r>
      <w:r>
        <w:rPr>
          <w:rFonts w:ascii="Arial" w:hAnsi="Arial" w:cs="Arial"/>
          <w:sz w:val="20"/>
        </w:rPr>
        <w:t>How failing to comply with a procedural rule affects the exercise of the unfairness discretion.</w:t>
      </w:r>
    </w:p>
    <w:p w14:paraId="3C343872" w14:textId="49A3F7FB" w:rsidR="00570B05" w:rsidRDefault="00570B05" w:rsidP="00295588">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t>[51]-[54]:</w:t>
      </w:r>
      <w:r>
        <w:rPr>
          <w:rFonts w:ascii="Arial" w:hAnsi="Arial" w:cs="Arial"/>
          <w:sz w:val="20"/>
        </w:rPr>
        <w:tab/>
      </w:r>
      <w:r w:rsidR="001B188D">
        <w:rPr>
          <w:rFonts w:ascii="Arial" w:hAnsi="Arial" w:cs="Arial"/>
          <w:sz w:val="20"/>
        </w:rPr>
        <w:t>Failing properly to interrogate children: a short survey of the Australian cases.</w:t>
      </w:r>
    </w:p>
    <w:p w14:paraId="3A6647C7" w14:textId="77777777" w:rsidR="00570B05" w:rsidRDefault="001B188D" w:rsidP="00295588">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t>[59]-[64]:</w:t>
      </w:r>
      <w:r w:rsidR="00570B05">
        <w:rPr>
          <w:rFonts w:ascii="Arial" w:hAnsi="Arial" w:cs="Arial"/>
          <w:sz w:val="20"/>
        </w:rPr>
        <w:tab/>
      </w:r>
      <w:r>
        <w:rPr>
          <w:rFonts w:ascii="Arial" w:hAnsi="Arial" w:cs="Arial"/>
          <w:sz w:val="20"/>
        </w:rPr>
        <w:t>What is the proper role of an independent person?</w:t>
      </w:r>
    </w:p>
    <w:p w14:paraId="00DC7962" w14:textId="77777777" w:rsidR="00570B05" w:rsidRDefault="00570B05" w:rsidP="00295588">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t>[65]-[75]:</w:t>
      </w:r>
      <w:r>
        <w:rPr>
          <w:rFonts w:ascii="Arial" w:hAnsi="Arial" w:cs="Arial"/>
          <w:sz w:val="20"/>
        </w:rPr>
        <w:tab/>
      </w:r>
      <w:r w:rsidR="001B188D">
        <w:rPr>
          <w:rFonts w:ascii="Arial" w:hAnsi="Arial" w:cs="Arial"/>
          <w:sz w:val="20"/>
        </w:rPr>
        <w:t>Failing properly to perform the functions of an independent person: a short survey of the Australian cases.</w:t>
      </w:r>
    </w:p>
    <w:p w14:paraId="728B269F" w14:textId="77777777" w:rsidR="008A7AD6" w:rsidRDefault="008A7AD6" w:rsidP="008A7AD6">
      <w:pPr>
        <w:jc w:val="both"/>
        <w:rPr>
          <w:rFonts w:ascii="Arial" w:hAnsi="Arial" w:cs="Arial"/>
          <w:color w:val="000000"/>
          <w:sz w:val="20"/>
        </w:rPr>
      </w:pPr>
    </w:p>
    <w:p w14:paraId="5D3AB65F" w14:textId="25DDB550" w:rsidR="002B7B1C" w:rsidRDefault="002B7B1C" w:rsidP="008A7AD6">
      <w:pPr>
        <w:jc w:val="both"/>
        <w:rPr>
          <w:rFonts w:ascii="Arial" w:hAnsi="Arial" w:cs="Arial"/>
          <w:color w:val="000000"/>
          <w:sz w:val="20"/>
        </w:rPr>
      </w:pPr>
      <w:r>
        <w:rPr>
          <w:rFonts w:ascii="Arial" w:hAnsi="Arial" w:cs="Arial"/>
          <w:color w:val="000000"/>
          <w:sz w:val="20"/>
        </w:rPr>
        <w:t xml:space="preserve">Since the decisions in </w:t>
      </w:r>
      <w:r w:rsidR="002068A0" w:rsidRPr="002068A0">
        <w:rPr>
          <w:rFonts w:ascii="Arial" w:hAnsi="Arial" w:cs="Arial"/>
          <w:i/>
          <w:iCs/>
          <w:color w:val="000000"/>
          <w:sz w:val="20"/>
        </w:rPr>
        <w:t xml:space="preserve">R v </w:t>
      </w:r>
      <w:r>
        <w:rPr>
          <w:rFonts w:ascii="Arial" w:hAnsi="Arial" w:cs="Arial"/>
          <w:i/>
          <w:iCs/>
          <w:sz w:val="20"/>
        </w:rPr>
        <w:t>H (A Child)</w:t>
      </w:r>
      <w:r>
        <w:rPr>
          <w:rFonts w:ascii="Arial" w:hAnsi="Arial" w:cs="Arial"/>
          <w:sz w:val="20"/>
        </w:rPr>
        <w:t xml:space="preserve"> (1996) 85 A Crim R 481 and </w:t>
      </w:r>
      <w:r w:rsidRPr="000E5A20">
        <w:rPr>
          <w:rFonts w:ascii="Arial" w:hAnsi="Arial" w:cs="Arial"/>
          <w:i/>
          <w:sz w:val="20"/>
        </w:rPr>
        <w:t>DPP v Toomalat</w:t>
      </w:r>
      <w:r>
        <w:rPr>
          <w:rFonts w:ascii="Arial" w:hAnsi="Arial" w:cs="Arial"/>
          <w:i/>
          <w:sz w:val="20"/>
        </w:rPr>
        <w:t>a</w:t>
      </w:r>
      <w:r w:rsidRPr="000E5A20">
        <w:rPr>
          <w:rFonts w:ascii="Arial" w:hAnsi="Arial" w:cs="Arial"/>
          <w:i/>
          <w:sz w:val="20"/>
        </w:rPr>
        <w:t>i</w:t>
      </w:r>
      <w:r>
        <w:rPr>
          <w:rFonts w:ascii="Arial" w:hAnsi="Arial" w:cs="Arial"/>
          <w:sz w:val="20"/>
        </w:rPr>
        <w:t xml:space="preserve"> </w:t>
      </w:r>
      <w:r w:rsidRPr="00420987">
        <w:rPr>
          <w:rFonts w:ascii="Arial" w:hAnsi="Arial" w:cs="Arial"/>
          <w:sz w:val="20"/>
          <w:szCs w:val="20"/>
        </w:rPr>
        <w:t>(2006) 13 VR 319</w:t>
      </w:r>
      <w:r>
        <w:rPr>
          <w:rFonts w:ascii="Arial" w:hAnsi="Arial" w:cs="Arial"/>
          <w:sz w:val="20"/>
          <w:szCs w:val="20"/>
        </w:rPr>
        <w:t>;</w:t>
      </w:r>
      <w:r>
        <w:rPr>
          <w:rFonts w:ascii="Arial" w:hAnsi="Arial" w:cs="Arial"/>
          <w:sz w:val="20"/>
        </w:rPr>
        <w:t xml:space="preserve"> [2006] VSC 256 the role of a </w:t>
      </w:r>
      <w:r w:rsidR="00830F10">
        <w:rPr>
          <w:rFonts w:ascii="Arial" w:hAnsi="Arial" w:cs="Arial"/>
          <w:sz w:val="20"/>
        </w:rPr>
        <w:t xml:space="preserve">third person – whether </w:t>
      </w:r>
      <w:r>
        <w:rPr>
          <w:rFonts w:ascii="Arial" w:hAnsi="Arial" w:cs="Arial"/>
          <w:sz w:val="20"/>
        </w:rPr>
        <w:t xml:space="preserve">parent, guardian or independent person </w:t>
      </w:r>
      <w:r w:rsidR="00830F10">
        <w:rPr>
          <w:rFonts w:ascii="Arial" w:hAnsi="Arial" w:cs="Arial"/>
          <w:sz w:val="20"/>
        </w:rPr>
        <w:t xml:space="preserve">– </w:t>
      </w:r>
      <w:r>
        <w:rPr>
          <w:rFonts w:ascii="Arial" w:hAnsi="Arial" w:cs="Arial"/>
          <w:sz w:val="20"/>
        </w:rPr>
        <w:t>attending</w:t>
      </w:r>
      <w:r w:rsidR="00830F10">
        <w:rPr>
          <w:rFonts w:ascii="Arial" w:hAnsi="Arial" w:cs="Arial"/>
          <w:sz w:val="20"/>
        </w:rPr>
        <w:t xml:space="preserve"> </w:t>
      </w:r>
      <w:r>
        <w:rPr>
          <w:rFonts w:ascii="Arial" w:hAnsi="Arial" w:cs="Arial"/>
          <w:sz w:val="20"/>
        </w:rPr>
        <w:t xml:space="preserve">a police interview of a child has been seen as both a rights advisor to the child and as a person </w:t>
      </w:r>
      <w:r w:rsidR="009F0632">
        <w:rPr>
          <w:rFonts w:ascii="Arial" w:hAnsi="Arial" w:cs="Arial"/>
          <w:sz w:val="20"/>
        </w:rPr>
        <w:t>who will assist the child in enforcing those rights</w:t>
      </w:r>
      <w:r w:rsidR="00E46787">
        <w:rPr>
          <w:rFonts w:ascii="Arial" w:hAnsi="Arial" w:cs="Arial"/>
          <w:sz w:val="20"/>
        </w:rPr>
        <w:t>: s</w:t>
      </w:r>
      <w:r w:rsidR="0071198A">
        <w:rPr>
          <w:rFonts w:ascii="Arial" w:hAnsi="Arial" w:cs="Arial"/>
          <w:sz w:val="20"/>
        </w:rPr>
        <w:t xml:space="preserve">ee </w:t>
      </w:r>
      <w:r w:rsidR="0071198A" w:rsidRPr="0071198A">
        <w:rPr>
          <w:rFonts w:ascii="Arial" w:hAnsi="Arial" w:cs="Arial"/>
          <w:sz w:val="20"/>
        </w:rPr>
        <w:t xml:space="preserve">a comprehensive paper entitled “Section 13 </w:t>
      </w:r>
      <w:r w:rsidR="0071198A" w:rsidRPr="0071198A">
        <w:rPr>
          <w:rFonts w:ascii="Arial" w:hAnsi="Arial" w:cs="Arial"/>
          <w:i/>
          <w:iCs/>
          <w:sz w:val="20"/>
        </w:rPr>
        <w:t>Children (Criminal Proceedings) Act 1987</w:t>
      </w:r>
      <w:r w:rsidR="0071198A" w:rsidRPr="0071198A">
        <w:rPr>
          <w:rFonts w:ascii="Arial" w:hAnsi="Arial" w:cs="Arial"/>
          <w:sz w:val="20"/>
        </w:rPr>
        <w:t xml:space="preserve"> </w:t>
      </w:r>
      <w:r w:rsidR="0071198A">
        <w:rPr>
          <w:rFonts w:ascii="Arial" w:hAnsi="Arial" w:cs="Arial"/>
          <w:sz w:val="20"/>
        </w:rPr>
        <w:t>(</w:t>
      </w:r>
      <w:r w:rsidR="0071198A" w:rsidRPr="0071198A">
        <w:rPr>
          <w:rFonts w:ascii="Arial" w:hAnsi="Arial" w:cs="Arial"/>
          <w:sz w:val="20"/>
        </w:rPr>
        <w:t>NSW</w:t>
      </w:r>
      <w:r w:rsidR="0071198A">
        <w:rPr>
          <w:rFonts w:ascii="Arial" w:hAnsi="Arial" w:cs="Arial"/>
          <w:sz w:val="20"/>
        </w:rPr>
        <w:t>)</w:t>
      </w:r>
      <w:r w:rsidR="0071198A" w:rsidRPr="0071198A">
        <w:rPr>
          <w:rFonts w:ascii="Arial" w:hAnsi="Arial" w:cs="Arial"/>
          <w:sz w:val="20"/>
        </w:rPr>
        <w:t xml:space="preserve"> – A Practical Approach” written by Angela Cook (Forbes Chambers, Sydney) and dated 1 May 2010</w:t>
      </w:r>
      <w:r w:rsidR="0071198A">
        <w:rPr>
          <w:rFonts w:ascii="Arial" w:hAnsi="Arial" w:cs="Arial"/>
          <w:sz w:val="20"/>
        </w:rPr>
        <w:t>.</w:t>
      </w:r>
    </w:p>
    <w:p w14:paraId="5104F756" w14:textId="77777777" w:rsidR="002B7B1C" w:rsidRDefault="002B7B1C" w:rsidP="008A7AD6">
      <w:pPr>
        <w:jc w:val="both"/>
        <w:rPr>
          <w:rFonts w:ascii="Arial" w:hAnsi="Arial" w:cs="Arial"/>
          <w:color w:val="000000"/>
          <w:sz w:val="20"/>
        </w:rPr>
      </w:pPr>
    </w:p>
    <w:p w14:paraId="3210BF49" w14:textId="40AE7FF3" w:rsidR="009C1670" w:rsidRDefault="009C1670" w:rsidP="008A7AD6">
      <w:pPr>
        <w:jc w:val="both"/>
        <w:rPr>
          <w:rFonts w:ascii="Arial" w:hAnsi="Arial" w:cs="Arial"/>
          <w:color w:val="000000"/>
          <w:sz w:val="20"/>
        </w:rPr>
      </w:pPr>
      <w:r>
        <w:rPr>
          <w:rFonts w:ascii="Arial" w:hAnsi="Arial" w:cs="Arial"/>
          <w:color w:val="000000"/>
          <w:sz w:val="20"/>
        </w:rPr>
        <w:t xml:space="preserve">In </w:t>
      </w:r>
      <w:r w:rsidRPr="009C1670">
        <w:rPr>
          <w:rFonts w:ascii="Arial" w:hAnsi="Arial" w:cs="Arial"/>
          <w:i/>
          <w:iCs/>
          <w:color w:val="000000"/>
          <w:sz w:val="20"/>
        </w:rPr>
        <w:t>Victoria Police v AC</w:t>
      </w:r>
      <w:r>
        <w:rPr>
          <w:rFonts w:ascii="Arial" w:hAnsi="Arial" w:cs="Arial"/>
          <w:color w:val="000000"/>
          <w:sz w:val="20"/>
        </w:rPr>
        <w:t xml:space="preserve"> [2024] VChC </w:t>
      </w:r>
      <w:r w:rsidR="00E46787">
        <w:rPr>
          <w:rFonts w:ascii="Arial" w:hAnsi="Arial" w:cs="Arial"/>
          <w:color w:val="000000"/>
          <w:sz w:val="20"/>
        </w:rPr>
        <w:t>2</w:t>
      </w:r>
      <w:r>
        <w:rPr>
          <w:rFonts w:ascii="Arial" w:hAnsi="Arial" w:cs="Arial"/>
          <w:color w:val="000000"/>
          <w:sz w:val="20"/>
        </w:rPr>
        <w:t xml:space="preserve"> </w:t>
      </w:r>
      <w:r w:rsidR="009F0632">
        <w:rPr>
          <w:rFonts w:ascii="Arial" w:hAnsi="Arial" w:cs="Arial"/>
          <w:color w:val="000000"/>
          <w:sz w:val="20"/>
        </w:rPr>
        <w:t xml:space="preserve">Magistrate Rozencwajg adopted the same </w:t>
      </w:r>
      <w:r w:rsidR="00630C59">
        <w:rPr>
          <w:rFonts w:ascii="Arial" w:hAnsi="Arial" w:cs="Arial"/>
          <w:color w:val="000000"/>
          <w:sz w:val="20"/>
        </w:rPr>
        <w:t>view</w:t>
      </w:r>
      <w:r w:rsidR="00830F10">
        <w:rPr>
          <w:rFonts w:ascii="Arial" w:hAnsi="Arial" w:cs="Arial"/>
          <w:color w:val="000000"/>
          <w:sz w:val="20"/>
        </w:rPr>
        <w:t xml:space="preserve"> of the </w:t>
      </w:r>
      <w:r w:rsidR="00E46787">
        <w:rPr>
          <w:rFonts w:ascii="Arial" w:hAnsi="Arial" w:cs="Arial"/>
          <w:color w:val="000000"/>
          <w:sz w:val="20"/>
        </w:rPr>
        <w:t xml:space="preserve">dual </w:t>
      </w:r>
      <w:r w:rsidR="00830F10">
        <w:rPr>
          <w:rFonts w:ascii="Arial" w:hAnsi="Arial" w:cs="Arial"/>
          <w:color w:val="000000"/>
          <w:sz w:val="20"/>
        </w:rPr>
        <w:t xml:space="preserve">role of the </w:t>
      </w:r>
      <w:r w:rsidR="005D4559">
        <w:rPr>
          <w:rFonts w:ascii="Arial" w:hAnsi="Arial" w:cs="Arial"/>
          <w:color w:val="000000"/>
          <w:sz w:val="20"/>
        </w:rPr>
        <w:t>independent</w:t>
      </w:r>
      <w:r w:rsidR="00830F10">
        <w:rPr>
          <w:rFonts w:ascii="Arial" w:hAnsi="Arial" w:cs="Arial"/>
          <w:color w:val="000000"/>
          <w:sz w:val="20"/>
        </w:rPr>
        <w:t xml:space="preserve"> person</w:t>
      </w:r>
      <w:r w:rsidR="009F0632">
        <w:rPr>
          <w:rFonts w:ascii="Arial" w:hAnsi="Arial" w:cs="Arial"/>
          <w:color w:val="000000"/>
          <w:sz w:val="20"/>
        </w:rPr>
        <w:t xml:space="preserve">.  The accused AC was </w:t>
      </w:r>
      <w:r>
        <w:rPr>
          <w:rFonts w:ascii="Arial" w:hAnsi="Arial" w:cs="Arial"/>
          <w:color w:val="000000"/>
          <w:sz w:val="20"/>
        </w:rPr>
        <w:t>a 16 year old First Nations child with an intellectual disability who was charged with intentionally causing serious injury and related charges.  He was interviewed by police at a Victorian police station in the presence of an independent person</w:t>
      </w:r>
      <w:r w:rsidR="00630C59">
        <w:rPr>
          <w:rFonts w:ascii="Arial" w:hAnsi="Arial" w:cs="Arial"/>
          <w:color w:val="000000"/>
          <w:sz w:val="20"/>
        </w:rPr>
        <w:t xml:space="preserve"> [I3P].  The interview w</w:t>
      </w:r>
      <w:r>
        <w:rPr>
          <w:rFonts w:ascii="Arial" w:hAnsi="Arial" w:cs="Arial"/>
          <w:color w:val="000000"/>
          <w:sz w:val="20"/>
        </w:rPr>
        <w:t xml:space="preserve">as described by </w:t>
      </w:r>
      <w:r w:rsidR="00630C59">
        <w:rPr>
          <w:rFonts w:ascii="Arial" w:hAnsi="Arial" w:cs="Arial"/>
          <w:color w:val="000000"/>
          <w:sz w:val="20"/>
        </w:rPr>
        <w:t>his Honour</w:t>
      </w:r>
      <w:r w:rsidR="004C676B">
        <w:rPr>
          <w:rFonts w:ascii="Arial" w:hAnsi="Arial" w:cs="Arial"/>
          <w:color w:val="000000"/>
          <w:sz w:val="20"/>
        </w:rPr>
        <w:t xml:space="preserve"> at [7]-[13]</w:t>
      </w:r>
      <w:r w:rsidR="006840E6">
        <w:rPr>
          <w:rFonts w:ascii="Arial" w:hAnsi="Arial" w:cs="Arial"/>
          <w:color w:val="000000"/>
          <w:sz w:val="20"/>
        </w:rPr>
        <w:t xml:space="preserve"> </w:t>
      </w:r>
      <w:r w:rsidR="006219A1">
        <w:rPr>
          <w:rFonts w:ascii="Arial" w:hAnsi="Arial" w:cs="Arial"/>
          <w:color w:val="000000"/>
          <w:sz w:val="20"/>
        </w:rPr>
        <w:t xml:space="preserve">&amp; [18]-[37] </w:t>
      </w:r>
      <w:r w:rsidR="004C676B">
        <w:rPr>
          <w:rFonts w:ascii="Arial" w:hAnsi="Arial" w:cs="Arial"/>
          <w:color w:val="000000"/>
          <w:sz w:val="20"/>
        </w:rPr>
        <w:t>as follows:</w:t>
      </w:r>
    </w:p>
    <w:p w14:paraId="6A1A413B" w14:textId="52410F7B" w:rsidR="004C676B" w:rsidRDefault="004C676B" w:rsidP="004C676B">
      <w:pPr>
        <w:spacing w:before="60"/>
        <w:ind w:left="567" w:right="567"/>
        <w:jc w:val="both"/>
        <w:rPr>
          <w:rFonts w:ascii="Arial" w:hAnsi="Arial" w:cs="Arial"/>
          <w:sz w:val="20"/>
        </w:rPr>
      </w:pPr>
      <w:r>
        <w:rPr>
          <w:rFonts w:ascii="Arial" w:hAnsi="Arial" w:cs="Arial"/>
          <w:sz w:val="20"/>
        </w:rPr>
        <w:t xml:space="preserve">[7] “…Detective P1 explained his rights to AC and asked him </w:t>
      </w:r>
      <w:r w:rsidR="006219A1">
        <w:rPr>
          <w:rFonts w:ascii="Arial" w:hAnsi="Arial" w:cs="Arial"/>
          <w:sz w:val="20"/>
        </w:rPr>
        <w:t>‘</w:t>
      </w:r>
      <w:r>
        <w:rPr>
          <w:rFonts w:ascii="Arial" w:hAnsi="Arial" w:cs="Arial"/>
          <w:sz w:val="20"/>
        </w:rPr>
        <w:t>Can you tell me what that means?</w:t>
      </w:r>
      <w:r w:rsidR="006219A1">
        <w:rPr>
          <w:rFonts w:ascii="Arial" w:hAnsi="Arial" w:cs="Arial"/>
          <w:sz w:val="20"/>
        </w:rPr>
        <w:t>’</w:t>
      </w:r>
      <w:r>
        <w:rPr>
          <w:rFonts w:ascii="Arial" w:hAnsi="Arial" w:cs="Arial"/>
          <w:sz w:val="20"/>
        </w:rPr>
        <w:t xml:space="preserve"> in relation to the right to silence…AC did not repeat in his own words what that right meant to him.</w:t>
      </w:r>
    </w:p>
    <w:p w14:paraId="6077E964" w14:textId="55AA2842" w:rsidR="004C676B" w:rsidRDefault="004C676B" w:rsidP="004C676B">
      <w:pPr>
        <w:spacing w:before="60"/>
        <w:ind w:left="567" w:right="567"/>
        <w:jc w:val="both"/>
        <w:rPr>
          <w:rFonts w:ascii="Arial" w:hAnsi="Arial" w:cs="Arial"/>
          <w:sz w:val="20"/>
        </w:rPr>
      </w:pPr>
      <w:r>
        <w:rPr>
          <w:rFonts w:ascii="Arial" w:hAnsi="Arial" w:cs="Arial"/>
          <w:sz w:val="20"/>
        </w:rPr>
        <w:t xml:space="preserve">[8] Detective P1 then continues: </w:t>
      </w:r>
      <w:r w:rsidR="006219A1">
        <w:rPr>
          <w:rFonts w:ascii="Arial" w:hAnsi="Arial" w:cs="Arial"/>
          <w:sz w:val="20"/>
        </w:rPr>
        <w:t>‘</w:t>
      </w:r>
      <w:r>
        <w:rPr>
          <w:rFonts w:ascii="Arial" w:hAnsi="Arial" w:cs="Arial"/>
          <w:sz w:val="20"/>
        </w:rPr>
        <w:t>Do you understand what I just said to you though in relation to the caution?</w:t>
      </w:r>
      <w:r w:rsidR="006219A1">
        <w:rPr>
          <w:rFonts w:ascii="Arial" w:hAnsi="Arial" w:cs="Arial"/>
          <w:sz w:val="20"/>
        </w:rPr>
        <w:t>’</w:t>
      </w:r>
      <w:r>
        <w:rPr>
          <w:rFonts w:ascii="Arial" w:hAnsi="Arial" w:cs="Arial"/>
          <w:sz w:val="20"/>
        </w:rPr>
        <w:t xml:space="preserve"> to which AC replies </w:t>
      </w:r>
      <w:r w:rsidR="006219A1">
        <w:rPr>
          <w:rFonts w:ascii="Arial" w:hAnsi="Arial" w:cs="Arial"/>
          <w:sz w:val="20"/>
        </w:rPr>
        <w:t>‘</w:t>
      </w:r>
      <w:r>
        <w:rPr>
          <w:rFonts w:ascii="Arial" w:hAnsi="Arial" w:cs="Arial"/>
          <w:sz w:val="20"/>
        </w:rPr>
        <w:t>Yeah</w:t>
      </w:r>
      <w:r w:rsidR="006219A1">
        <w:rPr>
          <w:rFonts w:ascii="Arial" w:hAnsi="Arial" w:cs="Arial"/>
          <w:sz w:val="20"/>
        </w:rPr>
        <w:t>’</w:t>
      </w:r>
      <w:r>
        <w:rPr>
          <w:rFonts w:ascii="Arial" w:hAnsi="Arial" w:cs="Arial"/>
          <w:sz w:val="20"/>
        </w:rPr>
        <w:t>.</w:t>
      </w:r>
    </w:p>
    <w:p w14:paraId="240567D6" w14:textId="78F21873" w:rsidR="004C676B" w:rsidRDefault="004C676B" w:rsidP="004C676B">
      <w:pPr>
        <w:spacing w:before="60"/>
        <w:ind w:left="567" w:right="567"/>
        <w:jc w:val="both"/>
        <w:rPr>
          <w:rFonts w:ascii="Arial" w:hAnsi="Arial" w:cs="Arial"/>
          <w:sz w:val="20"/>
        </w:rPr>
      </w:pPr>
      <w:r>
        <w:rPr>
          <w:rFonts w:ascii="Arial" w:hAnsi="Arial" w:cs="Arial"/>
          <w:sz w:val="20"/>
        </w:rPr>
        <w:t xml:space="preserve">[9] However, as Bell J said in </w:t>
      </w:r>
      <w:r w:rsidRPr="004C676B">
        <w:rPr>
          <w:rFonts w:ascii="Arial" w:hAnsi="Arial" w:cs="Arial"/>
          <w:i/>
          <w:iCs/>
          <w:sz w:val="20"/>
        </w:rPr>
        <w:t>DPP v Natale</w:t>
      </w:r>
      <w:r>
        <w:rPr>
          <w:rFonts w:ascii="Arial" w:hAnsi="Arial" w:cs="Arial"/>
          <w:sz w:val="20"/>
        </w:rPr>
        <w:t xml:space="preserve"> [2018] VSC 339 at [46], in excluding under s.90 of the </w:t>
      </w:r>
      <w:r w:rsidRPr="004C676B">
        <w:rPr>
          <w:rFonts w:ascii="Arial" w:hAnsi="Arial" w:cs="Arial"/>
          <w:i/>
          <w:iCs/>
          <w:sz w:val="20"/>
        </w:rPr>
        <w:t>Evidence Act 2008</w:t>
      </w:r>
      <w:r>
        <w:rPr>
          <w:rFonts w:ascii="Arial" w:hAnsi="Arial" w:cs="Arial"/>
          <w:sz w:val="20"/>
        </w:rPr>
        <w:t xml:space="preserve"> the record of interview of an elderly Italian man with limited English [and] referring with approval to dicta of Coldrey J in </w:t>
      </w:r>
      <w:r w:rsidRPr="004C676B">
        <w:rPr>
          <w:rFonts w:ascii="Arial" w:hAnsi="Arial" w:cs="Arial"/>
          <w:i/>
          <w:iCs/>
          <w:sz w:val="20"/>
        </w:rPr>
        <w:t>R v Li &amp; Anor</w:t>
      </w:r>
      <w:r>
        <w:rPr>
          <w:rFonts w:ascii="Arial" w:hAnsi="Arial" w:cs="Arial"/>
          <w:sz w:val="20"/>
        </w:rPr>
        <w:t xml:space="preserve"> [1993] 2 VR 80</w:t>
      </w:r>
      <w:r w:rsidR="00830F10">
        <w:rPr>
          <w:rFonts w:ascii="Arial" w:hAnsi="Arial" w:cs="Arial"/>
          <w:sz w:val="20"/>
        </w:rPr>
        <w:t xml:space="preserve"> at</w:t>
      </w:r>
      <w:r>
        <w:rPr>
          <w:rFonts w:ascii="Arial" w:hAnsi="Arial" w:cs="Arial"/>
          <w:sz w:val="20"/>
        </w:rPr>
        <w:t xml:space="preserve"> 87: </w:t>
      </w:r>
      <w:r w:rsidR="006840E6">
        <w:rPr>
          <w:rFonts w:ascii="Arial" w:hAnsi="Arial" w:cs="Arial"/>
          <w:sz w:val="20"/>
        </w:rPr>
        <w:t>‘</w:t>
      </w:r>
      <w:r>
        <w:rPr>
          <w:rFonts w:ascii="Arial" w:hAnsi="Arial" w:cs="Arial"/>
          <w:sz w:val="20"/>
        </w:rPr>
        <w:t>[T]he suspect must actually and not just apparently understand that questions need not be answered.</w:t>
      </w:r>
      <w:r w:rsidR="006840E6">
        <w:rPr>
          <w:rFonts w:ascii="Arial" w:hAnsi="Arial" w:cs="Arial"/>
          <w:sz w:val="20"/>
        </w:rPr>
        <w:t>’</w:t>
      </w:r>
    </w:p>
    <w:p w14:paraId="21D68806" w14:textId="44F77EC0" w:rsidR="004C676B" w:rsidRDefault="004C676B" w:rsidP="004C676B">
      <w:pPr>
        <w:spacing w:before="60"/>
        <w:ind w:left="567" w:right="567"/>
        <w:jc w:val="both"/>
        <w:rPr>
          <w:rFonts w:ascii="Arial" w:hAnsi="Arial" w:cs="Arial"/>
          <w:sz w:val="20"/>
        </w:rPr>
      </w:pPr>
      <w:r>
        <w:rPr>
          <w:rFonts w:ascii="Arial" w:hAnsi="Arial" w:cs="Arial"/>
          <w:sz w:val="20"/>
        </w:rPr>
        <w:t>[10] The importance of ensuring a child in the context of a record of interview [ROI] conducted by a police officer understands his/her rights is well established.  It is by getting the child to explain a particular right in their own words.  This has long been accepted in the law.</w:t>
      </w:r>
    </w:p>
    <w:p w14:paraId="077080D1" w14:textId="16C53810" w:rsidR="004C676B" w:rsidRDefault="004C676B" w:rsidP="004C676B">
      <w:pPr>
        <w:spacing w:before="60"/>
        <w:ind w:left="567" w:right="567"/>
        <w:jc w:val="both"/>
        <w:rPr>
          <w:rFonts w:ascii="Arial" w:hAnsi="Arial" w:cs="Arial"/>
          <w:sz w:val="20"/>
        </w:rPr>
      </w:pPr>
      <w:r>
        <w:rPr>
          <w:rFonts w:ascii="Arial" w:hAnsi="Arial" w:cs="Arial"/>
          <w:sz w:val="20"/>
        </w:rPr>
        <w:t>[11] It is in fact incorporated in the Victorian Police Manual.</w:t>
      </w:r>
    </w:p>
    <w:p w14:paraId="72A2DCB9" w14:textId="550F5EDD" w:rsidR="004C676B" w:rsidRDefault="004C676B" w:rsidP="004C676B">
      <w:pPr>
        <w:spacing w:before="60"/>
        <w:ind w:left="567" w:right="567"/>
        <w:jc w:val="both"/>
        <w:rPr>
          <w:rFonts w:ascii="Arial" w:hAnsi="Arial" w:cs="Arial"/>
          <w:sz w:val="20"/>
        </w:rPr>
      </w:pPr>
      <w:r>
        <w:rPr>
          <w:rFonts w:ascii="Arial" w:hAnsi="Arial" w:cs="Arial"/>
          <w:sz w:val="20"/>
        </w:rPr>
        <w:t>[12] AC’s ROI stands in contrast to that of [</w:t>
      </w:r>
      <w:r w:rsidRPr="004C676B">
        <w:rPr>
          <w:rFonts w:ascii="Arial" w:hAnsi="Arial" w:cs="Arial"/>
          <w:i/>
          <w:iCs/>
          <w:sz w:val="20"/>
        </w:rPr>
        <w:t>ZW</w:t>
      </w:r>
      <w:r>
        <w:rPr>
          <w:rFonts w:ascii="Arial" w:hAnsi="Arial" w:cs="Arial"/>
          <w:sz w:val="20"/>
        </w:rPr>
        <w:t>] who was present at the incident in [</w:t>
      </w:r>
      <w:r w:rsidRPr="004C676B">
        <w:rPr>
          <w:rFonts w:ascii="Arial" w:hAnsi="Arial" w:cs="Arial"/>
          <w:i/>
          <w:iCs/>
          <w:sz w:val="20"/>
        </w:rPr>
        <w:t>location deleted</w:t>
      </w:r>
      <w:r>
        <w:rPr>
          <w:rFonts w:ascii="Arial" w:hAnsi="Arial" w:cs="Arial"/>
          <w:sz w:val="20"/>
        </w:rPr>
        <w:t>], which was also conducted by this informant some 2 hours prior to AC’s interview.</w:t>
      </w:r>
    </w:p>
    <w:p w14:paraId="10732A28" w14:textId="15437FF5" w:rsidR="004C676B" w:rsidRDefault="004C676B" w:rsidP="004C676B">
      <w:pPr>
        <w:spacing w:before="60"/>
        <w:ind w:left="567" w:right="567"/>
        <w:jc w:val="both"/>
        <w:rPr>
          <w:rFonts w:ascii="Arial" w:hAnsi="Arial" w:cs="Arial"/>
          <w:sz w:val="20"/>
        </w:rPr>
      </w:pPr>
      <w:r>
        <w:rPr>
          <w:rFonts w:ascii="Arial" w:hAnsi="Arial" w:cs="Arial"/>
          <w:sz w:val="20"/>
        </w:rPr>
        <w:t>[13] In that interview each right was compartmentalised and ZW was required to repeat it in her own words.”</w:t>
      </w:r>
    </w:p>
    <w:p w14:paraId="53B09C58" w14:textId="5B4C1E75" w:rsidR="00420987" w:rsidRDefault="006219A1" w:rsidP="006219A1">
      <w:pPr>
        <w:spacing w:before="60"/>
        <w:ind w:left="567" w:right="567"/>
        <w:jc w:val="both"/>
        <w:rPr>
          <w:rFonts w:ascii="Arial" w:hAnsi="Arial" w:cs="Arial"/>
          <w:sz w:val="20"/>
        </w:rPr>
      </w:pPr>
      <w:r>
        <w:rPr>
          <w:rFonts w:ascii="Arial" w:hAnsi="Arial" w:cs="Arial"/>
          <w:color w:val="000000"/>
          <w:sz w:val="20"/>
        </w:rPr>
        <w:t>…</w:t>
      </w:r>
    </w:p>
    <w:p w14:paraId="56240BDE" w14:textId="6FCAA2F2" w:rsidR="006840E6" w:rsidRDefault="006840E6" w:rsidP="00420987">
      <w:pPr>
        <w:spacing w:before="60"/>
        <w:ind w:left="567" w:right="567"/>
        <w:jc w:val="both"/>
        <w:rPr>
          <w:rFonts w:ascii="Arial" w:hAnsi="Arial" w:cs="Arial"/>
          <w:sz w:val="20"/>
          <w:szCs w:val="20"/>
        </w:rPr>
      </w:pPr>
      <w:r>
        <w:rPr>
          <w:rFonts w:ascii="Arial" w:hAnsi="Arial" w:cs="Arial"/>
          <w:sz w:val="20"/>
        </w:rPr>
        <w:t xml:space="preserve">[18] “Section 464E of the </w:t>
      </w:r>
      <w:r w:rsidRPr="006840E6">
        <w:rPr>
          <w:rFonts w:ascii="Arial" w:hAnsi="Arial" w:cs="Arial"/>
          <w:i/>
          <w:iCs/>
          <w:sz w:val="20"/>
        </w:rPr>
        <w:t>Crimes Act 1958</w:t>
      </w:r>
      <w:r>
        <w:rPr>
          <w:rFonts w:ascii="Arial" w:hAnsi="Arial" w:cs="Arial"/>
          <w:sz w:val="20"/>
        </w:rPr>
        <w:t xml:space="preserve"> requires a child </w:t>
      </w:r>
      <w:r w:rsidRPr="006840E6">
        <w:rPr>
          <w:rFonts w:ascii="Arial" w:hAnsi="Arial" w:cs="Arial"/>
          <w:sz w:val="20"/>
          <w:szCs w:val="20"/>
        </w:rPr>
        <w:t>in custody not to be questioned by police unless a parent or guardian of the child or, if a parent or guardian is not available, an independent person is present.</w:t>
      </w:r>
    </w:p>
    <w:p w14:paraId="155D469D" w14:textId="610A9C88"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[19] </w:t>
      </w:r>
      <w:r w:rsidR="00630C59">
        <w:rPr>
          <w:rFonts w:ascii="Arial" w:hAnsi="Arial" w:cs="Arial"/>
          <w:sz w:val="20"/>
          <w:szCs w:val="20"/>
        </w:rPr>
        <w:t>I3P</w:t>
      </w:r>
      <w:r>
        <w:rPr>
          <w:rFonts w:ascii="Arial" w:hAnsi="Arial" w:cs="Arial"/>
          <w:sz w:val="20"/>
          <w:szCs w:val="20"/>
        </w:rPr>
        <w:t xml:space="preserve"> </w:t>
      </w:r>
      <w:r w:rsidRPr="006840E6">
        <w:rPr>
          <w:rFonts w:ascii="Arial" w:hAnsi="Arial" w:cs="Arial"/>
          <w:sz w:val="20"/>
          <w:szCs w:val="20"/>
        </w:rPr>
        <w:t>attended the [</w:t>
      </w:r>
      <w:r w:rsidRPr="006840E6">
        <w:rPr>
          <w:rFonts w:ascii="Arial" w:hAnsi="Arial" w:cs="Arial"/>
          <w:i/>
          <w:iCs/>
          <w:sz w:val="20"/>
          <w:szCs w:val="20"/>
        </w:rPr>
        <w:t>location deleted</w:t>
      </w:r>
      <w:r w:rsidRPr="006840E6">
        <w:rPr>
          <w:rFonts w:ascii="Arial" w:hAnsi="Arial" w:cs="Arial"/>
          <w:sz w:val="20"/>
          <w:szCs w:val="20"/>
        </w:rPr>
        <w:t>] police station and filled the role of an independent person for the interview of ZW and subsequently for the interview of AC.</w:t>
      </w:r>
    </w:p>
    <w:p w14:paraId="3219E47C" w14:textId="33B32FC2"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[20] </w:t>
      </w:r>
      <w:r w:rsidRPr="006840E6">
        <w:rPr>
          <w:rFonts w:ascii="Arial" w:hAnsi="Arial" w:cs="Arial"/>
          <w:sz w:val="20"/>
          <w:szCs w:val="20"/>
        </w:rPr>
        <w:t>On arrival at the police station, I3P had been informed that AC had committed a stabbing.</w:t>
      </w:r>
    </w:p>
    <w:p w14:paraId="21E19914" w14:textId="53347391"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[21] </w:t>
      </w:r>
      <w:r w:rsidRPr="006840E6">
        <w:rPr>
          <w:rFonts w:ascii="Arial" w:hAnsi="Arial" w:cs="Arial"/>
          <w:sz w:val="20"/>
          <w:szCs w:val="20"/>
        </w:rPr>
        <w:t>I3P had received initial training for this role, with up-to-date training annually.</w:t>
      </w:r>
    </w:p>
    <w:p w14:paraId="75F3C3A3" w14:textId="7CEB88B9"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[22] </w:t>
      </w:r>
      <w:r w:rsidRPr="006840E6">
        <w:rPr>
          <w:rFonts w:ascii="Arial" w:hAnsi="Arial" w:cs="Arial"/>
          <w:sz w:val="20"/>
          <w:szCs w:val="20"/>
        </w:rPr>
        <w:t>He agreed that it was not normal for an independent person to fulfill that role for both accused and co-accused but thought it was due to AC having already been in custody for 5 hours.</w:t>
      </w:r>
    </w:p>
    <w:p w14:paraId="74F887C9" w14:textId="5D7E2166" w:rsidR="006840E6" w:rsidRDefault="006840E6" w:rsidP="004C676B">
      <w:pPr>
        <w:spacing w:before="60"/>
        <w:ind w:left="567" w:right="567"/>
        <w:jc w:val="both"/>
        <w:rPr>
          <w:rFonts w:ascii="Arial" w:hAnsi="Arial" w:cs="Arial"/>
          <w:sz w:val="20"/>
          <w:szCs w:val="20"/>
        </w:rPr>
      </w:pPr>
      <w:r>
        <w:rPr>
          <w:rFonts w:ascii="Arial" w:hAnsi="Arial" w:cs="Arial"/>
          <w:sz w:val="20"/>
        </w:rPr>
        <w:t xml:space="preserve">[23] </w:t>
      </w:r>
      <w:r w:rsidRPr="006840E6">
        <w:rPr>
          <w:rFonts w:ascii="Arial" w:hAnsi="Arial" w:cs="Arial"/>
          <w:sz w:val="20"/>
          <w:szCs w:val="20"/>
        </w:rPr>
        <w:t>His evidence of the ROI was that he believed that AC understood because police asked him to put his rights in his own words.</w:t>
      </w:r>
    </w:p>
    <w:p w14:paraId="4ACF1836" w14:textId="18B079EF"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[24] </w:t>
      </w:r>
      <w:r w:rsidRPr="006840E6">
        <w:rPr>
          <w:rFonts w:ascii="Arial" w:hAnsi="Arial" w:cs="Arial"/>
          <w:sz w:val="20"/>
          <w:szCs w:val="20"/>
        </w:rPr>
        <w:t>That is true but it ignores the fact that AC did not in fact do so.</w:t>
      </w:r>
    </w:p>
    <w:p w14:paraId="2320060B" w14:textId="0081F521"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[25] </w:t>
      </w:r>
      <w:r w:rsidRPr="006840E6">
        <w:rPr>
          <w:rFonts w:ascii="Arial" w:hAnsi="Arial" w:cs="Arial"/>
          <w:sz w:val="20"/>
          <w:szCs w:val="20"/>
        </w:rPr>
        <w:t>I3P went on to say that if he had a situation where a young person didn’t or couldn’t answer the question to repeat their rights, he would cancel the interview.</w:t>
      </w:r>
    </w:p>
    <w:p w14:paraId="31D8F5F0" w14:textId="0A75A2BD" w:rsidR="006840E6" w:rsidRDefault="006840E6" w:rsidP="004C676B">
      <w:pPr>
        <w:spacing w:before="60"/>
        <w:ind w:left="567" w:right="567"/>
        <w:jc w:val="both"/>
        <w:rPr>
          <w:rFonts w:ascii="Arial" w:hAnsi="Arial" w:cs="Arial"/>
          <w:sz w:val="20"/>
          <w:szCs w:val="20"/>
        </w:rPr>
      </w:pPr>
      <w:r>
        <w:rPr>
          <w:rFonts w:ascii="Arial" w:hAnsi="Arial" w:cs="Arial"/>
          <w:sz w:val="20"/>
          <w:szCs w:val="20"/>
        </w:rPr>
        <w:lastRenderedPageBreak/>
        <w:t xml:space="preserve">[26] </w:t>
      </w:r>
      <w:r w:rsidRPr="006840E6">
        <w:rPr>
          <w:rFonts w:ascii="Arial" w:hAnsi="Arial" w:cs="Arial"/>
          <w:sz w:val="20"/>
          <w:szCs w:val="20"/>
        </w:rPr>
        <w:t>I3P’s evidence seems to blur what is the expected norm in such interviews with what actually occurred in AC’s interview.</w:t>
      </w:r>
    </w:p>
    <w:p w14:paraId="7B4F61D8" w14:textId="39E35217"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[27] </w:t>
      </w:r>
      <w:r w:rsidRPr="006840E6">
        <w:rPr>
          <w:rFonts w:ascii="Arial" w:hAnsi="Arial" w:cs="Arial"/>
          <w:sz w:val="20"/>
          <w:szCs w:val="20"/>
        </w:rPr>
        <w:t xml:space="preserve">Although he denied it in his evidence before the Court, it is clear that I3P was judgmental of AC.  This was never more evident than when he stated in his evidence that on first meeting ZW he thought to himself </w:t>
      </w:r>
      <w:r>
        <w:rPr>
          <w:rFonts w:ascii="Arial" w:hAnsi="Arial" w:cs="Arial"/>
          <w:sz w:val="20"/>
          <w:szCs w:val="20"/>
        </w:rPr>
        <w:t>‘</w:t>
      </w:r>
      <w:r w:rsidRPr="006840E6">
        <w:rPr>
          <w:rFonts w:ascii="Arial" w:hAnsi="Arial" w:cs="Arial"/>
          <w:sz w:val="20"/>
          <w:szCs w:val="20"/>
        </w:rPr>
        <w:t>What’s such a nice girl knocking around with that bloke who committed that crime?</w:t>
      </w:r>
      <w:r>
        <w:rPr>
          <w:rFonts w:ascii="Arial" w:hAnsi="Arial" w:cs="Arial"/>
          <w:sz w:val="20"/>
          <w:szCs w:val="20"/>
        </w:rPr>
        <w:t>’</w:t>
      </w:r>
    </w:p>
    <w:p w14:paraId="4AD9CAD4" w14:textId="1E33C721"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[28] </w:t>
      </w:r>
      <w:r w:rsidRPr="006840E6">
        <w:rPr>
          <w:rFonts w:ascii="Arial" w:hAnsi="Arial" w:cs="Arial"/>
          <w:sz w:val="20"/>
          <w:szCs w:val="20"/>
        </w:rPr>
        <w:t>Whether this explains I3P’s shortcomings during the ROI or whether it is a lack of training is not to the point.  He clearly did not understand his responsibilities and indeed his duty to a child in the context of the interview.</w:t>
      </w:r>
    </w:p>
    <w:p w14:paraId="7ADF5CA5" w14:textId="6166DEC8"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[29] </w:t>
      </w:r>
      <w:r w:rsidRPr="006840E6">
        <w:rPr>
          <w:rFonts w:ascii="Arial" w:hAnsi="Arial" w:cs="Arial"/>
          <w:sz w:val="20"/>
          <w:szCs w:val="20"/>
        </w:rPr>
        <w:t>According to I3P, all he had to do was ensure that the child understood his rights.</w:t>
      </w:r>
    </w:p>
    <w:p w14:paraId="646A3BF3" w14:textId="53E3775A" w:rsidR="006840E6" w:rsidRPr="00420987" w:rsidRDefault="006840E6" w:rsidP="004C676B">
      <w:pPr>
        <w:spacing w:before="60"/>
        <w:ind w:left="567" w:right="567"/>
        <w:jc w:val="both"/>
        <w:rPr>
          <w:rFonts w:ascii="Arial" w:hAnsi="Arial" w:cs="Arial"/>
          <w:sz w:val="20"/>
          <w:szCs w:val="20"/>
        </w:rPr>
      </w:pPr>
      <w:r w:rsidRPr="00420987">
        <w:rPr>
          <w:rFonts w:ascii="Arial" w:hAnsi="Arial" w:cs="Arial"/>
          <w:sz w:val="20"/>
          <w:szCs w:val="20"/>
        </w:rPr>
        <w:t xml:space="preserve">[30] But as Bell J said in </w:t>
      </w:r>
      <w:r w:rsidRPr="00420987">
        <w:rPr>
          <w:rFonts w:ascii="Arial" w:hAnsi="Arial" w:cs="Arial"/>
          <w:i/>
          <w:iCs/>
          <w:sz w:val="20"/>
          <w:szCs w:val="20"/>
        </w:rPr>
        <w:t>DPP v</w:t>
      </w:r>
      <w:r w:rsidRPr="00420987">
        <w:rPr>
          <w:rFonts w:ascii="Arial" w:hAnsi="Arial" w:cs="Arial"/>
          <w:sz w:val="20"/>
          <w:szCs w:val="20"/>
        </w:rPr>
        <w:t xml:space="preserve"> </w:t>
      </w:r>
      <w:r w:rsidRPr="00420987">
        <w:rPr>
          <w:rFonts w:ascii="Arial" w:hAnsi="Arial" w:cs="Arial"/>
          <w:i/>
          <w:sz w:val="20"/>
          <w:szCs w:val="20"/>
        </w:rPr>
        <w:t>Toomalatai</w:t>
      </w:r>
      <w:r w:rsidRPr="00420987">
        <w:rPr>
          <w:rFonts w:ascii="Arial" w:hAnsi="Arial" w:cs="Arial"/>
          <w:sz w:val="20"/>
          <w:szCs w:val="20"/>
        </w:rPr>
        <w:t xml:space="preserve"> (2006) 13 VR 319; [2006] VSC 256 at [62], quoting Hidden J in </w:t>
      </w:r>
      <w:r w:rsidR="002068A0" w:rsidRPr="002068A0">
        <w:rPr>
          <w:rFonts w:ascii="Arial" w:hAnsi="Arial" w:cs="Arial"/>
          <w:i/>
          <w:iCs/>
          <w:sz w:val="20"/>
          <w:szCs w:val="20"/>
        </w:rPr>
        <w:t xml:space="preserve">R v </w:t>
      </w:r>
      <w:r w:rsidRPr="00420987">
        <w:rPr>
          <w:rFonts w:ascii="Arial" w:hAnsi="Arial" w:cs="Arial"/>
          <w:i/>
          <w:iCs/>
          <w:sz w:val="20"/>
          <w:szCs w:val="20"/>
        </w:rPr>
        <w:t>H (A Child)</w:t>
      </w:r>
      <w:r w:rsidR="00420987" w:rsidRPr="00420987">
        <w:rPr>
          <w:rFonts w:ascii="Arial" w:hAnsi="Arial" w:cs="Arial"/>
          <w:i/>
          <w:iCs/>
          <w:sz w:val="20"/>
          <w:szCs w:val="20"/>
        </w:rPr>
        <w:t xml:space="preserve"> </w:t>
      </w:r>
      <w:r w:rsidR="00420987" w:rsidRPr="00420987">
        <w:rPr>
          <w:rFonts w:ascii="Arial" w:hAnsi="Arial" w:cs="Arial"/>
          <w:sz w:val="20"/>
          <w:szCs w:val="20"/>
        </w:rPr>
        <w:t>(1996) 85 A Crim R 481, 486</w:t>
      </w:r>
      <w:r w:rsidRPr="00420987">
        <w:rPr>
          <w:rFonts w:ascii="Arial" w:hAnsi="Arial" w:cs="Arial"/>
          <w:sz w:val="20"/>
          <w:szCs w:val="20"/>
        </w:rPr>
        <w:t>:</w:t>
      </w:r>
    </w:p>
    <w:p w14:paraId="6E2670AE" w14:textId="7759D0B5" w:rsidR="006840E6" w:rsidRPr="006840E6" w:rsidRDefault="006840E6" w:rsidP="00420987">
      <w:pPr>
        <w:pStyle w:val="ListParagraph"/>
        <w:spacing w:before="60" w:after="60" w:line="240" w:lineRule="auto"/>
        <w:ind w:left="1134" w:right="1134" w:firstLine="0"/>
        <w:jc w:val="both"/>
        <w:rPr>
          <w:rFonts w:ascii="Arial" w:hAnsi="Arial" w:cs="Arial"/>
          <w:sz w:val="20"/>
          <w:szCs w:val="20"/>
        </w:rPr>
      </w:pPr>
      <w:r w:rsidRPr="006840E6">
        <w:rPr>
          <w:rFonts w:ascii="Arial" w:hAnsi="Arial" w:cs="Arial"/>
          <w:sz w:val="18"/>
          <w:szCs w:val="18"/>
        </w:rPr>
        <w:t>‘The primary aim of such a provision is to protect children from the disadvantaged position inherent in their age, quite apart from impropriety on the part of police. The protective purpose can be met only by an adult who is free, not only to protest against perceived unfairness, but also to advise the child of his or her rights. As the occasion requires, this advice might be a reminder of the right to silence, or an admonition against further participation in the interview in the absence of legal advice.’</w:t>
      </w:r>
    </w:p>
    <w:p w14:paraId="170DFA34"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7B9FFA17" w14:textId="3914D733" w:rsidR="00420987" w:rsidRDefault="00420987" w:rsidP="00420987">
      <w:pPr>
        <w:pStyle w:val="ListParagraph"/>
        <w:spacing w:after="0" w:line="240" w:lineRule="auto"/>
        <w:ind w:left="567" w:right="567" w:firstLine="0"/>
        <w:jc w:val="both"/>
        <w:rPr>
          <w:rFonts w:ascii="Arial" w:hAnsi="Arial" w:cs="Arial"/>
          <w:sz w:val="20"/>
          <w:szCs w:val="20"/>
        </w:rPr>
      </w:pPr>
      <w:r>
        <w:rPr>
          <w:rFonts w:ascii="Arial" w:hAnsi="Arial" w:cs="Arial"/>
          <w:sz w:val="20"/>
          <w:szCs w:val="20"/>
        </w:rPr>
        <w:t>At [63] Bell J noted:</w:t>
      </w:r>
    </w:p>
    <w:p w14:paraId="4283104B"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0BE35103" w14:textId="10035C88" w:rsidR="00420987" w:rsidRPr="00420987" w:rsidRDefault="00420987" w:rsidP="00420987">
      <w:pPr>
        <w:pStyle w:val="ListParagraph"/>
        <w:spacing w:before="60" w:after="0" w:line="240" w:lineRule="auto"/>
        <w:ind w:left="1134" w:right="1134" w:firstLine="0"/>
        <w:jc w:val="both"/>
        <w:rPr>
          <w:rFonts w:ascii="Arial" w:hAnsi="Arial" w:cs="Arial"/>
          <w:sz w:val="18"/>
          <w:szCs w:val="18"/>
        </w:rPr>
      </w:pPr>
      <w:r w:rsidRPr="00420987">
        <w:rPr>
          <w:rFonts w:ascii="Arial" w:hAnsi="Arial" w:cs="Arial"/>
          <w:sz w:val="18"/>
          <w:szCs w:val="18"/>
        </w:rPr>
        <w:t xml:space="preserve">‘These descriptions of the role of an independent person are equally applicable to the person who carries out this function in Victoria under s464E(1)(a) of the </w:t>
      </w:r>
      <w:r w:rsidRPr="00420987">
        <w:rPr>
          <w:rFonts w:ascii="Arial" w:hAnsi="Arial" w:cs="Arial"/>
          <w:i/>
          <w:iCs/>
          <w:sz w:val="18"/>
          <w:szCs w:val="18"/>
        </w:rPr>
        <w:t>Crimes Act 1958</w:t>
      </w:r>
      <w:r w:rsidRPr="00420987">
        <w:rPr>
          <w:rFonts w:ascii="Arial" w:hAnsi="Arial" w:cs="Arial"/>
          <w:sz w:val="18"/>
          <w:szCs w:val="18"/>
        </w:rPr>
        <w:t>. There is no material difference between the legislation in New South Wales and Victoria in this regard.</w:t>
      </w:r>
      <w:r>
        <w:rPr>
          <w:rFonts w:ascii="Arial" w:hAnsi="Arial" w:cs="Arial"/>
          <w:sz w:val="18"/>
          <w:szCs w:val="18"/>
        </w:rPr>
        <w:t>’</w:t>
      </w:r>
    </w:p>
    <w:p w14:paraId="1A974AB4"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53BDADC2" w14:textId="109248BB" w:rsidR="006840E6" w:rsidRPr="006840E6" w:rsidRDefault="00420987" w:rsidP="00420987">
      <w:pPr>
        <w:pStyle w:val="ListParagraph"/>
        <w:spacing w:before="60" w:after="0" w:line="240" w:lineRule="auto"/>
        <w:ind w:left="567" w:right="567" w:firstLine="0"/>
        <w:jc w:val="both"/>
        <w:rPr>
          <w:rFonts w:ascii="Arial" w:hAnsi="Arial" w:cs="Arial"/>
          <w:sz w:val="20"/>
          <w:szCs w:val="20"/>
        </w:rPr>
      </w:pPr>
      <w:r>
        <w:rPr>
          <w:rFonts w:ascii="Arial" w:hAnsi="Arial" w:cs="Arial"/>
          <w:sz w:val="20"/>
          <w:szCs w:val="20"/>
        </w:rPr>
        <w:t xml:space="preserve">[31] </w:t>
      </w:r>
      <w:r w:rsidR="006840E6" w:rsidRPr="006840E6">
        <w:rPr>
          <w:rFonts w:ascii="Arial" w:hAnsi="Arial" w:cs="Arial"/>
          <w:sz w:val="20"/>
          <w:szCs w:val="20"/>
        </w:rPr>
        <w:t xml:space="preserve">In </w:t>
      </w:r>
      <w:r w:rsidR="006840E6" w:rsidRPr="006840E6">
        <w:rPr>
          <w:rFonts w:ascii="Arial" w:hAnsi="Arial" w:cs="Arial"/>
          <w:i/>
          <w:sz w:val="20"/>
          <w:szCs w:val="20"/>
        </w:rPr>
        <w:t>JB v R</w:t>
      </w:r>
      <w:r>
        <w:rPr>
          <w:rFonts w:ascii="Arial" w:hAnsi="Arial" w:cs="Arial"/>
          <w:i/>
          <w:sz w:val="20"/>
          <w:szCs w:val="20"/>
        </w:rPr>
        <w:t xml:space="preserve"> </w:t>
      </w:r>
      <w:r w:rsidRPr="00420987">
        <w:rPr>
          <w:rFonts w:ascii="Arial" w:hAnsi="Arial" w:cs="Arial"/>
          <w:sz w:val="20"/>
          <w:szCs w:val="20"/>
        </w:rPr>
        <w:t xml:space="preserve">(2012) 83 NSWLR 153 at [30]-[31] </w:t>
      </w:r>
      <w:r w:rsidR="006840E6" w:rsidRPr="006840E6">
        <w:rPr>
          <w:rFonts w:ascii="Arial" w:hAnsi="Arial" w:cs="Arial"/>
          <w:iCs/>
          <w:sz w:val="20"/>
          <w:szCs w:val="20"/>
        </w:rPr>
        <w:t>the New South Wales Court of Appeal, when considering the role of an independent person, stated:</w:t>
      </w:r>
    </w:p>
    <w:p w14:paraId="5320A7EF"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2EBFDC18" w14:textId="5C238CEF" w:rsidR="006840E6" w:rsidRPr="006840E6" w:rsidRDefault="00420987" w:rsidP="00420987">
      <w:pPr>
        <w:pStyle w:val="ListParagraph"/>
        <w:spacing w:after="0" w:line="240" w:lineRule="auto"/>
        <w:ind w:left="1134" w:right="1134" w:firstLine="0"/>
        <w:jc w:val="both"/>
        <w:rPr>
          <w:rFonts w:ascii="Arial" w:hAnsi="Arial" w:cs="Arial"/>
          <w:sz w:val="20"/>
          <w:szCs w:val="20"/>
        </w:rPr>
      </w:pPr>
      <w:r>
        <w:rPr>
          <w:rFonts w:ascii="Arial" w:hAnsi="Arial" w:cs="Arial"/>
          <w:sz w:val="20"/>
          <w:szCs w:val="20"/>
        </w:rPr>
        <w:t>‘</w:t>
      </w:r>
      <w:r w:rsidR="006840E6" w:rsidRPr="00420987">
        <w:rPr>
          <w:rFonts w:ascii="Arial" w:hAnsi="Arial" w:cs="Arial"/>
          <w:sz w:val="18"/>
          <w:szCs w:val="18"/>
        </w:rPr>
        <w:t>In a given situation, the role undertaken by a support person may require that advice be given to a juvenile that he or she may or should remain silent during a police interview; it may require the tendering of advice or the giving of practical assistance during the actual interview itself.</w:t>
      </w:r>
      <w:r>
        <w:rPr>
          <w:rFonts w:ascii="Arial" w:hAnsi="Arial" w:cs="Arial"/>
          <w:sz w:val="18"/>
          <w:szCs w:val="18"/>
        </w:rPr>
        <w:t>’</w:t>
      </w:r>
    </w:p>
    <w:p w14:paraId="7A9C3D40" w14:textId="77777777" w:rsidR="006219A1" w:rsidRPr="00420987" w:rsidRDefault="006219A1" w:rsidP="006219A1">
      <w:pPr>
        <w:pStyle w:val="ListParagraph"/>
        <w:spacing w:before="120" w:after="0" w:line="240" w:lineRule="auto"/>
        <w:ind w:left="567" w:right="567" w:firstLine="0"/>
        <w:jc w:val="both"/>
        <w:rPr>
          <w:rFonts w:ascii="Arial" w:hAnsi="Arial" w:cs="Arial"/>
          <w:sz w:val="6"/>
          <w:szCs w:val="6"/>
        </w:rPr>
      </w:pPr>
    </w:p>
    <w:p w14:paraId="29D428F5" w14:textId="7ECDABC2" w:rsidR="006219A1" w:rsidRPr="006219A1" w:rsidRDefault="006219A1" w:rsidP="006219A1">
      <w:pPr>
        <w:pStyle w:val="ListParagraph"/>
        <w:spacing w:before="60" w:after="0" w:line="240" w:lineRule="auto"/>
        <w:ind w:left="567" w:right="567" w:firstLine="0"/>
        <w:jc w:val="both"/>
        <w:rPr>
          <w:rFonts w:ascii="Arial" w:hAnsi="Arial" w:cs="Arial"/>
          <w:sz w:val="20"/>
          <w:szCs w:val="20"/>
        </w:rPr>
      </w:pPr>
      <w:r w:rsidRPr="006219A1">
        <w:rPr>
          <w:rFonts w:ascii="Arial" w:hAnsi="Arial" w:cs="Arial"/>
          <w:sz w:val="20"/>
          <w:szCs w:val="20"/>
        </w:rPr>
        <w:t xml:space="preserve">[32] In </w:t>
      </w:r>
      <w:r w:rsidRPr="006219A1">
        <w:rPr>
          <w:rFonts w:ascii="Arial" w:hAnsi="Arial" w:cs="Arial"/>
          <w:i/>
          <w:iCs/>
          <w:sz w:val="20"/>
          <w:szCs w:val="20"/>
        </w:rPr>
        <w:t xml:space="preserve">R v Cortez and others </w:t>
      </w:r>
      <w:r w:rsidRPr="006219A1">
        <w:rPr>
          <w:rFonts w:ascii="Arial" w:hAnsi="Arial" w:cs="Arial"/>
          <w:sz w:val="20"/>
          <w:szCs w:val="20"/>
        </w:rPr>
        <w:t xml:space="preserve">(Supreme Court of New South Wales, 3.10.2002, unreported) at [13] </w:t>
      </w:r>
      <w:r>
        <w:rPr>
          <w:rFonts w:ascii="Arial" w:hAnsi="Arial" w:cs="Arial"/>
          <w:sz w:val="20"/>
          <w:szCs w:val="20"/>
        </w:rPr>
        <w:t xml:space="preserve">– </w:t>
      </w:r>
      <w:r w:rsidRPr="006219A1">
        <w:rPr>
          <w:rFonts w:ascii="Arial" w:hAnsi="Arial" w:cs="Arial"/>
          <w:sz w:val="20"/>
          <w:szCs w:val="20"/>
        </w:rPr>
        <w:t>quoted</w:t>
      </w:r>
      <w:r>
        <w:rPr>
          <w:rFonts w:ascii="Arial" w:hAnsi="Arial" w:cs="Arial"/>
          <w:sz w:val="20"/>
          <w:szCs w:val="20"/>
        </w:rPr>
        <w:t xml:space="preserve"> </w:t>
      </w:r>
      <w:r w:rsidRPr="006219A1">
        <w:rPr>
          <w:rFonts w:ascii="Arial" w:hAnsi="Arial" w:cs="Arial"/>
          <w:sz w:val="20"/>
          <w:szCs w:val="20"/>
        </w:rPr>
        <w:t xml:space="preserve">with approval by Bell J in </w:t>
      </w:r>
      <w:r w:rsidRPr="006219A1">
        <w:rPr>
          <w:rFonts w:ascii="Arial" w:hAnsi="Arial" w:cs="Arial"/>
          <w:i/>
          <w:iCs/>
          <w:sz w:val="20"/>
          <w:szCs w:val="20"/>
        </w:rPr>
        <w:t>DPP v</w:t>
      </w:r>
      <w:r w:rsidRPr="006219A1">
        <w:rPr>
          <w:rFonts w:ascii="Arial" w:hAnsi="Arial" w:cs="Arial"/>
          <w:sz w:val="20"/>
          <w:szCs w:val="20"/>
        </w:rPr>
        <w:t xml:space="preserve"> </w:t>
      </w:r>
      <w:r w:rsidRPr="006219A1">
        <w:rPr>
          <w:rFonts w:ascii="Arial" w:hAnsi="Arial" w:cs="Arial"/>
          <w:i/>
          <w:sz w:val="20"/>
          <w:szCs w:val="20"/>
        </w:rPr>
        <w:t>Toomalatai</w:t>
      </w:r>
      <w:r w:rsidRPr="006219A1">
        <w:rPr>
          <w:rFonts w:ascii="Arial" w:hAnsi="Arial" w:cs="Arial"/>
          <w:sz w:val="20"/>
          <w:szCs w:val="20"/>
        </w:rPr>
        <w:t xml:space="preserve"> at [73]</w:t>
      </w:r>
      <w:r>
        <w:rPr>
          <w:rFonts w:ascii="Arial" w:hAnsi="Arial" w:cs="Arial"/>
          <w:sz w:val="20"/>
          <w:szCs w:val="20"/>
        </w:rPr>
        <w:t xml:space="preserve"> – </w:t>
      </w:r>
      <w:r w:rsidRPr="006219A1">
        <w:rPr>
          <w:rFonts w:ascii="Arial" w:hAnsi="Arial" w:cs="Arial"/>
          <w:sz w:val="20"/>
          <w:szCs w:val="20"/>
        </w:rPr>
        <w:t>Dowd</w:t>
      </w:r>
      <w:r>
        <w:rPr>
          <w:rFonts w:ascii="Arial" w:hAnsi="Arial" w:cs="Arial"/>
          <w:sz w:val="20"/>
          <w:szCs w:val="20"/>
        </w:rPr>
        <w:t xml:space="preserve"> </w:t>
      </w:r>
      <w:r w:rsidRPr="006219A1">
        <w:rPr>
          <w:rFonts w:ascii="Arial" w:hAnsi="Arial" w:cs="Arial"/>
          <w:sz w:val="20"/>
          <w:szCs w:val="20"/>
        </w:rPr>
        <w:t xml:space="preserve">J was also of the view that an independent person ought understand </w:t>
      </w:r>
      <w:r>
        <w:rPr>
          <w:rFonts w:ascii="Arial" w:hAnsi="Arial" w:cs="Arial"/>
          <w:sz w:val="20"/>
          <w:szCs w:val="20"/>
        </w:rPr>
        <w:t>‘</w:t>
      </w:r>
      <w:r w:rsidRPr="006219A1">
        <w:rPr>
          <w:rFonts w:ascii="Arial" w:hAnsi="Arial" w:cs="Arial"/>
          <w:sz w:val="20"/>
          <w:szCs w:val="20"/>
        </w:rPr>
        <w:t xml:space="preserve">as a person </w:t>
      </w:r>
      <w:r w:rsidRPr="006219A1">
        <w:rPr>
          <w:rFonts w:ascii="Arial" w:hAnsi="Arial" w:cs="Arial"/>
          <w:i/>
          <w:iCs/>
          <w:sz w:val="20"/>
          <w:szCs w:val="20"/>
        </w:rPr>
        <w:t>in loco parentis</w:t>
      </w:r>
      <w:r w:rsidRPr="006219A1">
        <w:rPr>
          <w:rFonts w:ascii="Arial" w:hAnsi="Arial" w:cs="Arial"/>
          <w:sz w:val="20"/>
          <w:szCs w:val="20"/>
        </w:rPr>
        <w:t xml:space="preserve"> that he might intervene to warn someone who may be making the most damning of admissions</w:t>
      </w:r>
      <w:r>
        <w:rPr>
          <w:rFonts w:ascii="Arial" w:hAnsi="Arial" w:cs="Arial"/>
          <w:sz w:val="20"/>
          <w:szCs w:val="20"/>
        </w:rPr>
        <w:t>’</w:t>
      </w:r>
      <w:r w:rsidRPr="006219A1">
        <w:rPr>
          <w:rFonts w:ascii="Arial" w:hAnsi="Arial" w:cs="Arial"/>
          <w:sz w:val="20"/>
          <w:szCs w:val="20"/>
        </w:rPr>
        <w:t>.</w:t>
      </w:r>
    </w:p>
    <w:p w14:paraId="35C6FB83" w14:textId="23F60C3D"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[33] </w:t>
      </w:r>
      <w:r w:rsidRPr="006840E6">
        <w:rPr>
          <w:rFonts w:ascii="Arial" w:hAnsi="Arial" w:cs="Arial"/>
          <w:sz w:val="20"/>
          <w:szCs w:val="20"/>
        </w:rPr>
        <w:t xml:space="preserve">I3P, having been informed on arrival at the police station of what AC </w:t>
      </w:r>
      <w:r>
        <w:rPr>
          <w:rFonts w:ascii="Arial" w:hAnsi="Arial" w:cs="Arial"/>
          <w:sz w:val="20"/>
          <w:szCs w:val="20"/>
        </w:rPr>
        <w:t>‘</w:t>
      </w:r>
      <w:r w:rsidRPr="006840E6">
        <w:rPr>
          <w:rFonts w:ascii="Arial" w:hAnsi="Arial" w:cs="Arial"/>
          <w:sz w:val="20"/>
          <w:szCs w:val="20"/>
        </w:rPr>
        <w:t>had done</w:t>
      </w:r>
      <w:r>
        <w:rPr>
          <w:rFonts w:ascii="Arial" w:hAnsi="Arial" w:cs="Arial"/>
          <w:sz w:val="20"/>
          <w:szCs w:val="20"/>
        </w:rPr>
        <w:t>’</w:t>
      </w:r>
      <w:r w:rsidRPr="006840E6">
        <w:rPr>
          <w:rFonts w:ascii="Arial" w:hAnsi="Arial" w:cs="Arial"/>
          <w:sz w:val="20"/>
          <w:szCs w:val="20"/>
        </w:rPr>
        <w:t xml:space="preserve"> and having sat through the interview with ZW, was well aware of the serious admissions that were likely to be made if AC were to answer the questions put to him in the ROI.</w:t>
      </w:r>
    </w:p>
    <w:p w14:paraId="2A495714" w14:textId="2E8BFD87"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[34] </w:t>
      </w:r>
      <w:r w:rsidRPr="006840E6">
        <w:rPr>
          <w:rFonts w:ascii="Arial" w:hAnsi="Arial" w:cs="Arial"/>
          <w:sz w:val="20"/>
          <w:szCs w:val="20"/>
        </w:rPr>
        <w:t>Yet he sat passively through the interview.</w:t>
      </w:r>
    </w:p>
    <w:p w14:paraId="0A6BF1E9" w14:textId="18A41BB5"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[35] </w:t>
      </w:r>
      <w:r w:rsidRPr="006840E6">
        <w:rPr>
          <w:rFonts w:ascii="Arial" w:hAnsi="Arial" w:cs="Arial"/>
          <w:sz w:val="20"/>
          <w:szCs w:val="20"/>
        </w:rPr>
        <w:t>His response to this in his evidence was that it was not his responsibility and that he was not qualified to give legal advice.</w:t>
      </w:r>
    </w:p>
    <w:p w14:paraId="395FCE60" w14:textId="625AB052"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[36] </w:t>
      </w:r>
      <w:r w:rsidRPr="006840E6">
        <w:rPr>
          <w:rFonts w:ascii="Arial" w:hAnsi="Arial" w:cs="Arial"/>
          <w:sz w:val="20"/>
          <w:szCs w:val="20"/>
        </w:rPr>
        <w:t xml:space="preserve">But as Bell J said in </w:t>
      </w:r>
      <w:r w:rsidRPr="006840E6">
        <w:rPr>
          <w:rFonts w:ascii="Arial" w:hAnsi="Arial" w:cs="Arial"/>
          <w:i/>
          <w:iCs/>
          <w:sz w:val="20"/>
          <w:szCs w:val="20"/>
        </w:rPr>
        <w:t>Toomalatai</w:t>
      </w:r>
      <w:r>
        <w:rPr>
          <w:rFonts w:ascii="Arial" w:hAnsi="Arial" w:cs="Arial"/>
          <w:i/>
          <w:iCs/>
          <w:sz w:val="20"/>
          <w:szCs w:val="20"/>
        </w:rPr>
        <w:t xml:space="preserve"> </w:t>
      </w:r>
      <w:r w:rsidRPr="006219A1">
        <w:rPr>
          <w:rFonts w:ascii="Arial" w:hAnsi="Arial" w:cs="Arial"/>
          <w:sz w:val="20"/>
          <w:szCs w:val="20"/>
        </w:rPr>
        <w:t xml:space="preserve">at [75], quoting Dowd J in </w:t>
      </w:r>
      <w:r>
        <w:rPr>
          <w:rFonts w:ascii="Arial" w:hAnsi="Arial" w:cs="Arial"/>
          <w:i/>
          <w:iCs/>
          <w:sz w:val="20"/>
          <w:szCs w:val="20"/>
        </w:rPr>
        <w:t xml:space="preserve">R v Cortez and others </w:t>
      </w:r>
      <w:r w:rsidRPr="006219A1">
        <w:rPr>
          <w:rFonts w:ascii="Arial" w:hAnsi="Arial" w:cs="Arial"/>
          <w:sz w:val="20"/>
          <w:szCs w:val="20"/>
        </w:rPr>
        <w:t>at</w:t>
      </w:r>
      <w:r>
        <w:rPr>
          <w:rFonts w:ascii="Arial" w:hAnsi="Arial" w:cs="Arial"/>
          <w:sz w:val="20"/>
          <w:szCs w:val="20"/>
        </w:rPr>
        <w:t> </w:t>
      </w:r>
      <w:r w:rsidRPr="006219A1">
        <w:rPr>
          <w:rFonts w:ascii="Arial" w:hAnsi="Arial" w:cs="Arial"/>
          <w:sz w:val="20"/>
          <w:szCs w:val="20"/>
        </w:rPr>
        <w:t xml:space="preserve">[13]: </w:t>
      </w:r>
      <w:r>
        <w:rPr>
          <w:rFonts w:ascii="Arial" w:hAnsi="Arial" w:cs="Arial"/>
          <w:sz w:val="20"/>
          <w:szCs w:val="20"/>
        </w:rPr>
        <w:t>‘</w:t>
      </w:r>
      <w:r w:rsidRPr="006219A1">
        <w:rPr>
          <w:rFonts w:ascii="Arial" w:hAnsi="Arial" w:cs="Arial"/>
          <w:sz w:val="20"/>
          <w:szCs w:val="20"/>
        </w:rPr>
        <w:t>[Y]ou</w:t>
      </w:r>
      <w:r w:rsidRPr="006840E6">
        <w:rPr>
          <w:rFonts w:ascii="Arial" w:hAnsi="Arial" w:cs="Arial"/>
          <w:sz w:val="20"/>
          <w:szCs w:val="20"/>
        </w:rPr>
        <w:t xml:space="preserve"> don’t need to know a lot about the law to know when a person is about to make damning admissions.</w:t>
      </w:r>
      <w:r>
        <w:rPr>
          <w:rFonts w:ascii="Arial" w:hAnsi="Arial" w:cs="Arial"/>
          <w:sz w:val="20"/>
          <w:szCs w:val="20"/>
        </w:rPr>
        <w:t>’</w:t>
      </w:r>
    </w:p>
    <w:p w14:paraId="62B2E9D3" w14:textId="369F76C0"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[37] It is clear that </w:t>
      </w:r>
      <w:r w:rsidRPr="006840E6">
        <w:rPr>
          <w:rFonts w:ascii="Arial" w:hAnsi="Arial" w:cs="Arial"/>
          <w:sz w:val="20"/>
          <w:szCs w:val="20"/>
        </w:rPr>
        <w:t>in the context of AC’s interview the independent person should have intervened to remind AC of his right to silence and caution him against further participation as well as the need to obtain legal advice.</w:t>
      </w:r>
      <w:r>
        <w:rPr>
          <w:rFonts w:ascii="Arial" w:hAnsi="Arial" w:cs="Arial"/>
          <w:sz w:val="20"/>
          <w:szCs w:val="20"/>
        </w:rPr>
        <w:t>”</w:t>
      </w:r>
    </w:p>
    <w:p w14:paraId="3DD5256D" w14:textId="46691200" w:rsidR="006219A1" w:rsidRPr="006840E6" w:rsidRDefault="006219A1" w:rsidP="00E95A20">
      <w:pPr>
        <w:spacing w:before="120"/>
        <w:jc w:val="both"/>
        <w:rPr>
          <w:rFonts w:ascii="Arial" w:hAnsi="Arial" w:cs="Arial"/>
          <w:sz w:val="20"/>
          <w:szCs w:val="20"/>
        </w:rPr>
      </w:pPr>
      <w:r>
        <w:rPr>
          <w:rFonts w:ascii="Arial" w:hAnsi="Arial" w:cs="Arial"/>
          <w:sz w:val="20"/>
          <w:szCs w:val="20"/>
        </w:rPr>
        <w:t xml:space="preserve">In relation to the informant’s decision to interview </w:t>
      </w:r>
      <w:r w:rsidR="009148E0">
        <w:rPr>
          <w:rFonts w:ascii="Arial" w:hAnsi="Arial" w:cs="Arial"/>
          <w:sz w:val="20"/>
          <w:szCs w:val="20"/>
        </w:rPr>
        <w:t xml:space="preserve">AC in the presence of an independent person rather than a parent or guardian, Magistrate </w:t>
      </w:r>
      <w:r w:rsidR="009148E0">
        <w:rPr>
          <w:rFonts w:ascii="Arial" w:hAnsi="Arial" w:cs="Arial"/>
          <w:color w:val="000000"/>
          <w:sz w:val="20"/>
        </w:rPr>
        <w:t>Rozencwajg said at [39]-[50]:</w:t>
      </w:r>
    </w:p>
    <w:p w14:paraId="68D3896E" w14:textId="2E58B534" w:rsidR="00EC61FA" w:rsidRDefault="00EC61FA" w:rsidP="00EC61FA">
      <w:pPr>
        <w:spacing w:before="60"/>
        <w:ind w:left="567" w:right="567"/>
        <w:jc w:val="both"/>
        <w:rPr>
          <w:rFonts w:ascii="Arial" w:hAnsi="Arial" w:cs="Arial"/>
          <w:sz w:val="20"/>
          <w:szCs w:val="20"/>
        </w:rPr>
      </w:pPr>
      <w:r>
        <w:rPr>
          <w:rFonts w:ascii="Arial" w:hAnsi="Arial" w:cs="Arial"/>
          <w:sz w:val="20"/>
          <w:szCs w:val="20"/>
        </w:rPr>
        <w:t xml:space="preserve">[39] “As Incerti J stated in </w:t>
      </w:r>
      <w:r w:rsidRPr="00EC61FA">
        <w:rPr>
          <w:rFonts w:ascii="Arial" w:hAnsi="Arial" w:cs="Arial"/>
          <w:i/>
          <w:iCs/>
          <w:sz w:val="20"/>
          <w:szCs w:val="20"/>
        </w:rPr>
        <w:t>DPP v SA (Ruling No 4)</w:t>
      </w:r>
      <w:r>
        <w:rPr>
          <w:rFonts w:ascii="Arial" w:hAnsi="Arial" w:cs="Arial"/>
          <w:sz w:val="20"/>
          <w:szCs w:val="20"/>
        </w:rPr>
        <w:t xml:space="preserve"> [202</w:t>
      </w:r>
      <w:r w:rsidR="00F80DAD">
        <w:rPr>
          <w:rFonts w:ascii="Arial" w:hAnsi="Arial" w:cs="Arial"/>
          <w:sz w:val="20"/>
          <w:szCs w:val="20"/>
        </w:rPr>
        <w:t>3</w:t>
      </w:r>
      <w:r>
        <w:rPr>
          <w:rFonts w:ascii="Arial" w:hAnsi="Arial" w:cs="Arial"/>
          <w:sz w:val="20"/>
          <w:szCs w:val="20"/>
        </w:rPr>
        <w:t xml:space="preserve">] VSC </w:t>
      </w:r>
      <w:r w:rsidR="00F80DAD">
        <w:rPr>
          <w:rFonts w:ascii="Arial" w:hAnsi="Arial" w:cs="Arial"/>
          <w:sz w:val="20"/>
          <w:szCs w:val="20"/>
        </w:rPr>
        <w:t>661</w:t>
      </w:r>
      <w:r>
        <w:rPr>
          <w:rFonts w:ascii="Arial" w:hAnsi="Arial" w:cs="Arial"/>
          <w:sz w:val="20"/>
          <w:szCs w:val="20"/>
        </w:rPr>
        <w:t xml:space="preserve"> at [16], s.464E ‘reveals a preference for a young person’s parent or guardian to be present with them during police questioning’.</w:t>
      </w:r>
    </w:p>
    <w:p w14:paraId="5A495582" w14:textId="591E30F8" w:rsidR="00EC61FA" w:rsidRDefault="00EC61FA" w:rsidP="00EC61FA">
      <w:pPr>
        <w:spacing w:before="60"/>
        <w:ind w:left="567" w:right="567"/>
        <w:jc w:val="both"/>
        <w:rPr>
          <w:rFonts w:ascii="Arial" w:hAnsi="Arial" w:cs="Arial"/>
          <w:sz w:val="20"/>
          <w:szCs w:val="20"/>
        </w:rPr>
      </w:pPr>
      <w:r>
        <w:rPr>
          <w:rFonts w:ascii="Arial" w:hAnsi="Arial" w:cs="Arial"/>
          <w:sz w:val="20"/>
          <w:szCs w:val="20"/>
        </w:rPr>
        <w:t xml:space="preserve">[40] The evidence on the </w:t>
      </w:r>
      <w:r w:rsidRPr="00EC61FA">
        <w:rPr>
          <w:rFonts w:ascii="Arial" w:hAnsi="Arial" w:cs="Arial"/>
          <w:i/>
          <w:iCs/>
          <w:sz w:val="20"/>
          <w:szCs w:val="20"/>
        </w:rPr>
        <w:t>voir dire</w:t>
      </w:r>
      <w:r>
        <w:rPr>
          <w:rFonts w:ascii="Arial" w:hAnsi="Arial" w:cs="Arial"/>
          <w:sz w:val="20"/>
          <w:szCs w:val="20"/>
        </w:rPr>
        <w:t xml:space="preserve"> indicates that the informant P1 was aware that AC resides in residential care but was not sure if they were his legal guardian.</w:t>
      </w:r>
    </w:p>
    <w:p w14:paraId="7BEE5E1D" w14:textId="2908A757" w:rsidR="00EC61FA" w:rsidRDefault="00EC61FA" w:rsidP="00EC61FA">
      <w:pPr>
        <w:spacing w:before="60"/>
        <w:ind w:left="567" w:right="567"/>
        <w:jc w:val="both"/>
        <w:rPr>
          <w:rFonts w:ascii="Arial" w:hAnsi="Arial" w:cs="Arial"/>
          <w:sz w:val="20"/>
          <w:szCs w:val="20"/>
        </w:rPr>
      </w:pPr>
      <w:r>
        <w:rPr>
          <w:rFonts w:ascii="Arial" w:hAnsi="Arial" w:cs="Arial"/>
          <w:sz w:val="20"/>
          <w:szCs w:val="20"/>
        </w:rPr>
        <w:t>[41] Detective P1 directed police officer P2 to contact Child Protection to obtain contact details of AC’s mother.  He had previously tried to contact AC’s father but was unsuccessful.</w:t>
      </w:r>
    </w:p>
    <w:p w14:paraId="7DC0CEEE" w14:textId="6361D765" w:rsidR="00EC61FA" w:rsidRDefault="00EC61FA" w:rsidP="00EC61FA">
      <w:pPr>
        <w:spacing w:before="60"/>
        <w:ind w:left="567" w:right="567"/>
        <w:jc w:val="both"/>
        <w:rPr>
          <w:rFonts w:ascii="Arial" w:hAnsi="Arial" w:cs="Arial"/>
          <w:sz w:val="20"/>
          <w:szCs w:val="20"/>
        </w:rPr>
      </w:pPr>
      <w:r>
        <w:rPr>
          <w:rFonts w:ascii="Arial" w:hAnsi="Arial" w:cs="Arial"/>
          <w:sz w:val="20"/>
          <w:szCs w:val="20"/>
        </w:rPr>
        <w:lastRenderedPageBreak/>
        <w:t>[42] Police officer P</w:t>
      </w:r>
      <w:r w:rsidR="00A01434">
        <w:rPr>
          <w:rFonts w:ascii="Arial" w:hAnsi="Arial" w:cs="Arial"/>
          <w:sz w:val="20"/>
          <w:szCs w:val="20"/>
        </w:rPr>
        <w:t>2</w:t>
      </w:r>
      <w:r>
        <w:rPr>
          <w:rFonts w:ascii="Arial" w:hAnsi="Arial" w:cs="Arial"/>
          <w:sz w:val="20"/>
          <w:szCs w:val="20"/>
        </w:rPr>
        <w:t xml:space="preserve"> was told that AC’s mother was missing but they provided the contact details of his aunt AU.</w:t>
      </w:r>
    </w:p>
    <w:p w14:paraId="2D23FE11" w14:textId="276ED1E5" w:rsidR="00EC61FA" w:rsidRDefault="00EC61FA" w:rsidP="00EC61FA">
      <w:pPr>
        <w:spacing w:before="60"/>
        <w:ind w:left="567" w:right="567"/>
        <w:jc w:val="both"/>
        <w:rPr>
          <w:rFonts w:ascii="Arial" w:hAnsi="Arial" w:cs="Arial"/>
          <w:sz w:val="20"/>
          <w:szCs w:val="20"/>
        </w:rPr>
      </w:pPr>
      <w:r>
        <w:rPr>
          <w:rFonts w:ascii="Arial" w:hAnsi="Arial" w:cs="Arial"/>
          <w:sz w:val="20"/>
          <w:szCs w:val="20"/>
        </w:rPr>
        <w:t>[43] Police officer P2’s evidence was that Child Protection informed him that AU was a suitable person for the ROI.  He admits it is possible that he was also told that AU was AC’s carer but can’t recall.</w:t>
      </w:r>
    </w:p>
    <w:p w14:paraId="2C838EE3" w14:textId="33CB75F0" w:rsidR="00EC61FA" w:rsidRDefault="00EC61FA" w:rsidP="00EC61FA">
      <w:pPr>
        <w:spacing w:before="60"/>
        <w:ind w:left="567" w:right="567"/>
        <w:jc w:val="both"/>
        <w:rPr>
          <w:rFonts w:ascii="Arial" w:hAnsi="Arial" w:cs="Arial"/>
          <w:sz w:val="20"/>
          <w:szCs w:val="20"/>
        </w:rPr>
      </w:pPr>
      <w:r>
        <w:rPr>
          <w:rFonts w:ascii="Arial" w:hAnsi="Arial" w:cs="Arial"/>
          <w:sz w:val="20"/>
          <w:szCs w:val="20"/>
        </w:rPr>
        <w:t>[44] The bottom line is that the officers involved made no attempt to contact AU despite her residing in [</w:t>
      </w:r>
      <w:r w:rsidRPr="00EC61FA">
        <w:rPr>
          <w:rFonts w:ascii="Arial" w:hAnsi="Arial" w:cs="Arial"/>
          <w:i/>
          <w:iCs/>
          <w:sz w:val="20"/>
          <w:szCs w:val="20"/>
        </w:rPr>
        <w:t>the same town as the police station where the ROI was conducted</w:t>
      </w:r>
      <w:r>
        <w:rPr>
          <w:rFonts w:ascii="Arial" w:hAnsi="Arial" w:cs="Arial"/>
          <w:sz w:val="20"/>
          <w:szCs w:val="20"/>
        </w:rPr>
        <w:t>].</w:t>
      </w:r>
    </w:p>
    <w:p w14:paraId="6645E455" w14:textId="64089281" w:rsidR="00EC61FA" w:rsidRDefault="00EC61FA" w:rsidP="00EC61FA">
      <w:pPr>
        <w:spacing w:before="60"/>
        <w:ind w:left="567" w:right="567"/>
        <w:jc w:val="both"/>
        <w:rPr>
          <w:rFonts w:ascii="Arial" w:hAnsi="Arial" w:cs="Arial"/>
          <w:sz w:val="20"/>
          <w:szCs w:val="20"/>
        </w:rPr>
      </w:pPr>
      <w:r>
        <w:rPr>
          <w:rFonts w:ascii="Arial" w:hAnsi="Arial" w:cs="Arial"/>
          <w:sz w:val="20"/>
          <w:szCs w:val="20"/>
        </w:rPr>
        <w:t>[45] Police officer P2 gave evidence to the effect that he was not told by Child Protection that there was a permanent care order applicable to AC.</w:t>
      </w:r>
    </w:p>
    <w:p w14:paraId="0C0E2216" w14:textId="72034FCE" w:rsidR="00EC61FA" w:rsidRDefault="00EC61FA" w:rsidP="00EC61FA">
      <w:pPr>
        <w:spacing w:before="60"/>
        <w:ind w:left="567" w:right="567"/>
        <w:jc w:val="both"/>
        <w:rPr>
          <w:rFonts w:ascii="Arial" w:hAnsi="Arial" w:cs="Arial"/>
          <w:sz w:val="20"/>
          <w:szCs w:val="20"/>
        </w:rPr>
      </w:pPr>
      <w:r>
        <w:rPr>
          <w:rFonts w:ascii="Arial" w:hAnsi="Arial" w:cs="Arial"/>
          <w:sz w:val="20"/>
          <w:szCs w:val="20"/>
        </w:rPr>
        <w:t>[46] As it turns out a Permanent Care order was made on 25.1.2021 granting parental responsibility for AC to AU and TK.</w:t>
      </w:r>
    </w:p>
    <w:p w14:paraId="65014FFF" w14:textId="5632781C" w:rsidR="00EC61FA" w:rsidRDefault="00EC61FA" w:rsidP="00EC61FA">
      <w:pPr>
        <w:spacing w:before="60"/>
        <w:ind w:left="567" w:right="567"/>
        <w:jc w:val="both"/>
        <w:rPr>
          <w:rFonts w:ascii="Arial" w:hAnsi="Arial" w:cs="Arial"/>
          <w:sz w:val="20"/>
          <w:szCs w:val="20"/>
        </w:rPr>
      </w:pPr>
      <w:r>
        <w:rPr>
          <w:rFonts w:ascii="Arial" w:hAnsi="Arial" w:cs="Arial"/>
          <w:sz w:val="20"/>
          <w:szCs w:val="20"/>
        </w:rPr>
        <w:t>[47] In the circumstances of this case and given what was known about AC, why would inquiries not have been made with Child Protection as to any existing care orders made by the Court</w:t>
      </w:r>
      <w:r w:rsidR="00E95A20">
        <w:rPr>
          <w:rFonts w:ascii="Arial" w:hAnsi="Arial" w:cs="Arial"/>
          <w:sz w:val="20"/>
          <w:szCs w:val="20"/>
        </w:rPr>
        <w:t>, given the preference in s.464E for a parent or guardian to be present?</w:t>
      </w:r>
    </w:p>
    <w:p w14:paraId="70DCF1A5" w14:textId="58040BD6" w:rsidR="00E95A20" w:rsidRDefault="00E95A20" w:rsidP="00EC61FA">
      <w:pPr>
        <w:spacing w:before="60"/>
        <w:ind w:left="567" w:right="567"/>
        <w:jc w:val="both"/>
        <w:rPr>
          <w:rFonts w:ascii="Arial" w:hAnsi="Arial" w:cs="Arial"/>
          <w:sz w:val="20"/>
          <w:szCs w:val="20"/>
        </w:rPr>
      </w:pPr>
      <w:r>
        <w:rPr>
          <w:rFonts w:ascii="Arial" w:hAnsi="Arial" w:cs="Arial"/>
          <w:sz w:val="20"/>
          <w:szCs w:val="20"/>
        </w:rPr>
        <w:t>[48] Indeed, the inference is open that this information was conveyed to police officer P2.</w:t>
      </w:r>
    </w:p>
    <w:p w14:paraId="70DBD0B9" w14:textId="665D4F83" w:rsidR="00E95A20" w:rsidRDefault="00E95A20" w:rsidP="00EC61FA">
      <w:pPr>
        <w:spacing w:before="60"/>
        <w:ind w:left="567" w:right="567"/>
        <w:jc w:val="both"/>
        <w:rPr>
          <w:rFonts w:ascii="Arial" w:hAnsi="Arial" w:cs="Arial"/>
          <w:sz w:val="20"/>
          <w:szCs w:val="20"/>
        </w:rPr>
      </w:pPr>
      <w:r>
        <w:rPr>
          <w:rFonts w:ascii="Arial" w:hAnsi="Arial" w:cs="Arial"/>
          <w:sz w:val="20"/>
          <w:szCs w:val="20"/>
        </w:rPr>
        <w:t>[49] Either way it is puzzling, to say the least, why in fact no attempt was made to contact AU.</w:t>
      </w:r>
    </w:p>
    <w:p w14:paraId="7C491D8D" w14:textId="353356FB" w:rsidR="00E95A20" w:rsidRDefault="00E95A20" w:rsidP="00EC61FA">
      <w:pPr>
        <w:spacing w:before="60"/>
        <w:ind w:left="567" w:right="567"/>
        <w:jc w:val="both"/>
        <w:rPr>
          <w:rFonts w:ascii="Arial" w:hAnsi="Arial" w:cs="Arial"/>
          <w:sz w:val="20"/>
          <w:szCs w:val="20"/>
        </w:rPr>
      </w:pPr>
      <w:r>
        <w:rPr>
          <w:rFonts w:ascii="Arial" w:hAnsi="Arial" w:cs="Arial"/>
          <w:sz w:val="20"/>
          <w:szCs w:val="20"/>
        </w:rPr>
        <w:t>[50] She lives [</w:t>
      </w:r>
      <w:r w:rsidRPr="00E95A20">
        <w:rPr>
          <w:rFonts w:ascii="Arial" w:hAnsi="Arial" w:cs="Arial"/>
          <w:i/>
          <w:iCs/>
          <w:sz w:val="20"/>
          <w:szCs w:val="20"/>
        </w:rPr>
        <w:t>in the same town as the police station where the ROI was conducted</w:t>
      </w:r>
      <w:r>
        <w:rPr>
          <w:rFonts w:ascii="Arial" w:hAnsi="Arial" w:cs="Arial"/>
          <w:sz w:val="20"/>
          <w:szCs w:val="20"/>
        </w:rPr>
        <w:t>], her contact details were provided to the police, she is related to AC and has parental responsibility for him and she was deemed suitable by Child Protection to support AC in the interview process.”</w:t>
      </w:r>
    </w:p>
    <w:p w14:paraId="44984C1C" w14:textId="3DCC6B17" w:rsidR="006840E6" w:rsidRPr="006840E6" w:rsidRDefault="00E95A20" w:rsidP="00E95A20">
      <w:pPr>
        <w:spacing w:before="120"/>
        <w:jc w:val="both"/>
        <w:rPr>
          <w:rFonts w:ascii="Arial" w:hAnsi="Arial" w:cs="Arial"/>
          <w:sz w:val="20"/>
          <w:szCs w:val="20"/>
        </w:rPr>
      </w:pPr>
      <w:r>
        <w:rPr>
          <w:rFonts w:ascii="Arial" w:hAnsi="Arial" w:cs="Arial"/>
          <w:sz w:val="20"/>
          <w:szCs w:val="20"/>
        </w:rPr>
        <w:t xml:space="preserve">Ultimately, based on </w:t>
      </w:r>
      <w:r w:rsidR="00FA33DD">
        <w:rPr>
          <w:rFonts w:ascii="Arial" w:hAnsi="Arial" w:cs="Arial"/>
          <w:sz w:val="20"/>
        </w:rPr>
        <w:t>hi</w:t>
      </w:r>
      <w:r>
        <w:rPr>
          <w:rFonts w:ascii="Arial" w:hAnsi="Arial" w:cs="Arial"/>
          <w:sz w:val="20"/>
          <w:szCs w:val="20"/>
        </w:rPr>
        <w:t xml:space="preserve">s analysis detailed above and for </w:t>
      </w:r>
      <w:r w:rsidR="00FA33DD">
        <w:rPr>
          <w:rFonts w:ascii="Arial" w:hAnsi="Arial" w:cs="Arial"/>
          <w:sz w:val="20"/>
          <w:szCs w:val="20"/>
        </w:rPr>
        <w:t>his</w:t>
      </w:r>
      <w:r>
        <w:rPr>
          <w:rFonts w:ascii="Arial" w:hAnsi="Arial" w:cs="Arial"/>
          <w:sz w:val="20"/>
          <w:szCs w:val="20"/>
        </w:rPr>
        <w:t xml:space="preserve"> further reasons detailed in </w:t>
      </w:r>
      <w:r w:rsidRPr="009C1670">
        <w:rPr>
          <w:rFonts w:ascii="Arial" w:hAnsi="Arial" w:cs="Arial"/>
          <w:b/>
          <w:bCs/>
          <w:sz w:val="20"/>
          <w:shd w:val="clear" w:color="auto" w:fill="C5E0B3" w:themeFill="accent6" w:themeFillTint="66"/>
        </w:rPr>
        <w:t>section 8</w:t>
      </w:r>
      <w:r>
        <w:rPr>
          <w:rFonts w:ascii="Arial" w:hAnsi="Arial" w:cs="Arial"/>
          <w:b/>
          <w:bCs/>
          <w:sz w:val="20"/>
          <w:shd w:val="clear" w:color="auto" w:fill="C5E0B3" w:themeFill="accent6" w:themeFillTint="66"/>
        </w:rPr>
        <w:t>.2.12</w:t>
      </w:r>
      <w:r>
        <w:rPr>
          <w:rFonts w:ascii="Arial" w:hAnsi="Arial" w:cs="Arial"/>
          <w:sz w:val="20"/>
        </w:rPr>
        <w:t xml:space="preserve"> below, </w:t>
      </w:r>
      <w:r w:rsidR="00FA33DD">
        <w:rPr>
          <w:rFonts w:ascii="Arial" w:hAnsi="Arial" w:cs="Arial"/>
          <w:sz w:val="20"/>
        </w:rPr>
        <w:t>Magistrate Rozencwajg</w:t>
      </w:r>
      <w:r>
        <w:rPr>
          <w:rFonts w:ascii="Arial" w:hAnsi="Arial" w:cs="Arial"/>
          <w:sz w:val="20"/>
        </w:rPr>
        <w:t xml:space="preserve"> ruled that AC’s ROI was not admissible</w:t>
      </w:r>
      <w:r w:rsidR="00333D88">
        <w:rPr>
          <w:rFonts w:ascii="Arial" w:hAnsi="Arial" w:cs="Arial"/>
          <w:sz w:val="20"/>
        </w:rPr>
        <w:t xml:space="preserve"> in evidence</w:t>
      </w:r>
      <w:r>
        <w:rPr>
          <w:rFonts w:ascii="Arial" w:hAnsi="Arial" w:cs="Arial"/>
          <w:sz w:val="20"/>
        </w:rPr>
        <w:t xml:space="preserve"> “as it is excluded in the exercise of my discretion under s.90 of the </w:t>
      </w:r>
      <w:r w:rsidRPr="00E95A20">
        <w:rPr>
          <w:rFonts w:ascii="Arial" w:hAnsi="Arial" w:cs="Arial"/>
          <w:i/>
          <w:iCs/>
          <w:sz w:val="20"/>
        </w:rPr>
        <w:t>Evidence Act 2008</w:t>
      </w:r>
      <w:r>
        <w:rPr>
          <w:rFonts w:ascii="Arial" w:hAnsi="Arial" w:cs="Arial"/>
          <w:sz w:val="20"/>
        </w:rPr>
        <w:t>.”</w:t>
      </w:r>
    </w:p>
    <w:p w14:paraId="4B761C04" w14:textId="77777777" w:rsidR="004C676B" w:rsidRPr="008A7ABC" w:rsidRDefault="004C676B" w:rsidP="008A7AD6">
      <w:pPr>
        <w:jc w:val="both"/>
        <w:rPr>
          <w:rFonts w:ascii="Arial" w:hAnsi="Arial" w:cs="Arial"/>
          <w:color w:val="000000"/>
          <w:sz w:val="20"/>
        </w:rPr>
      </w:pPr>
    </w:p>
    <w:p w14:paraId="5F559B4B" w14:textId="77777777" w:rsidR="008A7AD6" w:rsidRPr="00222937" w:rsidRDefault="008A7AD6" w:rsidP="008A7AD6">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72337E0F" w14:textId="77777777" w:rsidR="008A7AD6" w:rsidRPr="008A7AD6" w:rsidRDefault="008A7AD6" w:rsidP="008A7AD6">
      <w:pPr>
        <w:rPr>
          <w:rFonts w:ascii="Arial" w:hAnsi="Arial" w:cs="Arial"/>
          <w:color w:val="000000"/>
          <w:sz w:val="20"/>
        </w:rPr>
      </w:pPr>
    </w:p>
    <w:p w14:paraId="3C780248" w14:textId="77777777" w:rsidR="008A7AD6" w:rsidRDefault="008A7AD6" w:rsidP="008A7AD6">
      <w:pPr>
        <w:rPr>
          <w:rFonts w:ascii="Arial" w:hAnsi="Arial" w:cs="Arial"/>
          <w:b/>
          <w:bCs/>
          <w:color w:val="000000"/>
          <w:kern w:val="28"/>
          <w:sz w:val="20"/>
          <w:szCs w:val="20"/>
          <w:lang w:val="en-GB"/>
        </w:rPr>
      </w:pPr>
      <w:bookmarkStart w:id="272" w:name="_1.1.6_Relevant_amendments"/>
      <w:bookmarkEnd w:id="272"/>
      <w:r>
        <w:rPr>
          <w:rFonts w:ascii="Arial" w:hAnsi="Arial" w:cs="Arial"/>
          <w:b/>
          <w:bCs/>
          <w:color w:val="000000"/>
          <w:sz w:val="20"/>
        </w:rPr>
        <w:br w:type="page"/>
      </w:r>
    </w:p>
    <w:p w14:paraId="3F80994A" w14:textId="10B598D0" w:rsidR="00EE5134" w:rsidRDefault="00EE5134">
      <w:pPr>
        <w:pStyle w:val="Heading3"/>
        <w:keepNext/>
        <w:spacing w:after="80" w:line="240" w:lineRule="auto"/>
        <w:rPr>
          <w:rFonts w:ascii="Arial" w:hAnsi="Arial" w:cs="Arial"/>
          <w:b/>
          <w:bCs/>
          <w:sz w:val="20"/>
        </w:rPr>
      </w:pPr>
      <w:bookmarkStart w:id="273" w:name="_8.2.10_Consequence_of"/>
      <w:bookmarkStart w:id="274" w:name="_Toc30691410"/>
      <w:bookmarkStart w:id="275" w:name="_Toc30691787"/>
      <w:bookmarkStart w:id="276" w:name="_Toc30692167"/>
      <w:bookmarkStart w:id="277" w:name="_Toc30692925"/>
      <w:bookmarkStart w:id="278" w:name="_Toc30693304"/>
      <w:bookmarkStart w:id="279" w:name="_Toc30693682"/>
      <w:bookmarkStart w:id="280" w:name="_Toc30694060"/>
      <w:bookmarkStart w:id="281" w:name="_Toc30694440"/>
      <w:bookmarkStart w:id="282" w:name="_Toc30699029"/>
      <w:bookmarkStart w:id="283" w:name="_Toc30699407"/>
      <w:bookmarkStart w:id="284" w:name="_Toc30699792"/>
      <w:bookmarkStart w:id="285" w:name="_Toc30700947"/>
      <w:bookmarkStart w:id="286" w:name="_Toc30701334"/>
      <w:bookmarkStart w:id="287" w:name="_Toc30743945"/>
      <w:bookmarkStart w:id="288" w:name="_Toc30754768"/>
      <w:bookmarkStart w:id="289" w:name="_Toc30757209"/>
      <w:bookmarkStart w:id="290" w:name="_Toc30757757"/>
      <w:bookmarkStart w:id="291" w:name="_Toc30758157"/>
      <w:bookmarkStart w:id="292" w:name="_Toc30762918"/>
      <w:bookmarkStart w:id="293" w:name="_Toc30767572"/>
      <w:bookmarkStart w:id="294" w:name="_Toc34823590"/>
      <w:bookmarkEnd w:id="273"/>
      <w:r>
        <w:rPr>
          <w:rFonts w:ascii="Arial" w:hAnsi="Arial" w:cs="Arial"/>
          <w:b/>
          <w:bCs/>
          <w:sz w:val="20"/>
        </w:rPr>
        <w:lastRenderedPageBreak/>
        <w:t>8.2.10</w:t>
      </w:r>
      <w:r>
        <w:rPr>
          <w:rFonts w:ascii="Arial" w:hAnsi="Arial" w:cs="Arial"/>
          <w:b/>
          <w:bCs/>
          <w:sz w:val="20"/>
        </w:rPr>
        <w:tab/>
        <w:t>Consequence of failure to comply with the statutory requirements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438590D9" w14:textId="50D95E9F" w:rsidR="00DA2E45" w:rsidRDefault="00EE5134">
      <w:pPr>
        <w:jc w:val="both"/>
        <w:rPr>
          <w:rFonts w:ascii="Arial" w:hAnsi="Arial" w:cs="Arial"/>
          <w:sz w:val="20"/>
        </w:rPr>
      </w:pPr>
      <w:r>
        <w:rPr>
          <w:rFonts w:ascii="Arial" w:hAnsi="Arial" w:cs="Arial"/>
          <w:sz w:val="20"/>
        </w:rPr>
        <w:t xml:space="preserve">Non-compliance with any of sections 464A-H of the Crimes Act 1958 (Vic) does not automatically lead to the inadmissibility of any ensuing record of interview: see e.g. </w:t>
      </w:r>
      <w:r>
        <w:rPr>
          <w:rFonts w:ascii="Arial" w:hAnsi="Arial" w:cs="Arial"/>
          <w:i/>
          <w:iCs/>
          <w:sz w:val="20"/>
        </w:rPr>
        <w:t xml:space="preserve">R v </w:t>
      </w:r>
      <w:smartTag w:uri="urn:schemas-microsoft-com:office:smarttags" w:element="place">
        <w:smartTag w:uri="urn:schemas-microsoft-com:office:smarttags" w:element="City">
          <w:r>
            <w:rPr>
              <w:rFonts w:ascii="Arial" w:hAnsi="Arial" w:cs="Arial"/>
              <w:i/>
              <w:iCs/>
              <w:sz w:val="20"/>
            </w:rPr>
            <w:t>Lancaster</w:t>
          </w:r>
        </w:smartTag>
      </w:smartTag>
      <w:r>
        <w:rPr>
          <w:rFonts w:ascii="Arial" w:hAnsi="Arial" w:cs="Arial"/>
          <w:sz w:val="20"/>
        </w:rPr>
        <w:t xml:space="preserve"> [1998] 4 VR 550 at 556 per Batt JA with whom Winneke P. agreed.  However, non-compliance d</w:t>
      </w:r>
      <w:r w:rsidR="003A7330">
        <w:rPr>
          <w:rFonts w:ascii="Arial" w:hAnsi="Arial" w:cs="Arial"/>
          <w:sz w:val="20"/>
        </w:rPr>
        <w:t>id</w:t>
      </w:r>
      <w:r>
        <w:rPr>
          <w:rFonts w:ascii="Arial" w:hAnsi="Arial" w:cs="Arial"/>
          <w:sz w:val="20"/>
        </w:rPr>
        <w:t xml:space="preserve"> give rise to </w:t>
      </w:r>
      <w:r w:rsidR="003A7330">
        <w:rPr>
          <w:rFonts w:ascii="Arial" w:hAnsi="Arial" w:cs="Arial"/>
          <w:sz w:val="20"/>
        </w:rPr>
        <w:t xml:space="preserve">what used to be a common law </w:t>
      </w:r>
      <w:r>
        <w:rPr>
          <w:rFonts w:ascii="Arial" w:hAnsi="Arial" w:cs="Arial"/>
          <w:sz w:val="20"/>
        </w:rPr>
        <w:t xml:space="preserve">discretion to exclude the impugned evidence, a discretion discussed in </w:t>
      </w:r>
      <w:r>
        <w:rPr>
          <w:rFonts w:ascii="Arial" w:hAnsi="Arial" w:cs="Arial"/>
          <w:i/>
          <w:iCs/>
          <w:sz w:val="20"/>
        </w:rPr>
        <w:t>Bunning v Cross</w:t>
      </w:r>
      <w:r w:rsidR="00DA2E45">
        <w:rPr>
          <w:rFonts w:ascii="Arial" w:hAnsi="Arial" w:cs="Arial"/>
          <w:sz w:val="20"/>
        </w:rPr>
        <w:t xml:space="preserve"> (1978) 141 CLR 5</w:t>
      </w:r>
      <w:r w:rsidR="00C604CE">
        <w:rPr>
          <w:rFonts w:ascii="Arial" w:hAnsi="Arial" w:cs="Arial"/>
          <w:sz w:val="20"/>
        </w:rPr>
        <w:t>4</w:t>
      </w:r>
      <w:r w:rsidR="00DA2E45">
        <w:rPr>
          <w:rFonts w:ascii="Arial" w:hAnsi="Arial" w:cs="Arial"/>
          <w:sz w:val="20"/>
        </w:rPr>
        <w:t xml:space="preserve"> </w:t>
      </w:r>
      <w:r>
        <w:rPr>
          <w:rFonts w:ascii="Arial" w:hAnsi="Arial" w:cs="Arial"/>
          <w:sz w:val="20"/>
        </w:rPr>
        <w:t>which requires</w:t>
      </w:r>
      <w:r w:rsidR="00DA2E45">
        <w:rPr>
          <w:rFonts w:ascii="Arial" w:hAnsi="Arial" w:cs="Arial"/>
          <w:sz w:val="20"/>
        </w:rPr>
        <w:t xml:space="preserve"> the consideration of and the weighing of competing public requirements against each other.  As Stephen &amp; Aickin JJ said at p.74:</w:t>
      </w:r>
    </w:p>
    <w:p w14:paraId="7612B8A2" w14:textId="77777777" w:rsidR="00DA2E45" w:rsidRDefault="00DA2E45" w:rsidP="00DA2E45">
      <w:pPr>
        <w:spacing w:before="60"/>
        <w:ind w:left="567" w:right="567"/>
        <w:jc w:val="both"/>
        <w:rPr>
          <w:rFonts w:ascii="Arial" w:hAnsi="Arial" w:cs="Arial"/>
          <w:sz w:val="20"/>
        </w:rPr>
      </w:pPr>
      <w:r>
        <w:rPr>
          <w:rFonts w:ascii="Arial" w:hAnsi="Arial" w:cs="Arial"/>
          <w:sz w:val="20"/>
        </w:rPr>
        <w:t xml:space="preserve">“…[This] involves no simple question of ensuring fairness to an accused but instead the weighing against each other of two competing requirements of public policy, thereby seeking to resolve the apparent conflict between the desirable goal of bringing to conviction the wrong doer, and the undesirable effect of curial approval, or even encouragement, being given to </w:t>
      </w:r>
      <w:r w:rsidR="00EE5134">
        <w:rPr>
          <w:rFonts w:ascii="Arial" w:hAnsi="Arial" w:cs="Arial"/>
          <w:sz w:val="20"/>
        </w:rPr>
        <w:t>the unlawful conduct of those whose task it is to enforce the law.”</w:t>
      </w:r>
    </w:p>
    <w:p w14:paraId="47421CF5" w14:textId="77777777" w:rsidR="009D4C93" w:rsidRDefault="009D4C93" w:rsidP="009D4C93">
      <w:pPr>
        <w:jc w:val="both"/>
        <w:rPr>
          <w:rFonts w:ascii="Arial" w:hAnsi="Arial" w:cs="Arial"/>
          <w:sz w:val="20"/>
        </w:rPr>
      </w:pPr>
    </w:p>
    <w:p w14:paraId="4E5DB174"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Cleland v R</w:t>
      </w:r>
      <w:r>
        <w:rPr>
          <w:rFonts w:ascii="Arial" w:hAnsi="Arial" w:cs="Arial"/>
          <w:sz w:val="20"/>
        </w:rPr>
        <w:t xml:space="preserve"> (1982) 151 CLR 1 at 34 Dawson J explained that the discretion was broader than that discussed in </w:t>
      </w:r>
      <w:r w:rsidRPr="00EE5134">
        <w:rPr>
          <w:rFonts w:ascii="Arial" w:hAnsi="Arial" w:cs="Arial"/>
          <w:i/>
          <w:sz w:val="20"/>
        </w:rPr>
        <w:t>Bunning v Cross</w:t>
      </w:r>
      <w:r>
        <w:rPr>
          <w:rFonts w:ascii="Arial" w:hAnsi="Arial" w:cs="Arial"/>
          <w:sz w:val="20"/>
        </w:rPr>
        <w:t xml:space="preserve"> and had two limbs, </w:t>
      </w:r>
      <w:r>
        <w:rPr>
          <w:rFonts w:ascii="Arial" w:hAnsi="Arial" w:cs="Arial"/>
          <w:sz w:val="20"/>
        </w:rPr>
        <w:sym w:font="Wingdings" w:char="F08C"/>
      </w:r>
      <w:r>
        <w:rPr>
          <w:rFonts w:ascii="Arial" w:hAnsi="Arial" w:cs="Arial"/>
          <w:sz w:val="20"/>
        </w:rPr>
        <w:t xml:space="preserve"> unfairness and </w:t>
      </w:r>
      <w:r>
        <w:rPr>
          <w:rFonts w:ascii="Arial" w:hAnsi="Arial" w:cs="Arial"/>
          <w:sz w:val="20"/>
        </w:rPr>
        <w:sym w:font="Wingdings" w:char="F08D"/>
      </w:r>
      <w:r>
        <w:rPr>
          <w:rFonts w:ascii="Arial" w:hAnsi="Arial" w:cs="Arial"/>
          <w:sz w:val="20"/>
        </w:rPr>
        <w:t xml:space="preserve"> public policy-</w:t>
      </w:r>
    </w:p>
    <w:p w14:paraId="7B6D8FCB" w14:textId="77777777" w:rsidR="00EE5134" w:rsidRDefault="00EE5134">
      <w:pPr>
        <w:spacing w:before="60"/>
        <w:ind w:left="567" w:right="567"/>
        <w:jc w:val="both"/>
        <w:rPr>
          <w:rFonts w:ascii="Arial" w:hAnsi="Arial" w:cs="Arial"/>
          <w:sz w:val="20"/>
        </w:rPr>
      </w:pPr>
      <w:r>
        <w:rPr>
          <w:rFonts w:ascii="Arial" w:hAnsi="Arial" w:cs="Arial"/>
          <w:sz w:val="20"/>
        </w:rPr>
        <w:t xml:space="preserve">"Clearly, if a confessional statement has been obtained by the use of improper or illegal means but nevertheless can be shown to be voluntary, a discretion is exercisable by the trial judge to exclude it from evidence on the basis that to admit it would be unfair to the accused. The exercise of that discretion will not turn upon the policy considerations which must otherwise exercise the judge's mind in the case of evidence which is improperly or illegally obtained.  It will entail a consideration of the result of such methods and whether it would be unfair to the accused to admit it in evidence in the sense that to do so would result in an unfair trial.  If it would, then that is an end of the matter and the confessional statement will be excluded from evidence.  If it would not, then there still remains to be considered whether the policy considerations referred to in </w:t>
      </w:r>
      <w:r>
        <w:rPr>
          <w:rFonts w:ascii="Arial" w:hAnsi="Arial" w:cs="Arial"/>
          <w:i/>
          <w:iCs/>
          <w:sz w:val="20"/>
        </w:rPr>
        <w:t>Bunning v Cross</w:t>
      </w:r>
      <w:r>
        <w:rPr>
          <w:rFonts w:ascii="Arial" w:hAnsi="Arial" w:cs="Arial"/>
          <w:sz w:val="20"/>
        </w:rPr>
        <w:t xml:space="preserve"> nevertheless require rejection of the evidence…The rule in </w:t>
      </w:r>
      <w:r>
        <w:rPr>
          <w:rFonts w:ascii="Arial" w:hAnsi="Arial" w:cs="Arial"/>
          <w:i/>
          <w:iCs/>
          <w:sz w:val="20"/>
        </w:rPr>
        <w:t>Bunning v Cross</w:t>
      </w:r>
      <w:r>
        <w:rPr>
          <w:rFonts w:ascii="Arial" w:hAnsi="Arial" w:cs="Arial"/>
          <w:sz w:val="20"/>
        </w:rPr>
        <w:t xml:space="preserve"> posits an objective test, concerned not so much with the position of an accused individual but rather with whether the illegal or improper conduct complained of in a particular case is of sufficient seriousness or frequency of occurrence as to warrant sacrificing the community's desire to see the guilty convicted in order to express disapproval of, and to discourage, the use of unacceptable methods in achieving that end." </w:t>
      </w:r>
    </w:p>
    <w:p w14:paraId="35326B16" w14:textId="77777777" w:rsidR="00EE5134" w:rsidRDefault="00EE5134">
      <w:pPr>
        <w:jc w:val="both"/>
        <w:rPr>
          <w:rFonts w:ascii="Arial" w:hAnsi="Arial" w:cs="Arial"/>
          <w:sz w:val="20"/>
        </w:rPr>
      </w:pPr>
    </w:p>
    <w:p w14:paraId="6A430D12"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Warrell</w:t>
      </w:r>
      <w:r>
        <w:rPr>
          <w:rFonts w:ascii="Arial" w:hAnsi="Arial" w:cs="Arial"/>
          <w:sz w:val="20"/>
        </w:rPr>
        <w:t xml:space="preserve"> [1983] 1 VR 671 the Court of Criminal Appeal adopted this dicta and added at 681-</w:t>
      </w:r>
    </w:p>
    <w:p w14:paraId="295962D4" w14:textId="77777777" w:rsidR="00EE5134" w:rsidRDefault="00EE5134">
      <w:pPr>
        <w:spacing w:before="60"/>
        <w:ind w:left="567" w:right="567"/>
        <w:jc w:val="both"/>
        <w:rPr>
          <w:rFonts w:ascii="Arial" w:hAnsi="Arial" w:cs="Arial"/>
          <w:sz w:val="20"/>
        </w:rPr>
      </w:pPr>
      <w:r>
        <w:rPr>
          <w:rFonts w:ascii="Arial" w:hAnsi="Arial" w:cs="Arial"/>
          <w:sz w:val="20"/>
        </w:rPr>
        <w:t xml:space="preserve">"These concepts of voluntariness, fairness, and public policy are integral to the operation of our criminal justice system.  They are designed to ensure that any finding of guilt arrived at, on the basis of confessional evidence, is not only reliable but that the evidence itself has been obtained in a socially acceptable fashion.  It is important to keep in mind, in this context, that they are concerned not only with the recognition and protection of the rights of those who may be suspected of the commission of criminal offences, but that any such finding is not surrounded by an aura of possible injustice which compromises both the system and the society which supports it.  It is against this background that, over recent years, there has been increased attention given to the problems encountered by specific groups within our community with respect to our investigative and legal process.  The need for the adoption of special procedures when dealing with children has long been accepted." </w:t>
      </w:r>
    </w:p>
    <w:p w14:paraId="65311915" w14:textId="77777777" w:rsidR="00EE5134" w:rsidRDefault="00EE5134">
      <w:pPr>
        <w:jc w:val="both"/>
        <w:rPr>
          <w:rFonts w:ascii="Arial" w:hAnsi="Arial" w:cs="Arial"/>
          <w:sz w:val="20"/>
        </w:rPr>
      </w:pPr>
    </w:p>
    <w:p w14:paraId="279C3211" w14:textId="77777777" w:rsidR="00EE5134" w:rsidRDefault="00EE5134" w:rsidP="00AA7214">
      <w:pPr>
        <w:keepNext/>
        <w:jc w:val="both"/>
        <w:rPr>
          <w:rFonts w:ascii="Arial" w:hAnsi="Arial" w:cs="Arial"/>
          <w:sz w:val="20"/>
        </w:rPr>
      </w:pPr>
      <w:r>
        <w:rPr>
          <w:rFonts w:ascii="Arial" w:hAnsi="Arial" w:cs="Arial"/>
          <w:sz w:val="20"/>
        </w:rPr>
        <w:t>Other cases where the exercise of a discretion to exclude was discussed include:</w:t>
      </w:r>
    </w:p>
    <w:p w14:paraId="2E397E2F" w14:textId="77777777" w:rsidR="00EE5134" w:rsidRDefault="00EE5134" w:rsidP="00E35AA4">
      <w:pPr>
        <w:numPr>
          <w:ilvl w:val="0"/>
          <w:numId w:val="4"/>
        </w:numPr>
        <w:spacing w:before="60"/>
        <w:ind w:left="482" w:hanging="420"/>
        <w:jc w:val="both"/>
        <w:rPr>
          <w:rFonts w:ascii="Arial" w:hAnsi="Arial" w:cs="Arial"/>
          <w:sz w:val="20"/>
        </w:rPr>
      </w:pPr>
      <w:r>
        <w:rPr>
          <w:rFonts w:ascii="Arial" w:hAnsi="Arial" w:cs="Arial"/>
          <w:i/>
          <w:iCs/>
          <w:sz w:val="20"/>
        </w:rPr>
        <w:t>R v Percerep</w:t>
      </w:r>
      <w:r>
        <w:rPr>
          <w:rFonts w:ascii="Arial" w:hAnsi="Arial" w:cs="Arial"/>
          <w:sz w:val="20"/>
        </w:rPr>
        <w:t xml:space="preserve"> [1993] 2 VR 109 at 120 where the Court of Criminal Appeal, in upholding the admission of an impugned interview, said: "It is abundantly clear that </w:t>
      </w:r>
      <w:r>
        <w:rPr>
          <w:rFonts w:ascii="Arial" w:hAnsi="Arial" w:cs="Arial"/>
          <w:i/>
          <w:iCs/>
          <w:sz w:val="20"/>
        </w:rPr>
        <w:t>Pollard</w:t>
      </w:r>
      <w:r>
        <w:rPr>
          <w:rFonts w:ascii="Arial" w:hAnsi="Arial" w:cs="Arial"/>
          <w:sz w:val="20"/>
        </w:rPr>
        <w:t xml:space="preserve"> underlines the necessity for a trial judge to make an assessment of the seriousness of a breach of s.464C, so as to enable him to decide whether on the grounds of fairness to the accused, or of public policy, the evidence ought to be rejected".</w:t>
      </w:r>
    </w:p>
    <w:p w14:paraId="6EAA99E7" w14:textId="77777777" w:rsidR="00EE5134" w:rsidRDefault="00EE5134" w:rsidP="00E35AA4">
      <w:pPr>
        <w:numPr>
          <w:ilvl w:val="0"/>
          <w:numId w:val="4"/>
        </w:numPr>
        <w:spacing w:before="60"/>
        <w:ind w:left="482" w:hanging="420"/>
        <w:jc w:val="both"/>
        <w:rPr>
          <w:rFonts w:ascii="Arial" w:hAnsi="Arial" w:cs="Arial"/>
          <w:i/>
          <w:iCs/>
          <w:sz w:val="20"/>
        </w:rPr>
      </w:pPr>
      <w:r>
        <w:rPr>
          <w:rFonts w:ascii="Arial" w:hAnsi="Arial" w:cs="Arial"/>
          <w:i/>
          <w:iCs/>
          <w:sz w:val="20"/>
        </w:rPr>
        <w:t xml:space="preserve">R v Jukov </w:t>
      </w:r>
      <w:r>
        <w:rPr>
          <w:rFonts w:ascii="Arial" w:hAnsi="Arial" w:cs="Arial"/>
          <w:sz w:val="20"/>
        </w:rPr>
        <w:t>(1994) 76 A Crim R 353 where a record of interview was excluded in the exercise of the fairness discretion where an accused, who was subject to persistent cross-examination and had an IQ of 71, had indicated an unwillingness to answer any questions but did in fact choose to answer a number of questions.</w:t>
      </w:r>
    </w:p>
    <w:p w14:paraId="21DF220A" w14:textId="77777777" w:rsidR="00EE5134" w:rsidRDefault="00EE5134" w:rsidP="00E35AA4">
      <w:pPr>
        <w:numPr>
          <w:ilvl w:val="0"/>
          <w:numId w:val="4"/>
        </w:numPr>
        <w:spacing w:before="60"/>
        <w:ind w:left="482" w:hanging="420"/>
        <w:jc w:val="both"/>
        <w:rPr>
          <w:rFonts w:ascii="Arial" w:hAnsi="Arial" w:cs="Arial"/>
          <w:i/>
          <w:iCs/>
          <w:sz w:val="20"/>
        </w:rPr>
      </w:pPr>
      <w:r>
        <w:rPr>
          <w:rFonts w:ascii="Arial" w:hAnsi="Arial" w:cs="Arial"/>
          <w:i/>
          <w:iCs/>
          <w:sz w:val="20"/>
        </w:rPr>
        <w:t>R v Frugtinet &amp; Frugtinet</w:t>
      </w:r>
      <w:r>
        <w:rPr>
          <w:rFonts w:ascii="Arial" w:hAnsi="Arial" w:cs="Arial"/>
          <w:sz w:val="20"/>
        </w:rPr>
        <w:t xml:space="preserve"> [1999] 2 VR 297 where the Court of Appeal held that-</w:t>
      </w:r>
    </w:p>
    <w:p w14:paraId="08299B80" w14:textId="77777777" w:rsidR="00EE5134" w:rsidRDefault="00EE5134">
      <w:pPr>
        <w:numPr>
          <w:ilvl w:val="1"/>
          <w:numId w:val="8"/>
        </w:numPr>
        <w:jc w:val="both"/>
        <w:rPr>
          <w:rFonts w:ascii="Arial" w:hAnsi="Arial" w:cs="Arial"/>
          <w:i/>
          <w:iCs/>
          <w:sz w:val="20"/>
        </w:rPr>
      </w:pPr>
      <w:r>
        <w:rPr>
          <w:rFonts w:ascii="Arial" w:hAnsi="Arial" w:cs="Arial"/>
          <w:sz w:val="20"/>
        </w:rPr>
        <w:t xml:space="preserve">a record of interview was properly admitted notwithstanding breaches of ss.464A(3) &amp; 464C(1) because there was no residual unfairness to the accused; </w:t>
      </w:r>
    </w:p>
    <w:p w14:paraId="3F3F2403" w14:textId="77777777" w:rsidR="00EE5134" w:rsidRDefault="00EE5134">
      <w:pPr>
        <w:numPr>
          <w:ilvl w:val="1"/>
          <w:numId w:val="8"/>
        </w:numPr>
        <w:jc w:val="both"/>
        <w:rPr>
          <w:rFonts w:ascii="Arial" w:hAnsi="Arial" w:cs="Arial"/>
          <w:i/>
          <w:iCs/>
          <w:sz w:val="20"/>
        </w:rPr>
      </w:pPr>
      <w:r>
        <w:rPr>
          <w:rFonts w:ascii="Arial" w:hAnsi="Arial" w:cs="Arial"/>
          <w:sz w:val="20"/>
        </w:rPr>
        <w:lastRenderedPageBreak/>
        <w:t>although 14 hours was a long time between being taken into custody and being taken before a bail justice, it was a reasonable time given the complexity of the investigation.</w:t>
      </w:r>
    </w:p>
    <w:p w14:paraId="74556EDD" w14:textId="77777777" w:rsidR="00EE5134" w:rsidRDefault="00EE5134" w:rsidP="00E35AA4">
      <w:pPr>
        <w:numPr>
          <w:ilvl w:val="0"/>
          <w:numId w:val="4"/>
        </w:numPr>
        <w:spacing w:before="60"/>
        <w:ind w:left="482" w:hanging="420"/>
        <w:jc w:val="both"/>
        <w:rPr>
          <w:rFonts w:ascii="Arial" w:hAnsi="Arial" w:cs="Arial"/>
          <w:sz w:val="20"/>
        </w:rPr>
      </w:pPr>
      <w:r>
        <w:rPr>
          <w:rFonts w:ascii="Arial" w:hAnsi="Arial" w:cs="Arial"/>
          <w:i/>
          <w:iCs/>
          <w:sz w:val="20"/>
        </w:rPr>
        <w:t>R v Dupas</w:t>
      </w:r>
      <w:r>
        <w:rPr>
          <w:rFonts w:ascii="Arial" w:hAnsi="Arial" w:cs="Arial"/>
          <w:sz w:val="20"/>
        </w:rPr>
        <w:t xml:space="preserve"> [2001] VSCA 109 where the Court of Appeal held at [38] that the fact that a taped record of a conversation in a police car "was not available because the machine malfunctioned unbeknown to the police enlivened the court's discretion under s.464H(2)" and constituted 'exceptional circumstances'.</w:t>
      </w:r>
    </w:p>
    <w:p w14:paraId="0C8B0415" w14:textId="77777777" w:rsidR="00EE5134" w:rsidRDefault="00EE5134" w:rsidP="00E35AA4">
      <w:pPr>
        <w:numPr>
          <w:ilvl w:val="0"/>
          <w:numId w:val="4"/>
        </w:numPr>
        <w:spacing w:before="60"/>
        <w:ind w:left="482" w:hanging="420"/>
        <w:jc w:val="both"/>
        <w:rPr>
          <w:rFonts w:ascii="Arial" w:hAnsi="Arial" w:cs="Arial"/>
          <w:sz w:val="20"/>
        </w:rPr>
      </w:pPr>
      <w:r>
        <w:rPr>
          <w:rFonts w:ascii="Arial" w:hAnsi="Arial" w:cs="Arial"/>
          <w:i/>
          <w:iCs/>
          <w:sz w:val="20"/>
        </w:rPr>
        <w:t>R v JPD</w:t>
      </w:r>
      <w:r>
        <w:rPr>
          <w:rFonts w:ascii="Arial" w:hAnsi="Arial" w:cs="Arial"/>
          <w:sz w:val="20"/>
        </w:rPr>
        <w:t xml:space="preserve"> [2002] VSC 202 at [8], where Vincent J found no grounds for excluding the impugned interview, stating:</w:t>
      </w:r>
    </w:p>
    <w:p w14:paraId="4C284D67" w14:textId="77777777" w:rsidR="00EE5134" w:rsidRDefault="00EE5134">
      <w:pPr>
        <w:spacing w:before="60"/>
        <w:ind w:left="567" w:right="567"/>
        <w:jc w:val="both"/>
        <w:rPr>
          <w:rFonts w:ascii="Arial" w:hAnsi="Arial" w:cs="Arial"/>
          <w:sz w:val="20"/>
        </w:rPr>
      </w:pPr>
      <w:r>
        <w:rPr>
          <w:rFonts w:ascii="Arial" w:hAnsi="Arial" w:cs="Arial"/>
          <w:sz w:val="20"/>
        </w:rPr>
        <w:t xml:space="preserve">"Even if I am incorrect in my understanding of the terms and effect of s.464E, the participation in the interview by the accused was voluntary and I am able to see no justification for the exclusion of the evidence in the exercise of discretion.  It has not been demonstrated, in my opinion, that there has been any deliberate non-compliance or wilful blindness or casual disregard of the rights of the accused or any other consideration present which would require the exclusion of the evidence on public policy grounds.  There was nothing in the circumstances as disclosed by the evidence given on the </w:t>
      </w:r>
      <w:r>
        <w:rPr>
          <w:rFonts w:ascii="Arial" w:hAnsi="Arial" w:cs="Arial"/>
          <w:i/>
          <w:iCs/>
          <w:sz w:val="20"/>
        </w:rPr>
        <w:t>voir dire</w:t>
      </w:r>
      <w:r>
        <w:rPr>
          <w:rFonts w:ascii="Arial" w:hAnsi="Arial" w:cs="Arial"/>
          <w:sz w:val="20"/>
        </w:rPr>
        <w:t>, that would enliven the discretion to exclude the evidence on the basis of the unfairness of its admission in the trial.  And finally, the impugned evidence possesses probative value and there is no counter-balancing prejudicial impact capable of affecting the situation."</w:t>
      </w:r>
    </w:p>
    <w:p w14:paraId="412E55F7" w14:textId="77777777" w:rsidR="00EE5134" w:rsidRPr="00FD0640" w:rsidRDefault="00EE5134">
      <w:pPr>
        <w:jc w:val="both"/>
        <w:rPr>
          <w:rFonts w:ascii="Arial" w:hAnsi="Arial" w:cs="Arial"/>
          <w:color w:val="000000"/>
          <w:sz w:val="20"/>
        </w:rPr>
      </w:pPr>
      <w:bookmarkStart w:id="295" w:name="_Toc30691411"/>
      <w:bookmarkStart w:id="296" w:name="_Toc30691788"/>
      <w:bookmarkStart w:id="297" w:name="_Toc30692168"/>
      <w:bookmarkStart w:id="298" w:name="_Toc30692926"/>
      <w:bookmarkStart w:id="299" w:name="_Toc30693305"/>
      <w:bookmarkStart w:id="300" w:name="_Toc30693683"/>
      <w:bookmarkStart w:id="301" w:name="_Toc30694061"/>
      <w:bookmarkStart w:id="302" w:name="_Toc30694441"/>
      <w:bookmarkStart w:id="303" w:name="_Toc30699030"/>
      <w:bookmarkStart w:id="304" w:name="_Toc30699408"/>
      <w:bookmarkStart w:id="305" w:name="_Toc30699793"/>
      <w:bookmarkStart w:id="306" w:name="_Toc30700948"/>
      <w:bookmarkStart w:id="307" w:name="_Toc30701335"/>
      <w:bookmarkStart w:id="308" w:name="_Toc30743946"/>
      <w:bookmarkStart w:id="309" w:name="_Toc30754769"/>
      <w:bookmarkStart w:id="310" w:name="_Toc30757210"/>
      <w:bookmarkStart w:id="311" w:name="_Toc30757758"/>
      <w:bookmarkStart w:id="312" w:name="_Toc30758158"/>
      <w:bookmarkStart w:id="313" w:name="_Toc30762919"/>
      <w:bookmarkStart w:id="314" w:name="_Toc30767573"/>
      <w:bookmarkStart w:id="315" w:name="_Toc34823591"/>
    </w:p>
    <w:p w14:paraId="29A4ADA3" w14:textId="77777777" w:rsidR="00B81434" w:rsidRPr="00FD0640" w:rsidRDefault="00B81434" w:rsidP="00B81434">
      <w:pPr>
        <w:jc w:val="both"/>
        <w:rPr>
          <w:rFonts w:ascii="Arial" w:hAnsi="Arial" w:cs="Arial"/>
          <w:color w:val="000000"/>
          <w:sz w:val="20"/>
        </w:rPr>
      </w:pPr>
      <w:r w:rsidRPr="00FD0640">
        <w:rPr>
          <w:rFonts w:ascii="Arial" w:hAnsi="Arial" w:cs="Arial"/>
          <w:color w:val="000000"/>
          <w:sz w:val="20"/>
        </w:rPr>
        <w:t xml:space="preserve">The common law </w:t>
      </w:r>
      <w:r w:rsidR="00D11857" w:rsidRPr="00FD0640">
        <w:rPr>
          <w:rFonts w:ascii="Arial" w:hAnsi="Arial" w:cs="Arial"/>
          <w:color w:val="000000"/>
          <w:sz w:val="20"/>
        </w:rPr>
        <w:t xml:space="preserve">public policy </w:t>
      </w:r>
      <w:r w:rsidR="00510ED7" w:rsidRPr="00FD0640">
        <w:rPr>
          <w:rFonts w:ascii="Arial" w:hAnsi="Arial" w:cs="Arial"/>
          <w:color w:val="000000"/>
          <w:sz w:val="20"/>
        </w:rPr>
        <w:t xml:space="preserve">exclusionary </w:t>
      </w:r>
      <w:r w:rsidRPr="00FD0640">
        <w:rPr>
          <w:rFonts w:ascii="Arial" w:hAnsi="Arial" w:cs="Arial"/>
          <w:color w:val="000000"/>
          <w:sz w:val="20"/>
        </w:rPr>
        <w:t xml:space="preserve">discretion discussed in </w:t>
      </w:r>
      <w:r w:rsidRPr="00FD0640">
        <w:rPr>
          <w:rFonts w:ascii="Arial" w:hAnsi="Arial" w:cs="Arial"/>
          <w:i/>
          <w:color w:val="000000"/>
          <w:sz w:val="20"/>
        </w:rPr>
        <w:t>Bunning v Cross</w:t>
      </w:r>
      <w:r w:rsidRPr="00FD0640">
        <w:rPr>
          <w:rFonts w:ascii="Arial" w:hAnsi="Arial" w:cs="Arial"/>
          <w:color w:val="000000"/>
          <w:sz w:val="20"/>
        </w:rPr>
        <w:t xml:space="preserve"> has now been </w:t>
      </w:r>
      <w:r w:rsidR="00D11857" w:rsidRPr="00FD0640">
        <w:rPr>
          <w:rFonts w:ascii="Arial" w:hAnsi="Arial" w:cs="Arial"/>
          <w:color w:val="000000"/>
          <w:sz w:val="20"/>
        </w:rPr>
        <w:t>modified by</w:t>
      </w:r>
      <w:r w:rsidRPr="00FD0640">
        <w:rPr>
          <w:rFonts w:ascii="Arial" w:hAnsi="Arial" w:cs="Arial"/>
          <w:color w:val="000000"/>
          <w:sz w:val="20"/>
        </w:rPr>
        <w:t xml:space="preserve"> s.138 of the Evidence Act 2008 which provides:</w:t>
      </w:r>
    </w:p>
    <w:p w14:paraId="2DA615F1" w14:textId="77777777" w:rsidR="00B81434" w:rsidRPr="00FD0640" w:rsidRDefault="00B81434" w:rsidP="00B81434">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p>
    <w:p w14:paraId="57A47C37" w14:textId="77777777" w:rsidR="00B81434" w:rsidRPr="00FD0640" w:rsidRDefault="00B81434" w:rsidP="00B81434">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5C3E36A0" w14:textId="77777777" w:rsidR="00B81434" w:rsidRPr="00FD0640" w:rsidRDefault="00B81434" w:rsidP="00B81434">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in consequence of an impropriety or of a contravention of an Australian law-</w:t>
      </w:r>
    </w:p>
    <w:p w14:paraId="59C28080" w14:textId="77777777" w:rsidR="00D11857" w:rsidRPr="00FD0640" w:rsidRDefault="00D11857" w:rsidP="00D11857">
      <w:pPr>
        <w:ind w:left="1134" w:right="567"/>
        <w:jc w:val="both"/>
        <w:rPr>
          <w:rFonts w:ascii="Arial" w:hAnsi="Arial" w:cs="Arial"/>
          <w:color w:val="000000"/>
          <w:sz w:val="20"/>
        </w:rPr>
      </w:pPr>
      <w:r w:rsidRPr="00FD0640">
        <w:rPr>
          <w:rFonts w:ascii="Arial" w:hAnsi="Arial" w:cs="Arial"/>
          <w:color w:val="000000"/>
          <w:sz w:val="20"/>
        </w:rPr>
        <w:t>Is not to be admitted unless the desirability of admitting the evidence outweighs the undesirability of admitting evidence that has been obtained in the way in which the evidence was obtained.</w:t>
      </w:r>
    </w:p>
    <w:p w14:paraId="15C88951" w14:textId="77777777" w:rsidR="00B81434" w:rsidRPr="00FD0640" w:rsidRDefault="00B81434" w:rsidP="00D11857">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r>
      <w:r w:rsidR="00554446" w:rsidRPr="00FD0640">
        <w:rPr>
          <w:rFonts w:ascii="Arial" w:hAnsi="Arial" w:cs="Arial"/>
          <w:color w:val="000000"/>
          <w:sz w:val="20"/>
        </w:rPr>
        <w:t>Without limiting s</w:t>
      </w:r>
      <w:r w:rsidRPr="00FD0640">
        <w:rPr>
          <w:rFonts w:ascii="Arial" w:hAnsi="Arial" w:cs="Arial"/>
          <w:color w:val="000000"/>
          <w:sz w:val="20"/>
        </w:rPr>
        <w:t>ubsection (1)</w:t>
      </w:r>
      <w:r w:rsidR="00554446" w:rsidRPr="00FD0640">
        <w:rPr>
          <w:rFonts w:ascii="Arial" w:hAnsi="Arial" w:cs="Arial"/>
          <w:color w:val="000000"/>
          <w:sz w:val="20"/>
        </w:rPr>
        <w:t>, evidence of an admission that was made during or in consequence of questioning, and evidence obtained in consequence of the admission, is taken to have been obtained improperly if the person conducting the questioning-</w:t>
      </w:r>
    </w:p>
    <w:p w14:paraId="4948A199" w14:textId="77777777" w:rsidR="00554446" w:rsidRPr="00FD0640" w:rsidRDefault="00554446"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026C34C4" w14:textId="77777777" w:rsidR="00554446" w:rsidRPr="00FD0640" w:rsidRDefault="00554446"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0C30EFF0" w14:textId="77777777" w:rsidR="00554446" w:rsidRPr="00FD0640" w:rsidRDefault="00554446" w:rsidP="00554446">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Without limiting the matters that the court may take into account under subsection</w:t>
      </w:r>
      <w:r w:rsidR="00510ED7" w:rsidRPr="00FD0640">
        <w:rPr>
          <w:rFonts w:ascii="Arial" w:hAnsi="Arial" w:cs="Arial"/>
          <w:color w:val="000000"/>
          <w:sz w:val="20"/>
        </w:rPr>
        <w:t> </w:t>
      </w:r>
      <w:r w:rsidRPr="00FD0640">
        <w:rPr>
          <w:rFonts w:ascii="Arial" w:hAnsi="Arial" w:cs="Arial"/>
          <w:color w:val="000000"/>
          <w:sz w:val="20"/>
        </w:rPr>
        <w:t xml:space="preserve">(1), </w:t>
      </w:r>
      <w:r w:rsidR="00510ED7" w:rsidRPr="00FD0640">
        <w:rPr>
          <w:rFonts w:ascii="Arial" w:hAnsi="Arial" w:cs="Arial"/>
          <w:color w:val="000000"/>
          <w:sz w:val="20"/>
        </w:rPr>
        <w:t>it is to take into account-</w:t>
      </w:r>
    </w:p>
    <w:p w14:paraId="4C718E86"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3B758E53"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27E1E709"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206918CA"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7AE8D306"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50F47E9F"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(f)</w:t>
      </w:r>
      <w:r w:rsidRPr="00FD0640">
        <w:rPr>
          <w:rFonts w:ascii="Arial" w:hAnsi="Arial" w:cs="Arial"/>
          <w:color w:val="000000"/>
          <w:sz w:val="20"/>
        </w:rPr>
        <w:tab/>
        <w:t xml:space="preserve">whether the impropriety or contravention was contrary to or inconsistent with a right of a person </w:t>
      </w:r>
      <w:r w:rsidR="00EB03F4" w:rsidRPr="00FD0640">
        <w:rPr>
          <w:rFonts w:ascii="Arial" w:hAnsi="Arial" w:cs="Arial"/>
          <w:color w:val="000000"/>
          <w:sz w:val="20"/>
        </w:rPr>
        <w:t>recognized by the the International Covenant on Civil and Political Rights; and</w:t>
      </w:r>
    </w:p>
    <w:p w14:paraId="4EAA73E6"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r>
      <w:r w:rsidR="00EB03F4" w:rsidRPr="00FD0640">
        <w:rPr>
          <w:rFonts w:ascii="Arial" w:hAnsi="Arial" w:cs="Arial"/>
          <w:color w:val="000000"/>
          <w:sz w:val="20"/>
        </w:rPr>
        <w:t>whether any other proceeding (whether or not in a court) has been or is likely to be taken in relation to the impropriety or contravention; and</w:t>
      </w:r>
    </w:p>
    <w:p w14:paraId="7C2D2C19"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r>
      <w:r w:rsidR="00EB03F4" w:rsidRPr="00FD0640">
        <w:rPr>
          <w:rFonts w:ascii="Arial" w:hAnsi="Arial" w:cs="Arial"/>
          <w:color w:val="000000"/>
          <w:sz w:val="20"/>
        </w:rPr>
        <w:t>the difficulty (if any) of obtaining the evidence without impropriety or contravention of an Australian law.”</w:t>
      </w:r>
    </w:p>
    <w:p w14:paraId="6C01AA59" w14:textId="77777777" w:rsidR="00B81434" w:rsidRPr="00FD0640" w:rsidRDefault="00B81434" w:rsidP="00B81434">
      <w:pPr>
        <w:jc w:val="both"/>
        <w:rPr>
          <w:rFonts w:ascii="Arial" w:hAnsi="Arial" w:cs="Arial"/>
          <w:color w:val="000000"/>
          <w:sz w:val="20"/>
        </w:rPr>
      </w:pPr>
    </w:p>
    <w:p w14:paraId="16F10E7F" w14:textId="77777777" w:rsidR="00B81434" w:rsidRPr="00FD0640" w:rsidRDefault="00B81434" w:rsidP="00B81434">
      <w:pPr>
        <w:jc w:val="both"/>
        <w:rPr>
          <w:rFonts w:ascii="Arial" w:hAnsi="Arial" w:cs="Arial"/>
          <w:color w:val="000000"/>
          <w:sz w:val="20"/>
        </w:rPr>
      </w:pPr>
      <w:r w:rsidRPr="00FD0640">
        <w:rPr>
          <w:rFonts w:ascii="Arial" w:hAnsi="Arial" w:cs="Arial"/>
          <w:color w:val="000000"/>
          <w:sz w:val="20"/>
        </w:rPr>
        <w:t xml:space="preserve">In </w:t>
      </w:r>
      <w:r w:rsidRPr="00FD0640">
        <w:rPr>
          <w:rFonts w:ascii="Arial" w:hAnsi="Arial" w:cs="Arial"/>
          <w:i/>
          <w:color w:val="000000"/>
          <w:sz w:val="20"/>
          <w:szCs w:val="20"/>
        </w:rPr>
        <w:t>R v Aujla &amp; anor</w:t>
      </w:r>
      <w:r w:rsidRPr="00FD0640">
        <w:rPr>
          <w:rFonts w:ascii="Arial" w:hAnsi="Arial" w:cs="Arial"/>
          <w:color w:val="000000"/>
          <w:sz w:val="20"/>
        </w:rPr>
        <w:t xml:space="preserve"> [2012] VSC 213 at [4] T Forrest J </w:t>
      </w:r>
      <w:r w:rsidR="00554446" w:rsidRPr="00FD0640">
        <w:rPr>
          <w:rFonts w:ascii="Arial" w:hAnsi="Arial" w:cs="Arial"/>
          <w:color w:val="000000"/>
          <w:sz w:val="20"/>
        </w:rPr>
        <w:t xml:space="preserve">summarized </w:t>
      </w:r>
      <w:r w:rsidRPr="00FD0640">
        <w:rPr>
          <w:rFonts w:ascii="Arial" w:hAnsi="Arial" w:cs="Arial"/>
          <w:color w:val="000000"/>
          <w:sz w:val="20"/>
        </w:rPr>
        <w:t>legal principles inherent in s.</w:t>
      </w:r>
      <w:r w:rsidR="00D11857" w:rsidRPr="00FD0640">
        <w:rPr>
          <w:rFonts w:ascii="Arial" w:hAnsi="Arial" w:cs="Arial"/>
          <w:color w:val="000000"/>
          <w:sz w:val="20"/>
        </w:rPr>
        <w:t>13</w:t>
      </w:r>
      <w:r w:rsidRPr="00FD0640">
        <w:rPr>
          <w:rFonts w:ascii="Arial" w:hAnsi="Arial" w:cs="Arial"/>
          <w:color w:val="000000"/>
          <w:sz w:val="20"/>
        </w:rPr>
        <w:t>8:</w:t>
      </w:r>
    </w:p>
    <w:p w14:paraId="38C5E2D9" w14:textId="77777777" w:rsidR="00B81434" w:rsidRPr="00FD0640" w:rsidRDefault="00B81434" w:rsidP="00B81434">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w:t>
      </w:r>
      <w:r w:rsidRPr="00FD0640">
        <w:rPr>
          <w:rFonts w:ascii="Arial" w:hAnsi="Arial" w:cs="Arial"/>
          <w:color w:val="000000"/>
          <w:sz w:val="20"/>
        </w:rPr>
        <w:tab/>
      </w:r>
      <w:r w:rsidR="00D11857" w:rsidRPr="00FD0640">
        <w:rPr>
          <w:rFonts w:ascii="Arial" w:hAnsi="Arial" w:cs="Arial"/>
          <w:color w:val="000000"/>
          <w:sz w:val="20"/>
        </w:rPr>
        <w:t>The onus rests with the accused to demonstrate that the admissions were improperly or illegally obtained.</w:t>
      </w:r>
    </w:p>
    <w:p w14:paraId="1A9C67F7" w14:textId="77777777" w:rsidR="00B81434" w:rsidRPr="00FD0640" w:rsidRDefault="00B81434" w:rsidP="00B81434">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lastRenderedPageBreak/>
        <w:t>(ii)</w:t>
      </w:r>
      <w:r w:rsidRPr="00FD0640">
        <w:rPr>
          <w:rFonts w:ascii="Arial" w:hAnsi="Arial" w:cs="Arial"/>
          <w:color w:val="000000"/>
          <w:sz w:val="20"/>
        </w:rPr>
        <w:tab/>
      </w:r>
      <w:r w:rsidR="00D11857" w:rsidRPr="00FD0640">
        <w:rPr>
          <w:rFonts w:ascii="Arial" w:hAnsi="Arial" w:cs="Arial"/>
          <w:color w:val="000000"/>
          <w:sz w:val="20"/>
        </w:rPr>
        <w:t>Should the accused demonstrate this the onus shifts to the prosecution to persuade the court that the evidence should be admitted</w:t>
      </w:r>
      <w:r w:rsidRPr="00FD0640">
        <w:rPr>
          <w:rFonts w:ascii="Arial" w:hAnsi="Arial" w:cs="Arial"/>
          <w:color w:val="000000"/>
          <w:sz w:val="20"/>
        </w:rPr>
        <w:t xml:space="preserve">: </w:t>
      </w:r>
      <w:r w:rsidR="00D11857" w:rsidRPr="00FD0640">
        <w:rPr>
          <w:rFonts w:ascii="Arial" w:hAnsi="Arial" w:cs="Arial"/>
          <w:i/>
          <w:color w:val="000000"/>
          <w:sz w:val="20"/>
        </w:rPr>
        <w:t xml:space="preserve">Robinson v Woolworths </w:t>
      </w:r>
      <w:r w:rsidR="00D11857" w:rsidRPr="00FD0640">
        <w:rPr>
          <w:rFonts w:ascii="Arial" w:hAnsi="Arial" w:cs="Arial"/>
          <w:color w:val="000000"/>
          <w:sz w:val="20"/>
        </w:rPr>
        <w:t xml:space="preserve">(2005) A Crim R 546; </w:t>
      </w:r>
      <w:r w:rsidR="00D11857" w:rsidRPr="00FD0640">
        <w:rPr>
          <w:rFonts w:ascii="Arial" w:hAnsi="Arial" w:cs="Arial"/>
          <w:i/>
          <w:color w:val="000000"/>
          <w:sz w:val="20"/>
        </w:rPr>
        <w:t xml:space="preserve">R (C’th) v Petradias (No 8) </w:t>
      </w:r>
      <w:r w:rsidR="00D11857" w:rsidRPr="00FD0640">
        <w:rPr>
          <w:rFonts w:ascii="Arial" w:hAnsi="Arial" w:cs="Arial"/>
          <w:color w:val="000000"/>
          <w:sz w:val="20"/>
        </w:rPr>
        <w:t>(2007) A Crim R 417.</w:t>
      </w:r>
    </w:p>
    <w:p w14:paraId="7D4D2CFE" w14:textId="77777777" w:rsidR="00B81434" w:rsidRPr="00FD0640" w:rsidRDefault="00B81434" w:rsidP="00B81434">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(iii)</w:t>
      </w:r>
      <w:r w:rsidRPr="00FD0640">
        <w:rPr>
          <w:rFonts w:ascii="Arial" w:hAnsi="Arial" w:cs="Arial"/>
          <w:color w:val="000000"/>
          <w:sz w:val="20"/>
        </w:rPr>
        <w:tab/>
      </w:r>
      <w:r w:rsidR="00D11857" w:rsidRPr="00FD0640">
        <w:rPr>
          <w:rFonts w:ascii="Arial" w:hAnsi="Arial" w:cs="Arial"/>
          <w:color w:val="000000"/>
          <w:sz w:val="20"/>
        </w:rPr>
        <w:t xml:space="preserve">Section 138 modifies the common law public policy exclusionary discretion set out in </w:t>
      </w:r>
      <w:r w:rsidR="00D11857" w:rsidRPr="00FD0640">
        <w:rPr>
          <w:rFonts w:ascii="Arial" w:hAnsi="Arial" w:cs="Arial"/>
          <w:i/>
          <w:color w:val="000000"/>
          <w:sz w:val="20"/>
        </w:rPr>
        <w:t>Bunning v Cross</w:t>
      </w:r>
      <w:r w:rsidR="00D11857" w:rsidRPr="00FD0640">
        <w:rPr>
          <w:rFonts w:ascii="Arial" w:hAnsi="Arial" w:cs="Arial"/>
          <w:color w:val="000000"/>
          <w:sz w:val="20"/>
        </w:rPr>
        <w:t xml:space="preserve"> (1978) 141 CLR 54.  The court must not admit improperly or illegally obtained evidence, or evidence obtained as a result of improper or illegal conduct unless the desirability of admitting the evidence outweighs the undesirability of admitting the evidence.</w:t>
      </w:r>
      <w:r w:rsidRPr="00FD0640">
        <w:rPr>
          <w:rFonts w:ascii="Arial" w:hAnsi="Arial" w:cs="Arial"/>
          <w:color w:val="000000"/>
          <w:sz w:val="20"/>
        </w:rPr>
        <w:t>”</w:t>
      </w:r>
    </w:p>
    <w:p w14:paraId="14C40A4E" w14:textId="77777777" w:rsidR="00B81434" w:rsidRPr="00FD0640" w:rsidRDefault="00D11857" w:rsidP="00B81434">
      <w:pPr>
        <w:spacing w:before="120"/>
        <w:jc w:val="both"/>
        <w:rPr>
          <w:rFonts w:ascii="Arial" w:hAnsi="Arial" w:cs="Arial"/>
          <w:color w:val="000000"/>
          <w:sz w:val="20"/>
        </w:rPr>
      </w:pPr>
      <w:r w:rsidRPr="00FD0640">
        <w:rPr>
          <w:rFonts w:ascii="Arial" w:hAnsi="Arial" w:cs="Arial"/>
          <w:color w:val="000000"/>
          <w:sz w:val="20"/>
        </w:rPr>
        <w:t>However, his Honour held that the admissions made by the accused in two interviews were not improperly or illegally obtained and accordingly s.138 was not engaged</w:t>
      </w:r>
      <w:r w:rsidR="00B81434" w:rsidRPr="00FD0640">
        <w:rPr>
          <w:rFonts w:ascii="Arial" w:hAnsi="Arial" w:cs="Arial"/>
          <w:color w:val="000000"/>
          <w:sz w:val="20"/>
          <w:szCs w:val="20"/>
        </w:rPr>
        <w:t>.</w:t>
      </w:r>
    </w:p>
    <w:p w14:paraId="3FCC19E5" w14:textId="77777777" w:rsidR="00B81434" w:rsidRDefault="00B81434" w:rsidP="00B81434">
      <w:pPr>
        <w:jc w:val="both"/>
        <w:rPr>
          <w:rFonts w:ascii="Arial" w:hAnsi="Arial" w:cs="Arial"/>
          <w:color w:val="000000"/>
          <w:sz w:val="20"/>
        </w:rPr>
      </w:pPr>
    </w:p>
    <w:p w14:paraId="140A2B94" w14:textId="0171BE65" w:rsidR="002E0EE9" w:rsidRPr="002E0EE9" w:rsidRDefault="006C3F45" w:rsidP="002E0EE9">
      <w:pPr>
        <w:jc w:val="both"/>
        <w:rPr>
          <w:rFonts w:ascii="Arial" w:hAnsi="Arial" w:cs="Arial"/>
          <w:color w:val="000000"/>
          <w:sz w:val="20"/>
        </w:rPr>
      </w:pPr>
      <w:r>
        <w:rPr>
          <w:rFonts w:ascii="Arial" w:hAnsi="Arial" w:cs="Arial"/>
          <w:color w:val="000000"/>
          <w:sz w:val="20"/>
        </w:rPr>
        <w:t xml:space="preserve">In </w:t>
      </w:r>
      <w:r w:rsidRPr="006C3F45">
        <w:rPr>
          <w:rFonts w:ascii="Arial" w:hAnsi="Arial" w:cs="Arial"/>
          <w:i/>
          <w:iCs/>
          <w:color w:val="000000"/>
          <w:sz w:val="20"/>
        </w:rPr>
        <w:t>DPP v Dalton (Ruling No 1)</w:t>
      </w:r>
      <w:r>
        <w:rPr>
          <w:rFonts w:ascii="Arial" w:hAnsi="Arial" w:cs="Arial"/>
          <w:color w:val="000000"/>
          <w:sz w:val="20"/>
        </w:rPr>
        <w:t xml:space="preserve"> [2019] VSC 226 Beale J </w:t>
      </w:r>
      <w:r w:rsidR="002E0EE9">
        <w:rPr>
          <w:rFonts w:ascii="Arial" w:hAnsi="Arial" w:cs="Arial"/>
          <w:color w:val="000000"/>
          <w:sz w:val="20"/>
        </w:rPr>
        <w:t xml:space="preserve">was satisfied at [50] that </w:t>
      </w:r>
      <w:r w:rsidR="002E0EE9" w:rsidRPr="002E0EE9">
        <w:rPr>
          <w:rFonts w:ascii="Arial" w:hAnsi="Arial" w:cs="Arial"/>
          <w:color w:val="000000"/>
          <w:sz w:val="20"/>
        </w:rPr>
        <w:t xml:space="preserve">there was a contravention of s 464A(1) and that there was a causal nexus between Dalton’s illegal detention and the police obtaining the impugned evidence.  </w:t>
      </w:r>
      <w:r w:rsidR="002E0EE9">
        <w:rPr>
          <w:rFonts w:ascii="Arial" w:hAnsi="Arial" w:cs="Arial"/>
          <w:color w:val="000000"/>
          <w:sz w:val="20"/>
        </w:rPr>
        <w:t xml:space="preserve">At [54] &amp; [56] his Honour described </w:t>
      </w:r>
      <w:r w:rsidR="002E0EE9" w:rsidRPr="002E0EE9">
        <w:rPr>
          <w:rFonts w:ascii="Arial" w:hAnsi="Arial" w:cs="Arial"/>
          <w:color w:val="000000"/>
          <w:sz w:val="20"/>
        </w:rPr>
        <w:t xml:space="preserve">the gravity of the illegality </w:t>
      </w:r>
      <w:r w:rsidR="002E0EE9">
        <w:rPr>
          <w:rFonts w:ascii="Arial" w:hAnsi="Arial" w:cs="Arial"/>
          <w:color w:val="000000"/>
          <w:sz w:val="20"/>
        </w:rPr>
        <w:t>“</w:t>
      </w:r>
      <w:r w:rsidR="002E0EE9" w:rsidRPr="002E0EE9">
        <w:rPr>
          <w:rFonts w:ascii="Arial" w:hAnsi="Arial" w:cs="Arial"/>
          <w:color w:val="000000"/>
          <w:sz w:val="20"/>
        </w:rPr>
        <w:t>as being of a high order</w:t>
      </w:r>
      <w:r w:rsidR="002E0EE9">
        <w:rPr>
          <w:rFonts w:ascii="Arial" w:hAnsi="Arial" w:cs="Arial"/>
          <w:color w:val="000000"/>
          <w:sz w:val="20"/>
        </w:rPr>
        <w:t>” although he did “</w:t>
      </w:r>
      <w:r w:rsidR="002E0EE9" w:rsidRPr="002E0EE9">
        <w:rPr>
          <w:rFonts w:ascii="Arial" w:hAnsi="Arial" w:cs="Arial"/>
          <w:color w:val="000000"/>
          <w:sz w:val="20"/>
        </w:rPr>
        <w:t>not find there was a deliberate or reckless disregard of the requirements of section 464A by the relevant police officers</w:t>
      </w:r>
      <w:r w:rsidR="002E0EE9">
        <w:rPr>
          <w:rFonts w:ascii="Arial" w:hAnsi="Arial" w:cs="Arial"/>
          <w:color w:val="000000"/>
          <w:sz w:val="20"/>
        </w:rPr>
        <w:t>” but “neither [did he] find that it was mere carelessness”.  At [57] his Honour noted that “</w:t>
      </w:r>
      <w:r w:rsidR="002E0EE9" w:rsidRPr="002E0EE9">
        <w:rPr>
          <w:rFonts w:ascii="Arial" w:hAnsi="Arial" w:cs="Arial"/>
          <w:color w:val="000000"/>
          <w:sz w:val="20"/>
        </w:rPr>
        <w:t>the police had a reasonable and obvious alternative to just keeping her in custody, an alternative that respected her right to liberty, did not risk undermining her right to silence and did not prevent them from questioning her again.</w:t>
      </w:r>
      <w:r w:rsidR="002E0EE9">
        <w:rPr>
          <w:rFonts w:ascii="Arial" w:hAnsi="Arial" w:cs="Arial"/>
          <w:color w:val="000000"/>
          <w:sz w:val="20"/>
        </w:rPr>
        <w:t>”  Balancing the matters in s.138 of the Evidence Act 2008 his Honour excluded the interview and the re-enactments, holding at [58]: “</w:t>
      </w:r>
      <w:r w:rsidR="002E0EE9" w:rsidRPr="002E0EE9">
        <w:rPr>
          <w:rFonts w:ascii="Arial" w:hAnsi="Arial" w:cs="Arial"/>
          <w:color w:val="000000"/>
          <w:sz w:val="20"/>
        </w:rPr>
        <w:t>I</w:t>
      </w:r>
      <w:r w:rsidR="003A7330">
        <w:rPr>
          <w:rFonts w:ascii="Arial" w:hAnsi="Arial" w:cs="Arial"/>
          <w:color w:val="000000"/>
          <w:sz w:val="20"/>
        </w:rPr>
        <w:t> </w:t>
      </w:r>
      <w:r w:rsidR="002E0EE9" w:rsidRPr="002E0EE9">
        <w:rPr>
          <w:rFonts w:ascii="Arial" w:hAnsi="Arial" w:cs="Arial"/>
          <w:color w:val="000000"/>
          <w:sz w:val="20"/>
        </w:rPr>
        <w:t>am not satisfied by the prosecution that the desirability of admitting the evidence outweighs the undesirability of admitting evidence that was obtained when Dalton was being illegally detained.</w:t>
      </w:r>
      <w:r w:rsidR="002E0EE9">
        <w:rPr>
          <w:rFonts w:ascii="Arial" w:hAnsi="Arial" w:cs="Arial"/>
          <w:color w:val="000000"/>
          <w:sz w:val="20"/>
        </w:rPr>
        <w:t>”</w:t>
      </w:r>
    </w:p>
    <w:p w14:paraId="653687E2" w14:textId="77777777" w:rsidR="002E0EE9" w:rsidRDefault="002E0EE9" w:rsidP="002E0EE9">
      <w:pPr>
        <w:jc w:val="both"/>
        <w:rPr>
          <w:rFonts w:ascii="Arial" w:hAnsi="Arial" w:cs="Arial"/>
          <w:color w:val="000000"/>
          <w:sz w:val="20"/>
        </w:rPr>
      </w:pPr>
    </w:p>
    <w:p w14:paraId="7807CF00" w14:textId="77777777" w:rsidR="008F45CA" w:rsidRDefault="008F45CA" w:rsidP="002E0EE9">
      <w:pPr>
        <w:jc w:val="both"/>
        <w:rPr>
          <w:rFonts w:ascii="Arial" w:hAnsi="Arial" w:cs="Arial"/>
          <w:color w:val="000000"/>
          <w:sz w:val="20"/>
        </w:rPr>
      </w:pPr>
      <w:r>
        <w:rPr>
          <w:rFonts w:ascii="Arial" w:hAnsi="Arial" w:cs="Arial"/>
          <w:color w:val="000000"/>
          <w:sz w:val="20"/>
        </w:rPr>
        <w:t xml:space="preserve">In </w:t>
      </w:r>
      <w:r w:rsidR="00650181" w:rsidRPr="00650181">
        <w:rPr>
          <w:rFonts w:ascii="Arial" w:hAnsi="Arial" w:cs="Arial"/>
          <w:i/>
          <w:iCs/>
          <w:color w:val="000000"/>
          <w:sz w:val="20"/>
        </w:rPr>
        <w:t>Kadir v The Queen; Grech v The Queen</w:t>
      </w:r>
      <w:r w:rsidR="00650181">
        <w:rPr>
          <w:rFonts w:ascii="Arial" w:hAnsi="Arial" w:cs="Arial"/>
          <w:color w:val="000000"/>
          <w:sz w:val="20"/>
        </w:rPr>
        <w:t xml:space="preserve"> [2020] HCA 1 the appellants were jointly charged with acts of serious animal cruelty arising from the alleged use of rabbits as live bait in training racing greyhounds.  </w:t>
      </w:r>
      <w:r w:rsidR="00E525BE">
        <w:rPr>
          <w:rFonts w:ascii="Arial" w:hAnsi="Arial" w:cs="Arial"/>
          <w:color w:val="000000"/>
          <w:sz w:val="20"/>
        </w:rPr>
        <w:t>At the trial the prosecution proposed to tender</w:t>
      </w:r>
      <w:r w:rsidR="00BE46E7">
        <w:rPr>
          <w:rFonts w:ascii="Arial" w:hAnsi="Arial" w:cs="Arial"/>
          <w:color w:val="000000"/>
          <w:sz w:val="20"/>
        </w:rPr>
        <w:t xml:space="preserve"> seven</w:t>
      </w:r>
      <w:r w:rsidR="00E525BE">
        <w:rPr>
          <w:rFonts w:ascii="Arial" w:hAnsi="Arial" w:cs="Arial"/>
          <w:color w:val="000000"/>
          <w:sz w:val="20"/>
        </w:rPr>
        <w:t xml:space="preserve"> video recordings made by Animals Australia in contravention of s.8(1) of the </w:t>
      </w:r>
      <w:r w:rsidR="00E525BE" w:rsidRPr="00E525BE">
        <w:rPr>
          <w:rFonts w:ascii="Arial" w:hAnsi="Arial" w:cs="Arial"/>
          <w:i/>
          <w:iCs/>
          <w:color w:val="000000"/>
          <w:sz w:val="20"/>
        </w:rPr>
        <w:t>Surveillance Devices Act 2007</w:t>
      </w:r>
      <w:r w:rsidR="00E525BE">
        <w:rPr>
          <w:rFonts w:ascii="Arial" w:hAnsi="Arial" w:cs="Arial"/>
          <w:color w:val="000000"/>
          <w:sz w:val="20"/>
        </w:rPr>
        <w:t xml:space="preserve"> (NSW)</w:t>
      </w:r>
      <w:r w:rsidR="00BE46E7">
        <w:rPr>
          <w:rFonts w:ascii="Arial" w:hAnsi="Arial" w:cs="Arial"/>
          <w:color w:val="000000"/>
          <w:sz w:val="20"/>
        </w:rPr>
        <w:t xml:space="preserve"> plus material obtained under search warrant and admissions obtained in consequence of that contravention.  </w:t>
      </w:r>
      <w:r w:rsidR="00063071">
        <w:rPr>
          <w:rFonts w:ascii="Arial" w:hAnsi="Arial" w:cs="Arial"/>
          <w:color w:val="000000"/>
          <w:sz w:val="20"/>
        </w:rPr>
        <w:t xml:space="preserve">Holding that the desirability of admitting the evidence was outweighed by the undesirability of admitting evidence obtained in the way the evidence had been obtained </w:t>
      </w:r>
      <w:r w:rsidR="00BE46E7">
        <w:rPr>
          <w:rFonts w:ascii="Arial" w:hAnsi="Arial" w:cs="Arial"/>
          <w:color w:val="000000"/>
          <w:sz w:val="20"/>
        </w:rPr>
        <w:t>the trial judge</w:t>
      </w:r>
      <w:r w:rsidR="00063071">
        <w:rPr>
          <w:rFonts w:ascii="Arial" w:hAnsi="Arial" w:cs="Arial"/>
          <w:color w:val="000000"/>
          <w:sz w:val="20"/>
        </w:rPr>
        <w:t>, applying s.138(1) of the Evidence Act 2008</w:t>
      </w:r>
      <w:r w:rsidR="009B004D">
        <w:rPr>
          <w:rFonts w:ascii="Arial" w:hAnsi="Arial" w:cs="Arial"/>
          <w:color w:val="000000"/>
          <w:sz w:val="20"/>
        </w:rPr>
        <w:t>,</w:t>
      </w:r>
      <w:r w:rsidR="00063071">
        <w:rPr>
          <w:rFonts w:ascii="Arial" w:hAnsi="Arial" w:cs="Arial"/>
          <w:color w:val="000000"/>
          <w:sz w:val="20"/>
        </w:rPr>
        <w:t xml:space="preserve"> ruled that each of the 3 categories of impugned evidence was inadmissible.  The Court of Criminal Appeal reversed this ruling, holding that the desirability of admitting each of the 3 categories of evidence outweighed the undesirability of </w:t>
      </w:r>
      <w:r w:rsidR="0089368A">
        <w:rPr>
          <w:rFonts w:ascii="Arial" w:hAnsi="Arial" w:cs="Arial"/>
          <w:color w:val="000000"/>
          <w:sz w:val="20"/>
        </w:rPr>
        <w:t>admitting evidence obtained in the way the evidence was obtained: [2017] NSWCCA 288 at [111], [130] &amp; [142].  In its joint judgment the High Court (Kiefel CJ, Bell, Keane, Nettle &amp; Edelman JJ)</w:t>
      </w:r>
      <w:r w:rsidR="0089368A" w:rsidRPr="0089368A">
        <w:rPr>
          <w:rFonts w:ascii="Arial" w:hAnsi="Arial" w:cs="Arial"/>
          <w:color w:val="000000"/>
          <w:sz w:val="20"/>
        </w:rPr>
        <w:t xml:space="preserve"> </w:t>
      </w:r>
      <w:r w:rsidR="0089368A">
        <w:rPr>
          <w:rFonts w:ascii="Arial" w:hAnsi="Arial" w:cs="Arial"/>
          <w:color w:val="000000"/>
          <w:sz w:val="20"/>
        </w:rPr>
        <w:t>took an intermediate position, holding at [9]:</w:t>
      </w:r>
    </w:p>
    <w:p w14:paraId="5E9D3466" w14:textId="77777777" w:rsidR="0089368A" w:rsidRDefault="0089368A" w:rsidP="00096E01">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51F11173" w14:textId="36BB1C80" w:rsidR="006554F8" w:rsidRDefault="00E5119F" w:rsidP="00BE46E7">
      <w:pPr>
        <w:spacing w:before="60"/>
        <w:jc w:val="both"/>
        <w:rPr>
          <w:rFonts w:ascii="Arial" w:hAnsi="Arial" w:cs="Arial"/>
          <w:color w:val="000000"/>
          <w:sz w:val="20"/>
        </w:rPr>
      </w:pPr>
      <w:r>
        <w:rPr>
          <w:rFonts w:ascii="Arial" w:hAnsi="Arial" w:cs="Arial"/>
          <w:color w:val="000000"/>
          <w:sz w:val="20"/>
        </w:rPr>
        <w:t>A</w:t>
      </w:r>
      <w:r w:rsidR="00BE46E7">
        <w:rPr>
          <w:rFonts w:ascii="Arial" w:hAnsi="Arial" w:cs="Arial"/>
          <w:color w:val="000000"/>
          <w:sz w:val="20"/>
        </w:rPr>
        <w:t xml:space="preserve"> more detailed summary of the judgment of the High Court – and the Court’s analysis of s.138 of the Evidence Act 2008 – is in </w:t>
      </w:r>
      <w:r w:rsidR="002457C1" w:rsidRPr="006554F8">
        <w:rPr>
          <w:rFonts w:ascii="Arial" w:hAnsi="Arial" w:cs="Arial"/>
          <w:b/>
          <w:bCs/>
          <w:color w:val="000000"/>
          <w:sz w:val="20"/>
          <w:shd w:val="clear" w:color="auto" w:fill="C5E0B3" w:themeFill="accent6" w:themeFillTint="66"/>
        </w:rPr>
        <w:t>sub-</w:t>
      </w:r>
      <w:r w:rsidR="00BE46E7" w:rsidRPr="006554F8">
        <w:rPr>
          <w:rFonts w:ascii="Arial" w:hAnsi="Arial" w:cs="Arial"/>
          <w:b/>
          <w:bCs/>
          <w:color w:val="000000"/>
          <w:sz w:val="20"/>
          <w:shd w:val="clear" w:color="auto" w:fill="C5E0B3" w:themeFill="accent6" w:themeFillTint="66"/>
        </w:rPr>
        <w:t>section 3.5.3.</w:t>
      </w:r>
      <w:r w:rsidR="00154624">
        <w:rPr>
          <w:rFonts w:ascii="Arial" w:hAnsi="Arial" w:cs="Arial"/>
          <w:b/>
          <w:bCs/>
          <w:color w:val="000000"/>
          <w:sz w:val="20"/>
          <w:shd w:val="clear" w:color="auto" w:fill="C5E0B3" w:themeFill="accent6" w:themeFillTint="66"/>
        </w:rPr>
        <w:t>6</w:t>
      </w:r>
      <w:r w:rsidR="00BE46E7">
        <w:rPr>
          <w:rFonts w:ascii="Arial" w:hAnsi="Arial" w:cs="Arial"/>
          <w:b/>
          <w:bCs/>
          <w:color w:val="000000"/>
          <w:sz w:val="20"/>
        </w:rPr>
        <w:t xml:space="preserve"> </w:t>
      </w:r>
      <w:r w:rsidR="00BE46E7" w:rsidRPr="00BE46E7">
        <w:rPr>
          <w:rFonts w:ascii="Arial" w:hAnsi="Arial" w:cs="Arial"/>
          <w:color w:val="000000"/>
          <w:sz w:val="20"/>
        </w:rPr>
        <w:t>of these Research Materials</w:t>
      </w:r>
      <w:r w:rsidR="00BE46E7">
        <w:rPr>
          <w:rFonts w:ascii="Arial" w:hAnsi="Arial" w:cs="Arial"/>
          <w:color w:val="000000"/>
          <w:sz w:val="20"/>
        </w:rPr>
        <w:t>.</w:t>
      </w:r>
      <w:r w:rsidR="002457C1">
        <w:rPr>
          <w:rFonts w:ascii="Arial" w:hAnsi="Arial" w:cs="Arial"/>
          <w:color w:val="000000"/>
          <w:sz w:val="20"/>
        </w:rPr>
        <w:t xml:space="preserve">  See also</w:t>
      </w:r>
      <w:r w:rsidR="006554F8">
        <w:rPr>
          <w:rFonts w:ascii="Arial" w:hAnsi="Arial" w:cs="Arial"/>
          <w:color w:val="000000"/>
          <w:sz w:val="20"/>
        </w:rPr>
        <w:t>:</w:t>
      </w:r>
    </w:p>
    <w:p w14:paraId="4FF02191" w14:textId="348AE16C" w:rsidR="00BE46E7" w:rsidRDefault="002457C1" w:rsidP="006554F8">
      <w:pPr>
        <w:pStyle w:val="ListParagraph"/>
        <w:numPr>
          <w:ilvl w:val="0"/>
          <w:numId w:val="37"/>
        </w:numPr>
        <w:spacing w:after="0" w:line="240" w:lineRule="auto"/>
        <w:ind w:left="357" w:hanging="357"/>
        <w:jc w:val="both"/>
        <w:rPr>
          <w:rFonts w:ascii="Arial" w:hAnsi="Arial" w:cs="Arial"/>
          <w:sz w:val="20"/>
        </w:rPr>
      </w:pPr>
      <w:r w:rsidRPr="006554F8">
        <w:rPr>
          <w:rFonts w:ascii="Arial" w:hAnsi="Arial" w:cs="Arial"/>
          <w:i/>
          <w:iCs/>
          <w:sz w:val="20"/>
        </w:rPr>
        <w:t>Peter Johns</w:t>
      </w:r>
      <w:r w:rsidR="00C34E8E" w:rsidRPr="006554F8">
        <w:rPr>
          <w:rFonts w:ascii="Arial" w:hAnsi="Arial" w:cs="Arial"/>
          <w:i/>
          <w:iCs/>
          <w:sz w:val="20"/>
        </w:rPr>
        <w:t>t</w:t>
      </w:r>
      <w:r w:rsidRPr="006554F8">
        <w:rPr>
          <w:rFonts w:ascii="Arial" w:hAnsi="Arial" w:cs="Arial"/>
          <w:i/>
          <w:iCs/>
          <w:sz w:val="20"/>
        </w:rPr>
        <w:t>on (a pseudonym) v The King</w:t>
      </w:r>
      <w:r w:rsidRPr="006554F8">
        <w:rPr>
          <w:rFonts w:ascii="Arial" w:hAnsi="Arial" w:cs="Arial"/>
          <w:sz w:val="20"/>
        </w:rPr>
        <w:t xml:space="preserve"> [2023] VSCA </w:t>
      </w:r>
      <w:r w:rsidR="008F5E96" w:rsidRPr="006554F8">
        <w:rPr>
          <w:rFonts w:ascii="Arial" w:hAnsi="Arial" w:cs="Arial"/>
          <w:sz w:val="20"/>
        </w:rPr>
        <w:t xml:space="preserve">49 </w:t>
      </w:r>
      <w:r w:rsidRPr="006554F8">
        <w:rPr>
          <w:rFonts w:ascii="Arial" w:hAnsi="Arial" w:cs="Arial"/>
          <w:sz w:val="20"/>
        </w:rPr>
        <w:t xml:space="preserve">in which the Court of Appeal allowed an appeal against the trial judge’s decision [2022] VCC 1083 which is summarised in </w:t>
      </w:r>
      <w:r w:rsidRPr="006554F8">
        <w:rPr>
          <w:rFonts w:ascii="Arial" w:hAnsi="Arial" w:cs="Arial"/>
          <w:b/>
          <w:bCs/>
          <w:sz w:val="20"/>
          <w:shd w:val="clear" w:color="auto" w:fill="C5E0B3" w:themeFill="accent6" w:themeFillTint="66"/>
        </w:rPr>
        <w:t>sub-section 3.5.3.</w:t>
      </w:r>
      <w:r w:rsidR="00154624">
        <w:rPr>
          <w:rFonts w:ascii="Arial" w:hAnsi="Arial" w:cs="Arial"/>
          <w:b/>
          <w:bCs/>
          <w:sz w:val="20"/>
          <w:shd w:val="clear" w:color="auto" w:fill="C5E0B3" w:themeFill="accent6" w:themeFillTint="66"/>
        </w:rPr>
        <w:t>6</w:t>
      </w:r>
      <w:r w:rsidR="006554F8">
        <w:rPr>
          <w:rFonts w:ascii="Arial" w:hAnsi="Arial" w:cs="Arial"/>
          <w:sz w:val="20"/>
        </w:rPr>
        <w:t>;</w:t>
      </w:r>
    </w:p>
    <w:p w14:paraId="3043F513" w14:textId="17BA878C" w:rsidR="00C66A47" w:rsidRDefault="00C66A47" w:rsidP="006554F8">
      <w:pPr>
        <w:pStyle w:val="ListParagraph"/>
        <w:numPr>
          <w:ilvl w:val="0"/>
          <w:numId w:val="37"/>
        </w:numPr>
        <w:spacing w:after="0" w:line="240" w:lineRule="auto"/>
        <w:ind w:left="357" w:hanging="357"/>
        <w:jc w:val="both"/>
        <w:rPr>
          <w:rFonts w:ascii="Arial" w:hAnsi="Arial" w:cs="Arial"/>
          <w:sz w:val="20"/>
        </w:rPr>
      </w:pPr>
      <w:bookmarkStart w:id="316" w:name="_Hlk195516113"/>
      <w:r w:rsidRPr="00C66A47">
        <w:rPr>
          <w:rFonts w:ascii="Arial" w:hAnsi="Arial" w:cs="Arial"/>
          <w:i/>
          <w:iCs/>
          <w:sz w:val="20"/>
        </w:rPr>
        <w:t>DPP v Birchall</w:t>
      </w:r>
      <w:r>
        <w:rPr>
          <w:rFonts w:ascii="Arial" w:hAnsi="Arial" w:cs="Arial"/>
          <w:sz w:val="20"/>
        </w:rPr>
        <w:t xml:space="preserve"> [2023] VSC 391 </w:t>
      </w:r>
      <w:bookmarkEnd w:id="316"/>
      <w:r>
        <w:rPr>
          <w:rFonts w:ascii="Arial" w:hAnsi="Arial" w:cs="Arial"/>
          <w:sz w:val="20"/>
        </w:rPr>
        <w:t xml:space="preserve">in which Beale J discussed and applied s.138 in an evidentiary ruling in </w:t>
      </w:r>
      <w:r w:rsidR="001807E6">
        <w:rPr>
          <w:rFonts w:ascii="Arial" w:hAnsi="Arial" w:cs="Arial"/>
          <w:sz w:val="20"/>
        </w:rPr>
        <w:t xml:space="preserve">a murder trial in which his Honour admitted footprint evidence obtained by police as a consequence of a breach of s.464K of the </w:t>
      </w:r>
      <w:r w:rsidR="001807E6" w:rsidRPr="001807E6">
        <w:rPr>
          <w:rFonts w:ascii="Arial" w:hAnsi="Arial" w:cs="Arial"/>
          <w:i/>
          <w:iCs/>
          <w:sz w:val="20"/>
        </w:rPr>
        <w:t>Crimes Act 1958</w:t>
      </w:r>
      <w:r w:rsidR="001807E6">
        <w:rPr>
          <w:rFonts w:ascii="Arial" w:hAnsi="Arial" w:cs="Arial"/>
          <w:sz w:val="20"/>
        </w:rPr>
        <w:t>;</w:t>
      </w:r>
    </w:p>
    <w:p w14:paraId="7A8252A0" w14:textId="782720D3" w:rsidR="006554F8" w:rsidRPr="006554F8" w:rsidRDefault="006554F8" w:rsidP="006554F8">
      <w:pPr>
        <w:pStyle w:val="ListParagraph"/>
        <w:numPr>
          <w:ilvl w:val="0"/>
          <w:numId w:val="37"/>
        </w:numPr>
        <w:spacing w:after="0" w:line="240" w:lineRule="auto"/>
        <w:ind w:left="357" w:hanging="357"/>
        <w:jc w:val="both"/>
        <w:rPr>
          <w:rFonts w:ascii="Arial" w:hAnsi="Arial" w:cs="Arial"/>
          <w:sz w:val="20"/>
        </w:rPr>
      </w:pPr>
      <w:bookmarkStart w:id="317" w:name="_Hlk170812289"/>
      <w:r w:rsidRPr="006554F8">
        <w:rPr>
          <w:rFonts w:ascii="Arial" w:hAnsi="Arial" w:cs="Arial"/>
          <w:i/>
          <w:iCs/>
          <w:sz w:val="20"/>
        </w:rPr>
        <w:t>R v Lynn (Rulings 1-4)</w:t>
      </w:r>
      <w:r>
        <w:rPr>
          <w:rFonts w:ascii="Arial" w:hAnsi="Arial" w:cs="Arial"/>
          <w:sz w:val="20"/>
        </w:rPr>
        <w:t xml:space="preserve"> [2024] VSC 373 </w:t>
      </w:r>
      <w:bookmarkEnd w:id="317"/>
      <w:r>
        <w:rPr>
          <w:rFonts w:ascii="Arial" w:hAnsi="Arial" w:cs="Arial"/>
          <w:sz w:val="20"/>
        </w:rPr>
        <w:t>in which Croucher J discussed and applied s.138 in 3 of 4 pre-trial evidentiary rulings in a criminal trial in which the accused was charged with two murders</w:t>
      </w:r>
      <w:r w:rsidR="00680EF4">
        <w:rPr>
          <w:rFonts w:ascii="Arial" w:hAnsi="Arial" w:cs="Arial"/>
          <w:sz w:val="20"/>
        </w:rPr>
        <w:t xml:space="preserve">; see also </w:t>
      </w:r>
      <w:r w:rsidR="00680EF4" w:rsidRPr="008E5682">
        <w:rPr>
          <w:rFonts w:ascii="Arial" w:hAnsi="Arial" w:cs="Arial"/>
          <w:sz w:val="20"/>
          <w:szCs w:val="20"/>
        </w:rPr>
        <w:t xml:space="preserve">footnotes 2-4 in </w:t>
      </w:r>
      <w:r w:rsidR="00680EF4" w:rsidRPr="008E5682">
        <w:rPr>
          <w:rFonts w:ascii="Arial" w:hAnsi="Arial" w:cs="Arial"/>
          <w:i/>
          <w:iCs/>
          <w:sz w:val="20"/>
          <w:szCs w:val="20"/>
        </w:rPr>
        <w:t>R v Lynn</w:t>
      </w:r>
      <w:r w:rsidR="00680EF4" w:rsidRPr="008E5682">
        <w:rPr>
          <w:rFonts w:ascii="Arial" w:hAnsi="Arial" w:cs="Arial"/>
          <w:sz w:val="20"/>
          <w:szCs w:val="20"/>
        </w:rPr>
        <w:t xml:space="preserve"> [2024] VSC 635.</w:t>
      </w:r>
    </w:p>
    <w:p w14:paraId="4A44A2D3" w14:textId="3ABD8D63" w:rsidR="00B31659" w:rsidRPr="00B31659" w:rsidRDefault="00B31659" w:rsidP="00BE46E7">
      <w:pPr>
        <w:pStyle w:val="Heading3"/>
        <w:widowControl/>
        <w:spacing w:line="240" w:lineRule="auto"/>
        <w:rPr>
          <w:rFonts w:ascii="Arial" w:hAnsi="Arial" w:cs="Arial"/>
          <w:sz w:val="20"/>
        </w:rPr>
      </w:pPr>
    </w:p>
    <w:p w14:paraId="462748C0" w14:textId="77777777" w:rsidR="00EE5134" w:rsidRDefault="00EE5134" w:rsidP="003106FD">
      <w:pPr>
        <w:pStyle w:val="Heading3"/>
        <w:keepNext/>
        <w:keepLines/>
        <w:spacing w:after="80" w:line="240" w:lineRule="auto"/>
        <w:rPr>
          <w:rFonts w:ascii="Arial" w:hAnsi="Arial" w:cs="Arial"/>
          <w:b/>
          <w:bCs/>
          <w:sz w:val="20"/>
        </w:rPr>
      </w:pPr>
      <w:bookmarkStart w:id="318" w:name="_8.2.11_Pollard_v"/>
      <w:bookmarkEnd w:id="318"/>
      <w:r>
        <w:rPr>
          <w:rFonts w:ascii="Arial" w:hAnsi="Arial" w:cs="Arial"/>
          <w:b/>
          <w:bCs/>
          <w:sz w:val="20"/>
        </w:rPr>
        <w:t>8.2.11</w:t>
      </w:r>
      <w:r>
        <w:rPr>
          <w:rFonts w:ascii="Arial" w:hAnsi="Arial" w:cs="Arial"/>
          <w:b/>
          <w:bCs/>
          <w:sz w:val="20"/>
        </w:rPr>
        <w:tab/>
      </w:r>
      <w:r>
        <w:rPr>
          <w:rFonts w:ascii="Arial" w:hAnsi="Arial" w:cs="Arial"/>
          <w:b/>
          <w:bCs/>
          <w:i/>
          <w:iCs/>
          <w:sz w:val="20"/>
        </w:rPr>
        <w:t>Pollard v R</w:t>
      </w:r>
      <w:r>
        <w:rPr>
          <w:rFonts w:ascii="Arial" w:hAnsi="Arial" w:cs="Arial"/>
          <w:b/>
          <w:bCs/>
          <w:sz w:val="20"/>
        </w:rPr>
        <w:t xml:space="preserve"> (1992) 176 CLR 177</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C1ECE41" w14:textId="77777777" w:rsidR="00EE5134" w:rsidRDefault="00EE5134">
      <w:pPr>
        <w:jc w:val="both"/>
        <w:rPr>
          <w:rFonts w:ascii="Arial" w:hAnsi="Arial" w:cs="Arial"/>
          <w:sz w:val="20"/>
        </w:rPr>
      </w:pPr>
      <w:r>
        <w:rPr>
          <w:rFonts w:ascii="Arial" w:hAnsi="Arial" w:cs="Arial"/>
          <w:sz w:val="20"/>
        </w:rPr>
        <w:t xml:space="preserve">In this difficult leading High Court case the accused had been detained by police, given a "cursory warning", and taken to a police station at Frankston where facilities were available to conduct a taped interview.  He was asked questions about the allegations against him, he made certain admissions and his responses were noted.  He was not given a caution and was not told that he could communicate with a friend, relative or lawyer.  No tape-recording was made of the conversation.  He was then taken by car to the </w:t>
      </w:r>
      <w:smartTag w:uri="urn:schemas-microsoft-com:office:smarttags" w:element="Street">
        <w:smartTag w:uri="urn:schemas-microsoft-com:office:smarttags" w:element="address">
          <w:r>
            <w:rPr>
              <w:rFonts w:ascii="Arial" w:hAnsi="Arial" w:cs="Arial"/>
              <w:sz w:val="20"/>
            </w:rPr>
            <w:t>St Kilda Road</w:t>
          </w:r>
        </w:smartTag>
      </w:smartTag>
      <w:r>
        <w:rPr>
          <w:rFonts w:ascii="Arial" w:hAnsi="Arial" w:cs="Arial"/>
          <w:sz w:val="20"/>
        </w:rPr>
        <w:t xml:space="preserve"> police station and the questioning continued in the car.  At </w:t>
      </w:r>
      <w:smartTag w:uri="urn:schemas-microsoft-com:office:smarttags" w:element="Street">
        <w:smartTag w:uri="urn:schemas-microsoft-com:office:smarttags" w:element="address">
          <w:r>
            <w:rPr>
              <w:rFonts w:ascii="Arial" w:hAnsi="Arial" w:cs="Arial"/>
              <w:sz w:val="20"/>
            </w:rPr>
            <w:lastRenderedPageBreak/>
            <w:t>St Kilda Road</w:t>
          </w:r>
        </w:smartTag>
      </w:smartTag>
      <w:r>
        <w:rPr>
          <w:rFonts w:ascii="Arial" w:hAnsi="Arial" w:cs="Arial"/>
          <w:sz w:val="20"/>
        </w:rPr>
        <w:t xml:space="preserve"> he was cautioned and told of his right to communicate with a friend, relative or lawyer.  A videotaped record of interview then immediately took place in which he made significant admissions.</w:t>
      </w:r>
    </w:p>
    <w:p w14:paraId="74DB9204" w14:textId="77777777" w:rsidR="00EE5134" w:rsidRDefault="00EE5134">
      <w:pPr>
        <w:spacing w:before="120" w:after="120"/>
        <w:jc w:val="both"/>
        <w:rPr>
          <w:rFonts w:ascii="Arial" w:hAnsi="Arial" w:cs="Arial"/>
          <w:sz w:val="20"/>
        </w:rPr>
      </w:pPr>
      <w:r>
        <w:rPr>
          <w:rFonts w:ascii="Arial" w:hAnsi="Arial" w:cs="Arial"/>
          <w:sz w:val="20"/>
        </w:rPr>
        <w:t xml:space="preserve">The trial judge had admitted the </w:t>
      </w:r>
      <w:smartTag w:uri="urn:schemas-microsoft-com:office:smarttags" w:element="Street">
        <w:smartTag w:uri="urn:schemas-microsoft-com:office:smarttags" w:element="address">
          <w:r>
            <w:rPr>
              <w:rFonts w:ascii="Arial" w:hAnsi="Arial" w:cs="Arial"/>
              <w:sz w:val="20"/>
            </w:rPr>
            <w:t>St Kilda Road</w:t>
          </w:r>
        </w:smartTag>
      </w:smartTag>
      <w:r>
        <w:rPr>
          <w:rFonts w:ascii="Arial" w:hAnsi="Arial" w:cs="Arial"/>
          <w:sz w:val="20"/>
        </w:rPr>
        <w:t xml:space="preserve"> interview and his ruling was upheld by the Court of Criminal Appeal.  An appeal to High Court was allowed by the whole Court on the basis that the confessional statement should have been excluded from evidence in the exercise of the trial judge's discretion.  There were 4 individual judgments (Mason CJ, Deane J, Toohey J &amp; McHugh J) and one joint judgment (Brennan, Dawson &amp; Gaudron JJ).  Some key issues in contention, other than the appropriateness of a discretionary exclusion, were resolved differently in different judgments, in particular a central question as to whether the St Kilda Road videotape was rendered inadmissible by reason of a breach of s.464H of the Crimes Act 1958 (Vic).  This involved a determination of a subsidiary q</w:t>
      </w:r>
      <w:r w:rsidR="00BD3F4F">
        <w:rPr>
          <w:rFonts w:ascii="Arial" w:hAnsi="Arial" w:cs="Arial"/>
          <w:sz w:val="20"/>
        </w:rPr>
        <w:t>uestion, described by Mason CJ (</w:t>
      </w:r>
      <w:r>
        <w:rPr>
          <w:rFonts w:ascii="Arial" w:hAnsi="Arial" w:cs="Arial"/>
          <w:sz w:val="20"/>
        </w:rPr>
        <w:t>at 183</w:t>
      </w:r>
      <w:r w:rsidR="00BD3F4F">
        <w:rPr>
          <w:rFonts w:ascii="Arial" w:hAnsi="Arial" w:cs="Arial"/>
          <w:sz w:val="20"/>
        </w:rPr>
        <w:t>)</w:t>
      </w:r>
      <w:r>
        <w:rPr>
          <w:rFonts w:ascii="Arial" w:hAnsi="Arial" w:cs="Arial"/>
          <w:sz w:val="20"/>
        </w:rPr>
        <w:t xml:space="preserve"> as the "critical question…whether the [accused] made separate confessions at Frankston and at St Kilda Road or whether he made one confession in the course of questioning at both places."</w:t>
      </w:r>
    </w:p>
    <w:p w14:paraId="267D8DC7" w14:textId="77777777" w:rsidR="00EE5134" w:rsidRDefault="00EE5134">
      <w:pPr>
        <w:spacing w:after="120"/>
        <w:jc w:val="both"/>
        <w:rPr>
          <w:rFonts w:ascii="Arial" w:hAnsi="Arial" w:cs="Arial"/>
          <w:sz w:val="20"/>
        </w:rPr>
      </w:pPr>
      <w:r>
        <w:rPr>
          <w:rFonts w:ascii="Arial" w:hAnsi="Arial" w:cs="Arial"/>
          <w:sz w:val="20"/>
        </w:rPr>
        <w:t>The following summary of reasons is based in large part on the headnote in the Commonwealth Law Reports and the page references are to that report.</w:t>
      </w:r>
    </w:p>
    <w:tbl>
      <w:tblPr>
        <w:tblW w:w="8831" w:type="dxa"/>
        <w:tblInd w:w="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472"/>
        <w:gridCol w:w="19"/>
        <w:gridCol w:w="2157"/>
        <w:gridCol w:w="6183"/>
      </w:tblGrid>
      <w:tr w:rsidR="00EE5134" w14:paraId="7282A8AF" w14:textId="77777777" w:rsidTr="00E6133F">
        <w:trPr>
          <w:cantSplit/>
          <w:trHeight w:val="192"/>
        </w:trPr>
        <w:tc>
          <w:tcPr>
            <w:tcW w:w="491" w:type="dxa"/>
            <w:gridSpan w:val="2"/>
            <w:vMerge w:val="restart"/>
            <w:tcBorders>
              <w:top w:val="single" w:sz="18" w:space="0" w:color="auto"/>
            </w:tcBorders>
          </w:tcPr>
          <w:p w14:paraId="39B4DB8B" w14:textId="77777777" w:rsidR="00EE5134" w:rsidRDefault="00EE5134">
            <w:pPr>
              <w:jc w:val="center"/>
              <w:rPr>
                <w:rFonts w:ascii="Arial" w:hAnsi="Arial" w:cs="Arial"/>
                <w:sz w:val="20"/>
              </w:rPr>
            </w:pPr>
            <w:r>
              <w:rPr>
                <w:rFonts w:ascii="Arial" w:hAnsi="Arial" w:cs="Arial"/>
                <w:sz w:val="20"/>
              </w:rPr>
              <w:t>1</w:t>
            </w:r>
          </w:p>
        </w:tc>
        <w:tc>
          <w:tcPr>
            <w:tcW w:w="2157" w:type="dxa"/>
            <w:vMerge w:val="restart"/>
            <w:tcBorders>
              <w:top w:val="single" w:sz="18" w:space="0" w:color="auto"/>
            </w:tcBorders>
          </w:tcPr>
          <w:p w14:paraId="6A572B93" w14:textId="77777777" w:rsidR="00EE5134" w:rsidRDefault="00EE5134">
            <w:pPr>
              <w:jc w:val="both"/>
              <w:rPr>
                <w:rFonts w:ascii="Arial" w:hAnsi="Arial" w:cs="Arial"/>
                <w:sz w:val="20"/>
              </w:rPr>
            </w:pPr>
            <w:r>
              <w:rPr>
                <w:rFonts w:ascii="Arial" w:hAnsi="Arial" w:cs="Arial"/>
                <w:sz w:val="20"/>
              </w:rPr>
              <w:t>The confessional statement should have been excluded in the exercise of the trial judge's discretion as a consequence of a breach by the investigating officer of s.464C(1) and in the view of the minority of s.464A(3).</w:t>
            </w:r>
          </w:p>
          <w:p w14:paraId="2D2F9C91" w14:textId="77777777" w:rsidR="00EE5134" w:rsidRDefault="00EE5134">
            <w:pPr>
              <w:jc w:val="both"/>
              <w:rPr>
                <w:rFonts w:ascii="Arial" w:hAnsi="Arial" w:cs="Arial"/>
                <w:sz w:val="20"/>
              </w:rPr>
            </w:pPr>
          </w:p>
          <w:p w14:paraId="16962B50" w14:textId="77777777" w:rsidR="00EE5134" w:rsidRDefault="00EE5134">
            <w:pPr>
              <w:jc w:val="both"/>
              <w:rPr>
                <w:rFonts w:ascii="Arial" w:hAnsi="Arial" w:cs="Arial"/>
                <w:sz w:val="20"/>
              </w:rPr>
            </w:pPr>
          </w:p>
          <w:p w14:paraId="1A085E3A" w14:textId="77777777" w:rsidR="00EE5134" w:rsidRDefault="00EE5134">
            <w:pPr>
              <w:jc w:val="both"/>
              <w:rPr>
                <w:rFonts w:ascii="Arial" w:hAnsi="Arial" w:cs="Arial"/>
                <w:sz w:val="20"/>
              </w:rPr>
            </w:pPr>
            <w:r>
              <w:rPr>
                <w:rFonts w:ascii="Arial" w:hAnsi="Arial" w:cs="Arial"/>
                <w:sz w:val="20"/>
                <w:bdr w:val="single" w:sz="4" w:space="0" w:color="auto"/>
                <w:shd w:val="pct10" w:color="auto" w:fill="auto"/>
              </w:rPr>
              <w:t>The various reasons are  set out  opposite.</w:t>
            </w:r>
          </w:p>
        </w:tc>
        <w:tc>
          <w:tcPr>
            <w:tcW w:w="6183" w:type="dxa"/>
            <w:tcBorders>
              <w:top w:val="single" w:sz="18" w:space="0" w:color="auto"/>
            </w:tcBorders>
          </w:tcPr>
          <w:p w14:paraId="4E139975" w14:textId="77777777" w:rsidR="00EE5134" w:rsidRDefault="00EE5134">
            <w:pPr>
              <w:jc w:val="center"/>
              <w:rPr>
                <w:rFonts w:ascii="Arial" w:hAnsi="Arial" w:cs="Arial"/>
                <w:b/>
                <w:bCs/>
                <w:sz w:val="20"/>
              </w:rPr>
            </w:pPr>
            <w:r>
              <w:rPr>
                <w:rFonts w:ascii="Arial" w:hAnsi="Arial" w:cs="Arial"/>
                <w:b/>
                <w:bCs/>
                <w:sz w:val="20"/>
              </w:rPr>
              <w:t xml:space="preserve">Mason CJ </w:t>
            </w:r>
            <w:r w:rsidR="00BD3F4F">
              <w:rPr>
                <w:rFonts w:ascii="Arial" w:hAnsi="Arial" w:cs="Arial"/>
                <w:b/>
                <w:bCs/>
                <w:sz w:val="20"/>
              </w:rPr>
              <w:t>(</w:t>
            </w:r>
            <w:r>
              <w:rPr>
                <w:rFonts w:ascii="Arial" w:hAnsi="Arial" w:cs="Arial"/>
                <w:b/>
                <w:bCs/>
                <w:sz w:val="20"/>
              </w:rPr>
              <w:t>183-184 largely adopting the reasoning of Deane J</w:t>
            </w:r>
            <w:r w:rsidR="00BD3F4F">
              <w:rPr>
                <w:rFonts w:ascii="Arial" w:hAnsi="Arial" w:cs="Arial"/>
                <w:b/>
                <w:bCs/>
                <w:sz w:val="20"/>
              </w:rPr>
              <w:t>)</w:t>
            </w:r>
            <w:r>
              <w:rPr>
                <w:rFonts w:ascii="Arial" w:hAnsi="Arial" w:cs="Arial"/>
                <w:b/>
                <w:bCs/>
                <w:sz w:val="20"/>
              </w:rPr>
              <w:t xml:space="preserve">, Brennan, Dawson &amp; Gaudron JJ </w:t>
            </w:r>
            <w:r w:rsidR="00BD3F4F">
              <w:rPr>
                <w:rFonts w:ascii="Arial" w:hAnsi="Arial" w:cs="Arial"/>
                <w:b/>
                <w:bCs/>
                <w:sz w:val="20"/>
              </w:rPr>
              <w:t>(</w:t>
            </w:r>
            <w:r>
              <w:rPr>
                <w:rFonts w:ascii="Arial" w:hAnsi="Arial" w:cs="Arial"/>
                <w:b/>
                <w:bCs/>
                <w:sz w:val="20"/>
              </w:rPr>
              <w:t>196-197</w:t>
            </w:r>
            <w:r w:rsidR="00BD3F4F">
              <w:rPr>
                <w:rFonts w:ascii="Arial" w:hAnsi="Arial" w:cs="Arial"/>
                <w:b/>
                <w:bCs/>
                <w:sz w:val="20"/>
              </w:rPr>
              <w:t>)</w:t>
            </w:r>
            <w:r>
              <w:rPr>
                <w:rFonts w:ascii="Arial" w:hAnsi="Arial" w:cs="Arial"/>
                <w:b/>
                <w:bCs/>
                <w:sz w:val="20"/>
              </w:rPr>
              <w:t>,</w:t>
            </w:r>
          </w:p>
          <w:p w14:paraId="60F2F4CB" w14:textId="77777777" w:rsidR="00EE5134" w:rsidRDefault="00EE5134">
            <w:pPr>
              <w:jc w:val="center"/>
              <w:rPr>
                <w:rFonts w:ascii="Arial" w:hAnsi="Arial" w:cs="Arial"/>
                <w:b/>
                <w:bCs/>
                <w:sz w:val="20"/>
              </w:rPr>
            </w:pPr>
            <w:r>
              <w:rPr>
                <w:rFonts w:ascii="Arial" w:hAnsi="Arial" w:cs="Arial"/>
                <w:b/>
                <w:bCs/>
                <w:sz w:val="20"/>
              </w:rPr>
              <w:t xml:space="preserve">Deane J </w:t>
            </w:r>
            <w:r w:rsidR="00BD3F4F">
              <w:rPr>
                <w:rFonts w:ascii="Arial" w:hAnsi="Arial" w:cs="Arial"/>
                <w:b/>
                <w:bCs/>
                <w:sz w:val="20"/>
              </w:rPr>
              <w:t>(</w:t>
            </w:r>
            <w:r>
              <w:rPr>
                <w:rFonts w:ascii="Arial" w:hAnsi="Arial" w:cs="Arial"/>
                <w:b/>
                <w:bCs/>
                <w:sz w:val="20"/>
              </w:rPr>
              <w:t>200-211</w:t>
            </w:r>
            <w:r w:rsidR="00BD3F4F">
              <w:rPr>
                <w:rFonts w:ascii="Arial" w:hAnsi="Arial" w:cs="Arial"/>
                <w:b/>
                <w:bCs/>
                <w:sz w:val="20"/>
              </w:rPr>
              <w:t>)</w:t>
            </w:r>
            <w:r>
              <w:rPr>
                <w:rFonts w:ascii="Arial" w:hAnsi="Arial" w:cs="Arial"/>
                <w:b/>
                <w:bCs/>
                <w:sz w:val="20"/>
              </w:rPr>
              <w:t xml:space="preserve"> &amp; McHugh J </w:t>
            </w:r>
            <w:r w:rsidR="00BD3F4F">
              <w:rPr>
                <w:rFonts w:ascii="Arial" w:hAnsi="Arial" w:cs="Arial"/>
                <w:b/>
                <w:bCs/>
                <w:sz w:val="20"/>
              </w:rPr>
              <w:t>(</w:t>
            </w:r>
            <w:r>
              <w:rPr>
                <w:rFonts w:ascii="Arial" w:hAnsi="Arial" w:cs="Arial"/>
                <w:b/>
                <w:bCs/>
                <w:sz w:val="20"/>
              </w:rPr>
              <w:t>235-237</w:t>
            </w:r>
            <w:r w:rsidR="00BD3F4F">
              <w:rPr>
                <w:rFonts w:ascii="Arial" w:hAnsi="Arial" w:cs="Arial"/>
                <w:b/>
                <w:bCs/>
                <w:sz w:val="20"/>
              </w:rPr>
              <w:t>)</w:t>
            </w:r>
          </w:p>
          <w:p w14:paraId="63A60109" w14:textId="77777777" w:rsidR="00EE5134" w:rsidRDefault="00EE5134">
            <w:pPr>
              <w:jc w:val="both"/>
              <w:rPr>
                <w:rFonts w:ascii="Arial" w:hAnsi="Arial" w:cs="Arial"/>
                <w:sz w:val="20"/>
              </w:rPr>
            </w:pPr>
            <w:r>
              <w:rPr>
                <w:rFonts w:ascii="Arial" w:hAnsi="Arial" w:cs="Arial"/>
                <w:sz w:val="20"/>
              </w:rPr>
              <w:t xml:space="preserve">The obligation to give the caution required by s.464C(1) arose before the commencement of questioning which occurred at Frankston and the consequence of that failure extended to the interview at </w:t>
            </w:r>
            <w:smartTag w:uri="urn:schemas-microsoft-com:office:smarttags" w:element="Street">
              <w:smartTag w:uri="urn:schemas-microsoft-com:office:smarttags" w:element="address">
                <w:r>
                  <w:rPr>
                    <w:rFonts w:ascii="Arial" w:hAnsi="Arial" w:cs="Arial"/>
                    <w:sz w:val="20"/>
                  </w:rPr>
                  <w:t>St Kilda Rd.</w:t>
                </w:r>
              </w:smartTag>
            </w:smartTag>
          </w:p>
        </w:tc>
      </w:tr>
      <w:tr w:rsidR="00EE5134" w14:paraId="3A9A9029" w14:textId="77777777" w:rsidTr="00E6133F">
        <w:trPr>
          <w:cantSplit/>
          <w:trHeight w:val="192"/>
        </w:trPr>
        <w:tc>
          <w:tcPr>
            <w:tcW w:w="491" w:type="dxa"/>
            <w:gridSpan w:val="2"/>
            <w:vMerge/>
          </w:tcPr>
          <w:p w14:paraId="198E296D" w14:textId="77777777" w:rsidR="00EE5134" w:rsidRDefault="00EE5134">
            <w:pPr>
              <w:jc w:val="center"/>
              <w:rPr>
                <w:rFonts w:ascii="Arial" w:hAnsi="Arial" w:cs="Arial"/>
                <w:sz w:val="20"/>
              </w:rPr>
            </w:pPr>
          </w:p>
        </w:tc>
        <w:tc>
          <w:tcPr>
            <w:tcW w:w="2157" w:type="dxa"/>
            <w:vMerge/>
          </w:tcPr>
          <w:p w14:paraId="7DD80B24" w14:textId="77777777" w:rsidR="00EE5134" w:rsidRDefault="00EE5134">
            <w:pPr>
              <w:jc w:val="both"/>
              <w:rPr>
                <w:rFonts w:ascii="Arial" w:hAnsi="Arial" w:cs="Arial"/>
                <w:sz w:val="20"/>
              </w:rPr>
            </w:pPr>
          </w:p>
        </w:tc>
        <w:tc>
          <w:tcPr>
            <w:tcW w:w="6183" w:type="dxa"/>
          </w:tcPr>
          <w:p w14:paraId="64306E65" w14:textId="77777777" w:rsidR="00EE5134" w:rsidRDefault="00EE5134">
            <w:pPr>
              <w:jc w:val="center"/>
              <w:rPr>
                <w:rFonts w:ascii="Arial" w:hAnsi="Arial" w:cs="Arial"/>
                <w:b/>
                <w:bCs/>
                <w:sz w:val="20"/>
              </w:rPr>
            </w:pPr>
            <w:r>
              <w:rPr>
                <w:rFonts w:ascii="Arial" w:hAnsi="Arial" w:cs="Arial"/>
                <w:b/>
                <w:bCs/>
                <w:sz w:val="20"/>
              </w:rPr>
              <w:t xml:space="preserve">Mason CJ </w:t>
            </w:r>
            <w:r w:rsidR="00BD3F4F">
              <w:rPr>
                <w:rFonts w:ascii="Arial" w:hAnsi="Arial" w:cs="Arial"/>
                <w:b/>
                <w:bCs/>
                <w:sz w:val="20"/>
              </w:rPr>
              <w:t>(</w:t>
            </w:r>
            <w:r>
              <w:rPr>
                <w:rFonts w:ascii="Arial" w:hAnsi="Arial" w:cs="Arial"/>
                <w:b/>
                <w:bCs/>
                <w:sz w:val="20"/>
              </w:rPr>
              <w:t>183-184 adopting the reasoning of Deane J</w:t>
            </w:r>
            <w:r w:rsidR="00BD3F4F">
              <w:rPr>
                <w:rFonts w:ascii="Arial" w:hAnsi="Arial" w:cs="Arial"/>
                <w:b/>
                <w:bCs/>
                <w:sz w:val="20"/>
              </w:rPr>
              <w:t>)</w:t>
            </w:r>
            <w:r>
              <w:rPr>
                <w:rFonts w:ascii="Arial" w:hAnsi="Arial" w:cs="Arial"/>
                <w:b/>
                <w:bCs/>
                <w:sz w:val="20"/>
              </w:rPr>
              <w:t>,</w:t>
            </w:r>
          </w:p>
          <w:p w14:paraId="3107FE85" w14:textId="77777777" w:rsidR="00EE5134" w:rsidRDefault="00EE5134">
            <w:pPr>
              <w:jc w:val="center"/>
              <w:rPr>
                <w:rFonts w:ascii="Arial" w:hAnsi="Arial" w:cs="Arial"/>
                <w:b/>
                <w:bCs/>
                <w:sz w:val="20"/>
              </w:rPr>
            </w:pPr>
            <w:r>
              <w:rPr>
                <w:rFonts w:ascii="Arial" w:hAnsi="Arial" w:cs="Arial"/>
                <w:b/>
                <w:bCs/>
                <w:sz w:val="20"/>
              </w:rPr>
              <w:t xml:space="preserve">Deane J </w:t>
            </w:r>
            <w:r w:rsidR="00BD3F4F">
              <w:rPr>
                <w:rFonts w:ascii="Arial" w:hAnsi="Arial" w:cs="Arial"/>
                <w:b/>
                <w:bCs/>
                <w:sz w:val="20"/>
              </w:rPr>
              <w:t>(</w:t>
            </w:r>
            <w:r>
              <w:rPr>
                <w:rFonts w:ascii="Arial" w:hAnsi="Arial" w:cs="Arial"/>
                <w:b/>
                <w:bCs/>
                <w:sz w:val="20"/>
              </w:rPr>
              <w:t>200, 205-206</w:t>
            </w:r>
            <w:r w:rsidR="00BD3F4F">
              <w:rPr>
                <w:rFonts w:ascii="Arial" w:hAnsi="Arial" w:cs="Arial"/>
                <w:b/>
                <w:bCs/>
                <w:sz w:val="20"/>
              </w:rPr>
              <w:t>)</w:t>
            </w:r>
            <w:r>
              <w:rPr>
                <w:rFonts w:ascii="Arial" w:hAnsi="Arial" w:cs="Arial"/>
                <w:b/>
                <w:bCs/>
                <w:sz w:val="20"/>
              </w:rPr>
              <w:t xml:space="preserve"> &amp; Toohey J </w:t>
            </w:r>
            <w:r w:rsidR="00BD3F4F">
              <w:rPr>
                <w:rFonts w:ascii="Arial" w:hAnsi="Arial" w:cs="Arial"/>
                <w:b/>
                <w:bCs/>
                <w:sz w:val="20"/>
              </w:rPr>
              <w:t>(</w:t>
            </w:r>
            <w:r>
              <w:rPr>
                <w:rFonts w:ascii="Arial" w:hAnsi="Arial" w:cs="Arial"/>
                <w:b/>
                <w:bCs/>
                <w:sz w:val="20"/>
              </w:rPr>
              <w:t>222</w:t>
            </w:r>
            <w:r w:rsidR="00BD3F4F">
              <w:rPr>
                <w:rFonts w:ascii="Arial" w:hAnsi="Arial" w:cs="Arial"/>
                <w:b/>
                <w:bCs/>
                <w:sz w:val="20"/>
              </w:rPr>
              <w:t>)</w:t>
            </w:r>
          </w:p>
          <w:p w14:paraId="1ABC0863" w14:textId="77777777" w:rsidR="00EE5134" w:rsidRDefault="00EE5134">
            <w:pPr>
              <w:jc w:val="both"/>
              <w:rPr>
                <w:rFonts w:ascii="Arial" w:hAnsi="Arial" w:cs="Arial"/>
                <w:sz w:val="20"/>
              </w:rPr>
            </w:pPr>
            <w:r>
              <w:rPr>
                <w:rFonts w:ascii="Arial" w:hAnsi="Arial" w:cs="Arial"/>
                <w:sz w:val="20"/>
              </w:rPr>
              <w:t>Section 464C(1) had not been complied with because the police had failed to defer questioning for a reasonable time after they had advised the accused of his rights.</w:t>
            </w:r>
          </w:p>
        </w:tc>
      </w:tr>
      <w:tr w:rsidR="00EE5134" w14:paraId="493B1E42" w14:textId="77777777" w:rsidTr="00E6133F">
        <w:trPr>
          <w:cantSplit/>
          <w:trHeight w:val="192"/>
        </w:trPr>
        <w:tc>
          <w:tcPr>
            <w:tcW w:w="491" w:type="dxa"/>
            <w:gridSpan w:val="2"/>
            <w:vMerge/>
          </w:tcPr>
          <w:p w14:paraId="569958B3" w14:textId="77777777" w:rsidR="00EE5134" w:rsidRDefault="00EE5134">
            <w:pPr>
              <w:jc w:val="center"/>
              <w:rPr>
                <w:rFonts w:ascii="Arial" w:hAnsi="Arial" w:cs="Arial"/>
                <w:sz w:val="20"/>
              </w:rPr>
            </w:pPr>
          </w:p>
        </w:tc>
        <w:tc>
          <w:tcPr>
            <w:tcW w:w="2157" w:type="dxa"/>
            <w:vMerge/>
          </w:tcPr>
          <w:p w14:paraId="53ECA2C4" w14:textId="77777777" w:rsidR="00EE5134" w:rsidRDefault="00EE5134">
            <w:pPr>
              <w:jc w:val="both"/>
              <w:rPr>
                <w:rFonts w:ascii="Arial" w:hAnsi="Arial" w:cs="Arial"/>
                <w:sz w:val="20"/>
              </w:rPr>
            </w:pPr>
          </w:p>
        </w:tc>
        <w:tc>
          <w:tcPr>
            <w:tcW w:w="6183" w:type="dxa"/>
          </w:tcPr>
          <w:p w14:paraId="382D2DF1" w14:textId="77777777" w:rsidR="00EE5134" w:rsidRDefault="00EE5134">
            <w:pPr>
              <w:jc w:val="center"/>
              <w:rPr>
                <w:rFonts w:ascii="Arial" w:hAnsi="Arial" w:cs="Arial"/>
                <w:b/>
                <w:bCs/>
                <w:sz w:val="20"/>
              </w:rPr>
            </w:pPr>
            <w:r>
              <w:rPr>
                <w:rFonts w:ascii="Arial" w:hAnsi="Arial" w:cs="Arial"/>
                <w:b/>
                <w:bCs/>
                <w:sz w:val="20"/>
              </w:rPr>
              <w:t xml:space="preserve">McHugh J </w:t>
            </w:r>
            <w:r w:rsidR="00BD3F4F">
              <w:rPr>
                <w:rFonts w:ascii="Arial" w:hAnsi="Arial" w:cs="Arial"/>
                <w:b/>
                <w:bCs/>
                <w:sz w:val="20"/>
              </w:rPr>
              <w:t>(</w:t>
            </w:r>
            <w:r>
              <w:rPr>
                <w:rFonts w:ascii="Arial" w:hAnsi="Arial" w:cs="Arial"/>
                <w:b/>
                <w:bCs/>
                <w:sz w:val="20"/>
              </w:rPr>
              <w:t>231-233</w:t>
            </w:r>
            <w:r w:rsidR="00BD3F4F">
              <w:rPr>
                <w:rFonts w:ascii="Arial" w:hAnsi="Arial" w:cs="Arial"/>
                <w:b/>
                <w:bCs/>
                <w:sz w:val="20"/>
              </w:rPr>
              <w:t>)</w:t>
            </w:r>
          </w:p>
          <w:p w14:paraId="3848503E" w14:textId="77777777" w:rsidR="00EE5134" w:rsidRDefault="00EE5134">
            <w:pPr>
              <w:jc w:val="both"/>
              <w:rPr>
                <w:rFonts w:ascii="Arial" w:hAnsi="Arial" w:cs="Arial"/>
                <w:sz w:val="20"/>
              </w:rPr>
            </w:pPr>
            <w:r>
              <w:rPr>
                <w:rFonts w:ascii="Arial" w:hAnsi="Arial" w:cs="Arial"/>
                <w:sz w:val="20"/>
              </w:rPr>
              <w:t>The police had not complied with s.464C(1) because they had not made clear that the accused had a right to make the requisite communication before the questioning began.</w:t>
            </w:r>
          </w:p>
        </w:tc>
      </w:tr>
      <w:tr w:rsidR="00EE5134" w14:paraId="468B757C" w14:textId="77777777" w:rsidTr="00E6133F">
        <w:trPr>
          <w:cantSplit/>
          <w:trHeight w:val="192"/>
        </w:trPr>
        <w:tc>
          <w:tcPr>
            <w:tcW w:w="491" w:type="dxa"/>
            <w:gridSpan w:val="2"/>
            <w:vMerge/>
            <w:tcBorders>
              <w:bottom w:val="single" w:sz="18" w:space="0" w:color="auto"/>
            </w:tcBorders>
          </w:tcPr>
          <w:p w14:paraId="7C04AB9B" w14:textId="77777777" w:rsidR="00EE5134" w:rsidRDefault="00EE5134">
            <w:pPr>
              <w:jc w:val="center"/>
              <w:rPr>
                <w:rFonts w:ascii="Arial" w:hAnsi="Arial" w:cs="Arial"/>
                <w:sz w:val="20"/>
              </w:rPr>
            </w:pPr>
          </w:p>
        </w:tc>
        <w:tc>
          <w:tcPr>
            <w:tcW w:w="2157" w:type="dxa"/>
            <w:vMerge/>
            <w:tcBorders>
              <w:bottom w:val="single" w:sz="18" w:space="0" w:color="auto"/>
            </w:tcBorders>
          </w:tcPr>
          <w:p w14:paraId="5A384D25" w14:textId="77777777" w:rsidR="00EE5134" w:rsidRDefault="00EE5134">
            <w:pPr>
              <w:jc w:val="both"/>
              <w:rPr>
                <w:rFonts w:ascii="Arial" w:hAnsi="Arial" w:cs="Arial"/>
                <w:sz w:val="20"/>
              </w:rPr>
            </w:pPr>
          </w:p>
        </w:tc>
        <w:tc>
          <w:tcPr>
            <w:tcW w:w="6183" w:type="dxa"/>
            <w:tcBorders>
              <w:bottom w:val="single" w:sz="18" w:space="0" w:color="auto"/>
            </w:tcBorders>
          </w:tcPr>
          <w:p w14:paraId="3CF47DC0" w14:textId="77777777" w:rsidR="00EE5134" w:rsidRDefault="00EE5134">
            <w:pPr>
              <w:jc w:val="center"/>
              <w:rPr>
                <w:rFonts w:ascii="Arial" w:hAnsi="Arial" w:cs="Arial"/>
                <w:b/>
                <w:bCs/>
                <w:sz w:val="20"/>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195-197</w:t>
            </w:r>
            <w:r w:rsidR="00BD3F4F">
              <w:rPr>
                <w:rFonts w:ascii="Arial" w:hAnsi="Arial" w:cs="Arial"/>
                <w:b/>
                <w:bCs/>
                <w:sz w:val="20"/>
              </w:rPr>
              <w:t>)</w:t>
            </w:r>
          </w:p>
          <w:p w14:paraId="0A890B84" w14:textId="77777777" w:rsidR="00EE5134" w:rsidRDefault="00EE5134">
            <w:pPr>
              <w:jc w:val="both"/>
              <w:rPr>
                <w:rFonts w:ascii="Arial" w:hAnsi="Arial" w:cs="Arial"/>
                <w:sz w:val="20"/>
              </w:rPr>
            </w:pPr>
            <w:r>
              <w:rPr>
                <w:rFonts w:ascii="Arial" w:hAnsi="Arial" w:cs="Arial"/>
                <w:sz w:val="20"/>
              </w:rPr>
              <w:t>There had been a failure to give the caution required by s.464A(3) before the questioning began at Frankston.</w:t>
            </w:r>
          </w:p>
        </w:tc>
      </w:tr>
      <w:tr w:rsidR="00EE5134" w14:paraId="4C0718D2" w14:textId="77777777" w:rsidTr="00E6133F">
        <w:trPr>
          <w:cantSplit/>
          <w:trHeight w:val="1134"/>
        </w:trPr>
        <w:tc>
          <w:tcPr>
            <w:tcW w:w="472" w:type="dxa"/>
            <w:tcBorders>
              <w:top w:val="single" w:sz="18" w:space="0" w:color="auto"/>
              <w:bottom w:val="single" w:sz="18" w:space="0" w:color="auto"/>
            </w:tcBorders>
          </w:tcPr>
          <w:p w14:paraId="6F26E82A" w14:textId="77777777" w:rsidR="00EE5134" w:rsidRDefault="00EE5134">
            <w:pPr>
              <w:jc w:val="center"/>
              <w:rPr>
                <w:rFonts w:ascii="Arial" w:hAnsi="Arial" w:cs="Arial"/>
                <w:sz w:val="20"/>
              </w:rPr>
            </w:pPr>
            <w:r>
              <w:rPr>
                <w:rFonts w:ascii="Arial" w:hAnsi="Arial" w:cs="Arial"/>
                <w:sz w:val="20"/>
              </w:rPr>
              <w:t>2</w:t>
            </w:r>
          </w:p>
        </w:tc>
        <w:tc>
          <w:tcPr>
            <w:tcW w:w="8359" w:type="dxa"/>
            <w:gridSpan w:val="3"/>
            <w:tcBorders>
              <w:top w:val="single" w:sz="18" w:space="0" w:color="auto"/>
              <w:bottom w:val="single" w:sz="18" w:space="0" w:color="auto"/>
            </w:tcBorders>
          </w:tcPr>
          <w:p w14:paraId="42A59675" w14:textId="77777777" w:rsidR="00EE5134" w:rsidRDefault="00EE5134">
            <w:pPr>
              <w:jc w:val="center"/>
              <w:rPr>
                <w:rFonts w:ascii="Arial" w:hAnsi="Arial" w:cs="Arial"/>
                <w:b/>
                <w:bCs/>
                <w:sz w:val="20"/>
              </w:rPr>
            </w:pPr>
            <w:r>
              <w:rPr>
                <w:rFonts w:ascii="Arial" w:hAnsi="Arial" w:cs="Arial"/>
                <w:b/>
                <w:bCs/>
                <w:sz w:val="20"/>
              </w:rPr>
              <w:t xml:space="preserve">Mason CJ </w:t>
            </w:r>
            <w:r w:rsidR="00BD3F4F">
              <w:rPr>
                <w:rFonts w:ascii="Arial" w:hAnsi="Arial" w:cs="Arial"/>
                <w:b/>
                <w:bCs/>
                <w:sz w:val="20"/>
              </w:rPr>
              <w:t>(</w:t>
            </w:r>
            <w:r>
              <w:rPr>
                <w:rFonts w:ascii="Arial" w:hAnsi="Arial" w:cs="Arial"/>
                <w:b/>
                <w:bCs/>
                <w:sz w:val="20"/>
              </w:rPr>
              <w:t>184 adopting the reasoning of Deane J</w:t>
            </w:r>
            <w:r w:rsidR="00BD3F4F">
              <w:rPr>
                <w:rFonts w:ascii="Arial" w:hAnsi="Arial" w:cs="Arial"/>
                <w:b/>
                <w:bCs/>
                <w:sz w:val="20"/>
              </w:rPr>
              <w:t>)</w:t>
            </w:r>
            <w:r>
              <w:rPr>
                <w:rFonts w:ascii="Arial" w:hAnsi="Arial" w:cs="Arial"/>
                <w:b/>
                <w:bCs/>
                <w:sz w:val="20"/>
              </w:rPr>
              <w:t xml:space="preserve">, Deane J </w:t>
            </w:r>
            <w:r w:rsidR="00BD3F4F">
              <w:rPr>
                <w:rFonts w:ascii="Arial" w:hAnsi="Arial" w:cs="Arial"/>
                <w:b/>
                <w:bCs/>
                <w:sz w:val="20"/>
              </w:rPr>
              <w:t>(</w:t>
            </w:r>
            <w:r>
              <w:rPr>
                <w:rFonts w:ascii="Arial" w:hAnsi="Arial" w:cs="Arial"/>
                <w:b/>
                <w:bCs/>
                <w:sz w:val="20"/>
              </w:rPr>
              <w:t>200-203</w:t>
            </w:r>
            <w:r w:rsidR="00BD3F4F">
              <w:rPr>
                <w:rFonts w:ascii="Arial" w:hAnsi="Arial" w:cs="Arial"/>
                <w:b/>
                <w:bCs/>
                <w:sz w:val="20"/>
              </w:rPr>
              <w:t>)</w:t>
            </w:r>
            <w:r>
              <w:rPr>
                <w:rFonts w:ascii="Arial" w:hAnsi="Arial" w:cs="Arial"/>
                <w:b/>
                <w:bCs/>
                <w:sz w:val="20"/>
              </w:rPr>
              <w:t>,</w:t>
            </w:r>
          </w:p>
          <w:p w14:paraId="6589E270" w14:textId="77777777" w:rsidR="00EE5134" w:rsidRDefault="00EE5134">
            <w:pPr>
              <w:jc w:val="center"/>
              <w:rPr>
                <w:rFonts w:ascii="Arial" w:hAnsi="Arial" w:cs="Arial"/>
                <w:sz w:val="20"/>
                <w:u w:val="single"/>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196-197</w:t>
            </w:r>
            <w:r w:rsidR="00BD3F4F">
              <w:rPr>
                <w:rFonts w:ascii="Arial" w:hAnsi="Arial" w:cs="Arial"/>
                <w:b/>
                <w:bCs/>
                <w:sz w:val="20"/>
              </w:rPr>
              <w:t>)</w:t>
            </w:r>
            <w:r>
              <w:rPr>
                <w:rFonts w:ascii="Arial" w:hAnsi="Arial" w:cs="Arial"/>
                <w:b/>
                <w:bCs/>
                <w:sz w:val="20"/>
              </w:rPr>
              <w:t xml:space="preserve">, Toohey J </w:t>
            </w:r>
            <w:r w:rsidR="00BD3F4F">
              <w:rPr>
                <w:rFonts w:ascii="Arial" w:hAnsi="Arial" w:cs="Arial"/>
                <w:b/>
                <w:bCs/>
                <w:sz w:val="20"/>
              </w:rPr>
              <w:t>(</w:t>
            </w:r>
            <w:r>
              <w:rPr>
                <w:rFonts w:ascii="Arial" w:hAnsi="Arial" w:cs="Arial"/>
                <w:b/>
                <w:bCs/>
                <w:sz w:val="20"/>
              </w:rPr>
              <w:t>223</w:t>
            </w:r>
            <w:r w:rsidR="00BD3F4F">
              <w:rPr>
                <w:rFonts w:ascii="Arial" w:hAnsi="Arial" w:cs="Arial"/>
                <w:b/>
                <w:bCs/>
                <w:sz w:val="20"/>
              </w:rPr>
              <w:t>)</w:t>
            </w:r>
            <w:r>
              <w:rPr>
                <w:rFonts w:ascii="Arial" w:hAnsi="Arial" w:cs="Arial"/>
                <w:b/>
                <w:bCs/>
                <w:sz w:val="20"/>
              </w:rPr>
              <w:t xml:space="preserve">, McHugh J </w:t>
            </w:r>
            <w:r w:rsidR="00BD3F4F">
              <w:rPr>
                <w:rFonts w:ascii="Arial" w:hAnsi="Arial" w:cs="Arial"/>
                <w:b/>
                <w:bCs/>
                <w:sz w:val="20"/>
              </w:rPr>
              <w:t>(</w:t>
            </w:r>
            <w:r>
              <w:rPr>
                <w:rFonts w:ascii="Arial" w:hAnsi="Arial" w:cs="Arial"/>
                <w:b/>
                <w:bCs/>
                <w:sz w:val="20"/>
              </w:rPr>
              <w:t>234-235</w:t>
            </w:r>
            <w:r w:rsidR="00BD3F4F">
              <w:rPr>
                <w:rFonts w:ascii="Arial" w:hAnsi="Arial" w:cs="Arial"/>
                <w:b/>
                <w:bCs/>
                <w:sz w:val="20"/>
              </w:rPr>
              <w:t>)</w:t>
            </w:r>
          </w:p>
          <w:p w14:paraId="75C0DE04" w14:textId="77777777" w:rsidR="00EE5134" w:rsidRDefault="00EE5134">
            <w:pPr>
              <w:jc w:val="both"/>
              <w:rPr>
                <w:rFonts w:ascii="Arial" w:hAnsi="Arial" w:cs="Arial"/>
                <w:sz w:val="20"/>
              </w:rPr>
            </w:pPr>
            <w:r>
              <w:rPr>
                <w:rFonts w:ascii="Arial" w:hAnsi="Arial" w:cs="Arial"/>
                <w:sz w:val="20"/>
              </w:rPr>
              <w:t>Whether otherwise admissible evidence of what is said in answer to questions asked in breach of s.464C(1) should be received in evidence is to be determined by the general law, under which the trial judge has a discretion to exclude the evidence either because its reception would be unfair to the accused or on grounds of public policy.</w:t>
            </w:r>
          </w:p>
          <w:p w14:paraId="03123EE9" w14:textId="77777777" w:rsidR="00EE5134" w:rsidRDefault="00EE5134">
            <w:pPr>
              <w:jc w:val="both"/>
              <w:rPr>
                <w:rFonts w:ascii="Arial" w:hAnsi="Arial" w:cs="Arial"/>
                <w:sz w:val="20"/>
              </w:rPr>
            </w:pPr>
            <w:r>
              <w:rPr>
                <w:rFonts w:ascii="Arial" w:hAnsi="Arial" w:cs="Arial"/>
                <w:i/>
                <w:iCs/>
                <w:sz w:val="20"/>
              </w:rPr>
              <w:t xml:space="preserve">R v </w:t>
            </w:r>
            <w:smartTag w:uri="urn:schemas-microsoft-com:office:smarttags" w:element="place">
              <w:smartTag w:uri="urn:schemas-microsoft-com:office:smarttags" w:element="country-region">
                <w:r>
                  <w:rPr>
                    <w:rFonts w:ascii="Arial" w:hAnsi="Arial" w:cs="Arial"/>
                    <w:i/>
                    <w:iCs/>
                    <w:sz w:val="20"/>
                  </w:rPr>
                  <w:t>Ireland</w:t>
                </w:r>
              </w:smartTag>
            </w:smartTag>
            <w:r>
              <w:rPr>
                <w:rFonts w:ascii="Arial" w:hAnsi="Arial" w:cs="Arial"/>
                <w:sz w:val="20"/>
              </w:rPr>
              <w:t xml:space="preserve"> (1970) 126 CLR 321 at 334-5</w:t>
            </w:r>
          </w:p>
          <w:p w14:paraId="6E042312" w14:textId="77777777" w:rsidR="00EE5134" w:rsidRDefault="00EE5134">
            <w:pPr>
              <w:jc w:val="both"/>
              <w:rPr>
                <w:rFonts w:ascii="Arial" w:hAnsi="Arial" w:cs="Arial"/>
                <w:sz w:val="20"/>
              </w:rPr>
            </w:pPr>
            <w:r>
              <w:rPr>
                <w:rFonts w:ascii="Arial" w:hAnsi="Arial" w:cs="Arial"/>
                <w:i/>
                <w:iCs/>
                <w:sz w:val="20"/>
              </w:rPr>
              <w:t>Bunning v Cross</w:t>
            </w:r>
            <w:r>
              <w:rPr>
                <w:rFonts w:ascii="Arial" w:hAnsi="Arial" w:cs="Arial"/>
                <w:sz w:val="20"/>
              </w:rPr>
              <w:t xml:space="preserve"> (1978) 141 CLR 54 at 74-5</w:t>
            </w:r>
          </w:p>
          <w:p w14:paraId="2FC24CBF" w14:textId="77777777" w:rsidR="00EE5134" w:rsidRDefault="00EE5134">
            <w:pPr>
              <w:jc w:val="both"/>
              <w:rPr>
                <w:rFonts w:ascii="Arial" w:hAnsi="Arial" w:cs="Arial"/>
                <w:sz w:val="20"/>
              </w:rPr>
            </w:pPr>
            <w:r>
              <w:rPr>
                <w:rFonts w:ascii="Arial" w:hAnsi="Arial" w:cs="Arial"/>
                <w:i/>
                <w:iCs/>
                <w:sz w:val="20"/>
              </w:rPr>
              <w:t>Cleland v The Queen</w:t>
            </w:r>
            <w:r>
              <w:rPr>
                <w:rFonts w:ascii="Arial" w:hAnsi="Arial" w:cs="Arial"/>
                <w:sz w:val="20"/>
              </w:rPr>
              <w:t xml:space="preserve"> (1982) 151 CLR 1 applied.</w:t>
            </w:r>
          </w:p>
        </w:tc>
      </w:tr>
      <w:tr w:rsidR="00EE5134" w14:paraId="7E0F5AC2" w14:textId="77777777" w:rsidTr="00E6133F">
        <w:trPr>
          <w:cantSplit/>
          <w:trHeight w:val="567"/>
        </w:trPr>
        <w:tc>
          <w:tcPr>
            <w:tcW w:w="472" w:type="dxa"/>
            <w:tcBorders>
              <w:top w:val="single" w:sz="18" w:space="0" w:color="auto"/>
              <w:bottom w:val="single" w:sz="18" w:space="0" w:color="auto"/>
            </w:tcBorders>
          </w:tcPr>
          <w:p w14:paraId="47501D89" w14:textId="77777777" w:rsidR="00EE5134" w:rsidRDefault="00EE5134">
            <w:pPr>
              <w:jc w:val="center"/>
              <w:rPr>
                <w:rFonts w:ascii="Arial" w:hAnsi="Arial" w:cs="Arial"/>
                <w:sz w:val="20"/>
              </w:rPr>
            </w:pPr>
            <w:r>
              <w:rPr>
                <w:rFonts w:ascii="Arial" w:hAnsi="Arial" w:cs="Arial"/>
                <w:sz w:val="20"/>
              </w:rPr>
              <w:t>3</w:t>
            </w:r>
          </w:p>
        </w:tc>
        <w:tc>
          <w:tcPr>
            <w:tcW w:w="8359" w:type="dxa"/>
            <w:gridSpan w:val="3"/>
            <w:tcBorders>
              <w:top w:val="single" w:sz="18" w:space="0" w:color="auto"/>
              <w:bottom w:val="single" w:sz="18" w:space="0" w:color="auto"/>
            </w:tcBorders>
          </w:tcPr>
          <w:p w14:paraId="6789E42A" w14:textId="77777777" w:rsidR="00EE5134" w:rsidRDefault="00EE5134">
            <w:pPr>
              <w:jc w:val="center"/>
              <w:rPr>
                <w:rFonts w:ascii="Arial" w:hAnsi="Arial" w:cs="Arial"/>
                <w:b/>
                <w:bCs/>
                <w:sz w:val="20"/>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195</w:t>
            </w:r>
            <w:r w:rsidR="00BD3F4F">
              <w:rPr>
                <w:rFonts w:ascii="Arial" w:hAnsi="Arial" w:cs="Arial"/>
                <w:b/>
                <w:bCs/>
                <w:sz w:val="20"/>
              </w:rPr>
              <w:t>)</w:t>
            </w:r>
            <w:r>
              <w:rPr>
                <w:rFonts w:ascii="Arial" w:hAnsi="Arial" w:cs="Arial"/>
                <w:b/>
                <w:bCs/>
                <w:sz w:val="20"/>
              </w:rPr>
              <w:t xml:space="preserve">, Deane J </w:t>
            </w:r>
            <w:r w:rsidR="00BD3F4F">
              <w:rPr>
                <w:rFonts w:ascii="Arial" w:hAnsi="Arial" w:cs="Arial"/>
                <w:b/>
                <w:bCs/>
                <w:sz w:val="20"/>
              </w:rPr>
              <w:t>(</w:t>
            </w:r>
            <w:r>
              <w:rPr>
                <w:rFonts w:ascii="Arial" w:hAnsi="Arial" w:cs="Arial"/>
                <w:b/>
                <w:bCs/>
                <w:sz w:val="20"/>
              </w:rPr>
              <w:t>200</w:t>
            </w:r>
            <w:r w:rsidR="00BD3F4F">
              <w:rPr>
                <w:rFonts w:ascii="Arial" w:hAnsi="Arial" w:cs="Arial"/>
                <w:b/>
                <w:bCs/>
                <w:sz w:val="20"/>
              </w:rPr>
              <w:t>)</w:t>
            </w:r>
            <w:r>
              <w:rPr>
                <w:rFonts w:ascii="Arial" w:hAnsi="Arial" w:cs="Arial"/>
                <w:b/>
                <w:bCs/>
                <w:sz w:val="20"/>
              </w:rPr>
              <w:t xml:space="preserve"> &amp; McHugh J </w:t>
            </w:r>
            <w:r w:rsidR="00BD3F4F">
              <w:rPr>
                <w:rFonts w:ascii="Arial" w:hAnsi="Arial" w:cs="Arial"/>
                <w:b/>
                <w:bCs/>
                <w:sz w:val="20"/>
              </w:rPr>
              <w:t>(</w:t>
            </w:r>
            <w:r>
              <w:rPr>
                <w:rFonts w:ascii="Arial" w:hAnsi="Arial" w:cs="Arial"/>
                <w:b/>
                <w:bCs/>
                <w:sz w:val="20"/>
              </w:rPr>
              <w:t>228</w:t>
            </w:r>
            <w:r w:rsidR="00BD3F4F">
              <w:rPr>
                <w:rFonts w:ascii="Arial" w:hAnsi="Arial" w:cs="Arial"/>
                <w:b/>
                <w:bCs/>
                <w:sz w:val="20"/>
              </w:rPr>
              <w:t>)</w:t>
            </w:r>
          </w:p>
          <w:p w14:paraId="3002FF78" w14:textId="77777777" w:rsidR="00EE5134" w:rsidRDefault="00EE5134">
            <w:pPr>
              <w:jc w:val="both"/>
              <w:rPr>
                <w:rFonts w:ascii="Arial" w:hAnsi="Arial" w:cs="Arial"/>
                <w:sz w:val="20"/>
              </w:rPr>
            </w:pPr>
            <w:r>
              <w:rPr>
                <w:rFonts w:ascii="Arial" w:hAnsi="Arial" w:cs="Arial"/>
                <w:sz w:val="20"/>
              </w:rPr>
              <w:t>Questioning for the purposes of s.464A(2) commences when a person in custody for an offence is informed of the circumstances of that offence and is first questioned.</w:t>
            </w:r>
          </w:p>
        </w:tc>
      </w:tr>
      <w:tr w:rsidR="00EE5134" w14:paraId="3C036CA9" w14:textId="77777777" w:rsidTr="00E6133F">
        <w:trPr>
          <w:cantSplit/>
          <w:trHeight w:val="240"/>
        </w:trPr>
        <w:tc>
          <w:tcPr>
            <w:tcW w:w="472" w:type="dxa"/>
            <w:tcBorders>
              <w:top w:val="single" w:sz="18" w:space="0" w:color="auto"/>
            </w:tcBorders>
          </w:tcPr>
          <w:p w14:paraId="2E19BF36" w14:textId="77777777" w:rsidR="00EE5134" w:rsidRDefault="00EE5134">
            <w:pPr>
              <w:jc w:val="center"/>
              <w:rPr>
                <w:rFonts w:ascii="Arial" w:hAnsi="Arial" w:cs="Arial"/>
                <w:sz w:val="20"/>
              </w:rPr>
            </w:pPr>
            <w:r>
              <w:rPr>
                <w:rFonts w:ascii="Arial" w:hAnsi="Arial" w:cs="Arial"/>
                <w:sz w:val="20"/>
              </w:rPr>
              <w:t>4a</w:t>
            </w:r>
          </w:p>
        </w:tc>
        <w:tc>
          <w:tcPr>
            <w:tcW w:w="8359" w:type="dxa"/>
            <w:gridSpan w:val="3"/>
            <w:tcBorders>
              <w:top w:val="single" w:sz="18" w:space="0" w:color="auto"/>
              <w:bottom w:val="single" w:sz="18" w:space="0" w:color="auto"/>
            </w:tcBorders>
          </w:tcPr>
          <w:p w14:paraId="2CC9427A" w14:textId="77777777" w:rsidR="00EE5134" w:rsidRPr="008A7AD6" w:rsidRDefault="00EE5134">
            <w:pPr>
              <w:jc w:val="center"/>
              <w:rPr>
                <w:rFonts w:ascii="Arial" w:hAnsi="Arial" w:cs="Arial"/>
                <w:b/>
                <w:bCs/>
                <w:sz w:val="20"/>
                <w:bdr w:val="single" w:sz="4" w:space="0" w:color="auto"/>
                <w:shd w:val="pct10" w:color="auto" w:fill="auto"/>
              </w:rPr>
            </w:pPr>
            <w:r w:rsidRPr="008A7AD6">
              <w:rPr>
                <w:rFonts w:ascii="Arial" w:hAnsi="Arial" w:cs="Arial"/>
                <w:b/>
                <w:bCs/>
                <w:sz w:val="20"/>
                <w:bdr w:val="single" w:sz="4" w:space="0" w:color="auto"/>
                <w:shd w:val="pct10" w:color="auto" w:fill="auto"/>
              </w:rPr>
              <w:t>MAJORITY OPINION</w:t>
            </w:r>
          </w:p>
          <w:p w14:paraId="4007FD37" w14:textId="77777777" w:rsidR="00EE5134" w:rsidRDefault="00EE5134">
            <w:pPr>
              <w:jc w:val="both"/>
              <w:rPr>
                <w:rFonts w:ascii="Arial" w:hAnsi="Arial" w:cs="Arial"/>
                <w:sz w:val="20"/>
              </w:rPr>
            </w:pPr>
            <w:r>
              <w:rPr>
                <w:rFonts w:ascii="Arial" w:hAnsi="Arial" w:cs="Arial"/>
                <w:sz w:val="20"/>
              </w:rPr>
              <w:t xml:space="preserve">The videotape of the interview at </w:t>
            </w:r>
            <w:smartTag w:uri="urn:schemas-microsoft-com:office:smarttags" w:element="Street">
              <w:smartTag w:uri="urn:schemas-microsoft-com:office:smarttags" w:element="address">
                <w:r>
                  <w:rPr>
                    <w:rFonts w:ascii="Arial" w:hAnsi="Arial" w:cs="Arial"/>
                    <w:sz w:val="20"/>
                  </w:rPr>
                  <w:t>St Kilda Rd</w:t>
                </w:r>
              </w:smartTag>
            </w:smartTag>
            <w:r>
              <w:rPr>
                <w:rFonts w:ascii="Arial" w:hAnsi="Arial" w:cs="Arial"/>
                <w:sz w:val="20"/>
              </w:rPr>
              <w:t xml:space="preserve"> was not rendered inadmissible by s.464H.</w:t>
            </w:r>
          </w:p>
          <w:p w14:paraId="0D89F7FB" w14:textId="77777777" w:rsidR="00EB03F4" w:rsidRDefault="00EB03F4" w:rsidP="00EB03F4">
            <w:pPr>
              <w:jc w:val="center"/>
              <w:rPr>
                <w:rFonts w:ascii="Arial" w:hAnsi="Arial" w:cs="Arial"/>
                <w:b/>
                <w:bCs/>
                <w:sz w:val="20"/>
              </w:rPr>
            </w:pPr>
            <w:r>
              <w:rPr>
                <w:rFonts w:ascii="Arial" w:hAnsi="Arial" w:cs="Arial"/>
                <w:b/>
                <w:bCs/>
                <w:sz w:val="20"/>
              </w:rPr>
              <w:t>Mason CJ (183)</w:t>
            </w:r>
          </w:p>
          <w:p w14:paraId="00FB193A" w14:textId="77777777" w:rsidR="00EB03F4" w:rsidRPr="00EB03F4" w:rsidRDefault="00EB03F4">
            <w:pPr>
              <w:jc w:val="both"/>
              <w:rPr>
                <w:rFonts w:ascii="Arial" w:hAnsi="Arial" w:cs="Arial"/>
                <w:sz w:val="20"/>
              </w:rPr>
            </w:pPr>
            <w:r>
              <w:rPr>
                <w:rFonts w:ascii="Arial" w:hAnsi="Arial" w:cs="Arial"/>
                <w:sz w:val="20"/>
              </w:rPr>
              <w:t>"The question…is whether s.464H(1)(d) is capable of being read as a requirement that, where confessions are made at two places at which the requisite facilities are available, the interrogation at both places must be tape-recorded if the later confession is to be admissible."  His Honour answered that question 'no' but added: "I acknowledge that the interpretation which I have given to s.464H(1) produces some unsatisfactory consequences, especially because it enables the recorded interrogation to be admitted in circumstances in which it is preceded by an unrecorded interrogation [which] can give rise to the very sort of problem against which the relevant provisions provide some safeguard.  However, in my view, the language and structure of the provisions dictate the interpretation which I favour."</w:t>
            </w:r>
          </w:p>
        </w:tc>
      </w:tr>
      <w:tr w:rsidR="00EE5134" w14:paraId="0176879F" w14:textId="77777777" w:rsidTr="00E6133F">
        <w:trPr>
          <w:cantSplit/>
          <w:trHeight w:val="240"/>
        </w:trPr>
        <w:tc>
          <w:tcPr>
            <w:tcW w:w="472" w:type="dxa"/>
            <w:tcBorders>
              <w:bottom w:val="single" w:sz="18" w:space="0" w:color="auto"/>
            </w:tcBorders>
          </w:tcPr>
          <w:p w14:paraId="6A6C57C6" w14:textId="77777777" w:rsidR="00EE5134" w:rsidRDefault="00EE5134">
            <w:pPr>
              <w:jc w:val="center"/>
              <w:rPr>
                <w:rFonts w:ascii="Arial" w:hAnsi="Arial" w:cs="Arial"/>
                <w:sz w:val="20"/>
              </w:rPr>
            </w:pPr>
          </w:p>
        </w:tc>
        <w:tc>
          <w:tcPr>
            <w:tcW w:w="8359" w:type="dxa"/>
            <w:gridSpan w:val="3"/>
            <w:tcBorders>
              <w:top w:val="single" w:sz="18" w:space="0" w:color="auto"/>
              <w:bottom w:val="single" w:sz="18" w:space="0" w:color="auto"/>
            </w:tcBorders>
          </w:tcPr>
          <w:p w14:paraId="59703E10" w14:textId="77777777" w:rsidR="00EE5134" w:rsidRDefault="00EE5134">
            <w:pPr>
              <w:jc w:val="center"/>
              <w:rPr>
                <w:rFonts w:ascii="Arial" w:hAnsi="Arial" w:cs="Arial"/>
                <w:b/>
                <w:bCs/>
                <w:sz w:val="20"/>
              </w:rPr>
            </w:pPr>
            <w:r>
              <w:rPr>
                <w:rFonts w:ascii="Arial" w:hAnsi="Arial" w:cs="Arial"/>
                <w:b/>
                <w:bCs/>
                <w:sz w:val="20"/>
              </w:rPr>
              <w:t xml:space="preserve">Deane J </w:t>
            </w:r>
            <w:r w:rsidR="00BD3F4F">
              <w:rPr>
                <w:rFonts w:ascii="Arial" w:hAnsi="Arial" w:cs="Arial"/>
                <w:b/>
                <w:bCs/>
                <w:sz w:val="20"/>
              </w:rPr>
              <w:t>(</w:t>
            </w:r>
            <w:r>
              <w:rPr>
                <w:rFonts w:ascii="Arial" w:hAnsi="Arial" w:cs="Arial"/>
                <w:b/>
                <w:bCs/>
                <w:sz w:val="20"/>
              </w:rPr>
              <w:t>197-198</w:t>
            </w:r>
            <w:r w:rsidR="00BD3F4F">
              <w:rPr>
                <w:rFonts w:ascii="Arial" w:hAnsi="Arial" w:cs="Arial"/>
                <w:b/>
                <w:bCs/>
                <w:sz w:val="20"/>
              </w:rPr>
              <w:t>)</w:t>
            </w:r>
          </w:p>
          <w:p w14:paraId="4209E4AC" w14:textId="77777777" w:rsidR="00EE5134" w:rsidRDefault="00EE5134">
            <w:pPr>
              <w:jc w:val="both"/>
              <w:rPr>
                <w:rFonts w:ascii="Arial" w:hAnsi="Arial" w:cs="Arial"/>
                <w:sz w:val="20"/>
              </w:rPr>
            </w:pPr>
            <w:r>
              <w:rPr>
                <w:rFonts w:ascii="Arial" w:hAnsi="Arial" w:cs="Arial"/>
                <w:sz w:val="20"/>
              </w:rPr>
              <w:t>"In a case where questioning encompasses different periods of questioning at different places, the phrases 'questioning at a place' and 'the questioning' in s.464H(1)(d) refer not to the whole of the overall questioning but to the particular period of questioning in which the confession or admission was made."</w:t>
            </w:r>
          </w:p>
          <w:p w14:paraId="109673CD" w14:textId="77777777" w:rsidR="00EE5134" w:rsidRDefault="00EE5134">
            <w:pPr>
              <w:jc w:val="center"/>
              <w:rPr>
                <w:rFonts w:ascii="Arial" w:hAnsi="Arial" w:cs="Arial"/>
                <w:b/>
                <w:bCs/>
                <w:sz w:val="20"/>
              </w:rPr>
            </w:pPr>
            <w:r>
              <w:rPr>
                <w:rFonts w:ascii="Arial" w:hAnsi="Arial" w:cs="Arial"/>
                <w:b/>
                <w:bCs/>
                <w:sz w:val="20"/>
              </w:rPr>
              <w:t xml:space="preserve">Toohey J </w:t>
            </w:r>
            <w:r w:rsidR="00BD3F4F">
              <w:rPr>
                <w:rFonts w:ascii="Arial" w:hAnsi="Arial" w:cs="Arial"/>
                <w:b/>
                <w:bCs/>
                <w:sz w:val="20"/>
              </w:rPr>
              <w:t>(</w:t>
            </w:r>
            <w:r>
              <w:rPr>
                <w:rFonts w:ascii="Arial" w:hAnsi="Arial" w:cs="Arial"/>
                <w:b/>
                <w:bCs/>
                <w:sz w:val="20"/>
              </w:rPr>
              <w:t>219</w:t>
            </w:r>
            <w:r w:rsidR="00BD3F4F">
              <w:rPr>
                <w:rFonts w:ascii="Arial" w:hAnsi="Arial" w:cs="Arial"/>
                <w:b/>
                <w:bCs/>
                <w:sz w:val="20"/>
              </w:rPr>
              <w:t>)</w:t>
            </w:r>
          </w:p>
          <w:p w14:paraId="76E546BA" w14:textId="77777777" w:rsidR="00EE5134" w:rsidRDefault="00EE5134">
            <w:pPr>
              <w:jc w:val="both"/>
              <w:rPr>
                <w:rFonts w:ascii="Arial" w:hAnsi="Arial" w:cs="Arial"/>
                <w:sz w:val="20"/>
              </w:rPr>
            </w:pPr>
            <w:r>
              <w:rPr>
                <w:rFonts w:ascii="Arial" w:hAnsi="Arial" w:cs="Arial"/>
                <w:sz w:val="20"/>
              </w:rPr>
              <w:t>An earlier occasion of questioning may be treated by the Court as part of the same questioning for the purposes of s.464H(1) if circumstances, in particular proximity of time and place, so dictate.</w:t>
            </w:r>
          </w:p>
          <w:p w14:paraId="54D743CE" w14:textId="77777777" w:rsidR="00EE5134" w:rsidRDefault="00BD3F4F">
            <w:pPr>
              <w:jc w:val="center"/>
              <w:rPr>
                <w:rFonts w:ascii="Arial" w:hAnsi="Arial" w:cs="Arial"/>
                <w:b/>
                <w:bCs/>
                <w:sz w:val="20"/>
              </w:rPr>
            </w:pPr>
            <w:r>
              <w:rPr>
                <w:rFonts w:ascii="Arial" w:hAnsi="Arial" w:cs="Arial"/>
                <w:b/>
                <w:bCs/>
                <w:sz w:val="20"/>
              </w:rPr>
              <w:t>McHugh J (22</w:t>
            </w:r>
            <w:r w:rsidR="00EE5134">
              <w:rPr>
                <w:rFonts w:ascii="Arial" w:hAnsi="Arial" w:cs="Arial"/>
                <w:b/>
                <w:bCs/>
                <w:sz w:val="20"/>
              </w:rPr>
              <w:t>6-229</w:t>
            </w:r>
            <w:r>
              <w:rPr>
                <w:rFonts w:ascii="Arial" w:hAnsi="Arial" w:cs="Arial"/>
                <w:b/>
                <w:bCs/>
                <w:sz w:val="20"/>
              </w:rPr>
              <w:t>)</w:t>
            </w:r>
          </w:p>
          <w:p w14:paraId="615127F3" w14:textId="77777777" w:rsidR="00EE5134" w:rsidRDefault="00EE5134">
            <w:pPr>
              <w:jc w:val="both"/>
              <w:rPr>
                <w:rFonts w:ascii="Arial" w:hAnsi="Arial" w:cs="Arial"/>
                <w:sz w:val="20"/>
              </w:rPr>
            </w:pPr>
            <w:r>
              <w:rPr>
                <w:rFonts w:ascii="Arial" w:hAnsi="Arial" w:cs="Arial"/>
                <w:sz w:val="20"/>
              </w:rPr>
              <w:t>Construed s.464H in the same manner as did Mason CJ &amp; Deane J.</w:t>
            </w:r>
          </w:p>
        </w:tc>
      </w:tr>
      <w:tr w:rsidR="00EE5134" w14:paraId="34A4FE11" w14:textId="77777777" w:rsidTr="00E6133F">
        <w:trPr>
          <w:cantSplit/>
          <w:trHeight w:val="240"/>
        </w:trPr>
        <w:tc>
          <w:tcPr>
            <w:tcW w:w="472" w:type="dxa"/>
            <w:vMerge w:val="restart"/>
            <w:tcBorders>
              <w:top w:val="single" w:sz="18" w:space="0" w:color="auto"/>
            </w:tcBorders>
          </w:tcPr>
          <w:p w14:paraId="3B3D9948" w14:textId="77777777" w:rsidR="00EE5134" w:rsidRDefault="00EE5134" w:rsidP="006C3F45">
            <w:pPr>
              <w:keepNext/>
              <w:keepLines/>
              <w:jc w:val="center"/>
              <w:rPr>
                <w:rFonts w:ascii="Arial" w:hAnsi="Arial" w:cs="Arial"/>
                <w:sz w:val="20"/>
              </w:rPr>
            </w:pPr>
            <w:r>
              <w:rPr>
                <w:rFonts w:ascii="Arial" w:hAnsi="Arial" w:cs="Arial"/>
                <w:sz w:val="20"/>
              </w:rPr>
              <w:t>4b</w:t>
            </w:r>
          </w:p>
        </w:tc>
        <w:tc>
          <w:tcPr>
            <w:tcW w:w="8359" w:type="dxa"/>
            <w:gridSpan w:val="3"/>
            <w:tcBorders>
              <w:top w:val="single" w:sz="18" w:space="0" w:color="auto"/>
              <w:bottom w:val="single" w:sz="4" w:space="0" w:color="auto"/>
            </w:tcBorders>
          </w:tcPr>
          <w:p w14:paraId="452E33AD" w14:textId="77777777" w:rsidR="00EE5134" w:rsidRPr="008A7AD6" w:rsidRDefault="00EE5134">
            <w:pPr>
              <w:jc w:val="center"/>
              <w:rPr>
                <w:rFonts w:ascii="Arial" w:hAnsi="Arial" w:cs="Arial"/>
                <w:b/>
                <w:bCs/>
                <w:sz w:val="20"/>
                <w:bdr w:val="single" w:sz="4" w:space="0" w:color="auto"/>
                <w:shd w:val="pct10" w:color="auto" w:fill="auto"/>
              </w:rPr>
            </w:pPr>
            <w:r w:rsidRPr="008A7AD6">
              <w:rPr>
                <w:rFonts w:ascii="Arial" w:hAnsi="Arial" w:cs="Arial"/>
                <w:b/>
                <w:bCs/>
                <w:sz w:val="20"/>
                <w:bdr w:val="single" w:sz="4" w:space="0" w:color="auto"/>
                <w:shd w:val="pct10" w:color="auto" w:fill="auto"/>
              </w:rPr>
              <w:t>MINORITY OPINION</w:t>
            </w:r>
          </w:p>
          <w:p w14:paraId="188154F5" w14:textId="77777777" w:rsidR="00EE5134" w:rsidRDefault="00EE5134">
            <w:pPr>
              <w:jc w:val="both"/>
              <w:rPr>
                <w:rFonts w:ascii="Arial" w:hAnsi="Arial" w:cs="Arial"/>
                <w:sz w:val="20"/>
                <w:u w:val="single"/>
              </w:rPr>
            </w:pPr>
            <w:r>
              <w:rPr>
                <w:rFonts w:ascii="Arial" w:hAnsi="Arial" w:cs="Arial"/>
                <w:sz w:val="20"/>
              </w:rPr>
              <w:t xml:space="preserve">The videotape of the interview at </w:t>
            </w:r>
            <w:smartTag w:uri="urn:schemas-microsoft-com:office:smarttags" w:element="Street">
              <w:smartTag w:uri="urn:schemas-microsoft-com:office:smarttags" w:element="address">
                <w:r>
                  <w:rPr>
                    <w:rFonts w:ascii="Arial" w:hAnsi="Arial" w:cs="Arial"/>
                    <w:sz w:val="20"/>
                  </w:rPr>
                  <w:t>St Kilda Rd</w:t>
                </w:r>
              </w:smartTag>
            </w:smartTag>
            <w:r>
              <w:rPr>
                <w:rFonts w:ascii="Arial" w:hAnsi="Arial" w:cs="Arial"/>
                <w:sz w:val="20"/>
              </w:rPr>
              <w:t xml:space="preserve"> was rendered inadmissible by s.464H.</w:t>
            </w:r>
          </w:p>
        </w:tc>
      </w:tr>
      <w:tr w:rsidR="00EE5134" w14:paraId="6E7D7ADD" w14:textId="77777777" w:rsidTr="00E6133F">
        <w:trPr>
          <w:cantSplit/>
          <w:trHeight w:val="240"/>
        </w:trPr>
        <w:tc>
          <w:tcPr>
            <w:tcW w:w="472" w:type="dxa"/>
            <w:vMerge/>
            <w:tcBorders>
              <w:bottom w:val="single" w:sz="18" w:space="0" w:color="auto"/>
            </w:tcBorders>
          </w:tcPr>
          <w:p w14:paraId="38B39B75" w14:textId="77777777" w:rsidR="00EE5134" w:rsidRDefault="00EE5134">
            <w:pPr>
              <w:jc w:val="center"/>
              <w:rPr>
                <w:rFonts w:ascii="Arial" w:hAnsi="Arial" w:cs="Arial"/>
                <w:sz w:val="20"/>
              </w:rPr>
            </w:pPr>
          </w:p>
        </w:tc>
        <w:tc>
          <w:tcPr>
            <w:tcW w:w="8359" w:type="dxa"/>
            <w:gridSpan w:val="3"/>
            <w:tcBorders>
              <w:top w:val="single" w:sz="4" w:space="0" w:color="auto"/>
              <w:bottom w:val="single" w:sz="18" w:space="0" w:color="auto"/>
            </w:tcBorders>
          </w:tcPr>
          <w:p w14:paraId="5D5FA3B4" w14:textId="77777777" w:rsidR="00EE5134" w:rsidRDefault="00EE5134">
            <w:pPr>
              <w:jc w:val="center"/>
              <w:rPr>
                <w:rFonts w:ascii="Arial" w:hAnsi="Arial" w:cs="Arial"/>
                <w:b/>
                <w:bCs/>
                <w:sz w:val="20"/>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194-195</w:t>
            </w:r>
            <w:r w:rsidR="00BD3F4F">
              <w:rPr>
                <w:rFonts w:ascii="Arial" w:hAnsi="Arial" w:cs="Arial"/>
                <w:b/>
                <w:bCs/>
                <w:sz w:val="20"/>
              </w:rPr>
              <w:t>)</w:t>
            </w:r>
          </w:p>
          <w:p w14:paraId="3918262E" w14:textId="77777777" w:rsidR="00EE5134" w:rsidRDefault="00EE5134">
            <w:pPr>
              <w:jc w:val="both"/>
              <w:rPr>
                <w:rFonts w:ascii="Arial" w:hAnsi="Arial" w:cs="Arial"/>
                <w:sz w:val="20"/>
              </w:rPr>
            </w:pPr>
            <w:r>
              <w:rPr>
                <w:rFonts w:ascii="Arial" w:hAnsi="Arial" w:cs="Arial"/>
                <w:sz w:val="20"/>
              </w:rPr>
              <w:t>"[O]nce it is recognized that s.464H contemplates, as it does, the one questioning commencing at a particular point of time and possibly continuing at different times and places, the admissions made at St Kilda Road were part of the questioning which commenced at Frankston, continued in the car and concluded at St Kilda Road…Since neither that portion of the questioning which occurred at Frankston nor that in the car on the way to St Kilda Road was tape-recorded, evidence of the admissions made at St Kilda Road was not admissible, notwithstanding the fact that the questioning which took place at St Kilda Road was video recorded.  The result is…required by the structure and language of sub-div (30A), in particular s.464H.  And as already indicated, it also accords with one of the main purposes for which the legislation was enacted…If evidence of a confession or admission made during a tape-recorded interview at one police station were admissible under s.464H even when it was preceded by an interview at another police station which was not tape-recorded, a principal object of the legislation would be likely to be largely defeated."</w:t>
            </w:r>
          </w:p>
        </w:tc>
      </w:tr>
    </w:tbl>
    <w:p w14:paraId="5EDF6D6A" w14:textId="77777777" w:rsidR="00EE5134" w:rsidRDefault="00EE5134">
      <w:pPr>
        <w:jc w:val="both"/>
        <w:rPr>
          <w:rFonts w:ascii="Arial" w:hAnsi="Arial" w:cs="Arial"/>
          <w:sz w:val="20"/>
        </w:rPr>
      </w:pPr>
    </w:p>
    <w:p w14:paraId="3C756289" w14:textId="77777777" w:rsidR="00BD3F4F" w:rsidRDefault="00BD3F4F">
      <w:pPr>
        <w:jc w:val="both"/>
        <w:rPr>
          <w:rFonts w:ascii="Arial" w:hAnsi="Arial" w:cs="Arial"/>
          <w:sz w:val="20"/>
        </w:rPr>
      </w:pPr>
      <w:r>
        <w:rPr>
          <w:rFonts w:ascii="Arial" w:hAnsi="Arial" w:cs="Arial"/>
          <w:sz w:val="20"/>
        </w:rPr>
        <w:t xml:space="preserve">In </w:t>
      </w:r>
      <w:r w:rsidRPr="004B3986">
        <w:rPr>
          <w:rFonts w:ascii="Arial" w:hAnsi="Arial" w:cs="Arial"/>
          <w:i/>
          <w:sz w:val="20"/>
        </w:rPr>
        <w:t>R v Thomas</w:t>
      </w:r>
      <w:r>
        <w:rPr>
          <w:rFonts w:ascii="Arial" w:hAnsi="Arial" w:cs="Arial"/>
          <w:sz w:val="20"/>
        </w:rPr>
        <w:t xml:space="preserve"> [2006] VSCA 165 at [113]-[114] the Court of Appeal (Maxwell P, Buchanan &amp; Vincent JJA) respectfully adopted dicta of McHugh J (236) &amp; Deane J (202-203)</w:t>
      </w:r>
      <w:r w:rsidR="000E5A20">
        <w:rPr>
          <w:rFonts w:ascii="Arial" w:hAnsi="Arial" w:cs="Arial"/>
          <w:sz w:val="20"/>
        </w:rPr>
        <w:t xml:space="preserve"> in </w:t>
      </w:r>
      <w:r w:rsidR="000E5A20" w:rsidRPr="000E5A20">
        <w:rPr>
          <w:rFonts w:ascii="Arial" w:hAnsi="Arial" w:cs="Arial"/>
          <w:i/>
          <w:sz w:val="20"/>
        </w:rPr>
        <w:t>Pollard v R</w:t>
      </w:r>
      <w:r>
        <w:rPr>
          <w:rFonts w:ascii="Arial" w:hAnsi="Arial" w:cs="Arial"/>
          <w:sz w:val="20"/>
        </w:rPr>
        <w:t xml:space="preserve">, holding that what their Honours said in relation to s.464C(1) of the Crimes Act 1958 (Vic) applied with equal force to the practically identical s.23G(1) of the </w:t>
      </w:r>
      <w:r w:rsidR="000E5A20">
        <w:rPr>
          <w:rFonts w:ascii="Arial" w:hAnsi="Arial" w:cs="Arial"/>
          <w:sz w:val="20"/>
        </w:rPr>
        <w:t>Crimes Act 1914 (Cth).</w:t>
      </w:r>
    </w:p>
    <w:p w14:paraId="7E51F23D" w14:textId="77777777" w:rsidR="00BD3F4F" w:rsidRDefault="00BD3F4F">
      <w:pPr>
        <w:jc w:val="both"/>
        <w:rPr>
          <w:rFonts w:ascii="Arial" w:hAnsi="Arial" w:cs="Arial"/>
          <w:sz w:val="20"/>
        </w:rPr>
      </w:pPr>
    </w:p>
    <w:p w14:paraId="28C71183" w14:textId="77777777" w:rsidR="00EE5134" w:rsidRDefault="00EE5134">
      <w:pPr>
        <w:pBdr>
          <w:top w:val="single" w:sz="4" w:space="1" w:color="auto"/>
          <w:left w:val="single" w:sz="4" w:space="4" w:color="auto"/>
          <w:bottom w:val="single" w:sz="4" w:space="1" w:color="auto"/>
          <w:right w:val="single" w:sz="4" w:space="4" w:color="auto"/>
        </w:pBdr>
        <w:shd w:val="pct10" w:color="auto" w:fill="auto"/>
        <w:jc w:val="center"/>
        <w:rPr>
          <w:rFonts w:ascii="Arial" w:hAnsi="Arial" w:cs="Arial"/>
          <w:sz w:val="20"/>
        </w:rPr>
      </w:pPr>
      <w:r>
        <w:rPr>
          <w:rFonts w:ascii="Arial" w:hAnsi="Arial" w:cs="Arial"/>
          <w:sz w:val="20"/>
        </w:rPr>
        <w:t xml:space="preserve">See also the decisions of the High Court in </w:t>
      </w:r>
      <w:r>
        <w:rPr>
          <w:rFonts w:ascii="Arial" w:hAnsi="Arial" w:cs="Arial"/>
          <w:i/>
          <w:iCs/>
          <w:sz w:val="20"/>
        </w:rPr>
        <w:t>Heatherington v R</w:t>
      </w:r>
      <w:r>
        <w:rPr>
          <w:rFonts w:ascii="Arial" w:hAnsi="Arial" w:cs="Arial"/>
          <w:sz w:val="20"/>
        </w:rPr>
        <w:t xml:space="preserve"> (1994) 179 CLR 370 in relation to the Victorian legislation and</w:t>
      </w:r>
      <w:r>
        <w:rPr>
          <w:rFonts w:ascii="Arial" w:hAnsi="Arial" w:cs="Arial"/>
          <w:i/>
          <w:iCs/>
          <w:sz w:val="20"/>
        </w:rPr>
        <w:t xml:space="preserve"> Kelly</w:t>
      </w:r>
      <w:r>
        <w:rPr>
          <w:rFonts w:ascii="Arial" w:hAnsi="Arial" w:cs="Arial"/>
          <w:sz w:val="20"/>
        </w:rPr>
        <w:t xml:space="preserve"> </w:t>
      </w:r>
      <w:r>
        <w:rPr>
          <w:rFonts w:ascii="Arial" w:hAnsi="Arial" w:cs="Arial"/>
          <w:i/>
          <w:iCs/>
          <w:sz w:val="20"/>
        </w:rPr>
        <w:t>v The Queen</w:t>
      </w:r>
      <w:r>
        <w:rPr>
          <w:rFonts w:ascii="Arial" w:hAnsi="Arial" w:cs="Arial"/>
          <w:sz w:val="20"/>
        </w:rPr>
        <w:t xml:space="preserve"> [2004] HCA 12 in relation to similar Tasmanian legislation. </w:t>
      </w:r>
    </w:p>
    <w:p w14:paraId="77F79219" w14:textId="77777777" w:rsidR="00EE5134" w:rsidRDefault="00EE5134">
      <w:pPr>
        <w:jc w:val="both"/>
        <w:rPr>
          <w:rFonts w:ascii="Arial" w:hAnsi="Arial" w:cs="Arial"/>
          <w:sz w:val="20"/>
        </w:rPr>
      </w:pPr>
      <w:bookmarkStart w:id="319" w:name="_Toc58901939"/>
    </w:p>
    <w:p w14:paraId="6FACBC2B" w14:textId="77777777" w:rsidR="00EE5134" w:rsidRDefault="00EE5134">
      <w:pPr>
        <w:pStyle w:val="Heading3"/>
        <w:keepNext/>
        <w:spacing w:after="80" w:line="240" w:lineRule="auto"/>
        <w:rPr>
          <w:rFonts w:ascii="Arial" w:hAnsi="Arial" w:cs="Arial"/>
          <w:b/>
          <w:bCs/>
          <w:sz w:val="20"/>
        </w:rPr>
      </w:pPr>
      <w:bookmarkStart w:id="320" w:name="_8.2.12_Unfairness_&amp;"/>
      <w:bookmarkEnd w:id="320"/>
      <w:r>
        <w:rPr>
          <w:rFonts w:ascii="Arial" w:hAnsi="Arial" w:cs="Arial"/>
          <w:b/>
          <w:bCs/>
          <w:sz w:val="20"/>
        </w:rPr>
        <w:t>8.2.12</w:t>
      </w:r>
      <w:r>
        <w:rPr>
          <w:rFonts w:ascii="Arial" w:hAnsi="Arial" w:cs="Arial"/>
          <w:b/>
          <w:bCs/>
          <w:sz w:val="20"/>
        </w:rPr>
        <w:tab/>
        <w:t>Unfairness &amp; public policy in absence of direct illegality</w:t>
      </w:r>
      <w:bookmarkEnd w:id="319"/>
    </w:p>
    <w:p w14:paraId="50BBBDD3"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KS &amp; Anor.</w:t>
      </w:r>
      <w:r>
        <w:rPr>
          <w:rFonts w:ascii="Arial" w:hAnsi="Arial" w:cs="Arial"/>
          <w:sz w:val="20"/>
        </w:rPr>
        <w:t xml:space="preserve"> [2003] VSC 418, KS was a 15 year old youth who - pursuant to an order of the Children's Court under s.464B Crimes Act 1958 - was interviewed by Homicide Squad members about the death of his mother's boyfriend.  He made a "no comment" record of interview and was thereafter charged with murder.  In this process there had been no illegality.  Subsequently a justice of the Supreme Court issued a warrant authorizing the placement of a listening device in KS' room and another inmate KW was deliberately placed in the same room in order to stimulate conversation with KS.  There was no illegality in this process.  In a subsequently recorded conversation KS made admissions.  These were not involuntary in the legal sense.</w:t>
      </w:r>
    </w:p>
    <w:p w14:paraId="4D6E1966" w14:textId="77777777" w:rsidR="00EE5134" w:rsidRDefault="00EE5134">
      <w:pPr>
        <w:jc w:val="both"/>
        <w:rPr>
          <w:rFonts w:ascii="Arial" w:hAnsi="Arial" w:cs="Arial"/>
          <w:sz w:val="20"/>
        </w:rPr>
      </w:pPr>
    </w:p>
    <w:p w14:paraId="13D13E6A" w14:textId="77777777" w:rsidR="00EE5134" w:rsidRDefault="00EE5134" w:rsidP="00AF57FD">
      <w:pPr>
        <w:keepNext/>
        <w:keepLines/>
        <w:jc w:val="both"/>
        <w:rPr>
          <w:rFonts w:ascii="Arial" w:hAnsi="Arial" w:cs="Arial"/>
          <w:sz w:val="20"/>
        </w:rPr>
      </w:pPr>
      <w:r>
        <w:rPr>
          <w:rFonts w:ascii="Arial" w:hAnsi="Arial" w:cs="Arial"/>
          <w:sz w:val="20"/>
        </w:rPr>
        <w:t>Counsel for KS submitted that the conversation should be excluded on two grounds:</w:t>
      </w:r>
    </w:p>
    <w:p w14:paraId="5D54329C" w14:textId="77777777" w:rsidR="00EE5134" w:rsidRDefault="00EE5134">
      <w:pPr>
        <w:tabs>
          <w:tab w:val="left" w:pos="363"/>
        </w:tabs>
        <w:ind w:left="363" w:hanging="363"/>
        <w:jc w:val="both"/>
        <w:rPr>
          <w:rFonts w:ascii="Arial" w:hAnsi="Arial" w:cs="Arial"/>
          <w:sz w:val="20"/>
        </w:rPr>
      </w:pPr>
      <w:r>
        <w:rPr>
          <w:rFonts w:ascii="Arial" w:hAnsi="Arial" w:cs="Arial"/>
          <w:sz w:val="20"/>
        </w:rPr>
        <w:sym w:font="Wingdings" w:char="F08C"/>
      </w:r>
      <w:r>
        <w:rPr>
          <w:rFonts w:ascii="Arial" w:hAnsi="Arial" w:cs="Arial"/>
          <w:sz w:val="20"/>
        </w:rPr>
        <w:tab/>
        <w:t xml:space="preserve">the </w:t>
      </w:r>
      <w:r>
        <w:rPr>
          <w:rFonts w:ascii="Arial" w:hAnsi="Arial" w:cs="Arial"/>
          <w:b/>
          <w:bCs/>
          <w:sz w:val="20"/>
        </w:rPr>
        <w:t>unfairness</w:t>
      </w:r>
      <w:r>
        <w:rPr>
          <w:rFonts w:ascii="Arial" w:hAnsi="Arial" w:cs="Arial"/>
          <w:sz w:val="20"/>
        </w:rPr>
        <w:t xml:space="preserve"> deriving from a circumvention of KS' procedural rights, specifically his right to silence; and</w:t>
      </w:r>
    </w:p>
    <w:p w14:paraId="02267D2B" w14:textId="77777777" w:rsidR="00EE5134" w:rsidRDefault="00EE5134">
      <w:pPr>
        <w:tabs>
          <w:tab w:val="left" w:pos="363"/>
        </w:tabs>
        <w:ind w:left="363" w:hanging="363"/>
        <w:jc w:val="both"/>
        <w:rPr>
          <w:rFonts w:ascii="Arial" w:hAnsi="Arial" w:cs="Arial"/>
          <w:sz w:val="20"/>
        </w:rPr>
      </w:pPr>
      <w:r>
        <w:rPr>
          <w:rFonts w:ascii="Arial" w:hAnsi="Arial" w:cs="Arial"/>
          <w:sz w:val="20"/>
        </w:rPr>
        <w:sym w:font="Wingdings" w:char="F08D"/>
      </w:r>
      <w:r>
        <w:rPr>
          <w:rFonts w:ascii="Arial" w:hAnsi="Arial" w:cs="Arial"/>
          <w:sz w:val="20"/>
        </w:rPr>
        <w:tab/>
        <w:t xml:space="preserve">the use of a listening device in the custody centre and the placement by centre authorities of an inmate in KS' cell to facilitate the potential production of confessional material was contrary to </w:t>
      </w:r>
      <w:r>
        <w:rPr>
          <w:rFonts w:ascii="Arial" w:hAnsi="Arial" w:cs="Arial"/>
          <w:b/>
          <w:bCs/>
          <w:sz w:val="20"/>
        </w:rPr>
        <w:t>public policy</w:t>
      </w:r>
      <w:r>
        <w:rPr>
          <w:rFonts w:ascii="Arial" w:hAnsi="Arial" w:cs="Arial"/>
          <w:sz w:val="20"/>
        </w:rPr>
        <w:t>.</w:t>
      </w:r>
    </w:p>
    <w:p w14:paraId="199C7CB7" w14:textId="77777777" w:rsidR="00EE5134" w:rsidRDefault="00EE5134">
      <w:pPr>
        <w:jc w:val="both"/>
        <w:rPr>
          <w:rFonts w:ascii="Arial" w:hAnsi="Arial" w:cs="Arial"/>
          <w:sz w:val="20"/>
        </w:rPr>
      </w:pPr>
    </w:p>
    <w:p w14:paraId="236944C3" w14:textId="77777777" w:rsidR="00EE5134" w:rsidRDefault="00EE5134">
      <w:pPr>
        <w:jc w:val="both"/>
        <w:rPr>
          <w:rFonts w:ascii="Arial" w:hAnsi="Arial" w:cs="Arial"/>
          <w:sz w:val="20"/>
        </w:rPr>
      </w:pPr>
      <w:r>
        <w:rPr>
          <w:rFonts w:ascii="Arial" w:hAnsi="Arial" w:cs="Arial"/>
          <w:sz w:val="20"/>
        </w:rPr>
        <w:t>Coldrey J agreed and excluded the conversation from evidence in an exercise of both the fairness and public policy discretions.  This being the first case in Victoria which has raised the relationship between the use of listening devices and an accused's right to silence and the first case in which a listening device had been placed inside a Juvenile Justice Centre, His Honour's reasons have been quoted in some detail:</w:t>
      </w:r>
    </w:p>
    <w:p w14:paraId="187FB3E0" w14:textId="2BFBBCD3" w:rsidR="00EE5134" w:rsidRDefault="00EE5134">
      <w:pPr>
        <w:tabs>
          <w:tab w:val="left" w:pos="363"/>
        </w:tabs>
        <w:spacing w:before="80"/>
        <w:ind w:left="567" w:right="567"/>
        <w:jc w:val="both"/>
        <w:rPr>
          <w:rFonts w:ascii="Arial" w:hAnsi="Arial" w:cs="Arial"/>
          <w:sz w:val="20"/>
        </w:rPr>
      </w:pPr>
      <w:r>
        <w:rPr>
          <w:rFonts w:ascii="Arial" w:hAnsi="Arial" w:cs="Arial"/>
          <w:sz w:val="20"/>
        </w:rPr>
        <w:lastRenderedPageBreak/>
        <w:t>[26]</w:t>
      </w:r>
      <w:r w:rsidR="008A7AD6">
        <w:rPr>
          <w:rFonts w:ascii="Arial" w:hAnsi="Arial" w:cs="Arial"/>
          <w:sz w:val="20"/>
        </w:rPr>
        <w:t xml:space="preserve"> </w:t>
      </w:r>
      <w:r>
        <w:rPr>
          <w:rFonts w:ascii="Arial" w:hAnsi="Arial" w:cs="Arial"/>
          <w:sz w:val="20"/>
        </w:rPr>
        <w:t>"There are now an increasing number of cases relating to the eliciting of admissions or confessions from accused persons by the use of agents acting on behalf of the police or indeed undercover police officers. Many have considered the question of whether evidence garnered in this fashion infringes the requirements of s.464 ff. of the Act and, if so, whether the fairness and public policy discretions are thereby enlivened.</w:t>
      </w:r>
    </w:p>
    <w:p w14:paraId="76245357" w14:textId="380EA407" w:rsidR="00EE5134" w:rsidRDefault="00EE5134">
      <w:pPr>
        <w:tabs>
          <w:tab w:val="left" w:pos="363"/>
        </w:tabs>
        <w:spacing w:before="80"/>
        <w:ind w:left="567" w:right="567"/>
        <w:jc w:val="both"/>
        <w:rPr>
          <w:rFonts w:ascii="Arial" w:hAnsi="Arial" w:cs="Arial"/>
          <w:sz w:val="20"/>
        </w:rPr>
      </w:pPr>
      <w:r>
        <w:rPr>
          <w:rFonts w:ascii="Arial" w:hAnsi="Arial" w:cs="Arial"/>
          <w:sz w:val="20"/>
        </w:rPr>
        <w:t>[27]</w:t>
      </w:r>
      <w:r w:rsidR="008A7AD6">
        <w:rPr>
          <w:rFonts w:ascii="Arial" w:hAnsi="Arial" w:cs="Arial"/>
          <w:sz w:val="20"/>
        </w:rPr>
        <w:t xml:space="preserve"> </w:t>
      </w:r>
      <w:r>
        <w:rPr>
          <w:rFonts w:ascii="Arial" w:hAnsi="Arial" w:cs="Arial"/>
          <w:sz w:val="20"/>
        </w:rPr>
        <w:t>It is abundantly clear that each case turns on its individual facts and fine distinctions and questions of degree abound.  However, among the propositions which emerge are the following.  The fact that an accused has given a “no comment” record of interview does not, of itself, provide a reason for ruling inadmissible subsequent admissions elicited by a third party (</w:t>
      </w:r>
      <w:r>
        <w:rPr>
          <w:rFonts w:ascii="Arial" w:hAnsi="Arial" w:cs="Arial"/>
          <w:i/>
          <w:iCs/>
          <w:sz w:val="20"/>
        </w:rPr>
        <w:t>R v Swaffield and Pavic</w:t>
      </w:r>
      <w:r>
        <w:rPr>
          <w:rFonts w:ascii="Arial" w:hAnsi="Arial" w:cs="Arial"/>
          <w:sz w:val="20"/>
        </w:rPr>
        <w:t xml:space="preserve"> (1998) 192 CLR 159); nor does the fact that the accused was in custody at the time that such admission were made necessarily render them inadmissible (</w:t>
      </w:r>
      <w:r>
        <w:rPr>
          <w:rFonts w:ascii="Arial" w:hAnsi="Arial" w:cs="Arial"/>
          <w:i/>
          <w:iCs/>
          <w:sz w:val="20"/>
        </w:rPr>
        <w:t>R v Davidson</w:t>
      </w:r>
      <w:r>
        <w:rPr>
          <w:rFonts w:ascii="Arial" w:hAnsi="Arial" w:cs="Arial"/>
          <w:sz w:val="20"/>
        </w:rPr>
        <w:t xml:space="preserve"> (1996) 92 A Crim R 1; </w:t>
      </w:r>
      <w:r>
        <w:rPr>
          <w:rFonts w:ascii="Arial" w:hAnsi="Arial" w:cs="Arial"/>
          <w:i/>
          <w:iCs/>
          <w:sz w:val="20"/>
        </w:rPr>
        <w:t xml:space="preserve">R v Lewis </w:t>
      </w:r>
      <w:r>
        <w:rPr>
          <w:rFonts w:ascii="Arial" w:hAnsi="Arial" w:cs="Arial"/>
          <w:sz w:val="20"/>
        </w:rPr>
        <w:t xml:space="preserve">(2000) 1 VR 290; </w:t>
      </w:r>
      <w:r>
        <w:rPr>
          <w:rFonts w:ascii="Arial" w:hAnsi="Arial" w:cs="Arial"/>
          <w:i/>
          <w:iCs/>
          <w:sz w:val="20"/>
        </w:rPr>
        <w:t>R v Franklin</w:t>
      </w:r>
      <w:r>
        <w:rPr>
          <w:rFonts w:ascii="Arial" w:hAnsi="Arial" w:cs="Arial"/>
          <w:sz w:val="20"/>
        </w:rPr>
        <w:t xml:space="preserve"> (2001) 3 VR 9), although it may result in exclusion depending upon the circumstances (</w:t>
      </w:r>
      <w:r>
        <w:rPr>
          <w:rFonts w:ascii="Arial" w:hAnsi="Arial" w:cs="Arial"/>
          <w:i/>
          <w:sz w:val="20"/>
        </w:rPr>
        <w:t>R v Pfennig (No.1)</w:t>
      </w:r>
      <w:r>
        <w:rPr>
          <w:rFonts w:ascii="Arial" w:hAnsi="Arial" w:cs="Arial"/>
          <w:sz w:val="20"/>
        </w:rPr>
        <w:t xml:space="preserve"> (1992) 57 SASR 507; </w:t>
      </w:r>
      <w:r>
        <w:rPr>
          <w:rFonts w:ascii="Arial" w:hAnsi="Arial" w:cs="Arial"/>
          <w:i/>
          <w:sz w:val="20"/>
        </w:rPr>
        <w:t xml:space="preserve">R v Smith and Turner </w:t>
      </w:r>
      <w:r>
        <w:rPr>
          <w:rFonts w:ascii="Arial" w:hAnsi="Arial" w:cs="Arial"/>
          <w:sz w:val="20"/>
        </w:rPr>
        <w:t xml:space="preserve">(1994) 63 SASR 123; </w:t>
      </w:r>
      <w:r>
        <w:rPr>
          <w:rFonts w:ascii="Arial" w:hAnsi="Arial" w:cs="Arial"/>
          <w:i/>
          <w:sz w:val="20"/>
        </w:rPr>
        <w:t>R v Roba</w:t>
      </w:r>
      <w:r>
        <w:rPr>
          <w:rFonts w:ascii="Arial" w:hAnsi="Arial" w:cs="Arial"/>
          <w:sz w:val="20"/>
        </w:rPr>
        <w:t xml:space="preserve"> (2000) 110 A Crim R 245; </w:t>
      </w:r>
      <w:r>
        <w:rPr>
          <w:rFonts w:ascii="Arial" w:hAnsi="Arial" w:cs="Arial"/>
          <w:i/>
          <w:sz w:val="20"/>
        </w:rPr>
        <w:t>R v Dewhurst</w:t>
      </w:r>
      <w:r>
        <w:rPr>
          <w:rFonts w:ascii="Arial" w:hAnsi="Arial" w:cs="Arial"/>
          <w:sz w:val="20"/>
        </w:rPr>
        <w:t xml:space="preserve"> (2001) 122 A Crim R 403; </w:t>
      </w:r>
      <w:r>
        <w:rPr>
          <w:rFonts w:ascii="Arial" w:hAnsi="Arial" w:cs="Arial"/>
          <w:i/>
          <w:sz w:val="20"/>
        </w:rPr>
        <w:t>R v Juric</w:t>
      </w:r>
      <w:r>
        <w:rPr>
          <w:rFonts w:ascii="Arial" w:hAnsi="Arial" w:cs="Arial"/>
          <w:sz w:val="20"/>
        </w:rPr>
        <w:t xml:space="preserve"> (2002) 4 VR 411).</w:t>
      </w:r>
    </w:p>
    <w:p w14:paraId="6A9E2EEF" w14:textId="2C52251F" w:rsidR="00EE5134" w:rsidRDefault="00EE5134">
      <w:pPr>
        <w:tabs>
          <w:tab w:val="left" w:pos="363"/>
        </w:tabs>
        <w:spacing w:before="80"/>
        <w:ind w:left="567" w:right="567"/>
        <w:jc w:val="both"/>
        <w:rPr>
          <w:rFonts w:ascii="Arial" w:hAnsi="Arial" w:cs="Arial"/>
          <w:sz w:val="20"/>
        </w:rPr>
      </w:pPr>
      <w:r>
        <w:rPr>
          <w:rFonts w:ascii="Arial" w:hAnsi="Arial" w:cs="Arial"/>
          <w:sz w:val="20"/>
        </w:rPr>
        <w:t>[28]</w:t>
      </w:r>
      <w:r w:rsidR="008A7AD6">
        <w:rPr>
          <w:rFonts w:ascii="Arial" w:hAnsi="Arial" w:cs="Arial"/>
          <w:sz w:val="20"/>
        </w:rPr>
        <w:t xml:space="preserve"> </w:t>
      </w:r>
      <w:r>
        <w:rPr>
          <w:rFonts w:ascii="Arial" w:hAnsi="Arial" w:cs="Arial"/>
          <w:sz w:val="20"/>
        </w:rPr>
        <w:t>Further, the investigation or indeed the gathering of evidence of criminal activity is not embargoed once a charge has been laid.  If this was so, gaol yard confessions, not all of which are unreliable, would never be permitted to be adduced in evidence by the Crown…</w:t>
      </w:r>
    </w:p>
    <w:p w14:paraId="517B6A41" w14:textId="1501F389" w:rsidR="00EE5134" w:rsidRDefault="00EE5134">
      <w:pPr>
        <w:tabs>
          <w:tab w:val="left" w:pos="363"/>
        </w:tabs>
        <w:spacing w:before="80"/>
        <w:ind w:left="567" w:right="567"/>
        <w:jc w:val="both"/>
        <w:rPr>
          <w:rFonts w:ascii="Arial" w:hAnsi="Arial" w:cs="Arial"/>
          <w:sz w:val="20"/>
        </w:rPr>
      </w:pPr>
      <w:r>
        <w:rPr>
          <w:rFonts w:ascii="Arial" w:hAnsi="Arial" w:cs="Arial"/>
          <w:sz w:val="20"/>
        </w:rPr>
        <w:t>[34]</w:t>
      </w:r>
      <w:r w:rsidR="008A7AD6">
        <w:rPr>
          <w:rFonts w:ascii="Arial" w:hAnsi="Arial" w:cs="Arial"/>
          <w:sz w:val="20"/>
        </w:rPr>
        <w:t xml:space="preserve"> </w:t>
      </w:r>
      <w:r>
        <w:rPr>
          <w:rFonts w:ascii="Arial" w:hAnsi="Arial" w:cs="Arial"/>
          <w:sz w:val="20"/>
        </w:rPr>
        <w:t>In the circumstances of the present case, it cannot be argued that what the police investigators did in having a listening device installed was illegal.  Indeed, they had proceeded correctly in obtaining the warrant of a Supreme Court judge to do so.  The admissions themselves were not involuntary and on the evidence before this court, a finding cannot be made that they were obtained by any form of interrogation conducted at the behest of the investigating police…</w:t>
      </w:r>
    </w:p>
    <w:p w14:paraId="06A81AE1" w14:textId="229428A5" w:rsidR="00EE5134" w:rsidRDefault="00EE5134">
      <w:pPr>
        <w:tabs>
          <w:tab w:val="left" w:pos="363"/>
        </w:tabs>
        <w:spacing w:before="80"/>
        <w:ind w:left="567" w:right="567"/>
        <w:jc w:val="both"/>
        <w:rPr>
          <w:rFonts w:ascii="Arial" w:hAnsi="Arial" w:cs="Arial"/>
          <w:sz w:val="20"/>
        </w:rPr>
      </w:pPr>
      <w:r>
        <w:rPr>
          <w:rFonts w:ascii="Arial" w:hAnsi="Arial" w:cs="Arial"/>
          <w:sz w:val="20"/>
        </w:rPr>
        <w:t>[39]</w:t>
      </w:r>
      <w:r w:rsidR="008A7AD6">
        <w:rPr>
          <w:rFonts w:ascii="Arial" w:hAnsi="Arial" w:cs="Arial"/>
          <w:sz w:val="20"/>
        </w:rPr>
        <w:t xml:space="preserve"> </w:t>
      </w:r>
      <w:r>
        <w:rPr>
          <w:rFonts w:ascii="Arial" w:hAnsi="Arial" w:cs="Arial"/>
          <w:sz w:val="20"/>
        </w:rPr>
        <w:t xml:space="preserve">Both the legislature, (by the enactment of such provisions as s.464ff of the Act), and the Courts, have recognised that protection is to be accorded to juveniles who lack the maturity and judgement of adults.  These are qualities which might enable adults to remain silent about matters which are to their disadvantage.  </w:t>
      </w:r>
    </w:p>
    <w:p w14:paraId="7A1BE65A" w14:textId="684E3E0E" w:rsidR="00EE5134" w:rsidRDefault="00EE5134">
      <w:pPr>
        <w:tabs>
          <w:tab w:val="left" w:pos="363"/>
        </w:tabs>
        <w:spacing w:before="80"/>
        <w:ind w:left="567" w:right="567"/>
        <w:jc w:val="both"/>
        <w:rPr>
          <w:rFonts w:ascii="Arial" w:hAnsi="Arial" w:cs="Arial"/>
          <w:sz w:val="20"/>
        </w:rPr>
      </w:pPr>
      <w:r>
        <w:rPr>
          <w:rFonts w:ascii="Arial" w:hAnsi="Arial" w:cs="Arial"/>
          <w:sz w:val="20"/>
        </w:rPr>
        <w:t>[40]</w:t>
      </w:r>
      <w:r w:rsidR="008A7AD6">
        <w:rPr>
          <w:rFonts w:ascii="Arial" w:hAnsi="Arial" w:cs="Arial"/>
          <w:sz w:val="20"/>
        </w:rPr>
        <w:t xml:space="preserve"> </w:t>
      </w:r>
      <w:r>
        <w:rPr>
          <w:rFonts w:ascii="Arial" w:hAnsi="Arial" w:cs="Arial"/>
          <w:sz w:val="20"/>
        </w:rPr>
        <w:t>Having exercised his right to silence under the legislation, the accused may well have continued to do so had the authorities not required him to share his room with another inmate.  It is perhaps trite to observe that there will inevitably be great psychological pressure on an individual to talk to, and establish an accord with, inmates with whom that person is forced to co-exist within an institution.  That imperative is likely to increase if that inmate is one with whom a room must be shared.  These are psychological pressures to which a juvenile is likely to be particularly vulnerable.</w:t>
      </w:r>
    </w:p>
    <w:p w14:paraId="1B6108E1" w14:textId="15990CEC" w:rsidR="00EE5134" w:rsidRDefault="00EE5134">
      <w:pPr>
        <w:tabs>
          <w:tab w:val="left" w:pos="363"/>
        </w:tabs>
        <w:spacing w:before="80"/>
        <w:ind w:left="567" w:right="567"/>
        <w:jc w:val="both"/>
        <w:rPr>
          <w:rFonts w:ascii="Arial" w:hAnsi="Arial" w:cs="Arial"/>
          <w:sz w:val="20"/>
        </w:rPr>
      </w:pPr>
      <w:r>
        <w:rPr>
          <w:rFonts w:ascii="Arial" w:hAnsi="Arial" w:cs="Arial"/>
          <w:sz w:val="20"/>
        </w:rPr>
        <w:t>[41]</w:t>
      </w:r>
      <w:r w:rsidR="008A7AD6">
        <w:rPr>
          <w:rFonts w:ascii="Arial" w:hAnsi="Arial" w:cs="Arial"/>
          <w:sz w:val="20"/>
        </w:rPr>
        <w:t xml:space="preserve"> </w:t>
      </w:r>
      <w:r>
        <w:rPr>
          <w:rFonts w:ascii="Arial" w:hAnsi="Arial" w:cs="Arial"/>
          <w:sz w:val="20"/>
        </w:rPr>
        <w:t xml:space="preserve">In </w:t>
      </w:r>
      <w:r>
        <w:rPr>
          <w:rFonts w:ascii="Arial" w:hAnsi="Arial" w:cs="Arial"/>
          <w:i/>
          <w:sz w:val="20"/>
        </w:rPr>
        <w:t>R v Heaney and Welsh</w:t>
      </w:r>
      <w:r>
        <w:rPr>
          <w:rFonts w:ascii="Arial" w:hAnsi="Arial" w:cs="Arial"/>
          <w:sz w:val="20"/>
        </w:rPr>
        <w:t xml:space="preserve"> [1998] 4 VR 636, I endeavoured to analyse the current application of the fairness and public policy discretions.  I remarked (at p.644):</w:t>
      </w:r>
    </w:p>
    <w:p w14:paraId="749E4EB7" w14:textId="77777777" w:rsidR="00EE5134" w:rsidRPr="008A7AD6" w:rsidRDefault="00EE5134">
      <w:pPr>
        <w:tabs>
          <w:tab w:val="left" w:pos="363"/>
        </w:tabs>
        <w:spacing w:before="80"/>
        <w:ind w:left="1021" w:right="1021"/>
        <w:jc w:val="both"/>
        <w:rPr>
          <w:rFonts w:ascii="Arial" w:hAnsi="Arial" w:cs="Arial"/>
          <w:sz w:val="18"/>
          <w:szCs w:val="22"/>
        </w:rPr>
      </w:pPr>
      <w:r w:rsidRPr="008A7AD6">
        <w:rPr>
          <w:rFonts w:ascii="Arial" w:hAnsi="Arial" w:cs="Arial"/>
          <w:sz w:val="18"/>
          <w:szCs w:val="22"/>
        </w:rPr>
        <w:t>'Putting aside the issue of voluntariness, the current approach of the majority of the High Court to the exclusory discretions seems to be as follows.  The fairness discretion encompasses considerations of the effect of the conduct of law enforcement officers upon the reliability of the impugned material.  The term 'law enforcement officers' may be regarded as including persons acting as their agents.  The fairness discretion will also come into play where some impropriety by law enforcement officers or their agent has eroded the procedural rights if the accused, occasioning some forensic disadvantage.  Those procedural rights include the right to choose whether or not to speak to the police.  Importantly, the method of eliciting the admission or confession will clearly be relevant in determining whether or not it would be unfair to an accused to admit it into evidence.</w:t>
      </w:r>
    </w:p>
    <w:p w14:paraId="783EBE69" w14:textId="77777777" w:rsidR="00EE5134" w:rsidRPr="008A7AD6" w:rsidRDefault="00EE5134">
      <w:pPr>
        <w:tabs>
          <w:tab w:val="left" w:pos="363"/>
        </w:tabs>
        <w:spacing w:before="80"/>
        <w:ind w:left="1021" w:right="1021"/>
        <w:jc w:val="both"/>
        <w:rPr>
          <w:rFonts w:ascii="Arial" w:hAnsi="Arial" w:cs="Arial"/>
          <w:sz w:val="18"/>
          <w:szCs w:val="22"/>
        </w:rPr>
      </w:pPr>
      <w:r w:rsidRPr="008A7AD6">
        <w:rPr>
          <w:rFonts w:ascii="Arial" w:hAnsi="Arial" w:cs="Arial"/>
          <w:sz w:val="18"/>
          <w:szCs w:val="22"/>
        </w:rPr>
        <w:t>The discretion to exclude evidence on the grounds of public policy may be enlivened where no unfairness to the accused is occasioned, but nonetheless, the method by which the confessional evidence has been elicited is unacceptable in the light of prevailing community standards. This broad discretion will involve a balancing exercise.'</w:t>
      </w:r>
    </w:p>
    <w:p w14:paraId="1A1BACC5" w14:textId="67DEAF7A" w:rsidR="00EE5134" w:rsidRDefault="00EE5134" w:rsidP="00013BEF">
      <w:pPr>
        <w:tabs>
          <w:tab w:val="left" w:pos="363"/>
        </w:tabs>
        <w:spacing w:before="80"/>
        <w:ind w:left="567" w:right="567"/>
        <w:jc w:val="both"/>
        <w:rPr>
          <w:rFonts w:ascii="Arial" w:hAnsi="Arial" w:cs="Arial"/>
          <w:sz w:val="20"/>
        </w:rPr>
      </w:pPr>
      <w:r>
        <w:rPr>
          <w:rFonts w:ascii="Arial" w:hAnsi="Arial" w:cs="Arial"/>
          <w:sz w:val="20"/>
        </w:rPr>
        <w:t>[42]</w:t>
      </w:r>
      <w:r w:rsidR="008A7AD6">
        <w:rPr>
          <w:rFonts w:ascii="Arial" w:hAnsi="Arial" w:cs="Arial"/>
          <w:sz w:val="20"/>
        </w:rPr>
        <w:t xml:space="preserve"> </w:t>
      </w:r>
      <w:r>
        <w:rPr>
          <w:rFonts w:ascii="Arial" w:hAnsi="Arial" w:cs="Arial"/>
          <w:sz w:val="20"/>
        </w:rPr>
        <w:t>In my opinion the procedures embarked upon by the police in conjunction with the authorities at the Juvenile Justice Centre ultimately had the effect of subverting the accused’s procedural rights.  Moreover, the forensic disadvantage occasioned is such that the impugned material should not be admitted into evidence.</w:t>
      </w:r>
    </w:p>
    <w:p w14:paraId="32BFC753" w14:textId="1E192DCC" w:rsidR="00EE5134" w:rsidRDefault="00EE5134">
      <w:pPr>
        <w:tabs>
          <w:tab w:val="left" w:pos="363"/>
        </w:tabs>
        <w:spacing w:before="80"/>
        <w:ind w:left="567" w:right="567"/>
        <w:jc w:val="both"/>
        <w:rPr>
          <w:rFonts w:ascii="Arial" w:hAnsi="Arial" w:cs="Arial"/>
          <w:sz w:val="20"/>
        </w:rPr>
      </w:pPr>
      <w:r>
        <w:rPr>
          <w:rFonts w:ascii="Arial" w:hAnsi="Arial" w:cs="Arial"/>
          <w:sz w:val="20"/>
        </w:rPr>
        <w:t>[43]</w:t>
      </w:r>
      <w:r w:rsidR="008A7AD6">
        <w:rPr>
          <w:rFonts w:ascii="Arial" w:hAnsi="Arial" w:cs="Arial"/>
          <w:sz w:val="20"/>
        </w:rPr>
        <w:t xml:space="preserve"> </w:t>
      </w:r>
      <w:r>
        <w:rPr>
          <w:rFonts w:ascii="Arial" w:hAnsi="Arial" w:cs="Arial"/>
          <w:sz w:val="20"/>
        </w:rPr>
        <w:t xml:space="preserve">Insofar as the public policy discretion is concerned, there are good public policy reasons for ensuring the protection of young persons placed in Juvenile Institutions from </w:t>
      </w:r>
      <w:r>
        <w:rPr>
          <w:rFonts w:ascii="Arial" w:hAnsi="Arial" w:cs="Arial"/>
          <w:sz w:val="20"/>
        </w:rPr>
        <w:lastRenderedPageBreak/>
        <w:t>the course of conduct undertaken by the investigators and custodial authorities which ultimately resulted in the eliciting of the admissions.</w:t>
      </w:r>
    </w:p>
    <w:p w14:paraId="024E991E" w14:textId="32C2FEE5" w:rsidR="00EE5134" w:rsidRDefault="00EE5134">
      <w:pPr>
        <w:tabs>
          <w:tab w:val="left" w:pos="363"/>
        </w:tabs>
        <w:spacing w:before="80"/>
        <w:ind w:left="567" w:right="567"/>
        <w:jc w:val="both"/>
        <w:rPr>
          <w:rFonts w:ascii="Arial" w:hAnsi="Arial" w:cs="Arial"/>
          <w:sz w:val="20"/>
        </w:rPr>
      </w:pPr>
      <w:r>
        <w:rPr>
          <w:rFonts w:ascii="Arial" w:hAnsi="Arial" w:cs="Arial"/>
          <w:sz w:val="20"/>
        </w:rPr>
        <w:t>[44]</w:t>
      </w:r>
      <w:r w:rsidR="008A7AD6">
        <w:rPr>
          <w:rFonts w:ascii="Arial" w:hAnsi="Arial" w:cs="Arial"/>
          <w:sz w:val="20"/>
        </w:rPr>
        <w:t xml:space="preserve"> </w:t>
      </w:r>
      <w:r>
        <w:rPr>
          <w:rFonts w:ascii="Arial" w:hAnsi="Arial" w:cs="Arial"/>
          <w:sz w:val="20"/>
        </w:rPr>
        <w:t>Even taking into account the seriousness of the offence, the fact that the police and the Centre authorities acted in good faith, and that the process of gathering evidence is not governed by any equivalent of the 'Marquis of Queensberry rules', the balance falls in favour of excluding this material."</w:t>
      </w:r>
    </w:p>
    <w:p w14:paraId="1C54BED6" w14:textId="019C92F0" w:rsidR="00EE5134" w:rsidRDefault="00EE5134">
      <w:pPr>
        <w:jc w:val="both"/>
        <w:rPr>
          <w:rFonts w:ascii="Arial" w:hAnsi="Arial" w:cs="Arial"/>
          <w:sz w:val="20"/>
        </w:rPr>
      </w:pPr>
    </w:p>
    <w:p w14:paraId="6EBDA2C1" w14:textId="2B204ACD" w:rsidR="008F2F2D" w:rsidRDefault="008F2F2D">
      <w:pPr>
        <w:jc w:val="both"/>
        <w:rPr>
          <w:rFonts w:ascii="Arial" w:hAnsi="Arial" w:cs="Arial"/>
          <w:sz w:val="20"/>
        </w:rPr>
      </w:pPr>
      <w:r>
        <w:rPr>
          <w:rFonts w:ascii="Arial" w:hAnsi="Arial" w:cs="Arial"/>
          <w:sz w:val="20"/>
        </w:rPr>
        <w:t xml:space="preserve">In an interlocutory appeal in </w:t>
      </w:r>
      <w:r>
        <w:rPr>
          <w:rFonts w:ascii="Arial" w:hAnsi="Arial" w:cs="Arial"/>
          <w:i/>
          <w:iCs/>
          <w:sz w:val="20"/>
        </w:rPr>
        <w:t>Renee Headland (a pseudonym) v The King</w:t>
      </w:r>
      <w:r>
        <w:rPr>
          <w:rFonts w:ascii="Arial" w:hAnsi="Arial" w:cs="Arial"/>
          <w:sz w:val="20"/>
        </w:rPr>
        <w:t xml:space="preserve"> [2023] VSCA 174 the Court of Appeal (Emerton P, Priest &amp; Kennedy JJA) refused leave to appeal a decision of the trial judge not to exclude a record of interview made by the applicant, an indigenous woman with a history of domestic abuse </w:t>
      </w:r>
      <w:r w:rsidR="00A17BC3">
        <w:rPr>
          <w:rFonts w:ascii="Arial" w:hAnsi="Arial" w:cs="Arial"/>
          <w:sz w:val="20"/>
        </w:rPr>
        <w:t xml:space="preserve">who was </w:t>
      </w:r>
      <w:r>
        <w:rPr>
          <w:rFonts w:ascii="Arial" w:hAnsi="Arial" w:cs="Arial"/>
          <w:sz w:val="20"/>
        </w:rPr>
        <w:t xml:space="preserve">charged with aggravated burglary.  The applicant relied on </w:t>
      </w:r>
      <w:r w:rsidRPr="001D5C5E">
        <w:rPr>
          <w:rFonts w:ascii="Arial" w:hAnsi="Arial" w:cs="Arial"/>
          <w:sz w:val="20"/>
        </w:rPr>
        <w:t>ss.85(2) &amp; 90</w:t>
      </w:r>
      <w:r w:rsidRPr="000F58E8">
        <w:rPr>
          <w:rFonts w:ascii="Arial" w:hAnsi="Arial" w:cs="Arial"/>
          <w:i/>
          <w:iCs/>
          <w:sz w:val="20"/>
        </w:rPr>
        <w:t xml:space="preserve"> Evidence Act 2008</w:t>
      </w:r>
      <w:r w:rsidR="000F58E8">
        <w:rPr>
          <w:rFonts w:ascii="Arial" w:hAnsi="Arial" w:cs="Arial"/>
          <w:sz w:val="20"/>
        </w:rPr>
        <w:t xml:space="preserve"> which, so far as relevant, provide:</w:t>
      </w:r>
    </w:p>
    <w:p w14:paraId="7489C15E" w14:textId="780C0E4D" w:rsidR="000F58E8" w:rsidRDefault="000F58E8" w:rsidP="00BD4E40">
      <w:pPr>
        <w:tabs>
          <w:tab w:val="left" w:pos="363"/>
        </w:tabs>
        <w:spacing w:before="120"/>
        <w:ind w:left="567" w:right="567"/>
        <w:jc w:val="both"/>
        <w:rPr>
          <w:rFonts w:ascii="Arial" w:hAnsi="Arial" w:cs="Arial"/>
          <w:sz w:val="20"/>
          <w:szCs w:val="20"/>
        </w:rPr>
      </w:pPr>
      <w:r w:rsidRPr="000F58E8">
        <w:rPr>
          <w:rFonts w:ascii="Arial" w:hAnsi="Arial" w:cs="Arial"/>
          <w:b/>
          <w:bCs/>
          <w:sz w:val="20"/>
          <w:szCs w:val="20"/>
        </w:rPr>
        <w:t>85 Criminal proceedings—reliability of admissions by accuse</w:t>
      </w:r>
      <w:r>
        <w:rPr>
          <w:rFonts w:ascii="Arial" w:hAnsi="Arial" w:cs="Arial"/>
          <w:b/>
          <w:bCs/>
          <w:sz w:val="20"/>
          <w:szCs w:val="20"/>
        </w:rPr>
        <w:t>d</w:t>
      </w:r>
    </w:p>
    <w:p w14:paraId="2AB5A2A3" w14:textId="7182F783" w:rsidR="000F58E8" w:rsidRDefault="000F58E8" w:rsidP="00A56A98">
      <w:pPr>
        <w:tabs>
          <w:tab w:val="left" w:pos="363"/>
        </w:tabs>
        <w:spacing w:before="60"/>
        <w:ind w:left="851" w:right="567" w:hanging="284"/>
        <w:jc w:val="both"/>
        <w:rPr>
          <w:rFonts w:ascii="Arial" w:hAnsi="Arial" w:cs="Arial"/>
          <w:sz w:val="20"/>
          <w:szCs w:val="20"/>
        </w:rPr>
      </w:pPr>
      <w:r>
        <w:rPr>
          <w:rFonts w:ascii="Arial" w:hAnsi="Arial" w:cs="Arial"/>
          <w:sz w:val="20"/>
          <w:szCs w:val="20"/>
        </w:rPr>
        <w:t xml:space="preserve">(1) </w:t>
      </w:r>
      <w:r w:rsidR="00A56A98">
        <w:rPr>
          <w:rFonts w:ascii="Arial" w:hAnsi="Arial" w:cs="Arial"/>
          <w:sz w:val="20"/>
          <w:szCs w:val="20"/>
        </w:rPr>
        <w:t>This section applies only in criminal proceedings and only to evidence of an admission made by an accused</w:t>
      </w:r>
      <w:r w:rsidR="00A56A98" w:rsidRPr="00A56A98">
        <w:rPr>
          <w:rFonts w:ascii="Arial" w:hAnsi="Arial" w:cs="Arial"/>
          <w:sz w:val="20"/>
          <w:szCs w:val="20"/>
        </w:rPr>
        <w:t>—</w:t>
      </w:r>
    </w:p>
    <w:p w14:paraId="7FBDEEB1" w14:textId="06338BB8" w:rsidR="00A56A98" w:rsidRDefault="00A56A98" w:rsidP="00A56A98">
      <w:pPr>
        <w:tabs>
          <w:tab w:val="left" w:pos="363"/>
        </w:tabs>
        <w:spacing w:before="60"/>
        <w:ind w:left="1384" w:right="1021" w:hanging="363"/>
        <w:jc w:val="both"/>
        <w:rPr>
          <w:rFonts w:ascii="Arial" w:hAnsi="Arial" w:cs="Arial"/>
          <w:sz w:val="20"/>
          <w:szCs w:val="16"/>
        </w:rPr>
      </w:pPr>
      <w:r>
        <w:rPr>
          <w:rFonts w:ascii="Arial" w:hAnsi="Arial" w:cs="Arial"/>
          <w:sz w:val="20"/>
          <w:szCs w:val="20"/>
        </w:rPr>
        <w:t>(a)</w:t>
      </w:r>
      <w:r>
        <w:rPr>
          <w:rFonts w:ascii="Arial" w:hAnsi="Arial" w:cs="Arial"/>
          <w:sz w:val="20"/>
          <w:szCs w:val="20"/>
        </w:rPr>
        <w:tab/>
      </w:r>
      <w:r w:rsidRPr="00A56A98">
        <w:rPr>
          <w:rFonts w:ascii="Arial" w:hAnsi="Arial" w:cs="Arial"/>
          <w:sz w:val="20"/>
          <w:szCs w:val="16"/>
        </w:rPr>
        <w:t>to, or in the presence of, an investigating official who at that time was performing functions in connection with the investigation of the commission, or possible commission, of an offence; or</w:t>
      </w:r>
    </w:p>
    <w:p w14:paraId="0283D44F" w14:textId="7D416C15" w:rsidR="00A56A98" w:rsidRDefault="00A56A98" w:rsidP="00A56A98">
      <w:pPr>
        <w:tabs>
          <w:tab w:val="left" w:pos="363"/>
        </w:tabs>
        <w:spacing w:before="60"/>
        <w:ind w:left="1384" w:right="1021" w:hanging="363"/>
        <w:jc w:val="both"/>
        <w:rPr>
          <w:rFonts w:ascii="Arial" w:hAnsi="Arial" w:cs="Arial"/>
          <w:sz w:val="20"/>
          <w:szCs w:val="20"/>
        </w:rPr>
      </w:pPr>
      <w:r>
        <w:rPr>
          <w:rFonts w:ascii="Arial" w:hAnsi="Arial" w:cs="Arial"/>
          <w:sz w:val="20"/>
          <w:szCs w:val="16"/>
        </w:rPr>
        <w:t>(b)</w:t>
      </w:r>
      <w:r>
        <w:rPr>
          <w:rFonts w:ascii="Arial" w:hAnsi="Arial" w:cs="Arial"/>
          <w:sz w:val="20"/>
          <w:szCs w:val="16"/>
        </w:rPr>
        <w:tab/>
        <w:t>…</w:t>
      </w:r>
    </w:p>
    <w:p w14:paraId="6CB49821" w14:textId="1C13039A" w:rsidR="000F58E8" w:rsidRDefault="000F58E8" w:rsidP="00A56A98">
      <w:pPr>
        <w:tabs>
          <w:tab w:val="left" w:pos="363"/>
        </w:tabs>
        <w:spacing w:before="120"/>
        <w:ind w:left="851" w:right="567" w:hanging="284"/>
        <w:jc w:val="both"/>
        <w:rPr>
          <w:rFonts w:ascii="Arial" w:hAnsi="Arial" w:cs="Arial"/>
          <w:sz w:val="20"/>
          <w:szCs w:val="20"/>
        </w:rPr>
      </w:pPr>
      <w:r w:rsidRPr="008F2F2D">
        <w:rPr>
          <w:rFonts w:ascii="Arial" w:hAnsi="Arial" w:cs="Arial"/>
          <w:sz w:val="20"/>
          <w:szCs w:val="20"/>
        </w:rPr>
        <w:t>(2) Evidence of the admission is not admissible unless the circumstances in which the admission was made were such as to make it unlikely that the truth of the admission was adversely affected.</w:t>
      </w:r>
    </w:p>
    <w:p w14:paraId="33E77AB2" w14:textId="77777777" w:rsidR="000F58E8" w:rsidRDefault="000F58E8" w:rsidP="00A56A98">
      <w:pPr>
        <w:tabs>
          <w:tab w:val="left" w:pos="363"/>
        </w:tabs>
        <w:spacing w:before="120"/>
        <w:ind w:left="851" w:right="567" w:hanging="284"/>
        <w:jc w:val="both"/>
        <w:rPr>
          <w:rFonts w:ascii="Arial" w:hAnsi="Arial" w:cs="Arial"/>
          <w:sz w:val="20"/>
          <w:szCs w:val="20"/>
        </w:rPr>
      </w:pPr>
      <w:r w:rsidRPr="008F2F2D">
        <w:rPr>
          <w:rFonts w:ascii="Arial" w:hAnsi="Arial" w:cs="Arial"/>
          <w:sz w:val="20"/>
          <w:szCs w:val="20"/>
        </w:rPr>
        <w:t>(3) Without limiting the matters that the court may take into account for the purposes of subsection (2), it is to take into account—</w:t>
      </w:r>
    </w:p>
    <w:p w14:paraId="3E67A882" w14:textId="0B214E23" w:rsidR="000F58E8" w:rsidRDefault="000F58E8" w:rsidP="003D7459">
      <w:pPr>
        <w:tabs>
          <w:tab w:val="left" w:pos="363"/>
        </w:tabs>
        <w:spacing w:before="60"/>
        <w:ind w:left="1384" w:right="1021" w:hanging="363"/>
        <w:jc w:val="both"/>
        <w:rPr>
          <w:rFonts w:ascii="Arial" w:hAnsi="Arial" w:cs="Arial"/>
          <w:sz w:val="20"/>
          <w:szCs w:val="20"/>
        </w:rPr>
      </w:pPr>
      <w:r w:rsidRPr="008F2F2D">
        <w:rPr>
          <w:rFonts w:ascii="Arial" w:hAnsi="Arial" w:cs="Arial"/>
          <w:sz w:val="20"/>
          <w:szCs w:val="20"/>
        </w:rPr>
        <w:t>(a)</w:t>
      </w:r>
      <w:r>
        <w:rPr>
          <w:rFonts w:ascii="Arial" w:hAnsi="Arial" w:cs="Arial"/>
          <w:sz w:val="20"/>
          <w:szCs w:val="20"/>
        </w:rPr>
        <w:tab/>
      </w:r>
      <w:r w:rsidRPr="008F2F2D">
        <w:rPr>
          <w:rFonts w:ascii="Arial" w:hAnsi="Arial" w:cs="Arial"/>
          <w:sz w:val="20"/>
          <w:szCs w:val="20"/>
        </w:rPr>
        <w:t>any relevant condition or characteristic of the person who made the admission, including age, personality and education and any mental, intellectual or physical disability to which the person is or appears to be subject; and</w:t>
      </w:r>
    </w:p>
    <w:p w14:paraId="39ED9E41" w14:textId="21A8A14F" w:rsidR="000F58E8" w:rsidRDefault="000F58E8" w:rsidP="000F58E8">
      <w:pPr>
        <w:tabs>
          <w:tab w:val="left" w:pos="363"/>
        </w:tabs>
        <w:spacing w:before="60"/>
        <w:ind w:left="1021" w:right="1021"/>
        <w:jc w:val="both"/>
        <w:rPr>
          <w:rFonts w:ascii="Arial" w:hAnsi="Arial" w:cs="Arial"/>
          <w:sz w:val="20"/>
          <w:szCs w:val="20"/>
        </w:rPr>
      </w:pPr>
      <w:r w:rsidRPr="008F2F2D">
        <w:rPr>
          <w:rFonts w:ascii="Arial" w:hAnsi="Arial" w:cs="Arial"/>
          <w:sz w:val="20"/>
          <w:szCs w:val="20"/>
        </w:rPr>
        <w:t>(b)</w:t>
      </w:r>
      <w:r>
        <w:rPr>
          <w:rFonts w:ascii="Arial" w:hAnsi="Arial" w:cs="Arial"/>
          <w:sz w:val="20"/>
          <w:szCs w:val="20"/>
        </w:rPr>
        <w:tab/>
      </w:r>
      <w:r w:rsidRPr="008F2F2D">
        <w:rPr>
          <w:rFonts w:ascii="Arial" w:hAnsi="Arial" w:cs="Arial"/>
          <w:sz w:val="20"/>
          <w:szCs w:val="20"/>
        </w:rPr>
        <w:t>if the admission was made in response to questioning—</w:t>
      </w:r>
    </w:p>
    <w:p w14:paraId="651A3E8C" w14:textId="6BDCF894" w:rsidR="000F58E8" w:rsidRDefault="000F58E8" w:rsidP="000F58E8">
      <w:pPr>
        <w:tabs>
          <w:tab w:val="left" w:pos="363"/>
        </w:tabs>
        <w:spacing w:before="60"/>
        <w:ind w:left="1383" w:right="1021"/>
        <w:jc w:val="both"/>
        <w:rPr>
          <w:rFonts w:ascii="Arial" w:hAnsi="Arial" w:cs="Arial"/>
          <w:sz w:val="20"/>
        </w:rPr>
      </w:pPr>
      <w:r w:rsidRPr="008F2F2D">
        <w:rPr>
          <w:rFonts w:ascii="Arial" w:hAnsi="Arial" w:cs="Arial"/>
          <w:sz w:val="20"/>
          <w:szCs w:val="20"/>
        </w:rPr>
        <w:t>(i) the nature of the questions and the manner in which they were put; and ...</w:t>
      </w:r>
    </w:p>
    <w:p w14:paraId="1A91A361" w14:textId="48A89CEB" w:rsidR="001D5C5E" w:rsidRDefault="001D5C5E" w:rsidP="00A56A98">
      <w:pPr>
        <w:tabs>
          <w:tab w:val="left" w:pos="363"/>
        </w:tabs>
        <w:spacing w:before="120"/>
        <w:ind w:left="567" w:right="567"/>
        <w:jc w:val="both"/>
        <w:rPr>
          <w:rFonts w:ascii="Arial" w:hAnsi="Arial" w:cs="Arial"/>
          <w:sz w:val="20"/>
          <w:szCs w:val="20"/>
        </w:rPr>
      </w:pPr>
      <w:r>
        <w:rPr>
          <w:rFonts w:ascii="Arial" w:hAnsi="Arial" w:cs="Arial"/>
          <w:b/>
          <w:bCs/>
          <w:sz w:val="20"/>
          <w:szCs w:val="20"/>
        </w:rPr>
        <w:t>90</w:t>
      </w:r>
      <w:r w:rsidRPr="000F58E8">
        <w:rPr>
          <w:rFonts w:ascii="Arial" w:hAnsi="Arial" w:cs="Arial"/>
          <w:b/>
          <w:bCs/>
          <w:sz w:val="20"/>
          <w:szCs w:val="20"/>
        </w:rPr>
        <w:t xml:space="preserve"> </w:t>
      </w:r>
      <w:r>
        <w:rPr>
          <w:rFonts w:ascii="Arial" w:hAnsi="Arial" w:cs="Arial"/>
          <w:b/>
          <w:bCs/>
          <w:sz w:val="20"/>
          <w:szCs w:val="20"/>
        </w:rPr>
        <w:t>Discretion to exclude</w:t>
      </w:r>
      <w:r w:rsidRPr="000F58E8">
        <w:rPr>
          <w:rFonts w:ascii="Arial" w:hAnsi="Arial" w:cs="Arial"/>
          <w:b/>
          <w:bCs/>
          <w:sz w:val="20"/>
          <w:szCs w:val="20"/>
        </w:rPr>
        <w:t xml:space="preserve"> admissions</w:t>
      </w:r>
    </w:p>
    <w:p w14:paraId="60359308" w14:textId="22D8DA50" w:rsidR="001D5C5E" w:rsidRDefault="001D5C5E" w:rsidP="001D5C5E">
      <w:pPr>
        <w:tabs>
          <w:tab w:val="left" w:pos="363"/>
        </w:tabs>
        <w:spacing w:before="60"/>
        <w:ind w:left="567" w:right="567"/>
        <w:jc w:val="both"/>
        <w:rPr>
          <w:rFonts w:ascii="Arial" w:hAnsi="Arial" w:cs="Arial"/>
          <w:sz w:val="20"/>
          <w:szCs w:val="20"/>
        </w:rPr>
      </w:pPr>
      <w:r>
        <w:rPr>
          <w:rFonts w:ascii="Arial" w:hAnsi="Arial" w:cs="Arial"/>
          <w:sz w:val="20"/>
          <w:szCs w:val="20"/>
        </w:rPr>
        <w:t>In a criminal proceeding, the court may re</w:t>
      </w:r>
      <w:r w:rsidR="004D6392">
        <w:rPr>
          <w:rFonts w:ascii="Arial" w:hAnsi="Arial" w:cs="Arial"/>
          <w:sz w:val="20"/>
          <w:szCs w:val="20"/>
        </w:rPr>
        <w:t>f</w:t>
      </w:r>
      <w:r>
        <w:rPr>
          <w:rFonts w:ascii="Arial" w:hAnsi="Arial" w:cs="Arial"/>
          <w:sz w:val="20"/>
          <w:szCs w:val="20"/>
        </w:rPr>
        <w:t>use to admit evidence of an admission, or refuse to admit the evidence to prove a particular fact, if</w:t>
      </w:r>
      <w:r w:rsidRPr="008F2F2D">
        <w:rPr>
          <w:rFonts w:ascii="Arial" w:hAnsi="Arial" w:cs="Arial"/>
          <w:sz w:val="20"/>
          <w:szCs w:val="20"/>
        </w:rPr>
        <w:t>—</w:t>
      </w:r>
    </w:p>
    <w:p w14:paraId="5F04BB4C" w14:textId="40916167" w:rsidR="001D5C5E" w:rsidRDefault="001D5C5E" w:rsidP="001D5C5E">
      <w:pPr>
        <w:pStyle w:val="ListParagraph"/>
        <w:numPr>
          <w:ilvl w:val="0"/>
          <w:numId w:val="26"/>
        </w:numPr>
        <w:tabs>
          <w:tab w:val="left" w:pos="363"/>
        </w:tabs>
        <w:spacing w:before="60" w:after="0" w:line="240" w:lineRule="auto"/>
        <w:ind w:left="924" w:right="567" w:hanging="357"/>
        <w:jc w:val="both"/>
        <w:rPr>
          <w:rFonts w:ascii="Arial" w:hAnsi="Arial" w:cs="Arial"/>
          <w:sz w:val="20"/>
          <w:szCs w:val="20"/>
        </w:rPr>
      </w:pPr>
      <w:r w:rsidRPr="001D5C5E">
        <w:rPr>
          <w:rFonts w:ascii="Arial" w:hAnsi="Arial" w:cs="Arial"/>
          <w:sz w:val="20"/>
          <w:szCs w:val="20"/>
        </w:rPr>
        <w:t xml:space="preserve">the evidence </w:t>
      </w:r>
      <w:r>
        <w:rPr>
          <w:rFonts w:ascii="Arial" w:hAnsi="Arial" w:cs="Arial"/>
          <w:sz w:val="20"/>
          <w:szCs w:val="20"/>
        </w:rPr>
        <w:t>is adduced by the prosecution; and</w:t>
      </w:r>
    </w:p>
    <w:p w14:paraId="24528463" w14:textId="77777777" w:rsidR="001D5C5E" w:rsidRPr="001D5C5E" w:rsidRDefault="001D5C5E" w:rsidP="001D5C5E">
      <w:pPr>
        <w:tabs>
          <w:tab w:val="left" w:pos="363"/>
        </w:tabs>
        <w:ind w:left="567" w:right="567"/>
        <w:jc w:val="both"/>
        <w:rPr>
          <w:rFonts w:ascii="Arial" w:hAnsi="Arial" w:cs="Arial"/>
          <w:sz w:val="6"/>
          <w:szCs w:val="6"/>
        </w:rPr>
      </w:pPr>
    </w:p>
    <w:p w14:paraId="02568F19" w14:textId="7CFAAEC2" w:rsidR="001D5C5E" w:rsidRPr="001D5C5E" w:rsidRDefault="001D5C5E" w:rsidP="001D5C5E">
      <w:pPr>
        <w:pStyle w:val="ListParagraph"/>
        <w:numPr>
          <w:ilvl w:val="0"/>
          <w:numId w:val="26"/>
        </w:numPr>
        <w:tabs>
          <w:tab w:val="left" w:pos="363"/>
        </w:tabs>
        <w:spacing w:after="0" w:line="240" w:lineRule="auto"/>
        <w:ind w:left="924" w:right="567" w:hanging="357"/>
        <w:jc w:val="both"/>
        <w:rPr>
          <w:rFonts w:ascii="Arial" w:hAnsi="Arial" w:cs="Arial"/>
          <w:sz w:val="20"/>
          <w:szCs w:val="20"/>
        </w:rPr>
      </w:pPr>
      <w:r>
        <w:rPr>
          <w:rFonts w:ascii="Arial" w:hAnsi="Arial" w:cs="Arial"/>
          <w:sz w:val="20"/>
          <w:szCs w:val="20"/>
        </w:rPr>
        <w:t>having regard to the circumstances in which the admission was made, it would be unfair to the accused to use the evidence.</w:t>
      </w:r>
    </w:p>
    <w:p w14:paraId="3ED2897D" w14:textId="5B5BC282" w:rsidR="001D5C5E" w:rsidRDefault="001D5C5E" w:rsidP="001D5C5E">
      <w:pPr>
        <w:spacing w:before="120"/>
        <w:jc w:val="both"/>
        <w:rPr>
          <w:rFonts w:ascii="Arial" w:hAnsi="Arial" w:cs="Arial"/>
          <w:sz w:val="20"/>
        </w:rPr>
      </w:pPr>
      <w:r>
        <w:rPr>
          <w:rFonts w:ascii="Arial" w:hAnsi="Arial" w:cs="Arial"/>
          <w:sz w:val="20"/>
        </w:rPr>
        <w:t>In relation to the scope of ss.85(2) &amp; 90 the Court of Appeal said:</w:t>
      </w:r>
    </w:p>
    <w:p w14:paraId="3785FECF" w14:textId="11EE0865" w:rsidR="000F58E8" w:rsidRPr="00BD4E40" w:rsidRDefault="00A17BC3" w:rsidP="00F80DAD">
      <w:pPr>
        <w:spacing w:before="60"/>
        <w:ind w:left="567" w:right="567"/>
        <w:jc w:val="both"/>
        <w:rPr>
          <w:rFonts w:ascii="Arial" w:hAnsi="Arial" w:cs="Arial"/>
          <w:sz w:val="20"/>
          <w:szCs w:val="22"/>
        </w:rPr>
      </w:pPr>
      <w:r w:rsidRPr="00BD4E40">
        <w:rPr>
          <w:rFonts w:ascii="Arial" w:hAnsi="Arial" w:cs="Arial"/>
          <w:sz w:val="20"/>
          <w:szCs w:val="20"/>
        </w:rPr>
        <w:t xml:space="preserve">[38] </w:t>
      </w:r>
      <w:r w:rsidR="00DC641E" w:rsidRPr="00BD4E40">
        <w:rPr>
          <w:rFonts w:ascii="Arial" w:hAnsi="Arial" w:cs="Arial"/>
          <w:sz w:val="20"/>
          <w:szCs w:val="20"/>
        </w:rPr>
        <w:t>“</w:t>
      </w:r>
      <w:r w:rsidRPr="00BD4E40">
        <w:rPr>
          <w:rFonts w:ascii="Arial" w:hAnsi="Arial" w:cs="Arial"/>
          <w:sz w:val="20"/>
          <w:szCs w:val="20"/>
        </w:rPr>
        <w:t>The focus of s 85(2) is on the circumstances in which an admission was made, and the capacity of those circumstances to affect adversely its truth. Unless the relevant circumstances make it unlikely that the truth of the admission was adversely affected, the evidence of the admission is simply not admissible; that is, no exercise of discretion is involved. Clearly, s 85(2) is not concerned with whether an admission was in fact made. Instead, s 85(2) is concerned with circumstances that would have adversely affected the truth of the putative admission. It requires the prosecution to satisfy the trial judge on the balance of probabilities that the admission was made in circumstances that would be unlikely to affect its truth adversely.”</w:t>
      </w:r>
    </w:p>
    <w:p w14:paraId="41777465" w14:textId="6DBF5AC0" w:rsidR="00A17BC3" w:rsidRPr="00BD4E40" w:rsidRDefault="00A17BC3" w:rsidP="00BD4E40">
      <w:pPr>
        <w:spacing w:before="60"/>
        <w:ind w:left="567" w:right="567"/>
        <w:jc w:val="both"/>
        <w:rPr>
          <w:rFonts w:ascii="Arial" w:hAnsi="Arial" w:cs="Arial"/>
          <w:sz w:val="20"/>
        </w:rPr>
      </w:pPr>
      <w:r w:rsidRPr="00BD4E40">
        <w:rPr>
          <w:rFonts w:ascii="Arial" w:hAnsi="Arial" w:cs="Arial"/>
          <w:sz w:val="20"/>
          <w:szCs w:val="20"/>
        </w:rPr>
        <w:t>[41] “By virtue of s 90, a court may refuse to admit evidence of an admission sought to be adduced by the prosecution if, having regard to the circumstances in which it was made, it would be unfair to the accused to use the evidence. As with s 85(2), the focus of s 90 is on the circumstances in which an admission is made. If those circumstances mean it would (not could) be unfair to the accused to use the evidence of the admission, the court has a discretion to refuse to admit the evidence.”</w:t>
      </w:r>
    </w:p>
    <w:p w14:paraId="74D5A6A4" w14:textId="42055955" w:rsidR="008F2F2D" w:rsidRDefault="00DC641E" w:rsidP="001734A5">
      <w:pPr>
        <w:spacing w:before="120"/>
        <w:jc w:val="both"/>
        <w:rPr>
          <w:rFonts w:ascii="Arial" w:hAnsi="Arial" w:cs="Arial"/>
          <w:sz w:val="20"/>
        </w:rPr>
      </w:pPr>
      <w:r>
        <w:rPr>
          <w:rFonts w:ascii="Arial" w:hAnsi="Arial" w:cs="Arial"/>
          <w:sz w:val="20"/>
        </w:rPr>
        <w:t>In refusing leave, the Court of Appeal said at [56]-[57]</w:t>
      </w:r>
      <w:r w:rsidR="001734A5">
        <w:rPr>
          <w:rFonts w:ascii="Arial" w:hAnsi="Arial" w:cs="Arial"/>
          <w:sz w:val="20"/>
        </w:rPr>
        <w:t xml:space="preserve"> &amp; [72]</w:t>
      </w:r>
      <w:r>
        <w:rPr>
          <w:rFonts w:ascii="Arial" w:hAnsi="Arial" w:cs="Arial"/>
          <w:sz w:val="20"/>
        </w:rPr>
        <w:t>:</w:t>
      </w:r>
    </w:p>
    <w:p w14:paraId="68AC7609" w14:textId="77777777" w:rsidR="00A56A98" w:rsidRDefault="00DC641E" w:rsidP="00BD4E40">
      <w:pPr>
        <w:spacing w:before="60"/>
        <w:ind w:left="567" w:right="567"/>
        <w:jc w:val="both"/>
        <w:rPr>
          <w:rFonts w:ascii="Arial" w:hAnsi="Arial" w:cs="Arial"/>
          <w:sz w:val="20"/>
          <w:szCs w:val="20"/>
        </w:rPr>
      </w:pPr>
      <w:r>
        <w:rPr>
          <w:rFonts w:ascii="Arial" w:hAnsi="Arial" w:cs="Arial"/>
          <w:sz w:val="20"/>
          <w:szCs w:val="20"/>
        </w:rPr>
        <w:lastRenderedPageBreak/>
        <w:t>[56] “</w:t>
      </w:r>
      <w:r w:rsidR="00A17BC3" w:rsidRPr="00A17BC3">
        <w:rPr>
          <w:rFonts w:ascii="Arial" w:hAnsi="Arial" w:cs="Arial"/>
          <w:sz w:val="20"/>
          <w:szCs w:val="20"/>
        </w:rPr>
        <w:t>Given the foregoing</w:t>
      </w:r>
      <w:r>
        <w:rPr>
          <w:rFonts w:ascii="Arial" w:hAnsi="Arial" w:cs="Arial"/>
          <w:sz w:val="20"/>
          <w:szCs w:val="20"/>
        </w:rPr>
        <w:t xml:space="preserve"> [summary of the trial judge’s reasons]</w:t>
      </w:r>
      <w:r w:rsidR="00A17BC3" w:rsidRPr="00A17BC3">
        <w:rPr>
          <w:rFonts w:ascii="Arial" w:hAnsi="Arial" w:cs="Arial"/>
          <w:sz w:val="20"/>
          <w:szCs w:val="20"/>
        </w:rPr>
        <w:t xml:space="preserve">, it is untenable to suggest that the judge had lost sight of the fact that the applicant was an Aboriginal woman with a history of abuse. But even if she had, there was little or nothing before the judge which would have permitted her to find that the prosecution had failed to establish that those two circumstances — solely, together or in combination with the applicant’s other conditions or characteristics — </w:t>
      </w:r>
      <w:r w:rsidR="00A17BC3" w:rsidRPr="00A56A98">
        <w:rPr>
          <w:rFonts w:ascii="Arial" w:hAnsi="Arial" w:cs="Arial"/>
          <w:i/>
          <w:iCs/>
          <w:sz w:val="20"/>
          <w:szCs w:val="20"/>
        </w:rPr>
        <w:t>would</w:t>
      </w:r>
      <w:r w:rsidR="00A17BC3" w:rsidRPr="00A17BC3">
        <w:rPr>
          <w:rFonts w:ascii="Arial" w:hAnsi="Arial" w:cs="Arial"/>
          <w:sz w:val="20"/>
          <w:szCs w:val="20"/>
        </w:rPr>
        <w:t xml:space="preserve"> have made it unlikely that the truth of any admission in the record of interview was adversely affected. Indeed, there was scant evidence to substantiate the assertion that the applicant’s status as an indigenous woman, and her history of abuse, </w:t>
      </w:r>
      <w:r w:rsidR="00A17BC3" w:rsidRPr="00A56A98">
        <w:rPr>
          <w:rFonts w:ascii="Arial" w:hAnsi="Arial" w:cs="Arial"/>
          <w:i/>
          <w:iCs/>
          <w:sz w:val="20"/>
          <w:szCs w:val="20"/>
        </w:rPr>
        <w:t>could</w:t>
      </w:r>
      <w:r w:rsidR="00A17BC3" w:rsidRPr="00A17BC3">
        <w:rPr>
          <w:rFonts w:ascii="Arial" w:hAnsi="Arial" w:cs="Arial"/>
          <w:sz w:val="20"/>
          <w:szCs w:val="20"/>
        </w:rPr>
        <w:t xml:space="preserve"> have adversely affected the truth of any admission she made. Moreover, there was nothing in the circumstances relied upon by the applicant which could have animated any exercise of discretion under s 90.</w:t>
      </w:r>
    </w:p>
    <w:p w14:paraId="53472924" w14:textId="2923531A" w:rsidR="00A17BC3" w:rsidRPr="00A17BC3" w:rsidRDefault="00A56A98" w:rsidP="00DC641E">
      <w:pPr>
        <w:spacing w:before="60"/>
        <w:ind w:left="567" w:right="567"/>
        <w:jc w:val="both"/>
        <w:rPr>
          <w:rFonts w:ascii="Arial" w:hAnsi="Arial" w:cs="Arial"/>
          <w:sz w:val="16"/>
          <w:szCs w:val="20"/>
        </w:rPr>
      </w:pPr>
      <w:r>
        <w:rPr>
          <w:rFonts w:ascii="Arial" w:hAnsi="Arial" w:cs="Arial"/>
          <w:sz w:val="20"/>
          <w:szCs w:val="20"/>
        </w:rPr>
        <w:t>[</w:t>
      </w:r>
      <w:r w:rsidR="00A17BC3" w:rsidRPr="00A17BC3">
        <w:rPr>
          <w:rFonts w:ascii="Arial" w:hAnsi="Arial" w:cs="Arial"/>
          <w:sz w:val="20"/>
          <w:szCs w:val="20"/>
        </w:rPr>
        <w:t>57</w:t>
      </w:r>
      <w:r>
        <w:rPr>
          <w:rFonts w:ascii="Arial" w:hAnsi="Arial" w:cs="Arial"/>
          <w:sz w:val="20"/>
          <w:szCs w:val="20"/>
        </w:rPr>
        <w:t>]</w:t>
      </w:r>
      <w:r w:rsidR="00A17BC3" w:rsidRPr="00A17BC3">
        <w:rPr>
          <w:rFonts w:ascii="Arial" w:hAnsi="Arial" w:cs="Arial"/>
          <w:sz w:val="20"/>
          <w:szCs w:val="20"/>
        </w:rPr>
        <w:t xml:space="preserve"> In our view, it was open to the judge to find that the circumstances in which the admissions in the record of interview were made were such as to make it unlikely that the truth of the admissions was adversely affected. Indeed, although he was asked repeatedly by the Court to point to any evidence in the case which supported the proposition that the applicant’s Aboriginality and history of abuse impinged upon the fairness of the circumstances in which the admissions were made, counsel was unable to do so. Putting it at its highest, counsel’s principal contention appeared to be that the truth of the admissions made in the record of interview may have been adversely affected by a combination of factors, including the fact that the applicant was an indigenous person with a history of abuse.</w:t>
      </w:r>
      <w:r>
        <w:rPr>
          <w:rFonts w:ascii="Arial" w:hAnsi="Arial" w:cs="Arial"/>
          <w:sz w:val="20"/>
          <w:szCs w:val="20"/>
        </w:rPr>
        <w:t>”</w:t>
      </w:r>
    </w:p>
    <w:p w14:paraId="39D840BE" w14:textId="0D346764" w:rsidR="001734A5" w:rsidRPr="001734A5" w:rsidRDefault="001734A5" w:rsidP="001734A5">
      <w:pPr>
        <w:spacing w:before="60"/>
        <w:ind w:left="567" w:right="567"/>
        <w:jc w:val="both"/>
        <w:rPr>
          <w:rFonts w:ascii="Arial" w:hAnsi="Arial" w:cs="Arial"/>
          <w:sz w:val="20"/>
        </w:rPr>
      </w:pPr>
      <w:r w:rsidRPr="001734A5">
        <w:rPr>
          <w:rFonts w:ascii="Arial" w:hAnsi="Arial" w:cs="Arial"/>
          <w:sz w:val="20"/>
        </w:rPr>
        <w:t xml:space="preserve">[72] </w:t>
      </w:r>
      <w:r>
        <w:rPr>
          <w:rFonts w:ascii="Arial" w:hAnsi="Arial" w:cs="Arial"/>
          <w:sz w:val="20"/>
        </w:rPr>
        <w:t>“</w:t>
      </w:r>
      <w:r w:rsidRPr="001734A5">
        <w:rPr>
          <w:rFonts w:ascii="Arial" w:hAnsi="Arial" w:cs="Arial"/>
          <w:sz w:val="20"/>
          <w:szCs w:val="20"/>
        </w:rPr>
        <w:t>As far as we are able to see, there was nothing in the circumstances in which the admissions in the record of interview were made which could have led the judge to find other than it was unlikely that the truth of the alleged admissions was adversely affected. Counsel for the applicant failed to demonstrate any connection between the applicant’s status as an indigenous person (with a history of abuse) and the admissions she made. Plainly, without more, the mere fact that she was an Aboriginal woman (with a background of abuse) could not have engaged the provisions of ss 85(2) and 90.</w:t>
      </w:r>
      <w:r>
        <w:rPr>
          <w:rFonts w:ascii="Arial" w:hAnsi="Arial" w:cs="Arial"/>
          <w:sz w:val="20"/>
          <w:szCs w:val="20"/>
        </w:rPr>
        <w:t>”</w:t>
      </w:r>
    </w:p>
    <w:p w14:paraId="0765BF9C" w14:textId="64CB835E" w:rsidR="00B43FD6" w:rsidRDefault="001734A5" w:rsidP="001734A5">
      <w:pPr>
        <w:spacing w:before="120"/>
        <w:jc w:val="both"/>
        <w:rPr>
          <w:rFonts w:ascii="Arial" w:hAnsi="Arial" w:cs="Arial"/>
          <w:sz w:val="20"/>
          <w:szCs w:val="20"/>
        </w:rPr>
      </w:pPr>
      <w:r w:rsidRPr="00B43FD6">
        <w:rPr>
          <w:rFonts w:ascii="Arial" w:hAnsi="Arial" w:cs="Arial"/>
          <w:sz w:val="20"/>
          <w:szCs w:val="20"/>
        </w:rPr>
        <w:t xml:space="preserve">In the course of </w:t>
      </w:r>
      <w:r w:rsidR="00B43FD6" w:rsidRPr="00B43FD6">
        <w:rPr>
          <w:rFonts w:ascii="Arial" w:hAnsi="Arial" w:cs="Arial"/>
          <w:sz w:val="20"/>
          <w:szCs w:val="20"/>
        </w:rPr>
        <w:t>its</w:t>
      </w:r>
      <w:r w:rsidRPr="00B43FD6">
        <w:rPr>
          <w:rFonts w:ascii="Arial" w:hAnsi="Arial" w:cs="Arial"/>
          <w:sz w:val="20"/>
          <w:szCs w:val="20"/>
        </w:rPr>
        <w:t xml:space="preserve"> judgment the Court of Appeal </w:t>
      </w:r>
      <w:r w:rsidR="00B43FD6" w:rsidRPr="00B43FD6">
        <w:rPr>
          <w:rFonts w:ascii="Arial" w:hAnsi="Arial" w:cs="Arial"/>
          <w:sz w:val="20"/>
          <w:szCs w:val="20"/>
        </w:rPr>
        <w:t xml:space="preserve">referred to submissions by counsel for the applicant – in reliance on the rules enunciated in </w:t>
      </w:r>
      <w:r w:rsidR="00B43FD6" w:rsidRPr="00B43FD6">
        <w:rPr>
          <w:rFonts w:ascii="Arial" w:hAnsi="Arial" w:cs="Arial"/>
          <w:i/>
          <w:iCs/>
          <w:sz w:val="20"/>
          <w:szCs w:val="20"/>
        </w:rPr>
        <w:t>R v Anunga</w:t>
      </w:r>
      <w:r w:rsidR="00B43FD6" w:rsidRPr="00B43FD6">
        <w:rPr>
          <w:rFonts w:ascii="Arial" w:hAnsi="Arial" w:cs="Arial"/>
          <w:sz w:val="20"/>
          <w:szCs w:val="20"/>
        </w:rPr>
        <w:t xml:space="preserve"> (1976) 11 ALR 412 – that the manner in which the caution was administered was deficient, and that the police should have taken more care to ensure that the applicant was given an adequate opportunity to exercise her right to communicate with a lawyer.  In</w:t>
      </w:r>
      <w:r w:rsidR="004C54A4">
        <w:rPr>
          <w:rFonts w:ascii="Arial" w:hAnsi="Arial" w:cs="Arial"/>
          <w:sz w:val="20"/>
          <w:szCs w:val="20"/>
        </w:rPr>
        <w:t> </w:t>
      </w:r>
      <w:r w:rsidR="00B43FD6" w:rsidRPr="00B43FD6">
        <w:rPr>
          <w:rFonts w:ascii="Arial" w:hAnsi="Arial" w:cs="Arial"/>
          <w:sz w:val="20"/>
          <w:szCs w:val="20"/>
        </w:rPr>
        <w:t>rejecting these submissions</w:t>
      </w:r>
      <w:r w:rsidR="00B43FD6">
        <w:rPr>
          <w:rFonts w:ascii="Arial" w:hAnsi="Arial" w:cs="Arial"/>
          <w:sz w:val="20"/>
          <w:szCs w:val="20"/>
        </w:rPr>
        <w:t>,</w:t>
      </w:r>
      <w:r w:rsidR="00B43FD6" w:rsidRPr="00B43FD6">
        <w:rPr>
          <w:rFonts w:ascii="Arial" w:hAnsi="Arial" w:cs="Arial"/>
          <w:sz w:val="20"/>
          <w:szCs w:val="20"/>
        </w:rPr>
        <w:t xml:space="preserve"> the Court–</w:t>
      </w:r>
    </w:p>
    <w:p w14:paraId="3E98EF29" w14:textId="7035AEDD" w:rsidR="00B43FD6" w:rsidRDefault="00B43FD6" w:rsidP="00605238">
      <w:pPr>
        <w:pStyle w:val="ListParagraph"/>
        <w:numPr>
          <w:ilvl w:val="0"/>
          <w:numId w:val="28"/>
        </w:numPr>
        <w:spacing w:before="60" w:after="0" w:line="240" w:lineRule="auto"/>
        <w:ind w:left="357" w:hanging="357"/>
        <w:jc w:val="both"/>
        <w:rPr>
          <w:rFonts w:ascii="Arial" w:hAnsi="Arial" w:cs="Arial"/>
          <w:sz w:val="20"/>
          <w:szCs w:val="20"/>
        </w:rPr>
      </w:pPr>
      <w:r w:rsidRPr="00B43FD6">
        <w:rPr>
          <w:rFonts w:ascii="Arial" w:hAnsi="Arial" w:cs="Arial"/>
          <w:sz w:val="20"/>
          <w:szCs w:val="20"/>
        </w:rPr>
        <w:t>noted at [</w:t>
      </w:r>
      <w:r w:rsidR="002F5928">
        <w:rPr>
          <w:rFonts w:ascii="Arial" w:hAnsi="Arial" w:cs="Arial"/>
          <w:sz w:val="20"/>
          <w:szCs w:val="20"/>
        </w:rPr>
        <w:t>60</w:t>
      </w:r>
      <w:r w:rsidRPr="00B43FD6">
        <w:rPr>
          <w:rFonts w:ascii="Arial" w:hAnsi="Arial" w:cs="Arial"/>
          <w:sz w:val="20"/>
          <w:szCs w:val="20"/>
        </w:rPr>
        <w:t>]</w:t>
      </w:r>
      <w:r>
        <w:rPr>
          <w:rFonts w:ascii="Arial" w:hAnsi="Arial" w:cs="Arial"/>
          <w:sz w:val="20"/>
          <w:szCs w:val="20"/>
        </w:rPr>
        <w:t xml:space="preserve"> the observation of Blokland J in </w:t>
      </w:r>
      <w:r w:rsidRPr="00B43FD6">
        <w:rPr>
          <w:rFonts w:ascii="Arial" w:hAnsi="Arial" w:cs="Arial"/>
          <w:i/>
          <w:iCs/>
          <w:sz w:val="20"/>
          <w:szCs w:val="20"/>
        </w:rPr>
        <w:t>R v BL</w:t>
      </w:r>
      <w:r w:rsidRPr="00B43FD6">
        <w:rPr>
          <w:rFonts w:ascii="Arial" w:hAnsi="Arial" w:cs="Arial"/>
          <w:sz w:val="20"/>
          <w:szCs w:val="20"/>
        </w:rPr>
        <w:t xml:space="preserve"> [2015] NTSC 85 at [33]</w:t>
      </w:r>
      <w:r>
        <w:rPr>
          <w:rFonts w:ascii="Arial" w:hAnsi="Arial" w:cs="Arial"/>
          <w:sz w:val="20"/>
          <w:szCs w:val="20"/>
        </w:rPr>
        <w:t>: “</w:t>
      </w:r>
      <w:r w:rsidRPr="00B43FD6">
        <w:rPr>
          <w:rFonts w:ascii="Arial" w:hAnsi="Arial" w:cs="Arial"/>
          <w:sz w:val="20"/>
          <w:szCs w:val="20"/>
        </w:rPr>
        <w:t xml:space="preserve">Since the introduction of the </w:t>
      </w:r>
      <w:r w:rsidRPr="00B43FD6">
        <w:rPr>
          <w:rFonts w:ascii="Arial" w:hAnsi="Arial" w:cs="Arial"/>
          <w:i/>
          <w:iCs/>
          <w:sz w:val="20"/>
          <w:szCs w:val="20"/>
        </w:rPr>
        <w:t>Evidence (National Uniform Legislation) Act</w:t>
      </w:r>
      <w:r w:rsidRPr="00B43FD6">
        <w:rPr>
          <w:rFonts w:ascii="Arial" w:hAnsi="Arial" w:cs="Arial"/>
          <w:sz w:val="20"/>
          <w:szCs w:val="20"/>
        </w:rPr>
        <w:t xml:space="preserve">, </w:t>
      </w:r>
      <w:r w:rsidRPr="00B43FD6">
        <w:rPr>
          <w:rFonts w:ascii="Arial" w:hAnsi="Arial" w:cs="Arial"/>
          <w:i/>
          <w:iCs/>
          <w:sz w:val="20"/>
          <w:szCs w:val="20"/>
        </w:rPr>
        <w:t>R v Anunga</w:t>
      </w:r>
      <w:r w:rsidRPr="00B43FD6">
        <w:rPr>
          <w:rFonts w:ascii="Arial" w:hAnsi="Arial" w:cs="Arial"/>
          <w:sz w:val="20"/>
          <w:szCs w:val="20"/>
        </w:rPr>
        <w:t xml:space="preserve"> and other common law cases have been displaced.</w:t>
      </w:r>
      <w:r>
        <w:rPr>
          <w:rFonts w:ascii="Arial" w:hAnsi="Arial" w:cs="Arial"/>
          <w:sz w:val="20"/>
          <w:szCs w:val="20"/>
        </w:rPr>
        <w:t>”</w:t>
      </w:r>
    </w:p>
    <w:p w14:paraId="0027E3FF" w14:textId="77777777" w:rsidR="00605238" w:rsidRPr="00605238" w:rsidRDefault="00605238" w:rsidP="00605238">
      <w:pPr>
        <w:jc w:val="both"/>
        <w:rPr>
          <w:rFonts w:ascii="Arial" w:hAnsi="Arial" w:cs="Arial"/>
          <w:sz w:val="6"/>
          <w:szCs w:val="6"/>
        </w:rPr>
      </w:pPr>
    </w:p>
    <w:p w14:paraId="4AE13735" w14:textId="22323B1A" w:rsidR="00605238" w:rsidRDefault="00605238" w:rsidP="00605238">
      <w:pPr>
        <w:pStyle w:val="ListParagraph"/>
        <w:numPr>
          <w:ilvl w:val="0"/>
          <w:numId w:val="28"/>
        </w:numPr>
        <w:spacing w:after="0" w:line="240" w:lineRule="auto"/>
        <w:ind w:left="357" w:hanging="357"/>
        <w:jc w:val="both"/>
        <w:rPr>
          <w:rFonts w:ascii="Arial" w:hAnsi="Arial" w:cs="Arial"/>
          <w:sz w:val="20"/>
          <w:szCs w:val="20"/>
        </w:rPr>
      </w:pPr>
      <w:r>
        <w:rPr>
          <w:rFonts w:ascii="Arial" w:hAnsi="Arial" w:cs="Arial"/>
          <w:sz w:val="20"/>
          <w:szCs w:val="20"/>
        </w:rPr>
        <w:t>held at [63]: “</w:t>
      </w:r>
      <w:r w:rsidRPr="00B43FD6">
        <w:rPr>
          <w:rFonts w:ascii="Arial" w:hAnsi="Arial" w:cs="Arial"/>
          <w:sz w:val="20"/>
          <w:szCs w:val="20"/>
        </w:rPr>
        <w:t>In our opinion, there was nothing in the evidence in this case which would have justified a finding that the applicant was at a disadvantage or was vulnerable by reason of a lack of comprehension of English or for cultural reasons. English was her primary language, and there was nothing in the evidence which might have founded an inference that the applicant might have answered questions ‘in the way in which they think the questioner wants’. Although the applicant only completed Year 8, and she spoke with an unsophisticated vocabulary, as Dr Ashkar noted, her speech was reasonably well-articulated throughout the interview. To our observation, the applicant’s answers to police questions were responsive and relevant, and demonstrated an understanding of what was being asked. Indeed, at times she gave relatively lengthy narrative answers, and, at others, corrected the questioners. In viewing the record of interview, we could not detect any lack of comprehension by the applicant.</w:t>
      </w:r>
      <w:r>
        <w:rPr>
          <w:rFonts w:ascii="Arial" w:hAnsi="Arial" w:cs="Arial"/>
          <w:sz w:val="20"/>
          <w:szCs w:val="20"/>
        </w:rPr>
        <w:t>”</w:t>
      </w:r>
    </w:p>
    <w:p w14:paraId="744103A1" w14:textId="77777777" w:rsidR="00F64800" w:rsidRDefault="00F64800">
      <w:pPr>
        <w:jc w:val="both"/>
        <w:rPr>
          <w:rFonts w:ascii="Arial" w:hAnsi="Arial" w:cs="Arial"/>
          <w:sz w:val="20"/>
        </w:rPr>
      </w:pPr>
    </w:p>
    <w:p w14:paraId="582E155D" w14:textId="5E6F053C" w:rsidR="009C1670" w:rsidRDefault="009C1670">
      <w:pPr>
        <w:jc w:val="both"/>
        <w:rPr>
          <w:rFonts w:ascii="Arial" w:hAnsi="Arial" w:cs="Arial"/>
          <w:sz w:val="20"/>
        </w:rPr>
      </w:pPr>
      <w:r>
        <w:rPr>
          <w:rFonts w:ascii="Arial" w:hAnsi="Arial" w:cs="Arial"/>
          <w:sz w:val="20"/>
        </w:rPr>
        <w:t xml:space="preserve">In </w:t>
      </w:r>
      <w:r w:rsidRPr="009C1670">
        <w:rPr>
          <w:rFonts w:ascii="Arial" w:hAnsi="Arial" w:cs="Arial"/>
          <w:i/>
          <w:iCs/>
          <w:sz w:val="20"/>
        </w:rPr>
        <w:t>Victoria Police v AC</w:t>
      </w:r>
      <w:r>
        <w:rPr>
          <w:rFonts w:ascii="Arial" w:hAnsi="Arial" w:cs="Arial"/>
          <w:sz w:val="20"/>
        </w:rPr>
        <w:t xml:space="preserve"> [2024] VChC </w:t>
      </w:r>
      <w:r w:rsidR="00F80DAD">
        <w:rPr>
          <w:rFonts w:ascii="Arial" w:hAnsi="Arial" w:cs="Arial"/>
          <w:sz w:val="20"/>
        </w:rPr>
        <w:t>2</w:t>
      </w:r>
      <w:r>
        <w:rPr>
          <w:rFonts w:ascii="Arial" w:hAnsi="Arial" w:cs="Arial"/>
          <w:sz w:val="20"/>
        </w:rPr>
        <w:t xml:space="preserve">, </w:t>
      </w:r>
      <w:r w:rsidR="00911510">
        <w:rPr>
          <w:rFonts w:ascii="Arial" w:hAnsi="Arial" w:cs="Arial"/>
          <w:sz w:val="20"/>
        </w:rPr>
        <w:t xml:space="preserve">for which </w:t>
      </w:r>
      <w:r>
        <w:rPr>
          <w:rFonts w:ascii="Arial" w:hAnsi="Arial" w:cs="Arial"/>
          <w:sz w:val="20"/>
        </w:rPr>
        <w:t xml:space="preserve">the facts </w:t>
      </w:r>
      <w:r w:rsidR="00FA4617">
        <w:rPr>
          <w:rFonts w:ascii="Arial" w:hAnsi="Arial" w:cs="Arial"/>
          <w:sz w:val="20"/>
        </w:rPr>
        <w:t xml:space="preserve">and some </w:t>
      </w:r>
      <w:r w:rsidR="004D6392">
        <w:rPr>
          <w:rFonts w:ascii="Arial" w:hAnsi="Arial" w:cs="Arial"/>
          <w:sz w:val="20"/>
        </w:rPr>
        <w:t xml:space="preserve">associated </w:t>
      </w:r>
      <w:r w:rsidR="00FA4617">
        <w:rPr>
          <w:rFonts w:ascii="Arial" w:hAnsi="Arial" w:cs="Arial"/>
          <w:sz w:val="20"/>
        </w:rPr>
        <w:t xml:space="preserve">legal analysis </w:t>
      </w:r>
      <w:r>
        <w:rPr>
          <w:rFonts w:ascii="Arial" w:hAnsi="Arial" w:cs="Arial"/>
          <w:sz w:val="20"/>
        </w:rPr>
        <w:t xml:space="preserve">are detailed in </w:t>
      </w:r>
      <w:r w:rsidRPr="009C1670">
        <w:rPr>
          <w:rFonts w:ascii="Arial" w:hAnsi="Arial" w:cs="Arial"/>
          <w:b/>
          <w:bCs/>
          <w:sz w:val="20"/>
          <w:shd w:val="clear" w:color="auto" w:fill="C5E0B3" w:themeFill="accent6" w:themeFillTint="66"/>
        </w:rPr>
        <w:t>section 8</w:t>
      </w:r>
      <w:r>
        <w:rPr>
          <w:rFonts w:ascii="Arial" w:hAnsi="Arial" w:cs="Arial"/>
          <w:b/>
          <w:bCs/>
          <w:sz w:val="20"/>
          <w:shd w:val="clear" w:color="auto" w:fill="C5E0B3" w:themeFill="accent6" w:themeFillTint="66"/>
        </w:rPr>
        <w:t>.2.9</w:t>
      </w:r>
      <w:r>
        <w:rPr>
          <w:rFonts w:ascii="Arial" w:hAnsi="Arial" w:cs="Arial"/>
          <w:sz w:val="20"/>
        </w:rPr>
        <w:t xml:space="preserve"> above, </w:t>
      </w:r>
      <w:r w:rsidR="004D6392">
        <w:rPr>
          <w:rFonts w:ascii="Arial" w:hAnsi="Arial" w:cs="Arial"/>
          <w:sz w:val="20"/>
        </w:rPr>
        <w:t xml:space="preserve">Magistrate Rozencwajg ruled that AC’s </w:t>
      </w:r>
      <w:r w:rsidR="00D209FA">
        <w:rPr>
          <w:rFonts w:ascii="Arial" w:hAnsi="Arial" w:cs="Arial"/>
          <w:sz w:val="20"/>
        </w:rPr>
        <w:t>record of interview</w:t>
      </w:r>
      <w:r w:rsidR="004D6392">
        <w:rPr>
          <w:rFonts w:ascii="Arial" w:hAnsi="Arial" w:cs="Arial"/>
          <w:sz w:val="20"/>
        </w:rPr>
        <w:t xml:space="preserve"> was not admissible in evidence “as it is excluded in the exercise of my discretion under s.90 of the </w:t>
      </w:r>
      <w:r w:rsidR="004D6392" w:rsidRPr="00E95A20">
        <w:rPr>
          <w:rFonts w:ascii="Arial" w:hAnsi="Arial" w:cs="Arial"/>
          <w:i/>
          <w:iCs/>
          <w:sz w:val="20"/>
        </w:rPr>
        <w:t>Evidence Act 2008</w:t>
      </w:r>
      <w:r w:rsidR="004D6392">
        <w:rPr>
          <w:rFonts w:ascii="Arial" w:hAnsi="Arial" w:cs="Arial"/>
          <w:sz w:val="20"/>
        </w:rPr>
        <w:t xml:space="preserve">.”  Section 90 provides: </w:t>
      </w:r>
    </w:p>
    <w:p w14:paraId="444ADC6B" w14:textId="77777777" w:rsidR="004D6392" w:rsidRDefault="004D6392" w:rsidP="0067050D">
      <w:pPr>
        <w:tabs>
          <w:tab w:val="left" w:pos="363"/>
        </w:tabs>
        <w:spacing w:before="120"/>
        <w:ind w:left="567" w:right="567"/>
        <w:jc w:val="both"/>
        <w:rPr>
          <w:rFonts w:ascii="Arial" w:hAnsi="Arial" w:cs="Arial"/>
          <w:sz w:val="20"/>
          <w:szCs w:val="20"/>
        </w:rPr>
      </w:pPr>
      <w:r>
        <w:rPr>
          <w:rFonts w:ascii="Arial" w:hAnsi="Arial" w:cs="Arial"/>
          <w:b/>
          <w:bCs/>
          <w:sz w:val="20"/>
          <w:szCs w:val="20"/>
        </w:rPr>
        <w:t>90</w:t>
      </w:r>
      <w:r w:rsidRPr="000F58E8">
        <w:rPr>
          <w:rFonts w:ascii="Arial" w:hAnsi="Arial" w:cs="Arial"/>
          <w:b/>
          <w:bCs/>
          <w:sz w:val="20"/>
          <w:szCs w:val="20"/>
        </w:rPr>
        <w:t xml:space="preserve"> </w:t>
      </w:r>
      <w:r>
        <w:rPr>
          <w:rFonts w:ascii="Arial" w:hAnsi="Arial" w:cs="Arial"/>
          <w:b/>
          <w:bCs/>
          <w:sz w:val="20"/>
          <w:szCs w:val="20"/>
        </w:rPr>
        <w:t>Discretion to exclude</w:t>
      </w:r>
      <w:r w:rsidRPr="000F58E8">
        <w:rPr>
          <w:rFonts w:ascii="Arial" w:hAnsi="Arial" w:cs="Arial"/>
          <w:b/>
          <w:bCs/>
          <w:sz w:val="20"/>
          <w:szCs w:val="20"/>
        </w:rPr>
        <w:t xml:space="preserve"> admissions</w:t>
      </w:r>
    </w:p>
    <w:p w14:paraId="06F6DC6D" w14:textId="4A447449" w:rsidR="004D6392" w:rsidRDefault="004D6392" w:rsidP="004D6392">
      <w:pPr>
        <w:tabs>
          <w:tab w:val="left" w:pos="363"/>
        </w:tabs>
        <w:spacing w:before="60"/>
        <w:ind w:left="567" w:right="567"/>
        <w:jc w:val="both"/>
        <w:rPr>
          <w:rFonts w:ascii="Arial" w:hAnsi="Arial" w:cs="Arial"/>
          <w:sz w:val="20"/>
          <w:szCs w:val="20"/>
        </w:rPr>
      </w:pPr>
      <w:r>
        <w:rPr>
          <w:rFonts w:ascii="Arial" w:hAnsi="Arial" w:cs="Arial"/>
          <w:sz w:val="20"/>
          <w:szCs w:val="20"/>
        </w:rPr>
        <w:t>“In a criminal proceeding, the court may refuse to admit evidence of an admission, or refuse to admit the evidence to prove a particular fact, if</w:t>
      </w:r>
      <w:r w:rsidRPr="008F2F2D">
        <w:rPr>
          <w:rFonts w:ascii="Arial" w:hAnsi="Arial" w:cs="Arial"/>
          <w:sz w:val="20"/>
          <w:szCs w:val="20"/>
        </w:rPr>
        <w:t>—</w:t>
      </w:r>
    </w:p>
    <w:p w14:paraId="4772F61F" w14:textId="77777777" w:rsidR="004D6392" w:rsidRDefault="004D6392" w:rsidP="00D209FA">
      <w:pPr>
        <w:pStyle w:val="ListParagraph"/>
        <w:numPr>
          <w:ilvl w:val="0"/>
          <w:numId w:val="39"/>
        </w:numPr>
        <w:tabs>
          <w:tab w:val="left" w:pos="363"/>
        </w:tabs>
        <w:spacing w:before="60" w:after="0" w:line="240" w:lineRule="auto"/>
        <w:ind w:right="567"/>
        <w:jc w:val="both"/>
        <w:rPr>
          <w:rFonts w:ascii="Arial" w:hAnsi="Arial" w:cs="Arial"/>
          <w:sz w:val="20"/>
          <w:szCs w:val="20"/>
        </w:rPr>
      </w:pPr>
      <w:r w:rsidRPr="001D5C5E">
        <w:rPr>
          <w:rFonts w:ascii="Arial" w:hAnsi="Arial" w:cs="Arial"/>
          <w:sz w:val="20"/>
          <w:szCs w:val="20"/>
        </w:rPr>
        <w:t xml:space="preserve">the evidence </w:t>
      </w:r>
      <w:r>
        <w:rPr>
          <w:rFonts w:ascii="Arial" w:hAnsi="Arial" w:cs="Arial"/>
          <w:sz w:val="20"/>
          <w:szCs w:val="20"/>
        </w:rPr>
        <w:t>is adduced by the prosecution; and</w:t>
      </w:r>
    </w:p>
    <w:p w14:paraId="2058E9C4" w14:textId="77777777" w:rsidR="004D6392" w:rsidRPr="001D5C5E" w:rsidRDefault="004D6392" w:rsidP="004D6392">
      <w:pPr>
        <w:tabs>
          <w:tab w:val="left" w:pos="363"/>
        </w:tabs>
        <w:ind w:left="567" w:right="567"/>
        <w:jc w:val="both"/>
        <w:rPr>
          <w:rFonts w:ascii="Arial" w:hAnsi="Arial" w:cs="Arial"/>
          <w:sz w:val="6"/>
          <w:szCs w:val="6"/>
        </w:rPr>
      </w:pPr>
    </w:p>
    <w:p w14:paraId="0E0CCA44" w14:textId="04D13243" w:rsidR="004D6392" w:rsidRPr="001D5C5E" w:rsidRDefault="004D6392" w:rsidP="00D209FA">
      <w:pPr>
        <w:pStyle w:val="ListParagraph"/>
        <w:numPr>
          <w:ilvl w:val="0"/>
          <w:numId w:val="39"/>
        </w:numPr>
        <w:tabs>
          <w:tab w:val="left" w:pos="363"/>
        </w:tabs>
        <w:spacing w:after="0" w:line="240" w:lineRule="auto"/>
        <w:ind w:left="924" w:right="567" w:hanging="357"/>
        <w:jc w:val="both"/>
        <w:rPr>
          <w:rFonts w:ascii="Arial" w:hAnsi="Arial" w:cs="Arial"/>
          <w:sz w:val="20"/>
          <w:szCs w:val="20"/>
        </w:rPr>
      </w:pPr>
      <w:r>
        <w:rPr>
          <w:rFonts w:ascii="Arial" w:hAnsi="Arial" w:cs="Arial"/>
          <w:sz w:val="20"/>
          <w:szCs w:val="20"/>
        </w:rPr>
        <w:t xml:space="preserve">having regard to the circumstances in which the admission was made, it would be unfair to </w:t>
      </w:r>
      <w:r w:rsidR="00B9026C">
        <w:rPr>
          <w:rFonts w:ascii="Arial" w:hAnsi="Arial" w:cs="Arial"/>
          <w:sz w:val="20"/>
          <w:szCs w:val="20"/>
        </w:rPr>
        <w:t>an</w:t>
      </w:r>
      <w:r>
        <w:rPr>
          <w:rFonts w:ascii="Arial" w:hAnsi="Arial" w:cs="Arial"/>
          <w:sz w:val="20"/>
          <w:szCs w:val="20"/>
        </w:rPr>
        <w:t xml:space="preserve"> accused to use the evidence.</w:t>
      </w:r>
      <w:r w:rsidR="00911510">
        <w:rPr>
          <w:rFonts w:ascii="Arial" w:hAnsi="Arial" w:cs="Arial"/>
          <w:sz w:val="20"/>
          <w:szCs w:val="20"/>
        </w:rPr>
        <w:t>”</w:t>
      </w:r>
    </w:p>
    <w:p w14:paraId="599EF6B8" w14:textId="0E21FD7B" w:rsidR="009C1670" w:rsidRDefault="00D209FA" w:rsidP="00D209FA">
      <w:pPr>
        <w:spacing w:before="60"/>
        <w:jc w:val="both"/>
        <w:rPr>
          <w:rFonts w:ascii="Arial" w:hAnsi="Arial" w:cs="Arial"/>
          <w:sz w:val="20"/>
        </w:rPr>
      </w:pPr>
      <w:r>
        <w:rPr>
          <w:rFonts w:ascii="Arial" w:hAnsi="Arial" w:cs="Arial"/>
          <w:sz w:val="20"/>
        </w:rPr>
        <w:t>At [51]-[55] his Honour discussed the operation of s.90:</w:t>
      </w:r>
    </w:p>
    <w:p w14:paraId="6E7B0330" w14:textId="4D2B3877" w:rsidR="00D209FA" w:rsidRDefault="00D209FA" w:rsidP="00D209FA">
      <w:pPr>
        <w:spacing w:before="60"/>
        <w:ind w:left="567" w:right="567"/>
        <w:jc w:val="both"/>
        <w:rPr>
          <w:rFonts w:ascii="Arial" w:hAnsi="Arial" w:cs="Arial"/>
          <w:sz w:val="20"/>
          <w:szCs w:val="20"/>
        </w:rPr>
      </w:pPr>
      <w:r>
        <w:rPr>
          <w:rFonts w:ascii="Arial" w:hAnsi="Arial" w:cs="Arial"/>
          <w:sz w:val="20"/>
          <w:szCs w:val="20"/>
        </w:rPr>
        <w:lastRenderedPageBreak/>
        <w:t xml:space="preserve">[51] “…[A]s was made clear in </w:t>
      </w:r>
      <w:r w:rsidRPr="00D209FA">
        <w:rPr>
          <w:rFonts w:ascii="Arial" w:hAnsi="Arial" w:cs="Arial"/>
          <w:i/>
          <w:iCs/>
          <w:sz w:val="20"/>
          <w:szCs w:val="20"/>
        </w:rPr>
        <w:t>DPP v James</w:t>
      </w:r>
      <w:r>
        <w:rPr>
          <w:rFonts w:ascii="Arial" w:hAnsi="Arial" w:cs="Arial"/>
          <w:sz w:val="20"/>
          <w:szCs w:val="20"/>
        </w:rPr>
        <w:t xml:space="preserve"> [2016] VSCA 106 at [23] per Osborn &amp; Priest JJA, the unfairness discretion in s.90 does not rest upon some impropriety in the investigative process.  Nor does it rest on the reliability or otherwise of any admission.</w:t>
      </w:r>
    </w:p>
    <w:p w14:paraId="0AFD7201" w14:textId="051F474F" w:rsidR="00D209FA" w:rsidRDefault="00D209FA" w:rsidP="00D209FA">
      <w:pPr>
        <w:spacing w:before="60"/>
        <w:ind w:left="567" w:right="567"/>
        <w:jc w:val="both"/>
        <w:rPr>
          <w:rFonts w:ascii="Arial" w:hAnsi="Arial" w:cs="Arial"/>
          <w:sz w:val="20"/>
          <w:szCs w:val="20"/>
        </w:rPr>
      </w:pPr>
      <w:r>
        <w:rPr>
          <w:rFonts w:ascii="Arial" w:hAnsi="Arial" w:cs="Arial"/>
          <w:sz w:val="20"/>
          <w:szCs w:val="20"/>
        </w:rPr>
        <w:t>[52] However, the fact that AC was not supported by someone who would have protected him from making serious admissions is relevant to the exercise of the s.90 discretion.</w:t>
      </w:r>
    </w:p>
    <w:p w14:paraId="2F3F5C54" w14:textId="0B06FA31" w:rsidR="00D209FA" w:rsidRDefault="00D209FA" w:rsidP="00D209FA">
      <w:pPr>
        <w:spacing w:before="60"/>
        <w:ind w:left="567" w:right="567"/>
        <w:jc w:val="both"/>
        <w:rPr>
          <w:rFonts w:ascii="Arial" w:hAnsi="Arial" w:cs="Arial"/>
          <w:sz w:val="20"/>
          <w:szCs w:val="20"/>
        </w:rPr>
      </w:pPr>
      <w:r>
        <w:rPr>
          <w:rFonts w:ascii="Arial" w:hAnsi="Arial" w:cs="Arial"/>
          <w:sz w:val="20"/>
          <w:szCs w:val="20"/>
        </w:rPr>
        <w:t xml:space="preserve">[53] In relation to the discretion to exclude contained in s.90 of the </w:t>
      </w:r>
      <w:r w:rsidRPr="00D209FA">
        <w:rPr>
          <w:rFonts w:ascii="Arial" w:hAnsi="Arial" w:cs="Arial"/>
          <w:i/>
          <w:iCs/>
          <w:sz w:val="20"/>
          <w:szCs w:val="20"/>
        </w:rPr>
        <w:t>Evidence Act 2008</w:t>
      </w:r>
      <w:r>
        <w:rPr>
          <w:rFonts w:ascii="Arial" w:hAnsi="Arial" w:cs="Arial"/>
          <w:sz w:val="20"/>
          <w:szCs w:val="20"/>
        </w:rPr>
        <w:t>, I do not regard it as open to me to find as a fact that AC had a reduced awareness and understanding of the caution he received.</w:t>
      </w:r>
    </w:p>
    <w:p w14:paraId="3E4A72C5" w14:textId="4E8934FA" w:rsidR="00D209FA" w:rsidRDefault="00D209FA" w:rsidP="0067050D">
      <w:pPr>
        <w:spacing w:before="60"/>
        <w:ind w:left="567" w:right="567"/>
        <w:jc w:val="both"/>
        <w:rPr>
          <w:rFonts w:ascii="Arial" w:hAnsi="Arial" w:cs="Arial"/>
          <w:sz w:val="20"/>
          <w:szCs w:val="20"/>
        </w:rPr>
      </w:pPr>
      <w:r>
        <w:rPr>
          <w:rFonts w:ascii="Arial" w:hAnsi="Arial" w:cs="Arial"/>
          <w:sz w:val="20"/>
          <w:szCs w:val="20"/>
        </w:rPr>
        <w:t>[54] However, such a finding is not necessary for the application of the discretion.  As</w:t>
      </w:r>
      <w:r w:rsidR="0067050D">
        <w:rPr>
          <w:rFonts w:ascii="Arial" w:hAnsi="Arial" w:cs="Arial"/>
          <w:sz w:val="20"/>
          <w:szCs w:val="20"/>
        </w:rPr>
        <w:t> </w:t>
      </w:r>
      <w:r>
        <w:rPr>
          <w:rFonts w:ascii="Arial" w:hAnsi="Arial" w:cs="Arial"/>
          <w:sz w:val="20"/>
          <w:szCs w:val="20"/>
        </w:rPr>
        <w:t xml:space="preserve">Osborn &amp; Priest JJA said in </w:t>
      </w:r>
      <w:r w:rsidRPr="00D209FA">
        <w:rPr>
          <w:rFonts w:ascii="Arial" w:hAnsi="Arial" w:cs="Arial"/>
          <w:i/>
          <w:iCs/>
          <w:sz w:val="20"/>
          <w:szCs w:val="20"/>
        </w:rPr>
        <w:t>DPP v James</w:t>
      </w:r>
      <w:r>
        <w:rPr>
          <w:rFonts w:ascii="Arial" w:hAnsi="Arial" w:cs="Arial"/>
          <w:sz w:val="20"/>
          <w:szCs w:val="20"/>
        </w:rPr>
        <w:t xml:space="preserve"> at [47]-[49]:</w:t>
      </w:r>
    </w:p>
    <w:p w14:paraId="00EEE038" w14:textId="0D866550" w:rsidR="00D209FA" w:rsidRDefault="00D209FA" w:rsidP="0067050D">
      <w:pPr>
        <w:pStyle w:val="ListParagraph"/>
        <w:spacing w:before="60" w:after="0" w:line="240" w:lineRule="auto"/>
        <w:ind w:left="1134" w:right="1134" w:firstLine="0"/>
        <w:jc w:val="both"/>
        <w:rPr>
          <w:rFonts w:ascii="Arial" w:hAnsi="Arial" w:cs="Arial"/>
          <w:sz w:val="18"/>
          <w:szCs w:val="18"/>
        </w:rPr>
      </w:pPr>
      <w:r w:rsidRPr="0067050D">
        <w:rPr>
          <w:rFonts w:ascii="Arial" w:hAnsi="Arial" w:cs="Arial"/>
          <w:sz w:val="18"/>
          <w:szCs w:val="18"/>
        </w:rPr>
        <w:t>‘</w:t>
      </w:r>
      <w:r w:rsidR="0067050D" w:rsidRPr="0067050D">
        <w:rPr>
          <w:rFonts w:ascii="Arial" w:hAnsi="Arial" w:cs="Arial"/>
          <w:sz w:val="18"/>
          <w:szCs w:val="18"/>
        </w:rPr>
        <w:t xml:space="preserve">…We accept that </w:t>
      </w:r>
      <w:r w:rsidR="0067050D">
        <w:rPr>
          <w:rFonts w:ascii="Arial" w:hAnsi="Arial" w:cs="Arial"/>
          <w:sz w:val="18"/>
          <w:szCs w:val="18"/>
        </w:rPr>
        <w:t>an unacceptable risk that an accused was unable to properly evaluate and exercise his or her rights might in principle render the receipt of evidence at trial unfair.  Such a risk might, in an appropriate case, render the receipt of evidence unfair whether or not the judge could be positively satisfied as to the extent the accused’s right to silence was in fact comprised.</w:t>
      </w:r>
    </w:p>
    <w:p w14:paraId="10850062" w14:textId="77777777" w:rsidR="0067050D" w:rsidRPr="0067050D" w:rsidRDefault="0067050D" w:rsidP="0067050D">
      <w:pPr>
        <w:pStyle w:val="ListParagraph"/>
        <w:spacing w:before="60" w:after="0" w:line="240" w:lineRule="auto"/>
        <w:ind w:left="1134" w:right="1134" w:firstLine="0"/>
        <w:jc w:val="both"/>
        <w:rPr>
          <w:rFonts w:ascii="Arial" w:hAnsi="Arial" w:cs="Arial"/>
          <w:sz w:val="6"/>
          <w:szCs w:val="6"/>
        </w:rPr>
      </w:pPr>
    </w:p>
    <w:p w14:paraId="439F2665" w14:textId="2FA735BC" w:rsidR="0067050D" w:rsidRDefault="0067050D" w:rsidP="0067050D">
      <w:pPr>
        <w:pStyle w:val="ListParagraph"/>
        <w:spacing w:before="60" w:after="0" w:line="240" w:lineRule="auto"/>
        <w:ind w:left="1134" w:right="1134" w:firstLine="0"/>
        <w:jc w:val="both"/>
        <w:rPr>
          <w:rFonts w:ascii="Arial" w:hAnsi="Arial" w:cs="Arial"/>
          <w:sz w:val="18"/>
          <w:szCs w:val="18"/>
        </w:rPr>
      </w:pPr>
      <w:r>
        <w:rPr>
          <w:rFonts w:ascii="Arial" w:hAnsi="Arial" w:cs="Arial"/>
          <w:sz w:val="18"/>
          <w:szCs w:val="18"/>
        </w:rPr>
        <w:t>It will be a matter of fact and degree for the judge to evaluate the totality of the circumstances in issue when assessing the unfairness flowing from such risk.</w:t>
      </w:r>
    </w:p>
    <w:p w14:paraId="7715FD95" w14:textId="77777777" w:rsidR="0067050D" w:rsidRPr="0067050D" w:rsidRDefault="0067050D" w:rsidP="0067050D">
      <w:pPr>
        <w:pStyle w:val="ListParagraph"/>
        <w:spacing w:before="60" w:after="0" w:line="240" w:lineRule="auto"/>
        <w:ind w:left="1134" w:right="1134" w:firstLine="0"/>
        <w:jc w:val="both"/>
        <w:rPr>
          <w:rFonts w:ascii="Arial" w:hAnsi="Arial" w:cs="Arial"/>
          <w:sz w:val="6"/>
          <w:szCs w:val="6"/>
        </w:rPr>
      </w:pPr>
    </w:p>
    <w:p w14:paraId="3362A3D6" w14:textId="2CC89440" w:rsidR="0067050D" w:rsidRDefault="0067050D" w:rsidP="0067050D">
      <w:pPr>
        <w:pStyle w:val="ListParagraph"/>
        <w:spacing w:before="60" w:after="0" w:line="240" w:lineRule="auto"/>
        <w:ind w:left="1134" w:right="1134" w:firstLine="0"/>
        <w:jc w:val="both"/>
        <w:rPr>
          <w:rFonts w:ascii="Arial" w:hAnsi="Arial" w:cs="Arial"/>
          <w:sz w:val="18"/>
          <w:szCs w:val="18"/>
        </w:rPr>
      </w:pPr>
      <w:r>
        <w:rPr>
          <w:rFonts w:ascii="Arial" w:hAnsi="Arial" w:cs="Arial"/>
          <w:sz w:val="18"/>
          <w:szCs w:val="18"/>
        </w:rPr>
        <w:t>If such a risk were established, it logically follows that no admissions might have been made at all if the risk had not been taken.’</w:t>
      </w:r>
    </w:p>
    <w:p w14:paraId="20B79A97" w14:textId="47B55442" w:rsidR="0067050D" w:rsidRDefault="0067050D" w:rsidP="0067050D">
      <w:pPr>
        <w:spacing w:before="60"/>
        <w:ind w:left="567" w:right="567"/>
        <w:jc w:val="both"/>
        <w:rPr>
          <w:rFonts w:ascii="Arial" w:hAnsi="Arial" w:cs="Arial"/>
          <w:sz w:val="20"/>
          <w:szCs w:val="20"/>
        </w:rPr>
      </w:pPr>
      <w:r>
        <w:rPr>
          <w:rFonts w:ascii="Arial" w:hAnsi="Arial" w:cs="Arial"/>
          <w:sz w:val="20"/>
          <w:szCs w:val="20"/>
        </w:rPr>
        <w:t>[55] In the matter before me, having regard to the matters I have addressed, that risk has been made out and it is unacceptable.”</w:t>
      </w:r>
    </w:p>
    <w:p w14:paraId="78CB0436" w14:textId="77777777" w:rsidR="00FA4617" w:rsidRDefault="00FA4617">
      <w:pPr>
        <w:jc w:val="both"/>
        <w:rPr>
          <w:rFonts w:ascii="Arial" w:hAnsi="Arial" w:cs="Arial"/>
          <w:sz w:val="20"/>
        </w:rPr>
      </w:pPr>
    </w:p>
    <w:p w14:paraId="1827B5A3" w14:textId="2150D4ED" w:rsidR="00F64800" w:rsidRDefault="00F64800">
      <w:pPr>
        <w:jc w:val="both"/>
        <w:rPr>
          <w:rFonts w:ascii="Arial" w:hAnsi="Arial" w:cs="Arial"/>
          <w:sz w:val="20"/>
        </w:rPr>
      </w:pPr>
      <w:r>
        <w:rPr>
          <w:rFonts w:ascii="Arial" w:hAnsi="Arial" w:cs="Arial"/>
          <w:sz w:val="20"/>
        </w:rPr>
        <w:t xml:space="preserve">In </w:t>
      </w:r>
      <w:r w:rsidRPr="00F64800">
        <w:rPr>
          <w:rFonts w:ascii="Arial" w:hAnsi="Arial" w:cs="Arial"/>
          <w:i/>
          <w:iCs/>
          <w:sz w:val="20"/>
        </w:rPr>
        <w:t>Alhassan v The King</w:t>
      </w:r>
      <w:r>
        <w:rPr>
          <w:rFonts w:ascii="Arial" w:hAnsi="Arial" w:cs="Arial"/>
          <w:sz w:val="20"/>
        </w:rPr>
        <w:t xml:space="preserve"> [2024] VSCA 233 the 18 year old applicant had made admissions to covert police operatives who </w:t>
      </w:r>
      <w:r w:rsidR="00950FC7">
        <w:rPr>
          <w:rFonts w:ascii="Arial" w:hAnsi="Arial" w:cs="Arial"/>
          <w:sz w:val="20"/>
        </w:rPr>
        <w:t xml:space="preserve">had </w:t>
      </w:r>
      <w:r w:rsidR="001571F2">
        <w:rPr>
          <w:rFonts w:ascii="Arial" w:hAnsi="Arial" w:cs="Arial"/>
          <w:sz w:val="20"/>
        </w:rPr>
        <w:t>involved him in</w:t>
      </w:r>
      <w:r>
        <w:rPr>
          <w:rFonts w:ascii="Arial" w:hAnsi="Arial" w:cs="Arial"/>
          <w:sz w:val="20"/>
        </w:rPr>
        <w:t xml:space="preserve"> fictitious</w:t>
      </w:r>
      <w:r w:rsidR="005F005E">
        <w:rPr>
          <w:rFonts w:ascii="Arial" w:hAnsi="Arial" w:cs="Arial"/>
          <w:sz w:val="20"/>
        </w:rPr>
        <w:t xml:space="preserve"> criminal</w:t>
      </w:r>
      <w:r>
        <w:rPr>
          <w:rFonts w:ascii="Arial" w:hAnsi="Arial" w:cs="Arial"/>
          <w:sz w:val="20"/>
        </w:rPr>
        <w:t xml:space="preserve"> ‘scenarios’ a</w:t>
      </w:r>
      <w:r w:rsidR="001571F2">
        <w:rPr>
          <w:rFonts w:ascii="Arial" w:hAnsi="Arial" w:cs="Arial"/>
          <w:sz w:val="20"/>
        </w:rPr>
        <w:t>long the lines of</w:t>
      </w:r>
      <w:r>
        <w:rPr>
          <w:rFonts w:ascii="Arial" w:hAnsi="Arial" w:cs="Arial"/>
          <w:sz w:val="20"/>
        </w:rPr>
        <w:t xml:space="preserve"> those approved by the High Court in </w:t>
      </w:r>
      <w:r w:rsidRPr="00F64800">
        <w:rPr>
          <w:rFonts w:ascii="Arial" w:hAnsi="Arial" w:cs="Arial"/>
          <w:i/>
          <w:iCs/>
          <w:sz w:val="20"/>
        </w:rPr>
        <w:t>Tofilau v R</w:t>
      </w:r>
      <w:r>
        <w:rPr>
          <w:rFonts w:ascii="Arial" w:hAnsi="Arial" w:cs="Arial"/>
          <w:sz w:val="20"/>
        </w:rPr>
        <w:t xml:space="preserve"> </w:t>
      </w:r>
      <w:r w:rsidRPr="00F64800">
        <w:rPr>
          <w:rFonts w:ascii="Arial" w:hAnsi="Arial" w:cs="Arial"/>
          <w:sz w:val="20"/>
        </w:rPr>
        <w:t>(2007) 231 CLR 396</w:t>
      </w:r>
      <w:r>
        <w:rPr>
          <w:rFonts w:ascii="Arial" w:hAnsi="Arial" w:cs="Arial"/>
          <w:sz w:val="20"/>
        </w:rPr>
        <w:t xml:space="preserve">.  </w:t>
      </w:r>
      <w:r w:rsidR="001571F2">
        <w:rPr>
          <w:rFonts w:ascii="Arial" w:hAnsi="Arial" w:cs="Arial"/>
          <w:sz w:val="20"/>
        </w:rPr>
        <w:t xml:space="preserve">In refusing leave to appeal </w:t>
      </w:r>
      <w:r w:rsidR="009A47B6">
        <w:rPr>
          <w:rFonts w:ascii="Arial" w:hAnsi="Arial" w:cs="Arial"/>
          <w:sz w:val="20"/>
        </w:rPr>
        <w:t xml:space="preserve">against </w:t>
      </w:r>
      <w:bookmarkStart w:id="321" w:name="_Hlk179532812"/>
      <w:r w:rsidR="005F005E">
        <w:rPr>
          <w:rFonts w:ascii="Arial" w:hAnsi="Arial" w:cs="Arial"/>
          <w:sz w:val="20"/>
        </w:rPr>
        <w:t>R</w:t>
      </w:r>
      <w:r w:rsidR="009A47B6">
        <w:rPr>
          <w:rFonts w:ascii="Arial" w:hAnsi="Arial" w:cs="Arial"/>
          <w:sz w:val="20"/>
        </w:rPr>
        <w:t>uling</w:t>
      </w:r>
      <w:r w:rsidR="005F005E">
        <w:rPr>
          <w:rFonts w:ascii="Arial" w:hAnsi="Arial" w:cs="Arial"/>
          <w:sz w:val="20"/>
        </w:rPr>
        <w:t xml:space="preserve"> 1</w:t>
      </w:r>
      <w:r w:rsidR="009A47B6">
        <w:rPr>
          <w:rFonts w:ascii="Arial" w:hAnsi="Arial" w:cs="Arial"/>
          <w:sz w:val="20"/>
        </w:rPr>
        <w:t xml:space="preserve"> of Beale</w:t>
      </w:r>
      <w:r w:rsidR="005F005E">
        <w:rPr>
          <w:rFonts w:ascii="Arial" w:hAnsi="Arial" w:cs="Arial"/>
          <w:sz w:val="20"/>
        </w:rPr>
        <w:t xml:space="preserve"> </w:t>
      </w:r>
      <w:r w:rsidR="009A47B6">
        <w:rPr>
          <w:rFonts w:ascii="Arial" w:hAnsi="Arial" w:cs="Arial"/>
          <w:sz w:val="20"/>
        </w:rPr>
        <w:t xml:space="preserve">J in </w:t>
      </w:r>
      <w:r w:rsidR="009A47B6" w:rsidRPr="009A47B6">
        <w:rPr>
          <w:rFonts w:ascii="Arial" w:hAnsi="Arial" w:cs="Arial"/>
          <w:i/>
          <w:iCs/>
          <w:sz w:val="20"/>
        </w:rPr>
        <w:t>DPP v Alhassan (Rulings 1 to 5)</w:t>
      </w:r>
      <w:r w:rsidR="009A47B6">
        <w:rPr>
          <w:rFonts w:ascii="Arial" w:hAnsi="Arial" w:cs="Arial"/>
          <w:sz w:val="20"/>
        </w:rPr>
        <w:t xml:space="preserve"> [2024] VSC 573</w:t>
      </w:r>
      <w:bookmarkEnd w:id="321"/>
      <w:r w:rsidR="009A47B6">
        <w:rPr>
          <w:rFonts w:ascii="Arial" w:hAnsi="Arial" w:cs="Arial"/>
          <w:sz w:val="20"/>
        </w:rPr>
        <w:t xml:space="preserve">, </w:t>
      </w:r>
      <w:r w:rsidR="001571F2">
        <w:rPr>
          <w:rFonts w:ascii="Arial" w:hAnsi="Arial" w:cs="Arial"/>
          <w:sz w:val="20"/>
        </w:rPr>
        <w:t>the Court of Appeal held that it was not improper for police to use the ‘scenario technique’ without giving notice to the suspect of the investigation and that the evidence of the covert operatives did not engage ss.90, 137 or 138 of the Evidence Act 2008.  At [70]-[71] Priest, Beach &amp; Boyce JJA said:</w:t>
      </w:r>
    </w:p>
    <w:p w14:paraId="53CB98A5" w14:textId="6341D104" w:rsidR="001571F2" w:rsidRDefault="001571F2" w:rsidP="001571F2">
      <w:pPr>
        <w:spacing w:before="60"/>
        <w:ind w:left="567" w:right="567"/>
        <w:jc w:val="both"/>
        <w:rPr>
          <w:rFonts w:ascii="Arial" w:hAnsi="Arial" w:cs="Arial"/>
          <w:sz w:val="20"/>
          <w:szCs w:val="20"/>
        </w:rPr>
      </w:pPr>
      <w:r>
        <w:rPr>
          <w:rFonts w:ascii="Arial" w:hAnsi="Arial" w:cs="Arial"/>
          <w:sz w:val="20"/>
          <w:szCs w:val="20"/>
        </w:rPr>
        <w:t xml:space="preserve">[70] “We need not </w:t>
      </w:r>
      <w:r w:rsidRPr="00F64800">
        <w:rPr>
          <w:rFonts w:ascii="Arial" w:hAnsi="Arial" w:cs="Arial"/>
          <w:sz w:val="20"/>
        </w:rPr>
        <w:t xml:space="preserve">discuss the authorities dealing with the operation of s 90 in any detail. Recently, in </w:t>
      </w:r>
      <w:r w:rsidRPr="001571F2">
        <w:rPr>
          <w:rFonts w:ascii="Arial" w:hAnsi="Arial" w:cs="Arial"/>
          <w:i/>
          <w:iCs/>
          <w:sz w:val="20"/>
        </w:rPr>
        <w:t>Headland (a pseudonym) v The Queen</w:t>
      </w:r>
      <w:r>
        <w:rPr>
          <w:rFonts w:ascii="Arial" w:hAnsi="Arial" w:cs="Arial"/>
          <w:sz w:val="20"/>
        </w:rPr>
        <w:t xml:space="preserve"> [2023] VSCA 174</w:t>
      </w:r>
      <w:r w:rsidRPr="00F64800">
        <w:rPr>
          <w:rFonts w:ascii="Arial" w:hAnsi="Arial" w:cs="Arial"/>
          <w:sz w:val="20"/>
        </w:rPr>
        <w:t xml:space="preserve"> the Court, having referred to salient aspects of the High Court’s judgment in </w:t>
      </w:r>
      <w:r w:rsidRPr="001571F2">
        <w:rPr>
          <w:rFonts w:ascii="Arial" w:hAnsi="Arial" w:cs="Arial"/>
          <w:i/>
          <w:iCs/>
          <w:sz w:val="20"/>
        </w:rPr>
        <w:t>Em v R</w:t>
      </w:r>
      <w:r>
        <w:rPr>
          <w:rFonts w:ascii="Arial" w:hAnsi="Arial" w:cs="Arial"/>
          <w:sz w:val="20"/>
        </w:rPr>
        <w:t xml:space="preserve"> (2007) 232 CLR 67</w:t>
      </w:r>
      <w:r w:rsidRPr="00F64800">
        <w:rPr>
          <w:rFonts w:ascii="Arial" w:hAnsi="Arial" w:cs="Arial"/>
          <w:sz w:val="20"/>
        </w:rPr>
        <w:t xml:space="preserve">, and this Court’s judgment in </w:t>
      </w:r>
      <w:r w:rsidRPr="001571F2">
        <w:rPr>
          <w:rFonts w:ascii="Arial" w:hAnsi="Arial" w:cs="Arial"/>
          <w:i/>
          <w:iCs/>
          <w:sz w:val="20"/>
        </w:rPr>
        <w:t>DPP v Myles</w:t>
      </w:r>
      <w:r>
        <w:rPr>
          <w:rFonts w:ascii="Arial" w:hAnsi="Arial" w:cs="Arial"/>
          <w:sz w:val="20"/>
        </w:rPr>
        <w:t xml:space="preserve"> [2021] VSCA 324, [25]-[29]</w:t>
      </w:r>
      <w:r w:rsidRPr="00F64800">
        <w:rPr>
          <w:rFonts w:ascii="Arial" w:hAnsi="Arial" w:cs="Arial"/>
          <w:sz w:val="20"/>
        </w:rPr>
        <w:t xml:space="preserve">, summarised the position </w:t>
      </w:r>
      <w:r w:rsidR="00A31CFA">
        <w:rPr>
          <w:rFonts w:ascii="Arial" w:hAnsi="Arial" w:cs="Arial"/>
          <w:sz w:val="20"/>
        </w:rPr>
        <w:t xml:space="preserve">at [43] </w:t>
      </w:r>
      <w:r w:rsidRPr="00F64800">
        <w:rPr>
          <w:rFonts w:ascii="Arial" w:hAnsi="Arial" w:cs="Arial"/>
          <w:sz w:val="20"/>
        </w:rPr>
        <w:t>as follows:</w:t>
      </w:r>
    </w:p>
    <w:p w14:paraId="512E8710" w14:textId="069728EC" w:rsidR="00F64800" w:rsidRPr="00C84CE5" w:rsidRDefault="00C84CE5" w:rsidP="001571F2">
      <w:pPr>
        <w:spacing w:before="60"/>
        <w:ind w:left="1021" w:right="1021"/>
        <w:jc w:val="both"/>
        <w:rPr>
          <w:rFonts w:ascii="Arial" w:hAnsi="Arial" w:cs="Arial"/>
          <w:sz w:val="18"/>
          <w:szCs w:val="18"/>
        </w:rPr>
      </w:pPr>
      <w:r>
        <w:rPr>
          <w:rFonts w:ascii="Arial" w:hAnsi="Arial" w:cs="Arial"/>
          <w:sz w:val="18"/>
          <w:szCs w:val="22"/>
        </w:rPr>
        <w:t>‘</w:t>
      </w:r>
      <w:r w:rsidR="001571F2" w:rsidRPr="001571F2">
        <w:rPr>
          <w:rFonts w:ascii="Arial" w:hAnsi="Arial" w:cs="Arial"/>
          <w:sz w:val="18"/>
          <w:szCs w:val="22"/>
        </w:rPr>
        <w:t xml:space="preserve">As the authorities make clear, the application of s 90 is ‘highly fact-specific’. The focus must be upon the circumstances in which the impugned admission was made, and the way in which those circumstances would render the use of the evidence of the admission unfair to the accused at trial. That is, the focus of s 90 is upon the fairness of using the evidence at trial, not directly upon characterising the circumstances in which the admission was made — including the manner in which it was elicited — as fair or unfair. Consideration must be given to whether there is some aspect of the circumstances in which the admission was made that reveals why it would be unfair to </w:t>
      </w:r>
      <w:r w:rsidR="001571F2" w:rsidRPr="00C84CE5">
        <w:rPr>
          <w:rFonts w:ascii="Arial" w:hAnsi="Arial" w:cs="Arial"/>
          <w:sz w:val="18"/>
          <w:szCs w:val="18"/>
        </w:rPr>
        <w:t>use the evidence of</w:t>
      </w:r>
      <w:r w:rsidRPr="00C84CE5">
        <w:rPr>
          <w:rFonts w:ascii="Arial" w:hAnsi="Arial" w:cs="Arial"/>
          <w:sz w:val="18"/>
          <w:szCs w:val="18"/>
        </w:rPr>
        <w:t xml:space="preserve"> the admission in the trial of the person who made it</w:t>
      </w:r>
      <w:r>
        <w:rPr>
          <w:rFonts w:ascii="Arial" w:hAnsi="Arial" w:cs="Arial"/>
          <w:sz w:val="18"/>
          <w:szCs w:val="18"/>
        </w:rPr>
        <w:t>.’</w:t>
      </w:r>
    </w:p>
    <w:p w14:paraId="7C41B679" w14:textId="4FD4C876" w:rsidR="00C84CE5" w:rsidRPr="00C84CE5" w:rsidRDefault="00C84CE5" w:rsidP="00C84CE5">
      <w:pPr>
        <w:spacing w:before="60"/>
        <w:ind w:left="567" w:right="567"/>
        <w:jc w:val="both"/>
        <w:rPr>
          <w:rFonts w:ascii="Arial" w:hAnsi="Arial" w:cs="Arial"/>
          <w:sz w:val="20"/>
        </w:rPr>
      </w:pPr>
      <w:r>
        <w:rPr>
          <w:rFonts w:ascii="Arial" w:hAnsi="Arial" w:cs="Arial"/>
          <w:sz w:val="20"/>
          <w:szCs w:val="20"/>
        </w:rPr>
        <w:t xml:space="preserve">[71] </w:t>
      </w:r>
      <w:r w:rsidRPr="00F64800">
        <w:rPr>
          <w:rFonts w:ascii="Arial" w:hAnsi="Arial" w:cs="Arial"/>
          <w:sz w:val="20"/>
        </w:rPr>
        <w:t>In our opinion, there was nothing in the manner in which the applicant’s admissions were obtained that would render the use of the evidence unfair to him at trial. It is plain that the police did not coerce the applicant into getting things off his chest. He did not have to tell the covert police the things he did. His admissions to Solomone and Kosta were made to individuals whom he trusted. Quite clearly, in our view, the applicant’s admissions were made in the exercise of a free choice whether to speak or to remain silent, in circumstances where the police were under no obligation to give the applicant notice that he was a suspect. Indeed, we regard the fact that he was not put on notice that he was under suspicion to be utterly irrelevant. That the applicant was deceived into thinking that he was divulging secrets to trusted individuals cannot, in the circumstances of this case, engage s 90. The police conduct in failing to give the applicant the ‘notice’ purportedly required, was not improper, so that s 138 has no application. And quite clearly, the probative value of the impugned evidence far outweighs any risk of unfair prejudice, so that s 137 is not animated. As to that, we consider that any risk of rank propensity reasoning will be amenable to acceptable amelioration by judicial direction.</w:t>
      </w:r>
      <w:r>
        <w:rPr>
          <w:rFonts w:ascii="Arial" w:hAnsi="Arial" w:cs="Arial"/>
          <w:sz w:val="20"/>
        </w:rPr>
        <w:t>”</w:t>
      </w:r>
    </w:p>
    <w:p w14:paraId="31AF51DC" w14:textId="77777777" w:rsidR="00F64800" w:rsidRDefault="00F64800">
      <w:pPr>
        <w:jc w:val="both"/>
        <w:rPr>
          <w:rFonts w:ascii="Arial" w:hAnsi="Arial" w:cs="Arial"/>
          <w:sz w:val="20"/>
        </w:rPr>
      </w:pPr>
    </w:p>
    <w:p w14:paraId="3A20AB48" w14:textId="7BD34510" w:rsidR="00AC44B4" w:rsidRDefault="003E1FBA">
      <w:pPr>
        <w:jc w:val="both"/>
        <w:rPr>
          <w:rFonts w:ascii="Arial" w:hAnsi="Arial" w:cs="Arial"/>
          <w:sz w:val="20"/>
        </w:rPr>
      </w:pPr>
      <w:r>
        <w:rPr>
          <w:rFonts w:ascii="Arial" w:hAnsi="Arial" w:cs="Arial"/>
          <w:sz w:val="20"/>
        </w:rPr>
        <w:t xml:space="preserve">See also </w:t>
      </w:r>
      <w:bookmarkStart w:id="322" w:name="_Hlk185244464"/>
      <w:r w:rsidRPr="003E1FBA">
        <w:rPr>
          <w:rFonts w:ascii="Arial" w:hAnsi="Arial" w:cs="Arial"/>
          <w:i/>
          <w:iCs/>
          <w:sz w:val="20"/>
        </w:rPr>
        <w:t>Ridley v The King</w:t>
      </w:r>
      <w:r>
        <w:rPr>
          <w:rFonts w:ascii="Arial" w:hAnsi="Arial" w:cs="Arial"/>
          <w:sz w:val="20"/>
        </w:rPr>
        <w:t xml:space="preserve"> [2024] VSCA 308 at [44]-[70]</w:t>
      </w:r>
      <w:r w:rsidR="00AC44B4">
        <w:rPr>
          <w:rFonts w:ascii="Arial" w:hAnsi="Arial" w:cs="Arial"/>
          <w:sz w:val="20"/>
        </w:rPr>
        <w:t xml:space="preserve">; </w:t>
      </w:r>
      <w:bookmarkStart w:id="323" w:name="_Hlk214433301"/>
      <w:bookmarkEnd w:id="322"/>
      <w:r w:rsidR="00AC44B4" w:rsidRPr="00AC44B4">
        <w:rPr>
          <w:rFonts w:ascii="Arial" w:hAnsi="Arial" w:cs="Arial"/>
          <w:i/>
          <w:iCs/>
          <w:sz w:val="20"/>
        </w:rPr>
        <w:t>DPP v FB (Ruling No 1)</w:t>
      </w:r>
      <w:r w:rsidR="00AC44B4" w:rsidRPr="00AC44B4">
        <w:rPr>
          <w:rFonts w:ascii="Arial" w:hAnsi="Arial" w:cs="Arial"/>
          <w:sz w:val="20"/>
        </w:rPr>
        <w:t xml:space="preserve"> [2025] VSC 161</w:t>
      </w:r>
      <w:r w:rsidR="00AC44B4">
        <w:rPr>
          <w:rFonts w:ascii="Arial" w:hAnsi="Arial" w:cs="Arial"/>
          <w:sz w:val="20"/>
        </w:rPr>
        <w:t xml:space="preserve"> at [</w:t>
      </w:r>
      <w:r w:rsidR="00486CBD">
        <w:rPr>
          <w:rFonts w:ascii="Arial" w:hAnsi="Arial" w:cs="Arial"/>
          <w:sz w:val="20"/>
        </w:rPr>
        <w:t>8</w:t>
      </w:r>
      <w:r w:rsidR="00AC44B4">
        <w:rPr>
          <w:rFonts w:ascii="Arial" w:hAnsi="Arial" w:cs="Arial"/>
          <w:sz w:val="20"/>
        </w:rPr>
        <w:t>]-[</w:t>
      </w:r>
      <w:r w:rsidR="00486CBD">
        <w:rPr>
          <w:rFonts w:ascii="Arial" w:hAnsi="Arial" w:cs="Arial"/>
          <w:sz w:val="20"/>
        </w:rPr>
        <w:t>11</w:t>
      </w:r>
      <w:r w:rsidR="00AC44B4">
        <w:rPr>
          <w:rFonts w:ascii="Arial" w:hAnsi="Arial" w:cs="Arial"/>
          <w:sz w:val="20"/>
        </w:rPr>
        <w:t>]</w:t>
      </w:r>
      <w:r w:rsidR="00486CBD">
        <w:rPr>
          <w:rFonts w:ascii="Arial" w:hAnsi="Arial" w:cs="Arial"/>
          <w:sz w:val="20"/>
        </w:rPr>
        <w:t>, [18]-[21] &amp; [26]-[30]</w:t>
      </w:r>
      <w:r w:rsidR="00AC44B4">
        <w:rPr>
          <w:rFonts w:ascii="Arial" w:hAnsi="Arial" w:cs="Arial"/>
          <w:sz w:val="20"/>
        </w:rPr>
        <w:t>.</w:t>
      </w:r>
      <w:bookmarkEnd w:id="323"/>
    </w:p>
    <w:p w14:paraId="7A29CE4A" w14:textId="77777777" w:rsidR="00EE5134" w:rsidRDefault="00EE5134">
      <w:pPr>
        <w:pStyle w:val="Heading3"/>
        <w:keepNext/>
        <w:spacing w:after="80" w:line="240" w:lineRule="auto"/>
        <w:rPr>
          <w:rFonts w:ascii="Arial" w:hAnsi="Arial" w:cs="Arial"/>
          <w:b/>
          <w:bCs/>
          <w:sz w:val="20"/>
        </w:rPr>
      </w:pPr>
      <w:bookmarkStart w:id="324" w:name="_8.2.13_Reliability"/>
      <w:bookmarkEnd w:id="324"/>
      <w:r>
        <w:rPr>
          <w:rFonts w:ascii="Arial" w:hAnsi="Arial" w:cs="Arial"/>
          <w:b/>
          <w:bCs/>
          <w:sz w:val="20"/>
        </w:rPr>
        <w:lastRenderedPageBreak/>
        <w:t>8.2.13</w:t>
      </w:r>
      <w:r>
        <w:rPr>
          <w:rFonts w:ascii="Arial" w:hAnsi="Arial" w:cs="Arial"/>
          <w:b/>
          <w:bCs/>
          <w:sz w:val="20"/>
        </w:rPr>
        <w:tab/>
        <w:t>Reliability</w:t>
      </w:r>
    </w:p>
    <w:p w14:paraId="30DBE6B8" w14:textId="77777777" w:rsidR="00EE5134" w:rsidRDefault="00EE5134" w:rsidP="00680EF4">
      <w:pPr>
        <w:keepNext/>
        <w:keepLines/>
        <w:jc w:val="both"/>
        <w:rPr>
          <w:rFonts w:ascii="Arial" w:hAnsi="Arial" w:cs="Arial"/>
          <w:sz w:val="20"/>
        </w:rPr>
      </w:pPr>
      <w:r>
        <w:rPr>
          <w:rFonts w:ascii="Arial" w:hAnsi="Arial" w:cs="Arial"/>
          <w:sz w:val="20"/>
        </w:rPr>
        <w:t xml:space="preserve">In </w:t>
      </w:r>
      <w:r>
        <w:rPr>
          <w:rFonts w:ascii="Arial" w:hAnsi="Arial" w:cs="Arial"/>
          <w:i/>
          <w:iCs/>
          <w:sz w:val="20"/>
        </w:rPr>
        <w:t>R v Malcolm Clarke</w:t>
      </w:r>
      <w:r>
        <w:rPr>
          <w:rFonts w:ascii="Arial" w:hAnsi="Arial" w:cs="Arial"/>
          <w:sz w:val="20"/>
        </w:rPr>
        <w:t xml:space="preserve"> [2004] VSC 11 at [33]. Kellam J said:</w:t>
      </w:r>
    </w:p>
    <w:p w14:paraId="7F2EE1CE" w14:textId="77F41923" w:rsidR="00EE5134" w:rsidRDefault="00EE5134">
      <w:pPr>
        <w:tabs>
          <w:tab w:val="left" w:pos="363"/>
        </w:tabs>
        <w:spacing w:before="80"/>
        <w:ind w:left="567" w:right="567"/>
        <w:jc w:val="both"/>
        <w:rPr>
          <w:rFonts w:ascii="Arial" w:hAnsi="Arial" w:cs="Arial"/>
          <w:sz w:val="20"/>
        </w:rPr>
      </w:pPr>
      <w:r>
        <w:rPr>
          <w:rFonts w:ascii="Arial" w:hAnsi="Arial" w:cs="Arial"/>
          <w:sz w:val="20"/>
        </w:rPr>
        <w:t xml:space="preserve">"The leading authority on the question of admissibility of confessional statements made by an accused person to a person who, unbeknown to the accused is a police officer is </w:t>
      </w:r>
      <w:r>
        <w:rPr>
          <w:rFonts w:ascii="Arial" w:hAnsi="Arial" w:cs="Arial"/>
          <w:i/>
          <w:sz w:val="20"/>
        </w:rPr>
        <w:t>R</w:t>
      </w:r>
      <w:r w:rsidR="00A43F67">
        <w:rPr>
          <w:rFonts w:ascii="Arial" w:hAnsi="Arial" w:cs="Arial"/>
          <w:i/>
          <w:sz w:val="20"/>
        </w:rPr>
        <w:t> </w:t>
      </w:r>
      <w:r>
        <w:rPr>
          <w:rFonts w:ascii="Arial" w:hAnsi="Arial" w:cs="Arial"/>
          <w:i/>
          <w:sz w:val="20"/>
        </w:rPr>
        <w:t>v Swaffield and Pavic</w:t>
      </w:r>
      <w:r>
        <w:rPr>
          <w:rFonts w:ascii="Arial" w:hAnsi="Arial" w:cs="Arial"/>
          <w:sz w:val="20"/>
        </w:rPr>
        <w:t xml:space="preserve"> (1997-8) 192 CLR 159.  That decision establishes that the admissibility of confessional material turns first on the question of voluntariness, next upon issues of </w:t>
      </w:r>
      <w:r>
        <w:rPr>
          <w:rFonts w:ascii="Arial" w:hAnsi="Arial" w:cs="Arial"/>
          <w:b/>
          <w:bCs/>
          <w:sz w:val="20"/>
        </w:rPr>
        <w:t>reliability</w:t>
      </w:r>
      <w:r>
        <w:rPr>
          <w:rFonts w:ascii="Arial" w:hAnsi="Arial" w:cs="Arial"/>
          <w:sz w:val="20"/>
        </w:rPr>
        <w:t xml:space="preserve">, and finally on an overall discretion taking into account all the circumstances, including the means by which any admission was elicited and whether unfair forensic advantage may be obtained by the prosecution by admission of the evidence: see </w:t>
      </w:r>
      <w:r>
        <w:rPr>
          <w:rFonts w:ascii="Arial" w:hAnsi="Arial" w:cs="Arial"/>
          <w:i/>
          <w:iCs/>
          <w:sz w:val="20"/>
        </w:rPr>
        <w:t>R v Juric</w:t>
      </w:r>
      <w:r>
        <w:rPr>
          <w:rFonts w:ascii="Arial" w:hAnsi="Arial" w:cs="Arial"/>
          <w:sz w:val="20"/>
        </w:rPr>
        <w:t xml:space="preserve"> (2002) 4 VR 411 at 439."</w:t>
      </w:r>
    </w:p>
    <w:p w14:paraId="4499882F" w14:textId="77777777" w:rsidR="00EE5134" w:rsidRDefault="00EE5134">
      <w:pPr>
        <w:jc w:val="both"/>
        <w:rPr>
          <w:rFonts w:ascii="Arial" w:hAnsi="Arial" w:cs="Arial"/>
          <w:sz w:val="20"/>
        </w:rPr>
      </w:pPr>
    </w:p>
    <w:p w14:paraId="510A3FBA" w14:textId="77777777" w:rsidR="00EE5134" w:rsidRDefault="00EE5134">
      <w:pPr>
        <w:jc w:val="both"/>
        <w:rPr>
          <w:rFonts w:ascii="Arial" w:hAnsi="Arial" w:cs="Arial"/>
          <w:sz w:val="20"/>
        </w:rPr>
      </w:pPr>
      <w:r>
        <w:rPr>
          <w:rFonts w:ascii="Arial" w:hAnsi="Arial" w:cs="Arial"/>
          <w:sz w:val="20"/>
        </w:rPr>
        <w:t>On the issue of reliability, Kellam J concluded at [62] that it was neither "appropriate or necessary" for him "to make findings as to the truth or otherwise of the [accused's] admissions…The question is whether the account given is such that the jury would be entitled to consider, on the evidence before it, that it is reliable."  As to the relevant law His Honour said at [63]-[64]:</w:t>
      </w:r>
    </w:p>
    <w:p w14:paraId="113B9572" w14:textId="7184170E" w:rsidR="00EE5134" w:rsidRDefault="00EE5134">
      <w:pPr>
        <w:tabs>
          <w:tab w:val="left" w:pos="363"/>
        </w:tabs>
        <w:spacing w:before="80"/>
        <w:ind w:left="567" w:right="567"/>
        <w:jc w:val="both"/>
        <w:rPr>
          <w:rFonts w:ascii="Arial" w:hAnsi="Arial" w:cs="Arial"/>
          <w:sz w:val="20"/>
        </w:rPr>
      </w:pPr>
      <w:r>
        <w:rPr>
          <w:rFonts w:ascii="Arial" w:hAnsi="Arial" w:cs="Arial"/>
          <w:sz w:val="20"/>
        </w:rPr>
        <w:t>[63]</w:t>
      </w:r>
      <w:r w:rsidR="00D209FA">
        <w:rPr>
          <w:rFonts w:ascii="Arial" w:hAnsi="Arial" w:cs="Arial"/>
          <w:sz w:val="20"/>
        </w:rPr>
        <w:t xml:space="preserve"> </w:t>
      </w:r>
      <w:r>
        <w:rPr>
          <w:rFonts w:ascii="Arial" w:hAnsi="Arial" w:cs="Arial"/>
          <w:sz w:val="20"/>
        </w:rPr>
        <w:t xml:space="preserve">"There are a number of authorities which deal with the issue of reliability confessions made by persons suffering from psychiatric disorders: </w:t>
      </w:r>
      <w:r>
        <w:rPr>
          <w:rFonts w:ascii="Arial" w:hAnsi="Arial" w:cs="Arial"/>
          <w:i/>
          <w:iCs/>
          <w:sz w:val="20"/>
        </w:rPr>
        <w:t>R v Sinclair</w:t>
      </w:r>
      <w:r>
        <w:rPr>
          <w:rFonts w:ascii="Arial" w:hAnsi="Arial" w:cs="Arial"/>
          <w:sz w:val="20"/>
        </w:rPr>
        <w:t xml:space="preserve"> (1946) 73 CLR 316 at 338; </w:t>
      </w:r>
      <w:r>
        <w:rPr>
          <w:rFonts w:ascii="Arial" w:hAnsi="Arial" w:cs="Arial"/>
          <w:i/>
          <w:iCs/>
          <w:sz w:val="20"/>
        </w:rPr>
        <w:t>R v Morris</w:t>
      </w:r>
      <w:r>
        <w:rPr>
          <w:rFonts w:ascii="Arial" w:hAnsi="Arial" w:cs="Arial"/>
          <w:sz w:val="20"/>
        </w:rPr>
        <w:t xml:space="preserve"> (1987) 163 CLR 454; </w:t>
      </w:r>
      <w:r>
        <w:rPr>
          <w:rFonts w:ascii="Arial" w:hAnsi="Arial" w:cs="Arial"/>
          <w:i/>
          <w:iCs/>
          <w:sz w:val="20"/>
        </w:rPr>
        <w:t>R v Starecki</w:t>
      </w:r>
      <w:r>
        <w:rPr>
          <w:rFonts w:ascii="Arial" w:hAnsi="Arial" w:cs="Arial"/>
          <w:sz w:val="20"/>
        </w:rPr>
        <w:t xml:space="preserve"> [1960] VR 141and </w:t>
      </w:r>
      <w:r>
        <w:rPr>
          <w:rFonts w:ascii="Arial" w:hAnsi="Arial" w:cs="Arial"/>
          <w:i/>
          <w:iCs/>
          <w:sz w:val="20"/>
        </w:rPr>
        <w:t>R v Parker</w:t>
      </w:r>
      <w:r>
        <w:rPr>
          <w:rFonts w:ascii="Arial" w:hAnsi="Arial" w:cs="Arial"/>
          <w:sz w:val="20"/>
        </w:rPr>
        <w:t xml:space="preserve"> (1990) 19 NSWLR 177 are such cases.  In </w:t>
      </w:r>
      <w:r>
        <w:rPr>
          <w:rFonts w:ascii="Arial" w:hAnsi="Arial" w:cs="Arial"/>
          <w:i/>
          <w:iCs/>
          <w:sz w:val="20"/>
        </w:rPr>
        <w:t>R v Pfitzner</w:t>
      </w:r>
      <w:r>
        <w:rPr>
          <w:rFonts w:ascii="Arial" w:hAnsi="Arial" w:cs="Arial"/>
          <w:sz w:val="20"/>
        </w:rPr>
        <w:t xml:space="preserve"> (1996) 85 A Crim R 120 the Chief Justice of South Australia gave consideration to the test in relation to unreliability of a confession given by a person suffering from a psychiatric disorder.  He concluded that the test in those circumstances should be based upon 'an affirmative satisfaction that the admissions are inherently unreliable as distinct from possibly unreliable'.</w:t>
      </w:r>
    </w:p>
    <w:p w14:paraId="35E0E5D8" w14:textId="77DEFBF6" w:rsidR="00EE5134" w:rsidRDefault="00EE5134">
      <w:pPr>
        <w:tabs>
          <w:tab w:val="left" w:pos="363"/>
        </w:tabs>
        <w:spacing w:before="80"/>
        <w:ind w:left="567" w:right="567"/>
        <w:jc w:val="both"/>
        <w:rPr>
          <w:rFonts w:ascii="Arial" w:hAnsi="Arial" w:cs="Arial"/>
          <w:sz w:val="20"/>
        </w:rPr>
      </w:pPr>
      <w:r>
        <w:rPr>
          <w:rFonts w:ascii="Arial" w:hAnsi="Arial" w:cs="Arial"/>
          <w:sz w:val="20"/>
        </w:rPr>
        <w:t>[64]</w:t>
      </w:r>
      <w:r w:rsidR="00D209FA">
        <w:rPr>
          <w:rFonts w:ascii="Arial" w:hAnsi="Arial" w:cs="Arial"/>
          <w:sz w:val="20"/>
        </w:rPr>
        <w:t xml:space="preserve"> </w:t>
      </w:r>
      <w:r>
        <w:rPr>
          <w:rFonts w:ascii="Arial" w:hAnsi="Arial" w:cs="Arial"/>
          <w:snapToGrid w:val="0"/>
          <w:sz w:val="20"/>
        </w:rPr>
        <w:t>Whilst it is true that those authorities relate to confessions given in different circumstances (i.e. where there is a psychiatric disorder), it seems to me that a similar approach should be adopted in relation to the question of unreliability now raised before me."</w:t>
      </w:r>
    </w:p>
    <w:p w14:paraId="0FDE687D" w14:textId="77777777" w:rsidR="00EE5134" w:rsidRDefault="00EE5134">
      <w:pPr>
        <w:spacing w:before="80"/>
        <w:jc w:val="both"/>
        <w:rPr>
          <w:rFonts w:ascii="Arial" w:hAnsi="Arial" w:cs="Arial"/>
          <w:sz w:val="20"/>
        </w:rPr>
      </w:pPr>
      <w:r>
        <w:rPr>
          <w:rFonts w:ascii="Arial" w:hAnsi="Arial" w:cs="Arial"/>
          <w:sz w:val="20"/>
        </w:rPr>
        <w:t>Applying this test, His Honour concluded at [64]-[65]:</w:t>
      </w:r>
    </w:p>
    <w:p w14:paraId="625B2ECB" w14:textId="627EF0AB" w:rsidR="00EE5134" w:rsidRDefault="00EE5134">
      <w:pPr>
        <w:tabs>
          <w:tab w:val="left" w:pos="363"/>
        </w:tabs>
        <w:spacing w:before="80"/>
        <w:ind w:left="567" w:right="567"/>
        <w:jc w:val="both"/>
        <w:rPr>
          <w:rFonts w:ascii="Arial" w:hAnsi="Arial" w:cs="Arial"/>
          <w:sz w:val="20"/>
        </w:rPr>
      </w:pPr>
      <w:r>
        <w:rPr>
          <w:rFonts w:ascii="Arial" w:hAnsi="Arial" w:cs="Arial"/>
          <w:sz w:val="20"/>
        </w:rPr>
        <w:t>[64]</w:t>
      </w:r>
      <w:r w:rsidR="00D209FA">
        <w:rPr>
          <w:rFonts w:ascii="Arial" w:hAnsi="Arial" w:cs="Arial"/>
          <w:sz w:val="20"/>
        </w:rPr>
        <w:t xml:space="preserve"> </w:t>
      </w:r>
      <w:r>
        <w:rPr>
          <w:rFonts w:ascii="Arial" w:hAnsi="Arial" w:cs="Arial"/>
          <w:sz w:val="20"/>
        </w:rPr>
        <w:t>"I am satisfied that the admissions are not inherently unreliable and that it would be open in all the circumstances for a jury to consider that the manner in which the admissions are shown to have been made on the video tape is such that they are reliable.</w:t>
      </w:r>
    </w:p>
    <w:p w14:paraId="5F1F021A" w14:textId="4CCADF38" w:rsidR="00EE5134" w:rsidRDefault="00EE5134">
      <w:pPr>
        <w:tabs>
          <w:tab w:val="left" w:pos="363"/>
        </w:tabs>
        <w:spacing w:before="80"/>
        <w:ind w:left="567" w:right="567"/>
        <w:jc w:val="both"/>
        <w:rPr>
          <w:rFonts w:ascii="Arial" w:hAnsi="Arial" w:cs="Arial"/>
          <w:sz w:val="20"/>
        </w:rPr>
      </w:pPr>
      <w:r>
        <w:rPr>
          <w:rFonts w:ascii="Arial" w:hAnsi="Arial" w:cs="Arial"/>
          <w:sz w:val="20"/>
        </w:rPr>
        <w:t>[65]</w:t>
      </w:r>
      <w:r w:rsidR="00D209FA">
        <w:rPr>
          <w:rFonts w:ascii="Arial" w:hAnsi="Arial" w:cs="Arial"/>
          <w:sz w:val="20"/>
        </w:rPr>
        <w:t xml:space="preserve"> </w:t>
      </w:r>
      <w:r>
        <w:rPr>
          <w:rFonts w:ascii="Arial" w:hAnsi="Arial" w:cs="Arial"/>
          <w:snapToGrid w:val="0"/>
          <w:sz w:val="20"/>
        </w:rPr>
        <w:t>In my view, in the absence of a conclusion by me that the admissions are inherently unreliable, it is appropriate that the jury consider what weight should be given to the admissions rather than having me make a decision to exclude the evidence because of the possibility of unreliability."</w:t>
      </w:r>
    </w:p>
    <w:p w14:paraId="43A08FEA" w14:textId="77777777" w:rsidR="00EE5134" w:rsidRDefault="00EE5134">
      <w:pPr>
        <w:jc w:val="both"/>
        <w:rPr>
          <w:rFonts w:ascii="Arial" w:hAnsi="Arial" w:cs="Arial"/>
          <w:sz w:val="20"/>
        </w:rPr>
      </w:pPr>
    </w:p>
    <w:p w14:paraId="01BDD024" w14:textId="77777777" w:rsidR="00EE5134" w:rsidRDefault="00EE5134">
      <w:pPr>
        <w:jc w:val="both"/>
        <w:rPr>
          <w:rFonts w:ascii="Arial" w:hAnsi="Arial" w:cs="Arial"/>
          <w:sz w:val="20"/>
        </w:rPr>
      </w:pPr>
      <w:r>
        <w:rPr>
          <w:rFonts w:ascii="Arial" w:hAnsi="Arial" w:cs="Arial"/>
          <w:sz w:val="20"/>
        </w:rPr>
        <w:t xml:space="preserve">See also </w:t>
      </w:r>
      <w:r>
        <w:rPr>
          <w:rFonts w:ascii="Arial" w:hAnsi="Arial" w:cs="Arial"/>
          <w:i/>
          <w:iCs/>
          <w:sz w:val="20"/>
        </w:rPr>
        <w:t>R v Tofilau</w:t>
      </w:r>
      <w:r>
        <w:rPr>
          <w:rFonts w:ascii="Arial" w:hAnsi="Arial" w:cs="Arial"/>
          <w:sz w:val="20"/>
        </w:rPr>
        <w:t xml:space="preserve"> [2003] VSC 188 at [</w:t>
      </w:r>
      <w:r w:rsidR="006959CD">
        <w:rPr>
          <w:rFonts w:ascii="Arial" w:hAnsi="Arial" w:cs="Arial"/>
          <w:sz w:val="20"/>
        </w:rPr>
        <w:t xml:space="preserve">17]-[22] &amp; [55]-[58] (Osborn J), </w:t>
      </w:r>
      <w:r w:rsidR="006959CD" w:rsidRPr="006959CD">
        <w:rPr>
          <w:rFonts w:ascii="Arial" w:hAnsi="Arial" w:cs="Arial"/>
          <w:i/>
          <w:sz w:val="20"/>
        </w:rPr>
        <w:t>R v Mitchell and Brown (Ruling No.1)</w:t>
      </w:r>
      <w:r w:rsidR="006959CD">
        <w:rPr>
          <w:rFonts w:ascii="Arial" w:hAnsi="Arial" w:cs="Arial"/>
          <w:sz w:val="20"/>
        </w:rPr>
        <w:t xml:space="preserve"> [2005] VSC 42 at (Whelan J).</w:t>
      </w:r>
    </w:p>
    <w:p w14:paraId="4BF2DF06" w14:textId="77777777" w:rsidR="000C3F42" w:rsidRDefault="000C3F42" w:rsidP="000C3F42">
      <w:pPr>
        <w:rPr>
          <w:rFonts w:ascii="Arial" w:hAnsi="Arial" w:cs="Arial"/>
          <w:color w:val="000000"/>
          <w:sz w:val="18"/>
          <w:szCs w:val="22"/>
        </w:rPr>
      </w:pPr>
      <w:bookmarkStart w:id="325" w:name="_8.3_Fingerprinting"/>
      <w:bookmarkStart w:id="326" w:name="_Toc30669431"/>
      <w:bookmarkStart w:id="327" w:name="_Toc30671652"/>
      <w:bookmarkStart w:id="328" w:name="_Toc30674179"/>
      <w:bookmarkStart w:id="329" w:name="_Toc30691412"/>
      <w:bookmarkStart w:id="330" w:name="_Toc30691789"/>
      <w:bookmarkStart w:id="331" w:name="_Toc30692169"/>
      <w:bookmarkStart w:id="332" w:name="_Toc30692927"/>
      <w:bookmarkStart w:id="333" w:name="_Toc30693306"/>
      <w:bookmarkStart w:id="334" w:name="_Toc30693684"/>
      <w:bookmarkStart w:id="335" w:name="_Toc30694062"/>
      <w:bookmarkStart w:id="336" w:name="_Toc30694442"/>
      <w:bookmarkStart w:id="337" w:name="_Toc30699031"/>
      <w:bookmarkStart w:id="338" w:name="_Toc30699409"/>
      <w:bookmarkStart w:id="339" w:name="_Toc30699794"/>
      <w:bookmarkStart w:id="340" w:name="_Toc30700949"/>
      <w:bookmarkStart w:id="341" w:name="_Toc30701336"/>
      <w:bookmarkStart w:id="342" w:name="_Toc30743947"/>
      <w:bookmarkStart w:id="343" w:name="_Toc30754770"/>
      <w:bookmarkStart w:id="344" w:name="_Toc30757211"/>
      <w:bookmarkStart w:id="345" w:name="_Toc30757759"/>
      <w:bookmarkStart w:id="346" w:name="_Toc30758159"/>
      <w:bookmarkStart w:id="347" w:name="_Toc30762920"/>
      <w:bookmarkStart w:id="348" w:name="_Toc30767574"/>
      <w:bookmarkStart w:id="349" w:name="_Toc34823592"/>
      <w:bookmarkEnd w:id="325"/>
    </w:p>
    <w:p w14:paraId="3DF22ACD" w14:textId="5B031895" w:rsidR="00C92B1F" w:rsidRDefault="00C92B1F" w:rsidP="00C92B1F">
      <w:pPr>
        <w:pStyle w:val="Heading3"/>
        <w:keepNext/>
        <w:spacing w:after="80" w:line="240" w:lineRule="auto"/>
        <w:rPr>
          <w:rFonts w:ascii="Arial" w:hAnsi="Arial" w:cs="Arial"/>
          <w:b/>
          <w:bCs/>
          <w:sz w:val="20"/>
        </w:rPr>
      </w:pPr>
      <w:bookmarkStart w:id="350" w:name="_8.2.14_Inadmissibility_of"/>
      <w:bookmarkEnd w:id="350"/>
      <w:r>
        <w:rPr>
          <w:rFonts w:ascii="Arial" w:hAnsi="Arial" w:cs="Arial"/>
          <w:b/>
          <w:bCs/>
          <w:sz w:val="20"/>
        </w:rPr>
        <w:t>8.2.14</w:t>
      </w:r>
      <w:r>
        <w:rPr>
          <w:rFonts w:ascii="Arial" w:hAnsi="Arial" w:cs="Arial"/>
          <w:b/>
          <w:bCs/>
          <w:sz w:val="20"/>
        </w:rPr>
        <w:tab/>
        <w:t xml:space="preserve">Inadmissibility of confession by treated child </w:t>
      </w:r>
      <w:r w:rsidR="00584C17">
        <w:rPr>
          <w:rFonts w:ascii="Arial" w:hAnsi="Arial" w:cs="Arial"/>
          <w:b/>
          <w:bCs/>
          <w:sz w:val="20"/>
        </w:rPr>
        <w:t>or</w:t>
      </w:r>
      <w:r>
        <w:rPr>
          <w:rFonts w:ascii="Arial" w:hAnsi="Arial" w:cs="Arial"/>
          <w:b/>
          <w:bCs/>
          <w:sz w:val="20"/>
        </w:rPr>
        <w:t xml:space="preserve"> rating of child’s risk of reoffending</w:t>
      </w:r>
    </w:p>
    <w:p w14:paraId="4FE57EF1" w14:textId="27850EBD" w:rsidR="003A32F3" w:rsidRDefault="003A32F3" w:rsidP="003A32F3">
      <w:pPr>
        <w:jc w:val="both"/>
        <w:rPr>
          <w:rFonts w:ascii="Arial" w:hAnsi="Arial" w:cs="Arial"/>
          <w:color w:val="000000"/>
          <w:sz w:val="20"/>
        </w:rPr>
      </w:pPr>
      <w:r>
        <w:rPr>
          <w:rFonts w:ascii="Arial" w:hAnsi="Arial" w:cs="Arial"/>
          <w:color w:val="000000"/>
          <w:sz w:val="20"/>
        </w:rPr>
        <w:t xml:space="preserve">As and from </w:t>
      </w:r>
      <w:r w:rsidRPr="003A32F3">
        <w:rPr>
          <w:rFonts w:ascii="Arial" w:hAnsi="Arial" w:cs="Arial"/>
          <w:bCs/>
          <w:color w:val="000000" w:themeColor="text1"/>
          <w:sz w:val="20"/>
          <w:szCs w:val="22"/>
        </w:rPr>
        <w:t>16/10/2024</w:t>
      </w:r>
      <w:r>
        <w:rPr>
          <w:rFonts w:ascii="Arial" w:hAnsi="Arial" w:cs="Arial"/>
          <w:color w:val="000000"/>
          <w:sz w:val="20"/>
        </w:rPr>
        <w:t xml:space="preserve"> </w:t>
      </w:r>
      <w:r w:rsidRPr="003A32F3">
        <w:rPr>
          <w:rFonts w:ascii="Arial" w:hAnsi="Arial" w:cs="Arial"/>
          <w:color w:val="000000"/>
          <w:sz w:val="20"/>
        </w:rPr>
        <w:t>ss.855 &amp; 856</w:t>
      </w:r>
      <w:r>
        <w:rPr>
          <w:rFonts w:ascii="Arial" w:hAnsi="Arial" w:cs="Arial"/>
          <w:color w:val="000000"/>
          <w:sz w:val="20"/>
        </w:rPr>
        <w:t xml:space="preserve"> of the </w:t>
      </w:r>
      <w:r w:rsidRPr="003A32F3">
        <w:rPr>
          <w:rFonts w:ascii="Arial" w:hAnsi="Arial" w:cs="Arial"/>
          <w:i/>
          <w:iCs/>
          <w:color w:val="000000"/>
          <w:sz w:val="20"/>
        </w:rPr>
        <w:t>Youth Justice Act 2024</w:t>
      </w:r>
      <w:r>
        <w:rPr>
          <w:rFonts w:ascii="Arial" w:hAnsi="Arial" w:cs="Arial"/>
          <w:color w:val="000000"/>
          <w:sz w:val="20"/>
        </w:rPr>
        <w:t xml:space="preserve"> added new ss.347B &amp; 347C to the CYFA:</w:t>
      </w:r>
    </w:p>
    <w:p w14:paraId="3243BA18" w14:textId="77777777" w:rsidR="003A32F3" w:rsidRPr="005F68BF" w:rsidRDefault="003A32F3" w:rsidP="003A32F3">
      <w:pPr>
        <w:pStyle w:val="Heading2"/>
        <w:widowControl/>
        <w:numPr>
          <w:ilvl w:val="0"/>
          <w:numId w:val="40"/>
        </w:numPr>
        <w:tabs>
          <w:tab w:val="num" w:pos="360"/>
          <w:tab w:val="left" w:pos="567"/>
        </w:tabs>
        <w:spacing w:before="60" w:line="240" w:lineRule="auto"/>
        <w:ind w:left="357" w:hanging="357"/>
        <w:rPr>
          <w:rFonts w:ascii="Arial" w:hAnsi="Arial" w:cs="Arial"/>
          <w:color w:val="000000"/>
          <w:sz w:val="20"/>
          <w:szCs w:val="24"/>
        </w:rPr>
      </w:pPr>
      <w:r w:rsidRPr="009D2BE1">
        <w:rPr>
          <w:rFonts w:ascii="Arial" w:hAnsi="Arial" w:cs="Arial"/>
          <w:b/>
          <w:bCs/>
          <w:color w:val="000000"/>
          <w:sz w:val="20"/>
          <w:szCs w:val="24"/>
        </w:rPr>
        <w:t>s.347B CYFA:</w:t>
      </w:r>
      <w:r>
        <w:rPr>
          <w:rFonts w:ascii="Arial" w:hAnsi="Arial" w:cs="Arial"/>
          <w:color w:val="000000"/>
          <w:sz w:val="20"/>
          <w:szCs w:val="24"/>
        </w:rPr>
        <w:t xml:space="preserve"> </w:t>
      </w:r>
      <w:r w:rsidRPr="009D2BE1">
        <w:rPr>
          <w:rFonts w:ascii="Arial" w:hAnsi="Arial" w:cs="Arial"/>
          <w:b/>
          <w:bCs/>
          <w:color w:val="000000"/>
          <w:sz w:val="20"/>
          <w:szCs w:val="24"/>
        </w:rPr>
        <w:t>Statement by child participating in treatment or rehabilitation program not admissible</w:t>
      </w:r>
      <w:r>
        <w:rPr>
          <w:rFonts w:ascii="Arial" w:hAnsi="Arial" w:cs="Arial"/>
          <w:b/>
          <w:bCs/>
          <w:color w:val="000000"/>
          <w:sz w:val="20"/>
          <w:szCs w:val="24"/>
        </w:rPr>
        <w:t xml:space="preserve"> in proceedings</w:t>
      </w:r>
    </w:p>
    <w:p w14:paraId="6B46FCB0" w14:textId="77777777" w:rsidR="003A32F3" w:rsidRDefault="003A32F3" w:rsidP="003A32F3">
      <w:pPr>
        <w:spacing w:before="60"/>
        <w:ind w:left="357"/>
        <w:jc w:val="both"/>
        <w:rPr>
          <w:rFonts w:ascii="Arial" w:hAnsi="Arial" w:cs="Arial"/>
          <w:color w:val="000000"/>
          <w:sz w:val="20"/>
        </w:rPr>
      </w:pPr>
      <w:r>
        <w:rPr>
          <w:rFonts w:ascii="Arial" w:hAnsi="Arial" w:cs="Arial"/>
          <w:color w:val="000000"/>
          <w:sz w:val="20"/>
        </w:rPr>
        <w:t>Unless the child consents, any statement, confession, admission or information that is made or given by a child for the purposes of assessment for – or whilst participating in – a treatment or rehabilitation program (within the meaning of s.347B(3) CYFA) is not admissible in–</w:t>
      </w:r>
    </w:p>
    <w:p w14:paraId="1D58E134" w14:textId="77777777" w:rsidR="003A32F3" w:rsidRDefault="003A32F3" w:rsidP="003A32F3">
      <w:pPr>
        <w:numPr>
          <w:ilvl w:val="0"/>
          <w:numId w:val="41"/>
        </w:numPr>
        <w:ind w:left="641" w:hanging="284"/>
        <w:jc w:val="both"/>
        <w:rPr>
          <w:rFonts w:ascii="Arial" w:hAnsi="Arial" w:cs="Arial"/>
          <w:sz w:val="20"/>
        </w:rPr>
      </w:pPr>
      <w:r>
        <w:rPr>
          <w:rFonts w:ascii="Arial" w:hAnsi="Arial" w:cs="Arial"/>
          <w:sz w:val="20"/>
        </w:rPr>
        <w:t xml:space="preserve">a hearing under the </w:t>
      </w:r>
      <w:r w:rsidRPr="004C5E97">
        <w:rPr>
          <w:rFonts w:ascii="Arial" w:hAnsi="Arial" w:cs="Arial"/>
          <w:i/>
          <w:iCs/>
          <w:sz w:val="20"/>
        </w:rPr>
        <w:t>Bail Act 1977</w:t>
      </w:r>
      <w:r>
        <w:rPr>
          <w:rFonts w:ascii="Arial" w:hAnsi="Arial" w:cs="Arial"/>
          <w:sz w:val="20"/>
        </w:rPr>
        <w:t>; or</w:t>
      </w:r>
    </w:p>
    <w:p w14:paraId="75C445B4" w14:textId="77777777" w:rsidR="003A32F3" w:rsidRDefault="003A32F3" w:rsidP="003A32F3">
      <w:pPr>
        <w:numPr>
          <w:ilvl w:val="0"/>
          <w:numId w:val="41"/>
        </w:numPr>
        <w:ind w:left="641" w:hanging="284"/>
        <w:jc w:val="both"/>
        <w:rPr>
          <w:rFonts w:ascii="Arial" w:hAnsi="Arial" w:cs="Arial"/>
          <w:sz w:val="20"/>
        </w:rPr>
      </w:pPr>
      <w:r>
        <w:rPr>
          <w:rFonts w:ascii="Arial" w:hAnsi="Arial" w:cs="Arial"/>
          <w:sz w:val="20"/>
        </w:rPr>
        <w:t xml:space="preserve">any proceeding (whether civil or criminal) other than a proceeding for a support and engagement order under the </w:t>
      </w:r>
      <w:r w:rsidRPr="009D2BE1">
        <w:rPr>
          <w:rFonts w:ascii="Arial" w:hAnsi="Arial" w:cs="Arial"/>
          <w:i/>
          <w:iCs/>
          <w:sz w:val="20"/>
        </w:rPr>
        <w:t>Terrorism (Community Protection) Act 2003</w:t>
      </w:r>
      <w:r>
        <w:rPr>
          <w:rFonts w:ascii="Arial" w:hAnsi="Arial" w:cs="Arial"/>
          <w:sz w:val="20"/>
        </w:rPr>
        <w:t>.</w:t>
      </w:r>
    </w:p>
    <w:p w14:paraId="3FD2A497" w14:textId="77777777" w:rsidR="003A32F3" w:rsidRPr="004C5E97" w:rsidRDefault="003A32F3" w:rsidP="003A32F3">
      <w:pPr>
        <w:pStyle w:val="Heading2"/>
        <w:widowControl/>
        <w:numPr>
          <w:ilvl w:val="0"/>
          <w:numId w:val="40"/>
        </w:numPr>
        <w:tabs>
          <w:tab w:val="num" w:pos="360"/>
          <w:tab w:val="left" w:pos="567"/>
        </w:tabs>
        <w:spacing w:before="60" w:line="240" w:lineRule="auto"/>
        <w:ind w:left="357" w:hanging="357"/>
        <w:rPr>
          <w:rFonts w:ascii="Arial" w:hAnsi="Arial" w:cs="Arial"/>
          <w:b/>
          <w:bCs/>
          <w:color w:val="000000"/>
          <w:sz w:val="20"/>
          <w:szCs w:val="24"/>
        </w:rPr>
      </w:pPr>
      <w:r w:rsidRPr="004C5E97">
        <w:rPr>
          <w:rFonts w:ascii="Arial" w:hAnsi="Arial" w:cs="Arial"/>
          <w:b/>
          <w:bCs/>
          <w:color w:val="000000"/>
          <w:sz w:val="20"/>
          <w:szCs w:val="24"/>
        </w:rPr>
        <w:t>s.347C CYFA: Risk rating derived from assessment of child’s risk of re-offending not admissible before child is sentenced</w:t>
      </w:r>
    </w:p>
    <w:p w14:paraId="0F01106C" w14:textId="77777777" w:rsidR="003A32F3" w:rsidRDefault="003A32F3" w:rsidP="003A32F3">
      <w:pPr>
        <w:spacing w:before="60"/>
        <w:ind w:left="357"/>
        <w:jc w:val="both"/>
        <w:rPr>
          <w:rFonts w:ascii="Arial" w:hAnsi="Arial" w:cs="Arial"/>
          <w:color w:val="000000"/>
          <w:sz w:val="20"/>
        </w:rPr>
      </w:pPr>
      <w:r>
        <w:rPr>
          <w:rFonts w:ascii="Arial" w:hAnsi="Arial" w:cs="Arial"/>
          <w:color w:val="000000"/>
          <w:sz w:val="20"/>
        </w:rPr>
        <w:t>Any score, assessment or rating related to a child’s risk of re-offending derived from an assessment of the child’s individual risks and needs conducted after the alleged commission of an offence is not admissible in–</w:t>
      </w:r>
    </w:p>
    <w:p w14:paraId="36DFB15D" w14:textId="77777777" w:rsidR="003A32F3" w:rsidRDefault="003A32F3" w:rsidP="003A32F3">
      <w:pPr>
        <w:numPr>
          <w:ilvl w:val="0"/>
          <w:numId w:val="42"/>
        </w:numPr>
        <w:ind w:left="641" w:hanging="284"/>
        <w:jc w:val="both"/>
        <w:rPr>
          <w:rFonts w:ascii="Arial" w:hAnsi="Arial" w:cs="Arial"/>
          <w:sz w:val="20"/>
        </w:rPr>
      </w:pPr>
      <w:r>
        <w:rPr>
          <w:rFonts w:ascii="Arial" w:hAnsi="Arial" w:cs="Arial"/>
          <w:sz w:val="20"/>
        </w:rPr>
        <w:t xml:space="preserve">a hearing under the </w:t>
      </w:r>
      <w:r w:rsidRPr="00502D77">
        <w:rPr>
          <w:rFonts w:ascii="Arial" w:hAnsi="Arial" w:cs="Arial"/>
          <w:i/>
          <w:iCs/>
          <w:sz w:val="20"/>
        </w:rPr>
        <w:t>Bail Act 1977</w:t>
      </w:r>
      <w:r>
        <w:rPr>
          <w:rFonts w:ascii="Arial" w:hAnsi="Arial" w:cs="Arial"/>
          <w:sz w:val="20"/>
        </w:rPr>
        <w:t>; or</w:t>
      </w:r>
    </w:p>
    <w:p w14:paraId="3EA4041E" w14:textId="77777777" w:rsidR="003A32F3" w:rsidRDefault="003A32F3" w:rsidP="003A32F3">
      <w:pPr>
        <w:numPr>
          <w:ilvl w:val="0"/>
          <w:numId w:val="42"/>
        </w:numPr>
        <w:ind w:left="641" w:hanging="284"/>
        <w:jc w:val="both"/>
        <w:rPr>
          <w:rFonts w:ascii="Arial" w:hAnsi="Arial" w:cs="Arial"/>
          <w:sz w:val="20"/>
        </w:rPr>
      </w:pPr>
      <w:r>
        <w:rPr>
          <w:rFonts w:ascii="Arial" w:hAnsi="Arial" w:cs="Arial"/>
          <w:sz w:val="20"/>
        </w:rPr>
        <w:t>any criminal proceeding before the child is sentenced for the offence.</w:t>
      </w:r>
    </w:p>
    <w:p w14:paraId="7CDCA5BC" w14:textId="77777777" w:rsidR="00C92B1F" w:rsidRDefault="00C92B1F" w:rsidP="000C3F42">
      <w:pPr>
        <w:rPr>
          <w:rFonts w:ascii="Arial" w:hAnsi="Arial" w:cs="Arial"/>
          <w:color w:val="000000"/>
          <w:sz w:val="18"/>
          <w:szCs w:val="22"/>
        </w:rPr>
      </w:pPr>
    </w:p>
    <w:p w14:paraId="4E423F43" w14:textId="64CD667B" w:rsidR="00EE5134" w:rsidRDefault="00EE5134">
      <w:pPr>
        <w:pStyle w:val="Heading2"/>
        <w:keepNext/>
        <w:tabs>
          <w:tab w:val="left" w:pos="567"/>
        </w:tabs>
        <w:spacing w:line="240" w:lineRule="auto"/>
        <w:rPr>
          <w:rFonts w:ascii="Arial" w:hAnsi="Arial" w:cs="Arial"/>
          <w:b/>
          <w:bCs/>
        </w:rPr>
      </w:pPr>
      <w:r>
        <w:rPr>
          <w:rFonts w:ascii="Arial" w:hAnsi="Arial" w:cs="Arial"/>
          <w:b/>
          <w:bCs/>
        </w:rPr>
        <w:t>8.3</w:t>
      </w:r>
      <w:r>
        <w:rPr>
          <w:rFonts w:ascii="Arial" w:hAnsi="Arial" w:cs="Arial"/>
          <w:b/>
          <w:bCs/>
        </w:rPr>
        <w:tab/>
        <w:t>Fingerprinting</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E81DABC" w14:textId="77777777" w:rsidR="00EE5134" w:rsidRDefault="00EE5134" w:rsidP="00EB03F4">
      <w:pPr>
        <w:keepNext/>
        <w:jc w:val="both"/>
        <w:rPr>
          <w:rFonts w:ascii="Arial" w:hAnsi="Arial" w:cs="Arial"/>
        </w:rPr>
      </w:pPr>
    </w:p>
    <w:p w14:paraId="36B13FA1" w14:textId="7F020A8E" w:rsidR="00EE5134" w:rsidRPr="000E5AC2" w:rsidRDefault="00EE5134">
      <w:pPr>
        <w:pStyle w:val="Heading3"/>
        <w:keepNext/>
        <w:spacing w:after="80" w:line="240" w:lineRule="auto"/>
        <w:rPr>
          <w:rFonts w:ascii="Arial" w:hAnsi="Arial" w:cs="Arial"/>
          <w:b/>
          <w:bCs/>
          <w:sz w:val="20"/>
          <w:lang w:val="en-US"/>
        </w:rPr>
      </w:pPr>
      <w:bookmarkStart w:id="351" w:name="_8.3.1_Adult_or"/>
      <w:bookmarkStart w:id="352" w:name="_Toc30691413"/>
      <w:bookmarkStart w:id="353" w:name="_Toc30691790"/>
      <w:bookmarkStart w:id="354" w:name="_Toc30692170"/>
      <w:bookmarkStart w:id="355" w:name="_Toc30692928"/>
      <w:bookmarkStart w:id="356" w:name="_Toc30693307"/>
      <w:bookmarkStart w:id="357" w:name="_Toc30693685"/>
      <w:bookmarkStart w:id="358" w:name="_Toc30694063"/>
      <w:bookmarkStart w:id="359" w:name="_Toc30694443"/>
      <w:bookmarkStart w:id="360" w:name="_Toc30699032"/>
      <w:bookmarkStart w:id="361" w:name="_Toc30699410"/>
      <w:bookmarkStart w:id="362" w:name="_Toc30699795"/>
      <w:bookmarkStart w:id="363" w:name="_Toc30700950"/>
      <w:bookmarkStart w:id="364" w:name="_Toc30701337"/>
      <w:bookmarkStart w:id="365" w:name="_Toc30743948"/>
      <w:bookmarkStart w:id="366" w:name="_Toc30754771"/>
      <w:bookmarkStart w:id="367" w:name="_Toc30757212"/>
      <w:bookmarkStart w:id="368" w:name="_Toc30757760"/>
      <w:bookmarkStart w:id="369" w:name="_Toc30758160"/>
      <w:bookmarkStart w:id="370" w:name="_Toc30762921"/>
      <w:bookmarkStart w:id="371" w:name="_Toc30767575"/>
      <w:bookmarkStart w:id="372" w:name="_Toc34823593"/>
      <w:bookmarkEnd w:id="351"/>
      <w:r>
        <w:rPr>
          <w:rFonts w:ascii="Arial" w:hAnsi="Arial" w:cs="Arial"/>
          <w:b/>
          <w:bCs/>
          <w:sz w:val="20"/>
        </w:rPr>
        <w:t>8.3.1</w:t>
      </w:r>
      <w:r>
        <w:rPr>
          <w:rFonts w:ascii="Arial" w:hAnsi="Arial" w:cs="Arial"/>
          <w:b/>
          <w:bCs/>
          <w:sz w:val="20"/>
        </w:rPr>
        <w:tab/>
      </w:r>
      <w:r w:rsidR="00D058B2">
        <w:rPr>
          <w:rFonts w:ascii="Arial" w:hAnsi="Arial" w:cs="Arial"/>
          <w:b/>
          <w:bCs/>
          <w:sz w:val="20"/>
        </w:rPr>
        <w:t xml:space="preserve">Child aged 15 or over or </w:t>
      </w:r>
      <w:r w:rsidR="00FB6EAD">
        <w:rPr>
          <w:rFonts w:ascii="Arial" w:hAnsi="Arial" w:cs="Arial"/>
          <w:b/>
          <w:bCs/>
          <w:sz w:val="20"/>
        </w:rPr>
        <w:t xml:space="preserve">an </w:t>
      </w:r>
      <w:r w:rsidR="00D058B2">
        <w:rPr>
          <w:rFonts w:ascii="Arial" w:hAnsi="Arial" w:cs="Arial"/>
          <w:b/>
          <w:bCs/>
          <w:sz w:val="20"/>
        </w:rPr>
        <w:t>a</w:t>
      </w:r>
      <w:r>
        <w:rPr>
          <w:rFonts w:ascii="Arial" w:hAnsi="Arial" w:cs="Arial"/>
          <w:b/>
          <w:bCs/>
          <w:sz w:val="20"/>
        </w:rPr>
        <w:t>dult</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8E2DB74" w14:textId="0108DBCD" w:rsidR="00EE5134" w:rsidRDefault="00EE5134">
      <w:pPr>
        <w:jc w:val="both"/>
        <w:rPr>
          <w:rFonts w:ascii="Arial" w:hAnsi="Arial" w:cs="Arial"/>
          <w:sz w:val="20"/>
        </w:rPr>
      </w:pPr>
      <w:r>
        <w:rPr>
          <w:rFonts w:ascii="Arial" w:hAnsi="Arial" w:cs="Arial"/>
          <w:sz w:val="20"/>
        </w:rPr>
        <w:t xml:space="preserve">No court order is required for a police officer to take the fingerprints of a child aged 15 or </w:t>
      </w:r>
      <w:r w:rsidR="00D058B2">
        <w:rPr>
          <w:rFonts w:ascii="Arial" w:hAnsi="Arial" w:cs="Arial"/>
          <w:sz w:val="20"/>
        </w:rPr>
        <w:t>over an adult or an adult</w:t>
      </w:r>
      <w:r>
        <w:rPr>
          <w:rFonts w:ascii="Arial" w:hAnsi="Arial" w:cs="Arial"/>
          <w:sz w:val="20"/>
        </w:rPr>
        <w:t>.  Section 464</w:t>
      </w:r>
      <w:proofErr w:type="gramStart"/>
      <w:r>
        <w:rPr>
          <w:rFonts w:ascii="Arial" w:hAnsi="Arial" w:cs="Arial"/>
          <w:sz w:val="20"/>
        </w:rPr>
        <w:t>K(</w:t>
      </w:r>
      <w:proofErr w:type="gramEnd"/>
      <w:r>
        <w:rPr>
          <w:rFonts w:ascii="Arial" w:hAnsi="Arial" w:cs="Arial"/>
          <w:sz w:val="20"/>
        </w:rPr>
        <w:t>1) of the Crimes Act 1958 (Vic) [as amended] authorises a member of the police force to take, or cause to be taken by an authorised person, the fingerprints of a person of or above the age of 15 years who</w:t>
      </w:r>
      <w:r w:rsidR="009B62AA">
        <w:rPr>
          <w:rFonts w:ascii="Arial" w:hAnsi="Arial" w:cs="Arial"/>
          <w:sz w:val="20"/>
        </w:rPr>
        <w:t>–</w:t>
      </w:r>
    </w:p>
    <w:p w14:paraId="4209D46C" w14:textId="77777777" w:rsidR="00EE5134" w:rsidRDefault="00EE5134" w:rsidP="00DA5CCF">
      <w:pPr>
        <w:ind w:left="357" w:hanging="357"/>
        <w:jc w:val="both"/>
        <w:rPr>
          <w:rFonts w:ascii="Arial" w:hAnsi="Arial" w:cs="Arial"/>
          <w:sz w:val="20"/>
        </w:rPr>
      </w:pPr>
      <w:r>
        <w:rPr>
          <w:rFonts w:ascii="Arial" w:hAnsi="Arial" w:cs="Arial"/>
          <w:sz w:val="20"/>
        </w:rPr>
        <w:t>(a)</w:t>
      </w:r>
      <w:r>
        <w:rPr>
          <w:rFonts w:ascii="Arial" w:hAnsi="Arial" w:cs="Arial"/>
          <w:sz w:val="20"/>
        </w:rPr>
        <w:tab/>
        <w:t>is believed on reasonable grounds to have committed; or</w:t>
      </w:r>
    </w:p>
    <w:p w14:paraId="0E270090" w14:textId="77777777" w:rsidR="00EE5134" w:rsidRDefault="00EE5134" w:rsidP="00DA5CCF">
      <w:pPr>
        <w:ind w:left="357" w:hanging="357"/>
        <w:jc w:val="both"/>
        <w:rPr>
          <w:rFonts w:ascii="Arial" w:hAnsi="Arial" w:cs="Arial"/>
          <w:sz w:val="20"/>
        </w:rPr>
      </w:pPr>
      <w:r>
        <w:rPr>
          <w:rFonts w:ascii="Arial" w:hAnsi="Arial" w:cs="Arial"/>
          <w:sz w:val="20"/>
        </w:rPr>
        <w:t>(b)</w:t>
      </w:r>
      <w:r>
        <w:rPr>
          <w:rFonts w:ascii="Arial" w:hAnsi="Arial" w:cs="Arial"/>
          <w:sz w:val="20"/>
        </w:rPr>
        <w:tab/>
        <w:t>has been charged with; or</w:t>
      </w:r>
    </w:p>
    <w:p w14:paraId="094D592D" w14:textId="656942E5" w:rsidR="00EE5134" w:rsidRDefault="00EE5134" w:rsidP="00DA5CCF">
      <w:pPr>
        <w:ind w:left="357" w:hanging="357"/>
        <w:jc w:val="both"/>
        <w:rPr>
          <w:rFonts w:ascii="Arial" w:hAnsi="Arial" w:cs="Arial"/>
          <w:sz w:val="20"/>
        </w:rPr>
      </w:pPr>
      <w:r>
        <w:rPr>
          <w:rFonts w:ascii="Arial" w:hAnsi="Arial" w:cs="Arial"/>
          <w:sz w:val="20"/>
        </w:rPr>
        <w:t>(c)</w:t>
      </w:r>
      <w:r>
        <w:rPr>
          <w:rFonts w:ascii="Arial" w:hAnsi="Arial" w:cs="Arial"/>
          <w:sz w:val="20"/>
        </w:rPr>
        <w:tab/>
        <w:t>has been summonsed to answer a charge for</w:t>
      </w:r>
      <w:r w:rsidR="009B62AA">
        <w:rPr>
          <w:rFonts w:ascii="Arial" w:hAnsi="Arial" w:cs="Arial"/>
          <w:sz w:val="20"/>
        </w:rPr>
        <w:t>–</w:t>
      </w:r>
    </w:p>
    <w:p w14:paraId="7762C40C" w14:textId="77777777" w:rsidR="00EE5134" w:rsidRDefault="00EE5134">
      <w:pPr>
        <w:jc w:val="both"/>
        <w:rPr>
          <w:rFonts w:ascii="Arial" w:hAnsi="Arial" w:cs="Arial"/>
          <w:sz w:val="20"/>
        </w:rPr>
      </w:pPr>
      <w:r>
        <w:rPr>
          <w:rFonts w:ascii="Arial" w:hAnsi="Arial" w:cs="Arial"/>
          <w:sz w:val="20"/>
        </w:rPr>
        <w:t>an indictable offence or a summary offence referred to in Schedule 7.</w:t>
      </w:r>
    </w:p>
    <w:p w14:paraId="2308031D" w14:textId="77777777" w:rsidR="00EE5134" w:rsidRDefault="00EE5134">
      <w:pPr>
        <w:jc w:val="both"/>
        <w:rPr>
          <w:rFonts w:ascii="Arial" w:hAnsi="Arial" w:cs="Arial"/>
          <w:sz w:val="20"/>
        </w:rPr>
      </w:pPr>
    </w:p>
    <w:p w14:paraId="056C21AB" w14:textId="77777777" w:rsidR="00EE5134" w:rsidRDefault="00EE5134">
      <w:pPr>
        <w:jc w:val="both"/>
        <w:rPr>
          <w:rFonts w:ascii="Arial" w:hAnsi="Arial" w:cs="Arial"/>
          <w:sz w:val="20"/>
        </w:rPr>
      </w:pPr>
      <w:r>
        <w:rPr>
          <w:rFonts w:ascii="Arial" w:hAnsi="Arial" w:cs="Arial"/>
          <w:sz w:val="20"/>
        </w:rPr>
        <w:t>If t</w:t>
      </w:r>
      <w:r w:rsidR="003106FD">
        <w:rPr>
          <w:rFonts w:ascii="Arial" w:hAnsi="Arial" w:cs="Arial"/>
          <w:sz w:val="20"/>
        </w:rPr>
        <w:t xml:space="preserve">he person is a child aged 15, </w:t>
      </w:r>
      <w:r>
        <w:rPr>
          <w:rFonts w:ascii="Arial" w:hAnsi="Arial" w:cs="Arial"/>
          <w:sz w:val="20"/>
        </w:rPr>
        <w:t xml:space="preserve">16 </w:t>
      </w:r>
      <w:r w:rsidR="003106FD">
        <w:rPr>
          <w:rFonts w:ascii="Arial" w:hAnsi="Arial" w:cs="Arial"/>
          <w:sz w:val="20"/>
        </w:rPr>
        <w:t xml:space="preserve">or 17 </w:t>
      </w:r>
      <w:r>
        <w:rPr>
          <w:rFonts w:ascii="Arial" w:hAnsi="Arial" w:cs="Arial"/>
          <w:sz w:val="20"/>
        </w:rPr>
        <w:t>years a parent or guardian or, if a parent or guardian cannot be located, an independent person must be present during the</w:t>
      </w:r>
      <w:r>
        <w:rPr>
          <w:rFonts w:ascii="Arial" w:hAnsi="Arial" w:cs="Arial"/>
        </w:rPr>
        <w:t xml:space="preserve"> </w:t>
      </w:r>
      <w:r>
        <w:rPr>
          <w:rFonts w:ascii="Arial" w:hAnsi="Arial" w:cs="Arial"/>
          <w:sz w:val="20"/>
        </w:rPr>
        <w:t>request for the fingerprints, the giving of the information referred to in s.464K(2) and the taking of the fingerprints: s.464K(7).</w:t>
      </w:r>
    </w:p>
    <w:p w14:paraId="20543E18" w14:textId="77777777" w:rsidR="00EE5134" w:rsidRDefault="00EE5134">
      <w:pPr>
        <w:jc w:val="both"/>
        <w:rPr>
          <w:rFonts w:ascii="Arial" w:hAnsi="Arial" w:cs="Arial"/>
          <w:sz w:val="20"/>
        </w:rPr>
      </w:pPr>
    </w:p>
    <w:p w14:paraId="5ADECF32" w14:textId="3C9396E7" w:rsidR="00EE5134" w:rsidRPr="004321F7" w:rsidRDefault="00EE5134">
      <w:pPr>
        <w:pStyle w:val="Heading3"/>
        <w:keepNext/>
        <w:spacing w:after="80" w:line="240" w:lineRule="auto"/>
        <w:rPr>
          <w:rFonts w:ascii="Arial" w:hAnsi="Arial" w:cs="Arial"/>
          <w:b/>
          <w:bCs/>
          <w:sz w:val="20"/>
          <w:lang w:val="en-US"/>
        </w:rPr>
      </w:pPr>
      <w:bookmarkStart w:id="373" w:name="_8.3.2_Child_aged"/>
      <w:bookmarkStart w:id="374" w:name="_Toc30691414"/>
      <w:bookmarkStart w:id="375" w:name="_Toc30691791"/>
      <w:bookmarkStart w:id="376" w:name="_Toc30692171"/>
      <w:bookmarkStart w:id="377" w:name="_Toc30692929"/>
      <w:bookmarkStart w:id="378" w:name="_Toc30693308"/>
      <w:bookmarkStart w:id="379" w:name="_Toc30693686"/>
      <w:bookmarkStart w:id="380" w:name="_Toc30694064"/>
      <w:bookmarkStart w:id="381" w:name="_Toc30694444"/>
      <w:bookmarkStart w:id="382" w:name="_Toc30699033"/>
      <w:bookmarkStart w:id="383" w:name="_Toc30699411"/>
      <w:bookmarkStart w:id="384" w:name="_Toc30699796"/>
      <w:bookmarkStart w:id="385" w:name="_Toc30700951"/>
      <w:bookmarkStart w:id="386" w:name="_Toc30701338"/>
      <w:bookmarkStart w:id="387" w:name="_Toc30743949"/>
      <w:bookmarkStart w:id="388" w:name="_Toc30754772"/>
      <w:bookmarkStart w:id="389" w:name="_Toc30757213"/>
      <w:bookmarkStart w:id="390" w:name="_Toc30757761"/>
      <w:bookmarkStart w:id="391" w:name="_Toc30758161"/>
      <w:bookmarkStart w:id="392" w:name="_Toc30762922"/>
      <w:bookmarkStart w:id="393" w:name="_Toc30767576"/>
      <w:bookmarkStart w:id="394" w:name="_Toc34823594"/>
      <w:bookmarkEnd w:id="373"/>
      <w:r>
        <w:rPr>
          <w:rFonts w:ascii="Arial" w:hAnsi="Arial" w:cs="Arial"/>
          <w:b/>
          <w:bCs/>
          <w:sz w:val="20"/>
        </w:rPr>
        <w:t>8.3.2</w:t>
      </w:r>
      <w:r>
        <w:rPr>
          <w:rFonts w:ascii="Arial" w:hAnsi="Arial" w:cs="Arial"/>
          <w:b/>
          <w:bCs/>
          <w:sz w:val="20"/>
        </w:rPr>
        <w:tab/>
        <w:t>Child aged under 1</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005F7C9E">
        <w:rPr>
          <w:rFonts w:ascii="Arial" w:hAnsi="Arial" w:cs="Arial"/>
          <w:b/>
          <w:bCs/>
          <w:sz w:val="20"/>
        </w:rPr>
        <w:t>2</w:t>
      </w:r>
    </w:p>
    <w:p w14:paraId="7D81DBD2" w14:textId="00965FCC" w:rsidR="005F7C9E" w:rsidRDefault="005F7C9E" w:rsidP="005F7C9E">
      <w:pPr>
        <w:jc w:val="both"/>
        <w:rPr>
          <w:rFonts w:ascii="Arial" w:hAnsi="Arial" w:cs="Arial"/>
          <w:sz w:val="20"/>
        </w:rPr>
      </w:pPr>
      <w:r>
        <w:rPr>
          <w:rFonts w:ascii="Arial" w:hAnsi="Arial" w:cs="Arial"/>
          <w:sz w:val="20"/>
        </w:rPr>
        <w:t>Section 464</w:t>
      </w:r>
      <w:proofErr w:type="gramStart"/>
      <w:r>
        <w:rPr>
          <w:rFonts w:ascii="Arial" w:hAnsi="Arial" w:cs="Arial"/>
          <w:sz w:val="20"/>
        </w:rPr>
        <w:t>L(</w:t>
      </w:r>
      <w:proofErr w:type="gramEnd"/>
      <w:r>
        <w:rPr>
          <w:rFonts w:ascii="Arial" w:hAnsi="Arial" w:cs="Arial"/>
          <w:sz w:val="20"/>
        </w:rPr>
        <w:t>1) provides that a police officer must not do any of the following in respect of a child who was under 12 years of age at the time the child is alleged to have done any act or made any omission which would constitute an offence if the child had been of the age of criminal responsibility–</w:t>
      </w:r>
    </w:p>
    <w:p w14:paraId="79DB0970" w14:textId="6A117DEA" w:rsidR="005F7C9E" w:rsidRDefault="005F7C9E" w:rsidP="009B62AA">
      <w:pPr>
        <w:pStyle w:val="ListParagraph"/>
        <w:numPr>
          <w:ilvl w:val="0"/>
          <w:numId w:val="43"/>
        </w:numPr>
        <w:spacing w:line="240" w:lineRule="auto"/>
        <w:ind w:left="357" w:hanging="357"/>
        <w:jc w:val="both"/>
        <w:rPr>
          <w:rFonts w:ascii="Arial" w:hAnsi="Arial" w:cs="Arial"/>
          <w:sz w:val="20"/>
        </w:rPr>
      </w:pPr>
      <w:r>
        <w:rPr>
          <w:rFonts w:ascii="Arial" w:hAnsi="Arial" w:cs="Arial"/>
          <w:sz w:val="20"/>
        </w:rPr>
        <w:t>request the child to give the child’s fingerprints;</w:t>
      </w:r>
    </w:p>
    <w:p w14:paraId="6305FB28" w14:textId="640B187F" w:rsidR="005F7C9E" w:rsidRDefault="005F7C9E" w:rsidP="009B62AA">
      <w:pPr>
        <w:pStyle w:val="ListParagraph"/>
        <w:numPr>
          <w:ilvl w:val="0"/>
          <w:numId w:val="43"/>
        </w:numPr>
        <w:spacing w:line="240" w:lineRule="auto"/>
        <w:ind w:left="357" w:hanging="357"/>
        <w:jc w:val="both"/>
        <w:rPr>
          <w:rFonts w:ascii="Arial" w:hAnsi="Arial" w:cs="Arial"/>
          <w:sz w:val="20"/>
        </w:rPr>
      </w:pPr>
      <w:r>
        <w:rPr>
          <w:rFonts w:ascii="Arial" w:hAnsi="Arial" w:cs="Arial"/>
          <w:sz w:val="20"/>
        </w:rPr>
        <w:t>take fingerprints from the child;</w:t>
      </w:r>
    </w:p>
    <w:p w14:paraId="778115E7" w14:textId="01E6FCE3" w:rsidR="005F7C9E" w:rsidRPr="005F7C9E" w:rsidRDefault="005F7C9E" w:rsidP="009B62AA">
      <w:pPr>
        <w:pStyle w:val="ListParagraph"/>
        <w:numPr>
          <w:ilvl w:val="0"/>
          <w:numId w:val="43"/>
        </w:numPr>
        <w:spacing w:after="0" w:line="240" w:lineRule="auto"/>
        <w:ind w:left="357" w:hanging="357"/>
        <w:jc w:val="both"/>
        <w:rPr>
          <w:rFonts w:ascii="Arial" w:hAnsi="Arial" w:cs="Arial"/>
          <w:sz w:val="20"/>
        </w:rPr>
      </w:pPr>
      <w:r>
        <w:rPr>
          <w:rFonts w:ascii="Arial" w:hAnsi="Arial" w:cs="Arial"/>
          <w:sz w:val="20"/>
        </w:rPr>
        <w:t>cause any other person to take fingerprints from the child.</w:t>
      </w:r>
    </w:p>
    <w:p w14:paraId="4243F481" w14:textId="77777777" w:rsidR="00EE5134" w:rsidRDefault="00EE5134">
      <w:pPr>
        <w:jc w:val="both"/>
        <w:rPr>
          <w:rFonts w:ascii="Arial" w:hAnsi="Arial" w:cs="Arial"/>
          <w:sz w:val="20"/>
        </w:rPr>
      </w:pPr>
    </w:p>
    <w:p w14:paraId="4407DE77" w14:textId="78B36DFF" w:rsidR="00EE5134" w:rsidRDefault="00EE5134">
      <w:pPr>
        <w:pStyle w:val="Heading3"/>
        <w:keepNext/>
        <w:spacing w:after="80" w:line="240" w:lineRule="auto"/>
        <w:rPr>
          <w:rFonts w:ascii="Arial" w:hAnsi="Arial" w:cs="Arial"/>
          <w:b/>
          <w:bCs/>
          <w:sz w:val="20"/>
        </w:rPr>
      </w:pPr>
      <w:bookmarkStart w:id="395" w:name="_8.3.3_Child_aged"/>
      <w:bookmarkStart w:id="396" w:name="_Toc30691415"/>
      <w:bookmarkStart w:id="397" w:name="_Toc30691792"/>
      <w:bookmarkStart w:id="398" w:name="_Toc30692172"/>
      <w:bookmarkStart w:id="399" w:name="_Toc30692930"/>
      <w:bookmarkStart w:id="400" w:name="_Toc30693309"/>
      <w:bookmarkStart w:id="401" w:name="_Toc30693687"/>
      <w:bookmarkStart w:id="402" w:name="_Toc30694065"/>
      <w:bookmarkStart w:id="403" w:name="_Toc30694445"/>
      <w:bookmarkStart w:id="404" w:name="_Toc30699034"/>
      <w:bookmarkStart w:id="405" w:name="_Toc30699412"/>
      <w:bookmarkStart w:id="406" w:name="_Toc30699797"/>
      <w:bookmarkStart w:id="407" w:name="_Toc30700952"/>
      <w:bookmarkStart w:id="408" w:name="_Toc30701339"/>
      <w:bookmarkStart w:id="409" w:name="_Toc30743950"/>
      <w:bookmarkStart w:id="410" w:name="_Toc30754773"/>
      <w:bookmarkStart w:id="411" w:name="_Toc30757214"/>
      <w:bookmarkStart w:id="412" w:name="_Toc30757762"/>
      <w:bookmarkStart w:id="413" w:name="_Toc30758162"/>
      <w:bookmarkStart w:id="414" w:name="_Toc30762923"/>
      <w:bookmarkStart w:id="415" w:name="_Toc30767577"/>
      <w:bookmarkStart w:id="416" w:name="_Toc34823595"/>
      <w:bookmarkEnd w:id="395"/>
      <w:r>
        <w:rPr>
          <w:rFonts w:ascii="Arial" w:hAnsi="Arial" w:cs="Arial"/>
          <w:b/>
          <w:bCs/>
          <w:sz w:val="20"/>
        </w:rPr>
        <w:t>8.3.3</w:t>
      </w:r>
      <w:r>
        <w:rPr>
          <w:rFonts w:ascii="Arial" w:hAnsi="Arial" w:cs="Arial"/>
          <w:b/>
          <w:bCs/>
          <w:sz w:val="20"/>
        </w:rPr>
        <w:tab/>
        <w:t>Child aged 1</w:t>
      </w:r>
      <w:r w:rsidR="005F7C9E">
        <w:rPr>
          <w:rFonts w:ascii="Arial" w:hAnsi="Arial" w:cs="Arial"/>
          <w:b/>
          <w:bCs/>
          <w:sz w:val="20"/>
        </w:rPr>
        <w:t>2</w:t>
      </w:r>
      <w:r>
        <w:rPr>
          <w:rFonts w:ascii="Arial" w:hAnsi="Arial" w:cs="Arial"/>
          <w:b/>
          <w:bCs/>
          <w:sz w:val="20"/>
        </w:rPr>
        <w:t xml:space="preserve"> to 14</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7CEE60C1" w14:textId="3950FC1A" w:rsidR="00EE5134" w:rsidRDefault="00EE5134">
      <w:pPr>
        <w:jc w:val="both"/>
        <w:rPr>
          <w:rFonts w:ascii="Arial" w:hAnsi="Arial" w:cs="Arial"/>
          <w:sz w:val="20"/>
        </w:rPr>
      </w:pPr>
      <w:r>
        <w:rPr>
          <w:rFonts w:ascii="Arial" w:hAnsi="Arial" w:cs="Arial"/>
          <w:sz w:val="20"/>
        </w:rPr>
        <w:t>By contrast with adults and children aged 15 or above, the taking of fingerprints from a child aged 1</w:t>
      </w:r>
      <w:r w:rsidR="00304960">
        <w:rPr>
          <w:rFonts w:ascii="Arial" w:hAnsi="Arial" w:cs="Arial"/>
          <w:sz w:val="20"/>
        </w:rPr>
        <w:t>2 to 14</w:t>
      </w:r>
      <w:r>
        <w:rPr>
          <w:rFonts w:ascii="Arial" w:hAnsi="Arial" w:cs="Arial"/>
          <w:sz w:val="20"/>
        </w:rPr>
        <w:t xml:space="preserve"> requires:</w:t>
      </w:r>
    </w:p>
    <w:p w14:paraId="6002D109" w14:textId="77777777" w:rsidR="00EE5134" w:rsidRDefault="00EE5134" w:rsidP="00DA5CCF">
      <w:pPr>
        <w:numPr>
          <w:ilvl w:val="0"/>
          <w:numId w:val="3"/>
        </w:numPr>
        <w:tabs>
          <w:tab w:val="clear" w:pos="420"/>
          <w:tab w:val="num" w:pos="357"/>
        </w:tabs>
        <w:ind w:left="0"/>
        <w:jc w:val="both"/>
        <w:rPr>
          <w:rFonts w:ascii="Arial" w:hAnsi="Arial" w:cs="Arial"/>
          <w:sz w:val="20"/>
        </w:rPr>
      </w:pPr>
      <w:r>
        <w:rPr>
          <w:rFonts w:ascii="Arial" w:hAnsi="Arial" w:cs="Arial"/>
          <w:sz w:val="20"/>
        </w:rPr>
        <w:t>consent of both the child and a parent or guardian; or</w:t>
      </w:r>
    </w:p>
    <w:p w14:paraId="671A2919" w14:textId="77777777" w:rsidR="00EE5134" w:rsidRDefault="00EE5134" w:rsidP="00DA5CCF">
      <w:pPr>
        <w:numPr>
          <w:ilvl w:val="0"/>
          <w:numId w:val="3"/>
        </w:numPr>
        <w:tabs>
          <w:tab w:val="clear" w:pos="420"/>
          <w:tab w:val="num" w:pos="357"/>
        </w:tabs>
        <w:ind w:left="0"/>
        <w:jc w:val="both"/>
        <w:rPr>
          <w:rFonts w:ascii="Arial" w:hAnsi="Arial" w:cs="Arial"/>
          <w:sz w:val="20"/>
        </w:rPr>
      </w:pPr>
      <w:r>
        <w:rPr>
          <w:rFonts w:ascii="Arial" w:hAnsi="Arial" w:cs="Arial"/>
          <w:sz w:val="20"/>
        </w:rPr>
        <w:t>a court order.</w:t>
      </w:r>
    </w:p>
    <w:p w14:paraId="71A79452" w14:textId="77777777" w:rsidR="00EE5134" w:rsidRDefault="00EE5134">
      <w:pPr>
        <w:jc w:val="both"/>
        <w:rPr>
          <w:rFonts w:ascii="Arial" w:hAnsi="Arial" w:cs="Arial"/>
          <w:sz w:val="20"/>
        </w:rPr>
      </w:pPr>
    </w:p>
    <w:p w14:paraId="44F211BD" w14:textId="341BAB7C"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L(</w:t>
      </w:r>
      <w:proofErr w:type="gramEnd"/>
      <w:r>
        <w:rPr>
          <w:rFonts w:ascii="Arial" w:hAnsi="Arial" w:cs="Arial"/>
          <w:sz w:val="20"/>
        </w:rPr>
        <w:t xml:space="preserve">2) of the Crimes Act 1958 (Vic) [as amended] authorises a member of the police force to take, or cause to be taken by an authorised person, the fingerprints of a child </w:t>
      </w:r>
      <w:r w:rsidR="00304960">
        <w:rPr>
          <w:rFonts w:ascii="Arial" w:hAnsi="Arial" w:cs="Arial"/>
          <w:sz w:val="20"/>
        </w:rPr>
        <w:t>who is</w:t>
      </w:r>
      <w:r>
        <w:rPr>
          <w:rFonts w:ascii="Arial" w:hAnsi="Arial" w:cs="Arial"/>
          <w:sz w:val="20"/>
        </w:rPr>
        <w:t xml:space="preserve"> 1</w:t>
      </w:r>
      <w:r w:rsidR="005F7C9E">
        <w:rPr>
          <w:rFonts w:ascii="Arial" w:hAnsi="Arial" w:cs="Arial"/>
          <w:sz w:val="20"/>
        </w:rPr>
        <w:t>2</w:t>
      </w:r>
      <w:r>
        <w:rPr>
          <w:rFonts w:ascii="Arial" w:hAnsi="Arial" w:cs="Arial"/>
          <w:sz w:val="20"/>
        </w:rPr>
        <w:t xml:space="preserve"> years </w:t>
      </w:r>
      <w:r w:rsidR="00304960">
        <w:rPr>
          <w:rFonts w:ascii="Arial" w:hAnsi="Arial" w:cs="Arial"/>
          <w:sz w:val="20"/>
        </w:rPr>
        <w:t xml:space="preserve">of age </w:t>
      </w:r>
      <w:r>
        <w:rPr>
          <w:rFonts w:ascii="Arial" w:hAnsi="Arial" w:cs="Arial"/>
          <w:sz w:val="20"/>
        </w:rPr>
        <w:t xml:space="preserve">or </w:t>
      </w:r>
      <w:r w:rsidR="00304960">
        <w:rPr>
          <w:rFonts w:ascii="Arial" w:hAnsi="Arial" w:cs="Arial"/>
          <w:sz w:val="20"/>
        </w:rPr>
        <w:t>over</w:t>
      </w:r>
      <w:r>
        <w:rPr>
          <w:rFonts w:ascii="Arial" w:hAnsi="Arial" w:cs="Arial"/>
          <w:sz w:val="20"/>
        </w:rPr>
        <w:t xml:space="preserve"> but under 15 years </w:t>
      </w:r>
      <w:r w:rsidR="00304960">
        <w:rPr>
          <w:rFonts w:ascii="Arial" w:hAnsi="Arial" w:cs="Arial"/>
          <w:sz w:val="20"/>
        </w:rPr>
        <w:t xml:space="preserve">of age </w:t>
      </w:r>
      <w:r>
        <w:rPr>
          <w:rFonts w:ascii="Arial" w:hAnsi="Arial" w:cs="Arial"/>
          <w:sz w:val="20"/>
        </w:rPr>
        <w:t>who</w:t>
      </w:r>
      <w:r w:rsidR="008A7AD6">
        <w:rPr>
          <w:rFonts w:ascii="Arial" w:hAnsi="Arial" w:cs="Arial"/>
          <w:sz w:val="20"/>
        </w:rPr>
        <w:t>–</w:t>
      </w:r>
    </w:p>
    <w:p w14:paraId="159F548F" w14:textId="77777777" w:rsidR="00EE5134" w:rsidRDefault="00EE5134" w:rsidP="00DA5CCF">
      <w:pPr>
        <w:ind w:left="357" w:hanging="357"/>
        <w:jc w:val="both"/>
        <w:rPr>
          <w:rFonts w:ascii="Arial" w:hAnsi="Arial" w:cs="Arial"/>
          <w:sz w:val="20"/>
        </w:rPr>
      </w:pPr>
      <w:r>
        <w:rPr>
          <w:rFonts w:ascii="Arial" w:hAnsi="Arial" w:cs="Arial"/>
          <w:sz w:val="20"/>
        </w:rPr>
        <w:t>(a)</w:t>
      </w:r>
      <w:r>
        <w:rPr>
          <w:rFonts w:ascii="Arial" w:hAnsi="Arial" w:cs="Arial"/>
          <w:sz w:val="20"/>
        </w:rPr>
        <w:tab/>
        <w:t>is believed on reasonable grounds to have committed; or</w:t>
      </w:r>
    </w:p>
    <w:p w14:paraId="1C7B9DB6" w14:textId="77777777" w:rsidR="00EE5134" w:rsidRDefault="00EE5134" w:rsidP="00DA5CCF">
      <w:pPr>
        <w:ind w:left="357" w:hanging="357"/>
        <w:jc w:val="both"/>
        <w:rPr>
          <w:rFonts w:ascii="Arial" w:hAnsi="Arial" w:cs="Arial"/>
          <w:sz w:val="20"/>
        </w:rPr>
      </w:pPr>
      <w:r>
        <w:rPr>
          <w:rFonts w:ascii="Arial" w:hAnsi="Arial" w:cs="Arial"/>
          <w:sz w:val="20"/>
        </w:rPr>
        <w:t>(b)</w:t>
      </w:r>
      <w:r>
        <w:rPr>
          <w:rFonts w:ascii="Arial" w:hAnsi="Arial" w:cs="Arial"/>
          <w:sz w:val="20"/>
        </w:rPr>
        <w:tab/>
        <w:t>has been charged with; or</w:t>
      </w:r>
    </w:p>
    <w:p w14:paraId="4D5E0597" w14:textId="77777777" w:rsidR="00EE5134" w:rsidRDefault="00EE5134" w:rsidP="00DA5CCF">
      <w:pPr>
        <w:ind w:left="357" w:hanging="357"/>
        <w:jc w:val="both"/>
        <w:rPr>
          <w:rFonts w:ascii="Arial" w:hAnsi="Arial" w:cs="Arial"/>
          <w:sz w:val="20"/>
        </w:rPr>
      </w:pPr>
      <w:r>
        <w:rPr>
          <w:rFonts w:ascii="Arial" w:hAnsi="Arial" w:cs="Arial"/>
          <w:sz w:val="20"/>
        </w:rPr>
        <w:t>(c)</w:t>
      </w:r>
      <w:r>
        <w:rPr>
          <w:rFonts w:ascii="Arial" w:hAnsi="Arial" w:cs="Arial"/>
          <w:sz w:val="20"/>
        </w:rPr>
        <w:tab/>
        <w:t>has been summonsed to answer a charge for-</w:t>
      </w:r>
    </w:p>
    <w:p w14:paraId="2B094DB8" w14:textId="77777777" w:rsidR="00EE5134" w:rsidRDefault="00EE5134">
      <w:pPr>
        <w:jc w:val="both"/>
        <w:rPr>
          <w:rFonts w:ascii="Arial" w:hAnsi="Arial" w:cs="Arial"/>
          <w:sz w:val="20"/>
        </w:rPr>
      </w:pPr>
      <w:r>
        <w:rPr>
          <w:rFonts w:ascii="Arial" w:hAnsi="Arial" w:cs="Arial"/>
          <w:sz w:val="20"/>
        </w:rPr>
        <w:t>an indictable offence or a summary offence referred to in Schedule 7 if-</w:t>
      </w:r>
    </w:p>
    <w:p w14:paraId="1EF759D9" w14:textId="77777777" w:rsidR="00EE5134" w:rsidRDefault="00EE5134" w:rsidP="00DA5CCF">
      <w:pPr>
        <w:ind w:left="357" w:hanging="357"/>
        <w:jc w:val="both"/>
        <w:rPr>
          <w:rFonts w:ascii="Arial" w:hAnsi="Arial" w:cs="Arial"/>
          <w:sz w:val="20"/>
        </w:rPr>
      </w:pPr>
      <w:r>
        <w:rPr>
          <w:rFonts w:ascii="Arial" w:hAnsi="Arial" w:cs="Arial"/>
          <w:sz w:val="20"/>
        </w:rPr>
        <w:t>(d)</w:t>
      </w:r>
      <w:r>
        <w:rPr>
          <w:rFonts w:ascii="Arial" w:hAnsi="Arial" w:cs="Arial"/>
          <w:sz w:val="20"/>
        </w:rPr>
        <w:tab/>
        <w:t>both the child and a parent or guardian of the child consent; or</w:t>
      </w:r>
    </w:p>
    <w:p w14:paraId="123E90AF" w14:textId="77777777" w:rsidR="00EE5134" w:rsidRDefault="00EE5134" w:rsidP="00DA5CCF">
      <w:pPr>
        <w:ind w:left="357" w:hanging="357"/>
        <w:jc w:val="both"/>
        <w:rPr>
          <w:rFonts w:ascii="Arial" w:hAnsi="Arial" w:cs="Arial"/>
          <w:sz w:val="20"/>
        </w:rPr>
      </w:pPr>
      <w:r>
        <w:rPr>
          <w:rFonts w:ascii="Arial" w:hAnsi="Arial" w:cs="Arial"/>
          <w:sz w:val="20"/>
        </w:rPr>
        <w:t>(e)</w:t>
      </w:r>
      <w:r>
        <w:rPr>
          <w:rFonts w:ascii="Arial" w:hAnsi="Arial" w:cs="Arial"/>
          <w:sz w:val="20"/>
        </w:rPr>
        <w:tab/>
        <w:t>where consent is refused or the parent or guardian cannot be located, the Children's Court makes an order under s.464M(5).</w:t>
      </w:r>
    </w:p>
    <w:p w14:paraId="05413B8E" w14:textId="77777777" w:rsidR="00EE5134" w:rsidRDefault="00EE5134">
      <w:pPr>
        <w:jc w:val="both"/>
        <w:rPr>
          <w:rFonts w:ascii="Arial" w:hAnsi="Arial" w:cs="Arial"/>
          <w:sz w:val="20"/>
        </w:rPr>
      </w:pPr>
    </w:p>
    <w:p w14:paraId="32966FFB" w14:textId="6DE6B9DB"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L(</w:t>
      </w:r>
      <w:proofErr w:type="gramEnd"/>
      <w:r>
        <w:rPr>
          <w:rFonts w:ascii="Arial" w:hAnsi="Arial" w:cs="Arial"/>
          <w:sz w:val="20"/>
        </w:rPr>
        <w:t>3) requires the member of the police force wishing to fingerprint a child aged 1</w:t>
      </w:r>
      <w:r w:rsidR="005F7C9E">
        <w:rPr>
          <w:rFonts w:ascii="Arial" w:hAnsi="Arial" w:cs="Arial"/>
          <w:sz w:val="20"/>
        </w:rPr>
        <w:t>2</w:t>
      </w:r>
      <w:r>
        <w:rPr>
          <w:rFonts w:ascii="Arial" w:hAnsi="Arial" w:cs="Arial"/>
          <w:sz w:val="20"/>
        </w:rPr>
        <w:t>-14 to inform the child and the parent or guardian of the child, in language likely to be understood by each of them</w:t>
      </w:r>
      <w:r w:rsidR="008A7AD6">
        <w:rPr>
          <w:rFonts w:ascii="Arial" w:hAnsi="Arial" w:cs="Arial"/>
          <w:sz w:val="20"/>
        </w:rPr>
        <w:t>–</w:t>
      </w:r>
    </w:p>
    <w:p w14:paraId="5052CF44"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of the purpose for which the fingerprints are required; and</w:t>
      </w:r>
    </w:p>
    <w:p w14:paraId="13E650CD"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of the offence which the child is believed to have committed or with which he or she has been charged or summonsed; and</w:t>
      </w:r>
    </w:p>
    <w:p w14:paraId="05B68DEF" w14:textId="77777777" w:rsidR="00EE5134" w:rsidRDefault="00EE5134">
      <w:pPr>
        <w:ind w:left="363" w:hanging="363"/>
        <w:jc w:val="both"/>
        <w:rPr>
          <w:rFonts w:ascii="Arial" w:hAnsi="Arial" w:cs="Arial"/>
          <w:sz w:val="20"/>
        </w:rPr>
      </w:pPr>
      <w:r>
        <w:rPr>
          <w:rFonts w:ascii="Arial" w:hAnsi="Arial" w:cs="Arial"/>
          <w:sz w:val="20"/>
        </w:rPr>
        <w:t>(c)</w:t>
      </w:r>
      <w:r>
        <w:rPr>
          <w:rFonts w:ascii="Arial" w:hAnsi="Arial" w:cs="Arial"/>
          <w:sz w:val="20"/>
        </w:rPr>
        <w:tab/>
        <w:t>that the fingerprints may be used in evidence in court; and</w:t>
      </w:r>
    </w:p>
    <w:p w14:paraId="476FCBE9" w14:textId="77777777" w:rsidR="00EE5134" w:rsidRDefault="00EE5134">
      <w:pPr>
        <w:ind w:left="363" w:hanging="363"/>
        <w:jc w:val="both"/>
        <w:rPr>
          <w:rFonts w:ascii="Arial" w:hAnsi="Arial" w:cs="Arial"/>
          <w:sz w:val="20"/>
        </w:rPr>
      </w:pPr>
      <w:r>
        <w:rPr>
          <w:rFonts w:ascii="Arial" w:hAnsi="Arial" w:cs="Arial"/>
          <w:sz w:val="20"/>
        </w:rPr>
        <w:t>(d)</w:t>
      </w:r>
      <w:r>
        <w:rPr>
          <w:rFonts w:ascii="Arial" w:hAnsi="Arial" w:cs="Arial"/>
          <w:sz w:val="20"/>
        </w:rPr>
        <w:tab/>
        <w:t>that the child's parent or guardian may refuse consent to the child's fingerprints being taken; and</w:t>
      </w:r>
    </w:p>
    <w:p w14:paraId="26EE8B6E" w14:textId="77777777" w:rsidR="00EE5134" w:rsidRDefault="00EE5134">
      <w:pPr>
        <w:ind w:left="363" w:hanging="363"/>
        <w:jc w:val="both"/>
        <w:rPr>
          <w:rFonts w:ascii="Arial" w:hAnsi="Arial" w:cs="Arial"/>
          <w:sz w:val="20"/>
        </w:rPr>
      </w:pPr>
      <w:r>
        <w:rPr>
          <w:rFonts w:ascii="Arial" w:hAnsi="Arial" w:cs="Arial"/>
          <w:sz w:val="20"/>
        </w:rPr>
        <w:t>(e)</w:t>
      </w:r>
      <w:r>
        <w:rPr>
          <w:rFonts w:ascii="Arial" w:hAnsi="Arial" w:cs="Arial"/>
          <w:sz w:val="20"/>
        </w:rPr>
        <w:tab/>
        <w:t>that if consent is refused an application may be made to the Children's Court for an order directing the child to give his or her fingerprints; and</w:t>
      </w:r>
    </w:p>
    <w:p w14:paraId="2867B003" w14:textId="77777777" w:rsidR="00EE5134" w:rsidRDefault="00EE5134">
      <w:pPr>
        <w:ind w:left="363" w:hanging="363"/>
        <w:jc w:val="both"/>
        <w:rPr>
          <w:rFonts w:ascii="Arial" w:hAnsi="Arial" w:cs="Arial"/>
          <w:sz w:val="20"/>
        </w:rPr>
      </w:pPr>
      <w:r>
        <w:rPr>
          <w:rFonts w:ascii="Arial" w:hAnsi="Arial" w:cs="Arial"/>
          <w:sz w:val="20"/>
        </w:rPr>
        <w:t>(f)</w:t>
      </w:r>
      <w:r>
        <w:rPr>
          <w:rFonts w:ascii="Arial" w:hAnsi="Arial" w:cs="Arial"/>
          <w:sz w:val="20"/>
        </w:rPr>
        <w:tab/>
        <w:t>that if the child is not charged with a relevant offence within 6 months or is so charged but the charge is not proceeded with or the child is found not guilty of the offence or any other relevant offence before the end of that period, the fingerprints will be destroyed.</w:t>
      </w:r>
    </w:p>
    <w:p w14:paraId="2CD82DA5" w14:textId="77777777" w:rsidR="00EE5134" w:rsidRDefault="00EE5134">
      <w:pPr>
        <w:jc w:val="both"/>
        <w:rPr>
          <w:rFonts w:ascii="Arial" w:hAnsi="Arial" w:cs="Arial"/>
          <w:sz w:val="20"/>
        </w:rPr>
      </w:pPr>
    </w:p>
    <w:p w14:paraId="7C5BE283" w14:textId="77777777" w:rsidR="00EE5134" w:rsidRDefault="00EE5134">
      <w:pPr>
        <w:jc w:val="both"/>
        <w:rPr>
          <w:rFonts w:ascii="Arial" w:hAnsi="Arial" w:cs="Arial"/>
          <w:sz w:val="20"/>
        </w:rPr>
      </w:pPr>
      <w:r>
        <w:rPr>
          <w:rFonts w:ascii="Arial" w:hAnsi="Arial" w:cs="Arial"/>
          <w:sz w:val="20"/>
        </w:rPr>
        <w:t>Section 464L(4) requires a parent or guardian of the child to be present during the request for fingerprints, the giving of the above information and the taking of fingerprints with consent.</w:t>
      </w:r>
    </w:p>
    <w:p w14:paraId="6C0DB80B" w14:textId="77777777" w:rsidR="00EE5134" w:rsidRDefault="00EE5134">
      <w:pPr>
        <w:jc w:val="both"/>
        <w:rPr>
          <w:rFonts w:ascii="Arial" w:hAnsi="Arial" w:cs="Arial"/>
          <w:sz w:val="20"/>
        </w:rPr>
      </w:pPr>
    </w:p>
    <w:p w14:paraId="655A72F5" w14:textId="77777777" w:rsidR="00EE5134" w:rsidRDefault="00EE5134" w:rsidP="00B345D2">
      <w:pPr>
        <w:pStyle w:val="Heading4"/>
        <w:spacing w:before="0" w:after="120"/>
        <w:rPr>
          <w:rFonts w:ascii="Arial" w:hAnsi="Arial" w:cs="Arial"/>
          <w:i w:val="0"/>
          <w:iCs/>
          <w:sz w:val="20"/>
        </w:rPr>
      </w:pPr>
      <w:bookmarkStart w:id="417" w:name="_8.3.3.1_Application_for"/>
      <w:bookmarkStart w:id="418" w:name="_Toc30699413"/>
      <w:bookmarkStart w:id="419" w:name="_Toc30699798"/>
      <w:bookmarkStart w:id="420" w:name="_Toc30700953"/>
      <w:bookmarkStart w:id="421" w:name="_Toc30701340"/>
      <w:bookmarkStart w:id="422" w:name="_Toc30757215"/>
      <w:bookmarkStart w:id="423" w:name="_Toc30757763"/>
      <w:bookmarkStart w:id="424" w:name="_Toc30758163"/>
      <w:bookmarkStart w:id="425" w:name="_Toc30762924"/>
      <w:bookmarkStart w:id="426" w:name="_Toc30767578"/>
      <w:bookmarkStart w:id="427" w:name="_Toc34823596"/>
      <w:bookmarkEnd w:id="417"/>
      <w:r>
        <w:rPr>
          <w:rFonts w:ascii="Arial" w:hAnsi="Arial" w:cs="Arial"/>
          <w:i w:val="0"/>
          <w:iCs/>
          <w:sz w:val="20"/>
        </w:rPr>
        <w:lastRenderedPageBreak/>
        <w:t>8.3.3.1</w:t>
      </w:r>
      <w:r>
        <w:rPr>
          <w:rFonts w:ascii="Arial" w:hAnsi="Arial" w:cs="Arial"/>
          <w:i w:val="0"/>
          <w:iCs/>
          <w:sz w:val="20"/>
        </w:rPr>
        <w:tab/>
        <w:t>Application for an order for fingerprinting</w:t>
      </w:r>
      <w:bookmarkEnd w:id="418"/>
      <w:bookmarkEnd w:id="419"/>
      <w:bookmarkEnd w:id="420"/>
      <w:bookmarkEnd w:id="421"/>
      <w:bookmarkEnd w:id="422"/>
      <w:bookmarkEnd w:id="423"/>
      <w:bookmarkEnd w:id="424"/>
      <w:bookmarkEnd w:id="425"/>
      <w:bookmarkEnd w:id="426"/>
      <w:bookmarkEnd w:id="427"/>
    </w:p>
    <w:p w14:paraId="59F90FAC" w14:textId="283564B9" w:rsidR="00BF08E5" w:rsidRPr="00BF08E5" w:rsidRDefault="00EE5134" w:rsidP="00BF08E5">
      <w:pPr>
        <w:jc w:val="both"/>
        <w:rPr>
          <w:rFonts w:ascii="Arial" w:hAnsi="Arial" w:cs="Arial"/>
          <w:sz w:val="20"/>
        </w:rPr>
      </w:pPr>
      <w:r>
        <w:rPr>
          <w:rFonts w:ascii="Arial" w:hAnsi="Arial" w:cs="Arial"/>
          <w:sz w:val="20"/>
        </w:rPr>
        <w:t>Section 464</w:t>
      </w:r>
      <w:proofErr w:type="gramStart"/>
      <w:r>
        <w:rPr>
          <w:rFonts w:ascii="Arial" w:hAnsi="Arial" w:cs="Arial"/>
          <w:sz w:val="20"/>
        </w:rPr>
        <w:t>M(</w:t>
      </w:r>
      <w:proofErr w:type="gramEnd"/>
      <w:r>
        <w:rPr>
          <w:rFonts w:ascii="Arial" w:hAnsi="Arial" w:cs="Arial"/>
          <w:sz w:val="20"/>
        </w:rPr>
        <w:t xml:space="preserve">1) provides that if </w:t>
      </w:r>
      <w:r w:rsidR="005F55F4">
        <w:rPr>
          <w:rFonts w:ascii="Arial" w:hAnsi="Arial" w:cs="Arial"/>
          <w:sz w:val="20"/>
        </w:rPr>
        <w:t xml:space="preserve">a child referred to in s.464L(2) or the child’s parent or guardian refuses to consent to </w:t>
      </w:r>
      <w:r>
        <w:rPr>
          <w:rFonts w:ascii="Arial" w:hAnsi="Arial" w:cs="Arial"/>
          <w:sz w:val="20"/>
        </w:rPr>
        <w:t>the taking of the child's fingerprints or the parent or guardian cannot be located, a member of the police force may apply to the Children's Court for an order under s.464M(5).</w:t>
      </w:r>
    </w:p>
    <w:p w14:paraId="42DB1E30" w14:textId="77777777" w:rsidR="00EE5134" w:rsidRDefault="00EE5134">
      <w:pPr>
        <w:jc w:val="both"/>
        <w:rPr>
          <w:rFonts w:ascii="Arial" w:hAnsi="Arial" w:cs="Arial"/>
          <w:sz w:val="20"/>
        </w:rPr>
      </w:pPr>
    </w:p>
    <w:p w14:paraId="6E94CA6F" w14:textId="4E2F2B5E" w:rsidR="00DA5CCF" w:rsidRDefault="00EE5134" w:rsidP="00047992">
      <w:pPr>
        <w:jc w:val="both"/>
        <w:rPr>
          <w:rFonts w:ascii="Arial" w:hAnsi="Arial" w:cs="Arial"/>
          <w:sz w:val="20"/>
        </w:rPr>
      </w:pPr>
      <w:r>
        <w:rPr>
          <w:rFonts w:ascii="Arial" w:hAnsi="Arial" w:cs="Arial"/>
          <w:sz w:val="20"/>
        </w:rPr>
        <w:t xml:space="preserve">Section 464M(2) </w:t>
      </w:r>
      <w:r w:rsidR="00DA5CCF">
        <w:rPr>
          <w:rFonts w:ascii="Arial" w:hAnsi="Arial" w:cs="Arial"/>
          <w:sz w:val="20"/>
        </w:rPr>
        <w:t>provides</w:t>
      </w:r>
      <w:r>
        <w:rPr>
          <w:rFonts w:ascii="Arial" w:hAnsi="Arial" w:cs="Arial"/>
          <w:sz w:val="20"/>
        </w:rPr>
        <w:t xml:space="preserve"> that such application</w:t>
      </w:r>
      <w:r w:rsidR="008A7AD6">
        <w:rPr>
          <w:rFonts w:ascii="Arial" w:hAnsi="Arial" w:cs="Arial"/>
          <w:sz w:val="20"/>
        </w:rPr>
        <w:t>–</w:t>
      </w:r>
    </w:p>
    <w:p w14:paraId="39119F5B" w14:textId="77777777" w:rsidR="00DA5CCF" w:rsidRDefault="00DA5CCF" w:rsidP="00DA5CCF">
      <w:pPr>
        <w:pStyle w:val="ListParagraph"/>
        <w:numPr>
          <w:ilvl w:val="0"/>
          <w:numId w:val="19"/>
        </w:numPr>
        <w:spacing w:after="0" w:line="240" w:lineRule="auto"/>
        <w:ind w:left="357" w:hanging="357"/>
        <w:jc w:val="both"/>
        <w:rPr>
          <w:rFonts w:ascii="Arial" w:hAnsi="Arial" w:cs="Arial"/>
          <w:sz w:val="20"/>
        </w:rPr>
      </w:pPr>
      <w:r>
        <w:rPr>
          <w:rFonts w:ascii="Arial" w:hAnsi="Arial" w:cs="Arial"/>
          <w:sz w:val="20"/>
        </w:rPr>
        <w:t xml:space="preserve">must </w:t>
      </w:r>
      <w:r w:rsidR="00EE5134" w:rsidRPr="00DA5CCF">
        <w:rPr>
          <w:rFonts w:ascii="Arial" w:hAnsi="Arial" w:cs="Arial"/>
          <w:sz w:val="20"/>
        </w:rPr>
        <w:t xml:space="preserve">be in writing supported by evidence on oath or by </w:t>
      </w:r>
      <w:r w:rsidR="00BF08E5" w:rsidRPr="00DA5CCF">
        <w:rPr>
          <w:rFonts w:ascii="Arial" w:hAnsi="Arial" w:cs="Arial"/>
          <w:sz w:val="20"/>
        </w:rPr>
        <w:t xml:space="preserve">affirmation or by </w:t>
      </w:r>
      <w:r w:rsidR="00EE5134" w:rsidRPr="00DA5CCF">
        <w:rPr>
          <w:rFonts w:ascii="Arial" w:hAnsi="Arial" w:cs="Arial"/>
          <w:sz w:val="20"/>
        </w:rPr>
        <w:t>affidavit</w:t>
      </w:r>
      <w:r>
        <w:rPr>
          <w:rFonts w:ascii="Arial" w:hAnsi="Arial" w:cs="Arial"/>
          <w:sz w:val="20"/>
        </w:rPr>
        <w:t>;</w:t>
      </w:r>
    </w:p>
    <w:p w14:paraId="0083DE3E" w14:textId="41B2F59D" w:rsidR="00DA5CCF" w:rsidRPr="00DA5CCF" w:rsidRDefault="00DA5CCF" w:rsidP="00DA5CCF">
      <w:pPr>
        <w:pStyle w:val="ListParagraph"/>
        <w:numPr>
          <w:ilvl w:val="0"/>
          <w:numId w:val="19"/>
        </w:numPr>
        <w:spacing w:after="0" w:line="240" w:lineRule="auto"/>
        <w:ind w:left="357" w:hanging="357"/>
        <w:jc w:val="both"/>
        <w:rPr>
          <w:rFonts w:ascii="Arial" w:hAnsi="Arial" w:cs="Arial"/>
          <w:sz w:val="20"/>
        </w:rPr>
      </w:pPr>
      <w:r>
        <w:rPr>
          <w:rFonts w:ascii="Arial" w:hAnsi="Arial" w:cs="Arial"/>
          <w:sz w:val="20"/>
        </w:rPr>
        <w:t>if the child is held</w:t>
      </w:r>
      <w:r w:rsidR="00DF44E5">
        <w:rPr>
          <w:rFonts w:ascii="Arial" w:hAnsi="Arial" w:cs="Arial"/>
          <w:sz w:val="20"/>
        </w:rPr>
        <w:t xml:space="preserve"> in a police gaol or detained in a youth residential centre, must state that fact</w:t>
      </w:r>
      <w:r w:rsidR="00EE5134" w:rsidRPr="00DA5CCF">
        <w:rPr>
          <w:rFonts w:ascii="Arial" w:hAnsi="Arial" w:cs="Arial"/>
          <w:sz w:val="20"/>
        </w:rPr>
        <w:t>.</w:t>
      </w:r>
    </w:p>
    <w:p w14:paraId="42DAA63A" w14:textId="77777777" w:rsidR="00B345D2" w:rsidRDefault="00B345D2">
      <w:pPr>
        <w:jc w:val="both"/>
        <w:rPr>
          <w:rFonts w:ascii="Arial" w:hAnsi="Arial" w:cs="Arial"/>
          <w:sz w:val="20"/>
        </w:rPr>
      </w:pPr>
    </w:p>
    <w:p w14:paraId="6B21F612" w14:textId="19FE9CD0" w:rsidR="00EE5134" w:rsidRDefault="00EE5134">
      <w:pPr>
        <w:jc w:val="both"/>
        <w:rPr>
          <w:rFonts w:ascii="Arial" w:hAnsi="Arial" w:cs="Arial"/>
          <w:sz w:val="20"/>
        </w:rPr>
      </w:pPr>
      <w:r>
        <w:rPr>
          <w:rFonts w:ascii="Arial" w:hAnsi="Arial" w:cs="Arial"/>
          <w:sz w:val="20"/>
        </w:rPr>
        <w:t>Section 464M(3) provides that notice of the application must be served on</w:t>
      </w:r>
      <w:r w:rsidR="008A7AD6">
        <w:rPr>
          <w:rFonts w:ascii="Arial" w:hAnsi="Arial" w:cs="Arial"/>
          <w:sz w:val="20"/>
        </w:rPr>
        <w:t>–</w:t>
      </w:r>
    </w:p>
    <w:p w14:paraId="10E9FA31" w14:textId="642C340C" w:rsidR="00EE5134" w:rsidRDefault="00EE5134" w:rsidP="00DA5CCF">
      <w:pPr>
        <w:ind w:left="357" w:hanging="357"/>
        <w:jc w:val="both"/>
        <w:rPr>
          <w:rFonts w:ascii="Arial" w:hAnsi="Arial" w:cs="Arial"/>
          <w:sz w:val="20"/>
        </w:rPr>
      </w:pPr>
      <w:r>
        <w:rPr>
          <w:rFonts w:ascii="Arial" w:hAnsi="Arial" w:cs="Arial"/>
          <w:sz w:val="20"/>
        </w:rPr>
        <w:t>(a)</w:t>
      </w:r>
      <w:r>
        <w:rPr>
          <w:rFonts w:ascii="Arial" w:hAnsi="Arial" w:cs="Arial"/>
          <w:sz w:val="20"/>
        </w:rPr>
        <w:tab/>
        <w:t>a parent o</w:t>
      </w:r>
      <w:r w:rsidR="00B345D2">
        <w:rPr>
          <w:rFonts w:ascii="Arial" w:hAnsi="Arial" w:cs="Arial"/>
          <w:sz w:val="20"/>
        </w:rPr>
        <w:t>r</w:t>
      </w:r>
      <w:r>
        <w:rPr>
          <w:rFonts w:ascii="Arial" w:hAnsi="Arial" w:cs="Arial"/>
          <w:sz w:val="20"/>
        </w:rPr>
        <w:t xml:space="preserve"> guardian of the child; and</w:t>
      </w:r>
    </w:p>
    <w:p w14:paraId="7B2FE1C5" w14:textId="77777777" w:rsidR="00EE5134" w:rsidRDefault="00EE5134" w:rsidP="00DA5CCF">
      <w:pPr>
        <w:ind w:left="357" w:hanging="357"/>
        <w:jc w:val="both"/>
        <w:rPr>
          <w:rFonts w:ascii="Arial" w:hAnsi="Arial" w:cs="Arial"/>
          <w:sz w:val="20"/>
        </w:rPr>
      </w:pPr>
      <w:r>
        <w:rPr>
          <w:rFonts w:ascii="Arial" w:hAnsi="Arial" w:cs="Arial"/>
          <w:sz w:val="20"/>
        </w:rPr>
        <w:t>(b)</w:t>
      </w:r>
      <w:r>
        <w:rPr>
          <w:rFonts w:ascii="Arial" w:hAnsi="Arial" w:cs="Arial"/>
          <w:sz w:val="20"/>
        </w:rPr>
        <w:tab/>
        <w:t>the child if he or she is not in custody.</w:t>
      </w:r>
    </w:p>
    <w:p w14:paraId="76F536B4" w14:textId="77777777" w:rsidR="00EE5134" w:rsidRDefault="00EE5134">
      <w:pPr>
        <w:jc w:val="both"/>
        <w:rPr>
          <w:rFonts w:ascii="Arial" w:hAnsi="Arial" w:cs="Arial"/>
          <w:sz w:val="20"/>
        </w:rPr>
      </w:pPr>
    </w:p>
    <w:p w14:paraId="38408636" w14:textId="77777777" w:rsidR="00EE5134" w:rsidRDefault="00EE5134">
      <w:pPr>
        <w:jc w:val="both"/>
        <w:rPr>
          <w:rFonts w:ascii="Arial" w:hAnsi="Arial" w:cs="Arial"/>
          <w:sz w:val="20"/>
        </w:rPr>
      </w:pPr>
      <w:r>
        <w:rPr>
          <w:rFonts w:ascii="Arial" w:hAnsi="Arial" w:cs="Arial"/>
          <w:sz w:val="20"/>
        </w:rPr>
        <w:t xml:space="preserve">Section 464M(4) permits service on a parent or guardian to be dispensed with by the Court if </w:t>
      </w:r>
      <w:r w:rsidR="00BF08E5">
        <w:rPr>
          <w:rFonts w:ascii="Arial" w:hAnsi="Arial" w:cs="Arial"/>
          <w:sz w:val="20"/>
        </w:rPr>
        <w:t xml:space="preserve">satisfied that </w:t>
      </w:r>
      <w:r>
        <w:rPr>
          <w:rFonts w:ascii="Arial" w:hAnsi="Arial" w:cs="Arial"/>
          <w:sz w:val="20"/>
        </w:rPr>
        <w:t>it is impracticable for the applicant to comply.</w:t>
      </w:r>
    </w:p>
    <w:p w14:paraId="1E6991F9" w14:textId="77777777" w:rsidR="00EE5134" w:rsidRDefault="00EE5134">
      <w:pPr>
        <w:jc w:val="both"/>
        <w:rPr>
          <w:rFonts w:ascii="Arial" w:hAnsi="Arial" w:cs="Arial"/>
          <w:sz w:val="20"/>
        </w:rPr>
      </w:pPr>
    </w:p>
    <w:p w14:paraId="5311B474" w14:textId="22A018CC" w:rsidR="00EE5134" w:rsidRDefault="00EE5134">
      <w:pPr>
        <w:jc w:val="both"/>
        <w:rPr>
          <w:rFonts w:ascii="Arial" w:hAnsi="Arial" w:cs="Arial"/>
          <w:sz w:val="20"/>
        </w:rPr>
      </w:pPr>
      <w:r>
        <w:rPr>
          <w:rFonts w:ascii="Arial" w:hAnsi="Arial" w:cs="Arial"/>
          <w:sz w:val="20"/>
        </w:rPr>
        <w:t>The above provisions are complex and ambiguous. The major source of ambiguity is whether or not the refusal of a child to consent to fingerprinting is sufficient to ground an application under s.464M(1) for a court order or whether such application can be made only after the child has refused a request made in the presence of the parent or guardian.</w:t>
      </w:r>
    </w:p>
    <w:p w14:paraId="6944AC6A" w14:textId="77777777" w:rsidR="00EE5134" w:rsidRDefault="00EE5134">
      <w:pPr>
        <w:tabs>
          <w:tab w:val="left" w:pos="4845"/>
        </w:tabs>
        <w:jc w:val="both"/>
        <w:rPr>
          <w:rFonts w:ascii="Arial" w:hAnsi="Arial" w:cs="Arial"/>
          <w:sz w:val="20"/>
        </w:rPr>
      </w:pPr>
    </w:p>
    <w:p w14:paraId="0A975C64" w14:textId="4029F7A1"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Ann Dunn (as litigation guardian for RT) v McQ &amp; Another</w:t>
      </w:r>
      <w:r>
        <w:rPr>
          <w:rFonts w:ascii="Arial" w:hAnsi="Arial" w:cs="Arial"/>
          <w:sz w:val="20"/>
        </w:rPr>
        <w:t xml:space="preserve"> [Supreme Court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unreported, </w:t>
      </w:r>
      <w:smartTag w:uri="urn:schemas-microsoft-com:office:smarttags" w:element="date">
        <w:smartTagPr>
          <w:attr w:name="Year" w:val="1997"/>
          <w:attr w:name="Day" w:val="7"/>
          <w:attr w:name="Month" w:val="8"/>
        </w:smartTagPr>
        <w:r>
          <w:rPr>
            <w:rFonts w:ascii="Arial" w:hAnsi="Arial" w:cs="Arial"/>
            <w:sz w:val="20"/>
          </w:rPr>
          <w:t>07/08/1997</w:t>
        </w:r>
      </w:smartTag>
      <w:r>
        <w:rPr>
          <w:rFonts w:ascii="Arial" w:hAnsi="Arial" w:cs="Arial"/>
          <w:sz w:val="20"/>
        </w:rPr>
        <w:t xml:space="preserve">] Hedigan J adopted the latter construction. The child RT had been charged with burglary of 3 houses, including his mother's house.  RT was interviewed in the presence of an independent person and made no admissions. The informant had chosen not to have the mother present because she was an alleged victim.  The father lived at </w:t>
      </w:r>
      <w:smartTag w:uri="urn:schemas-microsoft-com:office:smarttags" w:element="place">
        <w:smartTag w:uri="urn:schemas-microsoft-com:office:smarttags" w:element="City">
          <w:r>
            <w:rPr>
              <w:rFonts w:ascii="Arial" w:hAnsi="Arial" w:cs="Arial"/>
              <w:sz w:val="20"/>
            </w:rPr>
            <w:t>Geelong</w:t>
          </w:r>
        </w:smartTag>
      </w:smartTag>
      <w:r>
        <w:rPr>
          <w:rFonts w:ascii="Arial" w:hAnsi="Arial" w:cs="Arial"/>
          <w:sz w:val="20"/>
        </w:rPr>
        <w:t xml:space="preserve"> and an attempt to contact him was unsuccessful.  RT was also requested to give his fingerprints and refused. Subsequently RT, but not the parents, was served with an application for an order to fingerprint him. The application was contested by RT but an order was made by a magistrate under s.464M(5). On appeal the order was quashed. Hedigan J held:</w:t>
      </w:r>
    </w:p>
    <w:p w14:paraId="6BC021CC"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pp.10-11:  The "correct construction of ss.464L and 464M…is that the refusal to give fingerprints, which founds the jurisdiction in a refusal case, must have been a refusal consequent upon a request that complied with the requirements of s.464L(3) and (4).  There are two bases upon which the police may apply to the Court for an order that fingerprints be taken.  The first is when there has been an refusal after a request which complies with [s.464L(3) and (4)].  The second is where no parent or guardian can be located to enable compliance with s.464L(4) and its associated sub-sections.  The non-location of a parent within s.464M(1) does not depend on any refusal by the child.  Such a refusal is irrelevant.  The application is made because the parent or guardian cannot be located so as to enable compliance with sub-s.(4).  The requirement of s.464L(4) is clearly mandatory."</w:t>
      </w:r>
    </w:p>
    <w:p w14:paraId="44DD7529"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pp.11-12:  "If there is a refusal by the child without a parent or guardian being present at the time of the request, that is not a request within the meaning of [ss.464L(3) and (4)], although it is, of course, a refusal in fact.  Simply, if the child refuses and an application is sought to be based upon the first part of s.464M(1) on that refusal, it must be a refusal annexed to a request made in the presence of the parent or guardian."</w:t>
      </w:r>
    </w:p>
    <w:p w14:paraId="7EE48F04"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p.13: "A construction which firmly requires that the presence of a parent or guardian in every case in which they are capable of being located is to be favoured, the only exception being inability to locate them."</w:t>
      </w:r>
    </w:p>
    <w:p w14:paraId="214F8697"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p.14: "[T]here was no refusal within the meaning of s.464M(1) in this case because there was no request in the form required by s.464L(4) ever made, because no parent or guardian was present.  The necessary jurisdictional fact was not established and the order was a nullity."</w:t>
      </w:r>
    </w:p>
    <w:p w14:paraId="02EB0555"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p.15:  Service of the written application upon the parents is a mandatory jurisdictional pre-requisite unless pursuant to s.464M(4) service is impracticable.</w:t>
      </w:r>
    </w:p>
    <w:p w14:paraId="0D384362" w14:textId="77777777" w:rsidR="00EE5134" w:rsidRDefault="00EE5134">
      <w:pPr>
        <w:jc w:val="both"/>
        <w:rPr>
          <w:rFonts w:ascii="Arial" w:hAnsi="Arial" w:cs="Arial"/>
          <w:sz w:val="20"/>
        </w:rPr>
      </w:pPr>
    </w:p>
    <w:p w14:paraId="427DAE3E" w14:textId="77777777" w:rsidR="00EE5134" w:rsidRDefault="00EE5134">
      <w:pPr>
        <w:pStyle w:val="Heading4"/>
        <w:spacing w:before="0"/>
        <w:rPr>
          <w:rFonts w:ascii="Arial" w:hAnsi="Arial" w:cs="Arial"/>
          <w:i w:val="0"/>
          <w:iCs/>
          <w:sz w:val="20"/>
        </w:rPr>
      </w:pPr>
      <w:bookmarkStart w:id="428" w:name="_8.3.3.2_Procedure_at"/>
      <w:bookmarkStart w:id="429" w:name="_Toc30699414"/>
      <w:bookmarkStart w:id="430" w:name="_Toc30699799"/>
      <w:bookmarkStart w:id="431" w:name="_Toc30700954"/>
      <w:bookmarkStart w:id="432" w:name="_Toc30701341"/>
      <w:bookmarkStart w:id="433" w:name="_Toc30757216"/>
      <w:bookmarkStart w:id="434" w:name="_Toc30757764"/>
      <w:bookmarkStart w:id="435" w:name="_Toc30758164"/>
      <w:bookmarkStart w:id="436" w:name="_Toc30762925"/>
      <w:bookmarkStart w:id="437" w:name="_Toc30767579"/>
      <w:bookmarkStart w:id="438" w:name="_Toc34823597"/>
      <w:bookmarkEnd w:id="428"/>
      <w:r>
        <w:rPr>
          <w:rFonts w:ascii="Arial" w:hAnsi="Arial" w:cs="Arial"/>
          <w:i w:val="0"/>
          <w:iCs/>
          <w:sz w:val="20"/>
        </w:rPr>
        <w:t>8.3.3.2</w:t>
      </w:r>
      <w:r>
        <w:rPr>
          <w:rFonts w:ascii="Arial" w:hAnsi="Arial" w:cs="Arial"/>
          <w:i w:val="0"/>
          <w:iCs/>
          <w:sz w:val="20"/>
        </w:rPr>
        <w:tab/>
        <w:t>Procedure at hearing of application</w:t>
      </w:r>
      <w:bookmarkEnd w:id="429"/>
      <w:bookmarkEnd w:id="430"/>
      <w:bookmarkEnd w:id="431"/>
      <w:bookmarkEnd w:id="432"/>
      <w:bookmarkEnd w:id="433"/>
      <w:bookmarkEnd w:id="434"/>
      <w:bookmarkEnd w:id="435"/>
      <w:bookmarkEnd w:id="436"/>
      <w:bookmarkEnd w:id="437"/>
      <w:bookmarkEnd w:id="438"/>
    </w:p>
    <w:p w14:paraId="6A924E5D" w14:textId="77777777" w:rsidR="00EE5134" w:rsidRDefault="00EE5134" w:rsidP="00664F3B">
      <w:pPr>
        <w:jc w:val="both"/>
        <w:rPr>
          <w:rFonts w:ascii="Arial" w:hAnsi="Arial" w:cs="Arial"/>
          <w:sz w:val="20"/>
        </w:rPr>
      </w:pPr>
      <w:r>
        <w:rPr>
          <w:rFonts w:ascii="Arial" w:hAnsi="Arial" w:cs="Arial"/>
          <w:sz w:val="20"/>
        </w:rPr>
        <w:t>Though the subject child may be represented by a legal practitioner or, with the leave of the Court, a parent or guardian [s.464M(8)], he or she is not a party, may not call or cross-examine any witnesses, and may not address the Court other than in respect of any matter referred to in ss.464M(5) or (6) [s.464M(7)].</w:t>
      </w:r>
    </w:p>
    <w:p w14:paraId="09D52C24" w14:textId="77777777" w:rsidR="00EE5134" w:rsidRDefault="00EE5134">
      <w:pPr>
        <w:jc w:val="both"/>
        <w:rPr>
          <w:rFonts w:ascii="Arial" w:hAnsi="Arial" w:cs="Arial"/>
          <w:sz w:val="20"/>
        </w:rPr>
      </w:pPr>
    </w:p>
    <w:p w14:paraId="520B1933" w14:textId="77777777" w:rsidR="00EE5134" w:rsidRDefault="00EE5134">
      <w:pPr>
        <w:pStyle w:val="Heading4"/>
        <w:spacing w:before="0"/>
        <w:rPr>
          <w:rFonts w:ascii="Arial" w:hAnsi="Arial" w:cs="Arial"/>
          <w:i w:val="0"/>
          <w:iCs/>
          <w:sz w:val="20"/>
        </w:rPr>
      </w:pPr>
      <w:bookmarkStart w:id="439" w:name="_8.3.3.3_Order_for"/>
      <w:bookmarkStart w:id="440" w:name="_Toc30699415"/>
      <w:bookmarkStart w:id="441" w:name="_Toc30699800"/>
      <w:bookmarkStart w:id="442" w:name="_Toc30700955"/>
      <w:bookmarkStart w:id="443" w:name="_Toc30701342"/>
      <w:bookmarkStart w:id="444" w:name="_Toc30757217"/>
      <w:bookmarkStart w:id="445" w:name="_Toc30757765"/>
      <w:bookmarkStart w:id="446" w:name="_Toc30758165"/>
      <w:bookmarkStart w:id="447" w:name="_Toc30762926"/>
      <w:bookmarkStart w:id="448" w:name="_Toc30767580"/>
      <w:bookmarkStart w:id="449" w:name="_Toc34823598"/>
      <w:bookmarkEnd w:id="439"/>
      <w:r>
        <w:rPr>
          <w:rFonts w:ascii="Arial" w:hAnsi="Arial" w:cs="Arial"/>
          <w:i w:val="0"/>
          <w:iCs/>
          <w:sz w:val="20"/>
        </w:rPr>
        <w:lastRenderedPageBreak/>
        <w:t>8.3.3.3</w:t>
      </w:r>
      <w:r>
        <w:rPr>
          <w:rFonts w:ascii="Arial" w:hAnsi="Arial" w:cs="Arial"/>
          <w:i w:val="0"/>
          <w:iCs/>
          <w:sz w:val="20"/>
        </w:rPr>
        <w:tab/>
        <w:t>Order for fingerprinting</w:t>
      </w:r>
      <w:bookmarkEnd w:id="440"/>
      <w:bookmarkEnd w:id="441"/>
      <w:bookmarkEnd w:id="442"/>
      <w:bookmarkEnd w:id="443"/>
      <w:bookmarkEnd w:id="444"/>
      <w:bookmarkEnd w:id="445"/>
      <w:bookmarkEnd w:id="446"/>
      <w:bookmarkEnd w:id="447"/>
      <w:bookmarkEnd w:id="448"/>
      <w:bookmarkEnd w:id="449"/>
    </w:p>
    <w:p w14:paraId="0ED2953E" w14:textId="42971297"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M(</w:t>
      </w:r>
      <w:proofErr w:type="gramEnd"/>
      <w:r>
        <w:rPr>
          <w:rFonts w:ascii="Arial" w:hAnsi="Arial" w:cs="Arial"/>
          <w:sz w:val="20"/>
        </w:rPr>
        <w:t>5) provides that the Court may make an order directing a child aged 1</w:t>
      </w:r>
      <w:r w:rsidR="005F7C9E">
        <w:rPr>
          <w:rFonts w:ascii="Arial" w:hAnsi="Arial" w:cs="Arial"/>
          <w:sz w:val="20"/>
        </w:rPr>
        <w:t>2</w:t>
      </w:r>
      <w:r>
        <w:rPr>
          <w:rFonts w:ascii="Arial" w:hAnsi="Arial" w:cs="Arial"/>
          <w:sz w:val="20"/>
        </w:rPr>
        <w:t xml:space="preserve"> years or </w:t>
      </w:r>
      <w:r w:rsidR="005F7C9E">
        <w:rPr>
          <w:rFonts w:ascii="Arial" w:hAnsi="Arial" w:cs="Arial"/>
          <w:sz w:val="20"/>
        </w:rPr>
        <w:t xml:space="preserve">over </w:t>
      </w:r>
      <w:r>
        <w:rPr>
          <w:rFonts w:ascii="Arial" w:hAnsi="Arial" w:cs="Arial"/>
          <w:sz w:val="20"/>
        </w:rPr>
        <w:t xml:space="preserve">but under 15 years </w:t>
      </w:r>
      <w:r w:rsidR="005F7C9E">
        <w:rPr>
          <w:rFonts w:ascii="Arial" w:hAnsi="Arial" w:cs="Arial"/>
          <w:sz w:val="20"/>
        </w:rPr>
        <w:t xml:space="preserve">of age </w:t>
      </w:r>
      <w:r>
        <w:rPr>
          <w:rFonts w:ascii="Arial" w:hAnsi="Arial" w:cs="Arial"/>
          <w:sz w:val="20"/>
        </w:rPr>
        <w:t>to give his or her fingerprints if satisfied on the balance of probabilities that</w:t>
      </w:r>
      <w:r w:rsidR="008A7AD6">
        <w:rPr>
          <w:rFonts w:ascii="Arial" w:hAnsi="Arial" w:cs="Arial"/>
          <w:sz w:val="20"/>
        </w:rPr>
        <w:t>–</w:t>
      </w:r>
    </w:p>
    <w:p w14:paraId="3FB42B96"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there are reasonable grounds to believe that the child has committed an indictable offence or a summary offender referred to in Schedule 7; and</w:t>
      </w:r>
    </w:p>
    <w:p w14:paraId="7DF8FEF1" w14:textId="7A50F504"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in all the circumstances the making of the order is justified taking into account, amongst other things</w:t>
      </w:r>
      <w:r w:rsidR="005F55F4">
        <w:rPr>
          <w:rFonts w:ascii="Arial" w:hAnsi="Arial" w:cs="Arial"/>
          <w:sz w:val="20"/>
        </w:rPr>
        <w:t>,</w:t>
      </w:r>
      <w:r>
        <w:rPr>
          <w:rFonts w:ascii="Arial" w:hAnsi="Arial" w:cs="Arial"/>
          <w:sz w:val="20"/>
        </w:rPr>
        <w:t xml:space="preserve"> the matters set out in s.464M(6)</w:t>
      </w:r>
      <w:r w:rsidR="005F55F4">
        <w:rPr>
          <w:rFonts w:ascii="Arial" w:hAnsi="Arial" w:cs="Arial"/>
          <w:sz w:val="20"/>
        </w:rPr>
        <w:t>–</w:t>
      </w:r>
    </w:p>
    <w:p w14:paraId="54596181" w14:textId="77777777" w:rsidR="00EE5134" w:rsidRDefault="00EE5134" w:rsidP="00664F3B">
      <w:pPr>
        <w:numPr>
          <w:ilvl w:val="0"/>
          <w:numId w:val="6"/>
        </w:numPr>
        <w:jc w:val="both"/>
        <w:rPr>
          <w:rFonts w:ascii="Arial" w:hAnsi="Arial" w:cs="Arial"/>
          <w:sz w:val="20"/>
        </w:rPr>
      </w:pPr>
      <w:r>
        <w:rPr>
          <w:rFonts w:ascii="Arial" w:hAnsi="Arial" w:cs="Arial"/>
          <w:sz w:val="20"/>
        </w:rPr>
        <w:t>the seriousness of the circumstances surrounding the commission of the offence;</w:t>
      </w:r>
    </w:p>
    <w:p w14:paraId="03FE78BE" w14:textId="77777777" w:rsidR="00EE5134" w:rsidRDefault="00EE5134">
      <w:pPr>
        <w:numPr>
          <w:ilvl w:val="0"/>
          <w:numId w:val="6"/>
        </w:numPr>
        <w:jc w:val="both"/>
        <w:rPr>
          <w:rFonts w:ascii="Arial" w:hAnsi="Arial" w:cs="Arial"/>
          <w:sz w:val="20"/>
        </w:rPr>
      </w:pPr>
      <w:r>
        <w:rPr>
          <w:rFonts w:ascii="Arial" w:hAnsi="Arial" w:cs="Arial"/>
          <w:sz w:val="20"/>
        </w:rPr>
        <w:t>the alleged degree of participation by the child; and</w:t>
      </w:r>
    </w:p>
    <w:p w14:paraId="546AD38F" w14:textId="77777777" w:rsidR="00EE5134" w:rsidRDefault="00EE5134">
      <w:pPr>
        <w:numPr>
          <w:ilvl w:val="0"/>
          <w:numId w:val="6"/>
        </w:numPr>
        <w:jc w:val="both"/>
        <w:rPr>
          <w:rFonts w:ascii="Arial" w:hAnsi="Arial" w:cs="Arial"/>
          <w:sz w:val="20"/>
        </w:rPr>
      </w:pPr>
      <w:r>
        <w:rPr>
          <w:rFonts w:ascii="Arial" w:hAnsi="Arial" w:cs="Arial"/>
          <w:sz w:val="20"/>
        </w:rPr>
        <w:t>the age of the child.</w:t>
      </w:r>
    </w:p>
    <w:p w14:paraId="2142FA2E" w14:textId="77777777" w:rsidR="00EE5134" w:rsidRDefault="00EE5134">
      <w:pPr>
        <w:jc w:val="both"/>
        <w:rPr>
          <w:rFonts w:ascii="Arial" w:hAnsi="Arial" w:cs="Arial"/>
          <w:sz w:val="20"/>
        </w:rPr>
      </w:pPr>
    </w:p>
    <w:p w14:paraId="21847966" w14:textId="77777777" w:rsidR="00EE5134" w:rsidRDefault="00EE5134">
      <w:pPr>
        <w:jc w:val="both"/>
        <w:rPr>
          <w:rFonts w:ascii="Arial" w:hAnsi="Arial" w:cs="Arial"/>
          <w:sz w:val="20"/>
        </w:rPr>
      </w:pPr>
      <w:r>
        <w:rPr>
          <w:rFonts w:ascii="Arial" w:hAnsi="Arial" w:cs="Arial"/>
          <w:sz w:val="20"/>
        </w:rPr>
        <w:t xml:space="preserve">A decision by the Court under s.464M involves an administrative function and does not involve the exercise of judicial power: </w:t>
      </w:r>
      <w:r>
        <w:rPr>
          <w:rFonts w:ascii="Arial" w:hAnsi="Arial" w:cs="Arial"/>
          <w:i/>
          <w:iCs/>
          <w:sz w:val="20"/>
        </w:rPr>
        <w:t>Grollo v Bates</w:t>
      </w:r>
      <w:r>
        <w:rPr>
          <w:rFonts w:ascii="Arial" w:hAnsi="Arial" w:cs="Arial"/>
          <w:sz w:val="20"/>
        </w:rPr>
        <w:t xml:space="preserve"> (1994) 125 ALR 492.  Hence it is not applicable to federal offences pursuant to s.68 of the </w:t>
      </w:r>
      <w:r w:rsidRPr="005F55F4">
        <w:rPr>
          <w:rFonts w:ascii="Arial" w:hAnsi="Arial" w:cs="Arial"/>
          <w:i/>
          <w:iCs/>
          <w:sz w:val="20"/>
        </w:rPr>
        <w:t>Judiciary Act</w:t>
      </w:r>
      <w:r>
        <w:rPr>
          <w:rFonts w:ascii="Arial" w:hAnsi="Arial" w:cs="Arial"/>
          <w:sz w:val="20"/>
        </w:rPr>
        <w:t xml:space="preserve"> because it is not a law "respecting arrest or custody" or pursuant to s.79 because it is not a law "relating to evidence": </w:t>
      </w:r>
      <w:r>
        <w:rPr>
          <w:rFonts w:ascii="Arial" w:hAnsi="Arial" w:cs="Arial"/>
          <w:i/>
          <w:iCs/>
          <w:sz w:val="20"/>
        </w:rPr>
        <w:t>ibid</w:t>
      </w:r>
      <w:r>
        <w:rPr>
          <w:rFonts w:ascii="Arial" w:hAnsi="Arial" w:cs="Arial"/>
          <w:sz w:val="20"/>
        </w:rPr>
        <w:t>.</w:t>
      </w:r>
    </w:p>
    <w:p w14:paraId="72320ADA" w14:textId="77777777" w:rsidR="00EE5134" w:rsidRDefault="00EE5134">
      <w:pPr>
        <w:jc w:val="both"/>
        <w:rPr>
          <w:rFonts w:ascii="Arial" w:hAnsi="Arial" w:cs="Arial"/>
          <w:sz w:val="20"/>
        </w:rPr>
      </w:pPr>
    </w:p>
    <w:p w14:paraId="04D7545F" w14:textId="77777777" w:rsidR="00EE5134" w:rsidRDefault="00EE5134">
      <w:pPr>
        <w:pStyle w:val="Heading4"/>
        <w:spacing w:before="0"/>
        <w:rPr>
          <w:rFonts w:ascii="Arial" w:hAnsi="Arial" w:cs="Arial"/>
          <w:i w:val="0"/>
          <w:iCs/>
          <w:sz w:val="20"/>
        </w:rPr>
      </w:pPr>
      <w:bookmarkStart w:id="450" w:name="_8.3.3.4_Warrant_to"/>
      <w:bookmarkStart w:id="451" w:name="_Toc30699416"/>
      <w:bookmarkStart w:id="452" w:name="_Toc30699801"/>
      <w:bookmarkStart w:id="453" w:name="_Toc30700956"/>
      <w:bookmarkStart w:id="454" w:name="_Toc30701343"/>
      <w:bookmarkStart w:id="455" w:name="_Toc30757218"/>
      <w:bookmarkStart w:id="456" w:name="_Toc30757766"/>
      <w:bookmarkStart w:id="457" w:name="_Toc30758166"/>
      <w:bookmarkStart w:id="458" w:name="_Toc30762927"/>
      <w:bookmarkStart w:id="459" w:name="_Toc30767581"/>
      <w:bookmarkStart w:id="460" w:name="_Toc34823599"/>
      <w:bookmarkEnd w:id="450"/>
      <w:r>
        <w:rPr>
          <w:rFonts w:ascii="Arial" w:hAnsi="Arial" w:cs="Arial"/>
          <w:i w:val="0"/>
          <w:iCs/>
          <w:sz w:val="20"/>
        </w:rPr>
        <w:t>8.3.3.4</w:t>
      </w:r>
      <w:r>
        <w:rPr>
          <w:rFonts w:ascii="Arial" w:hAnsi="Arial" w:cs="Arial"/>
          <w:i w:val="0"/>
          <w:iCs/>
          <w:sz w:val="20"/>
        </w:rPr>
        <w:tab/>
        <w:t>Warrant to arrest for fingerprinting</w:t>
      </w:r>
      <w:bookmarkEnd w:id="451"/>
      <w:bookmarkEnd w:id="452"/>
      <w:bookmarkEnd w:id="453"/>
      <w:bookmarkEnd w:id="454"/>
      <w:bookmarkEnd w:id="455"/>
      <w:bookmarkEnd w:id="456"/>
      <w:bookmarkEnd w:id="457"/>
      <w:bookmarkEnd w:id="458"/>
      <w:bookmarkEnd w:id="459"/>
      <w:bookmarkEnd w:id="460"/>
    </w:p>
    <w:p w14:paraId="53CC67B3" w14:textId="77777777" w:rsidR="00EE5134" w:rsidRDefault="00EE5134">
      <w:pPr>
        <w:jc w:val="both"/>
        <w:rPr>
          <w:rFonts w:ascii="Arial" w:hAnsi="Arial" w:cs="Arial"/>
          <w:sz w:val="20"/>
        </w:rPr>
      </w:pPr>
      <w:r>
        <w:rPr>
          <w:rFonts w:ascii="Arial" w:hAnsi="Arial" w:cs="Arial"/>
          <w:sz w:val="20"/>
        </w:rPr>
        <w:t>Section 464M(12) empowers the Court to issue a warrant to arrest a child the subject of an order under s.464M(5) and take the child without delay to the nearest accessible police station for fingerprinting.</w:t>
      </w:r>
    </w:p>
    <w:p w14:paraId="63B317CA" w14:textId="77777777" w:rsidR="00EE5134" w:rsidRDefault="00EE5134">
      <w:pPr>
        <w:jc w:val="both"/>
        <w:rPr>
          <w:rFonts w:ascii="Arial" w:hAnsi="Arial" w:cs="Arial"/>
          <w:sz w:val="20"/>
        </w:rPr>
      </w:pPr>
    </w:p>
    <w:p w14:paraId="68A49173" w14:textId="77777777" w:rsidR="00EE5134" w:rsidRDefault="00EE5134">
      <w:pPr>
        <w:pStyle w:val="Heading4"/>
        <w:spacing w:before="0"/>
        <w:rPr>
          <w:rFonts w:ascii="Arial" w:hAnsi="Arial" w:cs="Arial"/>
          <w:i w:val="0"/>
          <w:iCs/>
          <w:sz w:val="20"/>
        </w:rPr>
      </w:pPr>
      <w:bookmarkStart w:id="461" w:name="_8.3.3.5_Mandatory_reasons"/>
      <w:bookmarkStart w:id="462" w:name="_Toc30699417"/>
      <w:bookmarkStart w:id="463" w:name="_Toc30699802"/>
      <w:bookmarkStart w:id="464" w:name="_Toc30700957"/>
      <w:bookmarkStart w:id="465" w:name="_Toc30701344"/>
      <w:bookmarkStart w:id="466" w:name="_Toc30757219"/>
      <w:bookmarkStart w:id="467" w:name="_Toc30757767"/>
      <w:bookmarkStart w:id="468" w:name="_Toc30758167"/>
      <w:bookmarkStart w:id="469" w:name="_Toc30762928"/>
      <w:bookmarkStart w:id="470" w:name="_Toc30767582"/>
      <w:bookmarkStart w:id="471" w:name="_Toc34823600"/>
      <w:bookmarkEnd w:id="461"/>
      <w:r>
        <w:rPr>
          <w:rFonts w:ascii="Arial" w:hAnsi="Arial" w:cs="Arial"/>
          <w:i w:val="0"/>
          <w:iCs/>
          <w:sz w:val="20"/>
        </w:rPr>
        <w:t>8.3.3.5</w:t>
      </w:r>
      <w:r>
        <w:rPr>
          <w:rFonts w:ascii="Arial" w:hAnsi="Arial" w:cs="Arial"/>
          <w:i w:val="0"/>
          <w:iCs/>
          <w:sz w:val="20"/>
        </w:rPr>
        <w:tab/>
        <w:t>Mandatory reasons</w:t>
      </w:r>
      <w:bookmarkEnd w:id="462"/>
      <w:bookmarkEnd w:id="463"/>
      <w:bookmarkEnd w:id="464"/>
      <w:bookmarkEnd w:id="465"/>
      <w:bookmarkEnd w:id="466"/>
      <w:bookmarkEnd w:id="467"/>
      <w:bookmarkEnd w:id="468"/>
      <w:bookmarkEnd w:id="469"/>
      <w:bookmarkEnd w:id="470"/>
      <w:bookmarkEnd w:id="471"/>
    </w:p>
    <w:p w14:paraId="0C6CC64B" w14:textId="77777777" w:rsidR="00EE5134" w:rsidRDefault="00EE5134">
      <w:pPr>
        <w:jc w:val="both"/>
        <w:rPr>
          <w:rFonts w:ascii="Arial" w:hAnsi="Arial" w:cs="Arial"/>
          <w:sz w:val="20"/>
        </w:rPr>
      </w:pPr>
      <w:r>
        <w:rPr>
          <w:rFonts w:ascii="Arial" w:hAnsi="Arial" w:cs="Arial"/>
          <w:sz w:val="20"/>
        </w:rPr>
        <w:t>If the Court makes an order under s.464M(5) or issues a warrant under s.464M(12), it must give reasons for its decision and cause a note of the reasons to be entered in the records of the Court: s.464M(13).</w:t>
      </w:r>
    </w:p>
    <w:p w14:paraId="43FFD2BC" w14:textId="77777777" w:rsidR="00EE5134" w:rsidRDefault="00EE5134">
      <w:pPr>
        <w:jc w:val="both"/>
        <w:rPr>
          <w:rFonts w:ascii="Arial" w:hAnsi="Arial" w:cs="Arial"/>
          <w:sz w:val="20"/>
        </w:rPr>
      </w:pPr>
    </w:p>
    <w:p w14:paraId="48444592" w14:textId="77777777" w:rsidR="00EE5134" w:rsidRDefault="00EE5134">
      <w:pPr>
        <w:pStyle w:val="Heading4"/>
        <w:spacing w:before="0"/>
        <w:rPr>
          <w:rFonts w:ascii="Arial" w:hAnsi="Arial" w:cs="Arial"/>
          <w:i w:val="0"/>
          <w:iCs/>
          <w:sz w:val="20"/>
        </w:rPr>
      </w:pPr>
      <w:bookmarkStart w:id="472" w:name="_8.3.3.6_Taking_of"/>
      <w:bookmarkStart w:id="473" w:name="_Toc30699418"/>
      <w:bookmarkStart w:id="474" w:name="_Toc30699803"/>
      <w:bookmarkStart w:id="475" w:name="_Toc30700958"/>
      <w:bookmarkStart w:id="476" w:name="_Toc30701345"/>
      <w:bookmarkStart w:id="477" w:name="_Toc30757220"/>
      <w:bookmarkStart w:id="478" w:name="_Toc30757768"/>
      <w:bookmarkStart w:id="479" w:name="_Toc30758168"/>
      <w:bookmarkStart w:id="480" w:name="_Toc30762929"/>
      <w:bookmarkStart w:id="481" w:name="_Toc30767583"/>
      <w:bookmarkStart w:id="482" w:name="_Toc34823601"/>
      <w:bookmarkEnd w:id="472"/>
      <w:r>
        <w:rPr>
          <w:rFonts w:ascii="Arial" w:hAnsi="Arial" w:cs="Arial"/>
          <w:i w:val="0"/>
          <w:iCs/>
          <w:sz w:val="20"/>
        </w:rPr>
        <w:t>8.3.3.6</w:t>
      </w:r>
      <w:r>
        <w:rPr>
          <w:rFonts w:ascii="Arial" w:hAnsi="Arial" w:cs="Arial"/>
          <w:i w:val="0"/>
          <w:iCs/>
          <w:sz w:val="20"/>
        </w:rPr>
        <w:tab/>
        <w:t>Taking of fingerprinting</w:t>
      </w:r>
      <w:bookmarkEnd w:id="473"/>
      <w:bookmarkEnd w:id="474"/>
      <w:bookmarkEnd w:id="475"/>
      <w:bookmarkEnd w:id="476"/>
      <w:bookmarkEnd w:id="477"/>
      <w:bookmarkEnd w:id="478"/>
      <w:bookmarkEnd w:id="479"/>
      <w:bookmarkEnd w:id="480"/>
      <w:bookmarkEnd w:id="481"/>
      <w:bookmarkEnd w:id="482"/>
    </w:p>
    <w:p w14:paraId="7E2DD29E" w14:textId="77777777" w:rsidR="00EE5134" w:rsidRDefault="00EE5134">
      <w:pPr>
        <w:jc w:val="both"/>
        <w:rPr>
          <w:rFonts w:ascii="Arial" w:hAnsi="Arial" w:cs="Arial"/>
          <w:sz w:val="20"/>
        </w:rPr>
      </w:pPr>
      <w:r>
        <w:rPr>
          <w:rFonts w:ascii="Arial" w:hAnsi="Arial" w:cs="Arial"/>
          <w:sz w:val="20"/>
        </w:rPr>
        <w:t>Sections 464M(9) to (11) &amp; 464N regulate the taking of fingerprints pursuant to a Court order.</w:t>
      </w:r>
    </w:p>
    <w:p w14:paraId="3EF5FCC5" w14:textId="77777777" w:rsidR="00EE5134" w:rsidRDefault="00EE5134">
      <w:pPr>
        <w:jc w:val="both"/>
        <w:rPr>
          <w:rFonts w:ascii="Arial" w:hAnsi="Arial" w:cs="Arial"/>
          <w:sz w:val="20"/>
        </w:rPr>
      </w:pPr>
    </w:p>
    <w:p w14:paraId="7DEEF7B1" w14:textId="77777777" w:rsidR="00EE5134" w:rsidRDefault="00EE5134">
      <w:pPr>
        <w:pStyle w:val="Heading3"/>
        <w:keepNext/>
        <w:spacing w:after="80" w:line="240" w:lineRule="auto"/>
        <w:rPr>
          <w:rFonts w:ascii="Arial" w:hAnsi="Arial" w:cs="Arial"/>
          <w:b/>
          <w:bCs/>
          <w:sz w:val="20"/>
        </w:rPr>
      </w:pPr>
      <w:bookmarkStart w:id="483" w:name="_8.3.4_Other_relevant"/>
      <w:bookmarkStart w:id="484" w:name="_Toc30691416"/>
      <w:bookmarkStart w:id="485" w:name="_Toc30691793"/>
      <w:bookmarkStart w:id="486" w:name="_Toc30692173"/>
      <w:bookmarkStart w:id="487" w:name="_Toc30692931"/>
      <w:bookmarkStart w:id="488" w:name="_Toc30693310"/>
      <w:bookmarkStart w:id="489" w:name="_Toc30693688"/>
      <w:bookmarkStart w:id="490" w:name="_Toc30694066"/>
      <w:bookmarkStart w:id="491" w:name="_Toc30694446"/>
      <w:bookmarkStart w:id="492" w:name="_Toc30699035"/>
      <w:bookmarkStart w:id="493" w:name="_Toc30699419"/>
      <w:bookmarkStart w:id="494" w:name="_Toc30699804"/>
      <w:bookmarkStart w:id="495" w:name="_Toc30700959"/>
      <w:bookmarkStart w:id="496" w:name="_Toc30701346"/>
      <w:bookmarkStart w:id="497" w:name="_Toc30743951"/>
      <w:bookmarkStart w:id="498" w:name="_Toc30754774"/>
      <w:bookmarkStart w:id="499" w:name="_Toc30757221"/>
      <w:bookmarkStart w:id="500" w:name="_Toc30757769"/>
      <w:bookmarkStart w:id="501" w:name="_Toc30758169"/>
      <w:bookmarkStart w:id="502" w:name="_Toc30762930"/>
      <w:bookmarkStart w:id="503" w:name="_Toc30767584"/>
      <w:bookmarkStart w:id="504" w:name="_Toc34823602"/>
      <w:bookmarkEnd w:id="483"/>
      <w:r>
        <w:rPr>
          <w:rFonts w:ascii="Arial" w:hAnsi="Arial" w:cs="Arial"/>
          <w:b/>
          <w:bCs/>
          <w:sz w:val="20"/>
        </w:rPr>
        <w:t>8.3.4</w:t>
      </w:r>
      <w:r>
        <w:rPr>
          <w:rFonts w:ascii="Arial" w:hAnsi="Arial" w:cs="Arial"/>
          <w:b/>
          <w:bCs/>
          <w:sz w:val="20"/>
        </w:rPr>
        <w:tab/>
        <w:t>Other relevant provisions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53A1313E" w14:textId="77777777" w:rsidR="00EE5134" w:rsidRDefault="00EE5134">
      <w:pPr>
        <w:jc w:val="both"/>
        <w:rPr>
          <w:rFonts w:ascii="Arial" w:hAnsi="Arial" w:cs="Arial"/>
          <w:sz w:val="20"/>
        </w:rPr>
      </w:pPr>
      <w:r>
        <w:rPr>
          <w:rFonts w:ascii="Arial" w:hAnsi="Arial" w:cs="Arial"/>
          <w:sz w:val="20"/>
        </w:rPr>
        <w:t>s.464NA</w:t>
      </w:r>
      <w:r>
        <w:rPr>
          <w:rFonts w:ascii="Arial" w:hAnsi="Arial" w:cs="Arial"/>
          <w:sz w:val="20"/>
        </w:rPr>
        <w:tab/>
        <w:t>Fingerscanning for identification purposes of an adult or a child aged 15 or above</w:t>
      </w:r>
    </w:p>
    <w:p w14:paraId="69EAFFBF" w14:textId="77777777" w:rsidR="00EE5134" w:rsidRDefault="00EE5134">
      <w:pPr>
        <w:jc w:val="both"/>
        <w:rPr>
          <w:rFonts w:ascii="Arial" w:hAnsi="Arial" w:cs="Arial"/>
          <w:sz w:val="20"/>
        </w:rPr>
      </w:pPr>
      <w:r>
        <w:rPr>
          <w:rFonts w:ascii="Arial" w:hAnsi="Arial" w:cs="Arial"/>
          <w:sz w:val="20"/>
        </w:rPr>
        <w:t>s.464O</w:t>
      </w:r>
      <w:r>
        <w:rPr>
          <w:rFonts w:ascii="Arial" w:hAnsi="Arial" w:cs="Arial"/>
          <w:sz w:val="20"/>
        </w:rPr>
        <w:tab/>
      </w:r>
      <w:r>
        <w:rPr>
          <w:rFonts w:ascii="Arial" w:hAnsi="Arial" w:cs="Arial"/>
          <w:sz w:val="20"/>
        </w:rPr>
        <w:tab/>
        <w:t>Destruction of records</w:t>
      </w:r>
    </w:p>
    <w:p w14:paraId="776235A0" w14:textId="77777777" w:rsidR="00EE5134" w:rsidRDefault="00EE5134">
      <w:pPr>
        <w:jc w:val="both"/>
        <w:rPr>
          <w:rFonts w:ascii="Arial" w:hAnsi="Arial" w:cs="Arial"/>
          <w:sz w:val="20"/>
        </w:rPr>
      </w:pPr>
      <w:r>
        <w:rPr>
          <w:rFonts w:ascii="Arial" w:hAnsi="Arial" w:cs="Arial"/>
          <w:sz w:val="20"/>
        </w:rPr>
        <w:t>s.464P</w:t>
      </w:r>
      <w:r>
        <w:rPr>
          <w:rFonts w:ascii="Arial" w:hAnsi="Arial" w:cs="Arial"/>
          <w:sz w:val="20"/>
        </w:rPr>
        <w:tab/>
      </w:r>
      <w:r>
        <w:rPr>
          <w:rFonts w:ascii="Arial" w:hAnsi="Arial" w:cs="Arial"/>
          <w:sz w:val="20"/>
        </w:rPr>
        <w:tab/>
        <w:t>Records of juveniles</w:t>
      </w:r>
    </w:p>
    <w:p w14:paraId="0DB022E7" w14:textId="77777777" w:rsidR="00EE5134" w:rsidRDefault="00EE5134">
      <w:pPr>
        <w:jc w:val="both"/>
        <w:rPr>
          <w:rFonts w:ascii="Arial" w:hAnsi="Arial" w:cs="Arial"/>
          <w:sz w:val="20"/>
        </w:rPr>
      </w:pPr>
      <w:r>
        <w:rPr>
          <w:rFonts w:ascii="Arial" w:hAnsi="Arial" w:cs="Arial"/>
          <w:sz w:val="20"/>
        </w:rPr>
        <w:t>s.464Q</w:t>
      </w:r>
      <w:r>
        <w:rPr>
          <w:rFonts w:ascii="Arial" w:hAnsi="Arial" w:cs="Arial"/>
          <w:sz w:val="20"/>
        </w:rPr>
        <w:tab/>
      </w:r>
      <w:r>
        <w:rPr>
          <w:rFonts w:ascii="Arial" w:hAnsi="Arial" w:cs="Arial"/>
          <w:sz w:val="20"/>
        </w:rPr>
        <w:tab/>
        <w:t>Evidence of fingerprints</w:t>
      </w:r>
    </w:p>
    <w:p w14:paraId="3248793E" w14:textId="77777777" w:rsidR="00C84CE5" w:rsidRPr="008A7ABC" w:rsidRDefault="00C84CE5" w:rsidP="00C84CE5">
      <w:pPr>
        <w:jc w:val="both"/>
        <w:rPr>
          <w:rFonts w:ascii="Arial" w:hAnsi="Arial" w:cs="Arial"/>
          <w:color w:val="000000"/>
          <w:sz w:val="20"/>
        </w:rPr>
      </w:pPr>
    </w:p>
    <w:p w14:paraId="2160056F" w14:textId="77777777" w:rsidR="00C84CE5" w:rsidRPr="00222937" w:rsidRDefault="00C84CE5" w:rsidP="00C84CE5">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7BBD38DB" w14:textId="77777777" w:rsidR="00C84CE5" w:rsidRPr="008A7AD6" w:rsidRDefault="00C84CE5" w:rsidP="00C84CE5">
      <w:pPr>
        <w:rPr>
          <w:rFonts w:ascii="Arial" w:hAnsi="Arial" w:cs="Arial"/>
          <w:color w:val="000000"/>
          <w:sz w:val="20"/>
        </w:rPr>
      </w:pPr>
    </w:p>
    <w:p w14:paraId="3A748DBC" w14:textId="77777777" w:rsidR="00C84CE5" w:rsidRDefault="00C84CE5">
      <w:pPr>
        <w:rPr>
          <w:rFonts w:ascii="Arial" w:hAnsi="Arial" w:cs="Arial"/>
          <w:b/>
          <w:bCs/>
          <w:kern w:val="28"/>
          <w:szCs w:val="20"/>
          <w:lang w:val="en-GB"/>
        </w:rPr>
      </w:pPr>
      <w:bookmarkStart w:id="505" w:name="_8.4_Forensic_procedure"/>
      <w:bookmarkStart w:id="506" w:name="_Toc30669432"/>
      <w:bookmarkStart w:id="507" w:name="_Toc30671653"/>
      <w:bookmarkStart w:id="508" w:name="_Toc30674180"/>
      <w:bookmarkStart w:id="509" w:name="_Toc30691417"/>
      <w:bookmarkStart w:id="510" w:name="_Toc30691794"/>
      <w:bookmarkStart w:id="511" w:name="_Toc30692174"/>
      <w:bookmarkStart w:id="512" w:name="_Toc30692932"/>
      <w:bookmarkStart w:id="513" w:name="_Toc30693311"/>
      <w:bookmarkStart w:id="514" w:name="_Toc30693689"/>
      <w:bookmarkStart w:id="515" w:name="_Toc30694067"/>
      <w:bookmarkStart w:id="516" w:name="_Toc30694447"/>
      <w:bookmarkStart w:id="517" w:name="_Toc30699036"/>
      <w:bookmarkStart w:id="518" w:name="_Toc30699420"/>
      <w:bookmarkStart w:id="519" w:name="_Toc30699805"/>
      <w:bookmarkStart w:id="520" w:name="_Toc30700960"/>
      <w:bookmarkStart w:id="521" w:name="_Toc30701347"/>
      <w:bookmarkStart w:id="522" w:name="_Toc30743952"/>
      <w:bookmarkStart w:id="523" w:name="_Toc30754775"/>
      <w:bookmarkStart w:id="524" w:name="_Toc30757222"/>
      <w:bookmarkStart w:id="525" w:name="_Toc30757770"/>
      <w:bookmarkStart w:id="526" w:name="_Toc30758170"/>
      <w:bookmarkStart w:id="527" w:name="_Toc30762931"/>
      <w:bookmarkStart w:id="528" w:name="_Toc30767585"/>
      <w:bookmarkStart w:id="529" w:name="_Toc34823603"/>
      <w:bookmarkEnd w:id="505"/>
      <w:r>
        <w:rPr>
          <w:rFonts w:ascii="Arial" w:hAnsi="Arial" w:cs="Arial"/>
          <w:b/>
          <w:bCs/>
        </w:rPr>
        <w:br w:type="page"/>
      </w:r>
    </w:p>
    <w:p w14:paraId="2B042D58" w14:textId="202EB222" w:rsidR="00EE5134" w:rsidRDefault="00EE5134">
      <w:pPr>
        <w:pStyle w:val="Heading2"/>
        <w:keepNext/>
        <w:tabs>
          <w:tab w:val="left" w:pos="567"/>
        </w:tabs>
        <w:spacing w:line="240" w:lineRule="auto"/>
        <w:rPr>
          <w:rFonts w:ascii="Arial" w:hAnsi="Arial" w:cs="Arial"/>
          <w:b/>
          <w:bCs/>
        </w:rPr>
      </w:pPr>
      <w:r>
        <w:rPr>
          <w:rFonts w:ascii="Arial" w:hAnsi="Arial" w:cs="Arial"/>
          <w:b/>
          <w:bCs/>
        </w:rPr>
        <w:lastRenderedPageBreak/>
        <w:t>8.4</w:t>
      </w:r>
      <w:r>
        <w:rPr>
          <w:rFonts w:ascii="Arial" w:hAnsi="Arial" w:cs="Arial"/>
          <w:b/>
          <w:bCs/>
        </w:rPr>
        <w:tab/>
        <w:t xml:space="preserve">Forensic procedure </w:t>
      </w:r>
      <w:r w:rsidR="0089543B">
        <w:rPr>
          <w:rFonts w:ascii="Arial" w:hAnsi="Arial" w:cs="Arial"/>
          <w:b/>
          <w:bCs/>
        </w:rPr>
        <w:t>–</w:t>
      </w:r>
      <w:r>
        <w:rPr>
          <w:rFonts w:ascii="Arial" w:hAnsi="Arial" w:cs="Arial"/>
          <w:b/>
          <w:bCs/>
        </w:rPr>
        <w:t xml:space="preserve"> Compulsory</w:t>
      </w:r>
      <w:r w:rsidR="0089543B">
        <w:rPr>
          <w:rFonts w:ascii="Arial" w:hAnsi="Arial" w:cs="Arial"/>
          <w:b/>
          <w:bCs/>
        </w:rPr>
        <w:t xml:space="preserve"> p</w:t>
      </w:r>
      <w:r>
        <w:rPr>
          <w:rFonts w:ascii="Arial" w:hAnsi="Arial" w:cs="Arial"/>
          <w:b/>
          <w:bCs/>
        </w:rPr>
        <w:t>rocedure</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5A4C4C07" w14:textId="77777777" w:rsidR="00EE5134" w:rsidRDefault="00EE5134">
      <w:pPr>
        <w:jc w:val="both"/>
        <w:rPr>
          <w:rFonts w:ascii="Arial" w:hAnsi="Arial" w:cs="Arial"/>
        </w:rPr>
      </w:pPr>
    </w:p>
    <w:p w14:paraId="3C0D9830" w14:textId="77777777" w:rsidR="00EE5134" w:rsidRDefault="00EE5134">
      <w:pPr>
        <w:pStyle w:val="Heading3"/>
        <w:keepNext/>
        <w:spacing w:after="120" w:line="240" w:lineRule="auto"/>
        <w:rPr>
          <w:rFonts w:ascii="Arial" w:hAnsi="Arial" w:cs="Arial"/>
          <w:b/>
          <w:bCs/>
          <w:sz w:val="20"/>
        </w:rPr>
      </w:pPr>
      <w:bookmarkStart w:id="530" w:name="_8.4.1_Whether_there"/>
      <w:bookmarkStart w:id="531" w:name="_Toc30699037"/>
      <w:bookmarkStart w:id="532" w:name="_Toc30699421"/>
      <w:bookmarkStart w:id="533" w:name="_Toc30699806"/>
      <w:bookmarkStart w:id="534" w:name="_Toc30700961"/>
      <w:bookmarkStart w:id="535" w:name="_Toc30701348"/>
      <w:bookmarkStart w:id="536" w:name="_Toc30743953"/>
      <w:bookmarkStart w:id="537" w:name="_Toc30754776"/>
      <w:bookmarkStart w:id="538" w:name="_Toc30757223"/>
      <w:bookmarkStart w:id="539" w:name="_Toc30757771"/>
      <w:bookmarkStart w:id="540" w:name="_Toc30758171"/>
      <w:bookmarkStart w:id="541" w:name="_Toc30762932"/>
      <w:bookmarkStart w:id="542" w:name="_Toc30767586"/>
      <w:bookmarkStart w:id="543" w:name="_Toc34823604"/>
      <w:bookmarkEnd w:id="530"/>
      <w:r>
        <w:rPr>
          <w:rFonts w:ascii="Arial" w:hAnsi="Arial" w:cs="Arial"/>
          <w:b/>
          <w:bCs/>
          <w:sz w:val="20"/>
        </w:rPr>
        <w:t>8.4.1</w:t>
      </w:r>
      <w:r>
        <w:rPr>
          <w:rFonts w:ascii="Arial" w:hAnsi="Arial" w:cs="Arial"/>
          <w:b/>
          <w:bCs/>
          <w:sz w:val="20"/>
        </w:rPr>
        <w:tab/>
        <w:t>Whether there is any difference between the terms</w:t>
      </w:r>
      <w:bookmarkEnd w:id="531"/>
      <w:bookmarkEnd w:id="532"/>
      <w:bookmarkEnd w:id="533"/>
      <w:bookmarkEnd w:id="534"/>
      <w:bookmarkEnd w:id="535"/>
      <w:bookmarkEnd w:id="536"/>
      <w:bookmarkEnd w:id="537"/>
      <w:bookmarkEnd w:id="538"/>
      <w:bookmarkEnd w:id="539"/>
      <w:bookmarkEnd w:id="540"/>
      <w:bookmarkEnd w:id="541"/>
      <w:bookmarkEnd w:id="542"/>
      <w:bookmarkEnd w:id="543"/>
    </w:p>
    <w:p w14:paraId="709435A3" w14:textId="77777777" w:rsidR="00EE5134" w:rsidRDefault="00EE5134">
      <w:pPr>
        <w:jc w:val="both"/>
        <w:rPr>
          <w:rFonts w:ascii="Arial" w:hAnsi="Arial" w:cs="Arial"/>
          <w:sz w:val="20"/>
        </w:rPr>
      </w:pPr>
      <w:r>
        <w:rPr>
          <w:rFonts w:ascii="Arial" w:hAnsi="Arial" w:cs="Arial"/>
          <w:b/>
          <w:bCs/>
          <w:sz w:val="20"/>
        </w:rPr>
        <w:t>Forensic procedure</w:t>
      </w:r>
      <w:r>
        <w:rPr>
          <w:rFonts w:ascii="Arial" w:hAnsi="Arial" w:cs="Arial"/>
          <w:sz w:val="20"/>
        </w:rPr>
        <w:t xml:space="preserve"> is defined in s.464(2) of the Crimes Act 1958 (Vic) as the taking of a sample from any part of the body, whether an intimate or a non-intimate sample or any other type of sample, or the conduct of any procedure on or physical examination of the body but does not include the taking of a fingerprint.</w:t>
      </w:r>
    </w:p>
    <w:p w14:paraId="00DAA402" w14:textId="77777777" w:rsidR="00EE5134" w:rsidRDefault="00EE5134">
      <w:pPr>
        <w:jc w:val="both"/>
        <w:rPr>
          <w:rFonts w:ascii="Arial" w:hAnsi="Arial" w:cs="Arial"/>
          <w:b/>
          <w:bCs/>
          <w:sz w:val="20"/>
        </w:rPr>
      </w:pPr>
    </w:p>
    <w:p w14:paraId="5ED28285" w14:textId="77777777" w:rsidR="00EE5134" w:rsidRDefault="00EE5134">
      <w:pPr>
        <w:jc w:val="both"/>
        <w:rPr>
          <w:rFonts w:ascii="Arial" w:hAnsi="Arial" w:cs="Arial"/>
          <w:sz w:val="20"/>
        </w:rPr>
      </w:pPr>
      <w:r>
        <w:rPr>
          <w:rFonts w:ascii="Arial" w:hAnsi="Arial" w:cs="Arial"/>
          <w:b/>
          <w:bCs/>
          <w:sz w:val="20"/>
        </w:rPr>
        <w:t>Compulsory procedure</w:t>
      </w:r>
      <w:r>
        <w:rPr>
          <w:rFonts w:ascii="Arial" w:hAnsi="Arial" w:cs="Arial"/>
          <w:sz w:val="20"/>
        </w:rPr>
        <w:t xml:space="preserve"> is defined in s.464(2) as the taking of an intimate or non-intimate sample or the conduct of a physical examination.</w:t>
      </w:r>
    </w:p>
    <w:p w14:paraId="4CE5FF16" w14:textId="77777777" w:rsidR="00EE5134" w:rsidRDefault="00EE5134">
      <w:pPr>
        <w:jc w:val="both"/>
        <w:rPr>
          <w:rFonts w:ascii="Arial" w:hAnsi="Arial" w:cs="Arial"/>
          <w:sz w:val="20"/>
        </w:rPr>
      </w:pPr>
    </w:p>
    <w:p w14:paraId="2E77BAF9" w14:textId="77777777" w:rsidR="00EE5134" w:rsidRDefault="00EE5134">
      <w:pPr>
        <w:jc w:val="both"/>
        <w:rPr>
          <w:rFonts w:ascii="Arial" w:hAnsi="Arial" w:cs="Arial"/>
          <w:sz w:val="20"/>
        </w:rPr>
      </w:pPr>
      <w:r>
        <w:rPr>
          <w:rFonts w:ascii="Arial" w:hAnsi="Arial" w:cs="Arial"/>
          <w:sz w:val="20"/>
        </w:rPr>
        <w:t xml:space="preserve">Given their similarity, it is not immediately clear why both terms are used.  In some sections, </w:t>
      </w:r>
      <w:r>
        <w:rPr>
          <w:rFonts w:ascii="Arial" w:hAnsi="Arial" w:cs="Arial"/>
          <w:b/>
          <w:bCs/>
          <w:sz w:val="20"/>
        </w:rPr>
        <w:t>forensic procedure</w:t>
      </w:r>
      <w:r>
        <w:rPr>
          <w:rFonts w:ascii="Arial" w:hAnsi="Arial" w:cs="Arial"/>
          <w:sz w:val="20"/>
        </w:rPr>
        <w:t xml:space="preserve"> is used in connection with a voluntary sample [e.g. s.464T(1)(a)] while </w:t>
      </w:r>
      <w:r>
        <w:rPr>
          <w:rFonts w:ascii="Arial" w:hAnsi="Arial" w:cs="Arial"/>
          <w:b/>
          <w:bCs/>
          <w:sz w:val="20"/>
        </w:rPr>
        <w:t>compulsory procedure</w:t>
      </w:r>
      <w:r>
        <w:rPr>
          <w:rFonts w:ascii="Arial" w:hAnsi="Arial" w:cs="Arial"/>
          <w:sz w:val="20"/>
        </w:rPr>
        <w:t xml:space="preserve"> is used in connection with a court-ordered sample [e.g. s.464T(3)].  But in s.464Y </w:t>
      </w:r>
      <w:r>
        <w:rPr>
          <w:rFonts w:ascii="Arial" w:hAnsi="Arial" w:cs="Arial"/>
          <w:b/>
          <w:bCs/>
          <w:sz w:val="20"/>
        </w:rPr>
        <w:t>forensic procedure</w:t>
      </w:r>
      <w:r>
        <w:rPr>
          <w:rFonts w:ascii="Arial" w:hAnsi="Arial" w:cs="Arial"/>
          <w:sz w:val="20"/>
        </w:rPr>
        <w:t xml:space="preserve"> is used in relation to either a voluntary or court ordered procedure and in s.464ZF </w:t>
      </w:r>
      <w:r>
        <w:rPr>
          <w:rFonts w:ascii="Arial" w:hAnsi="Arial" w:cs="Arial"/>
          <w:b/>
          <w:bCs/>
          <w:sz w:val="20"/>
        </w:rPr>
        <w:t>forensic procedure</w:t>
      </w:r>
      <w:r>
        <w:rPr>
          <w:rFonts w:ascii="Arial" w:hAnsi="Arial" w:cs="Arial"/>
          <w:sz w:val="20"/>
        </w:rPr>
        <w:t xml:space="preserve"> is used in relation to a court-ordered procedure.</w:t>
      </w:r>
    </w:p>
    <w:p w14:paraId="424C9CFA" w14:textId="77777777" w:rsidR="00EE5134" w:rsidRDefault="00EE5134">
      <w:pPr>
        <w:jc w:val="both"/>
        <w:rPr>
          <w:rFonts w:ascii="Arial" w:hAnsi="Arial" w:cs="Arial"/>
          <w:sz w:val="20"/>
        </w:rPr>
      </w:pPr>
    </w:p>
    <w:p w14:paraId="102EF758" w14:textId="206B13A1" w:rsidR="00EE5134" w:rsidRPr="00487855" w:rsidRDefault="00EE5134">
      <w:pPr>
        <w:pStyle w:val="Heading3"/>
        <w:keepNext/>
        <w:spacing w:after="80" w:line="240" w:lineRule="auto"/>
        <w:rPr>
          <w:rFonts w:ascii="Arial" w:hAnsi="Arial" w:cs="Arial"/>
          <w:b/>
          <w:bCs/>
          <w:sz w:val="20"/>
          <w:lang w:val="en-AU"/>
        </w:rPr>
      </w:pPr>
      <w:bookmarkStart w:id="544" w:name="_8.4.2_Child_aged"/>
      <w:bookmarkStart w:id="545" w:name="_Toc30691418"/>
      <w:bookmarkStart w:id="546" w:name="_Toc30691795"/>
      <w:bookmarkStart w:id="547" w:name="_Toc30692175"/>
      <w:bookmarkStart w:id="548" w:name="_Toc30692933"/>
      <w:bookmarkStart w:id="549" w:name="_Toc30693312"/>
      <w:bookmarkStart w:id="550" w:name="_Toc30693690"/>
      <w:bookmarkStart w:id="551" w:name="_Toc30694068"/>
      <w:bookmarkStart w:id="552" w:name="_Toc30694448"/>
      <w:bookmarkStart w:id="553" w:name="_Toc30699038"/>
      <w:bookmarkStart w:id="554" w:name="_Toc30699422"/>
      <w:bookmarkStart w:id="555" w:name="_Toc30699807"/>
      <w:bookmarkStart w:id="556" w:name="_Toc30700962"/>
      <w:bookmarkStart w:id="557" w:name="_Toc30701349"/>
      <w:bookmarkStart w:id="558" w:name="_Toc30743954"/>
      <w:bookmarkStart w:id="559" w:name="_Toc30754777"/>
      <w:bookmarkStart w:id="560" w:name="_Toc30757224"/>
      <w:bookmarkStart w:id="561" w:name="_Toc30757772"/>
      <w:bookmarkStart w:id="562" w:name="_Toc30758172"/>
      <w:bookmarkStart w:id="563" w:name="_Toc30762933"/>
      <w:bookmarkStart w:id="564" w:name="_Toc30767587"/>
      <w:bookmarkStart w:id="565" w:name="_Toc34823605"/>
      <w:bookmarkEnd w:id="544"/>
      <w:r>
        <w:rPr>
          <w:rFonts w:ascii="Arial" w:hAnsi="Arial" w:cs="Arial"/>
          <w:b/>
          <w:bCs/>
          <w:sz w:val="20"/>
        </w:rPr>
        <w:t>8.4.2</w:t>
      </w:r>
      <w:r>
        <w:rPr>
          <w:rFonts w:ascii="Arial" w:hAnsi="Arial" w:cs="Arial"/>
          <w:b/>
          <w:bCs/>
          <w:sz w:val="20"/>
        </w:rPr>
        <w:tab/>
        <w:t>Child aged under 1</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sidR="005F7C9E">
        <w:rPr>
          <w:rFonts w:ascii="Arial" w:hAnsi="Arial" w:cs="Arial"/>
          <w:b/>
          <w:bCs/>
          <w:sz w:val="20"/>
        </w:rPr>
        <w:t>2</w:t>
      </w:r>
    </w:p>
    <w:p w14:paraId="74D39A3F" w14:textId="5A49E1E1" w:rsidR="00EE5134" w:rsidRDefault="005F7C9E" w:rsidP="005F7C9E">
      <w:pPr>
        <w:jc w:val="both"/>
        <w:rPr>
          <w:rFonts w:ascii="Arial" w:hAnsi="Arial" w:cs="Arial"/>
          <w:sz w:val="20"/>
        </w:rPr>
      </w:pPr>
      <w:r>
        <w:rPr>
          <w:rFonts w:ascii="Arial" w:hAnsi="Arial" w:cs="Arial"/>
          <w:sz w:val="20"/>
        </w:rPr>
        <w:t>Section 464</w:t>
      </w:r>
      <w:proofErr w:type="gramStart"/>
      <w:r>
        <w:rPr>
          <w:rFonts w:ascii="Arial" w:hAnsi="Arial" w:cs="Arial"/>
          <w:sz w:val="20"/>
        </w:rPr>
        <w:t>U(</w:t>
      </w:r>
      <w:proofErr w:type="gramEnd"/>
      <w:r>
        <w:rPr>
          <w:rFonts w:ascii="Arial" w:hAnsi="Arial" w:cs="Arial"/>
          <w:sz w:val="20"/>
        </w:rPr>
        <w:t>1) provides that a</w:t>
      </w:r>
      <w:r w:rsidR="00EE5134">
        <w:rPr>
          <w:rFonts w:ascii="Arial" w:hAnsi="Arial" w:cs="Arial"/>
          <w:sz w:val="20"/>
        </w:rPr>
        <w:t xml:space="preserve"> </w:t>
      </w:r>
      <w:r>
        <w:rPr>
          <w:rFonts w:ascii="Arial" w:hAnsi="Arial" w:cs="Arial"/>
          <w:sz w:val="20"/>
        </w:rPr>
        <w:t xml:space="preserve">police officer must not do any of the following in respect of a child who was under 12 years of age at the time the </w:t>
      </w:r>
      <w:r w:rsidR="00EE5134">
        <w:rPr>
          <w:rFonts w:ascii="Arial" w:hAnsi="Arial" w:cs="Arial"/>
          <w:sz w:val="20"/>
        </w:rPr>
        <w:t xml:space="preserve">child </w:t>
      </w:r>
      <w:r>
        <w:rPr>
          <w:rFonts w:ascii="Arial" w:hAnsi="Arial" w:cs="Arial"/>
          <w:sz w:val="20"/>
        </w:rPr>
        <w:t>is alleged to have done any act or made any omission which would constitute an offence if the child had been of the age of criminal responsibility–</w:t>
      </w:r>
    </w:p>
    <w:p w14:paraId="348CA01A" w14:textId="762A7457" w:rsidR="005F7C9E" w:rsidRDefault="005F7C9E" w:rsidP="00047992">
      <w:pPr>
        <w:pStyle w:val="ListParagraph"/>
        <w:numPr>
          <w:ilvl w:val="0"/>
          <w:numId w:val="44"/>
        </w:numPr>
        <w:spacing w:line="240" w:lineRule="auto"/>
        <w:ind w:left="357" w:hanging="357"/>
        <w:jc w:val="both"/>
        <w:rPr>
          <w:rFonts w:ascii="Arial" w:hAnsi="Arial" w:cs="Arial"/>
          <w:sz w:val="20"/>
        </w:rPr>
      </w:pPr>
      <w:r>
        <w:rPr>
          <w:rFonts w:ascii="Arial" w:hAnsi="Arial" w:cs="Arial"/>
          <w:sz w:val="20"/>
        </w:rPr>
        <w:t>request the child to undergo a forensic procedure;</w:t>
      </w:r>
    </w:p>
    <w:p w14:paraId="788C1700" w14:textId="4CD0BDB7" w:rsidR="005F7C9E" w:rsidRDefault="005F7C9E" w:rsidP="00047992">
      <w:pPr>
        <w:pStyle w:val="ListParagraph"/>
        <w:numPr>
          <w:ilvl w:val="0"/>
          <w:numId w:val="44"/>
        </w:numPr>
        <w:spacing w:line="240" w:lineRule="auto"/>
        <w:ind w:left="357" w:hanging="357"/>
        <w:jc w:val="both"/>
        <w:rPr>
          <w:rFonts w:ascii="Arial" w:hAnsi="Arial" w:cs="Arial"/>
          <w:sz w:val="20"/>
        </w:rPr>
      </w:pPr>
      <w:r>
        <w:rPr>
          <w:rFonts w:ascii="Arial" w:hAnsi="Arial" w:cs="Arial"/>
          <w:sz w:val="20"/>
        </w:rPr>
        <w:t>conduct a forensic procedure on the child;</w:t>
      </w:r>
    </w:p>
    <w:p w14:paraId="626C245F" w14:textId="3BDDB6B6" w:rsidR="005F7C9E" w:rsidRPr="005F7C9E" w:rsidRDefault="005F7C9E" w:rsidP="00047992">
      <w:pPr>
        <w:pStyle w:val="ListParagraph"/>
        <w:numPr>
          <w:ilvl w:val="0"/>
          <w:numId w:val="44"/>
        </w:numPr>
        <w:spacing w:after="0" w:line="240" w:lineRule="auto"/>
        <w:ind w:left="357" w:hanging="357"/>
        <w:jc w:val="both"/>
        <w:rPr>
          <w:rFonts w:ascii="Arial" w:hAnsi="Arial" w:cs="Arial"/>
          <w:sz w:val="20"/>
        </w:rPr>
      </w:pPr>
      <w:r>
        <w:rPr>
          <w:rFonts w:ascii="Arial" w:hAnsi="Arial" w:cs="Arial"/>
          <w:sz w:val="20"/>
        </w:rPr>
        <w:t>request any other person to conduct a forensic procedure on the child.</w:t>
      </w:r>
    </w:p>
    <w:p w14:paraId="74D15453" w14:textId="77777777" w:rsidR="00EE5134" w:rsidRDefault="00EE5134" w:rsidP="005F7C9E">
      <w:pPr>
        <w:jc w:val="both"/>
        <w:rPr>
          <w:rFonts w:ascii="Arial" w:hAnsi="Arial" w:cs="Arial"/>
          <w:sz w:val="20"/>
        </w:rPr>
      </w:pPr>
    </w:p>
    <w:p w14:paraId="1D9CF4A8" w14:textId="62756242" w:rsidR="00EE5134" w:rsidRDefault="00EE5134">
      <w:pPr>
        <w:pStyle w:val="Heading3"/>
        <w:keepNext/>
        <w:spacing w:after="80" w:line="240" w:lineRule="auto"/>
        <w:rPr>
          <w:rFonts w:ascii="Arial" w:hAnsi="Arial" w:cs="Arial"/>
          <w:b/>
          <w:bCs/>
          <w:sz w:val="20"/>
        </w:rPr>
      </w:pPr>
      <w:bookmarkStart w:id="566" w:name="_8.4.3_Child_aged"/>
      <w:bookmarkStart w:id="567" w:name="_Toc30691419"/>
      <w:bookmarkStart w:id="568" w:name="_Toc30691796"/>
      <w:bookmarkStart w:id="569" w:name="_Toc30692176"/>
      <w:bookmarkStart w:id="570" w:name="_Toc30692934"/>
      <w:bookmarkStart w:id="571" w:name="_Toc30693313"/>
      <w:bookmarkStart w:id="572" w:name="_Toc30693691"/>
      <w:bookmarkStart w:id="573" w:name="_Toc30694069"/>
      <w:bookmarkStart w:id="574" w:name="_Toc30694449"/>
      <w:bookmarkStart w:id="575" w:name="_Toc30699039"/>
      <w:bookmarkStart w:id="576" w:name="_Toc30699423"/>
      <w:bookmarkStart w:id="577" w:name="_Toc30699808"/>
      <w:bookmarkStart w:id="578" w:name="_Toc30700963"/>
      <w:bookmarkStart w:id="579" w:name="_Toc30701350"/>
      <w:bookmarkStart w:id="580" w:name="_Toc30743955"/>
      <w:bookmarkStart w:id="581" w:name="_Toc30754778"/>
      <w:bookmarkStart w:id="582" w:name="_Toc30757225"/>
      <w:bookmarkStart w:id="583" w:name="_Toc30757773"/>
      <w:bookmarkStart w:id="584" w:name="_Toc30758173"/>
      <w:bookmarkStart w:id="585" w:name="_Toc30762934"/>
      <w:bookmarkStart w:id="586" w:name="_Toc30767588"/>
      <w:bookmarkStart w:id="587" w:name="_Toc34823606"/>
      <w:bookmarkEnd w:id="566"/>
      <w:r>
        <w:rPr>
          <w:rFonts w:ascii="Arial" w:hAnsi="Arial" w:cs="Arial"/>
          <w:b/>
          <w:bCs/>
          <w:sz w:val="20"/>
        </w:rPr>
        <w:t>8.4.3</w:t>
      </w:r>
      <w:r>
        <w:rPr>
          <w:rFonts w:ascii="Arial" w:hAnsi="Arial" w:cs="Arial"/>
          <w:b/>
          <w:bCs/>
          <w:sz w:val="20"/>
        </w:rPr>
        <w:tab/>
        <w:t>Child aged 1</w:t>
      </w:r>
      <w:r w:rsidR="005F7C9E">
        <w:rPr>
          <w:rFonts w:ascii="Arial" w:hAnsi="Arial" w:cs="Arial"/>
          <w:b/>
          <w:bCs/>
          <w:sz w:val="20"/>
        </w:rPr>
        <w:t>2</w:t>
      </w:r>
      <w:r>
        <w:rPr>
          <w:rFonts w:ascii="Arial" w:hAnsi="Arial" w:cs="Arial"/>
          <w:b/>
          <w:bCs/>
          <w:sz w:val="20"/>
        </w:rPr>
        <w:t xml:space="preserve"> </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001339D7">
        <w:rPr>
          <w:rFonts w:ascii="Arial" w:hAnsi="Arial" w:cs="Arial"/>
          <w:b/>
          <w:bCs/>
          <w:sz w:val="20"/>
        </w:rPr>
        <w:t>to 17</w:t>
      </w:r>
    </w:p>
    <w:p w14:paraId="2962984A" w14:textId="51748B13"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U(</w:t>
      </w:r>
      <w:proofErr w:type="gramEnd"/>
      <w:r>
        <w:rPr>
          <w:rFonts w:ascii="Arial" w:hAnsi="Arial" w:cs="Arial"/>
          <w:sz w:val="20"/>
        </w:rPr>
        <w:t xml:space="preserve">2) prohibits a member of the police force from requesting a child </w:t>
      </w:r>
      <w:r w:rsidR="005F7C9E">
        <w:rPr>
          <w:rFonts w:ascii="Arial" w:hAnsi="Arial" w:cs="Arial"/>
          <w:sz w:val="20"/>
        </w:rPr>
        <w:t xml:space="preserve">who is 12 years of age or over </w:t>
      </w:r>
      <w:r>
        <w:rPr>
          <w:rFonts w:ascii="Arial" w:hAnsi="Arial" w:cs="Arial"/>
          <w:sz w:val="20"/>
        </w:rPr>
        <w:t>but under 1</w:t>
      </w:r>
      <w:r w:rsidR="003106FD">
        <w:rPr>
          <w:rFonts w:ascii="Arial" w:hAnsi="Arial" w:cs="Arial"/>
          <w:sz w:val="20"/>
        </w:rPr>
        <w:t>8</w:t>
      </w:r>
      <w:r>
        <w:rPr>
          <w:rFonts w:ascii="Arial" w:hAnsi="Arial" w:cs="Arial"/>
          <w:sz w:val="20"/>
        </w:rPr>
        <w:t xml:space="preserve"> years </w:t>
      </w:r>
      <w:r w:rsidR="005F7C9E">
        <w:rPr>
          <w:rFonts w:ascii="Arial" w:hAnsi="Arial" w:cs="Arial"/>
          <w:sz w:val="20"/>
        </w:rPr>
        <w:t xml:space="preserve">of age </w:t>
      </w:r>
      <w:r>
        <w:rPr>
          <w:rFonts w:ascii="Arial" w:hAnsi="Arial" w:cs="Arial"/>
          <w:sz w:val="20"/>
        </w:rPr>
        <w:t>who</w:t>
      </w:r>
      <w:r w:rsidR="008A7AD6">
        <w:rPr>
          <w:rFonts w:ascii="Arial" w:hAnsi="Arial" w:cs="Arial"/>
          <w:sz w:val="20"/>
        </w:rPr>
        <w:t>–</w:t>
      </w:r>
    </w:p>
    <w:p w14:paraId="46791EC2" w14:textId="0A218AAC" w:rsidR="00EE5134" w:rsidRDefault="00EE5134" w:rsidP="00047992">
      <w:pPr>
        <w:ind w:left="357" w:hanging="357"/>
        <w:jc w:val="both"/>
        <w:rPr>
          <w:rFonts w:ascii="Arial" w:hAnsi="Arial" w:cs="Arial"/>
          <w:sz w:val="20"/>
        </w:rPr>
      </w:pPr>
      <w:r>
        <w:rPr>
          <w:rFonts w:ascii="Arial" w:hAnsi="Arial" w:cs="Arial"/>
          <w:sz w:val="20"/>
        </w:rPr>
        <w:t>(a)</w:t>
      </w:r>
      <w:r>
        <w:rPr>
          <w:rFonts w:ascii="Arial" w:hAnsi="Arial" w:cs="Arial"/>
          <w:sz w:val="20"/>
        </w:rPr>
        <w:tab/>
        <w:t>is suspected of having committed; or</w:t>
      </w:r>
    </w:p>
    <w:p w14:paraId="2F9DC415" w14:textId="77777777" w:rsidR="00EE5134" w:rsidRDefault="00EE5134" w:rsidP="00047992">
      <w:pPr>
        <w:ind w:left="357" w:hanging="357"/>
        <w:jc w:val="both"/>
        <w:rPr>
          <w:rFonts w:ascii="Arial" w:hAnsi="Arial" w:cs="Arial"/>
          <w:sz w:val="20"/>
        </w:rPr>
      </w:pPr>
      <w:r>
        <w:rPr>
          <w:rFonts w:ascii="Arial" w:hAnsi="Arial" w:cs="Arial"/>
          <w:sz w:val="20"/>
        </w:rPr>
        <w:t>(b)</w:t>
      </w:r>
      <w:r>
        <w:rPr>
          <w:rFonts w:ascii="Arial" w:hAnsi="Arial" w:cs="Arial"/>
          <w:sz w:val="20"/>
        </w:rPr>
        <w:tab/>
        <w:t>has been charged with; or</w:t>
      </w:r>
    </w:p>
    <w:p w14:paraId="527817AB" w14:textId="77777777" w:rsidR="00EE5134" w:rsidRDefault="00EE5134" w:rsidP="00047992">
      <w:pPr>
        <w:ind w:left="357" w:hanging="357"/>
        <w:jc w:val="both"/>
        <w:rPr>
          <w:rFonts w:ascii="Arial" w:hAnsi="Arial" w:cs="Arial"/>
          <w:sz w:val="20"/>
        </w:rPr>
      </w:pPr>
      <w:r>
        <w:rPr>
          <w:rFonts w:ascii="Arial" w:hAnsi="Arial" w:cs="Arial"/>
          <w:sz w:val="20"/>
        </w:rPr>
        <w:t>(c)</w:t>
      </w:r>
      <w:r>
        <w:rPr>
          <w:rFonts w:ascii="Arial" w:hAnsi="Arial" w:cs="Arial"/>
          <w:sz w:val="20"/>
        </w:rPr>
        <w:tab/>
        <w:t>has been summonsed to answer a charge for-</w:t>
      </w:r>
    </w:p>
    <w:p w14:paraId="6430E43E" w14:textId="32AA268A" w:rsidR="00EE5134" w:rsidRDefault="00EE5134">
      <w:pPr>
        <w:jc w:val="both"/>
        <w:rPr>
          <w:rFonts w:ascii="Arial" w:hAnsi="Arial" w:cs="Arial"/>
          <w:sz w:val="20"/>
        </w:rPr>
      </w:pPr>
      <w:r>
        <w:rPr>
          <w:rFonts w:ascii="Arial" w:hAnsi="Arial" w:cs="Arial"/>
          <w:sz w:val="20"/>
        </w:rPr>
        <w:t xml:space="preserve">an offence, whether indictable or summary, to undergo a forensic procedure or request that a compulsory procedure be conducted on the child unless the Children's Court has made an order under s.464U(7) or </w:t>
      </w:r>
      <w:r w:rsidR="00013BEF">
        <w:rPr>
          <w:rFonts w:ascii="Arial" w:hAnsi="Arial" w:cs="Arial"/>
          <w:sz w:val="20"/>
        </w:rPr>
        <w:t xml:space="preserve">an interim order under </w:t>
      </w:r>
      <w:r>
        <w:rPr>
          <w:rFonts w:ascii="Arial" w:hAnsi="Arial" w:cs="Arial"/>
          <w:sz w:val="20"/>
        </w:rPr>
        <w:t>s.464V(5).</w:t>
      </w:r>
    </w:p>
    <w:p w14:paraId="42B118A8" w14:textId="443A9491" w:rsidR="00EE5134" w:rsidRDefault="00EE5134">
      <w:pPr>
        <w:jc w:val="both"/>
        <w:rPr>
          <w:rFonts w:ascii="Arial" w:hAnsi="Arial" w:cs="Arial"/>
          <w:sz w:val="20"/>
        </w:rPr>
      </w:pPr>
    </w:p>
    <w:p w14:paraId="2438A765" w14:textId="6DB6EFD7" w:rsidR="00A51EC5" w:rsidRDefault="00013BEF">
      <w:pPr>
        <w:jc w:val="both"/>
        <w:rPr>
          <w:rFonts w:ascii="Arial" w:hAnsi="Arial" w:cs="Arial"/>
          <w:sz w:val="20"/>
        </w:rPr>
      </w:pPr>
      <w:r>
        <w:rPr>
          <w:rFonts w:ascii="Arial" w:hAnsi="Arial" w:cs="Arial"/>
          <w:sz w:val="20"/>
        </w:rPr>
        <w:t xml:space="preserve">However, if for example a person is alleged to have committed a relevant offence at the age of 17y11m but is not identified by police as a suspect until he or she is 18y1m old, that person does not clearly fall within the literal meaning of s.464U or s.464SC. Both sections seem to focus on the age of the person at the time of the order/request as opposed to whether the person is a “child” for the purposes of the jurisdiction of the Children’s Court. In this connection, compare </w:t>
      </w:r>
      <w:r w:rsidR="004E70F4">
        <w:rPr>
          <w:rFonts w:ascii="Arial" w:hAnsi="Arial" w:cs="Arial"/>
          <w:sz w:val="20"/>
        </w:rPr>
        <w:t xml:space="preserve">amended </w:t>
      </w:r>
      <w:r>
        <w:rPr>
          <w:rFonts w:ascii="Arial" w:hAnsi="Arial" w:cs="Arial"/>
          <w:sz w:val="20"/>
        </w:rPr>
        <w:t xml:space="preserve">s.464B(10) in relation to the questioning or investigation of a person already held in custody for another matter </w:t>
      </w:r>
      <w:r w:rsidR="004E70F4">
        <w:rPr>
          <w:rFonts w:ascii="Arial" w:hAnsi="Arial" w:cs="Arial"/>
          <w:sz w:val="20"/>
        </w:rPr>
        <w:t xml:space="preserve">which provides </w:t>
      </w:r>
      <w:r w:rsidR="009C13D2">
        <w:rPr>
          <w:rFonts w:ascii="Arial" w:hAnsi="Arial" w:cs="Arial"/>
          <w:sz w:val="20"/>
        </w:rPr>
        <w:t xml:space="preserve">a link with the definition of child for the purposes of the jurisdiction of the Children’s Court. </w:t>
      </w:r>
      <w:r w:rsidR="00A51EC5">
        <w:rPr>
          <w:rFonts w:ascii="Arial" w:hAnsi="Arial" w:cs="Arial"/>
          <w:sz w:val="20"/>
        </w:rPr>
        <w:t xml:space="preserve">In the case of a person aged 18 or over, it seems probable that an application for a forensic procedure or a request that a compulsory procedure be conducted on the person </w:t>
      </w:r>
      <w:r w:rsidR="00D058B2">
        <w:rPr>
          <w:rFonts w:ascii="Arial" w:hAnsi="Arial" w:cs="Arial"/>
          <w:sz w:val="20"/>
        </w:rPr>
        <w:t xml:space="preserve">or a request for a DNA profile sample </w:t>
      </w:r>
      <w:r w:rsidR="00A51EC5">
        <w:rPr>
          <w:rFonts w:ascii="Arial" w:hAnsi="Arial" w:cs="Arial"/>
          <w:sz w:val="20"/>
        </w:rPr>
        <w:t>would have to be made under s.464T or s.464SA even if the person falls within the jurisdiction of the Children’s Court for charging purposes.</w:t>
      </w:r>
    </w:p>
    <w:p w14:paraId="039973C0" w14:textId="77777777" w:rsidR="00013BEF" w:rsidRDefault="00013BEF">
      <w:pPr>
        <w:jc w:val="both"/>
        <w:rPr>
          <w:rFonts w:ascii="Arial" w:hAnsi="Arial" w:cs="Arial"/>
          <w:sz w:val="20"/>
        </w:rPr>
      </w:pPr>
    </w:p>
    <w:p w14:paraId="1F0BC1B8" w14:textId="19E6E5F7" w:rsidR="00EE5134" w:rsidRDefault="00EE5134">
      <w:pPr>
        <w:pStyle w:val="Heading4"/>
        <w:spacing w:before="0"/>
        <w:rPr>
          <w:rFonts w:ascii="Arial" w:hAnsi="Arial" w:cs="Arial"/>
          <w:i w:val="0"/>
          <w:iCs/>
          <w:sz w:val="20"/>
        </w:rPr>
      </w:pPr>
      <w:bookmarkStart w:id="588" w:name="_8.4.3.1_Application_for"/>
      <w:bookmarkStart w:id="589" w:name="_Toc30699424"/>
      <w:bookmarkStart w:id="590" w:name="_Toc30699809"/>
      <w:bookmarkStart w:id="591" w:name="_Toc30700964"/>
      <w:bookmarkStart w:id="592" w:name="_Toc30701351"/>
      <w:bookmarkStart w:id="593" w:name="_Toc30757226"/>
      <w:bookmarkStart w:id="594" w:name="_Toc30757774"/>
      <w:bookmarkStart w:id="595" w:name="_Toc30758174"/>
      <w:bookmarkStart w:id="596" w:name="_Toc30762935"/>
      <w:bookmarkStart w:id="597" w:name="_Toc30767589"/>
      <w:bookmarkStart w:id="598" w:name="_Toc34823607"/>
      <w:bookmarkEnd w:id="588"/>
      <w:r>
        <w:rPr>
          <w:rFonts w:ascii="Arial" w:hAnsi="Arial" w:cs="Arial"/>
          <w:i w:val="0"/>
          <w:iCs/>
          <w:sz w:val="20"/>
        </w:rPr>
        <w:t>8.4.3.1</w:t>
      </w:r>
      <w:r>
        <w:rPr>
          <w:rFonts w:ascii="Arial" w:hAnsi="Arial" w:cs="Arial"/>
          <w:i w:val="0"/>
          <w:iCs/>
          <w:sz w:val="20"/>
        </w:rPr>
        <w:tab/>
        <w:t>Application for order for compulsory procedure</w:t>
      </w:r>
      <w:bookmarkEnd w:id="589"/>
      <w:bookmarkEnd w:id="590"/>
      <w:bookmarkEnd w:id="591"/>
      <w:bookmarkEnd w:id="592"/>
      <w:bookmarkEnd w:id="593"/>
      <w:bookmarkEnd w:id="594"/>
      <w:bookmarkEnd w:id="595"/>
      <w:bookmarkEnd w:id="596"/>
      <w:bookmarkEnd w:id="597"/>
      <w:bookmarkEnd w:id="598"/>
      <w:r w:rsidR="00A7044B">
        <w:rPr>
          <w:rFonts w:ascii="Arial" w:hAnsi="Arial" w:cs="Arial"/>
          <w:i w:val="0"/>
          <w:iCs/>
          <w:sz w:val="20"/>
        </w:rPr>
        <w:t xml:space="preserve"> for </w:t>
      </w:r>
      <w:proofErr w:type="gramStart"/>
      <w:r w:rsidR="00A7044B">
        <w:rPr>
          <w:rFonts w:ascii="Arial" w:hAnsi="Arial" w:cs="Arial"/>
          <w:i w:val="0"/>
          <w:iCs/>
          <w:sz w:val="20"/>
        </w:rPr>
        <w:t>child</w:t>
      </w:r>
      <w:proofErr w:type="gramEnd"/>
      <w:r w:rsidR="00A7044B">
        <w:rPr>
          <w:rFonts w:ascii="Arial" w:hAnsi="Arial" w:cs="Arial"/>
          <w:i w:val="0"/>
          <w:iCs/>
          <w:sz w:val="20"/>
        </w:rPr>
        <w:t xml:space="preserve"> aged 12 to 17</w:t>
      </w:r>
    </w:p>
    <w:p w14:paraId="21137DC5" w14:textId="31486E95" w:rsidR="00EE5134" w:rsidRDefault="00EE5134">
      <w:pPr>
        <w:jc w:val="both"/>
        <w:rPr>
          <w:rFonts w:ascii="Arial" w:hAnsi="Arial" w:cs="Arial"/>
          <w:sz w:val="20"/>
        </w:rPr>
      </w:pPr>
      <w:r>
        <w:rPr>
          <w:rFonts w:ascii="Arial" w:hAnsi="Arial" w:cs="Arial"/>
          <w:sz w:val="20"/>
        </w:rPr>
        <w:t>Sections 464</w:t>
      </w:r>
      <w:proofErr w:type="gramStart"/>
      <w:r>
        <w:rPr>
          <w:rFonts w:ascii="Arial" w:hAnsi="Arial" w:cs="Arial"/>
          <w:sz w:val="20"/>
        </w:rPr>
        <w:t>U(</w:t>
      </w:r>
      <w:proofErr w:type="gramEnd"/>
      <w:r>
        <w:rPr>
          <w:rFonts w:ascii="Arial" w:hAnsi="Arial" w:cs="Arial"/>
          <w:sz w:val="20"/>
        </w:rPr>
        <w:t>3) to (6) regulate an application for an order that a child undergo a compulsory procedure. A member of the police force may apply to the Children's Court for an order that a child undergo a compulsory procedure if the child</w:t>
      </w:r>
      <w:r w:rsidR="008A7AD6">
        <w:rPr>
          <w:rFonts w:ascii="Arial" w:hAnsi="Arial" w:cs="Arial"/>
          <w:sz w:val="20"/>
        </w:rPr>
        <w:t>–</w:t>
      </w:r>
    </w:p>
    <w:p w14:paraId="03CCC4D0" w14:textId="77777777" w:rsidR="00EE5134" w:rsidRDefault="00EE5134" w:rsidP="00E35AA4">
      <w:pPr>
        <w:numPr>
          <w:ilvl w:val="0"/>
          <w:numId w:val="7"/>
        </w:numPr>
        <w:ind w:left="357" w:hanging="357"/>
        <w:jc w:val="both"/>
        <w:rPr>
          <w:rFonts w:ascii="Arial" w:hAnsi="Arial" w:cs="Arial"/>
          <w:sz w:val="20"/>
        </w:rPr>
      </w:pPr>
      <w:r>
        <w:rPr>
          <w:rFonts w:ascii="Arial" w:hAnsi="Arial" w:cs="Arial"/>
          <w:sz w:val="20"/>
        </w:rPr>
        <w:t>is suspected on reasonable grounds of having committed or attempted to commit an indictable offence listed in s.464U(3)(a); or</w:t>
      </w:r>
    </w:p>
    <w:p w14:paraId="61A715A9" w14:textId="77777777" w:rsidR="00EE5134" w:rsidRDefault="00EE5134" w:rsidP="00E35AA4">
      <w:pPr>
        <w:numPr>
          <w:ilvl w:val="0"/>
          <w:numId w:val="7"/>
        </w:numPr>
        <w:ind w:left="357" w:hanging="357"/>
        <w:jc w:val="both"/>
        <w:rPr>
          <w:rFonts w:ascii="Arial" w:hAnsi="Arial" w:cs="Arial"/>
          <w:sz w:val="20"/>
        </w:rPr>
      </w:pPr>
      <w:r>
        <w:rPr>
          <w:rFonts w:ascii="Arial" w:hAnsi="Arial" w:cs="Arial"/>
          <w:sz w:val="20"/>
        </w:rPr>
        <w:t>has been charged with an indictable offence listed in s.464U(3)(b).</w:t>
      </w:r>
    </w:p>
    <w:p w14:paraId="61F6D3C7" w14:textId="77777777" w:rsidR="00EE5134" w:rsidRDefault="00EE5134">
      <w:pPr>
        <w:jc w:val="both"/>
        <w:rPr>
          <w:rFonts w:ascii="Arial" w:hAnsi="Arial" w:cs="Arial"/>
          <w:sz w:val="20"/>
        </w:rPr>
      </w:pPr>
    </w:p>
    <w:p w14:paraId="55275BE6" w14:textId="63DA3FF3" w:rsidR="00EE5134" w:rsidRDefault="00EE5134">
      <w:pPr>
        <w:jc w:val="both"/>
        <w:rPr>
          <w:rFonts w:ascii="Arial" w:hAnsi="Arial" w:cs="Arial"/>
          <w:sz w:val="20"/>
        </w:rPr>
      </w:pPr>
      <w:r>
        <w:rPr>
          <w:rFonts w:ascii="Arial" w:hAnsi="Arial" w:cs="Arial"/>
          <w:sz w:val="20"/>
        </w:rPr>
        <w:t>Such application must be in writing supported by evidence on oath</w:t>
      </w:r>
      <w:r w:rsidR="00BF08E5">
        <w:rPr>
          <w:rFonts w:ascii="Arial" w:hAnsi="Arial" w:cs="Arial"/>
          <w:sz w:val="20"/>
        </w:rPr>
        <w:t xml:space="preserve"> or by affirmation</w:t>
      </w:r>
      <w:r>
        <w:rPr>
          <w:rFonts w:ascii="Arial" w:hAnsi="Arial" w:cs="Arial"/>
          <w:sz w:val="20"/>
        </w:rPr>
        <w:t xml:space="preserve"> or by affidavit, must state the type of compulsory procedure sought to be conducted and must, if the child is a detained or protected person, state that fact and identify the place where the child is held or resides.  Notice of the application must be served on</w:t>
      </w:r>
      <w:r w:rsidR="008A7AD6">
        <w:rPr>
          <w:rFonts w:ascii="Arial" w:hAnsi="Arial" w:cs="Arial"/>
          <w:sz w:val="20"/>
        </w:rPr>
        <w:t>–</w:t>
      </w:r>
    </w:p>
    <w:p w14:paraId="61FD61E4" w14:textId="0B5496A4" w:rsidR="00EE5134" w:rsidRDefault="00EE5134" w:rsidP="003502AC">
      <w:pPr>
        <w:tabs>
          <w:tab w:val="left" w:pos="363"/>
        </w:tabs>
        <w:jc w:val="both"/>
        <w:rPr>
          <w:rFonts w:ascii="Arial" w:hAnsi="Arial" w:cs="Arial"/>
          <w:sz w:val="20"/>
        </w:rPr>
      </w:pPr>
      <w:r>
        <w:rPr>
          <w:rFonts w:ascii="Arial" w:hAnsi="Arial" w:cs="Arial"/>
          <w:sz w:val="20"/>
        </w:rPr>
        <w:t>(a)</w:t>
      </w:r>
      <w:r>
        <w:rPr>
          <w:rFonts w:ascii="Arial" w:hAnsi="Arial" w:cs="Arial"/>
          <w:sz w:val="20"/>
        </w:rPr>
        <w:tab/>
        <w:t>a parent o</w:t>
      </w:r>
      <w:r w:rsidR="003502AC">
        <w:rPr>
          <w:rFonts w:ascii="Arial" w:hAnsi="Arial" w:cs="Arial"/>
          <w:sz w:val="20"/>
        </w:rPr>
        <w:t>r</w:t>
      </w:r>
      <w:r>
        <w:rPr>
          <w:rFonts w:ascii="Arial" w:hAnsi="Arial" w:cs="Arial"/>
          <w:sz w:val="20"/>
        </w:rPr>
        <w:t xml:space="preserve"> guardian of the child; and</w:t>
      </w:r>
    </w:p>
    <w:p w14:paraId="50A151C7" w14:textId="77777777" w:rsidR="00EE5134" w:rsidRDefault="00EE5134">
      <w:pPr>
        <w:ind w:left="363" w:hanging="363"/>
        <w:jc w:val="both"/>
        <w:rPr>
          <w:rFonts w:ascii="Arial" w:hAnsi="Arial" w:cs="Arial"/>
          <w:sz w:val="20"/>
        </w:rPr>
      </w:pPr>
      <w:r>
        <w:rPr>
          <w:rFonts w:ascii="Arial" w:hAnsi="Arial" w:cs="Arial"/>
          <w:sz w:val="20"/>
        </w:rPr>
        <w:lastRenderedPageBreak/>
        <w:t>(b)</w:t>
      </w:r>
      <w:r>
        <w:rPr>
          <w:rFonts w:ascii="Arial" w:hAnsi="Arial" w:cs="Arial"/>
          <w:sz w:val="20"/>
        </w:rPr>
        <w:tab/>
        <w:t>the child if he or she is not in custody; [if the child is in custody the Court may issue a warrant under s.464U(14), read with ss.464T(9) &amp; (10), for delivery of the child to and from Court].</w:t>
      </w:r>
    </w:p>
    <w:p w14:paraId="57CB12FD" w14:textId="77777777" w:rsidR="00EE5134" w:rsidRDefault="00EE5134">
      <w:pPr>
        <w:jc w:val="both"/>
        <w:rPr>
          <w:rFonts w:ascii="Arial" w:hAnsi="Arial" w:cs="Arial"/>
          <w:sz w:val="20"/>
        </w:rPr>
      </w:pPr>
    </w:p>
    <w:p w14:paraId="24A449A1" w14:textId="77777777" w:rsidR="00EE5134" w:rsidRDefault="00EE5134">
      <w:pPr>
        <w:jc w:val="both"/>
        <w:rPr>
          <w:rFonts w:ascii="Arial" w:hAnsi="Arial" w:cs="Arial"/>
          <w:sz w:val="20"/>
        </w:rPr>
      </w:pPr>
      <w:r>
        <w:rPr>
          <w:rFonts w:ascii="Arial" w:hAnsi="Arial" w:cs="Arial"/>
          <w:sz w:val="20"/>
        </w:rPr>
        <w:t xml:space="preserve">The service conditions are mandatory, save that s.464U(6) permits service on a parent or guardian to be dispensed with by the Court if it is impracticable for the applicant to comply.  In </w:t>
      </w:r>
      <w:r>
        <w:rPr>
          <w:rFonts w:ascii="Arial" w:hAnsi="Arial" w:cs="Arial"/>
          <w:i/>
          <w:iCs/>
          <w:sz w:val="20"/>
        </w:rPr>
        <w:t>Kirsch v Dolman &amp; Anor</w:t>
      </w:r>
      <w:r>
        <w:rPr>
          <w:rFonts w:ascii="Arial" w:hAnsi="Arial" w:cs="Arial"/>
          <w:sz w:val="20"/>
        </w:rPr>
        <w:t xml:space="preserve"> [2001] VSC 234 the plaintiff had not been served with an application for a compulsory procedure under the corresponding adult provision s.464T(2).  In forthright terms at [10]-[11], Gillard J overturned the magistrate's order:</w:t>
      </w:r>
    </w:p>
    <w:p w14:paraId="4DA97789" w14:textId="77777777" w:rsidR="00EE5134" w:rsidRDefault="00EE5134">
      <w:pPr>
        <w:spacing w:before="60"/>
        <w:ind w:left="567" w:right="567"/>
        <w:jc w:val="both"/>
        <w:rPr>
          <w:rFonts w:ascii="Arial" w:hAnsi="Arial" w:cs="Arial"/>
          <w:sz w:val="20"/>
        </w:rPr>
      </w:pPr>
      <w:r>
        <w:rPr>
          <w:rFonts w:ascii="Arial" w:hAnsi="Arial" w:cs="Arial"/>
          <w:sz w:val="20"/>
        </w:rPr>
        <w:t>"The provisions in sub-division 30A substantially encroach upon the rights of the individual.  The legislation has been carefully drawn to ensure that the interference with the rights of the individual are kept to a minimum.  It is absolutely vital that members of the force and Magistrates ensure that, before any orders are made under any of the sections in sub-division 30A, all statutory requirements have been satisfied.  This present matter is another example where insufficient attention was paid, both by the defendant and the Magistrates' Court, in respect of the application concerning the plaintiff.  The plaintiff should have been given notice of the application, and the order should not have been made until he was present at the Court."</w:t>
      </w:r>
    </w:p>
    <w:p w14:paraId="795B98A2" w14:textId="77777777" w:rsidR="00EE5134" w:rsidRDefault="00EE5134">
      <w:pPr>
        <w:jc w:val="both"/>
        <w:rPr>
          <w:rFonts w:ascii="Arial" w:hAnsi="Arial" w:cs="Arial"/>
          <w:sz w:val="20"/>
        </w:rPr>
      </w:pPr>
    </w:p>
    <w:p w14:paraId="49FB8533" w14:textId="77777777" w:rsidR="00EE5134" w:rsidRDefault="00EE5134">
      <w:pPr>
        <w:jc w:val="both"/>
        <w:rPr>
          <w:rFonts w:ascii="Arial" w:hAnsi="Arial" w:cs="Arial"/>
          <w:sz w:val="20"/>
        </w:rPr>
      </w:pPr>
      <w:r>
        <w:rPr>
          <w:rFonts w:ascii="Arial" w:hAnsi="Arial" w:cs="Arial"/>
          <w:sz w:val="20"/>
        </w:rPr>
        <w:t xml:space="preserve">Since ss.464U(3) to (6) are in similar terms to the fingerprinting provisions in ss.464M(2) to (4), it is probable that the dicta of Hedigan J in </w:t>
      </w:r>
      <w:r>
        <w:rPr>
          <w:rFonts w:ascii="Arial" w:hAnsi="Arial" w:cs="Arial"/>
          <w:i/>
          <w:iCs/>
          <w:sz w:val="20"/>
        </w:rPr>
        <w:t>Ann Dunn (as litigation guardian for RT) v McQ &amp; Another</w:t>
      </w:r>
      <w:r>
        <w:rPr>
          <w:rFonts w:ascii="Arial" w:hAnsi="Arial" w:cs="Arial"/>
          <w:sz w:val="20"/>
        </w:rPr>
        <w:t xml:space="preserve"> [Supreme Court of Victoria, unreported, </w:t>
      </w:r>
      <w:smartTag w:uri="urn:schemas-microsoft-com:office:smarttags" w:element="date">
        <w:smartTagPr>
          <w:attr w:name="Year" w:val="1997"/>
          <w:attr w:name="Day" w:val="7"/>
          <w:attr w:name="Month" w:val="8"/>
        </w:smartTagPr>
        <w:r>
          <w:rPr>
            <w:rFonts w:ascii="Arial" w:hAnsi="Arial" w:cs="Arial"/>
            <w:sz w:val="20"/>
          </w:rPr>
          <w:t>07/08/1997</w:t>
        </w:r>
      </w:smartTag>
      <w:r>
        <w:rPr>
          <w:rFonts w:ascii="Arial" w:hAnsi="Arial" w:cs="Arial"/>
          <w:sz w:val="20"/>
        </w:rPr>
        <w:t>] is also applicable to compulsory procedure applications.</w:t>
      </w:r>
    </w:p>
    <w:p w14:paraId="5131C33A" w14:textId="77777777" w:rsidR="00EE5134" w:rsidRDefault="00EE5134">
      <w:pPr>
        <w:jc w:val="both"/>
        <w:rPr>
          <w:rFonts w:ascii="Arial" w:hAnsi="Arial" w:cs="Arial"/>
          <w:sz w:val="20"/>
        </w:rPr>
      </w:pPr>
    </w:p>
    <w:p w14:paraId="7D1B6FC5" w14:textId="77777777" w:rsidR="00837174" w:rsidRDefault="00837174">
      <w:pPr>
        <w:jc w:val="both"/>
        <w:rPr>
          <w:rFonts w:ascii="Arial" w:hAnsi="Arial" w:cs="Arial"/>
          <w:sz w:val="20"/>
        </w:rPr>
      </w:pPr>
      <w:r>
        <w:rPr>
          <w:rFonts w:ascii="Arial" w:hAnsi="Arial" w:cs="Arial"/>
          <w:sz w:val="20"/>
        </w:rPr>
        <w:t>Sections 464SA &amp; 464SB allow a senior police officer – who is not involved in the investigation of the offence for which a compulsory procedure is required – to authorise the conduct of a non-intimate compulsory procedure on an adult in certain circumstances without a court order.  These provisions do not apply to children.</w:t>
      </w:r>
    </w:p>
    <w:p w14:paraId="209BC165" w14:textId="77777777" w:rsidR="00837174" w:rsidRDefault="00837174">
      <w:pPr>
        <w:jc w:val="both"/>
        <w:rPr>
          <w:rFonts w:ascii="Arial" w:hAnsi="Arial" w:cs="Arial"/>
          <w:sz w:val="20"/>
        </w:rPr>
      </w:pPr>
    </w:p>
    <w:p w14:paraId="1256F7AA" w14:textId="77777777" w:rsidR="00EE5134" w:rsidRDefault="00EE5134">
      <w:pPr>
        <w:pStyle w:val="Heading4"/>
        <w:spacing w:before="0"/>
        <w:rPr>
          <w:rFonts w:ascii="Arial" w:hAnsi="Arial" w:cs="Arial"/>
          <w:i w:val="0"/>
          <w:iCs/>
          <w:sz w:val="20"/>
        </w:rPr>
      </w:pPr>
      <w:bookmarkStart w:id="599" w:name="_8.4.3.2_Procedure_at"/>
      <w:bookmarkStart w:id="600" w:name="_Toc30757227"/>
      <w:bookmarkStart w:id="601" w:name="_Toc30757775"/>
      <w:bookmarkStart w:id="602" w:name="_Toc30758175"/>
      <w:bookmarkStart w:id="603" w:name="_Toc30762936"/>
      <w:bookmarkStart w:id="604" w:name="_Toc30767590"/>
      <w:bookmarkStart w:id="605" w:name="_Toc34823608"/>
      <w:bookmarkEnd w:id="599"/>
      <w:r>
        <w:rPr>
          <w:rFonts w:ascii="Arial" w:hAnsi="Arial" w:cs="Arial"/>
          <w:i w:val="0"/>
          <w:iCs/>
          <w:sz w:val="20"/>
        </w:rPr>
        <w:t>8.4.3.2</w:t>
      </w:r>
      <w:r>
        <w:rPr>
          <w:rFonts w:ascii="Arial" w:hAnsi="Arial" w:cs="Arial"/>
          <w:i w:val="0"/>
          <w:iCs/>
          <w:sz w:val="20"/>
        </w:rPr>
        <w:tab/>
        <w:t>Procedure at hearing of application</w:t>
      </w:r>
      <w:bookmarkEnd w:id="600"/>
      <w:bookmarkEnd w:id="601"/>
      <w:bookmarkEnd w:id="602"/>
      <w:bookmarkEnd w:id="603"/>
      <w:bookmarkEnd w:id="604"/>
      <w:bookmarkEnd w:id="605"/>
    </w:p>
    <w:p w14:paraId="2D680289" w14:textId="77777777" w:rsidR="00EE5134" w:rsidRDefault="00EE5134" w:rsidP="00C84CE5">
      <w:pPr>
        <w:jc w:val="both"/>
        <w:rPr>
          <w:rFonts w:ascii="Arial" w:hAnsi="Arial" w:cs="Arial"/>
          <w:sz w:val="20"/>
        </w:rPr>
      </w:pPr>
      <w:r>
        <w:rPr>
          <w:rFonts w:ascii="Arial" w:hAnsi="Arial" w:cs="Arial"/>
          <w:sz w:val="20"/>
        </w:rPr>
        <w:t>Though the subject child may be represented by a legal practitioner or, with the leave of the Court, a parent or guardian [s.464U(13)], he or she is not a party, may not call or cross-examine any witnesses, and may not address the Court other than in respect of any matter referred to in ss.464U(7) or (8) [s.464U(12)].</w:t>
      </w:r>
    </w:p>
    <w:p w14:paraId="0A360A14" w14:textId="77777777" w:rsidR="00EE5134" w:rsidRDefault="00EE5134">
      <w:pPr>
        <w:jc w:val="both"/>
        <w:rPr>
          <w:rFonts w:ascii="Arial" w:hAnsi="Arial" w:cs="Arial"/>
          <w:sz w:val="20"/>
        </w:rPr>
      </w:pPr>
    </w:p>
    <w:p w14:paraId="562D5F9B" w14:textId="77777777" w:rsidR="00EB08FF" w:rsidRPr="00EB08FF" w:rsidRDefault="001500F4" w:rsidP="00EB08FF">
      <w:pPr>
        <w:jc w:val="both"/>
        <w:rPr>
          <w:rFonts w:ascii="Arial" w:hAnsi="Arial" w:cs="Arial"/>
          <w:sz w:val="20"/>
          <w:szCs w:val="20"/>
        </w:rPr>
      </w:pPr>
      <w:r>
        <w:rPr>
          <w:rFonts w:ascii="Arial" w:hAnsi="Arial" w:cs="Arial"/>
          <w:sz w:val="20"/>
        </w:rPr>
        <w:t>Although the role of a legal practitioner or parent or guardian representing a child is a very restricted one, there is still an obligation on the court to afford procedural fairness to the subject child</w:t>
      </w:r>
      <w:r w:rsidR="00487855">
        <w:rPr>
          <w:rFonts w:ascii="Arial" w:hAnsi="Arial" w:cs="Arial"/>
          <w:sz w:val="20"/>
        </w:rPr>
        <w:t xml:space="preserve"> within the confines of the legislation</w:t>
      </w:r>
      <w:r>
        <w:rPr>
          <w:rFonts w:ascii="Arial" w:hAnsi="Arial" w:cs="Arial"/>
          <w:sz w:val="20"/>
        </w:rPr>
        <w:t xml:space="preserve">: see </w:t>
      </w:r>
      <w:r w:rsidR="00EB08FF" w:rsidRPr="00EB08FF">
        <w:rPr>
          <w:rFonts w:ascii="Arial" w:hAnsi="Arial" w:cs="Arial"/>
          <w:i/>
          <w:sz w:val="20"/>
          <w:szCs w:val="20"/>
        </w:rPr>
        <w:t>Reid v Tabbitt &amp; Anor</w:t>
      </w:r>
      <w:r w:rsidR="00EB08FF">
        <w:rPr>
          <w:rFonts w:ascii="Arial" w:hAnsi="Arial" w:cs="Arial"/>
          <w:sz w:val="20"/>
          <w:szCs w:val="20"/>
        </w:rPr>
        <w:t xml:space="preserve"> [2008] VSC 75 at [10] &amp; [30] per Coghlan J adopting </w:t>
      </w:r>
      <w:r w:rsidR="00487855">
        <w:rPr>
          <w:rFonts w:ascii="Arial" w:hAnsi="Arial" w:cs="Arial"/>
          <w:sz w:val="20"/>
          <w:szCs w:val="20"/>
        </w:rPr>
        <w:t xml:space="preserve">dicta of Ashley J in </w:t>
      </w:r>
      <w:r w:rsidR="00EB08FF" w:rsidRPr="00EB08FF">
        <w:rPr>
          <w:rFonts w:ascii="Arial" w:hAnsi="Arial" w:cs="Arial"/>
          <w:i/>
          <w:sz w:val="20"/>
          <w:szCs w:val="20"/>
        </w:rPr>
        <w:t>O’Sullivan v Freeman</w:t>
      </w:r>
      <w:r w:rsidR="00EB08FF">
        <w:rPr>
          <w:rFonts w:ascii="Arial" w:hAnsi="Arial" w:cs="Arial"/>
          <w:sz w:val="20"/>
          <w:szCs w:val="20"/>
        </w:rPr>
        <w:t xml:space="preserve"> [2003] VSC 45 </w:t>
      </w:r>
      <w:r w:rsidR="00487855">
        <w:rPr>
          <w:rFonts w:ascii="Arial" w:hAnsi="Arial" w:cs="Arial"/>
          <w:sz w:val="20"/>
          <w:szCs w:val="20"/>
        </w:rPr>
        <w:t>at [19]</w:t>
      </w:r>
      <w:r w:rsidR="00461B92">
        <w:rPr>
          <w:rFonts w:ascii="Arial" w:hAnsi="Arial" w:cs="Arial"/>
          <w:sz w:val="20"/>
          <w:szCs w:val="20"/>
        </w:rPr>
        <w:t>.</w:t>
      </w:r>
    </w:p>
    <w:p w14:paraId="25B99BF2" w14:textId="77777777" w:rsidR="001500F4" w:rsidRDefault="001500F4">
      <w:pPr>
        <w:jc w:val="both"/>
        <w:rPr>
          <w:rFonts w:ascii="Arial" w:hAnsi="Arial" w:cs="Arial"/>
          <w:sz w:val="20"/>
        </w:rPr>
      </w:pPr>
    </w:p>
    <w:p w14:paraId="5CA05633" w14:textId="77777777" w:rsidR="00EE5134" w:rsidRDefault="00EE5134">
      <w:pPr>
        <w:pStyle w:val="Heading4"/>
        <w:spacing w:before="0"/>
        <w:rPr>
          <w:rFonts w:ascii="Arial" w:hAnsi="Arial" w:cs="Arial"/>
          <w:i w:val="0"/>
          <w:iCs/>
          <w:sz w:val="20"/>
        </w:rPr>
      </w:pPr>
      <w:bookmarkStart w:id="606" w:name="_8.4.3.3_Order_for"/>
      <w:bookmarkStart w:id="607" w:name="_Toc30757228"/>
      <w:bookmarkStart w:id="608" w:name="_Toc30757776"/>
      <w:bookmarkStart w:id="609" w:name="_Toc30758176"/>
      <w:bookmarkStart w:id="610" w:name="_Toc30762937"/>
      <w:bookmarkStart w:id="611" w:name="_Toc30767591"/>
      <w:bookmarkStart w:id="612" w:name="_Toc34823609"/>
      <w:bookmarkEnd w:id="606"/>
      <w:r>
        <w:rPr>
          <w:rFonts w:ascii="Arial" w:hAnsi="Arial" w:cs="Arial"/>
          <w:i w:val="0"/>
          <w:iCs/>
          <w:sz w:val="20"/>
        </w:rPr>
        <w:t>8.4.3.3</w:t>
      </w:r>
      <w:r>
        <w:rPr>
          <w:rFonts w:ascii="Arial" w:hAnsi="Arial" w:cs="Arial"/>
          <w:i w:val="0"/>
          <w:iCs/>
          <w:sz w:val="20"/>
        </w:rPr>
        <w:tab/>
        <w:t>Order for compulsory procedure</w:t>
      </w:r>
      <w:bookmarkEnd w:id="607"/>
      <w:bookmarkEnd w:id="608"/>
      <w:bookmarkEnd w:id="609"/>
      <w:bookmarkEnd w:id="610"/>
      <w:bookmarkEnd w:id="611"/>
      <w:bookmarkEnd w:id="612"/>
    </w:p>
    <w:p w14:paraId="0E17C0B7" w14:textId="14F80241" w:rsidR="00EE5134" w:rsidRPr="00A764BE" w:rsidRDefault="00EE5134">
      <w:pPr>
        <w:spacing w:after="120"/>
        <w:jc w:val="both"/>
        <w:rPr>
          <w:rFonts w:ascii="Arial" w:hAnsi="Arial" w:cs="Arial"/>
          <w:sz w:val="20"/>
          <w:szCs w:val="20"/>
        </w:rPr>
      </w:pPr>
      <w:r w:rsidRPr="00A764BE">
        <w:rPr>
          <w:rFonts w:ascii="Arial" w:hAnsi="Arial" w:cs="Arial"/>
          <w:sz w:val="20"/>
          <w:szCs w:val="20"/>
        </w:rPr>
        <w:t>Section 464</w:t>
      </w:r>
      <w:proofErr w:type="gramStart"/>
      <w:r w:rsidRPr="00A764BE">
        <w:rPr>
          <w:rFonts w:ascii="Arial" w:hAnsi="Arial" w:cs="Arial"/>
          <w:sz w:val="20"/>
          <w:szCs w:val="20"/>
        </w:rPr>
        <w:t>U(</w:t>
      </w:r>
      <w:proofErr w:type="gramEnd"/>
      <w:r w:rsidRPr="00A764BE">
        <w:rPr>
          <w:rFonts w:ascii="Arial" w:hAnsi="Arial" w:cs="Arial"/>
          <w:sz w:val="20"/>
          <w:szCs w:val="20"/>
        </w:rPr>
        <w:t xml:space="preserve">7) provides that the Children's Court may make an order directing a child </w:t>
      </w:r>
      <w:r w:rsidR="00A764BE" w:rsidRPr="00A764BE">
        <w:rPr>
          <w:rFonts w:ascii="Arial" w:hAnsi="Arial" w:cs="Arial"/>
          <w:sz w:val="20"/>
          <w:szCs w:val="20"/>
        </w:rPr>
        <w:t xml:space="preserve">a child </w:t>
      </w:r>
      <w:r w:rsidR="00A764BE">
        <w:rPr>
          <w:rFonts w:ascii="Arial" w:hAnsi="Arial" w:cs="Arial"/>
          <w:sz w:val="20"/>
          <w:szCs w:val="20"/>
        </w:rPr>
        <w:t xml:space="preserve">who is 12 </w:t>
      </w:r>
      <w:r w:rsidR="00A764BE" w:rsidRPr="00A764BE">
        <w:rPr>
          <w:rFonts w:ascii="Arial" w:hAnsi="Arial" w:cs="Arial"/>
          <w:sz w:val="20"/>
          <w:szCs w:val="20"/>
        </w:rPr>
        <w:t xml:space="preserve">years </w:t>
      </w:r>
      <w:r w:rsidR="00A764BE">
        <w:rPr>
          <w:rFonts w:ascii="Arial" w:hAnsi="Arial" w:cs="Arial"/>
          <w:sz w:val="20"/>
          <w:szCs w:val="20"/>
        </w:rPr>
        <w:t xml:space="preserve">of age </w:t>
      </w:r>
      <w:r w:rsidR="00A764BE" w:rsidRPr="00A764BE">
        <w:rPr>
          <w:rFonts w:ascii="Arial" w:hAnsi="Arial" w:cs="Arial"/>
          <w:sz w:val="20"/>
          <w:szCs w:val="20"/>
        </w:rPr>
        <w:t xml:space="preserve">or </w:t>
      </w:r>
      <w:r w:rsidR="00A764BE">
        <w:rPr>
          <w:rFonts w:ascii="Arial" w:hAnsi="Arial" w:cs="Arial"/>
          <w:sz w:val="20"/>
          <w:szCs w:val="20"/>
        </w:rPr>
        <w:t>over</w:t>
      </w:r>
      <w:r w:rsidR="00A764BE" w:rsidRPr="00A764BE">
        <w:rPr>
          <w:rFonts w:ascii="Arial" w:hAnsi="Arial" w:cs="Arial"/>
          <w:sz w:val="20"/>
          <w:szCs w:val="20"/>
        </w:rPr>
        <w:t xml:space="preserve"> but under 18 years </w:t>
      </w:r>
      <w:r w:rsidR="00A764BE">
        <w:rPr>
          <w:rFonts w:ascii="Arial" w:hAnsi="Arial" w:cs="Arial"/>
          <w:sz w:val="20"/>
          <w:szCs w:val="20"/>
        </w:rPr>
        <w:t xml:space="preserve">of age </w:t>
      </w:r>
      <w:r w:rsidRPr="00A764BE">
        <w:rPr>
          <w:rFonts w:ascii="Arial" w:hAnsi="Arial" w:cs="Arial"/>
          <w:sz w:val="20"/>
          <w:szCs w:val="20"/>
        </w:rPr>
        <w:t>to undergo a compulsory procedure if satisfied on the balance of probabilities that</w:t>
      </w:r>
      <w:r w:rsidR="008A7AD6" w:rsidRPr="00A764BE">
        <w:rPr>
          <w:rFonts w:ascii="Arial" w:hAnsi="Arial" w:cs="Arial"/>
          <w:sz w:val="20"/>
          <w:szCs w:val="20"/>
        </w:rPr>
        <w:t>–</w:t>
      </w:r>
    </w:p>
    <w:tbl>
      <w:tblPr>
        <w:tblW w:w="0" w:type="auto"/>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74"/>
        <w:gridCol w:w="1572"/>
        <w:gridCol w:w="7030"/>
      </w:tblGrid>
      <w:tr w:rsidR="00EE5134" w14:paraId="39AFB4D8" w14:textId="77777777" w:rsidTr="00A764BE">
        <w:tc>
          <w:tcPr>
            <w:tcW w:w="474" w:type="dxa"/>
            <w:tcBorders>
              <w:top w:val="single" w:sz="12" w:space="0" w:color="auto"/>
              <w:bottom w:val="single" w:sz="4" w:space="0" w:color="auto"/>
            </w:tcBorders>
          </w:tcPr>
          <w:p w14:paraId="4048EC52" w14:textId="77777777" w:rsidR="00EE5134" w:rsidRDefault="00EE5134">
            <w:pPr>
              <w:jc w:val="center"/>
              <w:rPr>
                <w:rFonts w:ascii="Arial" w:hAnsi="Arial" w:cs="Arial"/>
                <w:sz w:val="20"/>
              </w:rPr>
            </w:pPr>
            <w:r>
              <w:rPr>
                <w:rFonts w:ascii="Arial" w:hAnsi="Arial" w:cs="Arial"/>
                <w:sz w:val="20"/>
              </w:rPr>
              <w:t>(a)</w:t>
            </w:r>
          </w:p>
        </w:tc>
        <w:tc>
          <w:tcPr>
            <w:tcW w:w="1572" w:type="dxa"/>
            <w:tcBorders>
              <w:top w:val="single" w:sz="12" w:space="0" w:color="auto"/>
              <w:bottom w:val="single" w:sz="4" w:space="0" w:color="auto"/>
            </w:tcBorders>
            <w:shd w:val="pct10" w:color="auto" w:fill="auto"/>
          </w:tcPr>
          <w:p w14:paraId="489ED656" w14:textId="77777777" w:rsidR="00EE5134" w:rsidRDefault="00EE5134">
            <w:pPr>
              <w:jc w:val="center"/>
              <w:rPr>
                <w:rFonts w:ascii="Arial" w:hAnsi="Arial" w:cs="Arial"/>
                <w:b/>
                <w:bCs/>
                <w:sz w:val="20"/>
              </w:rPr>
            </w:pPr>
            <w:r>
              <w:rPr>
                <w:rFonts w:ascii="Arial" w:hAnsi="Arial" w:cs="Arial"/>
                <w:b/>
                <w:bCs/>
                <w:sz w:val="20"/>
              </w:rPr>
              <w:t>SUSPECTED OR CHARGED</w:t>
            </w:r>
          </w:p>
        </w:tc>
        <w:tc>
          <w:tcPr>
            <w:tcW w:w="7030" w:type="dxa"/>
            <w:tcBorders>
              <w:top w:val="single" w:sz="12" w:space="0" w:color="auto"/>
              <w:bottom w:val="single" w:sz="4" w:space="0" w:color="auto"/>
            </w:tcBorders>
          </w:tcPr>
          <w:p w14:paraId="10918533" w14:textId="52D73D7E" w:rsidR="00EE5134" w:rsidRDefault="00EE5134">
            <w:pPr>
              <w:jc w:val="both"/>
              <w:rPr>
                <w:rFonts w:ascii="Arial" w:hAnsi="Arial" w:cs="Arial"/>
                <w:sz w:val="20"/>
              </w:rPr>
            </w:pPr>
            <w:r>
              <w:rPr>
                <w:rFonts w:ascii="Arial" w:hAnsi="Arial" w:cs="Arial"/>
                <w:sz w:val="20"/>
              </w:rPr>
              <w:t>the child is suspected on reasonable grounds of having committed or attempted to commit an indictable offence listed in s.464U(3)(a) or has been charged with an indictable offence listed in s.464U(3)(b); and</w:t>
            </w:r>
          </w:p>
        </w:tc>
      </w:tr>
      <w:tr w:rsidR="00EE5134" w14:paraId="35A19BF7" w14:textId="77777777" w:rsidTr="00A764BE">
        <w:tc>
          <w:tcPr>
            <w:tcW w:w="474" w:type="dxa"/>
            <w:tcBorders>
              <w:top w:val="single" w:sz="4" w:space="0" w:color="auto"/>
              <w:bottom w:val="single" w:sz="4" w:space="0" w:color="auto"/>
            </w:tcBorders>
          </w:tcPr>
          <w:p w14:paraId="24B9889B" w14:textId="77777777" w:rsidR="00EE5134" w:rsidRDefault="00EE5134">
            <w:pPr>
              <w:jc w:val="center"/>
              <w:rPr>
                <w:rFonts w:ascii="Arial" w:hAnsi="Arial" w:cs="Arial"/>
                <w:sz w:val="20"/>
              </w:rPr>
            </w:pPr>
            <w:r>
              <w:rPr>
                <w:rFonts w:ascii="Arial" w:hAnsi="Arial" w:cs="Arial"/>
                <w:sz w:val="20"/>
              </w:rPr>
              <w:t>(b)</w:t>
            </w:r>
          </w:p>
        </w:tc>
        <w:tc>
          <w:tcPr>
            <w:tcW w:w="1572" w:type="dxa"/>
            <w:tcBorders>
              <w:top w:val="single" w:sz="4" w:space="0" w:color="auto"/>
              <w:bottom w:val="single" w:sz="4" w:space="0" w:color="auto"/>
            </w:tcBorders>
            <w:shd w:val="pct10" w:color="auto" w:fill="auto"/>
          </w:tcPr>
          <w:p w14:paraId="7CBA5661" w14:textId="77777777" w:rsidR="00EE5134" w:rsidRDefault="00EE5134">
            <w:pPr>
              <w:jc w:val="center"/>
              <w:rPr>
                <w:rFonts w:ascii="Arial" w:hAnsi="Arial" w:cs="Arial"/>
                <w:b/>
                <w:bCs/>
                <w:sz w:val="20"/>
              </w:rPr>
            </w:pPr>
            <w:r>
              <w:rPr>
                <w:rFonts w:ascii="Arial" w:hAnsi="Arial" w:cs="Arial"/>
                <w:b/>
                <w:bCs/>
                <w:sz w:val="20"/>
              </w:rPr>
              <w:t>BELIEF OF GUILT</w:t>
            </w:r>
          </w:p>
        </w:tc>
        <w:tc>
          <w:tcPr>
            <w:tcW w:w="7030" w:type="dxa"/>
            <w:tcBorders>
              <w:top w:val="single" w:sz="4" w:space="0" w:color="auto"/>
              <w:bottom w:val="single" w:sz="4" w:space="0" w:color="auto"/>
            </w:tcBorders>
          </w:tcPr>
          <w:p w14:paraId="1390D0A9" w14:textId="77777777" w:rsidR="00EE5134" w:rsidRDefault="00EE5134">
            <w:pPr>
              <w:jc w:val="both"/>
              <w:rPr>
                <w:rFonts w:ascii="Arial" w:hAnsi="Arial" w:cs="Arial"/>
                <w:sz w:val="20"/>
              </w:rPr>
            </w:pPr>
            <w:r>
              <w:rPr>
                <w:rFonts w:ascii="Arial" w:hAnsi="Arial" w:cs="Arial"/>
                <w:sz w:val="20"/>
              </w:rPr>
              <w:t>there are reasonable grounds to believe that the child has committed the offence in respect of which the application is made; and</w:t>
            </w:r>
          </w:p>
        </w:tc>
      </w:tr>
      <w:tr w:rsidR="00EE5134" w14:paraId="7A8DFE86" w14:textId="77777777" w:rsidTr="00A764BE">
        <w:tc>
          <w:tcPr>
            <w:tcW w:w="474" w:type="dxa"/>
            <w:tcBorders>
              <w:top w:val="single" w:sz="4" w:space="0" w:color="auto"/>
              <w:bottom w:val="single" w:sz="4" w:space="0" w:color="auto"/>
            </w:tcBorders>
          </w:tcPr>
          <w:p w14:paraId="13E931E4" w14:textId="77777777" w:rsidR="00EE5134" w:rsidRDefault="00EE5134" w:rsidP="00A764BE">
            <w:pPr>
              <w:jc w:val="center"/>
              <w:rPr>
                <w:rFonts w:ascii="Arial" w:hAnsi="Arial" w:cs="Arial"/>
                <w:sz w:val="20"/>
              </w:rPr>
            </w:pPr>
            <w:r>
              <w:rPr>
                <w:rFonts w:ascii="Arial" w:hAnsi="Arial" w:cs="Arial"/>
                <w:sz w:val="20"/>
              </w:rPr>
              <w:t>(c)</w:t>
            </w:r>
          </w:p>
        </w:tc>
        <w:tc>
          <w:tcPr>
            <w:tcW w:w="1572" w:type="dxa"/>
            <w:tcBorders>
              <w:top w:val="single" w:sz="4" w:space="0" w:color="auto"/>
              <w:bottom w:val="single" w:sz="4" w:space="0" w:color="auto"/>
            </w:tcBorders>
            <w:shd w:val="pct10" w:color="auto" w:fill="auto"/>
          </w:tcPr>
          <w:p w14:paraId="742BC587" w14:textId="77777777" w:rsidR="00EE5134" w:rsidRDefault="00EE5134" w:rsidP="00A764BE">
            <w:pPr>
              <w:jc w:val="center"/>
              <w:rPr>
                <w:rFonts w:ascii="Arial" w:hAnsi="Arial" w:cs="Arial"/>
                <w:b/>
                <w:bCs/>
                <w:sz w:val="20"/>
              </w:rPr>
            </w:pPr>
            <w:r>
              <w:rPr>
                <w:rFonts w:ascii="Arial" w:hAnsi="Arial" w:cs="Arial"/>
                <w:b/>
                <w:bCs/>
                <w:sz w:val="20"/>
              </w:rPr>
              <w:t>DNA MATERIAL OF VICTIM OR SUSPECT BELIEVED TO EXIST</w:t>
            </w:r>
          </w:p>
        </w:tc>
        <w:tc>
          <w:tcPr>
            <w:tcW w:w="7030" w:type="dxa"/>
            <w:tcBorders>
              <w:top w:val="single" w:sz="4" w:space="0" w:color="auto"/>
              <w:bottom w:val="single" w:sz="4" w:space="0" w:color="auto"/>
            </w:tcBorders>
          </w:tcPr>
          <w:p w14:paraId="4E45B3BE" w14:textId="77777777" w:rsidR="00EE5134" w:rsidRDefault="00EE5134" w:rsidP="00A764BE">
            <w:pPr>
              <w:jc w:val="both"/>
              <w:rPr>
                <w:rFonts w:ascii="Arial" w:hAnsi="Arial" w:cs="Arial"/>
                <w:sz w:val="20"/>
              </w:rPr>
            </w:pPr>
            <w:r>
              <w:rPr>
                <w:rFonts w:ascii="Arial" w:hAnsi="Arial" w:cs="Arial"/>
                <w:sz w:val="20"/>
              </w:rPr>
              <w:t>in the case of an application other than one referred to in paragraph (d) either-</w:t>
            </w:r>
          </w:p>
          <w:p w14:paraId="630D68D9" w14:textId="77777777" w:rsidR="00EE5134" w:rsidRDefault="00EE5134" w:rsidP="00A764BE">
            <w:pPr>
              <w:ind w:left="363" w:hanging="363"/>
              <w:jc w:val="both"/>
              <w:rPr>
                <w:rFonts w:ascii="Arial" w:hAnsi="Arial" w:cs="Arial"/>
                <w:sz w:val="20"/>
              </w:rPr>
            </w:pPr>
            <w:r>
              <w:rPr>
                <w:rFonts w:ascii="Arial" w:hAnsi="Arial" w:cs="Arial"/>
                <w:sz w:val="20"/>
              </w:rPr>
              <w:t>(i)   material reasonably believed to be from the body of the offender has been found at the scene or on the victim or associated clothing/item or on an object or person reasonably believed to have been associated with the offence; or</w:t>
            </w:r>
          </w:p>
          <w:p w14:paraId="147C2B18" w14:textId="77777777" w:rsidR="00EE5134" w:rsidRDefault="00EE5134" w:rsidP="00A764BE">
            <w:pPr>
              <w:ind w:left="363" w:hanging="363"/>
              <w:jc w:val="both"/>
              <w:rPr>
                <w:rFonts w:ascii="Arial" w:hAnsi="Arial" w:cs="Arial"/>
                <w:sz w:val="20"/>
              </w:rPr>
            </w:pPr>
            <w:r>
              <w:rPr>
                <w:rFonts w:ascii="Arial" w:hAnsi="Arial" w:cs="Arial"/>
                <w:sz w:val="20"/>
              </w:rPr>
              <w:t>(ii)  there are reasonable grounds to believe that material from the body or clothing of the victim is present on the person or associated clothing/item or on an object reasonably believed to have been associated with the offence; and</w:t>
            </w:r>
          </w:p>
        </w:tc>
      </w:tr>
      <w:tr w:rsidR="00EE5134" w14:paraId="63381BC2" w14:textId="77777777" w:rsidTr="00A764BE">
        <w:tc>
          <w:tcPr>
            <w:tcW w:w="474" w:type="dxa"/>
            <w:tcBorders>
              <w:top w:val="single" w:sz="4" w:space="0" w:color="auto"/>
              <w:bottom w:val="single" w:sz="4" w:space="0" w:color="auto"/>
            </w:tcBorders>
          </w:tcPr>
          <w:p w14:paraId="346A4D79" w14:textId="77777777" w:rsidR="00EE5134" w:rsidRDefault="00EE5134" w:rsidP="00A51EC5">
            <w:pPr>
              <w:keepNext/>
              <w:keepLines/>
              <w:jc w:val="center"/>
              <w:rPr>
                <w:rFonts w:ascii="Arial" w:hAnsi="Arial" w:cs="Arial"/>
                <w:sz w:val="20"/>
              </w:rPr>
            </w:pPr>
            <w:r>
              <w:rPr>
                <w:rFonts w:ascii="Arial" w:hAnsi="Arial" w:cs="Arial"/>
                <w:sz w:val="20"/>
              </w:rPr>
              <w:lastRenderedPageBreak/>
              <w:t>(d)</w:t>
            </w:r>
          </w:p>
        </w:tc>
        <w:tc>
          <w:tcPr>
            <w:tcW w:w="1572" w:type="dxa"/>
            <w:tcBorders>
              <w:top w:val="single" w:sz="4" w:space="0" w:color="auto"/>
              <w:bottom w:val="single" w:sz="4" w:space="0" w:color="auto"/>
            </w:tcBorders>
            <w:shd w:val="pct10" w:color="auto" w:fill="auto"/>
          </w:tcPr>
          <w:p w14:paraId="6D2AD8EC" w14:textId="77777777" w:rsidR="00EE5134" w:rsidRDefault="00EE5134">
            <w:pPr>
              <w:jc w:val="center"/>
              <w:rPr>
                <w:rFonts w:ascii="Arial" w:hAnsi="Arial" w:cs="Arial"/>
                <w:b/>
                <w:bCs/>
                <w:sz w:val="20"/>
              </w:rPr>
            </w:pPr>
            <w:r>
              <w:rPr>
                <w:rFonts w:ascii="Arial" w:hAnsi="Arial" w:cs="Arial"/>
                <w:b/>
                <w:bCs/>
                <w:sz w:val="20"/>
              </w:rPr>
              <w:t>IF FIREARM</w:t>
            </w:r>
          </w:p>
          <w:p w14:paraId="1FD0B7E5" w14:textId="77777777" w:rsidR="00EE5134" w:rsidRDefault="00EE5134">
            <w:pPr>
              <w:jc w:val="center"/>
              <w:rPr>
                <w:rFonts w:ascii="Arial" w:hAnsi="Arial" w:cs="Arial"/>
                <w:b/>
                <w:bCs/>
                <w:sz w:val="20"/>
              </w:rPr>
            </w:pPr>
            <w:r>
              <w:rPr>
                <w:rFonts w:ascii="Arial" w:hAnsi="Arial" w:cs="Arial"/>
                <w:b/>
                <w:bCs/>
                <w:sz w:val="20"/>
              </w:rPr>
              <w:t>WAS</w:t>
            </w:r>
          </w:p>
          <w:p w14:paraId="252B7DDF" w14:textId="77777777" w:rsidR="00EE5134" w:rsidRDefault="00EE5134">
            <w:pPr>
              <w:jc w:val="center"/>
              <w:rPr>
                <w:rFonts w:ascii="Arial" w:hAnsi="Arial" w:cs="Arial"/>
                <w:b/>
                <w:bCs/>
                <w:sz w:val="20"/>
              </w:rPr>
            </w:pPr>
            <w:r>
              <w:rPr>
                <w:rFonts w:ascii="Arial" w:hAnsi="Arial" w:cs="Arial"/>
                <w:b/>
                <w:bCs/>
                <w:sz w:val="20"/>
              </w:rPr>
              <w:t>DISCHARGED</w:t>
            </w:r>
          </w:p>
        </w:tc>
        <w:tc>
          <w:tcPr>
            <w:tcW w:w="7030" w:type="dxa"/>
            <w:tcBorders>
              <w:top w:val="single" w:sz="4" w:space="0" w:color="auto"/>
              <w:bottom w:val="single" w:sz="4" w:space="0" w:color="auto"/>
            </w:tcBorders>
          </w:tcPr>
          <w:p w14:paraId="108897E6" w14:textId="77777777" w:rsidR="00EE5134" w:rsidRDefault="00EE5134">
            <w:pPr>
              <w:jc w:val="both"/>
              <w:rPr>
                <w:rFonts w:ascii="Arial" w:hAnsi="Arial" w:cs="Arial"/>
                <w:sz w:val="20"/>
              </w:rPr>
            </w:pPr>
            <w:r>
              <w:rPr>
                <w:rFonts w:ascii="Arial" w:hAnsi="Arial" w:cs="Arial"/>
                <w:sz w:val="20"/>
              </w:rPr>
              <w:t>in the case of an application to take a sample or washing from the skin to determine the presence of gunshot residue, a firearm was discharged during the commission of the offence; and</w:t>
            </w:r>
          </w:p>
        </w:tc>
      </w:tr>
      <w:tr w:rsidR="00EE5134" w14:paraId="54281C05" w14:textId="77777777" w:rsidTr="00A764BE">
        <w:tc>
          <w:tcPr>
            <w:tcW w:w="474" w:type="dxa"/>
            <w:tcBorders>
              <w:top w:val="single" w:sz="4" w:space="0" w:color="auto"/>
              <w:bottom w:val="single" w:sz="4" w:space="0" w:color="auto"/>
            </w:tcBorders>
          </w:tcPr>
          <w:p w14:paraId="7A8DCD12" w14:textId="77777777" w:rsidR="00EE5134" w:rsidRDefault="00EE5134">
            <w:pPr>
              <w:jc w:val="center"/>
              <w:rPr>
                <w:rFonts w:ascii="Arial" w:hAnsi="Arial" w:cs="Arial"/>
                <w:sz w:val="20"/>
              </w:rPr>
            </w:pPr>
            <w:r>
              <w:rPr>
                <w:rFonts w:ascii="Arial" w:hAnsi="Arial" w:cs="Arial"/>
                <w:sz w:val="20"/>
              </w:rPr>
              <w:t>(e)</w:t>
            </w:r>
          </w:p>
        </w:tc>
        <w:tc>
          <w:tcPr>
            <w:tcW w:w="1572" w:type="dxa"/>
            <w:tcBorders>
              <w:top w:val="single" w:sz="4" w:space="0" w:color="auto"/>
              <w:bottom w:val="single" w:sz="4" w:space="0" w:color="auto"/>
            </w:tcBorders>
            <w:shd w:val="pct10" w:color="auto" w:fill="auto"/>
          </w:tcPr>
          <w:p w14:paraId="2D012573" w14:textId="77777777" w:rsidR="00EE5134" w:rsidRDefault="00EE5134">
            <w:pPr>
              <w:jc w:val="center"/>
              <w:rPr>
                <w:rFonts w:ascii="Arial" w:hAnsi="Arial" w:cs="Arial"/>
                <w:b/>
                <w:bCs/>
                <w:sz w:val="20"/>
              </w:rPr>
            </w:pPr>
            <w:r>
              <w:rPr>
                <w:rFonts w:ascii="Arial" w:hAnsi="Arial" w:cs="Arial"/>
                <w:b/>
                <w:bCs/>
                <w:sz w:val="20"/>
              </w:rPr>
              <w:t>DISTINGUISH-</w:t>
            </w:r>
          </w:p>
          <w:p w14:paraId="200674A3" w14:textId="77777777" w:rsidR="00EE5134" w:rsidRDefault="00EE5134">
            <w:pPr>
              <w:jc w:val="center"/>
              <w:rPr>
                <w:rFonts w:ascii="Arial" w:hAnsi="Arial" w:cs="Arial"/>
                <w:b/>
                <w:bCs/>
                <w:sz w:val="20"/>
              </w:rPr>
            </w:pPr>
            <w:r>
              <w:rPr>
                <w:rFonts w:ascii="Arial" w:hAnsi="Arial" w:cs="Arial"/>
                <w:b/>
                <w:bCs/>
                <w:sz w:val="20"/>
              </w:rPr>
              <w:t>ING MARKS</w:t>
            </w:r>
          </w:p>
          <w:p w14:paraId="32B54C1C" w14:textId="77777777" w:rsidR="00EE5134" w:rsidRDefault="00EE5134">
            <w:pPr>
              <w:jc w:val="center"/>
              <w:rPr>
                <w:rFonts w:ascii="Arial" w:hAnsi="Arial" w:cs="Arial"/>
                <w:b/>
                <w:bCs/>
                <w:sz w:val="20"/>
              </w:rPr>
            </w:pPr>
            <w:r>
              <w:rPr>
                <w:rFonts w:ascii="Arial" w:hAnsi="Arial" w:cs="Arial"/>
                <w:b/>
                <w:bCs/>
                <w:sz w:val="20"/>
              </w:rPr>
              <w:t>OR INJURIES</w:t>
            </w:r>
          </w:p>
        </w:tc>
        <w:tc>
          <w:tcPr>
            <w:tcW w:w="7030" w:type="dxa"/>
            <w:tcBorders>
              <w:top w:val="single" w:sz="4" w:space="0" w:color="auto"/>
              <w:bottom w:val="single" w:sz="4" w:space="0" w:color="auto"/>
            </w:tcBorders>
          </w:tcPr>
          <w:p w14:paraId="70359F2B" w14:textId="77777777" w:rsidR="00EE5134" w:rsidRDefault="00EE5134">
            <w:pPr>
              <w:jc w:val="both"/>
              <w:rPr>
                <w:rFonts w:ascii="Arial" w:hAnsi="Arial" w:cs="Arial"/>
                <w:sz w:val="20"/>
              </w:rPr>
            </w:pPr>
            <w:r>
              <w:rPr>
                <w:rFonts w:ascii="Arial" w:hAnsi="Arial" w:cs="Arial"/>
                <w:sz w:val="20"/>
              </w:rPr>
              <w:t>in the case of an application to conduct a physical examination, the person who committed the offence had distinguishing marks or injuries, whether acquired during the commission of the offence or otherwise; and</w:t>
            </w:r>
          </w:p>
        </w:tc>
      </w:tr>
      <w:tr w:rsidR="00EE5134" w14:paraId="3C51DCD3" w14:textId="77777777" w:rsidTr="00A764BE">
        <w:tc>
          <w:tcPr>
            <w:tcW w:w="474" w:type="dxa"/>
            <w:tcBorders>
              <w:top w:val="single" w:sz="4" w:space="0" w:color="auto"/>
              <w:bottom w:val="single" w:sz="4" w:space="0" w:color="auto"/>
            </w:tcBorders>
          </w:tcPr>
          <w:p w14:paraId="21C7DF22" w14:textId="77777777" w:rsidR="00EE5134" w:rsidRDefault="00EE5134">
            <w:pPr>
              <w:jc w:val="center"/>
              <w:rPr>
                <w:rFonts w:ascii="Arial" w:hAnsi="Arial" w:cs="Arial"/>
                <w:sz w:val="20"/>
              </w:rPr>
            </w:pPr>
            <w:r>
              <w:rPr>
                <w:rFonts w:ascii="Arial" w:hAnsi="Arial" w:cs="Arial"/>
                <w:sz w:val="20"/>
              </w:rPr>
              <w:t>(f)</w:t>
            </w:r>
          </w:p>
        </w:tc>
        <w:tc>
          <w:tcPr>
            <w:tcW w:w="1572" w:type="dxa"/>
            <w:tcBorders>
              <w:top w:val="single" w:sz="4" w:space="0" w:color="auto"/>
              <w:bottom w:val="single" w:sz="4" w:space="0" w:color="auto"/>
            </w:tcBorders>
            <w:shd w:val="pct10" w:color="auto" w:fill="auto"/>
          </w:tcPr>
          <w:p w14:paraId="0BC7E3BC" w14:textId="77777777" w:rsidR="00EE5134" w:rsidRDefault="00EE5134">
            <w:pPr>
              <w:spacing w:before="120"/>
              <w:jc w:val="center"/>
              <w:rPr>
                <w:rFonts w:ascii="Arial" w:hAnsi="Arial" w:cs="Arial"/>
                <w:b/>
                <w:bCs/>
                <w:sz w:val="20"/>
              </w:rPr>
            </w:pPr>
            <w:r>
              <w:rPr>
                <w:rFonts w:ascii="Arial" w:hAnsi="Arial" w:cs="Arial"/>
                <w:b/>
                <w:bCs/>
                <w:sz w:val="20"/>
              </w:rPr>
              <w:t>CONFIRM OR DISPROVE</w:t>
            </w:r>
          </w:p>
        </w:tc>
        <w:tc>
          <w:tcPr>
            <w:tcW w:w="7030" w:type="dxa"/>
            <w:tcBorders>
              <w:top w:val="single" w:sz="4" w:space="0" w:color="auto"/>
              <w:bottom w:val="single" w:sz="4" w:space="0" w:color="auto"/>
            </w:tcBorders>
          </w:tcPr>
          <w:p w14:paraId="0E78689C" w14:textId="05FF7D32" w:rsidR="00EE5134" w:rsidRDefault="00EE5134">
            <w:pPr>
              <w:jc w:val="both"/>
              <w:rPr>
                <w:rFonts w:ascii="Arial" w:hAnsi="Arial" w:cs="Arial"/>
                <w:sz w:val="20"/>
              </w:rPr>
            </w:pPr>
            <w:r>
              <w:rPr>
                <w:rFonts w:ascii="Arial" w:hAnsi="Arial" w:cs="Arial"/>
                <w:sz w:val="20"/>
              </w:rPr>
              <w:t xml:space="preserve">there are reasonable grounds to believe that the conduct of the procedure on the child may tend to confirm or disprove </w:t>
            </w:r>
            <w:r w:rsidR="00A764BE">
              <w:rPr>
                <w:rFonts w:ascii="Arial" w:hAnsi="Arial" w:cs="Arial"/>
                <w:sz w:val="20"/>
              </w:rPr>
              <w:t>the child’s</w:t>
            </w:r>
            <w:r>
              <w:rPr>
                <w:rFonts w:ascii="Arial" w:hAnsi="Arial" w:cs="Arial"/>
                <w:sz w:val="20"/>
              </w:rPr>
              <w:t xml:space="preserve"> involvement in the commission of the offence; and</w:t>
            </w:r>
          </w:p>
        </w:tc>
      </w:tr>
      <w:tr w:rsidR="00EE5134" w14:paraId="665C4B86" w14:textId="77777777" w:rsidTr="00A764BE">
        <w:tc>
          <w:tcPr>
            <w:tcW w:w="474" w:type="dxa"/>
            <w:tcBorders>
              <w:top w:val="single" w:sz="4" w:space="0" w:color="auto"/>
              <w:bottom w:val="single" w:sz="12" w:space="0" w:color="auto"/>
            </w:tcBorders>
          </w:tcPr>
          <w:p w14:paraId="2B914E50" w14:textId="77777777" w:rsidR="00EE5134" w:rsidRDefault="00EE5134">
            <w:pPr>
              <w:jc w:val="center"/>
              <w:rPr>
                <w:rFonts w:ascii="Arial" w:hAnsi="Arial" w:cs="Arial"/>
                <w:sz w:val="20"/>
              </w:rPr>
            </w:pPr>
            <w:r>
              <w:rPr>
                <w:rFonts w:ascii="Arial" w:hAnsi="Arial" w:cs="Arial"/>
                <w:sz w:val="20"/>
              </w:rPr>
              <w:t>(g)</w:t>
            </w:r>
          </w:p>
        </w:tc>
        <w:tc>
          <w:tcPr>
            <w:tcW w:w="1572" w:type="dxa"/>
            <w:tcBorders>
              <w:top w:val="single" w:sz="4" w:space="0" w:color="auto"/>
              <w:bottom w:val="single" w:sz="12" w:space="0" w:color="auto"/>
            </w:tcBorders>
            <w:shd w:val="pct10" w:color="auto" w:fill="auto"/>
          </w:tcPr>
          <w:p w14:paraId="00762DBB" w14:textId="77777777" w:rsidR="00EE5134" w:rsidRDefault="00EE5134">
            <w:pPr>
              <w:spacing w:before="360"/>
              <w:jc w:val="center"/>
              <w:rPr>
                <w:rFonts w:ascii="Arial" w:hAnsi="Arial" w:cs="Arial"/>
                <w:b/>
                <w:bCs/>
                <w:sz w:val="20"/>
              </w:rPr>
            </w:pPr>
            <w:r>
              <w:rPr>
                <w:rFonts w:ascii="Arial" w:hAnsi="Arial" w:cs="Arial"/>
                <w:b/>
                <w:bCs/>
                <w:sz w:val="20"/>
              </w:rPr>
              <w:t>ORDER</w:t>
            </w:r>
          </w:p>
          <w:p w14:paraId="50C50A2B" w14:textId="77777777" w:rsidR="00EE5134" w:rsidRDefault="00EE5134">
            <w:pPr>
              <w:jc w:val="center"/>
              <w:rPr>
                <w:rFonts w:ascii="Arial" w:hAnsi="Arial" w:cs="Arial"/>
                <w:b/>
                <w:bCs/>
                <w:sz w:val="20"/>
              </w:rPr>
            </w:pPr>
            <w:r>
              <w:rPr>
                <w:rFonts w:ascii="Arial" w:hAnsi="Arial" w:cs="Arial"/>
                <w:b/>
                <w:bCs/>
                <w:sz w:val="20"/>
              </w:rPr>
              <w:t>JUSTIFIED</w:t>
            </w:r>
          </w:p>
        </w:tc>
        <w:tc>
          <w:tcPr>
            <w:tcW w:w="7030" w:type="dxa"/>
            <w:tcBorders>
              <w:top w:val="single" w:sz="4" w:space="0" w:color="auto"/>
              <w:bottom w:val="single" w:sz="12" w:space="0" w:color="auto"/>
            </w:tcBorders>
          </w:tcPr>
          <w:p w14:paraId="3223E60B" w14:textId="2380221D" w:rsidR="00EE5134" w:rsidRDefault="00EE5134">
            <w:pPr>
              <w:jc w:val="both"/>
              <w:rPr>
                <w:rFonts w:ascii="Arial" w:hAnsi="Arial" w:cs="Arial"/>
                <w:sz w:val="20"/>
              </w:rPr>
            </w:pPr>
            <w:r>
              <w:rPr>
                <w:rFonts w:ascii="Arial" w:hAnsi="Arial" w:cs="Arial"/>
                <w:sz w:val="20"/>
              </w:rPr>
              <w:t>in all the circumstances the making of the order is justified, taking into account, amongst other things the matters set out in s.464U(8)</w:t>
            </w:r>
            <w:r w:rsidR="00A764BE">
              <w:rPr>
                <w:rFonts w:ascii="Arial" w:hAnsi="Arial" w:cs="Arial"/>
                <w:sz w:val="20"/>
              </w:rPr>
              <w:t>–</w:t>
            </w:r>
          </w:p>
          <w:p w14:paraId="263D11CF" w14:textId="77777777" w:rsidR="00EE5134" w:rsidRDefault="00EE5134" w:rsidP="00E35AA4">
            <w:pPr>
              <w:numPr>
                <w:ilvl w:val="0"/>
                <w:numId w:val="9"/>
              </w:numPr>
              <w:ind w:left="357" w:hanging="357"/>
              <w:jc w:val="both"/>
              <w:rPr>
                <w:rFonts w:ascii="Arial" w:hAnsi="Arial" w:cs="Arial"/>
                <w:sz w:val="20"/>
              </w:rPr>
            </w:pPr>
            <w:r>
              <w:rPr>
                <w:rFonts w:ascii="Arial" w:hAnsi="Arial" w:cs="Arial"/>
                <w:sz w:val="20"/>
              </w:rPr>
              <w:t>the seriousness of the circumstances surrounding the commission of the offence;</w:t>
            </w:r>
          </w:p>
          <w:p w14:paraId="0FE0F590" w14:textId="77777777" w:rsidR="00EE5134" w:rsidRDefault="00EE5134">
            <w:pPr>
              <w:numPr>
                <w:ilvl w:val="0"/>
                <w:numId w:val="9"/>
              </w:numPr>
              <w:jc w:val="both"/>
              <w:rPr>
                <w:rFonts w:ascii="Arial" w:hAnsi="Arial" w:cs="Arial"/>
                <w:sz w:val="20"/>
              </w:rPr>
            </w:pPr>
            <w:r>
              <w:rPr>
                <w:rFonts w:ascii="Arial" w:hAnsi="Arial" w:cs="Arial"/>
                <w:sz w:val="20"/>
              </w:rPr>
              <w:t>the alleged degree of participation by the child; and</w:t>
            </w:r>
          </w:p>
          <w:p w14:paraId="4439541A" w14:textId="77777777" w:rsidR="00EE5134" w:rsidRDefault="00EE5134">
            <w:pPr>
              <w:numPr>
                <w:ilvl w:val="0"/>
                <w:numId w:val="9"/>
              </w:numPr>
              <w:jc w:val="both"/>
              <w:rPr>
                <w:rFonts w:ascii="Arial" w:hAnsi="Arial" w:cs="Arial"/>
                <w:sz w:val="20"/>
              </w:rPr>
            </w:pPr>
            <w:r>
              <w:rPr>
                <w:rFonts w:ascii="Arial" w:hAnsi="Arial" w:cs="Arial"/>
                <w:sz w:val="20"/>
              </w:rPr>
              <w:t>the age of the child.</w:t>
            </w:r>
          </w:p>
        </w:tc>
      </w:tr>
    </w:tbl>
    <w:p w14:paraId="7DCA4AF6" w14:textId="77777777" w:rsidR="00EE5134" w:rsidRDefault="00EE5134">
      <w:pPr>
        <w:rPr>
          <w:rFonts w:ascii="Arial" w:hAnsi="Arial" w:cs="Arial"/>
        </w:rPr>
      </w:pPr>
    </w:p>
    <w:p w14:paraId="54AAC62A"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 xml:space="preserve">Loughnan v Magistrates Court of Victoria sitting at </w:t>
      </w:r>
      <w:smartTag w:uri="urn:schemas-microsoft-com:office:smarttags" w:element="place">
        <w:smartTag w:uri="urn:schemas-microsoft-com:office:smarttags" w:element="City">
          <w:r>
            <w:rPr>
              <w:rFonts w:ascii="Arial" w:hAnsi="Arial" w:cs="Arial"/>
              <w:i/>
              <w:iCs/>
              <w:sz w:val="20"/>
            </w:rPr>
            <w:t>Melbourne</w:t>
          </w:r>
        </w:smartTag>
      </w:smartTag>
      <w:r>
        <w:rPr>
          <w:rFonts w:ascii="Arial" w:hAnsi="Arial" w:cs="Arial"/>
          <w:i/>
          <w:iCs/>
          <w:sz w:val="20"/>
        </w:rPr>
        <w:t xml:space="preserve"> &amp; Another</w:t>
      </w:r>
      <w:r>
        <w:rPr>
          <w:rFonts w:ascii="Arial" w:hAnsi="Arial" w:cs="Arial"/>
          <w:sz w:val="20"/>
        </w:rPr>
        <w:t xml:space="preserve"> [1993] 1 VR 671, the Court of Appeal, construing an earlier but similar statutory provision, held:</w:t>
      </w:r>
    </w:p>
    <w:p w14:paraId="36810A68"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 xml:space="preserve">at 692: Section 464U(7)(b) does not require the court to be satisfied, even to some </w:t>
      </w:r>
      <w:r>
        <w:rPr>
          <w:rFonts w:ascii="Arial" w:hAnsi="Arial" w:cs="Arial"/>
          <w:i/>
          <w:iCs/>
          <w:sz w:val="20"/>
        </w:rPr>
        <w:t>prima facie</w:t>
      </w:r>
      <w:r>
        <w:rPr>
          <w:rFonts w:ascii="Arial" w:hAnsi="Arial" w:cs="Arial"/>
          <w:sz w:val="20"/>
        </w:rPr>
        <w:t xml:space="preserve"> stage, that the suspect has committed the offence; the court need be satisfied only that there are reasonable grounds to believe that the suspect has committed the offence.</w:t>
      </w:r>
    </w:p>
    <w:p w14:paraId="0F7906C2"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692: Evidence put forward in support of the existence of reasonable grounds to believe that the suspect has committed the offence might be inadmissible at any trial of the suspect if it was sought to prove through the applicant what his information was.  But it is not hearsay for the purposes of the applicant's attempt at proof of the matter in s.464U(3)(b) for the information is put forward, not as evidence of its own truth, but simply as information: as part of the material which it is said gives the applicant reasonable grounds for belief.</w:t>
      </w:r>
    </w:p>
    <w:p w14:paraId="31050530"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693: Hearsay evidence may be relied upon for the purposes of an application under s.464U(7).</w:t>
      </w:r>
    </w:p>
    <w:p w14:paraId="28A4CB92"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694: The onus of proving the matters set out in s.464U(7) lies on the applicant.  The standard of proof is the civil standard of the balance of probabilities, "bear[ing] in mind the principle that the degree of satisfaction…may vary according to the gravity of the fact to be proved".</w:t>
      </w:r>
    </w:p>
    <w:p w14:paraId="55225E4E"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696: The Court must be satisfied that there are grounds for the belief in question and that these grounds are reasonable.  That reasonable grounds exist for believing that the suspect has committed the offence is not necessarily inconsistent with the fact that other possibilities exist too, based upon further and different material.</w:t>
      </w:r>
    </w:p>
    <w:p w14:paraId="2288AE01" w14:textId="77777777" w:rsidR="00EE5134" w:rsidRDefault="00EE5134">
      <w:pPr>
        <w:jc w:val="both"/>
        <w:rPr>
          <w:rFonts w:ascii="Arial" w:hAnsi="Arial" w:cs="Arial"/>
          <w:sz w:val="20"/>
        </w:rPr>
      </w:pPr>
    </w:p>
    <w:p w14:paraId="708823C4" w14:textId="55CC4906" w:rsidR="00EE5134" w:rsidRDefault="00EE5134">
      <w:pPr>
        <w:jc w:val="both"/>
        <w:rPr>
          <w:rFonts w:ascii="Arial" w:hAnsi="Arial" w:cs="Arial"/>
          <w:sz w:val="20"/>
        </w:rPr>
      </w:pPr>
      <w:r>
        <w:rPr>
          <w:rFonts w:ascii="Arial" w:hAnsi="Arial" w:cs="Arial"/>
          <w:sz w:val="20"/>
        </w:rPr>
        <w:t xml:space="preserve">See also </w:t>
      </w:r>
      <w:r>
        <w:rPr>
          <w:rFonts w:ascii="Arial" w:hAnsi="Arial" w:cs="Arial"/>
          <w:i/>
          <w:iCs/>
          <w:sz w:val="20"/>
        </w:rPr>
        <w:t>Walsh v Loughnan</w:t>
      </w:r>
      <w:r>
        <w:rPr>
          <w:rFonts w:ascii="Arial" w:hAnsi="Arial" w:cs="Arial"/>
          <w:sz w:val="20"/>
        </w:rPr>
        <w:t xml:space="preserve"> [1991] 2 VR 351; </w:t>
      </w:r>
      <w:r>
        <w:rPr>
          <w:rFonts w:ascii="Arial" w:hAnsi="Arial" w:cs="Arial"/>
          <w:i/>
          <w:iCs/>
          <w:sz w:val="20"/>
        </w:rPr>
        <w:t>Glare v Magistrates' Court of Victoria</w:t>
      </w:r>
      <w:r>
        <w:rPr>
          <w:rFonts w:ascii="Arial" w:hAnsi="Arial" w:cs="Arial"/>
          <w:sz w:val="20"/>
        </w:rPr>
        <w:t xml:space="preserve"> [1992] 1 VR 91.</w:t>
      </w:r>
    </w:p>
    <w:p w14:paraId="519DF62D" w14:textId="77777777" w:rsidR="00CF37E5" w:rsidRDefault="00CF37E5" w:rsidP="00CF37E5">
      <w:pPr>
        <w:jc w:val="both"/>
        <w:rPr>
          <w:rFonts w:ascii="Arial" w:hAnsi="Arial" w:cs="Arial"/>
          <w:sz w:val="20"/>
        </w:rPr>
      </w:pPr>
    </w:p>
    <w:p w14:paraId="2EC0955B" w14:textId="4F8F810C" w:rsidR="000E5475" w:rsidRPr="000E5475" w:rsidRDefault="00CF37E5" w:rsidP="000E5475">
      <w:pPr>
        <w:jc w:val="both"/>
        <w:rPr>
          <w:rFonts w:ascii="Arial" w:hAnsi="Arial" w:cs="Arial"/>
          <w:sz w:val="16"/>
          <w:szCs w:val="20"/>
        </w:rPr>
      </w:pPr>
      <w:r>
        <w:rPr>
          <w:rFonts w:ascii="Arial" w:hAnsi="Arial" w:cs="Arial"/>
          <w:sz w:val="20"/>
        </w:rPr>
        <w:t xml:space="preserve">In </w:t>
      </w:r>
      <w:r w:rsidRPr="004E63A1">
        <w:rPr>
          <w:rFonts w:ascii="Arial" w:hAnsi="Arial" w:cs="Arial"/>
          <w:i/>
          <w:iCs/>
          <w:sz w:val="20"/>
        </w:rPr>
        <w:t>W</w:t>
      </w:r>
      <w:r>
        <w:rPr>
          <w:rFonts w:ascii="Arial" w:hAnsi="Arial" w:cs="Arial"/>
          <w:i/>
          <w:iCs/>
          <w:sz w:val="20"/>
        </w:rPr>
        <w:t xml:space="preserve"> </w:t>
      </w:r>
      <w:r w:rsidRPr="004E63A1">
        <w:rPr>
          <w:rFonts w:ascii="Arial" w:hAnsi="Arial" w:cs="Arial"/>
          <w:i/>
          <w:iCs/>
          <w:sz w:val="20"/>
        </w:rPr>
        <w:t>&amp; Anor v Children’s Court of Victoria &amp; Anor</w:t>
      </w:r>
      <w:r>
        <w:rPr>
          <w:rFonts w:ascii="Arial" w:hAnsi="Arial" w:cs="Arial"/>
          <w:sz w:val="20"/>
        </w:rPr>
        <w:t xml:space="preserve"> [2002] VSC 75 a magistrate in the Children’s Court had ordered that </w:t>
      </w:r>
      <w:r w:rsidR="00E86771">
        <w:rPr>
          <w:rFonts w:ascii="Arial" w:hAnsi="Arial" w:cs="Arial"/>
          <w:sz w:val="20"/>
        </w:rPr>
        <w:t>each of t</w:t>
      </w:r>
      <w:r>
        <w:rPr>
          <w:rFonts w:ascii="Arial" w:hAnsi="Arial" w:cs="Arial"/>
          <w:sz w:val="20"/>
        </w:rPr>
        <w:t xml:space="preserve">he child applicants undergo a compulsory procedure by provision of a buccal swab.  The applicants </w:t>
      </w:r>
      <w:r w:rsidR="000E5475">
        <w:rPr>
          <w:rFonts w:ascii="Arial" w:hAnsi="Arial" w:cs="Arial"/>
          <w:sz w:val="20"/>
        </w:rPr>
        <w:t xml:space="preserve">had been </w:t>
      </w:r>
      <w:r w:rsidR="000E5475" w:rsidRPr="000E5475">
        <w:rPr>
          <w:rFonts w:ascii="Arial" w:hAnsi="Arial" w:cs="Arial"/>
          <w:sz w:val="20"/>
          <w:szCs w:val="20"/>
        </w:rPr>
        <w:t>charged with a number of offences including aggravated burglary which form</w:t>
      </w:r>
      <w:r w:rsidR="000E5475">
        <w:rPr>
          <w:rFonts w:ascii="Arial" w:hAnsi="Arial" w:cs="Arial"/>
          <w:sz w:val="20"/>
          <w:szCs w:val="20"/>
        </w:rPr>
        <w:t>ed the</w:t>
      </w:r>
      <w:r w:rsidR="000E5475" w:rsidRPr="000E5475">
        <w:rPr>
          <w:rFonts w:ascii="Arial" w:hAnsi="Arial" w:cs="Arial"/>
          <w:sz w:val="20"/>
          <w:szCs w:val="20"/>
        </w:rPr>
        <w:t xml:space="preserve"> basis for the application made to the Children's Court under s.464U(7).  The alleged burglary was of residential premises at which two occupants were present and asleep and one of the articles said to have been stolen was a wallet which was in the kitchen of those premises and was subsequently found in the garden of the premises.  Two separate DNA samples ha</w:t>
      </w:r>
      <w:r w:rsidR="00464957">
        <w:rPr>
          <w:rFonts w:ascii="Arial" w:hAnsi="Arial" w:cs="Arial"/>
          <w:sz w:val="20"/>
          <w:szCs w:val="20"/>
        </w:rPr>
        <w:t>d</w:t>
      </w:r>
      <w:r w:rsidR="000E5475" w:rsidRPr="000E5475">
        <w:rPr>
          <w:rFonts w:ascii="Arial" w:hAnsi="Arial" w:cs="Arial"/>
          <w:sz w:val="20"/>
          <w:szCs w:val="20"/>
        </w:rPr>
        <w:t xml:space="preserve"> been found and taken from that wallet.</w:t>
      </w:r>
      <w:r w:rsidR="00464957">
        <w:rPr>
          <w:rFonts w:ascii="Arial" w:hAnsi="Arial" w:cs="Arial"/>
          <w:sz w:val="20"/>
          <w:szCs w:val="20"/>
        </w:rPr>
        <w:t xml:space="preserve">  In quashing the orders for compulsory procedures Mandie</w:t>
      </w:r>
      <w:r w:rsidR="00E86771">
        <w:rPr>
          <w:rFonts w:ascii="Arial" w:hAnsi="Arial" w:cs="Arial"/>
          <w:sz w:val="20"/>
          <w:szCs w:val="20"/>
        </w:rPr>
        <w:t> </w:t>
      </w:r>
      <w:r w:rsidR="00464957">
        <w:rPr>
          <w:rFonts w:ascii="Arial" w:hAnsi="Arial" w:cs="Arial"/>
          <w:sz w:val="20"/>
          <w:szCs w:val="20"/>
        </w:rPr>
        <w:t>J said at [27]</w:t>
      </w:r>
      <w:r w:rsidR="00464957">
        <w:rPr>
          <w:rFonts w:ascii="Arial" w:hAnsi="Arial" w:cs="Arial"/>
          <w:sz w:val="20"/>
          <w:szCs w:val="20"/>
        </w:rPr>
        <w:noBreakHyphen/>
        <w:t>[28] &amp; [30]:</w:t>
      </w:r>
    </w:p>
    <w:p w14:paraId="0054DD5A" w14:textId="3FD26E2D" w:rsidR="00464957" w:rsidRDefault="00464957" w:rsidP="00464957">
      <w:pPr>
        <w:spacing w:before="60"/>
        <w:ind w:left="357" w:right="357"/>
        <w:jc w:val="both"/>
        <w:rPr>
          <w:rFonts w:ascii="Arial" w:hAnsi="Arial" w:cs="Arial"/>
          <w:sz w:val="20"/>
          <w:szCs w:val="16"/>
        </w:rPr>
      </w:pPr>
      <w:r>
        <w:rPr>
          <w:rFonts w:ascii="Arial" w:hAnsi="Arial" w:cs="Arial"/>
          <w:sz w:val="20"/>
        </w:rPr>
        <w:t>“</w:t>
      </w:r>
      <w:r w:rsidRPr="00464957">
        <w:rPr>
          <w:rFonts w:ascii="Arial" w:hAnsi="Arial" w:cs="Arial"/>
          <w:sz w:val="20"/>
          <w:szCs w:val="16"/>
        </w:rPr>
        <w:t>The court does not appear to have grappled at all with the question as to whether the mere fact that there was more than one type of DNA material found on the wallet of itself supported a reasonable belief that at least one of the DNA profiles came from the body of a person who committed the offence.  The failure of the court to even consider that question, in the context of these reasons, leads me to conclude that it cannot be implied that that was considered.  It would seem to have been a key question to be considered if the issue initially stated was to be analysed.</w:t>
      </w:r>
    </w:p>
    <w:p w14:paraId="30655067" w14:textId="234D84F6" w:rsidR="008A7AD6" w:rsidRDefault="00956313" w:rsidP="00464957">
      <w:pPr>
        <w:spacing w:before="60"/>
        <w:ind w:left="357" w:right="357"/>
        <w:jc w:val="both"/>
        <w:rPr>
          <w:rFonts w:ascii="Arial" w:hAnsi="Arial" w:cs="Arial"/>
          <w:sz w:val="20"/>
          <w:szCs w:val="16"/>
        </w:rPr>
      </w:pPr>
      <w:r w:rsidRPr="00464957">
        <w:rPr>
          <w:rFonts w:ascii="Arial" w:hAnsi="Arial" w:cs="Arial"/>
          <w:sz w:val="20"/>
          <w:szCs w:val="16"/>
        </w:rPr>
        <w:t xml:space="preserve">On the face of the record, apart from stating at the outset that it was an issue, there is no consideration of the issue and no conclusion as required by the Act that the court was satisfied on the balance of probabilities that there was material reasonably believed to be from the body of a person who committed the offence, found at the scene of the offence.  There is no reference at all by the court to that material having been found on an object associated with the commission of the offence, which was probably the preferable way of phrasing the issue.  </w:t>
      </w:r>
      <w:r w:rsidRPr="00464957">
        <w:rPr>
          <w:rFonts w:ascii="Arial" w:hAnsi="Arial" w:cs="Arial"/>
          <w:sz w:val="20"/>
          <w:szCs w:val="16"/>
        </w:rPr>
        <w:lastRenderedPageBreak/>
        <w:t>But putting that on one side, even if it is sufficient for the purpose of an order to refer to the material having been found at the scene of the offence, there is no reasoning to be found anywhere in the record relating to the aspect of "from the body of a person who committed the offence</w:t>
      </w:r>
      <w:r w:rsidR="008A7AD6">
        <w:rPr>
          <w:rFonts w:ascii="Arial" w:hAnsi="Arial" w:cs="Arial"/>
          <w:sz w:val="20"/>
          <w:szCs w:val="16"/>
        </w:rPr>
        <w:t>.</w:t>
      </w:r>
    </w:p>
    <w:p w14:paraId="06D99515" w14:textId="6E50E4C5" w:rsidR="00464957" w:rsidRDefault="00956313" w:rsidP="00464957">
      <w:pPr>
        <w:spacing w:before="60"/>
        <w:ind w:left="357" w:right="357"/>
        <w:jc w:val="both"/>
        <w:rPr>
          <w:rFonts w:ascii="Arial" w:hAnsi="Arial" w:cs="Arial"/>
          <w:sz w:val="20"/>
          <w:szCs w:val="16"/>
        </w:rPr>
      </w:pPr>
      <w:r>
        <w:rPr>
          <w:rFonts w:ascii="Arial" w:hAnsi="Arial" w:cs="Arial"/>
          <w:sz w:val="20"/>
          <w:szCs w:val="16"/>
        </w:rPr>
        <w:t>…</w:t>
      </w:r>
    </w:p>
    <w:p w14:paraId="5ED1EAA6" w14:textId="5555BFD1" w:rsidR="00956313" w:rsidRDefault="00E86771" w:rsidP="00464957">
      <w:pPr>
        <w:spacing w:before="60"/>
        <w:ind w:left="357" w:right="357"/>
        <w:jc w:val="both"/>
        <w:rPr>
          <w:rFonts w:ascii="Arial" w:hAnsi="Arial" w:cs="Arial"/>
          <w:sz w:val="20"/>
        </w:rPr>
      </w:pPr>
      <w:r w:rsidRPr="00E86771">
        <w:rPr>
          <w:rFonts w:ascii="Arial" w:hAnsi="Arial" w:cs="Arial"/>
          <w:sz w:val="20"/>
          <w:szCs w:val="16"/>
        </w:rPr>
        <w:t>In any event, even if that is wrong, there was in my view for the same reasons, an error of law on the face of the record.  The court has not either considered the question raised by s.464U(7)(c) or reached the conclusion required to be reached as a pre-condition to the making of an order by s.464U(7)(c).</w:t>
      </w:r>
      <w:r w:rsidR="008A7AD6">
        <w:rPr>
          <w:rFonts w:ascii="Arial" w:hAnsi="Arial" w:cs="Arial"/>
          <w:sz w:val="20"/>
          <w:szCs w:val="16"/>
        </w:rPr>
        <w:t>”</w:t>
      </w:r>
    </w:p>
    <w:p w14:paraId="77A6B5EB" w14:textId="77777777" w:rsidR="00CF37E5" w:rsidRDefault="00CF37E5">
      <w:pPr>
        <w:jc w:val="both"/>
        <w:rPr>
          <w:rFonts w:ascii="Arial" w:hAnsi="Arial" w:cs="Arial"/>
          <w:sz w:val="20"/>
        </w:rPr>
      </w:pPr>
    </w:p>
    <w:p w14:paraId="3DEDBE99"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 xml:space="preserve">Stevenson v Ellis </w:t>
      </w:r>
      <w:r>
        <w:rPr>
          <w:rFonts w:ascii="Arial" w:hAnsi="Arial" w:cs="Arial"/>
          <w:sz w:val="20"/>
        </w:rPr>
        <w:t>(1996) 85 A Crim R 49,</w:t>
      </w:r>
      <w:r>
        <w:rPr>
          <w:rFonts w:ascii="Arial" w:hAnsi="Arial" w:cs="Arial"/>
          <w:i/>
          <w:iCs/>
          <w:sz w:val="20"/>
        </w:rPr>
        <w:t xml:space="preserve"> </w:t>
      </w:r>
      <w:r>
        <w:rPr>
          <w:rFonts w:ascii="Arial" w:hAnsi="Arial" w:cs="Arial"/>
          <w:sz w:val="20"/>
        </w:rPr>
        <w:t xml:space="preserve">a case where the victim of an alleged rape described tattoos on the buttocks of the alleged offender, Nathan J upheld a magistrate's order requiring the accused to undergo a physical examination of his buttocks.  The decision was upheld by the Court of Appeal: </w:t>
      </w:r>
      <w:r>
        <w:rPr>
          <w:rFonts w:ascii="Arial" w:hAnsi="Arial" w:cs="Arial"/>
          <w:i/>
          <w:iCs/>
          <w:sz w:val="20"/>
        </w:rPr>
        <w:t>Ellis v Stevenson</w:t>
      </w:r>
      <w:r>
        <w:rPr>
          <w:rFonts w:ascii="Arial" w:hAnsi="Arial" w:cs="Arial"/>
          <w:sz w:val="20"/>
        </w:rPr>
        <w:t xml:space="preserve"> (1996) 86 A Crim R 368.  In that appeal Brooking, Phillips &amp; Charles JJA commented at 375, without deciding, that a court may have no power to refuse an application under the equivalent adult provision, s.464T, if the court is otherwise satisfied that the jurisdictional pre-conditions have been made out.  In other words, on this analysis, the only area of discretion in s.464U(7) is that in s.464U(7)(g): "in all the circumstances, the making of the order is justified."</w:t>
      </w:r>
    </w:p>
    <w:p w14:paraId="37BF95A4" w14:textId="77777777" w:rsidR="007625AA" w:rsidRDefault="007625AA">
      <w:pPr>
        <w:jc w:val="both"/>
        <w:rPr>
          <w:rFonts w:ascii="Arial" w:hAnsi="Arial" w:cs="Arial"/>
          <w:sz w:val="20"/>
        </w:rPr>
      </w:pPr>
    </w:p>
    <w:p w14:paraId="2F488661"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O'Sullivan v Freeman</w:t>
      </w:r>
      <w:r>
        <w:rPr>
          <w:rFonts w:ascii="Arial" w:hAnsi="Arial" w:cs="Arial"/>
          <w:sz w:val="20"/>
        </w:rPr>
        <w:t xml:space="preserve"> [2003] VSC 45 {MC18/03} at [19], Ashley J sounded a caution to applicants for orders for compulsory procedure under the corresponding adult provision s.464T, a caution which is equally applicable to applicants for orders in relation to child respondents under s.464U:</w:t>
      </w:r>
    </w:p>
    <w:p w14:paraId="0C58082A" w14:textId="77777777" w:rsidR="00EE5134" w:rsidRDefault="00EE5134" w:rsidP="00890B59">
      <w:pPr>
        <w:spacing w:before="60"/>
        <w:ind w:left="567" w:right="567"/>
        <w:jc w:val="both"/>
        <w:rPr>
          <w:rFonts w:ascii="Arial" w:hAnsi="Arial" w:cs="Arial"/>
          <w:sz w:val="20"/>
        </w:rPr>
      </w:pPr>
      <w:r>
        <w:rPr>
          <w:rFonts w:ascii="Arial" w:hAnsi="Arial" w:cs="Arial"/>
          <w:sz w:val="20"/>
        </w:rPr>
        <w:t xml:space="preserve">"Having regard to the peculiar nature of s.464T of the Crimes Act, it involving a procedure to which the suspect is not a party and in respect of which the party has no right of cross-examination, no right to call evidence and a very limited opportunity to be heard, it seems to me very important that a court asked to make an order be </w:t>
      </w:r>
      <w:r>
        <w:rPr>
          <w:rFonts w:ascii="Arial" w:hAnsi="Arial" w:cs="Arial"/>
          <w:b/>
          <w:bCs/>
          <w:sz w:val="20"/>
        </w:rPr>
        <w:t>fully appraised</w:t>
      </w:r>
      <w:r>
        <w:rPr>
          <w:rFonts w:ascii="Arial" w:hAnsi="Arial" w:cs="Arial"/>
          <w:sz w:val="20"/>
        </w:rPr>
        <w:t xml:space="preserve"> of the state of an investigation.  Matters plainly tending to favour a conclusion that the person referred to in s.464T(1)(d) did not have reasonable grounds for the belief there referred to, or to favour a conclusion that reasonable grounds for the belief referred to in s.464T(3)(b) were not established, ought to be revealed to the court.  In my opinion this court would not have its hands tied if it were to emerge that an order had been made by the Magistrates' Court on a premise which was likely to have been false.  It might be said in such a case that the suspect, however restricted his or her rights, had not been afforded the hearing required by the rules of procedural fairness.  There is a possible analogy with the circumstances considered in </w:t>
      </w:r>
      <w:r>
        <w:rPr>
          <w:rFonts w:ascii="Arial" w:hAnsi="Arial" w:cs="Arial"/>
          <w:i/>
          <w:iCs/>
          <w:sz w:val="20"/>
        </w:rPr>
        <w:t>R v Criminal Injuries Compensation Board ex parte A</w:t>
      </w:r>
      <w:r>
        <w:rPr>
          <w:rFonts w:ascii="Arial" w:hAnsi="Arial" w:cs="Arial"/>
          <w:sz w:val="20"/>
        </w:rPr>
        <w:t xml:space="preserve"> [1999] 2 WLR 976.  The cases dealing with warrants which are discussed in </w:t>
      </w:r>
      <w:r>
        <w:rPr>
          <w:rFonts w:ascii="Arial" w:hAnsi="Arial" w:cs="Arial"/>
          <w:i/>
          <w:iCs/>
          <w:sz w:val="20"/>
        </w:rPr>
        <w:t>Aronson and Dyer, Judicial Review of Administrative Action</w:t>
      </w:r>
      <w:r>
        <w:rPr>
          <w:rFonts w:ascii="Arial" w:hAnsi="Arial" w:cs="Arial"/>
          <w:sz w:val="20"/>
        </w:rPr>
        <w:t xml:space="preserve"> (2</w:t>
      </w:r>
      <w:r>
        <w:rPr>
          <w:rFonts w:ascii="Arial" w:hAnsi="Arial" w:cs="Arial"/>
          <w:sz w:val="20"/>
          <w:vertAlign w:val="superscript"/>
        </w:rPr>
        <w:t>nd</w:t>
      </w:r>
      <w:r>
        <w:rPr>
          <w:rFonts w:ascii="Arial" w:hAnsi="Arial" w:cs="Arial"/>
          <w:sz w:val="20"/>
        </w:rPr>
        <w:t xml:space="preserve"> ed., pp.210-211), may also be of relevance.  The Court's readiness to act would be the greater if there was a contention of substance that the failure of disclosure was deliberate or actuated by want of good faith."</w:t>
      </w:r>
    </w:p>
    <w:p w14:paraId="283DED54" w14:textId="77777777" w:rsidR="00EE5134" w:rsidRDefault="00EE5134">
      <w:pPr>
        <w:jc w:val="both"/>
        <w:rPr>
          <w:rFonts w:ascii="Arial" w:hAnsi="Arial" w:cs="Arial"/>
          <w:sz w:val="20"/>
        </w:rPr>
      </w:pPr>
    </w:p>
    <w:p w14:paraId="6AC68096"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Marks &amp; Buick &amp; Anor</w:t>
      </w:r>
      <w:r>
        <w:rPr>
          <w:rFonts w:ascii="Arial" w:hAnsi="Arial" w:cs="Arial"/>
          <w:sz w:val="20"/>
        </w:rPr>
        <w:t xml:space="preserve"> [2003] VSC 488 at [12] &amp; [14] Hansen J., in discussing s.464T(3)(f), said:</w:t>
      </w:r>
    </w:p>
    <w:p w14:paraId="5C3FE8DC" w14:textId="77777777" w:rsidR="00EE5134" w:rsidRDefault="00EE5134">
      <w:pPr>
        <w:spacing w:before="60"/>
        <w:ind w:left="567" w:right="567"/>
        <w:jc w:val="both"/>
        <w:rPr>
          <w:rFonts w:ascii="Arial" w:hAnsi="Arial" w:cs="Arial"/>
          <w:sz w:val="20"/>
        </w:rPr>
      </w:pPr>
      <w:r>
        <w:rPr>
          <w:rFonts w:ascii="Arial" w:hAnsi="Arial" w:cs="Arial"/>
          <w:sz w:val="20"/>
        </w:rPr>
        <w:t>[12]  "It requires satisfaction that there are reasonable grounds to believe that the conduct of the procedure on the person may tend to confirm or disprove his or her involvement in the commission of the offence.  This the magistrate is, in my opinion, entitled to consider regarding the evidence before him objectively, and it is important to note that it is sufficient that the conduct of the procedure may tend, not that it will, not that it must, not that it probably will, but merely that it may tend to confirm or disprove the involvement of the subject person in the commission of the offence.  A positive or a negative might come out of the test.  It does not matter.  It is…, in my view, an investigative tool, notwithstanding that in this case Marks has already been charged with murder.  But the trial has not yet occurred…</w:t>
      </w:r>
    </w:p>
    <w:p w14:paraId="1AD52F31" w14:textId="77777777" w:rsidR="00EE5134" w:rsidRDefault="00EE5134">
      <w:pPr>
        <w:spacing w:before="60"/>
        <w:ind w:left="567" w:right="567"/>
        <w:jc w:val="both"/>
        <w:rPr>
          <w:rFonts w:ascii="Arial" w:hAnsi="Arial" w:cs="Arial"/>
          <w:sz w:val="16"/>
        </w:rPr>
      </w:pPr>
      <w:r>
        <w:rPr>
          <w:rFonts w:ascii="Arial" w:hAnsi="Arial" w:cs="Arial"/>
          <w:sz w:val="20"/>
        </w:rPr>
        <w:t>[14]  The magistrate was entitled to take account of all of the materials that he had before him and to consider whether, on those materials, he was satisfied, on the balance of probabilities, that there were reasonable grounds to believe that the conduct of the procedure on the person may tend to confirm or disprove his or her involvement in the commission of the offence.  The error, I think, at least in part, in the submission [of counsel for Marks] is in the attempt it makes to demonstrate a lack of utility in the test in terms of aiding the Crown case at trial.  Admissibility, let alone a prognostication as to it, is not the decisive issue in my view.  It is whether the test may tend to confirm or disprove.  It seems to me that it was open to the magistrate to conclude as he did that there were reasonable grounds in terms of para. (f)."</w:t>
      </w:r>
    </w:p>
    <w:p w14:paraId="7F803A85" w14:textId="3D4753FA" w:rsidR="00EE5134" w:rsidRDefault="00EE5134">
      <w:pPr>
        <w:jc w:val="both"/>
        <w:rPr>
          <w:rFonts w:ascii="Arial" w:hAnsi="Arial" w:cs="Arial"/>
          <w:sz w:val="20"/>
        </w:rPr>
      </w:pPr>
    </w:p>
    <w:p w14:paraId="71785B38" w14:textId="59F875A1" w:rsidR="00F45215" w:rsidRDefault="00727B80">
      <w:pPr>
        <w:jc w:val="both"/>
        <w:rPr>
          <w:rFonts w:ascii="Arial" w:hAnsi="Arial" w:cs="Arial"/>
          <w:sz w:val="20"/>
          <w:szCs w:val="20"/>
        </w:rPr>
      </w:pPr>
      <w:r w:rsidRPr="00727B80">
        <w:rPr>
          <w:rFonts w:ascii="Arial" w:hAnsi="Arial" w:cs="Arial"/>
          <w:sz w:val="20"/>
          <w:szCs w:val="20"/>
        </w:rPr>
        <w:t xml:space="preserve">In </w:t>
      </w:r>
      <w:r w:rsidRPr="00727B80">
        <w:rPr>
          <w:rFonts w:ascii="Arial" w:hAnsi="Arial" w:cs="Arial"/>
          <w:i/>
          <w:iCs/>
          <w:sz w:val="20"/>
          <w:szCs w:val="20"/>
        </w:rPr>
        <w:t>Yarran v The Magistrates’ Court of Victoria</w:t>
      </w:r>
      <w:r w:rsidRPr="00727B80">
        <w:rPr>
          <w:rFonts w:ascii="Arial" w:hAnsi="Arial" w:cs="Arial"/>
          <w:sz w:val="20"/>
          <w:szCs w:val="20"/>
        </w:rPr>
        <w:t xml:space="preserve"> [2022] VSC </w:t>
      </w:r>
      <w:r>
        <w:rPr>
          <w:rFonts w:ascii="Arial" w:hAnsi="Arial" w:cs="Arial"/>
          <w:sz w:val="20"/>
          <w:szCs w:val="20"/>
        </w:rPr>
        <w:t xml:space="preserve">531 </w:t>
      </w:r>
      <w:r w:rsidRPr="00727B80">
        <w:rPr>
          <w:rFonts w:ascii="Arial" w:hAnsi="Arial" w:cs="Arial"/>
          <w:sz w:val="20"/>
          <w:szCs w:val="20"/>
        </w:rPr>
        <w:t xml:space="preserve">the plaintiff was a 20 year old Aboriginal man with an intellectual disability, Tourette’s syndrome, autism and schizophrenia who had been </w:t>
      </w:r>
      <w:r>
        <w:rPr>
          <w:rFonts w:ascii="Arial" w:hAnsi="Arial" w:cs="Arial"/>
          <w:sz w:val="20"/>
          <w:szCs w:val="20"/>
        </w:rPr>
        <w:t xml:space="preserve">arrested in relation to a serious assault that had occurred earlier that day and had been assessed as unfit to be interviewed by reason of mental impairment.  The plaintiff had contended that s.464T did not apply to authorise the taking of a buccal swab </w:t>
      </w:r>
      <w:r w:rsidR="00F45215">
        <w:rPr>
          <w:rFonts w:ascii="Arial" w:hAnsi="Arial" w:cs="Arial"/>
          <w:sz w:val="20"/>
          <w:szCs w:val="20"/>
        </w:rPr>
        <w:t xml:space="preserve">sample </w:t>
      </w:r>
      <w:r>
        <w:rPr>
          <w:rFonts w:ascii="Arial" w:hAnsi="Arial" w:cs="Arial"/>
          <w:sz w:val="20"/>
          <w:szCs w:val="20"/>
        </w:rPr>
        <w:t>by compulsory procedure if the person is incapable of giving informed consent by reason of mental impairment.  John Dixon J dismissed the application</w:t>
      </w:r>
      <w:r w:rsidR="00F45215">
        <w:rPr>
          <w:rFonts w:ascii="Arial" w:hAnsi="Arial" w:cs="Arial"/>
          <w:sz w:val="20"/>
          <w:szCs w:val="20"/>
        </w:rPr>
        <w:t>, holding that s.464T</w:t>
      </w:r>
      <w:r w:rsidR="008A7AD6">
        <w:rPr>
          <w:rFonts w:ascii="Arial" w:hAnsi="Arial" w:cs="Arial"/>
          <w:sz w:val="20"/>
        </w:rPr>
        <w:t>–</w:t>
      </w:r>
    </w:p>
    <w:p w14:paraId="746D81D9" w14:textId="63E449E9" w:rsidR="00727B80" w:rsidRDefault="00F45215" w:rsidP="00F45215">
      <w:pPr>
        <w:pStyle w:val="ListParagraph"/>
        <w:numPr>
          <w:ilvl w:val="0"/>
          <w:numId w:val="25"/>
        </w:numPr>
        <w:spacing w:line="247" w:lineRule="auto"/>
        <w:ind w:left="357" w:hanging="357"/>
        <w:jc w:val="both"/>
        <w:rPr>
          <w:rFonts w:ascii="Arial" w:hAnsi="Arial" w:cs="Arial"/>
          <w:sz w:val="20"/>
          <w:szCs w:val="20"/>
        </w:rPr>
      </w:pPr>
      <w:r w:rsidRPr="00F45215">
        <w:rPr>
          <w:rFonts w:ascii="Arial" w:hAnsi="Arial" w:cs="Arial"/>
          <w:sz w:val="20"/>
          <w:szCs w:val="20"/>
        </w:rPr>
        <w:t xml:space="preserve">did empower </w:t>
      </w:r>
      <w:r>
        <w:rPr>
          <w:rFonts w:ascii="Arial" w:hAnsi="Arial" w:cs="Arial"/>
          <w:sz w:val="20"/>
          <w:szCs w:val="20"/>
        </w:rPr>
        <w:t>t</w:t>
      </w:r>
      <w:r w:rsidRPr="00F45215">
        <w:rPr>
          <w:rFonts w:ascii="Arial" w:hAnsi="Arial" w:cs="Arial"/>
          <w:sz w:val="20"/>
          <w:szCs w:val="20"/>
        </w:rPr>
        <w:t>he magistrate to grant an order for the compulsory taking of a buccal swab sample from the plaintiff</w:t>
      </w:r>
      <w:r>
        <w:rPr>
          <w:rFonts w:ascii="Arial" w:hAnsi="Arial" w:cs="Arial"/>
          <w:sz w:val="20"/>
          <w:szCs w:val="20"/>
        </w:rPr>
        <w:t>; and</w:t>
      </w:r>
    </w:p>
    <w:p w14:paraId="47F45792" w14:textId="504016F3" w:rsidR="00F45215" w:rsidRPr="00F45215" w:rsidRDefault="00F45215" w:rsidP="001814D2">
      <w:pPr>
        <w:pStyle w:val="ListParagraph"/>
        <w:numPr>
          <w:ilvl w:val="0"/>
          <w:numId w:val="25"/>
        </w:numPr>
        <w:spacing w:after="0" w:line="240" w:lineRule="auto"/>
        <w:ind w:left="357" w:hanging="357"/>
        <w:jc w:val="both"/>
        <w:rPr>
          <w:rFonts w:ascii="Arial" w:hAnsi="Arial" w:cs="Arial"/>
          <w:sz w:val="18"/>
          <w:szCs w:val="18"/>
        </w:rPr>
      </w:pPr>
      <w:r w:rsidRPr="00F45215">
        <w:rPr>
          <w:rFonts w:ascii="Arial" w:hAnsi="Arial" w:cs="Arial"/>
          <w:sz w:val="20"/>
          <w:szCs w:val="20"/>
        </w:rPr>
        <w:t xml:space="preserve">even if it were relevant to consider whether the magistrate’s order was incompatible with the plaintiff’s human rights under the </w:t>
      </w:r>
      <w:r w:rsidRPr="00F45215">
        <w:rPr>
          <w:rFonts w:ascii="Arial" w:hAnsi="Arial" w:cs="Arial"/>
          <w:i/>
          <w:iCs/>
          <w:sz w:val="20"/>
          <w:szCs w:val="20"/>
        </w:rPr>
        <w:t>Charter</w:t>
      </w:r>
      <w:r w:rsidRPr="00F45215">
        <w:rPr>
          <w:rFonts w:ascii="Arial" w:hAnsi="Arial" w:cs="Arial"/>
          <w:sz w:val="20"/>
          <w:szCs w:val="20"/>
        </w:rPr>
        <w:t xml:space="preserve">, the order was clearly justified under s 7(2) of the </w:t>
      </w:r>
      <w:r w:rsidRPr="00F45215">
        <w:rPr>
          <w:rFonts w:ascii="Arial" w:hAnsi="Arial" w:cs="Arial"/>
          <w:i/>
          <w:iCs/>
          <w:sz w:val="20"/>
          <w:szCs w:val="20"/>
        </w:rPr>
        <w:t>Charter</w:t>
      </w:r>
      <w:r>
        <w:rPr>
          <w:rFonts w:ascii="Arial" w:hAnsi="Arial" w:cs="Arial"/>
          <w:sz w:val="20"/>
          <w:szCs w:val="20"/>
        </w:rPr>
        <w:t xml:space="preserve">: see </w:t>
      </w:r>
      <w:r w:rsidRPr="00F45215">
        <w:rPr>
          <w:rFonts w:ascii="Arial" w:hAnsi="Arial" w:cs="Arial"/>
          <w:i/>
          <w:iCs/>
          <w:sz w:val="20"/>
          <w:szCs w:val="20"/>
        </w:rPr>
        <w:t>Grooters v Chief Commissioner of Police (Vic)</w:t>
      </w:r>
      <w:r w:rsidRPr="00F45215">
        <w:rPr>
          <w:rFonts w:ascii="Arial" w:hAnsi="Arial" w:cs="Arial"/>
          <w:sz w:val="20"/>
          <w:szCs w:val="20"/>
        </w:rPr>
        <w:t xml:space="preserve"> (2021) 289 A Crim R 529, 545-6 [87]-[93]</w:t>
      </w:r>
      <w:r>
        <w:rPr>
          <w:rFonts w:ascii="Arial" w:hAnsi="Arial" w:cs="Arial"/>
          <w:sz w:val="20"/>
          <w:szCs w:val="20"/>
        </w:rPr>
        <w:t xml:space="preserve"> per Niall JA.</w:t>
      </w:r>
    </w:p>
    <w:p w14:paraId="3A9E86D9" w14:textId="0F89C9F3" w:rsidR="00727B80" w:rsidRDefault="00727B80" w:rsidP="001814D2">
      <w:pPr>
        <w:jc w:val="both"/>
        <w:rPr>
          <w:rFonts w:ascii="Arial" w:hAnsi="Arial" w:cs="Arial"/>
          <w:sz w:val="20"/>
        </w:rPr>
      </w:pPr>
    </w:p>
    <w:p w14:paraId="75520AB5" w14:textId="3CB4D20A" w:rsidR="00EE5134" w:rsidRDefault="00EE5134">
      <w:pPr>
        <w:pStyle w:val="Heading4"/>
        <w:spacing w:before="0"/>
        <w:rPr>
          <w:rFonts w:ascii="Arial" w:hAnsi="Arial" w:cs="Arial"/>
          <w:i w:val="0"/>
          <w:iCs/>
          <w:sz w:val="20"/>
        </w:rPr>
      </w:pPr>
      <w:bookmarkStart w:id="613" w:name="_8.4.3.4_Child_must"/>
      <w:bookmarkStart w:id="614" w:name="_Toc30757229"/>
      <w:bookmarkStart w:id="615" w:name="_Toc30757777"/>
      <w:bookmarkStart w:id="616" w:name="_Toc30758177"/>
      <w:bookmarkStart w:id="617" w:name="_Toc30762938"/>
      <w:bookmarkStart w:id="618" w:name="_Toc30767592"/>
      <w:bookmarkStart w:id="619" w:name="_Toc34823610"/>
      <w:bookmarkEnd w:id="613"/>
      <w:r>
        <w:rPr>
          <w:rFonts w:ascii="Arial" w:hAnsi="Arial" w:cs="Arial"/>
          <w:i w:val="0"/>
          <w:iCs/>
          <w:sz w:val="20"/>
        </w:rPr>
        <w:t>8.4.3.4</w:t>
      </w:r>
      <w:r>
        <w:rPr>
          <w:rFonts w:ascii="Arial" w:hAnsi="Arial" w:cs="Arial"/>
          <w:i w:val="0"/>
          <w:iCs/>
          <w:sz w:val="20"/>
        </w:rPr>
        <w:tab/>
        <w:t>Child must be present</w:t>
      </w:r>
      <w:bookmarkEnd w:id="614"/>
      <w:bookmarkEnd w:id="615"/>
      <w:bookmarkEnd w:id="616"/>
      <w:bookmarkEnd w:id="617"/>
      <w:bookmarkEnd w:id="618"/>
      <w:bookmarkEnd w:id="619"/>
      <w:r w:rsidR="00F551A4">
        <w:rPr>
          <w:rFonts w:ascii="Arial" w:hAnsi="Arial" w:cs="Arial"/>
          <w:i w:val="0"/>
          <w:iCs/>
          <w:sz w:val="20"/>
        </w:rPr>
        <w:t xml:space="preserve"> in court or appearing by audio visual link</w:t>
      </w:r>
    </w:p>
    <w:p w14:paraId="5A2FDEFE" w14:textId="4CA8484B" w:rsidR="007F192F" w:rsidRDefault="007F192F">
      <w:pPr>
        <w:jc w:val="both"/>
        <w:rPr>
          <w:rFonts w:ascii="Arial" w:hAnsi="Arial" w:cs="Arial"/>
          <w:sz w:val="20"/>
        </w:rPr>
      </w:pPr>
      <w:r>
        <w:rPr>
          <w:rFonts w:ascii="Arial" w:hAnsi="Arial" w:cs="Arial"/>
          <w:sz w:val="20"/>
        </w:rPr>
        <w:t>Section 464</w:t>
      </w:r>
      <w:proofErr w:type="gramStart"/>
      <w:r>
        <w:rPr>
          <w:rFonts w:ascii="Arial" w:hAnsi="Arial" w:cs="Arial"/>
          <w:sz w:val="20"/>
        </w:rPr>
        <w:t>U(</w:t>
      </w:r>
      <w:proofErr w:type="gramEnd"/>
      <w:r>
        <w:rPr>
          <w:rFonts w:ascii="Arial" w:hAnsi="Arial" w:cs="Arial"/>
          <w:sz w:val="20"/>
        </w:rPr>
        <w:t>11) provides that e</w:t>
      </w:r>
      <w:r w:rsidR="00EE5134">
        <w:rPr>
          <w:rFonts w:ascii="Arial" w:hAnsi="Arial" w:cs="Arial"/>
          <w:sz w:val="20"/>
        </w:rPr>
        <w:t>xcept in relation to an interim order made under s.464V</w:t>
      </w:r>
      <w:r>
        <w:rPr>
          <w:rFonts w:ascii="Arial" w:hAnsi="Arial" w:cs="Arial"/>
          <w:sz w:val="20"/>
        </w:rPr>
        <w:t>(5A)</w:t>
      </w:r>
      <w:r w:rsidR="00EE5134">
        <w:rPr>
          <w:rFonts w:ascii="Arial" w:hAnsi="Arial" w:cs="Arial"/>
          <w:sz w:val="20"/>
        </w:rPr>
        <w:t>, the Children's Court must not make an order under s.464U(7) unless</w:t>
      </w:r>
      <w:r>
        <w:rPr>
          <w:rFonts w:ascii="Arial" w:hAnsi="Arial" w:cs="Arial"/>
          <w:sz w:val="20"/>
        </w:rPr>
        <w:t>–</w:t>
      </w:r>
    </w:p>
    <w:p w14:paraId="1B5B1740" w14:textId="6EEA3D5C" w:rsidR="007F192F" w:rsidRDefault="00EE5134" w:rsidP="007F192F">
      <w:pPr>
        <w:pStyle w:val="ListParagraph"/>
        <w:numPr>
          <w:ilvl w:val="0"/>
          <w:numId w:val="45"/>
        </w:numPr>
        <w:spacing w:line="247" w:lineRule="auto"/>
        <w:ind w:left="357" w:hanging="357"/>
        <w:jc w:val="both"/>
        <w:rPr>
          <w:rFonts w:ascii="Arial" w:hAnsi="Arial" w:cs="Arial"/>
          <w:sz w:val="20"/>
        </w:rPr>
      </w:pPr>
      <w:r w:rsidRPr="007F192F">
        <w:rPr>
          <w:rFonts w:ascii="Arial" w:hAnsi="Arial" w:cs="Arial"/>
          <w:sz w:val="20"/>
        </w:rPr>
        <w:t xml:space="preserve">the child is present </w:t>
      </w:r>
      <w:r w:rsidR="00D4729E" w:rsidRPr="007F192F">
        <w:rPr>
          <w:rFonts w:ascii="Arial" w:hAnsi="Arial" w:cs="Arial"/>
          <w:sz w:val="20"/>
        </w:rPr>
        <w:t>in court</w:t>
      </w:r>
      <w:r w:rsidR="007F192F">
        <w:rPr>
          <w:rFonts w:ascii="Arial" w:hAnsi="Arial" w:cs="Arial"/>
          <w:sz w:val="20"/>
        </w:rPr>
        <w:t>; or</w:t>
      </w:r>
    </w:p>
    <w:p w14:paraId="54D00733" w14:textId="5E357E4A" w:rsidR="001F3465" w:rsidRPr="007F192F" w:rsidRDefault="007F192F" w:rsidP="007F192F">
      <w:pPr>
        <w:pStyle w:val="ListParagraph"/>
        <w:numPr>
          <w:ilvl w:val="0"/>
          <w:numId w:val="45"/>
        </w:numPr>
        <w:spacing w:after="0" w:line="240" w:lineRule="auto"/>
        <w:ind w:left="357" w:hanging="357"/>
        <w:jc w:val="both"/>
        <w:rPr>
          <w:rFonts w:ascii="Arial" w:hAnsi="Arial" w:cs="Arial"/>
          <w:sz w:val="20"/>
        </w:rPr>
      </w:pPr>
      <w:r>
        <w:rPr>
          <w:rFonts w:ascii="Arial" w:hAnsi="Arial" w:cs="Arial"/>
          <w:sz w:val="20"/>
        </w:rPr>
        <w:t>the court directs that the child is permitted to appear by audio visual link and the child does so appear.</w:t>
      </w:r>
    </w:p>
    <w:p w14:paraId="345597BD" w14:textId="77777777" w:rsidR="007F192F" w:rsidRDefault="007F192F">
      <w:pPr>
        <w:jc w:val="both"/>
        <w:rPr>
          <w:rFonts w:ascii="Arial" w:hAnsi="Arial" w:cs="Arial"/>
          <w:sz w:val="20"/>
        </w:rPr>
      </w:pPr>
    </w:p>
    <w:p w14:paraId="09A20B8A" w14:textId="77777777" w:rsidR="00EE5134" w:rsidRDefault="00EE5134">
      <w:pPr>
        <w:pStyle w:val="Heading4"/>
        <w:spacing w:before="0"/>
        <w:rPr>
          <w:rFonts w:ascii="Arial" w:hAnsi="Arial" w:cs="Arial"/>
          <w:i w:val="0"/>
          <w:iCs/>
          <w:sz w:val="20"/>
        </w:rPr>
      </w:pPr>
      <w:bookmarkStart w:id="620" w:name="_8.4.3.5_Warrant_to"/>
      <w:bookmarkStart w:id="621" w:name="_Toc30757230"/>
      <w:bookmarkStart w:id="622" w:name="_Toc30757778"/>
      <w:bookmarkStart w:id="623" w:name="_Toc30758178"/>
      <w:bookmarkStart w:id="624" w:name="_Toc30762939"/>
      <w:bookmarkStart w:id="625" w:name="_Toc30767593"/>
      <w:bookmarkStart w:id="626" w:name="_Toc34823611"/>
      <w:bookmarkEnd w:id="620"/>
      <w:r>
        <w:rPr>
          <w:rFonts w:ascii="Arial" w:hAnsi="Arial" w:cs="Arial"/>
          <w:i w:val="0"/>
          <w:iCs/>
          <w:sz w:val="20"/>
        </w:rPr>
        <w:t>8.4.3.5</w:t>
      </w:r>
      <w:r>
        <w:rPr>
          <w:rFonts w:ascii="Arial" w:hAnsi="Arial" w:cs="Arial"/>
          <w:i w:val="0"/>
          <w:iCs/>
          <w:sz w:val="20"/>
        </w:rPr>
        <w:tab/>
        <w:t>Warrant to arrest for application for compulsory procedure</w:t>
      </w:r>
      <w:bookmarkEnd w:id="621"/>
      <w:bookmarkEnd w:id="622"/>
      <w:bookmarkEnd w:id="623"/>
      <w:bookmarkEnd w:id="624"/>
      <w:bookmarkEnd w:id="625"/>
      <w:bookmarkEnd w:id="626"/>
    </w:p>
    <w:p w14:paraId="28A1628F" w14:textId="77777777" w:rsidR="00EE5134" w:rsidRDefault="00EE5134">
      <w:pPr>
        <w:jc w:val="both"/>
        <w:rPr>
          <w:rFonts w:ascii="Arial" w:hAnsi="Arial" w:cs="Arial"/>
          <w:sz w:val="20"/>
        </w:rPr>
      </w:pPr>
      <w:r>
        <w:rPr>
          <w:rFonts w:ascii="Arial" w:hAnsi="Arial" w:cs="Arial"/>
          <w:sz w:val="20"/>
        </w:rPr>
        <w:t>Section 464X(1) empowers the Court to issue a warrant to arrest a child the subject of an application under ss.464U(3) or 464V(2) and bring the child before the Court for the hearing of the application for an order directing the child to undergo a compulsory procedure.</w:t>
      </w:r>
    </w:p>
    <w:p w14:paraId="524ECEFB" w14:textId="77777777" w:rsidR="00EE5134" w:rsidRDefault="00EE5134">
      <w:pPr>
        <w:jc w:val="both"/>
        <w:rPr>
          <w:rFonts w:ascii="Arial" w:hAnsi="Arial" w:cs="Arial"/>
          <w:sz w:val="20"/>
        </w:rPr>
      </w:pPr>
    </w:p>
    <w:p w14:paraId="34675484" w14:textId="77777777" w:rsidR="00EE5134" w:rsidRDefault="00EE5134">
      <w:pPr>
        <w:pStyle w:val="Heading4"/>
        <w:spacing w:before="0"/>
        <w:rPr>
          <w:rFonts w:ascii="Arial" w:hAnsi="Arial" w:cs="Arial"/>
          <w:i w:val="0"/>
          <w:iCs/>
          <w:sz w:val="20"/>
        </w:rPr>
      </w:pPr>
      <w:bookmarkStart w:id="627" w:name="_8.4.3.6_Mandatory_reasons"/>
      <w:bookmarkStart w:id="628" w:name="_Toc30757231"/>
      <w:bookmarkStart w:id="629" w:name="_Toc30757779"/>
      <w:bookmarkStart w:id="630" w:name="_Toc30758179"/>
      <w:bookmarkStart w:id="631" w:name="_Toc30762940"/>
      <w:bookmarkStart w:id="632" w:name="_Toc30767594"/>
      <w:bookmarkStart w:id="633" w:name="_Toc34823612"/>
      <w:bookmarkEnd w:id="627"/>
      <w:r>
        <w:rPr>
          <w:rFonts w:ascii="Arial" w:hAnsi="Arial" w:cs="Arial"/>
          <w:i w:val="0"/>
          <w:iCs/>
          <w:sz w:val="20"/>
        </w:rPr>
        <w:t>8.4.3.6</w:t>
      </w:r>
      <w:r>
        <w:rPr>
          <w:rFonts w:ascii="Arial" w:hAnsi="Arial" w:cs="Arial"/>
          <w:i w:val="0"/>
          <w:iCs/>
          <w:sz w:val="20"/>
        </w:rPr>
        <w:tab/>
        <w:t>Mandatory reasons &amp; explanation</w:t>
      </w:r>
      <w:bookmarkEnd w:id="628"/>
      <w:bookmarkEnd w:id="629"/>
      <w:bookmarkEnd w:id="630"/>
      <w:bookmarkEnd w:id="631"/>
      <w:bookmarkEnd w:id="632"/>
      <w:bookmarkEnd w:id="633"/>
    </w:p>
    <w:p w14:paraId="7B2223EA" w14:textId="549A1A59" w:rsidR="00EE5134" w:rsidRDefault="00EE5134" w:rsidP="00BC0127">
      <w:pPr>
        <w:keepNext/>
        <w:keepLines/>
        <w:jc w:val="both"/>
        <w:rPr>
          <w:rFonts w:ascii="Arial" w:hAnsi="Arial" w:cs="Arial"/>
          <w:sz w:val="20"/>
        </w:rPr>
      </w:pPr>
      <w:r>
        <w:rPr>
          <w:rFonts w:ascii="Arial" w:hAnsi="Arial" w:cs="Arial"/>
          <w:sz w:val="20"/>
        </w:rPr>
        <w:t>Section 464U(9) requires a court making an order under s.464U(7) to</w:t>
      </w:r>
      <w:r w:rsidR="008A7AD6">
        <w:rPr>
          <w:rFonts w:ascii="Arial" w:hAnsi="Arial" w:cs="Arial"/>
          <w:sz w:val="20"/>
        </w:rPr>
        <w:t>–</w:t>
      </w:r>
    </w:p>
    <w:p w14:paraId="67C8D1A6"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give reasons for its decision; and</w:t>
      </w:r>
    </w:p>
    <w:p w14:paraId="1E1FC112"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state the evidence on which it is satisfied of the matters referred to in s.464U(7);</w:t>
      </w:r>
    </w:p>
    <w:p w14:paraId="433E9B5E" w14:textId="77777777" w:rsidR="00EE5134" w:rsidRDefault="00EE5134">
      <w:pPr>
        <w:ind w:left="363" w:hanging="363"/>
        <w:jc w:val="both"/>
        <w:rPr>
          <w:rFonts w:ascii="Arial" w:hAnsi="Arial" w:cs="Arial"/>
          <w:sz w:val="20"/>
        </w:rPr>
      </w:pPr>
      <w:r>
        <w:rPr>
          <w:rFonts w:ascii="Arial" w:hAnsi="Arial" w:cs="Arial"/>
          <w:sz w:val="20"/>
        </w:rPr>
        <w:t>(c)</w:t>
      </w:r>
      <w:r>
        <w:rPr>
          <w:rFonts w:ascii="Arial" w:hAnsi="Arial" w:cs="Arial"/>
          <w:sz w:val="20"/>
        </w:rPr>
        <w:tab/>
        <w:t>cause a note of the reasons to be entered in the records of the Court; and</w:t>
      </w:r>
    </w:p>
    <w:p w14:paraId="53DB3818" w14:textId="77777777" w:rsidR="00EE5134" w:rsidRDefault="00EE5134">
      <w:pPr>
        <w:ind w:left="363" w:hanging="363"/>
        <w:jc w:val="both"/>
        <w:rPr>
          <w:rFonts w:ascii="Arial" w:hAnsi="Arial" w:cs="Arial"/>
          <w:sz w:val="20"/>
        </w:rPr>
      </w:pPr>
      <w:r>
        <w:rPr>
          <w:rFonts w:ascii="Arial" w:hAnsi="Arial" w:cs="Arial"/>
          <w:sz w:val="20"/>
        </w:rPr>
        <w:t>(d)</w:t>
      </w:r>
      <w:r>
        <w:rPr>
          <w:rFonts w:ascii="Arial" w:hAnsi="Arial" w:cs="Arial"/>
          <w:sz w:val="20"/>
        </w:rPr>
        <w:tab/>
        <w:t>inform the child that a member of the police force may use reasonable force to enable the procedure to be conducted.</w:t>
      </w:r>
    </w:p>
    <w:p w14:paraId="1C03CD7C" w14:textId="77777777" w:rsidR="00EE5134" w:rsidRDefault="00EE5134">
      <w:pPr>
        <w:jc w:val="both"/>
        <w:rPr>
          <w:rFonts w:ascii="Arial" w:hAnsi="Arial" w:cs="Arial"/>
          <w:sz w:val="20"/>
        </w:rPr>
      </w:pPr>
    </w:p>
    <w:p w14:paraId="58EEBC93" w14:textId="6F182175" w:rsidR="00EE5134" w:rsidRDefault="00EE5134">
      <w:pPr>
        <w:jc w:val="both"/>
        <w:rPr>
          <w:rFonts w:ascii="Arial" w:hAnsi="Arial" w:cs="Arial"/>
          <w:sz w:val="20"/>
        </w:rPr>
      </w:pPr>
      <w:r>
        <w:rPr>
          <w:rFonts w:ascii="Arial" w:hAnsi="Arial" w:cs="Arial"/>
          <w:sz w:val="20"/>
        </w:rPr>
        <w:t>Section 464X(2) provides that if the Court issues a warrant under s.464X(1), it must</w:t>
      </w:r>
      <w:r w:rsidR="008A7AD6">
        <w:rPr>
          <w:rFonts w:ascii="Arial" w:hAnsi="Arial" w:cs="Arial"/>
          <w:sz w:val="20"/>
        </w:rPr>
        <w:t>–</w:t>
      </w:r>
    </w:p>
    <w:p w14:paraId="59C54BE3"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give reasons for its decision; and</w:t>
      </w:r>
    </w:p>
    <w:p w14:paraId="00FD204E"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cause a note of the reasons to be entered in the records of the Court.</w:t>
      </w:r>
    </w:p>
    <w:p w14:paraId="09CD05D7" w14:textId="77777777" w:rsidR="00EE5134" w:rsidRDefault="00EE5134">
      <w:pPr>
        <w:jc w:val="both"/>
        <w:rPr>
          <w:rFonts w:ascii="Arial" w:hAnsi="Arial" w:cs="Arial"/>
          <w:sz w:val="20"/>
        </w:rPr>
      </w:pPr>
    </w:p>
    <w:p w14:paraId="1965B0BF" w14:textId="77777777" w:rsidR="00EE5134" w:rsidRDefault="00EE5134">
      <w:pPr>
        <w:pStyle w:val="Heading4"/>
        <w:spacing w:before="0"/>
        <w:rPr>
          <w:rFonts w:ascii="Arial" w:hAnsi="Arial" w:cs="Arial"/>
          <w:i w:val="0"/>
          <w:iCs/>
          <w:sz w:val="20"/>
        </w:rPr>
      </w:pPr>
      <w:bookmarkStart w:id="634" w:name="_8.4.3.7_Application_for"/>
      <w:bookmarkStart w:id="635" w:name="_Toc30757232"/>
      <w:bookmarkStart w:id="636" w:name="_Toc30757780"/>
      <w:bookmarkStart w:id="637" w:name="_Toc30758180"/>
      <w:bookmarkStart w:id="638" w:name="_Toc30762941"/>
      <w:bookmarkStart w:id="639" w:name="_Toc30767595"/>
      <w:bookmarkStart w:id="640" w:name="_Toc34823613"/>
      <w:bookmarkEnd w:id="634"/>
      <w:r>
        <w:rPr>
          <w:rFonts w:ascii="Arial" w:hAnsi="Arial" w:cs="Arial"/>
          <w:i w:val="0"/>
          <w:iCs/>
          <w:sz w:val="20"/>
        </w:rPr>
        <w:t>8.4.3.7</w:t>
      </w:r>
      <w:r>
        <w:rPr>
          <w:rFonts w:ascii="Arial" w:hAnsi="Arial" w:cs="Arial"/>
          <w:i w:val="0"/>
          <w:iCs/>
          <w:sz w:val="20"/>
        </w:rPr>
        <w:tab/>
        <w:t>Application for interim order for compulsory procedure</w:t>
      </w:r>
      <w:bookmarkEnd w:id="635"/>
      <w:bookmarkEnd w:id="636"/>
      <w:bookmarkEnd w:id="637"/>
      <w:bookmarkEnd w:id="638"/>
      <w:bookmarkEnd w:id="639"/>
      <w:bookmarkEnd w:id="640"/>
    </w:p>
    <w:p w14:paraId="6D3A51BC" w14:textId="77777777" w:rsidR="00EE5134" w:rsidRDefault="00EE5134">
      <w:pPr>
        <w:jc w:val="both"/>
        <w:rPr>
          <w:rFonts w:ascii="Arial" w:hAnsi="Arial" w:cs="Arial"/>
          <w:sz w:val="20"/>
        </w:rPr>
      </w:pPr>
      <w:r>
        <w:rPr>
          <w:rFonts w:ascii="Arial" w:hAnsi="Arial" w:cs="Arial"/>
          <w:sz w:val="20"/>
        </w:rPr>
        <w:t>Section 464V(2) permits a member of the police force to apply, with or without notice to any other person, for an interim order directing a person to undergo a compulsory procedure (other than the taking of a blood sample), if the member believes on reasonable grounds that the sample or evidence sought to be obtained by the compulsory procedure is likely to be lost if the procedure is delayed until the final determination of the application.</w:t>
      </w:r>
    </w:p>
    <w:p w14:paraId="715E8048" w14:textId="77777777" w:rsidR="00EE5134" w:rsidRDefault="00EE5134">
      <w:pPr>
        <w:jc w:val="both"/>
        <w:rPr>
          <w:rFonts w:ascii="Arial" w:hAnsi="Arial" w:cs="Arial"/>
          <w:sz w:val="20"/>
        </w:rPr>
      </w:pPr>
    </w:p>
    <w:p w14:paraId="516C50CD" w14:textId="77777777" w:rsidR="00EE5134" w:rsidRDefault="00EE5134">
      <w:pPr>
        <w:jc w:val="both"/>
        <w:rPr>
          <w:rFonts w:ascii="Arial" w:hAnsi="Arial" w:cs="Arial"/>
          <w:sz w:val="20"/>
        </w:rPr>
      </w:pPr>
      <w:r>
        <w:rPr>
          <w:rFonts w:ascii="Arial" w:hAnsi="Arial" w:cs="Arial"/>
          <w:sz w:val="20"/>
        </w:rPr>
        <w:t xml:space="preserve">Section 464V(4) permits a member of the police force to apply for an interim order by telephone in accordance with the procedure set out in s.464W if he or she believes on reasonable grounds- </w:t>
      </w:r>
    </w:p>
    <w:p w14:paraId="4364B20C" w14:textId="77777777" w:rsidR="006805B9" w:rsidRDefault="00EE5134" w:rsidP="006805B9">
      <w:pPr>
        <w:ind w:left="363" w:hanging="363"/>
        <w:jc w:val="both"/>
        <w:rPr>
          <w:rFonts w:ascii="Arial" w:hAnsi="Arial" w:cs="Arial"/>
          <w:sz w:val="20"/>
        </w:rPr>
      </w:pPr>
      <w:r>
        <w:rPr>
          <w:rFonts w:ascii="Arial" w:hAnsi="Arial" w:cs="Arial"/>
          <w:sz w:val="20"/>
        </w:rPr>
        <w:t>(a)</w:t>
      </w:r>
      <w:r>
        <w:rPr>
          <w:rFonts w:ascii="Arial" w:hAnsi="Arial" w:cs="Arial"/>
          <w:sz w:val="20"/>
        </w:rPr>
        <w:tab/>
        <w:t>that it is necessary to obtain an interim order; and</w:t>
      </w:r>
    </w:p>
    <w:p w14:paraId="090F4D94"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that the sample or evidence sought to be obtained by the compulsory procedure is likely to be lost if the making of an application for an interim order is delayed until the time when the application could be made in person.</w:t>
      </w:r>
    </w:p>
    <w:p w14:paraId="2B1FEABA" w14:textId="77777777" w:rsidR="00EE5134" w:rsidRDefault="00EE5134">
      <w:pPr>
        <w:jc w:val="both"/>
        <w:rPr>
          <w:rFonts w:ascii="Arial" w:hAnsi="Arial" w:cs="Arial"/>
          <w:sz w:val="20"/>
        </w:rPr>
      </w:pPr>
    </w:p>
    <w:p w14:paraId="027CB1BF" w14:textId="77777777" w:rsidR="00EE5134" w:rsidRDefault="00EE5134">
      <w:pPr>
        <w:pStyle w:val="Heading4"/>
        <w:spacing w:before="0"/>
        <w:rPr>
          <w:rFonts w:ascii="Arial" w:hAnsi="Arial" w:cs="Arial"/>
          <w:i w:val="0"/>
          <w:iCs/>
          <w:sz w:val="20"/>
        </w:rPr>
      </w:pPr>
      <w:bookmarkStart w:id="641" w:name="_8.4.3.8_Interim_order"/>
      <w:bookmarkStart w:id="642" w:name="_Toc30757233"/>
      <w:bookmarkStart w:id="643" w:name="_Toc30757781"/>
      <w:bookmarkStart w:id="644" w:name="_Toc30758181"/>
      <w:bookmarkStart w:id="645" w:name="_Toc30762942"/>
      <w:bookmarkStart w:id="646" w:name="_Toc30767596"/>
      <w:bookmarkStart w:id="647" w:name="_Toc34823614"/>
      <w:bookmarkEnd w:id="641"/>
      <w:r>
        <w:rPr>
          <w:rFonts w:ascii="Arial" w:hAnsi="Arial" w:cs="Arial"/>
          <w:i w:val="0"/>
          <w:iCs/>
          <w:sz w:val="20"/>
        </w:rPr>
        <w:t>8.4.3.8</w:t>
      </w:r>
      <w:r>
        <w:rPr>
          <w:rFonts w:ascii="Arial" w:hAnsi="Arial" w:cs="Arial"/>
          <w:i w:val="0"/>
          <w:iCs/>
          <w:sz w:val="20"/>
        </w:rPr>
        <w:tab/>
        <w:t>Interim order for compulsory procedure</w:t>
      </w:r>
      <w:bookmarkEnd w:id="642"/>
      <w:bookmarkEnd w:id="643"/>
      <w:bookmarkEnd w:id="644"/>
      <w:bookmarkEnd w:id="645"/>
      <w:bookmarkEnd w:id="646"/>
      <w:bookmarkEnd w:id="647"/>
    </w:p>
    <w:p w14:paraId="04BBAD81" w14:textId="3F66ACEE" w:rsidR="00EE5134" w:rsidRDefault="00EE5134">
      <w:pPr>
        <w:jc w:val="both"/>
        <w:rPr>
          <w:rFonts w:ascii="Arial" w:hAnsi="Arial" w:cs="Arial"/>
          <w:sz w:val="20"/>
        </w:rPr>
      </w:pPr>
      <w:r>
        <w:rPr>
          <w:rFonts w:ascii="Arial" w:hAnsi="Arial" w:cs="Arial"/>
          <w:sz w:val="20"/>
        </w:rPr>
        <w:t>Section 464V(5) provides that the Children's Court may make an interim order directing a child to undergo a compulsory procedure if</w:t>
      </w:r>
      <w:r w:rsidR="008A7AD6">
        <w:rPr>
          <w:rFonts w:ascii="Arial" w:hAnsi="Arial" w:cs="Arial"/>
          <w:sz w:val="20"/>
        </w:rPr>
        <w:t>–</w:t>
      </w:r>
    </w:p>
    <w:p w14:paraId="2EFBDB6C"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the Court is satisfied that the sample or evidence sought is likely to be lost if the procedure is delayed until the final determination of the application; and</w:t>
      </w:r>
    </w:p>
    <w:p w14:paraId="0F1D997E"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on the evidence, whether sworn or unsworn, before it at the time, it appears to the Court that there may be sufficient evidence to satisfy it of all of the matters in s.464U(7); and</w:t>
      </w:r>
    </w:p>
    <w:p w14:paraId="7D962424" w14:textId="77777777" w:rsidR="00EE5134" w:rsidRDefault="00EE5134">
      <w:pPr>
        <w:ind w:left="363" w:hanging="363"/>
        <w:jc w:val="both"/>
        <w:rPr>
          <w:rFonts w:ascii="Arial" w:hAnsi="Arial" w:cs="Arial"/>
          <w:sz w:val="20"/>
        </w:rPr>
      </w:pPr>
      <w:r>
        <w:rPr>
          <w:rFonts w:ascii="Arial" w:hAnsi="Arial" w:cs="Arial"/>
          <w:sz w:val="20"/>
        </w:rPr>
        <w:lastRenderedPageBreak/>
        <w:t>(c)</w:t>
      </w:r>
      <w:r>
        <w:rPr>
          <w:rFonts w:ascii="Arial" w:hAnsi="Arial" w:cs="Arial"/>
          <w:sz w:val="20"/>
        </w:rPr>
        <w:tab/>
        <w:t>on an application by telephone, the Court is satisfied that the sample or evidence sought is likely to be lost if the making of the application is delayed until the time when the application could be made in person.</w:t>
      </w:r>
    </w:p>
    <w:p w14:paraId="03F56577" w14:textId="77777777" w:rsidR="00EE5134" w:rsidRDefault="00EE5134">
      <w:pPr>
        <w:jc w:val="both"/>
        <w:rPr>
          <w:rFonts w:ascii="Arial" w:hAnsi="Arial" w:cs="Arial"/>
          <w:sz w:val="20"/>
        </w:rPr>
      </w:pPr>
    </w:p>
    <w:p w14:paraId="08F0523A" w14:textId="2968461D" w:rsidR="00CF0594" w:rsidRDefault="00CF0594">
      <w:pPr>
        <w:jc w:val="both"/>
        <w:rPr>
          <w:rFonts w:ascii="Arial" w:hAnsi="Arial" w:cs="Arial"/>
          <w:sz w:val="20"/>
        </w:rPr>
      </w:pPr>
      <w:r>
        <w:rPr>
          <w:rFonts w:ascii="Arial" w:hAnsi="Arial" w:cs="Arial"/>
          <w:sz w:val="20"/>
        </w:rPr>
        <w:t>Section 464V(5A) provides that the court may make the interim order [under s.464V(5)] in the absence of the person whom the order directs to undergo a procedure.</w:t>
      </w:r>
    </w:p>
    <w:p w14:paraId="3D55A9E7" w14:textId="77777777" w:rsidR="00CF0594" w:rsidRDefault="00CF0594">
      <w:pPr>
        <w:jc w:val="both"/>
        <w:rPr>
          <w:rFonts w:ascii="Arial" w:hAnsi="Arial" w:cs="Arial"/>
          <w:sz w:val="20"/>
        </w:rPr>
      </w:pPr>
    </w:p>
    <w:p w14:paraId="78424325" w14:textId="468D9DCE" w:rsidR="00EE5134" w:rsidRDefault="00EE5134" w:rsidP="007474AF">
      <w:pPr>
        <w:keepNext/>
        <w:keepLines/>
        <w:jc w:val="both"/>
        <w:rPr>
          <w:rFonts w:ascii="Arial" w:hAnsi="Arial" w:cs="Arial"/>
          <w:sz w:val="20"/>
        </w:rPr>
      </w:pPr>
      <w:r>
        <w:rPr>
          <w:rFonts w:ascii="Arial" w:hAnsi="Arial" w:cs="Arial"/>
          <w:sz w:val="20"/>
        </w:rPr>
        <w:t>Section 464</w:t>
      </w:r>
      <w:proofErr w:type="gramStart"/>
      <w:r>
        <w:rPr>
          <w:rFonts w:ascii="Arial" w:hAnsi="Arial" w:cs="Arial"/>
          <w:sz w:val="20"/>
        </w:rPr>
        <w:t>V(</w:t>
      </w:r>
      <w:proofErr w:type="gramEnd"/>
      <w:r>
        <w:rPr>
          <w:rFonts w:ascii="Arial" w:hAnsi="Arial" w:cs="Arial"/>
          <w:sz w:val="20"/>
        </w:rPr>
        <w:t>6) provides that if the C</w:t>
      </w:r>
      <w:r w:rsidR="00A7044B">
        <w:rPr>
          <w:rFonts w:ascii="Arial" w:hAnsi="Arial" w:cs="Arial"/>
          <w:sz w:val="20"/>
        </w:rPr>
        <w:t>hildren’s C</w:t>
      </w:r>
      <w:r>
        <w:rPr>
          <w:rFonts w:ascii="Arial" w:hAnsi="Arial" w:cs="Arial"/>
          <w:sz w:val="20"/>
        </w:rPr>
        <w:t>ourt makes an interim order</w:t>
      </w:r>
      <w:r w:rsidR="008A7AD6">
        <w:rPr>
          <w:rFonts w:ascii="Arial" w:hAnsi="Arial" w:cs="Arial"/>
          <w:sz w:val="20"/>
        </w:rPr>
        <w:t>–</w:t>
      </w:r>
    </w:p>
    <w:p w14:paraId="2116D622" w14:textId="77777777" w:rsidR="00EE5134" w:rsidRDefault="00EE5134" w:rsidP="00E35AA4">
      <w:pPr>
        <w:numPr>
          <w:ilvl w:val="0"/>
          <w:numId w:val="10"/>
        </w:numPr>
        <w:ind w:left="363" w:hanging="363"/>
        <w:jc w:val="both"/>
        <w:rPr>
          <w:rFonts w:ascii="Arial" w:hAnsi="Arial" w:cs="Arial"/>
          <w:sz w:val="20"/>
        </w:rPr>
      </w:pPr>
      <w:r>
        <w:rPr>
          <w:rFonts w:ascii="Arial" w:hAnsi="Arial" w:cs="Arial"/>
          <w:sz w:val="20"/>
        </w:rPr>
        <w:t>it must adjourn the further hearing of the application to enable the compulsory procedure to be conducted;</w:t>
      </w:r>
    </w:p>
    <w:p w14:paraId="184C3DB0" w14:textId="44672A15" w:rsidR="00EE5134" w:rsidRPr="00CF0594" w:rsidRDefault="00EE5134" w:rsidP="00CF0594">
      <w:pPr>
        <w:numPr>
          <w:ilvl w:val="0"/>
          <w:numId w:val="10"/>
        </w:numPr>
        <w:ind w:left="363" w:hanging="363"/>
        <w:jc w:val="both"/>
        <w:rPr>
          <w:rFonts w:ascii="Arial" w:hAnsi="Arial" w:cs="Arial"/>
          <w:sz w:val="20"/>
        </w:rPr>
      </w:pPr>
      <w:r>
        <w:rPr>
          <w:rFonts w:ascii="Arial" w:hAnsi="Arial" w:cs="Arial"/>
          <w:sz w:val="20"/>
        </w:rPr>
        <w:t>s.464U applies to the further hearing which must not be conducted by telephone</w:t>
      </w:r>
      <w:r w:rsidR="00CF0594">
        <w:rPr>
          <w:rFonts w:ascii="Arial" w:hAnsi="Arial" w:cs="Arial"/>
          <w:sz w:val="20"/>
        </w:rPr>
        <w:t>.</w:t>
      </w:r>
    </w:p>
    <w:p w14:paraId="3FE73EF6" w14:textId="77777777" w:rsidR="00EE5134" w:rsidRDefault="00EE5134">
      <w:pPr>
        <w:jc w:val="both"/>
        <w:rPr>
          <w:rFonts w:ascii="Arial" w:hAnsi="Arial" w:cs="Arial"/>
          <w:sz w:val="20"/>
        </w:rPr>
      </w:pPr>
    </w:p>
    <w:p w14:paraId="25673BC9" w14:textId="370AB88D" w:rsidR="00EE5134" w:rsidRDefault="00EE5134">
      <w:pPr>
        <w:jc w:val="both"/>
        <w:rPr>
          <w:rFonts w:ascii="Arial" w:hAnsi="Arial" w:cs="Arial"/>
          <w:sz w:val="20"/>
        </w:rPr>
      </w:pPr>
      <w:r>
        <w:rPr>
          <w:rFonts w:ascii="Arial" w:hAnsi="Arial" w:cs="Arial"/>
          <w:sz w:val="20"/>
        </w:rPr>
        <w:t>On the further hearing s.464V(7) provides that</w:t>
      </w:r>
      <w:r w:rsidR="008A7AD6">
        <w:rPr>
          <w:rFonts w:ascii="Arial" w:hAnsi="Arial" w:cs="Arial"/>
          <w:sz w:val="20"/>
        </w:rPr>
        <w:t>–</w:t>
      </w:r>
    </w:p>
    <w:p w14:paraId="046D4E63" w14:textId="77777777" w:rsidR="006805B9" w:rsidRDefault="00EE5134" w:rsidP="006805B9">
      <w:pPr>
        <w:ind w:left="363" w:hanging="363"/>
        <w:jc w:val="both"/>
        <w:rPr>
          <w:rFonts w:ascii="Arial" w:hAnsi="Arial" w:cs="Arial"/>
          <w:sz w:val="20"/>
        </w:rPr>
      </w:pPr>
      <w:r>
        <w:rPr>
          <w:rFonts w:ascii="Arial" w:hAnsi="Arial" w:cs="Arial"/>
          <w:sz w:val="20"/>
        </w:rPr>
        <w:t>(a)</w:t>
      </w:r>
      <w:r>
        <w:rPr>
          <w:rFonts w:ascii="Arial" w:hAnsi="Arial" w:cs="Arial"/>
          <w:sz w:val="20"/>
        </w:rPr>
        <w:tab/>
        <w:t>if the Court is satisfied of the matters set out in s.464U(7), it must confirm the interim order; or</w:t>
      </w:r>
    </w:p>
    <w:p w14:paraId="7064E090"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if it is not so satisfied, it must order the destruction of any sample taken and any other evidence obtained as a result of the compulsory procedure.</w:t>
      </w:r>
    </w:p>
    <w:p w14:paraId="6907E1C8" w14:textId="77777777" w:rsidR="00EE5134" w:rsidRDefault="00EE5134">
      <w:pPr>
        <w:jc w:val="both"/>
        <w:rPr>
          <w:rFonts w:ascii="Arial" w:hAnsi="Arial" w:cs="Arial"/>
          <w:sz w:val="20"/>
        </w:rPr>
      </w:pPr>
    </w:p>
    <w:p w14:paraId="6E6D9E07" w14:textId="77777777" w:rsidR="00EE5134" w:rsidRDefault="00EE5134">
      <w:pPr>
        <w:pStyle w:val="Heading4"/>
        <w:spacing w:before="0"/>
        <w:rPr>
          <w:rFonts w:ascii="Arial" w:hAnsi="Arial" w:cs="Arial"/>
          <w:i w:val="0"/>
          <w:iCs/>
          <w:sz w:val="20"/>
        </w:rPr>
      </w:pPr>
      <w:bookmarkStart w:id="648" w:name="_8.4.3.9_Conduct_of"/>
      <w:bookmarkStart w:id="649" w:name="_Toc30757234"/>
      <w:bookmarkStart w:id="650" w:name="_Toc30757782"/>
      <w:bookmarkStart w:id="651" w:name="_Toc30758182"/>
      <w:bookmarkStart w:id="652" w:name="_Toc30762943"/>
      <w:bookmarkStart w:id="653" w:name="_Toc30767597"/>
      <w:bookmarkStart w:id="654" w:name="_Toc34823615"/>
      <w:bookmarkEnd w:id="648"/>
      <w:r>
        <w:rPr>
          <w:rFonts w:ascii="Arial" w:hAnsi="Arial" w:cs="Arial"/>
          <w:i w:val="0"/>
          <w:iCs/>
          <w:sz w:val="20"/>
        </w:rPr>
        <w:t>8.4.3.9</w:t>
      </w:r>
      <w:r>
        <w:rPr>
          <w:rFonts w:ascii="Arial" w:hAnsi="Arial" w:cs="Arial"/>
          <w:i w:val="0"/>
          <w:iCs/>
          <w:sz w:val="20"/>
        </w:rPr>
        <w:tab/>
        <w:t>Conduct of forensic procedure or compulsory procedure</w:t>
      </w:r>
      <w:bookmarkEnd w:id="649"/>
      <w:bookmarkEnd w:id="650"/>
      <w:bookmarkEnd w:id="651"/>
      <w:bookmarkEnd w:id="652"/>
      <w:bookmarkEnd w:id="653"/>
      <w:bookmarkEnd w:id="654"/>
    </w:p>
    <w:p w14:paraId="7E5473B7" w14:textId="77777777" w:rsidR="00EE5134" w:rsidRDefault="00EE5134">
      <w:pPr>
        <w:jc w:val="both"/>
        <w:rPr>
          <w:rFonts w:ascii="Arial" w:hAnsi="Arial" w:cs="Arial"/>
          <w:sz w:val="20"/>
        </w:rPr>
      </w:pPr>
      <w:r>
        <w:rPr>
          <w:rFonts w:ascii="Arial" w:hAnsi="Arial" w:cs="Arial"/>
          <w:sz w:val="20"/>
        </w:rPr>
        <w:t>Sections 464Y, 464Z &amp; 464ZA regulate the conduct of a forensic procedure or a compulsory procedure.</w:t>
      </w:r>
    </w:p>
    <w:p w14:paraId="08E83962" w14:textId="08EEE5CE" w:rsidR="00EE5134" w:rsidRDefault="00EE5134">
      <w:pPr>
        <w:jc w:val="both"/>
        <w:rPr>
          <w:rFonts w:ascii="Arial" w:hAnsi="Arial" w:cs="Arial"/>
          <w:sz w:val="20"/>
        </w:rPr>
      </w:pPr>
    </w:p>
    <w:p w14:paraId="77EFB9FF" w14:textId="6C39DA38" w:rsidR="002A04B3" w:rsidRPr="002A04B3" w:rsidRDefault="00A708B0" w:rsidP="002A04B3">
      <w:pPr>
        <w:pStyle w:val="Heading4"/>
        <w:spacing w:before="0"/>
        <w:rPr>
          <w:rFonts w:ascii="Arial" w:hAnsi="Arial" w:cs="Arial"/>
          <w:i w:val="0"/>
          <w:iCs/>
          <w:sz w:val="20"/>
        </w:rPr>
      </w:pPr>
      <w:bookmarkStart w:id="655" w:name="_8.4.3.10_Statistics"/>
      <w:bookmarkStart w:id="656" w:name="_Hlk221534098"/>
      <w:bookmarkEnd w:id="655"/>
      <w:r w:rsidRPr="002A04B3">
        <w:rPr>
          <w:rFonts w:ascii="Arial" w:hAnsi="Arial" w:cs="Arial"/>
          <w:i w:val="0"/>
          <w:iCs/>
          <w:sz w:val="20"/>
        </w:rPr>
        <w:t>8.4.3.10 Statistics</w:t>
      </w:r>
    </w:p>
    <w:p w14:paraId="19883E67" w14:textId="1BE5C400" w:rsidR="00A708B0" w:rsidRPr="00A708B0" w:rsidRDefault="00A708B0" w:rsidP="001F3465">
      <w:pPr>
        <w:tabs>
          <w:tab w:val="left" w:pos="454"/>
        </w:tabs>
        <w:spacing w:after="120"/>
        <w:jc w:val="both"/>
        <w:rPr>
          <w:rFonts w:ascii="Arial" w:hAnsi="Arial" w:cs="Arial"/>
          <w:sz w:val="20"/>
        </w:rPr>
      </w:pPr>
      <w:r>
        <w:rPr>
          <w:rFonts w:ascii="Arial" w:hAnsi="Arial" w:cs="Arial"/>
          <w:sz w:val="20"/>
        </w:rPr>
        <w:t xml:space="preserve">The numbers of compulsory procedure applications made to the Children’s Court </w:t>
      </w:r>
      <w:r w:rsidR="002A04B3">
        <w:rPr>
          <w:rFonts w:ascii="Arial" w:hAnsi="Arial" w:cs="Arial"/>
          <w:sz w:val="20"/>
        </w:rPr>
        <w:t xml:space="preserve">state-wide over the period </w:t>
      </w:r>
      <w:r w:rsidR="001F3465">
        <w:rPr>
          <w:rFonts w:ascii="Arial" w:hAnsi="Arial" w:cs="Arial"/>
          <w:sz w:val="20"/>
        </w:rPr>
        <w:t xml:space="preserve">and the numbers granted </w:t>
      </w:r>
      <w:r w:rsidR="002A04B3">
        <w:rPr>
          <w:rFonts w:ascii="Arial" w:hAnsi="Arial" w:cs="Arial"/>
          <w:sz w:val="20"/>
        </w:rPr>
        <w:t xml:space="preserve">since 2014/15 are set out below.  However, these statistics are not guaranteed to be 100% correct.  There may have been some A/H s.464V applications </w:t>
      </w:r>
      <w:r w:rsidR="001F3465">
        <w:rPr>
          <w:rFonts w:ascii="Arial" w:hAnsi="Arial" w:cs="Arial"/>
          <w:sz w:val="20"/>
        </w:rPr>
        <w:t>and some</w:t>
      </w:r>
      <w:r w:rsidR="002A04B3">
        <w:rPr>
          <w:rFonts w:ascii="Arial" w:hAnsi="Arial" w:cs="Arial"/>
          <w:sz w:val="20"/>
        </w:rPr>
        <w:t xml:space="preserve"> oral applications made in court that were not initiated on </w:t>
      </w:r>
      <w:r w:rsidR="003A7330">
        <w:rPr>
          <w:rFonts w:ascii="Arial" w:hAnsi="Arial" w:cs="Arial"/>
          <w:sz w:val="20"/>
        </w:rPr>
        <w:t>the Children’s Court computer system</w:t>
      </w:r>
      <w:r w:rsidR="002A04B3">
        <w:rPr>
          <w:rFonts w:ascii="Arial" w:hAnsi="Arial" w:cs="Arial"/>
          <w:sz w:val="20"/>
        </w:rPr>
        <w:t>.  However, the writer believes that the statistics give an accurate enough flavour of the effect of ss.464U &amp; 464V on the operation of the Children’s Court Criminal Division.</w:t>
      </w:r>
    </w:p>
    <w:tbl>
      <w:tblPr>
        <w:tblW w:w="7838" w:type="dxa"/>
        <w:jc w:val="center"/>
        <w:tblCellMar>
          <w:left w:w="0" w:type="dxa"/>
          <w:right w:w="0" w:type="dxa"/>
        </w:tblCellMar>
        <w:tblLook w:val="04A0" w:firstRow="1" w:lastRow="0" w:firstColumn="1" w:lastColumn="0" w:noHBand="0" w:noVBand="1"/>
      </w:tblPr>
      <w:tblGrid>
        <w:gridCol w:w="1720"/>
        <w:gridCol w:w="1129"/>
        <w:gridCol w:w="1134"/>
        <w:gridCol w:w="796"/>
        <w:gridCol w:w="1129"/>
        <w:gridCol w:w="1134"/>
        <w:gridCol w:w="796"/>
      </w:tblGrid>
      <w:tr w:rsidR="002A04B3" w:rsidRPr="00E015B7" w14:paraId="16A5DE82" w14:textId="77777777" w:rsidTr="0076063C">
        <w:trPr>
          <w:trHeight w:val="227"/>
          <w:jc w:val="center"/>
        </w:trPr>
        <w:tc>
          <w:tcPr>
            <w:tcW w:w="1720" w:type="dxa"/>
            <w:vMerge w:val="restart"/>
            <w:tcBorders>
              <w:top w:val="single" w:sz="8" w:space="0" w:color="auto"/>
              <w:left w:val="single" w:sz="8" w:space="0" w:color="auto"/>
              <w:bottom w:val="single" w:sz="8" w:space="0" w:color="000000"/>
              <w:right w:val="single" w:sz="8" w:space="0" w:color="auto"/>
            </w:tcBorders>
            <w:shd w:val="clear" w:color="auto" w:fill="E7E6E6"/>
            <w:noWrap/>
            <w:tcMar>
              <w:top w:w="0" w:type="dxa"/>
              <w:left w:w="108" w:type="dxa"/>
              <w:bottom w:w="0" w:type="dxa"/>
              <w:right w:w="108" w:type="dxa"/>
            </w:tcMar>
            <w:vAlign w:val="bottom"/>
            <w:hideMark/>
          </w:tcPr>
          <w:p w14:paraId="2FE2B834" w14:textId="77777777" w:rsidR="002A04B3" w:rsidRPr="00E015B7" w:rsidRDefault="002A04B3" w:rsidP="00F45215">
            <w:pPr>
              <w:keepNext/>
              <w:keepLines/>
              <w:jc w:val="center"/>
              <w:rPr>
                <w:rFonts w:ascii="Arial" w:eastAsia="Calibri" w:hAnsi="Arial" w:cs="Arial"/>
                <w:b/>
                <w:bCs/>
                <w:sz w:val="20"/>
                <w:szCs w:val="20"/>
              </w:rPr>
            </w:pPr>
            <w:r w:rsidRPr="00E015B7">
              <w:rPr>
                <w:rFonts w:ascii="Arial" w:hAnsi="Arial" w:cs="Arial"/>
                <w:b/>
                <w:bCs/>
                <w:sz w:val="20"/>
                <w:szCs w:val="20"/>
              </w:rPr>
              <w:t>Year</w:t>
            </w:r>
          </w:p>
        </w:tc>
        <w:tc>
          <w:tcPr>
            <w:tcW w:w="3059" w:type="dxa"/>
            <w:gridSpan w:val="3"/>
            <w:tcBorders>
              <w:top w:val="single" w:sz="8" w:space="0" w:color="auto"/>
              <w:left w:val="nil"/>
              <w:bottom w:val="nil"/>
              <w:right w:val="single" w:sz="8" w:space="0" w:color="000000"/>
            </w:tcBorders>
            <w:shd w:val="clear" w:color="auto" w:fill="E7E6E6"/>
            <w:noWrap/>
            <w:tcMar>
              <w:top w:w="0" w:type="dxa"/>
              <w:left w:w="108" w:type="dxa"/>
              <w:bottom w:w="0" w:type="dxa"/>
              <w:right w:w="108" w:type="dxa"/>
            </w:tcMar>
            <w:vAlign w:val="bottom"/>
            <w:hideMark/>
          </w:tcPr>
          <w:p w14:paraId="27C174A4"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Interim [s.464V]</w:t>
            </w:r>
          </w:p>
        </w:tc>
        <w:tc>
          <w:tcPr>
            <w:tcW w:w="3059" w:type="dxa"/>
            <w:gridSpan w:val="3"/>
            <w:tcBorders>
              <w:top w:val="single" w:sz="8" w:space="0" w:color="auto"/>
              <w:left w:val="nil"/>
              <w:bottom w:val="nil"/>
              <w:right w:val="single" w:sz="8" w:space="0" w:color="000000"/>
            </w:tcBorders>
            <w:shd w:val="clear" w:color="auto" w:fill="E7E6E6"/>
            <w:noWrap/>
            <w:tcMar>
              <w:top w:w="0" w:type="dxa"/>
              <w:left w:w="108" w:type="dxa"/>
              <w:bottom w:w="0" w:type="dxa"/>
              <w:right w:w="108" w:type="dxa"/>
            </w:tcMar>
            <w:vAlign w:val="bottom"/>
            <w:hideMark/>
          </w:tcPr>
          <w:p w14:paraId="43A47193"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Final [s.464U]</w:t>
            </w:r>
          </w:p>
        </w:tc>
      </w:tr>
      <w:tr w:rsidR="002A04B3" w:rsidRPr="00E015B7" w14:paraId="55C24B42" w14:textId="77777777" w:rsidTr="0076063C">
        <w:trPr>
          <w:trHeight w:val="227"/>
          <w:jc w:val="center"/>
        </w:trPr>
        <w:tc>
          <w:tcPr>
            <w:tcW w:w="0" w:type="auto"/>
            <w:vMerge/>
            <w:tcBorders>
              <w:top w:val="nil"/>
              <w:left w:val="single" w:sz="8" w:space="0" w:color="auto"/>
              <w:bottom w:val="single" w:sz="8" w:space="0" w:color="000000"/>
              <w:right w:val="single" w:sz="8" w:space="0" w:color="auto"/>
            </w:tcBorders>
            <w:vAlign w:val="center"/>
            <w:hideMark/>
          </w:tcPr>
          <w:p w14:paraId="7455ED5A" w14:textId="77777777" w:rsidR="002A04B3" w:rsidRPr="00E015B7" w:rsidRDefault="002A04B3" w:rsidP="00F45215">
            <w:pPr>
              <w:keepNext/>
              <w:keepLines/>
              <w:rPr>
                <w:rFonts w:ascii="Arial" w:eastAsia="Calibri" w:hAnsi="Arial" w:cs="Arial"/>
                <w:b/>
                <w:bCs/>
                <w:sz w:val="20"/>
                <w:szCs w:val="20"/>
              </w:rPr>
            </w:pPr>
          </w:p>
        </w:tc>
        <w:tc>
          <w:tcPr>
            <w:tcW w:w="1129"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1F7F8484"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Granted</w:t>
            </w:r>
          </w:p>
        </w:tc>
        <w:tc>
          <w:tcPr>
            <w:tcW w:w="1134"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7A0B884D"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Refused</w:t>
            </w:r>
          </w:p>
        </w:tc>
        <w:tc>
          <w:tcPr>
            <w:tcW w:w="7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vAlign w:val="bottom"/>
            <w:hideMark/>
          </w:tcPr>
          <w:p w14:paraId="2778F5B3" w14:textId="77777777" w:rsidR="002A04B3" w:rsidRPr="00E015B7" w:rsidRDefault="002A04B3" w:rsidP="00F45215">
            <w:pPr>
              <w:keepNext/>
              <w:keepLines/>
              <w:rPr>
                <w:rFonts w:ascii="Arial" w:hAnsi="Arial" w:cs="Arial"/>
                <w:b/>
                <w:bCs/>
                <w:sz w:val="20"/>
                <w:szCs w:val="20"/>
              </w:rPr>
            </w:pPr>
            <w:r w:rsidRPr="00E015B7">
              <w:rPr>
                <w:rFonts w:ascii="Arial" w:hAnsi="Arial" w:cs="Arial"/>
                <w:b/>
                <w:bCs/>
                <w:sz w:val="20"/>
                <w:szCs w:val="20"/>
              </w:rPr>
              <w:t>Total</w:t>
            </w:r>
          </w:p>
        </w:tc>
        <w:tc>
          <w:tcPr>
            <w:tcW w:w="1129"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66769417"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Granted</w:t>
            </w:r>
          </w:p>
        </w:tc>
        <w:tc>
          <w:tcPr>
            <w:tcW w:w="1134"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6E1C1BCE"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Refused</w:t>
            </w:r>
          </w:p>
        </w:tc>
        <w:tc>
          <w:tcPr>
            <w:tcW w:w="7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vAlign w:val="bottom"/>
            <w:hideMark/>
          </w:tcPr>
          <w:p w14:paraId="4763ABCA"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Total</w:t>
            </w:r>
          </w:p>
        </w:tc>
      </w:tr>
      <w:tr w:rsidR="002A04B3" w:rsidRPr="00E015B7" w14:paraId="5CF57F4C"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CE0BE1"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2014/15</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AA759B"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6E7DFE"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E46C71"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5</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20E591"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34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13E68F"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3</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80D199"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37</w:t>
            </w:r>
          </w:p>
        </w:tc>
      </w:tr>
      <w:tr w:rsidR="002A04B3" w:rsidRPr="00E015B7" w14:paraId="090FEDB0"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216099"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2015/16</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83AD3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9801F3"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F9640"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9</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84005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D3948"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5B63C8"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45</w:t>
            </w:r>
          </w:p>
        </w:tc>
      </w:tr>
      <w:tr w:rsidR="002A04B3" w:rsidRPr="00E015B7" w14:paraId="7874B723"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1E407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2016/17</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9D0D8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C88C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0</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B8E016"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13</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798E13"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C3FD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96217"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47</w:t>
            </w:r>
          </w:p>
        </w:tc>
      </w:tr>
      <w:tr w:rsidR="002A04B3" w:rsidRPr="00E015B7" w14:paraId="5B829AE3"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A2AF0E"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2017/18</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2270F1"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53CAF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EDBB9"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6</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60083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275309"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3</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A9572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43</w:t>
            </w:r>
          </w:p>
        </w:tc>
      </w:tr>
      <w:tr w:rsidR="002A04B3" w:rsidRPr="00E015B7" w14:paraId="2807CDCF"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7CD71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2018/19</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5A63E"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7542B"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C4BF9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7</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F64EF6"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3FDDB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6</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90DE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51</w:t>
            </w:r>
          </w:p>
        </w:tc>
      </w:tr>
      <w:tr w:rsidR="002A04B3" w:rsidRPr="00E015B7" w14:paraId="15BF96AF"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6F4515"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2019/20</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BA0A07"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F686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F4807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F25C81"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3AEF0"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7</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EADA25"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50</w:t>
            </w:r>
          </w:p>
        </w:tc>
      </w:tr>
      <w:tr w:rsidR="002A04B3" w:rsidRPr="00E015B7" w14:paraId="18BA7CF9"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0477D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2020/21</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772D48"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10EE75"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0</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98ED67"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D8354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31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819D3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9</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7A3E73"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40</w:t>
            </w:r>
          </w:p>
        </w:tc>
      </w:tr>
      <w:tr w:rsidR="002A04B3" w:rsidRPr="00E015B7" w14:paraId="7CA7CBE9" w14:textId="77777777" w:rsidTr="00BB1D47">
        <w:trPr>
          <w:trHeight w:val="170"/>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5922F7" w14:textId="29654F91" w:rsidR="002A04B3" w:rsidRPr="001F3465" w:rsidRDefault="002A04B3" w:rsidP="00303E64">
            <w:pPr>
              <w:jc w:val="center"/>
              <w:rPr>
                <w:rFonts w:ascii="Arial" w:hAnsi="Arial" w:cs="Arial"/>
                <w:sz w:val="20"/>
                <w:szCs w:val="20"/>
              </w:rPr>
            </w:pPr>
            <w:r w:rsidRPr="001F3465">
              <w:rPr>
                <w:rFonts w:ascii="Arial" w:hAnsi="Arial" w:cs="Arial"/>
                <w:sz w:val="20"/>
                <w:szCs w:val="20"/>
              </w:rPr>
              <w:t>2021/22</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F34A7" w14:textId="387565C6" w:rsidR="002A04B3" w:rsidRPr="001F3465" w:rsidRDefault="00BB1D47" w:rsidP="00303E64">
            <w:pPr>
              <w:jc w:val="center"/>
              <w:rPr>
                <w:rFonts w:ascii="Arial" w:hAnsi="Arial" w:cs="Arial"/>
                <w:sz w:val="20"/>
                <w:szCs w:val="20"/>
              </w:rPr>
            </w:pPr>
            <w:r>
              <w:rPr>
                <w:rFonts w:ascii="Arial" w:hAnsi="Arial" w:cs="Arial"/>
                <w:sz w:val="20"/>
                <w:szCs w:val="20"/>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392C2" w14:textId="77777777" w:rsidR="002A04B3" w:rsidRPr="001F3465" w:rsidRDefault="002A04B3" w:rsidP="00303E64">
            <w:pPr>
              <w:jc w:val="center"/>
              <w:rPr>
                <w:rFonts w:ascii="Arial" w:hAnsi="Arial" w:cs="Arial"/>
                <w:sz w:val="20"/>
                <w:szCs w:val="20"/>
              </w:rPr>
            </w:pPr>
            <w:r w:rsidRPr="001F3465">
              <w:rPr>
                <w:rFonts w:ascii="Arial" w:hAnsi="Arial" w:cs="Arial"/>
                <w:sz w:val="20"/>
                <w:szCs w:val="20"/>
              </w:rPr>
              <w:t>4</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11D6C5" w14:textId="03AAFFC7" w:rsidR="002A04B3" w:rsidRPr="001F3465" w:rsidRDefault="00BB1D47" w:rsidP="00303E64">
            <w:pPr>
              <w:jc w:val="center"/>
              <w:rPr>
                <w:rFonts w:ascii="Arial" w:hAnsi="Arial" w:cs="Arial"/>
                <w:sz w:val="20"/>
                <w:szCs w:val="20"/>
              </w:rPr>
            </w:pPr>
            <w:r>
              <w:rPr>
                <w:rFonts w:ascii="Arial" w:hAnsi="Arial" w:cs="Arial"/>
                <w:sz w:val="20"/>
                <w:szCs w:val="20"/>
              </w:rPr>
              <w:t>10</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9298D" w14:textId="21EC41AF" w:rsidR="002A04B3" w:rsidRPr="001F3465" w:rsidRDefault="00BB1D47" w:rsidP="00303E64">
            <w:pPr>
              <w:jc w:val="center"/>
              <w:rPr>
                <w:rFonts w:ascii="Arial" w:hAnsi="Arial" w:cs="Arial"/>
                <w:sz w:val="20"/>
                <w:szCs w:val="20"/>
              </w:rPr>
            </w:pPr>
            <w:r>
              <w:rPr>
                <w:rFonts w:ascii="Arial" w:hAnsi="Arial" w:cs="Arial"/>
                <w:sz w:val="20"/>
                <w:szCs w:val="20"/>
              </w:rPr>
              <w:t>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6BB281" w14:textId="4D0244B6" w:rsidR="002A04B3" w:rsidRPr="001F3465" w:rsidRDefault="00BB1D47" w:rsidP="00303E64">
            <w:pPr>
              <w:jc w:val="center"/>
              <w:rPr>
                <w:rFonts w:ascii="Arial" w:hAnsi="Arial" w:cs="Arial"/>
                <w:sz w:val="20"/>
                <w:szCs w:val="20"/>
              </w:rPr>
            </w:pPr>
            <w:r>
              <w:rPr>
                <w:rFonts w:ascii="Arial" w:hAnsi="Arial" w:cs="Arial"/>
                <w:sz w:val="20"/>
                <w:szCs w:val="20"/>
              </w:rPr>
              <w:t>4</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ABE61E" w14:textId="2E819826" w:rsidR="002A04B3" w:rsidRPr="001F3465" w:rsidRDefault="00BB1D47" w:rsidP="00303E64">
            <w:pPr>
              <w:jc w:val="center"/>
              <w:rPr>
                <w:rFonts w:ascii="Arial" w:hAnsi="Arial" w:cs="Arial"/>
                <w:sz w:val="20"/>
                <w:szCs w:val="20"/>
              </w:rPr>
            </w:pPr>
            <w:r>
              <w:rPr>
                <w:rFonts w:ascii="Arial" w:hAnsi="Arial" w:cs="Arial"/>
                <w:sz w:val="20"/>
                <w:szCs w:val="20"/>
              </w:rPr>
              <w:t>27</w:t>
            </w:r>
          </w:p>
        </w:tc>
      </w:tr>
      <w:tr w:rsidR="00BB1D47" w:rsidRPr="00E015B7" w14:paraId="3C529CDF" w14:textId="77777777" w:rsidTr="00BB1D47">
        <w:trPr>
          <w:trHeight w:val="170"/>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D461A92" w14:textId="2D51B2AF" w:rsidR="00BB1D47" w:rsidRPr="001F3465" w:rsidRDefault="00BB1D47" w:rsidP="00303E64">
            <w:pPr>
              <w:jc w:val="center"/>
              <w:rPr>
                <w:rFonts w:ascii="Arial" w:hAnsi="Arial" w:cs="Arial"/>
                <w:sz w:val="20"/>
                <w:szCs w:val="20"/>
              </w:rPr>
            </w:pPr>
            <w:r>
              <w:rPr>
                <w:rFonts w:ascii="Arial" w:hAnsi="Arial" w:cs="Arial"/>
                <w:sz w:val="20"/>
                <w:szCs w:val="20"/>
              </w:rPr>
              <w:t>2022/23</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761EA4" w14:textId="3240AD61" w:rsidR="00BB1D47" w:rsidRDefault="00BB1D47" w:rsidP="00303E64">
            <w:pPr>
              <w:jc w:val="center"/>
              <w:rPr>
                <w:rFonts w:ascii="Arial" w:hAnsi="Arial" w:cs="Arial"/>
                <w:sz w:val="20"/>
                <w:szCs w:val="20"/>
              </w:rPr>
            </w:pPr>
            <w:r>
              <w:rPr>
                <w:rFonts w:ascii="Arial" w:hAnsi="Arial" w:cs="Arial"/>
                <w:sz w:val="20"/>
                <w:szCs w:val="20"/>
              </w:rPr>
              <w:t>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825DFB" w14:textId="764838DA" w:rsidR="00BB1D47" w:rsidRPr="001F3465" w:rsidRDefault="00BB1D47" w:rsidP="00303E64">
            <w:pPr>
              <w:jc w:val="center"/>
              <w:rPr>
                <w:rFonts w:ascii="Arial" w:hAnsi="Arial" w:cs="Arial"/>
                <w:sz w:val="20"/>
                <w:szCs w:val="20"/>
              </w:rPr>
            </w:pPr>
            <w:r>
              <w:rPr>
                <w:rFonts w:ascii="Arial" w:hAnsi="Arial" w:cs="Arial"/>
                <w:sz w:val="20"/>
                <w:szCs w:val="20"/>
              </w:rPr>
              <w:t>3</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5C4F4F" w14:textId="4BBA0280" w:rsidR="00BB1D47" w:rsidRDefault="00BB1D47" w:rsidP="00303E64">
            <w:pPr>
              <w:jc w:val="center"/>
              <w:rPr>
                <w:rFonts w:ascii="Arial" w:hAnsi="Arial" w:cs="Arial"/>
                <w:sz w:val="20"/>
                <w:szCs w:val="20"/>
              </w:rPr>
            </w:pPr>
            <w:r>
              <w:rPr>
                <w:rFonts w:ascii="Arial" w:hAnsi="Arial" w:cs="Arial"/>
                <w:sz w:val="20"/>
                <w:szCs w:val="20"/>
              </w:rPr>
              <w:t>8</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5B5D79" w14:textId="7B336F24" w:rsidR="00BB1D47" w:rsidRDefault="00BB1D47" w:rsidP="00303E64">
            <w:pPr>
              <w:jc w:val="center"/>
              <w:rPr>
                <w:rFonts w:ascii="Arial" w:hAnsi="Arial" w:cs="Arial"/>
                <w:sz w:val="20"/>
                <w:szCs w:val="20"/>
              </w:rPr>
            </w:pPr>
            <w:r>
              <w:rPr>
                <w:rFonts w:ascii="Arial" w:hAnsi="Arial" w:cs="Arial"/>
                <w:sz w:val="20"/>
                <w:szCs w:val="20"/>
              </w:rPr>
              <w:t>14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1DA148" w14:textId="7F3BA40C" w:rsidR="00BB1D47" w:rsidRDefault="00BB1D47" w:rsidP="00303E64">
            <w:pPr>
              <w:jc w:val="center"/>
              <w:rPr>
                <w:rFonts w:ascii="Arial" w:hAnsi="Arial" w:cs="Arial"/>
                <w:sz w:val="20"/>
                <w:szCs w:val="20"/>
              </w:rPr>
            </w:pPr>
            <w:r>
              <w:rPr>
                <w:rFonts w:ascii="Arial" w:hAnsi="Arial" w:cs="Arial"/>
                <w:sz w:val="20"/>
                <w:szCs w:val="20"/>
              </w:rPr>
              <w:t>5</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C11515" w14:textId="6A3C96DF" w:rsidR="00BB1D47" w:rsidRDefault="00BB1D47" w:rsidP="00303E64">
            <w:pPr>
              <w:jc w:val="center"/>
              <w:rPr>
                <w:rFonts w:ascii="Arial" w:hAnsi="Arial" w:cs="Arial"/>
                <w:sz w:val="20"/>
                <w:szCs w:val="20"/>
              </w:rPr>
            </w:pPr>
            <w:r>
              <w:rPr>
                <w:rFonts w:ascii="Arial" w:hAnsi="Arial" w:cs="Arial"/>
                <w:sz w:val="20"/>
                <w:szCs w:val="20"/>
              </w:rPr>
              <w:t>19</w:t>
            </w:r>
          </w:p>
        </w:tc>
      </w:tr>
      <w:tr w:rsidR="002A04B3" w:rsidRPr="00E015B7" w14:paraId="071DFDAB" w14:textId="77777777" w:rsidTr="0076063C">
        <w:trPr>
          <w:trHeight w:val="227"/>
          <w:jc w:val="center"/>
        </w:trPr>
        <w:tc>
          <w:tcPr>
            <w:tcW w:w="1720" w:type="dxa"/>
            <w:tcBorders>
              <w:top w:val="nil"/>
              <w:left w:val="single" w:sz="8" w:space="0" w:color="auto"/>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4C46A0A1" w14:textId="77777777" w:rsidR="002A04B3" w:rsidRPr="001F3465" w:rsidRDefault="002A04B3" w:rsidP="001F3465">
            <w:pPr>
              <w:jc w:val="center"/>
              <w:rPr>
                <w:rFonts w:ascii="Arial" w:hAnsi="Arial" w:cs="Arial"/>
                <w:b/>
                <w:bCs/>
                <w:sz w:val="20"/>
                <w:szCs w:val="20"/>
              </w:rPr>
            </w:pPr>
            <w:r w:rsidRPr="001F3465">
              <w:rPr>
                <w:rFonts w:ascii="Arial" w:hAnsi="Arial" w:cs="Arial"/>
                <w:b/>
                <w:bCs/>
                <w:sz w:val="20"/>
                <w:szCs w:val="20"/>
              </w:rPr>
              <w:t>Total</w:t>
            </w:r>
          </w:p>
        </w:tc>
        <w:tc>
          <w:tcPr>
            <w:tcW w:w="1129"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4C8D2B69" w14:textId="00BDA1D0" w:rsidR="002A04B3" w:rsidRPr="001F3465" w:rsidRDefault="00DD3EAC" w:rsidP="00303E64">
            <w:pPr>
              <w:jc w:val="center"/>
              <w:rPr>
                <w:rFonts w:ascii="Arial" w:hAnsi="Arial" w:cs="Arial"/>
                <w:b/>
                <w:bCs/>
                <w:sz w:val="20"/>
                <w:szCs w:val="20"/>
              </w:rPr>
            </w:pPr>
            <w:r>
              <w:rPr>
                <w:rFonts w:ascii="Arial" w:hAnsi="Arial" w:cs="Arial"/>
                <w:b/>
                <w:bCs/>
                <w:sz w:val="20"/>
                <w:szCs w:val="20"/>
              </w:rPr>
              <w:t>55</w:t>
            </w:r>
          </w:p>
        </w:tc>
        <w:tc>
          <w:tcPr>
            <w:tcW w:w="1134"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5EC73CB3" w14:textId="0B97EA6B" w:rsidR="002A04B3" w:rsidRPr="001F3465" w:rsidRDefault="00DD3EAC" w:rsidP="00303E64">
            <w:pPr>
              <w:jc w:val="center"/>
              <w:rPr>
                <w:rFonts w:ascii="Arial" w:hAnsi="Arial" w:cs="Arial"/>
                <w:b/>
                <w:bCs/>
                <w:sz w:val="20"/>
                <w:szCs w:val="20"/>
              </w:rPr>
            </w:pPr>
            <w:r>
              <w:rPr>
                <w:rFonts w:ascii="Arial" w:hAnsi="Arial" w:cs="Arial"/>
                <w:b/>
                <w:bCs/>
                <w:sz w:val="20"/>
                <w:szCs w:val="20"/>
              </w:rPr>
              <w:t>12</w:t>
            </w:r>
          </w:p>
        </w:tc>
        <w:tc>
          <w:tcPr>
            <w:tcW w:w="796"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1C708BE7" w14:textId="7269DA73" w:rsidR="002A04B3" w:rsidRPr="001F3465" w:rsidRDefault="00DD3EAC" w:rsidP="00303E64">
            <w:pPr>
              <w:jc w:val="center"/>
              <w:rPr>
                <w:rFonts w:ascii="Arial" w:hAnsi="Arial" w:cs="Arial"/>
                <w:b/>
                <w:bCs/>
                <w:sz w:val="20"/>
                <w:szCs w:val="20"/>
              </w:rPr>
            </w:pPr>
            <w:r>
              <w:rPr>
                <w:rFonts w:ascii="Arial" w:hAnsi="Arial" w:cs="Arial"/>
                <w:b/>
                <w:bCs/>
                <w:sz w:val="20"/>
                <w:szCs w:val="20"/>
              </w:rPr>
              <w:t>67</w:t>
            </w:r>
          </w:p>
        </w:tc>
        <w:tc>
          <w:tcPr>
            <w:tcW w:w="1129"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24B3CD79" w14:textId="1BF29F57" w:rsidR="002A04B3" w:rsidRPr="001F3465" w:rsidRDefault="002A04B3" w:rsidP="00303E64">
            <w:pPr>
              <w:jc w:val="center"/>
              <w:rPr>
                <w:rFonts w:ascii="Arial" w:hAnsi="Arial" w:cs="Arial"/>
                <w:b/>
                <w:bCs/>
                <w:sz w:val="20"/>
                <w:szCs w:val="20"/>
              </w:rPr>
            </w:pPr>
            <w:r w:rsidRPr="001F3465">
              <w:rPr>
                <w:rFonts w:ascii="Arial" w:hAnsi="Arial" w:cs="Arial"/>
                <w:b/>
                <w:bCs/>
                <w:sz w:val="20"/>
                <w:szCs w:val="20"/>
              </w:rPr>
              <w:t>3</w:t>
            </w:r>
            <w:r w:rsidR="00DD3EAC">
              <w:rPr>
                <w:rFonts w:ascii="Arial" w:hAnsi="Arial" w:cs="Arial"/>
                <w:b/>
                <w:bCs/>
                <w:sz w:val="20"/>
                <w:szCs w:val="20"/>
              </w:rPr>
              <w:t>16</w:t>
            </w:r>
          </w:p>
        </w:tc>
        <w:tc>
          <w:tcPr>
            <w:tcW w:w="1134"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20DE6969" w14:textId="47A5F593" w:rsidR="002A04B3" w:rsidRPr="001F3465" w:rsidRDefault="00DD3EAC" w:rsidP="00303E64">
            <w:pPr>
              <w:jc w:val="center"/>
              <w:rPr>
                <w:rFonts w:ascii="Arial" w:hAnsi="Arial" w:cs="Arial"/>
                <w:b/>
                <w:bCs/>
                <w:sz w:val="20"/>
                <w:szCs w:val="20"/>
              </w:rPr>
            </w:pPr>
            <w:r>
              <w:rPr>
                <w:rFonts w:ascii="Arial" w:hAnsi="Arial" w:cs="Arial"/>
                <w:b/>
                <w:bCs/>
                <w:sz w:val="20"/>
                <w:szCs w:val="20"/>
              </w:rPr>
              <w:t>43</w:t>
            </w:r>
          </w:p>
        </w:tc>
        <w:tc>
          <w:tcPr>
            <w:tcW w:w="796"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0F7E9B71" w14:textId="2E4D208C" w:rsidR="002A04B3" w:rsidRPr="001F3465" w:rsidRDefault="002A04B3" w:rsidP="00303E64">
            <w:pPr>
              <w:jc w:val="center"/>
              <w:rPr>
                <w:rFonts w:ascii="Arial" w:hAnsi="Arial" w:cs="Arial"/>
                <w:b/>
                <w:bCs/>
                <w:sz w:val="20"/>
                <w:szCs w:val="20"/>
              </w:rPr>
            </w:pPr>
            <w:r w:rsidRPr="001F3465">
              <w:rPr>
                <w:rFonts w:ascii="Arial" w:hAnsi="Arial" w:cs="Arial"/>
                <w:b/>
                <w:bCs/>
                <w:sz w:val="20"/>
                <w:szCs w:val="20"/>
              </w:rPr>
              <w:t>3</w:t>
            </w:r>
            <w:r w:rsidR="00DD3EAC">
              <w:rPr>
                <w:rFonts w:ascii="Arial" w:hAnsi="Arial" w:cs="Arial"/>
                <w:b/>
                <w:bCs/>
                <w:sz w:val="20"/>
                <w:szCs w:val="20"/>
              </w:rPr>
              <w:t>59</w:t>
            </w:r>
          </w:p>
        </w:tc>
      </w:tr>
    </w:tbl>
    <w:p w14:paraId="35D981EE" w14:textId="77777777" w:rsidR="00A7044B" w:rsidRDefault="00A7044B" w:rsidP="00A7044B">
      <w:pPr>
        <w:jc w:val="both"/>
        <w:rPr>
          <w:rFonts w:ascii="Arial" w:hAnsi="Arial" w:cs="Arial"/>
          <w:sz w:val="20"/>
        </w:rPr>
      </w:pPr>
    </w:p>
    <w:p w14:paraId="27729705" w14:textId="4D71AF5A" w:rsidR="00137510" w:rsidRDefault="00137510" w:rsidP="00137510">
      <w:pPr>
        <w:pStyle w:val="Heading3"/>
        <w:keepNext/>
        <w:spacing w:after="80" w:line="240" w:lineRule="auto"/>
        <w:rPr>
          <w:rFonts w:ascii="Arial" w:hAnsi="Arial" w:cs="Arial"/>
          <w:b/>
          <w:bCs/>
          <w:sz w:val="20"/>
        </w:rPr>
      </w:pPr>
      <w:bookmarkStart w:id="657" w:name="_8.4.4_Forensic_procedure"/>
      <w:bookmarkEnd w:id="657"/>
      <w:r>
        <w:rPr>
          <w:rFonts w:ascii="Arial" w:hAnsi="Arial" w:cs="Arial"/>
          <w:b/>
          <w:bCs/>
          <w:sz w:val="20"/>
        </w:rPr>
        <w:t>8.4.4</w:t>
      </w:r>
      <w:r>
        <w:rPr>
          <w:rFonts w:ascii="Arial" w:hAnsi="Arial" w:cs="Arial"/>
          <w:b/>
          <w:bCs/>
          <w:sz w:val="20"/>
        </w:rPr>
        <w:tab/>
        <w:t>Compulsory procedure for adult</w:t>
      </w:r>
    </w:p>
    <w:p w14:paraId="5D1273D5" w14:textId="0207DBB7" w:rsidR="002A04B3" w:rsidRDefault="002A04B3">
      <w:pPr>
        <w:jc w:val="both"/>
        <w:rPr>
          <w:rFonts w:ascii="Arial" w:hAnsi="Arial" w:cs="Arial"/>
          <w:szCs w:val="32"/>
        </w:rPr>
      </w:pPr>
    </w:p>
    <w:p w14:paraId="7F4F57BE" w14:textId="77777777" w:rsidR="00A7044B" w:rsidRDefault="00A7044B">
      <w:pPr>
        <w:jc w:val="both"/>
        <w:rPr>
          <w:rFonts w:ascii="Arial" w:hAnsi="Arial" w:cs="Arial"/>
          <w:szCs w:val="32"/>
        </w:rPr>
      </w:pPr>
    </w:p>
    <w:p w14:paraId="361306A1" w14:textId="77777777" w:rsidR="00A7044B" w:rsidRDefault="00A7044B">
      <w:pPr>
        <w:jc w:val="both"/>
        <w:rPr>
          <w:rFonts w:ascii="Arial" w:hAnsi="Arial" w:cs="Arial"/>
          <w:szCs w:val="32"/>
        </w:rPr>
      </w:pPr>
    </w:p>
    <w:p w14:paraId="5C8E6F73" w14:textId="3E7D0461" w:rsidR="004F0E38" w:rsidRDefault="004F0E38" w:rsidP="004F0E38">
      <w:pPr>
        <w:pStyle w:val="Heading2"/>
        <w:keepNext/>
        <w:tabs>
          <w:tab w:val="left" w:pos="567"/>
        </w:tabs>
        <w:spacing w:line="240" w:lineRule="auto"/>
        <w:rPr>
          <w:rFonts w:ascii="Arial" w:hAnsi="Arial" w:cs="Arial"/>
          <w:b/>
          <w:bCs/>
        </w:rPr>
      </w:pPr>
      <w:bookmarkStart w:id="658" w:name="_8.4.4_Other_relevant"/>
      <w:bookmarkStart w:id="659" w:name="_8.5_DNA_profile"/>
      <w:bookmarkEnd w:id="656"/>
      <w:bookmarkEnd w:id="658"/>
      <w:bookmarkEnd w:id="659"/>
      <w:r>
        <w:rPr>
          <w:rFonts w:ascii="Arial" w:hAnsi="Arial" w:cs="Arial"/>
          <w:b/>
          <w:bCs/>
        </w:rPr>
        <w:t>8.5</w:t>
      </w:r>
      <w:r>
        <w:rPr>
          <w:rFonts w:ascii="Arial" w:hAnsi="Arial" w:cs="Arial"/>
          <w:b/>
          <w:bCs/>
        </w:rPr>
        <w:tab/>
        <w:t>DNA profile sampling</w:t>
      </w:r>
    </w:p>
    <w:p w14:paraId="5F5675A7" w14:textId="196E1736" w:rsidR="004F0E38" w:rsidRDefault="004F0E38" w:rsidP="004F0E38">
      <w:pPr>
        <w:jc w:val="both"/>
        <w:rPr>
          <w:rFonts w:ascii="Arial" w:hAnsi="Arial" w:cs="Arial"/>
        </w:rPr>
      </w:pPr>
    </w:p>
    <w:p w14:paraId="50150E6D" w14:textId="5AEAC86E" w:rsidR="004F0E38" w:rsidRDefault="004F0E38" w:rsidP="004F0E38">
      <w:pPr>
        <w:jc w:val="both"/>
        <w:rPr>
          <w:rFonts w:ascii="Arial" w:hAnsi="Arial" w:cs="Arial"/>
          <w:sz w:val="20"/>
          <w:szCs w:val="20"/>
        </w:rPr>
      </w:pPr>
      <w:r w:rsidRPr="004F0E38">
        <w:rPr>
          <w:rFonts w:ascii="Arial" w:hAnsi="Arial" w:cs="Arial"/>
          <w:sz w:val="20"/>
          <w:szCs w:val="20"/>
        </w:rPr>
        <w:t xml:space="preserve">A compulsory procedure or a forensic procedure cannot be conducted on a child without a court order.  However, since 01/07/2019 </w:t>
      </w:r>
      <w:r>
        <w:rPr>
          <w:rFonts w:ascii="Arial" w:hAnsi="Arial" w:cs="Arial"/>
          <w:sz w:val="20"/>
          <w:szCs w:val="20"/>
        </w:rPr>
        <w:t xml:space="preserve">provisions have been included </w:t>
      </w:r>
      <w:r w:rsidR="00DC1256">
        <w:rPr>
          <w:rFonts w:ascii="Arial" w:hAnsi="Arial" w:cs="Arial"/>
          <w:sz w:val="20"/>
          <w:szCs w:val="20"/>
        </w:rPr>
        <w:t>as</w:t>
      </w:r>
      <w:r>
        <w:rPr>
          <w:rFonts w:ascii="Arial" w:hAnsi="Arial" w:cs="Arial"/>
          <w:sz w:val="20"/>
          <w:szCs w:val="20"/>
        </w:rPr>
        <w:t xml:space="preserve"> ss.464SC &amp; 464SE of the Crimes Act </w:t>
      </w:r>
      <w:r w:rsidR="00011ADD">
        <w:rPr>
          <w:rFonts w:ascii="Arial" w:hAnsi="Arial" w:cs="Arial"/>
          <w:sz w:val="20"/>
          <w:szCs w:val="20"/>
        </w:rPr>
        <w:t xml:space="preserve">1958 (Vic) </w:t>
      </w:r>
      <w:r>
        <w:rPr>
          <w:rFonts w:ascii="Arial" w:hAnsi="Arial" w:cs="Arial"/>
          <w:sz w:val="20"/>
          <w:szCs w:val="20"/>
        </w:rPr>
        <w:t xml:space="preserve">which permit a DNA profile sample to be taken </w:t>
      </w:r>
      <w:r w:rsidR="00881CE1">
        <w:rPr>
          <w:rFonts w:ascii="Arial" w:hAnsi="Arial" w:cs="Arial"/>
          <w:sz w:val="20"/>
          <w:szCs w:val="20"/>
        </w:rPr>
        <w:t xml:space="preserve">in </w:t>
      </w:r>
      <w:r w:rsidR="003A7330">
        <w:rPr>
          <w:rFonts w:ascii="Arial" w:hAnsi="Arial" w:cs="Arial"/>
          <w:sz w:val="20"/>
          <w:szCs w:val="20"/>
        </w:rPr>
        <w:t>the following</w:t>
      </w:r>
      <w:r w:rsidR="00881CE1">
        <w:rPr>
          <w:rFonts w:ascii="Arial" w:hAnsi="Arial" w:cs="Arial"/>
          <w:sz w:val="20"/>
          <w:szCs w:val="20"/>
        </w:rPr>
        <w:t xml:space="preserve"> circumstances </w:t>
      </w:r>
      <w:r>
        <w:rPr>
          <w:rFonts w:ascii="Arial" w:hAnsi="Arial" w:cs="Arial"/>
          <w:sz w:val="20"/>
          <w:szCs w:val="20"/>
        </w:rPr>
        <w:t>from a child</w:t>
      </w:r>
      <w:r w:rsidR="001C54CF">
        <w:rPr>
          <w:rFonts w:ascii="Arial" w:hAnsi="Arial" w:cs="Arial"/>
          <w:sz w:val="20"/>
          <w:szCs w:val="20"/>
        </w:rPr>
        <w:t xml:space="preserve"> aged 15-1</w:t>
      </w:r>
      <w:r w:rsidR="00EB60D4">
        <w:rPr>
          <w:rFonts w:ascii="Arial" w:hAnsi="Arial" w:cs="Arial"/>
          <w:sz w:val="20"/>
          <w:szCs w:val="20"/>
        </w:rPr>
        <w:t>7</w:t>
      </w:r>
      <w:r w:rsidR="007474AF">
        <w:rPr>
          <w:rFonts w:ascii="Arial" w:hAnsi="Arial" w:cs="Arial"/>
          <w:sz w:val="20"/>
          <w:szCs w:val="20"/>
        </w:rPr>
        <w:t>:</w:t>
      </w:r>
    </w:p>
    <w:p w14:paraId="2F7D280B" w14:textId="1DA227A2" w:rsidR="004F0E38" w:rsidRDefault="004F0E38" w:rsidP="00C4430C">
      <w:pPr>
        <w:numPr>
          <w:ilvl w:val="0"/>
          <w:numId w:val="17"/>
        </w:numPr>
        <w:ind w:left="357" w:hanging="357"/>
        <w:jc w:val="both"/>
        <w:rPr>
          <w:rFonts w:ascii="Arial" w:hAnsi="Arial" w:cs="Arial"/>
          <w:sz w:val="20"/>
          <w:szCs w:val="20"/>
        </w:rPr>
      </w:pPr>
      <w:r>
        <w:rPr>
          <w:rFonts w:ascii="Arial" w:hAnsi="Arial" w:cs="Arial"/>
          <w:sz w:val="20"/>
          <w:szCs w:val="20"/>
        </w:rPr>
        <w:t xml:space="preserve">at the request of a police officer </w:t>
      </w:r>
      <w:r w:rsidR="0096751B">
        <w:rPr>
          <w:rFonts w:ascii="Arial" w:hAnsi="Arial" w:cs="Arial"/>
          <w:sz w:val="20"/>
          <w:szCs w:val="20"/>
        </w:rPr>
        <w:t>and with the informed consent of both the child and a parent or guardian of the child; or</w:t>
      </w:r>
    </w:p>
    <w:p w14:paraId="70D7233A" w14:textId="76674D21" w:rsidR="0096751B" w:rsidRDefault="0096751B" w:rsidP="00C4430C">
      <w:pPr>
        <w:numPr>
          <w:ilvl w:val="0"/>
          <w:numId w:val="17"/>
        </w:numPr>
        <w:ind w:left="357" w:hanging="357"/>
        <w:jc w:val="both"/>
        <w:rPr>
          <w:rFonts w:ascii="Arial" w:hAnsi="Arial" w:cs="Arial"/>
          <w:sz w:val="20"/>
          <w:szCs w:val="20"/>
        </w:rPr>
      </w:pPr>
      <w:r>
        <w:rPr>
          <w:rFonts w:ascii="Arial" w:hAnsi="Arial" w:cs="Arial"/>
          <w:sz w:val="20"/>
          <w:szCs w:val="20"/>
        </w:rPr>
        <w:t xml:space="preserve">on the authorisation of a </w:t>
      </w:r>
      <w:r w:rsidR="00011ADD">
        <w:rPr>
          <w:rFonts w:ascii="Arial" w:hAnsi="Arial" w:cs="Arial"/>
          <w:sz w:val="20"/>
          <w:szCs w:val="20"/>
        </w:rPr>
        <w:t>“</w:t>
      </w:r>
      <w:r>
        <w:rPr>
          <w:rFonts w:ascii="Arial" w:hAnsi="Arial" w:cs="Arial"/>
          <w:sz w:val="20"/>
          <w:szCs w:val="20"/>
        </w:rPr>
        <w:t>senior police officer</w:t>
      </w:r>
      <w:r w:rsidR="00011ADD">
        <w:rPr>
          <w:rFonts w:ascii="Arial" w:hAnsi="Arial" w:cs="Arial"/>
          <w:sz w:val="20"/>
          <w:szCs w:val="20"/>
        </w:rPr>
        <w:t>”</w:t>
      </w:r>
      <w:r>
        <w:rPr>
          <w:rFonts w:ascii="Arial" w:hAnsi="Arial" w:cs="Arial"/>
          <w:sz w:val="20"/>
          <w:szCs w:val="20"/>
        </w:rPr>
        <w:t>.</w:t>
      </w:r>
    </w:p>
    <w:p w14:paraId="2C941977" w14:textId="77B9B990" w:rsidR="0096751B" w:rsidRDefault="0096751B" w:rsidP="004F0E38">
      <w:pPr>
        <w:jc w:val="both"/>
        <w:rPr>
          <w:rFonts w:ascii="Arial" w:hAnsi="Arial" w:cs="Arial"/>
          <w:sz w:val="20"/>
          <w:szCs w:val="20"/>
        </w:rPr>
      </w:pPr>
    </w:p>
    <w:p w14:paraId="2B10BFB3" w14:textId="10D37D3E" w:rsidR="0096751B" w:rsidRDefault="003C70DC" w:rsidP="004F0E38">
      <w:pPr>
        <w:jc w:val="both"/>
        <w:rPr>
          <w:rFonts w:ascii="Arial" w:hAnsi="Arial" w:cs="Arial"/>
          <w:sz w:val="20"/>
          <w:szCs w:val="20"/>
        </w:rPr>
      </w:pPr>
      <w:r>
        <w:rPr>
          <w:rFonts w:ascii="Arial" w:hAnsi="Arial" w:cs="Arial"/>
          <w:sz w:val="20"/>
          <w:szCs w:val="20"/>
        </w:rPr>
        <w:t xml:space="preserve">A </w:t>
      </w:r>
      <w:r w:rsidRPr="003C70DC">
        <w:rPr>
          <w:rFonts w:ascii="Arial" w:hAnsi="Arial" w:cs="Arial"/>
          <w:b/>
          <w:bCs/>
          <w:sz w:val="20"/>
          <w:szCs w:val="20"/>
        </w:rPr>
        <w:t>DNA profile sample</w:t>
      </w:r>
      <w:r>
        <w:rPr>
          <w:rFonts w:ascii="Arial" w:hAnsi="Arial" w:cs="Arial"/>
          <w:sz w:val="20"/>
          <w:szCs w:val="20"/>
        </w:rPr>
        <w:t xml:space="preserve"> is defined in s.464(2) as a sample taken for the purpose of deriving a DNA profile that is-</w:t>
      </w:r>
    </w:p>
    <w:p w14:paraId="0A3D09D7" w14:textId="2008CCFF" w:rsidR="0096751B"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t>a blood sample;</w:t>
      </w:r>
    </w:p>
    <w:p w14:paraId="0CAD1241" w14:textId="23457674" w:rsidR="003C70DC"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lastRenderedPageBreak/>
        <w:t>a sample of hair, other than pubic hair, including the root if required;</w:t>
      </w:r>
    </w:p>
    <w:p w14:paraId="3ADE1137" w14:textId="5C16417B" w:rsidR="003C70DC"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t>a sample of saliva;</w:t>
      </w:r>
    </w:p>
    <w:p w14:paraId="5CDAFF26" w14:textId="1E3B3FF0" w:rsidR="003C70DC" w:rsidRPr="004F0E38"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t>a scraping taken from the mouth.</w:t>
      </w:r>
    </w:p>
    <w:p w14:paraId="2F78B6BF" w14:textId="77777777" w:rsidR="0076063C" w:rsidRDefault="0076063C" w:rsidP="0076063C">
      <w:pPr>
        <w:jc w:val="both"/>
        <w:rPr>
          <w:rFonts w:ascii="Arial" w:hAnsi="Arial" w:cs="Arial"/>
          <w:sz w:val="20"/>
        </w:rPr>
      </w:pPr>
    </w:p>
    <w:p w14:paraId="45077881" w14:textId="56DF6F22" w:rsidR="0076063C" w:rsidRDefault="0076063C" w:rsidP="00516F1E">
      <w:pPr>
        <w:pStyle w:val="Heading4"/>
        <w:spacing w:before="0" w:after="120"/>
        <w:rPr>
          <w:rFonts w:ascii="Arial" w:hAnsi="Arial" w:cs="Arial"/>
          <w:i w:val="0"/>
          <w:iCs/>
          <w:sz w:val="20"/>
        </w:rPr>
      </w:pPr>
      <w:bookmarkStart w:id="660" w:name="_8.5.1_Police_request"/>
      <w:bookmarkEnd w:id="660"/>
      <w:r>
        <w:rPr>
          <w:rFonts w:ascii="Arial" w:hAnsi="Arial" w:cs="Arial"/>
          <w:i w:val="0"/>
          <w:iCs/>
          <w:sz w:val="20"/>
        </w:rPr>
        <w:t>8.5.1</w:t>
      </w:r>
      <w:r>
        <w:rPr>
          <w:rFonts w:ascii="Arial" w:hAnsi="Arial" w:cs="Arial"/>
          <w:i w:val="0"/>
          <w:iCs/>
          <w:sz w:val="20"/>
        </w:rPr>
        <w:tab/>
        <w:t>Police request for DNA profile sample</w:t>
      </w:r>
      <w:r w:rsidR="001C54CF">
        <w:rPr>
          <w:rFonts w:ascii="Arial" w:hAnsi="Arial" w:cs="Arial"/>
          <w:i w:val="0"/>
          <w:iCs/>
          <w:sz w:val="20"/>
        </w:rPr>
        <w:t xml:space="preserve"> from a child aged 15</w:t>
      </w:r>
      <w:r w:rsidR="001214FF">
        <w:rPr>
          <w:rFonts w:ascii="Arial" w:hAnsi="Arial" w:cs="Arial"/>
          <w:i w:val="0"/>
          <w:iCs/>
          <w:sz w:val="20"/>
        </w:rPr>
        <w:t xml:space="preserve"> to 17</w:t>
      </w:r>
    </w:p>
    <w:p w14:paraId="300C04F3" w14:textId="6B5639B2" w:rsidR="003C70DC" w:rsidRDefault="003C70DC" w:rsidP="004F0E38">
      <w:pPr>
        <w:jc w:val="both"/>
        <w:rPr>
          <w:rFonts w:ascii="Arial" w:hAnsi="Arial" w:cs="Arial"/>
          <w:sz w:val="20"/>
          <w:szCs w:val="20"/>
        </w:rPr>
      </w:pPr>
      <w:r w:rsidRPr="003C70DC">
        <w:rPr>
          <w:rFonts w:ascii="Arial" w:hAnsi="Arial" w:cs="Arial"/>
          <w:sz w:val="20"/>
          <w:szCs w:val="20"/>
        </w:rPr>
        <w:t xml:space="preserve">Under s.464SC(2) a police officer may request </w:t>
      </w:r>
      <w:r w:rsidR="00C4430C">
        <w:rPr>
          <w:rFonts w:ascii="Arial" w:hAnsi="Arial" w:cs="Arial"/>
          <w:sz w:val="20"/>
          <w:szCs w:val="20"/>
        </w:rPr>
        <w:t xml:space="preserve">a </w:t>
      </w:r>
      <w:r w:rsidR="00011ADD">
        <w:rPr>
          <w:rFonts w:ascii="Arial" w:hAnsi="Arial" w:cs="Arial"/>
          <w:sz w:val="20"/>
          <w:szCs w:val="20"/>
        </w:rPr>
        <w:t>“</w:t>
      </w:r>
      <w:r w:rsidR="00011ADD" w:rsidRPr="003B2EAC">
        <w:rPr>
          <w:rFonts w:ascii="Arial" w:hAnsi="Arial" w:cs="Arial"/>
          <w:b/>
          <w:bCs/>
          <w:sz w:val="20"/>
          <w:szCs w:val="20"/>
        </w:rPr>
        <w:t xml:space="preserve">DNA </w:t>
      </w:r>
      <w:r w:rsidRPr="003B2EAC">
        <w:rPr>
          <w:rFonts w:ascii="Arial" w:hAnsi="Arial" w:cs="Arial"/>
          <w:b/>
          <w:bCs/>
          <w:sz w:val="20"/>
          <w:szCs w:val="20"/>
        </w:rPr>
        <w:t>person</w:t>
      </w:r>
      <w:r w:rsidR="00C4430C">
        <w:rPr>
          <w:rFonts w:ascii="Arial" w:hAnsi="Arial" w:cs="Arial"/>
          <w:sz w:val="20"/>
          <w:szCs w:val="20"/>
        </w:rPr>
        <w:t>”</w:t>
      </w:r>
      <w:r>
        <w:rPr>
          <w:rFonts w:ascii="Arial" w:hAnsi="Arial" w:cs="Arial"/>
          <w:sz w:val="20"/>
          <w:szCs w:val="20"/>
        </w:rPr>
        <w:t xml:space="preserve"> who is a child aged 15 years or more but under the age of 18 years </w:t>
      </w:r>
      <w:r w:rsidR="00E63095">
        <w:rPr>
          <w:rFonts w:ascii="Arial" w:hAnsi="Arial" w:cs="Arial"/>
          <w:sz w:val="20"/>
          <w:szCs w:val="20"/>
        </w:rPr>
        <w:t>and</w:t>
      </w:r>
      <w:r w:rsidR="008A7AD6">
        <w:rPr>
          <w:rFonts w:ascii="Arial" w:hAnsi="Arial" w:cs="Arial"/>
          <w:sz w:val="20"/>
        </w:rPr>
        <w:t>–</w:t>
      </w:r>
    </w:p>
    <w:p w14:paraId="25A07265" w14:textId="0368C49F" w:rsidR="00D55E02" w:rsidRDefault="00D55E02" w:rsidP="00C4430C">
      <w:pPr>
        <w:numPr>
          <w:ilvl w:val="0"/>
          <w:numId w:val="16"/>
        </w:numPr>
        <w:ind w:left="357" w:hanging="357"/>
        <w:jc w:val="both"/>
        <w:rPr>
          <w:rFonts w:ascii="Arial" w:hAnsi="Arial" w:cs="Arial"/>
          <w:sz w:val="20"/>
          <w:szCs w:val="20"/>
        </w:rPr>
      </w:pPr>
      <w:r>
        <w:rPr>
          <w:rFonts w:ascii="Arial" w:hAnsi="Arial" w:cs="Arial"/>
          <w:sz w:val="20"/>
          <w:szCs w:val="20"/>
        </w:rPr>
        <w:t xml:space="preserve">is </w:t>
      </w:r>
      <w:r w:rsidR="009247EF">
        <w:rPr>
          <w:rFonts w:ascii="Arial" w:hAnsi="Arial" w:cs="Arial"/>
          <w:sz w:val="20"/>
          <w:szCs w:val="20"/>
        </w:rPr>
        <w:t>believed on reasonable grounds</w:t>
      </w:r>
      <w:r>
        <w:rPr>
          <w:rFonts w:ascii="Arial" w:hAnsi="Arial" w:cs="Arial"/>
          <w:sz w:val="20"/>
          <w:szCs w:val="20"/>
        </w:rPr>
        <w:t xml:space="preserve"> of having committed a DNA sample offence; or</w:t>
      </w:r>
    </w:p>
    <w:p w14:paraId="2BFB1A8D" w14:textId="51FB7290" w:rsidR="00D55E02" w:rsidRDefault="00D55E02" w:rsidP="00C4430C">
      <w:pPr>
        <w:numPr>
          <w:ilvl w:val="0"/>
          <w:numId w:val="16"/>
        </w:numPr>
        <w:ind w:left="357" w:hanging="357"/>
        <w:jc w:val="both"/>
        <w:rPr>
          <w:rFonts w:ascii="Arial" w:hAnsi="Arial" w:cs="Arial"/>
          <w:sz w:val="20"/>
          <w:szCs w:val="20"/>
        </w:rPr>
      </w:pPr>
      <w:r>
        <w:rPr>
          <w:rFonts w:ascii="Arial" w:hAnsi="Arial" w:cs="Arial"/>
          <w:sz w:val="20"/>
          <w:szCs w:val="20"/>
        </w:rPr>
        <w:t xml:space="preserve">has been charged with </w:t>
      </w:r>
      <w:r w:rsidR="0076063C">
        <w:rPr>
          <w:rFonts w:ascii="Arial" w:hAnsi="Arial" w:cs="Arial"/>
          <w:sz w:val="20"/>
          <w:szCs w:val="20"/>
        </w:rPr>
        <w:t xml:space="preserve">or summonsed to answer a charge for </w:t>
      </w:r>
      <w:r>
        <w:rPr>
          <w:rFonts w:ascii="Arial" w:hAnsi="Arial" w:cs="Arial"/>
          <w:sz w:val="20"/>
          <w:szCs w:val="20"/>
        </w:rPr>
        <w:t>a DNA sample offence</w:t>
      </w:r>
      <w:r w:rsidR="008A7AD6">
        <w:rPr>
          <w:rFonts w:ascii="Arial" w:hAnsi="Arial" w:cs="Arial"/>
          <w:sz w:val="20"/>
        </w:rPr>
        <w:t>–</w:t>
      </w:r>
    </w:p>
    <w:p w14:paraId="3EB758B3" w14:textId="66B615DF" w:rsidR="003C70DC" w:rsidRPr="003C70DC" w:rsidRDefault="00D55E02" w:rsidP="004F0E38">
      <w:pPr>
        <w:jc w:val="both"/>
        <w:rPr>
          <w:rFonts w:ascii="Arial" w:hAnsi="Arial" w:cs="Arial"/>
          <w:sz w:val="20"/>
          <w:szCs w:val="20"/>
        </w:rPr>
      </w:pPr>
      <w:r>
        <w:rPr>
          <w:rFonts w:ascii="Arial" w:hAnsi="Arial" w:cs="Arial"/>
          <w:sz w:val="20"/>
          <w:szCs w:val="20"/>
        </w:rPr>
        <w:t xml:space="preserve">to give a DNA profile sample if </w:t>
      </w:r>
      <w:r w:rsidR="00011ADD">
        <w:rPr>
          <w:rFonts w:ascii="Arial" w:hAnsi="Arial" w:cs="Arial"/>
          <w:sz w:val="20"/>
          <w:szCs w:val="20"/>
        </w:rPr>
        <w:t>the police officer is satisfied that the taking of the sample is justified in all of the circumstances.</w:t>
      </w:r>
    </w:p>
    <w:p w14:paraId="5D198F1C" w14:textId="12AC1FE9" w:rsidR="003C70DC" w:rsidRDefault="003C70DC" w:rsidP="004F0E38">
      <w:pPr>
        <w:jc w:val="both"/>
        <w:rPr>
          <w:rFonts w:ascii="Arial" w:hAnsi="Arial" w:cs="Arial"/>
          <w:sz w:val="20"/>
          <w:szCs w:val="20"/>
        </w:rPr>
      </w:pPr>
    </w:p>
    <w:p w14:paraId="7050DEB8" w14:textId="344AEA9C" w:rsidR="00C4430C" w:rsidRDefault="00C4430C" w:rsidP="004F0E38">
      <w:pPr>
        <w:jc w:val="both"/>
        <w:rPr>
          <w:rFonts w:ascii="Arial" w:hAnsi="Arial" w:cs="Arial"/>
          <w:sz w:val="20"/>
          <w:szCs w:val="20"/>
        </w:rPr>
      </w:pPr>
      <w:r>
        <w:rPr>
          <w:rFonts w:ascii="Arial" w:hAnsi="Arial" w:cs="Arial"/>
          <w:sz w:val="20"/>
          <w:szCs w:val="20"/>
        </w:rPr>
        <w:t>A “</w:t>
      </w:r>
      <w:r w:rsidRPr="00C4430C">
        <w:rPr>
          <w:rFonts w:ascii="Arial" w:hAnsi="Arial" w:cs="Arial"/>
          <w:b/>
          <w:bCs/>
          <w:sz w:val="20"/>
          <w:szCs w:val="20"/>
        </w:rPr>
        <w:t xml:space="preserve">DNA </w:t>
      </w:r>
      <w:r>
        <w:rPr>
          <w:rFonts w:ascii="Arial" w:hAnsi="Arial" w:cs="Arial"/>
          <w:b/>
          <w:bCs/>
          <w:sz w:val="20"/>
          <w:szCs w:val="20"/>
        </w:rPr>
        <w:t>sample offence</w:t>
      </w:r>
      <w:r>
        <w:rPr>
          <w:rFonts w:ascii="Arial" w:hAnsi="Arial" w:cs="Arial"/>
          <w:sz w:val="20"/>
          <w:szCs w:val="20"/>
        </w:rPr>
        <w:t>” is defined in s.464(2) as any indictable offence specified in Schedule 9.</w:t>
      </w:r>
    </w:p>
    <w:p w14:paraId="03DCF4DE" w14:textId="61BCBAAE" w:rsidR="00C4430C" w:rsidRDefault="00C4430C" w:rsidP="004F0E38">
      <w:pPr>
        <w:jc w:val="both"/>
        <w:rPr>
          <w:rFonts w:ascii="Arial" w:hAnsi="Arial" w:cs="Arial"/>
          <w:sz w:val="20"/>
          <w:szCs w:val="20"/>
        </w:rPr>
      </w:pPr>
    </w:p>
    <w:p w14:paraId="0EF8D99A" w14:textId="03DA7EE9" w:rsidR="003B2EAC" w:rsidRDefault="003B2EAC" w:rsidP="004F0E38">
      <w:pPr>
        <w:jc w:val="both"/>
        <w:rPr>
          <w:rFonts w:ascii="Arial" w:hAnsi="Arial" w:cs="Arial"/>
          <w:sz w:val="20"/>
          <w:szCs w:val="20"/>
        </w:rPr>
      </w:pPr>
      <w:r>
        <w:rPr>
          <w:rFonts w:ascii="Arial" w:hAnsi="Arial" w:cs="Arial"/>
          <w:sz w:val="20"/>
          <w:szCs w:val="20"/>
        </w:rPr>
        <w:t>Sections 464SC, 464SD</w:t>
      </w:r>
      <w:r w:rsidR="000821C0">
        <w:rPr>
          <w:rFonts w:ascii="Arial" w:hAnsi="Arial" w:cs="Arial"/>
          <w:sz w:val="20"/>
          <w:szCs w:val="20"/>
        </w:rPr>
        <w:t>, 464SE</w:t>
      </w:r>
      <w:r>
        <w:rPr>
          <w:rFonts w:ascii="Arial" w:hAnsi="Arial" w:cs="Arial"/>
          <w:sz w:val="20"/>
          <w:szCs w:val="20"/>
        </w:rPr>
        <w:t xml:space="preserve"> &amp; 464S</w:t>
      </w:r>
      <w:r w:rsidR="000821C0">
        <w:rPr>
          <w:rFonts w:ascii="Arial" w:hAnsi="Arial" w:cs="Arial"/>
          <w:sz w:val="20"/>
          <w:szCs w:val="20"/>
        </w:rPr>
        <w:t>F</w:t>
      </w:r>
      <w:r>
        <w:rPr>
          <w:rFonts w:ascii="Arial" w:hAnsi="Arial" w:cs="Arial"/>
          <w:sz w:val="20"/>
          <w:szCs w:val="20"/>
        </w:rPr>
        <w:t xml:space="preserve"> have the same apparent disconnect with limb (a) of the definition of “child” in s.3(1) of the CYFA </w:t>
      </w:r>
      <w:r w:rsidR="00A51EC5">
        <w:rPr>
          <w:rFonts w:ascii="Arial" w:hAnsi="Arial" w:cs="Arial"/>
          <w:sz w:val="20"/>
          <w:szCs w:val="20"/>
        </w:rPr>
        <w:t xml:space="preserve">and in s.4 of the YJA </w:t>
      </w:r>
      <w:r>
        <w:rPr>
          <w:rFonts w:ascii="Arial" w:hAnsi="Arial" w:cs="Arial"/>
          <w:sz w:val="20"/>
          <w:szCs w:val="20"/>
        </w:rPr>
        <w:t>as does s.464U as</w:t>
      </w:r>
      <w:r w:rsidR="00A030A5">
        <w:rPr>
          <w:rFonts w:ascii="Arial" w:hAnsi="Arial" w:cs="Arial"/>
          <w:sz w:val="20"/>
          <w:szCs w:val="20"/>
        </w:rPr>
        <w:t xml:space="preserve"> </w:t>
      </w:r>
      <w:r>
        <w:rPr>
          <w:rFonts w:ascii="Arial" w:hAnsi="Arial" w:cs="Arial"/>
          <w:sz w:val="20"/>
          <w:szCs w:val="20"/>
        </w:rPr>
        <w:t xml:space="preserve">noted in </w:t>
      </w:r>
      <w:r w:rsidRPr="00771FFB">
        <w:rPr>
          <w:rFonts w:ascii="Arial" w:hAnsi="Arial" w:cs="Arial"/>
          <w:b/>
          <w:bCs/>
          <w:sz w:val="20"/>
          <w:szCs w:val="20"/>
          <w:shd w:val="clear" w:color="auto" w:fill="C5E0B3" w:themeFill="accent6" w:themeFillTint="66"/>
        </w:rPr>
        <w:t>section 8.4.3</w:t>
      </w:r>
      <w:r>
        <w:rPr>
          <w:rFonts w:ascii="Arial" w:hAnsi="Arial" w:cs="Arial"/>
          <w:sz w:val="20"/>
          <w:szCs w:val="20"/>
        </w:rPr>
        <w:t xml:space="preserve"> above,</w:t>
      </w:r>
    </w:p>
    <w:p w14:paraId="265D76FF" w14:textId="77777777" w:rsidR="003B2EAC" w:rsidRPr="00011ADD" w:rsidRDefault="003B2EAC" w:rsidP="004F0E38">
      <w:pPr>
        <w:jc w:val="both"/>
        <w:rPr>
          <w:rFonts w:ascii="Arial" w:hAnsi="Arial" w:cs="Arial"/>
          <w:sz w:val="20"/>
          <w:szCs w:val="20"/>
        </w:rPr>
      </w:pPr>
    </w:p>
    <w:p w14:paraId="01A09A57" w14:textId="22B94A57" w:rsidR="00167E1C" w:rsidRDefault="00011ADD" w:rsidP="00167E1C">
      <w:pPr>
        <w:jc w:val="both"/>
        <w:rPr>
          <w:rFonts w:ascii="Arial" w:hAnsi="Arial" w:cs="Arial"/>
          <w:sz w:val="20"/>
        </w:rPr>
      </w:pPr>
      <w:r>
        <w:rPr>
          <w:rFonts w:ascii="Arial" w:hAnsi="Arial" w:cs="Arial"/>
          <w:sz w:val="20"/>
          <w:szCs w:val="20"/>
        </w:rPr>
        <w:t xml:space="preserve">Under s.464SC(3)(b)(i) </w:t>
      </w:r>
      <w:r w:rsidR="00C4430C">
        <w:rPr>
          <w:rFonts w:ascii="Arial" w:hAnsi="Arial" w:cs="Arial"/>
          <w:sz w:val="20"/>
          <w:szCs w:val="20"/>
        </w:rPr>
        <w:t xml:space="preserve">a DNA profile sample may be taken from a “DNA person” who is a child if the child and a parent or guardian of the child give </w:t>
      </w:r>
      <w:r w:rsidR="00C4430C" w:rsidRPr="00E51E06">
        <w:rPr>
          <w:rFonts w:ascii="Arial" w:hAnsi="Arial" w:cs="Arial"/>
          <w:b/>
          <w:bCs/>
          <w:sz w:val="20"/>
          <w:szCs w:val="20"/>
        </w:rPr>
        <w:t>informed consent</w:t>
      </w:r>
      <w:r w:rsidR="00C4430C">
        <w:rPr>
          <w:rFonts w:ascii="Arial" w:hAnsi="Arial" w:cs="Arial"/>
          <w:sz w:val="20"/>
          <w:szCs w:val="20"/>
        </w:rPr>
        <w:t>.</w:t>
      </w:r>
      <w:r w:rsidR="009D624F">
        <w:rPr>
          <w:rFonts w:ascii="Arial" w:hAnsi="Arial" w:cs="Arial"/>
          <w:sz w:val="20"/>
          <w:szCs w:val="20"/>
        </w:rPr>
        <w:t xml:space="preserve">  Ten elements which are required before consent can be described as “informed” are detailed in s.464SD.  In </w:t>
      </w:r>
      <w:r w:rsidR="00E51E06" w:rsidRPr="00E51E06">
        <w:rPr>
          <w:rFonts w:ascii="Arial" w:hAnsi="Arial" w:cs="Arial"/>
          <w:i/>
          <w:iCs/>
          <w:sz w:val="20"/>
          <w:szCs w:val="20"/>
        </w:rPr>
        <w:t>Joshua Martin (a pseudonym) v The Queen</w:t>
      </w:r>
      <w:r w:rsidR="00E51E06">
        <w:rPr>
          <w:rFonts w:ascii="Arial" w:hAnsi="Arial" w:cs="Arial"/>
          <w:sz w:val="20"/>
          <w:szCs w:val="20"/>
        </w:rPr>
        <w:t xml:space="preserve"> [2022] VSCA 97 the Court of Appeal </w:t>
      </w:r>
      <w:r w:rsidR="00221437">
        <w:rPr>
          <w:rFonts w:ascii="Arial" w:hAnsi="Arial" w:cs="Arial"/>
          <w:sz w:val="20"/>
          <w:szCs w:val="20"/>
        </w:rPr>
        <w:t xml:space="preserve">(Priest, Kyrou &amp; T Forrest JJA) </w:t>
      </w:r>
      <w:r w:rsidR="00E51E06">
        <w:rPr>
          <w:rFonts w:ascii="Arial" w:hAnsi="Arial" w:cs="Arial"/>
          <w:sz w:val="20"/>
          <w:szCs w:val="20"/>
        </w:rPr>
        <w:t>discussed at [39]-[42] whether an adult on whom a forensic procedure had been conducted under s.464R(2) had provided the requisite informed consent under s.464S and in particular said at [40]: “Detective Harvey then told the applicant that he had to ‘read some official information’.  What then follows is a cascade of information – consisting of some eight or more separate pieces – which, it might cogently be argued, is not couched in ‘language likely to be understood’ by the applicant.”  The Court of Appeal ultimately did not decide the point but considered at [39] that there was “substance” in the submission that the requisite ‘informed consent’ had not been provided.</w:t>
      </w:r>
    </w:p>
    <w:p w14:paraId="29965334" w14:textId="77777777" w:rsidR="00AC1CA1" w:rsidRDefault="00AC1CA1" w:rsidP="00516F1E">
      <w:pPr>
        <w:jc w:val="both"/>
        <w:rPr>
          <w:rFonts w:ascii="Arial" w:hAnsi="Arial" w:cs="Arial"/>
          <w:sz w:val="20"/>
        </w:rPr>
      </w:pPr>
    </w:p>
    <w:p w14:paraId="583BD4BE" w14:textId="1857D807" w:rsidR="00516F1E" w:rsidRDefault="00516F1E" w:rsidP="00516F1E">
      <w:pPr>
        <w:pStyle w:val="Heading4"/>
        <w:spacing w:before="0" w:after="120"/>
        <w:rPr>
          <w:rFonts w:ascii="Arial" w:hAnsi="Arial" w:cs="Arial"/>
          <w:i w:val="0"/>
          <w:iCs/>
          <w:sz w:val="20"/>
        </w:rPr>
      </w:pPr>
      <w:bookmarkStart w:id="661" w:name="_8.5.2_Senior_police"/>
      <w:bookmarkEnd w:id="661"/>
      <w:r>
        <w:rPr>
          <w:rFonts w:ascii="Arial" w:hAnsi="Arial" w:cs="Arial"/>
          <w:i w:val="0"/>
          <w:iCs/>
          <w:sz w:val="20"/>
        </w:rPr>
        <w:t>8.5.2</w:t>
      </w:r>
      <w:r>
        <w:rPr>
          <w:rFonts w:ascii="Arial" w:hAnsi="Arial" w:cs="Arial"/>
          <w:i w:val="0"/>
          <w:iCs/>
          <w:sz w:val="20"/>
        </w:rPr>
        <w:tab/>
        <w:t>Senior police officer authorisation for DNA profile sample</w:t>
      </w:r>
      <w:r w:rsidR="001C54CF">
        <w:rPr>
          <w:rFonts w:ascii="Arial" w:hAnsi="Arial" w:cs="Arial"/>
          <w:i w:val="0"/>
          <w:iCs/>
          <w:sz w:val="20"/>
        </w:rPr>
        <w:t xml:space="preserve"> from a child aged 15</w:t>
      </w:r>
      <w:r w:rsidR="001214FF">
        <w:rPr>
          <w:rFonts w:ascii="Arial" w:hAnsi="Arial" w:cs="Arial"/>
          <w:i w:val="0"/>
          <w:iCs/>
          <w:sz w:val="20"/>
        </w:rPr>
        <w:t xml:space="preserve"> to 17</w:t>
      </w:r>
    </w:p>
    <w:p w14:paraId="3B32721A" w14:textId="25F19A24" w:rsidR="00E51E06" w:rsidRDefault="00E51E06" w:rsidP="004F0E38">
      <w:pPr>
        <w:jc w:val="both"/>
        <w:rPr>
          <w:rFonts w:ascii="Arial" w:hAnsi="Arial" w:cs="Arial"/>
          <w:sz w:val="20"/>
          <w:szCs w:val="20"/>
        </w:rPr>
      </w:pPr>
      <w:r>
        <w:rPr>
          <w:rFonts w:ascii="Arial" w:hAnsi="Arial" w:cs="Arial"/>
          <w:sz w:val="20"/>
          <w:szCs w:val="20"/>
        </w:rPr>
        <w:t>Section 464S</w:t>
      </w:r>
      <w:r w:rsidR="006A4063">
        <w:rPr>
          <w:rFonts w:ascii="Arial" w:hAnsi="Arial" w:cs="Arial"/>
          <w:sz w:val="20"/>
          <w:szCs w:val="20"/>
        </w:rPr>
        <w:t>E(1)</w:t>
      </w:r>
      <w:r>
        <w:rPr>
          <w:rFonts w:ascii="Arial" w:hAnsi="Arial" w:cs="Arial"/>
          <w:sz w:val="20"/>
          <w:szCs w:val="20"/>
        </w:rPr>
        <w:t xml:space="preserve"> </w:t>
      </w:r>
      <w:r w:rsidR="001C54CF">
        <w:rPr>
          <w:rFonts w:ascii="Arial" w:hAnsi="Arial" w:cs="Arial"/>
          <w:sz w:val="20"/>
          <w:szCs w:val="20"/>
        </w:rPr>
        <w:t>provides that</w:t>
      </w:r>
      <w:r>
        <w:rPr>
          <w:rFonts w:ascii="Arial" w:hAnsi="Arial" w:cs="Arial"/>
          <w:sz w:val="20"/>
          <w:szCs w:val="20"/>
        </w:rPr>
        <w:t xml:space="preserve"> a “senior police officer </w:t>
      </w:r>
      <w:r w:rsidR="006A4063">
        <w:rPr>
          <w:rFonts w:ascii="Arial" w:hAnsi="Arial" w:cs="Arial"/>
          <w:sz w:val="20"/>
          <w:szCs w:val="20"/>
        </w:rPr>
        <w:t xml:space="preserve">who is not involved </w:t>
      </w:r>
      <w:r w:rsidR="000821C0">
        <w:rPr>
          <w:rFonts w:ascii="Arial" w:hAnsi="Arial" w:cs="Arial"/>
          <w:sz w:val="20"/>
          <w:szCs w:val="20"/>
        </w:rPr>
        <w:t>in investigating the offence for which the taking of a sample is required</w:t>
      </w:r>
      <w:r w:rsidR="001C54CF">
        <w:rPr>
          <w:rFonts w:ascii="Arial" w:hAnsi="Arial" w:cs="Arial"/>
          <w:sz w:val="20"/>
          <w:szCs w:val="20"/>
        </w:rPr>
        <w:t>”</w:t>
      </w:r>
      <w:r w:rsidR="000821C0">
        <w:rPr>
          <w:rFonts w:ascii="Arial" w:hAnsi="Arial" w:cs="Arial"/>
          <w:sz w:val="20"/>
          <w:szCs w:val="20"/>
        </w:rPr>
        <w:t xml:space="preserve"> </w:t>
      </w:r>
      <w:r w:rsidR="001C54CF">
        <w:rPr>
          <w:rFonts w:ascii="Arial" w:hAnsi="Arial" w:cs="Arial"/>
          <w:sz w:val="20"/>
          <w:szCs w:val="20"/>
        </w:rPr>
        <w:t>may</w:t>
      </w:r>
      <w:r>
        <w:rPr>
          <w:rFonts w:ascii="Arial" w:hAnsi="Arial" w:cs="Arial"/>
          <w:sz w:val="20"/>
          <w:szCs w:val="20"/>
        </w:rPr>
        <w:t xml:space="preserve"> </w:t>
      </w:r>
      <w:r w:rsidR="001C54CF">
        <w:rPr>
          <w:rFonts w:ascii="Arial" w:hAnsi="Arial" w:cs="Arial"/>
          <w:sz w:val="20"/>
          <w:szCs w:val="20"/>
        </w:rPr>
        <w:t>authorise the taking of</w:t>
      </w:r>
      <w:r>
        <w:rPr>
          <w:rFonts w:ascii="Arial" w:hAnsi="Arial" w:cs="Arial"/>
          <w:sz w:val="20"/>
          <w:szCs w:val="20"/>
        </w:rPr>
        <w:t xml:space="preserve"> a DNA profile sample from a DNA person who is a child if</w:t>
      </w:r>
      <w:r w:rsidR="008A7AD6">
        <w:rPr>
          <w:rFonts w:ascii="Arial" w:hAnsi="Arial" w:cs="Arial"/>
          <w:sz w:val="20"/>
        </w:rPr>
        <w:t>–</w:t>
      </w:r>
    </w:p>
    <w:p w14:paraId="76D4E80E" w14:textId="53DB5B83" w:rsidR="00E51E06" w:rsidRDefault="00E51E06" w:rsidP="00627AB5">
      <w:pPr>
        <w:numPr>
          <w:ilvl w:val="0"/>
          <w:numId w:val="16"/>
        </w:numPr>
        <w:ind w:left="357" w:hanging="357"/>
        <w:jc w:val="both"/>
        <w:rPr>
          <w:rFonts w:ascii="Arial" w:hAnsi="Arial" w:cs="Arial"/>
          <w:sz w:val="20"/>
          <w:szCs w:val="20"/>
        </w:rPr>
      </w:pPr>
      <w:r>
        <w:rPr>
          <w:rFonts w:ascii="Arial" w:hAnsi="Arial" w:cs="Arial"/>
          <w:sz w:val="20"/>
          <w:szCs w:val="20"/>
        </w:rPr>
        <w:t xml:space="preserve">the child is under lawful arrest by warrant or under s.458 or s.459 or a provision of any other Act or in the custody of an investigating official under </w:t>
      </w:r>
      <w:r w:rsidR="008E7C70">
        <w:rPr>
          <w:rFonts w:ascii="Arial" w:hAnsi="Arial" w:cs="Arial"/>
          <w:sz w:val="20"/>
          <w:szCs w:val="20"/>
        </w:rPr>
        <w:t>s.464B(5) and is held in a prison or police gaol; and</w:t>
      </w:r>
    </w:p>
    <w:p w14:paraId="149B45AF" w14:textId="47B32A64" w:rsidR="008E7C70" w:rsidRDefault="008E7C70" w:rsidP="00E51E06">
      <w:pPr>
        <w:numPr>
          <w:ilvl w:val="0"/>
          <w:numId w:val="16"/>
        </w:numPr>
        <w:ind w:left="357" w:hanging="357"/>
        <w:jc w:val="both"/>
        <w:rPr>
          <w:rFonts w:ascii="Arial" w:hAnsi="Arial" w:cs="Arial"/>
          <w:sz w:val="20"/>
          <w:szCs w:val="20"/>
        </w:rPr>
      </w:pPr>
      <w:r>
        <w:rPr>
          <w:rFonts w:ascii="Arial" w:hAnsi="Arial" w:cs="Arial"/>
          <w:sz w:val="20"/>
          <w:szCs w:val="20"/>
        </w:rPr>
        <w:t>both the child and the parent or guardian have refused to give consent to a request under s.464SC(2); and</w:t>
      </w:r>
    </w:p>
    <w:p w14:paraId="3F6E2940" w14:textId="0F110F99" w:rsidR="008E7C70" w:rsidRDefault="008E7C70" w:rsidP="00E51E06">
      <w:pPr>
        <w:numPr>
          <w:ilvl w:val="0"/>
          <w:numId w:val="16"/>
        </w:numPr>
        <w:ind w:left="357" w:hanging="357"/>
        <w:jc w:val="both"/>
        <w:rPr>
          <w:rFonts w:ascii="Arial" w:hAnsi="Arial" w:cs="Arial"/>
          <w:sz w:val="20"/>
          <w:szCs w:val="20"/>
        </w:rPr>
      </w:pPr>
      <w:r>
        <w:rPr>
          <w:rFonts w:ascii="Arial" w:hAnsi="Arial" w:cs="Arial"/>
          <w:sz w:val="20"/>
          <w:szCs w:val="20"/>
        </w:rPr>
        <w:t>the child is believed on reasonable grounds to have committed the DNA sample offence in respect of which the authorisation is sought; and</w:t>
      </w:r>
    </w:p>
    <w:p w14:paraId="1C900D8B" w14:textId="5AC46D76" w:rsidR="008E7C70" w:rsidRDefault="008E7C70" w:rsidP="00E51E06">
      <w:pPr>
        <w:numPr>
          <w:ilvl w:val="0"/>
          <w:numId w:val="16"/>
        </w:numPr>
        <w:ind w:left="357" w:hanging="357"/>
        <w:jc w:val="both"/>
        <w:rPr>
          <w:rFonts w:ascii="Arial" w:hAnsi="Arial" w:cs="Arial"/>
          <w:sz w:val="20"/>
          <w:szCs w:val="20"/>
        </w:rPr>
      </w:pPr>
      <w:r>
        <w:rPr>
          <w:rFonts w:ascii="Arial" w:hAnsi="Arial" w:cs="Arial"/>
          <w:sz w:val="20"/>
          <w:szCs w:val="20"/>
        </w:rPr>
        <w:t>the taking of the sample without consent is justified in all of the circumstances.</w:t>
      </w:r>
    </w:p>
    <w:p w14:paraId="23C41222" w14:textId="011B0710" w:rsidR="00E51E06" w:rsidRDefault="00E51E06" w:rsidP="008E7C70">
      <w:pPr>
        <w:jc w:val="both"/>
        <w:rPr>
          <w:rFonts w:ascii="Arial" w:hAnsi="Arial" w:cs="Arial"/>
          <w:sz w:val="18"/>
          <w:szCs w:val="18"/>
        </w:rPr>
      </w:pPr>
    </w:p>
    <w:p w14:paraId="04EAA544" w14:textId="1ABD9114" w:rsidR="000D10CF" w:rsidRPr="000D10CF" w:rsidRDefault="000D10CF" w:rsidP="008E7C70">
      <w:pPr>
        <w:jc w:val="both"/>
        <w:rPr>
          <w:rFonts w:ascii="Arial" w:hAnsi="Arial" w:cs="Arial"/>
          <w:sz w:val="20"/>
          <w:szCs w:val="20"/>
        </w:rPr>
      </w:pPr>
      <w:r w:rsidRPr="000D10CF">
        <w:rPr>
          <w:rFonts w:ascii="Arial" w:hAnsi="Arial" w:cs="Arial"/>
          <w:sz w:val="20"/>
          <w:szCs w:val="20"/>
        </w:rPr>
        <w:t>Under s.</w:t>
      </w:r>
      <w:r>
        <w:rPr>
          <w:rFonts w:ascii="Arial" w:hAnsi="Arial" w:cs="Arial"/>
          <w:sz w:val="20"/>
          <w:szCs w:val="20"/>
        </w:rPr>
        <w:t xml:space="preserve">464F(1), before a senior police officer gives or refuses to give an authorisation under s.464SE, he or she must allow a reasonable opportunity, if practicable in person, for the child, the child’s parent or guardian and the child’s legal representative (if any) to inform him or her whether there is any </w:t>
      </w:r>
      <w:r w:rsidR="005D0751">
        <w:rPr>
          <w:rFonts w:ascii="Arial" w:hAnsi="Arial" w:cs="Arial"/>
          <w:sz w:val="20"/>
          <w:szCs w:val="20"/>
        </w:rPr>
        <w:t>reason why the DNA profile sample should not be taken.  Other obligations on police officers are detailed in ss.464F(2)-(6).</w:t>
      </w:r>
    </w:p>
    <w:p w14:paraId="0C23990E" w14:textId="77777777" w:rsidR="000D10CF" w:rsidRPr="008E7C70" w:rsidRDefault="000D10CF" w:rsidP="008E7C70">
      <w:pPr>
        <w:jc w:val="both"/>
        <w:rPr>
          <w:rFonts w:ascii="Arial" w:hAnsi="Arial" w:cs="Arial"/>
          <w:sz w:val="18"/>
          <w:szCs w:val="18"/>
        </w:rPr>
      </w:pPr>
    </w:p>
    <w:p w14:paraId="208504C7" w14:textId="07FC5ED1" w:rsidR="008E7C70" w:rsidRDefault="008E7C70" w:rsidP="008E7C70">
      <w:pPr>
        <w:pStyle w:val="ListParagraph"/>
        <w:spacing w:after="0" w:line="240" w:lineRule="auto"/>
        <w:ind w:left="0" w:firstLine="0"/>
        <w:jc w:val="both"/>
        <w:rPr>
          <w:rFonts w:ascii="Arial" w:hAnsi="Arial" w:cs="Arial"/>
          <w:sz w:val="20"/>
          <w:szCs w:val="20"/>
        </w:rPr>
      </w:pPr>
      <w:r>
        <w:rPr>
          <w:rFonts w:ascii="Arial" w:hAnsi="Arial" w:cs="Arial"/>
          <w:sz w:val="20"/>
          <w:szCs w:val="20"/>
        </w:rPr>
        <w:t>Unlike s.464U(7), s.</w:t>
      </w:r>
      <w:r w:rsidRPr="008E7C70">
        <w:rPr>
          <w:rFonts w:ascii="Arial" w:hAnsi="Arial" w:cs="Arial"/>
          <w:sz w:val="20"/>
          <w:szCs w:val="20"/>
        </w:rPr>
        <w:t xml:space="preserve">464SE does not require a pre-condition of forensic relevance or require the requesting or the authorising police officer to be satisfied of any pre-conditions to any particular standard.  In addition, it invests the power to authorise the taking of a DNA profile sample from a relevant child in a so-called </w:t>
      </w:r>
      <w:r w:rsidR="003B2EAC">
        <w:rPr>
          <w:rFonts w:ascii="Arial" w:hAnsi="Arial" w:cs="Arial"/>
          <w:sz w:val="20"/>
          <w:szCs w:val="20"/>
        </w:rPr>
        <w:t>“</w:t>
      </w:r>
      <w:r w:rsidRPr="008E7C70">
        <w:rPr>
          <w:rFonts w:ascii="Arial" w:hAnsi="Arial" w:cs="Arial"/>
          <w:sz w:val="20"/>
          <w:szCs w:val="20"/>
        </w:rPr>
        <w:t>senior police officer</w:t>
      </w:r>
      <w:r w:rsidR="003B2EAC">
        <w:rPr>
          <w:rFonts w:ascii="Arial" w:hAnsi="Arial" w:cs="Arial"/>
          <w:sz w:val="20"/>
          <w:szCs w:val="20"/>
        </w:rPr>
        <w:t>”</w:t>
      </w:r>
      <w:r w:rsidRPr="008E7C70">
        <w:rPr>
          <w:rFonts w:ascii="Arial" w:hAnsi="Arial" w:cs="Arial"/>
          <w:sz w:val="20"/>
          <w:szCs w:val="20"/>
        </w:rPr>
        <w:t xml:space="preserve"> who may, in fact, be no more senior than a senior </w:t>
      </w:r>
      <w:r w:rsidRPr="003B2EAC">
        <w:rPr>
          <w:rFonts w:ascii="Arial" w:hAnsi="Arial" w:cs="Arial"/>
          <w:sz w:val="20"/>
          <w:szCs w:val="20"/>
        </w:rPr>
        <w:t xml:space="preserve">sergeant </w:t>
      </w:r>
      <w:r w:rsidR="003B2EAC" w:rsidRPr="003B2EAC">
        <w:rPr>
          <w:rFonts w:ascii="Arial" w:hAnsi="Arial" w:cs="Arial"/>
          <w:sz w:val="20"/>
          <w:szCs w:val="20"/>
        </w:rPr>
        <w:t>[see the definition of “senior police officer” in s.464(2)</w:t>
      </w:r>
      <w:r w:rsidR="003B2EAC">
        <w:rPr>
          <w:rFonts w:ascii="Arial" w:hAnsi="Arial" w:cs="Arial"/>
          <w:sz w:val="20"/>
          <w:szCs w:val="20"/>
        </w:rPr>
        <w:t xml:space="preserve"> and n</w:t>
      </w:r>
      <w:r w:rsidRPr="008E7C70">
        <w:rPr>
          <w:rFonts w:ascii="Arial" w:hAnsi="Arial" w:cs="Arial"/>
          <w:sz w:val="20"/>
          <w:szCs w:val="20"/>
        </w:rPr>
        <w:t>o more independent of the requesting police officer than merely</w:t>
      </w:r>
      <w:r w:rsidR="001C54CF">
        <w:rPr>
          <w:rFonts w:ascii="Arial" w:hAnsi="Arial" w:cs="Arial"/>
          <w:sz w:val="20"/>
          <w:szCs w:val="20"/>
        </w:rPr>
        <w:t xml:space="preserve"> </w:t>
      </w:r>
      <w:r w:rsidRPr="008E7C70">
        <w:rPr>
          <w:rFonts w:ascii="Arial" w:hAnsi="Arial" w:cs="Arial"/>
          <w:sz w:val="20"/>
          <w:szCs w:val="20"/>
        </w:rPr>
        <w:t>“not involved in investigating the offence</w:t>
      </w:r>
      <w:r w:rsidR="001C54CF">
        <w:rPr>
          <w:rFonts w:ascii="Arial" w:hAnsi="Arial" w:cs="Arial"/>
          <w:sz w:val="20"/>
          <w:szCs w:val="20"/>
        </w:rPr>
        <w:t>”</w:t>
      </w:r>
      <w:r w:rsidRPr="008E7C70">
        <w:rPr>
          <w:rFonts w:ascii="Arial" w:hAnsi="Arial" w:cs="Arial"/>
          <w:sz w:val="20"/>
          <w:szCs w:val="20"/>
        </w:rPr>
        <w:t xml:space="preserve"> </w:t>
      </w:r>
      <w:r w:rsidR="003B2EAC">
        <w:rPr>
          <w:rFonts w:ascii="Arial" w:hAnsi="Arial" w:cs="Arial"/>
          <w:sz w:val="20"/>
          <w:szCs w:val="20"/>
        </w:rPr>
        <w:t>[see s.464SE(1)]</w:t>
      </w:r>
      <w:r w:rsidRPr="008E7C70">
        <w:rPr>
          <w:rFonts w:ascii="Arial" w:hAnsi="Arial" w:cs="Arial"/>
          <w:sz w:val="20"/>
          <w:szCs w:val="20"/>
        </w:rPr>
        <w:t>.</w:t>
      </w:r>
    </w:p>
    <w:p w14:paraId="2A151C16" w14:textId="77777777" w:rsidR="008E7C70" w:rsidRPr="008E7C70" w:rsidRDefault="008E7C70" w:rsidP="008E7C70">
      <w:pPr>
        <w:jc w:val="both"/>
        <w:rPr>
          <w:rFonts w:ascii="Arial" w:hAnsi="Arial" w:cs="Arial"/>
          <w:sz w:val="18"/>
          <w:szCs w:val="18"/>
        </w:rPr>
      </w:pPr>
    </w:p>
    <w:p w14:paraId="06E35103" w14:textId="4E30AD1C" w:rsidR="008E7C70" w:rsidRPr="008E7C70" w:rsidRDefault="008E7C70" w:rsidP="003B2EAC">
      <w:pPr>
        <w:pStyle w:val="ListParagraph"/>
        <w:spacing w:after="0" w:line="240" w:lineRule="auto"/>
        <w:ind w:left="0" w:firstLine="0"/>
        <w:jc w:val="both"/>
        <w:rPr>
          <w:rFonts w:ascii="Arial" w:hAnsi="Arial" w:cs="Arial"/>
          <w:sz w:val="20"/>
          <w:szCs w:val="20"/>
        </w:rPr>
      </w:pPr>
      <w:r w:rsidRPr="008E7C70">
        <w:rPr>
          <w:rFonts w:ascii="Arial" w:hAnsi="Arial" w:cs="Arial"/>
          <w:sz w:val="20"/>
          <w:szCs w:val="20"/>
        </w:rPr>
        <w:t xml:space="preserve">By contrast, the provisions in the </w:t>
      </w:r>
      <w:r w:rsidRPr="008E7C70">
        <w:rPr>
          <w:rFonts w:ascii="Arial" w:hAnsi="Arial" w:cs="Arial"/>
          <w:i/>
          <w:iCs/>
          <w:sz w:val="20"/>
          <w:szCs w:val="20"/>
        </w:rPr>
        <w:t>Victoria Police Act 2013</w:t>
      </w:r>
      <w:r w:rsidRPr="008E7C70">
        <w:rPr>
          <w:rFonts w:ascii="Arial" w:hAnsi="Arial" w:cs="Arial"/>
          <w:sz w:val="20"/>
          <w:szCs w:val="20"/>
        </w:rPr>
        <w:t xml:space="preserve"> that regulate the disposal of unclaimed property that has come into the possession of a Vicpol member in the performance of his or her duties provide that disposal of such property is at the direction of an “authorised person”</w:t>
      </w:r>
      <w:r w:rsidR="003B2EAC">
        <w:rPr>
          <w:rFonts w:ascii="Arial" w:hAnsi="Arial" w:cs="Arial"/>
          <w:sz w:val="20"/>
          <w:szCs w:val="20"/>
        </w:rPr>
        <w:t xml:space="preserve"> [s.57(3)]</w:t>
      </w:r>
      <w:r w:rsidRPr="008E7C70">
        <w:rPr>
          <w:rFonts w:ascii="Arial" w:hAnsi="Arial" w:cs="Arial"/>
          <w:sz w:val="20"/>
          <w:szCs w:val="20"/>
        </w:rPr>
        <w:t>.  An</w:t>
      </w:r>
      <w:r w:rsidR="003B2EAC">
        <w:rPr>
          <w:rFonts w:ascii="Arial" w:hAnsi="Arial" w:cs="Arial"/>
          <w:sz w:val="20"/>
          <w:szCs w:val="20"/>
        </w:rPr>
        <w:t> </w:t>
      </w:r>
      <w:r w:rsidRPr="008E7C70">
        <w:rPr>
          <w:rFonts w:ascii="Arial" w:hAnsi="Arial" w:cs="Arial"/>
          <w:sz w:val="20"/>
          <w:szCs w:val="20"/>
        </w:rPr>
        <w:t>“authorised person” means “a commissioned officer” or “a person authorised by the Chief Commissioner in writing to direct the disposal of property”</w:t>
      </w:r>
      <w:r w:rsidR="003B2EAC">
        <w:rPr>
          <w:rFonts w:ascii="Arial" w:hAnsi="Arial" w:cs="Arial"/>
          <w:sz w:val="20"/>
          <w:szCs w:val="20"/>
        </w:rPr>
        <w:t xml:space="preserve"> [ss.57(7) &amp; 57(8)]</w:t>
      </w:r>
      <w:r w:rsidRPr="008E7C70">
        <w:rPr>
          <w:rFonts w:ascii="Arial" w:hAnsi="Arial" w:cs="Arial"/>
          <w:sz w:val="20"/>
          <w:szCs w:val="20"/>
        </w:rPr>
        <w:t xml:space="preserve">.  And a commissioned </w:t>
      </w:r>
      <w:r w:rsidRPr="008E7C70">
        <w:rPr>
          <w:rFonts w:ascii="Arial" w:hAnsi="Arial" w:cs="Arial"/>
          <w:sz w:val="20"/>
          <w:szCs w:val="20"/>
        </w:rPr>
        <w:lastRenderedPageBreak/>
        <w:t>officer means a police officer of one of 6 ranks running down from an Assistant Commissioner to an inspector</w:t>
      </w:r>
      <w:r w:rsidR="003B2EAC">
        <w:rPr>
          <w:rFonts w:ascii="Arial" w:hAnsi="Arial" w:cs="Arial"/>
          <w:sz w:val="20"/>
          <w:szCs w:val="20"/>
        </w:rPr>
        <w:t xml:space="preserve"> [see s.14(1)]</w:t>
      </w:r>
      <w:r w:rsidRPr="008E7C70">
        <w:rPr>
          <w:rFonts w:ascii="Arial" w:hAnsi="Arial" w:cs="Arial"/>
          <w:sz w:val="20"/>
          <w:szCs w:val="20"/>
        </w:rPr>
        <w:t>.</w:t>
      </w:r>
    </w:p>
    <w:p w14:paraId="59A78B79" w14:textId="77777777" w:rsidR="008E7C70" w:rsidRPr="008E7C70" w:rsidRDefault="008E7C70" w:rsidP="008E7C70">
      <w:pPr>
        <w:jc w:val="both"/>
        <w:rPr>
          <w:rFonts w:ascii="Arial" w:hAnsi="Arial" w:cs="Arial"/>
          <w:sz w:val="18"/>
          <w:szCs w:val="18"/>
        </w:rPr>
      </w:pPr>
    </w:p>
    <w:p w14:paraId="0B9E8151" w14:textId="0BD7A8A8" w:rsidR="008E7C70" w:rsidRPr="008E7C70" w:rsidRDefault="00516F1E" w:rsidP="003B2EAC">
      <w:pPr>
        <w:pStyle w:val="ListParagraph"/>
        <w:spacing w:after="0" w:line="240" w:lineRule="auto"/>
        <w:ind w:left="0" w:firstLine="0"/>
        <w:jc w:val="both"/>
        <w:rPr>
          <w:rFonts w:ascii="Arial" w:hAnsi="Arial" w:cs="Arial"/>
          <w:sz w:val="20"/>
          <w:szCs w:val="20"/>
        </w:rPr>
      </w:pPr>
      <w:r>
        <w:rPr>
          <w:rFonts w:ascii="Arial" w:hAnsi="Arial" w:cs="Arial"/>
          <w:sz w:val="20"/>
          <w:szCs w:val="20"/>
        </w:rPr>
        <w:t>Thus</w:t>
      </w:r>
      <w:r w:rsidR="008E7C70" w:rsidRPr="008E7C70">
        <w:rPr>
          <w:rFonts w:ascii="Arial" w:hAnsi="Arial" w:cs="Arial"/>
          <w:sz w:val="20"/>
          <w:szCs w:val="20"/>
        </w:rPr>
        <w:t xml:space="preserve"> s.464SE empowers a police officer who is not necessarily sufficiently senior to direct the disposal of unclaimed property to give a direction that an invasive and potentially distressing procedure be conducted on a child which has the potential to destroy the child’s privilege against self-incrimination.  </w:t>
      </w:r>
      <w:r>
        <w:rPr>
          <w:rFonts w:ascii="Arial" w:hAnsi="Arial" w:cs="Arial"/>
          <w:sz w:val="20"/>
          <w:szCs w:val="20"/>
        </w:rPr>
        <w:t>Further,</w:t>
      </w:r>
      <w:r w:rsidR="008E7C70" w:rsidRPr="008E7C70">
        <w:rPr>
          <w:rFonts w:ascii="Arial" w:hAnsi="Arial" w:cs="Arial"/>
          <w:sz w:val="20"/>
          <w:szCs w:val="20"/>
        </w:rPr>
        <w:t xml:space="preserve"> such a police officer can give a direction authorising the taking of a blood sample </w:t>
      </w:r>
      <w:r w:rsidR="00D64815">
        <w:rPr>
          <w:rFonts w:ascii="Arial" w:hAnsi="Arial" w:cs="Arial"/>
          <w:sz w:val="20"/>
          <w:szCs w:val="20"/>
        </w:rPr>
        <w:t>[s</w:t>
      </w:r>
      <w:r w:rsidR="00D64815" w:rsidRPr="00D64815">
        <w:rPr>
          <w:rFonts w:ascii="Arial" w:hAnsi="Arial" w:cs="Arial"/>
          <w:sz w:val="20"/>
          <w:szCs w:val="20"/>
        </w:rPr>
        <w:t>ee item (a) in the definition of “DNA profile sample” in s.464(2)</w:t>
      </w:r>
      <w:r w:rsidR="00D64815">
        <w:rPr>
          <w:rFonts w:ascii="Arial" w:hAnsi="Arial" w:cs="Arial"/>
          <w:sz w:val="20"/>
          <w:szCs w:val="20"/>
        </w:rPr>
        <w:t xml:space="preserve">] </w:t>
      </w:r>
      <w:r w:rsidR="008E7C70" w:rsidRPr="008E7C70">
        <w:rPr>
          <w:rFonts w:ascii="Arial" w:hAnsi="Arial" w:cs="Arial"/>
          <w:sz w:val="20"/>
          <w:szCs w:val="20"/>
        </w:rPr>
        <w:t xml:space="preserve">in circumstances where a judicial officer cannot make an interim order for the taking of a blood sample </w:t>
      </w:r>
      <w:r w:rsidR="00D64815">
        <w:rPr>
          <w:rFonts w:ascii="Arial" w:hAnsi="Arial" w:cs="Arial"/>
          <w:sz w:val="20"/>
          <w:szCs w:val="20"/>
        </w:rPr>
        <w:t>[s</w:t>
      </w:r>
      <w:r w:rsidR="00D64815" w:rsidRPr="00D64815">
        <w:rPr>
          <w:rFonts w:ascii="Arial" w:hAnsi="Arial" w:cs="Arial"/>
          <w:sz w:val="20"/>
          <w:szCs w:val="20"/>
        </w:rPr>
        <w:t>ee s.464V(1)</w:t>
      </w:r>
      <w:r w:rsidR="00D64815">
        <w:rPr>
          <w:rFonts w:ascii="Arial" w:hAnsi="Arial" w:cs="Arial"/>
          <w:sz w:val="20"/>
          <w:szCs w:val="20"/>
        </w:rPr>
        <w:t xml:space="preserve">] </w:t>
      </w:r>
      <w:r w:rsidR="008E7C70" w:rsidRPr="008E7C70">
        <w:rPr>
          <w:rFonts w:ascii="Arial" w:hAnsi="Arial" w:cs="Arial"/>
          <w:sz w:val="20"/>
          <w:szCs w:val="20"/>
        </w:rPr>
        <w:t>and where the police officer’s authorisation is not subject to any of the safeguards in ss.464U(7), 464V(3), 464V(5), 464V(7)(b) or 464V(8).</w:t>
      </w:r>
    </w:p>
    <w:p w14:paraId="2FD0D07C" w14:textId="77777777" w:rsidR="005E237C" w:rsidRPr="002F5928" w:rsidRDefault="005E237C" w:rsidP="005E237C">
      <w:pPr>
        <w:jc w:val="both"/>
        <w:rPr>
          <w:rFonts w:ascii="Arial" w:hAnsi="Arial" w:cs="Arial"/>
          <w:sz w:val="20"/>
          <w:szCs w:val="20"/>
        </w:rPr>
      </w:pPr>
    </w:p>
    <w:p w14:paraId="78DAE243" w14:textId="669B20A5" w:rsidR="005E237C" w:rsidRDefault="005E237C" w:rsidP="005E237C">
      <w:pPr>
        <w:pStyle w:val="Heading2"/>
        <w:keepNext/>
        <w:tabs>
          <w:tab w:val="left" w:pos="567"/>
        </w:tabs>
        <w:spacing w:line="240" w:lineRule="auto"/>
        <w:ind w:left="567" w:hanging="567"/>
        <w:rPr>
          <w:rFonts w:ascii="Arial" w:hAnsi="Arial" w:cs="Arial"/>
          <w:b/>
          <w:bCs/>
        </w:rPr>
      </w:pPr>
      <w:bookmarkStart w:id="662" w:name="_8.6_Use_of"/>
      <w:bookmarkEnd w:id="662"/>
      <w:r>
        <w:rPr>
          <w:rFonts w:ascii="Arial" w:hAnsi="Arial" w:cs="Arial"/>
          <w:b/>
          <w:bCs/>
        </w:rPr>
        <w:t>8.6</w:t>
      </w:r>
      <w:r>
        <w:rPr>
          <w:rFonts w:ascii="Arial" w:hAnsi="Arial" w:cs="Arial"/>
          <w:b/>
          <w:bCs/>
        </w:rPr>
        <w:tab/>
        <w:t xml:space="preserve">Use of evidence from DNA </w:t>
      </w:r>
      <w:r w:rsidR="00664F3B">
        <w:rPr>
          <w:rFonts w:ascii="Arial" w:hAnsi="Arial" w:cs="Arial"/>
          <w:b/>
          <w:bCs/>
        </w:rPr>
        <w:t>samples</w:t>
      </w:r>
    </w:p>
    <w:p w14:paraId="00270D8B" w14:textId="77777777" w:rsidR="005E237C" w:rsidRPr="002F5928" w:rsidRDefault="005E237C" w:rsidP="005E237C">
      <w:pPr>
        <w:jc w:val="both"/>
        <w:rPr>
          <w:rFonts w:ascii="Arial" w:hAnsi="Arial" w:cs="Arial"/>
          <w:sz w:val="20"/>
          <w:szCs w:val="20"/>
        </w:rPr>
      </w:pPr>
    </w:p>
    <w:p w14:paraId="485F6217" w14:textId="77777777" w:rsidR="00664F3B" w:rsidRPr="00B907F2" w:rsidRDefault="00664F3B" w:rsidP="00B907F2">
      <w:pPr>
        <w:tabs>
          <w:tab w:val="left" w:pos="357"/>
        </w:tabs>
        <w:jc w:val="both"/>
        <w:rPr>
          <w:rFonts w:ascii="Arial" w:hAnsi="Arial" w:cs="Arial"/>
          <w:sz w:val="20"/>
          <w:szCs w:val="20"/>
        </w:rPr>
      </w:pPr>
      <w:r w:rsidRPr="00B907F2">
        <w:rPr>
          <w:rFonts w:ascii="Arial" w:hAnsi="Arial" w:cs="Arial"/>
          <w:sz w:val="20"/>
          <w:szCs w:val="20"/>
        </w:rPr>
        <w:t>There are three basic uses for DNA samples:</w:t>
      </w:r>
    </w:p>
    <w:p w14:paraId="0E42F316" w14:textId="77777777" w:rsidR="00664F3B" w:rsidRPr="00B907F2" w:rsidRDefault="00664F3B" w:rsidP="00B907F2">
      <w:pPr>
        <w:pStyle w:val="ListParagraph"/>
        <w:numPr>
          <w:ilvl w:val="0"/>
          <w:numId w:val="20"/>
        </w:numPr>
        <w:spacing w:after="0" w:line="240" w:lineRule="auto"/>
        <w:ind w:left="357" w:hanging="357"/>
        <w:jc w:val="both"/>
        <w:rPr>
          <w:rFonts w:ascii="Arial" w:hAnsi="Arial" w:cs="Arial"/>
          <w:sz w:val="20"/>
          <w:szCs w:val="20"/>
        </w:rPr>
      </w:pPr>
      <w:r w:rsidRPr="00B907F2">
        <w:rPr>
          <w:rFonts w:ascii="Arial" w:hAnsi="Arial" w:cs="Arial"/>
          <w:sz w:val="20"/>
          <w:szCs w:val="20"/>
        </w:rPr>
        <w:t>to confirm or disprove a child’s involvement in the commission of a criminal offence in respect of which the DNA sample was sought;</w:t>
      </w:r>
    </w:p>
    <w:p w14:paraId="39744798" w14:textId="77777777" w:rsidR="00664F3B" w:rsidRPr="00B907F2" w:rsidRDefault="00664F3B" w:rsidP="00B907F2">
      <w:pPr>
        <w:pStyle w:val="ListParagraph"/>
        <w:numPr>
          <w:ilvl w:val="0"/>
          <w:numId w:val="20"/>
        </w:numPr>
        <w:spacing w:after="0" w:line="240" w:lineRule="auto"/>
        <w:ind w:left="357" w:hanging="357"/>
        <w:jc w:val="both"/>
        <w:rPr>
          <w:rFonts w:ascii="Arial" w:hAnsi="Arial" w:cs="Arial"/>
          <w:sz w:val="20"/>
          <w:szCs w:val="20"/>
        </w:rPr>
      </w:pPr>
      <w:r w:rsidRPr="00B907F2">
        <w:rPr>
          <w:rFonts w:ascii="Arial" w:hAnsi="Arial" w:cs="Arial"/>
          <w:sz w:val="20"/>
          <w:szCs w:val="20"/>
        </w:rPr>
        <w:t>to assist in the investigation of future offences or prior unsolved offences; and</w:t>
      </w:r>
    </w:p>
    <w:p w14:paraId="3CEB5954" w14:textId="77777777" w:rsidR="00664F3B" w:rsidRPr="00B907F2" w:rsidRDefault="00664F3B" w:rsidP="00B907F2">
      <w:pPr>
        <w:pStyle w:val="ListParagraph"/>
        <w:numPr>
          <w:ilvl w:val="0"/>
          <w:numId w:val="20"/>
        </w:numPr>
        <w:spacing w:after="0" w:line="240" w:lineRule="auto"/>
        <w:ind w:left="357" w:hanging="357"/>
        <w:jc w:val="both"/>
        <w:rPr>
          <w:rFonts w:ascii="Arial" w:hAnsi="Arial" w:cs="Arial"/>
          <w:sz w:val="20"/>
          <w:szCs w:val="20"/>
        </w:rPr>
      </w:pPr>
      <w:r w:rsidRPr="00B907F2">
        <w:rPr>
          <w:rFonts w:ascii="Arial" w:hAnsi="Arial" w:cs="Arial"/>
          <w:sz w:val="20"/>
          <w:szCs w:val="20"/>
        </w:rPr>
        <w:t>to populate the DNA data base to make it more representative of the community as a whole and hence more reliable and effective for matching purposes.</w:t>
      </w:r>
    </w:p>
    <w:p w14:paraId="2BCEAD74" w14:textId="77777777" w:rsidR="00664F3B" w:rsidRPr="00B907F2" w:rsidRDefault="00664F3B" w:rsidP="00664F3B">
      <w:pPr>
        <w:tabs>
          <w:tab w:val="left" w:pos="357"/>
        </w:tabs>
        <w:jc w:val="both"/>
        <w:rPr>
          <w:rFonts w:ascii="Arial" w:hAnsi="Arial" w:cs="Arial"/>
          <w:sz w:val="20"/>
          <w:szCs w:val="20"/>
        </w:rPr>
      </w:pPr>
    </w:p>
    <w:p w14:paraId="498B8B99" w14:textId="4785B2D3" w:rsidR="00B907F2" w:rsidRDefault="00664F3B" w:rsidP="00B907F2">
      <w:pPr>
        <w:tabs>
          <w:tab w:val="left" w:pos="357"/>
        </w:tabs>
        <w:jc w:val="both"/>
        <w:rPr>
          <w:rFonts w:ascii="Arial" w:hAnsi="Arial" w:cs="Arial"/>
          <w:sz w:val="20"/>
          <w:szCs w:val="20"/>
        </w:rPr>
      </w:pPr>
      <w:r w:rsidRPr="00B907F2">
        <w:rPr>
          <w:rFonts w:ascii="Arial" w:hAnsi="Arial" w:cs="Arial"/>
          <w:sz w:val="20"/>
          <w:szCs w:val="20"/>
        </w:rPr>
        <w:t xml:space="preserve">The fundamental purpose behind uses (1) &amp; (2) is to enable evidence obtained as a result of a DNA profile sample or a compulsory procedure or a voluntary sample from a person to be admitted in court in a prosecution of the person for a criminal offence.  The admissibility of such evidence is governed by the relevance provisions in </w:t>
      </w:r>
      <w:r w:rsidR="00B907F2">
        <w:rPr>
          <w:rFonts w:ascii="Arial" w:hAnsi="Arial" w:cs="Arial"/>
          <w:sz w:val="20"/>
          <w:szCs w:val="20"/>
        </w:rPr>
        <w:t xml:space="preserve">Part 3.1 (ss.55-58) of </w:t>
      </w:r>
      <w:r w:rsidRPr="00B907F2">
        <w:rPr>
          <w:rFonts w:ascii="Arial" w:hAnsi="Arial" w:cs="Arial"/>
          <w:sz w:val="20"/>
          <w:szCs w:val="20"/>
        </w:rPr>
        <w:t xml:space="preserve">the </w:t>
      </w:r>
      <w:r w:rsidRPr="00B907F2">
        <w:rPr>
          <w:rFonts w:ascii="Arial" w:hAnsi="Arial" w:cs="Arial"/>
          <w:i/>
          <w:iCs/>
          <w:sz w:val="20"/>
          <w:szCs w:val="20"/>
        </w:rPr>
        <w:t>Evidence Act 2008</w:t>
      </w:r>
      <w:r w:rsidRPr="00B907F2">
        <w:rPr>
          <w:rFonts w:ascii="Arial" w:hAnsi="Arial" w:cs="Arial"/>
          <w:sz w:val="20"/>
          <w:szCs w:val="20"/>
        </w:rPr>
        <w:t xml:space="preserve"> and by s.464ZE of the </w:t>
      </w:r>
      <w:r w:rsidRPr="00B907F2">
        <w:rPr>
          <w:rFonts w:ascii="Arial" w:hAnsi="Arial" w:cs="Arial"/>
          <w:i/>
          <w:iCs/>
          <w:sz w:val="20"/>
          <w:szCs w:val="20"/>
        </w:rPr>
        <w:t>Crimes Act 1958</w:t>
      </w:r>
      <w:r w:rsidRPr="00B907F2">
        <w:rPr>
          <w:rFonts w:ascii="Arial" w:hAnsi="Arial" w:cs="Arial"/>
          <w:sz w:val="20"/>
          <w:szCs w:val="20"/>
        </w:rPr>
        <w:t>.</w:t>
      </w:r>
    </w:p>
    <w:p w14:paraId="411D202A" w14:textId="77777777" w:rsidR="00B907F2" w:rsidRDefault="00B907F2" w:rsidP="00B907F2">
      <w:pPr>
        <w:tabs>
          <w:tab w:val="left" w:pos="357"/>
        </w:tabs>
        <w:jc w:val="both"/>
        <w:rPr>
          <w:rFonts w:ascii="Arial" w:hAnsi="Arial" w:cs="Arial"/>
          <w:sz w:val="20"/>
          <w:szCs w:val="20"/>
        </w:rPr>
      </w:pPr>
    </w:p>
    <w:p w14:paraId="23EC5B5A" w14:textId="368038B5" w:rsidR="00627AB5" w:rsidRDefault="00BC34B5" w:rsidP="00B907F2">
      <w:pPr>
        <w:tabs>
          <w:tab w:val="left" w:pos="357"/>
        </w:tabs>
        <w:jc w:val="both"/>
        <w:rPr>
          <w:rFonts w:ascii="Arial" w:hAnsi="Arial" w:cs="Arial"/>
          <w:sz w:val="20"/>
          <w:szCs w:val="20"/>
        </w:rPr>
      </w:pPr>
      <w:r>
        <w:rPr>
          <w:rFonts w:ascii="Arial" w:hAnsi="Arial" w:cs="Arial"/>
          <w:sz w:val="20"/>
          <w:szCs w:val="20"/>
        </w:rPr>
        <w:t>Section 464ZE(1)</w:t>
      </w:r>
      <w:r w:rsidR="00664F3B" w:rsidRPr="00B907F2">
        <w:rPr>
          <w:rFonts w:ascii="Arial" w:hAnsi="Arial" w:cs="Arial"/>
          <w:sz w:val="20"/>
          <w:szCs w:val="20"/>
        </w:rPr>
        <w:t xml:space="preserve"> essentially provides that evidence obtained from a person as a result of a DNA profile sample or a compulsory procedure or a voluntary sample is inadmissible as part of the prosecution case against that person unless 6 pre-conditions have been satisfied or unless a court admits the evidence under s.464ZE(2).</w:t>
      </w:r>
      <w:r w:rsidR="00627AB5">
        <w:rPr>
          <w:rFonts w:ascii="Arial" w:hAnsi="Arial" w:cs="Arial"/>
          <w:sz w:val="20"/>
          <w:szCs w:val="20"/>
        </w:rPr>
        <w:t xml:space="preserve">  For samples taken from children the pre-conditions are</w:t>
      </w:r>
      <w:r w:rsidR="00F321EE">
        <w:rPr>
          <w:rFonts w:ascii="Arial" w:hAnsi="Arial" w:cs="Arial"/>
          <w:sz w:val="20"/>
          <w:szCs w:val="20"/>
        </w:rPr>
        <w:t>:</w:t>
      </w:r>
    </w:p>
    <w:p w14:paraId="2CBD1CEB" w14:textId="5E7BF716" w:rsidR="00627AB5" w:rsidRDefault="00627AB5" w:rsidP="00916A86">
      <w:pPr>
        <w:pStyle w:val="ListParagraph"/>
        <w:numPr>
          <w:ilvl w:val="0"/>
          <w:numId w:val="22"/>
        </w:numPr>
        <w:spacing w:after="0" w:line="240" w:lineRule="auto"/>
        <w:ind w:left="567" w:hanging="567"/>
        <w:jc w:val="both"/>
        <w:rPr>
          <w:rFonts w:ascii="Arial" w:hAnsi="Arial" w:cs="Arial"/>
          <w:sz w:val="20"/>
          <w:szCs w:val="20"/>
        </w:rPr>
      </w:pPr>
      <w:r w:rsidRPr="00916A86">
        <w:rPr>
          <w:rFonts w:ascii="Arial" w:hAnsi="Arial" w:cs="Arial"/>
          <w:sz w:val="20"/>
          <w:szCs w:val="20"/>
        </w:rPr>
        <w:t xml:space="preserve">the pre-conditions for the </w:t>
      </w:r>
      <w:r w:rsidR="00BC34B5" w:rsidRPr="00916A86">
        <w:rPr>
          <w:rFonts w:ascii="Arial" w:hAnsi="Arial" w:cs="Arial"/>
          <w:sz w:val="20"/>
          <w:szCs w:val="20"/>
        </w:rPr>
        <w:t>order/direction to provide the sample have not been complied with;</w:t>
      </w:r>
    </w:p>
    <w:p w14:paraId="54C2FB48" w14:textId="3A24EE4A" w:rsidR="00916A86" w:rsidRDefault="00916A86" w:rsidP="00916A86">
      <w:pPr>
        <w:ind w:left="567" w:hanging="567"/>
        <w:jc w:val="both"/>
        <w:rPr>
          <w:rFonts w:ascii="Arial" w:hAnsi="Arial" w:cs="Arial"/>
          <w:sz w:val="20"/>
          <w:szCs w:val="20"/>
        </w:rPr>
      </w:pPr>
      <w:r>
        <w:rPr>
          <w:rFonts w:ascii="Arial" w:hAnsi="Arial" w:cs="Arial"/>
          <w:sz w:val="20"/>
          <w:szCs w:val="20"/>
        </w:rPr>
        <w:t>(ab)</w:t>
      </w:r>
      <w:r>
        <w:rPr>
          <w:rFonts w:ascii="Arial" w:hAnsi="Arial" w:cs="Arial"/>
          <w:sz w:val="20"/>
          <w:szCs w:val="20"/>
        </w:rPr>
        <w:tab/>
        <w:t>a copy of the relevant forensic report relating to the taking of the sample had not been given or sent by registered post to the child</w:t>
      </w:r>
      <w:r w:rsidR="00C94831">
        <w:rPr>
          <w:rFonts w:ascii="Arial" w:hAnsi="Arial" w:cs="Arial"/>
          <w:sz w:val="20"/>
          <w:szCs w:val="20"/>
        </w:rPr>
        <w:t xml:space="preserve"> before the end of 7 days after its receipt by the prosecution;</w:t>
      </w:r>
    </w:p>
    <w:p w14:paraId="35D660F4" w14:textId="0C85EF80" w:rsidR="00C94831" w:rsidRDefault="00C94831" w:rsidP="00C94831">
      <w:pPr>
        <w:pStyle w:val="ListParagraph"/>
        <w:numPr>
          <w:ilvl w:val="0"/>
          <w:numId w:val="22"/>
        </w:numPr>
        <w:spacing w:line="247" w:lineRule="auto"/>
        <w:ind w:left="567" w:hanging="567"/>
        <w:jc w:val="both"/>
        <w:rPr>
          <w:rFonts w:ascii="Arial" w:hAnsi="Arial" w:cs="Arial"/>
          <w:sz w:val="20"/>
          <w:szCs w:val="20"/>
        </w:rPr>
      </w:pPr>
      <w:r>
        <w:rPr>
          <w:rFonts w:ascii="Arial" w:hAnsi="Arial" w:cs="Arial"/>
          <w:sz w:val="20"/>
          <w:szCs w:val="20"/>
        </w:rPr>
        <w:t>the taking of the sample or the procedure was not conducted in accordance with the prescribed standards, if any;</w:t>
      </w:r>
    </w:p>
    <w:p w14:paraId="0941CA42" w14:textId="16EEF241" w:rsidR="00C94831" w:rsidRDefault="00C94831" w:rsidP="00C94831">
      <w:pPr>
        <w:pStyle w:val="ListParagraph"/>
        <w:numPr>
          <w:ilvl w:val="0"/>
          <w:numId w:val="22"/>
        </w:numPr>
        <w:spacing w:line="247" w:lineRule="auto"/>
        <w:ind w:left="567" w:hanging="567"/>
        <w:jc w:val="both"/>
        <w:rPr>
          <w:rFonts w:ascii="Arial" w:hAnsi="Arial" w:cs="Arial"/>
          <w:sz w:val="20"/>
          <w:szCs w:val="20"/>
        </w:rPr>
      </w:pPr>
      <w:r>
        <w:rPr>
          <w:rFonts w:ascii="Arial" w:hAnsi="Arial" w:cs="Arial"/>
          <w:sz w:val="20"/>
          <w:szCs w:val="20"/>
        </w:rPr>
        <w:t>any sample taken was not analyzed in accordance with the prescribed standards, if any or if the regulations so require, by an analyst authorised under s.464ZB;</w:t>
      </w:r>
    </w:p>
    <w:p w14:paraId="67D06115" w14:textId="46111207" w:rsidR="00C94831" w:rsidRDefault="00C94831" w:rsidP="00C94831">
      <w:pPr>
        <w:pStyle w:val="ListParagraph"/>
        <w:numPr>
          <w:ilvl w:val="0"/>
          <w:numId w:val="22"/>
        </w:numPr>
        <w:spacing w:line="247" w:lineRule="auto"/>
        <w:ind w:left="567" w:hanging="567"/>
        <w:jc w:val="both"/>
        <w:rPr>
          <w:rFonts w:ascii="Arial" w:hAnsi="Arial" w:cs="Arial"/>
          <w:sz w:val="20"/>
          <w:szCs w:val="20"/>
        </w:rPr>
      </w:pPr>
      <w:r>
        <w:rPr>
          <w:rFonts w:ascii="Arial" w:hAnsi="Arial" w:cs="Arial"/>
          <w:sz w:val="20"/>
          <w:szCs w:val="20"/>
        </w:rPr>
        <w:t>any sample taken and any information which may identify the child should have been but has not been destroyed under any relevant section; or</w:t>
      </w:r>
    </w:p>
    <w:p w14:paraId="48691B22" w14:textId="39FD173D" w:rsidR="00C94831" w:rsidRPr="00C94831" w:rsidRDefault="00C94831" w:rsidP="00C94831">
      <w:pPr>
        <w:pStyle w:val="ListParagraph"/>
        <w:numPr>
          <w:ilvl w:val="0"/>
          <w:numId w:val="22"/>
        </w:numPr>
        <w:spacing w:after="0" w:line="240" w:lineRule="auto"/>
        <w:ind w:left="567" w:hanging="567"/>
        <w:jc w:val="both"/>
        <w:rPr>
          <w:rFonts w:ascii="Arial" w:hAnsi="Arial" w:cs="Arial"/>
          <w:sz w:val="20"/>
          <w:szCs w:val="20"/>
        </w:rPr>
      </w:pPr>
      <w:r>
        <w:rPr>
          <w:rFonts w:ascii="Arial" w:hAnsi="Arial" w:cs="Arial"/>
          <w:sz w:val="20"/>
          <w:szCs w:val="20"/>
        </w:rPr>
        <w:t>the evidence was obtained as a result of a procedure conducted in accordance with an interim order which was subsequently</w:t>
      </w:r>
      <w:r w:rsidR="008775AC">
        <w:rPr>
          <w:rFonts w:ascii="Arial" w:hAnsi="Arial" w:cs="Arial"/>
          <w:sz w:val="20"/>
          <w:szCs w:val="20"/>
        </w:rPr>
        <w:t xml:space="preserve"> </w:t>
      </w:r>
      <w:r>
        <w:rPr>
          <w:rFonts w:ascii="Arial" w:hAnsi="Arial" w:cs="Arial"/>
          <w:sz w:val="20"/>
          <w:szCs w:val="20"/>
        </w:rPr>
        <w:t>not confirmed under s.464V(7).</w:t>
      </w:r>
    </w:p>
    <w:p w14:paraId="64D9ADDA" w14:textId="77777777" w:rsidR="00627AB5" w:rsidRPr="00627AB5" w:rsidRDefault="00627AB5" w:rsidP="00627AB5">
      <w:pPr>
        <w:tabs>
          <w:tab w:val="left" w:pos="357"/>
        </w:tabs>
        <w:spacing w:line="247" w:lineRule="auto"/>
        <w:jc w:val="both"/>
        <w:rPr>
          <w:rFonts w:ascii="Arial" w:hAnsi="Arial" w:cs="Arial"/>
          <w:sz w:val="20"/>
          <w:szCs w:val="20"/>
        </w:rPr>
      </w:pPr>
    </w:p>
    <w:p w14:paraId="1E90D1E1" w14:textId="2FB71A9D" w:rsidR="00627AB5" w:rsidRDefault="00BC34B5" w:rsidP="00B907F2">
      <w:pPr>
        <w:tabs>
          <w:tab w:val="left" w:pos="357"/>
        </w:tabs>
        <w:jc w:val="both"/>
        <w:rPr>
          <w:rFonts w:ascii="Arial" w:hAnsi="Arial" w:cs="Arial"/>
          <w:sz w:val="20"/>
          <w:szCs w:val="20"/>
        </w:rPr>
      </w:pPr>
      <w:r>
        <w:rPr>
          <w:rFonts w:ascii="Arial" w:hAnsi="Arial" w:cs="Arial"/>
          <w:sz w:val="20"/>
          <w:szCs w:val="20"/>
        </w:rPr>
        <w:t xml:space="preserve">Section 464ZE(2) provides that a court may admit evidence </w:t>
      </w:r>
      <w:r w:rsidR="00916A86">
        <w:rPr>
          <w:rFonts w:ascii="Arial" w:hAnsi="Arial" w:cs="Arial"/>
          <w:sz w:val="20"/>
          <w:szCs w:val="20"/>
        </w:rPr>
        <w:t xml:space="preserve">obtained as a result </w:t>
      </w:r>
      <w:r w:rsidR="00916A86" w:rsidRPr="00B907F2">
        <w:rPr>
          <w:rFonts w:ascii="Arial" w:hAnsi="Arial" w:cs="Arial"/>
          <w:sz w:val="20"/>
          <w:szCs w:val="20"/>
        </w:rPr>
        <w:t xml:space="preserve">of </w:t>
      </w:r>
      <w:r w:rsidR="00916A86">
        <w:rPr>
          <w:rFonts w:ascii="Arial" w:hAnsi="Arial" w:cs="Arial"/>
          <w:sz w:val="20"/>
          <w:szCs w:val="20"/>
        </w:rPr>
        <w:t xml:space="preserve">the taking of </w:t>
      </w:r>
      <w:r w:rsidR="00916A86" w:rsidRPr="00B907F2">
        <w:rPr>
          <w:rFonts w:ascii="Arial" w:hAnsi="Arial" w:cs="Arial"/>
          <w:sz w:val="20"/>
          <w:szCs w:val="20"/>
        </w:rPr>
        <w:t xml:space="preserve">a DNA profile sample or a </w:t>
      </w:r>
      <w:r w:rsidR="00916A86">
        <w:rPr>
          <w:rFonts w:ascii="Arial" w:hAnsi="Arial" w:cs="Arial"/>
          <w:sz w:val="20"/>
          <w:szCs w:val="20"/>
        </w:rPr>
        <w:t>forensic</w:t>
      </w:r>
      <w:r w:rsidR="00916A86" w:rsidRPr="00B907F2">
        <w:rPr>
          <w:rFonts w:ascii="Arial" w:hAnsi="Arial" w:cs="Arial"/>
          <w:sz w:val="20"/>
          <w:szCs w:val="20"/>
        </w:rPr>
        <w:t xml:space="preserve"> procedure or a </w:t>
      </w:r>
      <w:r w:rsidR="00916A86">
        <w:rPr>
          <w:rFonts w:ascii="Arial" w:hAnsi="Arial" w:cs="Arial"/>
          <w:sz w:val="20"/>
          <w:szCs w:val="20"/>
        </w:rPr>
        <w:t>sample voluntarily given under ss.464ZGB-464ZGD which would otherwise be inadmissible under s.464ZE(1)</w:t>
      </w:r>
      <w:r w:rsidR="00C94831">
        <w:rPr>
          <w:rFonts w:ascii="Arial" w:hAnsi="Arial" w:cs="Arial"/>
          <w:sz w:val="20"/>
          <w:szCs w:val="20"/>
        </w:rPr>
        <w:t>(a) or (1)(ab) if</w:t>
      </w:r>
      <w:r w:rsidR="008A7AD6">
        <w:rPr>
          <w:rFonts w:ascii="Arial" w:hAnsi="Arial" w:cs="Arial"/>
          <w:sz w:val="20"/>
        </w:rPr>
        <w:t>–</w:t>
      </w:r>
    </w:p>
    <w:p w14:paraId="45D83D06" w14:textId="7181CC25" w:rsidR="00C94831" w:rsidRDefault="00C94831" w:rsidP="00C94831">
      <w:pPr>
        <w:pStyle w:val="ListParagraph"/>
        <w:numPr>
          <w:ilvl w:val="0"/>
          <w:numId w:val="23"/>
        </w:numPr>
        <w:spacing w:after="0" w:line="240" w:lineRule="auto"/>
        <w:ind w:left="567" w:hanging="567"/>
        <w:jc w:val="both"/>
        <w:rPr>
          <w:rFonts w:ascii="Arial" w:hAnsi="Arial" w:cs="Arial"/>
          <w:sz w:val="20"/>
          <w:szCs w:val="20"/>
        </w:rPr>
      </w:pPr>
      <w:r>
        <w:rPr>
          <w:rFonts w:ascii="Arial" w:hAnsi="Arial" w:cs="Arial"/>
          <w:sz w:val="20"/>
          <w:szCs w:val="20"/>
        </w:rPr>
        <w:t xml:space="preserve">the prosecution satisfies the court </w:t>
      </w:r>
      <w:r w:rsidR="008775AC">
        <w:rPr>
          <w:rFonts w:ascii="Arial" w:hAnsi="Arial" w:cs="Arial"/>
          <w:sz w:val="20"/>
          <w:szCs w:val="20"/>
        </w:rPr>
        <w:t>on the balance of probabilities that – having regard to the factors detailed in s.464ZE(2A) – the circumstances justify the reception of the evidence; or</w:t>
      </w:r>
    </w:p>
    <w:p w14:paraId="1B819D4E" w14:textId="25DBD79C" w:rsidR="008775AC" w:rsidRDefault="008775AC" w:rsidP="00C94831">
      <w:pPr>
        <w:pStyle w:val="ListParagraph"/>
        <w:numPr>
          <w:ilvl w:val="0"/>
          <w:numId w:val="23"/>
        </w:numPr>
        <w:spacing w:after="0" w:line="240" w:lineRule="auto"/>
        <w:ind w:left="567" w:hanging="567"/>
        <w:jc w:val="both"/>
        <w:rPr>
          <w:rFonts w:ascii="Arial" w:hAnsi="Arial" w:cs="Arial"/>
          <w:sz w:val="20"/>
          <w:szCs w:val="20"/>
        </w:rPr>
      </w:pPr>
      <w:r>
        <w:rPr>
          <w:rFonts w:ascii="Arial" w:hAnsi="Arial" w:cs="Arial"/>
          <w:sz w:val="20"/>
          <w:szCs w:val="20"/>
        </w:rPr>
        <w:t>the accused consents to the reception of the evidence.</w:t>
      </w:r>
    </w:p>
    <w:p w14:paraId="0F89DBEA" w14:textId="6BF8ACEB" w:rsidR="00167E1C" w:rsidRDefault="008775AC" w:rsidP="00167E1C">
      <w:pPr>
        <w:jc w:val="both"/>
        <w:rPr>
          <w:rFonts w:ascii="Arial" w:hAnsi="Arial" w:cs="Arial"/>
          <w:sz w:val="20"/>
          <w:szCs w:val="20"/>
        </w:rPr>
      </w:pPr>
      <w:r>
        <w:rPr>
          <w:rFonts w:ascii="Arial" w:hAnsi="Arial" w:cs="Arial"/>
          <w:sz w:val="20"/>
          <w:szCs w:val="20"/>
        </w:rPr>
        <w:t xml:space="preserve">See </w:t>
      </w:r>
      <w:r w:rsidRPr="008775AC">
        <w:rPr>
          <w:rFonts w:ascii="Arial" w:hAnsi="Arial" w:cs="Arial"/>
          <w:i/>
          <w:iCs/>
          <w:sz w:val="20"/>
          <w:szCs w:val="20"/>
        </w:rPr>
        <w:t>Joshua Martin (a pseudonym) v The Queen</w:t>
      </w:r>
      <w:r w:rsidRPr="008775AC">
        <w:rPr>
          <w:rFonts w:ascii="Arial" w:hAnsi="Arial" w:cs="Arial"/>
          <w:sz w:val="20"/>
          <w:szCs w:val="20"/>
        </w:rPr>
        <w:t xml:space="preserve"> [2022] VSCA 97 at [29], [36]-[38] &amp; [44].</w:t>
      </w:r>
      <w:r w:rsidR="00167E1C">
        <w:rPr>
          <w:rFonts w:ascii="Arial" w:hAnsi="Arial" w:cs="Arial"/>
          <w:sz w:val="20"/>
          <w:szCs w:val="20"/>
        </w:rPr>
        <w:t xml:space="preserve">  In a subsequent interlocutory appeal in </w:t>
      </w:r>
      <w:r w:rsidR="00167E1C" w:rsidRPr="008775AC">
        <w:rPr>
          <w:rFonts w:ascii="Arial" w:hAnsi="Arial" w:cs="Arial"/>
          <w:i/>
          <w:iCs/>
          <w:sz w:val="20"/>
          <w:szCs w:val="20"/>
        </w:rPr>
        <w:t xml:space="preserve">Joshua Martin (a pseudonym) v The </w:t>
      </w:r>
      <w:r w:rsidR="00167E1C" w:rsidRPr="00AF0906">
        <w:rPr>
          <w:rFonts w:ascii="Arial" w:hAnsi="Arial" w:cs="Arial"/>
          <w:i/>
          <w:iCs/>
          <w:sz w:val="20"/>
          <w:szCs w:val="20"/>
        </w:rPr>
        <w:t>Queen (No.2)</w:t>
      </w:r>
      <w:r w:rsidR="00167E1C">
        <w:rPr>
          <w:rFonts w:ascii="Arial" w:hAnsi="Arial" w:cs="Arial"/>
          <w:sz w:val="20"/>
          <w:szCs w:val="20"/>
        </w:rPr>
        <w:t xml:space="preserve"> </w:t>
      </w:r>
      <w:r w:rsidR="00167E1C" w:rsidRPr="008775AC">
        <w:rPr>
          <w:rFonts w:ascii="Arial" w:hAnsi="Arial" w:cs="Arial"/>
          <w:sz w:val="20"/>
          <w:szCs w:val="20"/>
        </w:rPr>
        <w:t xml:space="preserve">[2022] VSCA </w:t>
      </w:r>
      <w:r w:rsidR="00167E1C">
        <w:rPr>
          <w:rFonts w:ascii="Arial" w:hAnsi="Arial" w:cs="Arial"/>
          <w:sz w:val="20"/>
          <w:szCs w:val="20"/>
        </w:rPr>
        <w:t>161 the Court of Appeal (Priest, Niall &amp; Macaulay JJA) refused leave to appeal against the trial judge’s refusal to exclude evidence obtained through a forensic procedure in relation to which the prosecution had properly conceded that a breach of s.464S(1) had occurred because the applicant was not informed that he may request that the procedure be conducted by or in the presence of a medical practitioner of his choice.  At [87] &amp; [</w:t>
      </w:r>
      <w:r w:rsidR="00A6209D">
        <w:rPr>
          <w:rFonts w:ascii="Arial" w:hAnsi="Arial" w:cs="Arial"/>
          <w:sz w:val="20"/>
          <w:szCs w:val="20"/>
        </w:rPr>
        <w:t>98</w:t>
      </w:r>
      <w:r w:rsidR="00167E1C">
        <w:rPr>
          <w:rFonts w:ascii="Arial" w:hAnsi="Arial" w:cs="Arial"/>
          <w:sz w:val="20"/>
          <w:szCs w:val="20"/>
        </w:rPr>
        <w:t>]</w:t>
      </w:r>
      <w:r w:rsidR="00A6209D">
        <w:rPr>
          <w:rFonts w:ascii="Arial" w:hAnsi="Arial" w:cs="Arial"/>
          <w:sz w:val="20"/>
          <w:szCs w:val="20"/>
        </w:rPr>
        <w:t>-[100]</w:t>
      </w:r>
      <w:r w:rsidR="00167E1C">
        <w:rPr>
          <w:rFonts w:ascii="Arial" w:hAnsi="Arial" w:cs="Arial"/>
          <w:sz w:val="20"/>
          <w:szCs w:val="20"/>
        </w:rPr>
        <w:t xml:space="preserve"> their Honours held:</w:t>
      </w:r>
    </w:p>
    <w:p w14:paraId="4D9457E6" w14:textId="0CC38A05" w:rsidR="00167E1C" w:rsidRDefault="00167E1C" w:rsidP="00167E1C">
      <w:pPr>
        <w:pStyle w:val="ListParagraph"/>
        <w:numPr>
          <w:ilvl w:val="0"/>
          <w:numId w:val="24"/>
        </w:numPr>
        <w:spacing w:line="247" w:lineRule="auto"/>
        <w:ind w:left="357" w:hanging="357"/>
        <w:jc w:val="both"/>
        <w:rPr>
          <w:rFonts w:ascii="Arial" w:hAnsi="Arial" w:cs="Arial"/>
          <w:sz w:val="20"/>
          <w:szCs w:val="20"/>
        </w:rPr>
      </w:pPr>
      <w:r>
        <w:rPr>
          <w:rFonts w:ascii="Arial" w:hAnsi="Arial" w:cs="Arial"/>
          <w:sz w:val="20"/>
          <w:szCs w:val="20"/>
        </w:rPr>
        <w:t xml:space="preserve">the trial </w:t>
      </w:r>
      <w:r w:rsidRPr="00167E1C">
        <w:rPr>
          <w:rFonts w:ascii="Arial" w:hAnsi="Arial" w:cs="Arial"/>
          <w:sz w:val="20"/>
          <w:szCs w:val="20"/>
        </w:rPr>
        <w:t xml:space="preserve">judge was correct to conclude that the </w:t>
      </w:r>
      <w:r w:rsidR="00A6209D">
        <w:rPr>
          <w:rFonts w:ascii="Arial" w:hAnsi="Arial" w:cs="Arial"/>
          <w:sz w:val="20"/>
          <w:szCs w:val="20"/>
        </w:rPr>
        <w:t xml:space="preserve">adult </w:t>
      </w:r>
      <w:r w:rsidRPr="00167E1C">
        <w:rPr>
          <w:rFonts w:ascii="Arial" w:hAnsi="Arial" w:cs="Arial"/>
          <w:sz w:val="20"/>
          <w:szCs w:val="20"/>
        </w:rPr>
        <w:t>applicant understood the information given to him by police for the purposes of obtaining his informed consent to the conduct of the forensic procedure, and that the evidence should not be excluded by reason of s</w:t>
      </w:r>
      <w:r>
        <w:rPr>
          <w:rFonts w:ascii="Arial" w:hAnsi="Arial" w:cs="Arial"/>
          <w:sz w:val="20"/>
          <w:szCs w:val="20"/>
        </w:rPr>
        <w:t>.</w:t>
      </w:r>
      <w:r w:rsidRPr="00167E1C">
        <w:rPr>
          <w:rFonts w:ascii="Arial" w:hAnsi="Arial" w:cs="Arial"/>
          <w:sz w:val="20"/>
          <w:szCs w:val="20"/>
        </w:rPr>
        <w:t xml:space="preserve">464ZE(1) of the </w:t>
      </w:r>
      <w:r w:rsidRPr="00167E1C">
        <w:rPr>
          <w:rFonts w:ascii="Arial" w:hAnsi="Arial" w:cs="Arial"/>
          <w:i/>
          <w:iCs/>
          <w:sz w:val="20"/>
          <w:szCs w:val="20"/>
        </w:rPr>
        <w:t>Crimes Act 1958</w:t>
      </w:r>
      <w:r w:rsidRPr="00167E1C">
        <w:rPr>
          <w:rFonts w:ascii="Arial" w:hAnsi="Arial" w:cs="Arial"/>
          <w:sz w:val="20"/>
          <w:szCs w:val="20"/>
        </w:rPr>
        <w:t xml:space="preserve"> or s</w:t>
      </w:r>
      <w:r w:rsidR="00A6209D">
        <w:rPr>
          <w:rFonts w:ascii="Arial" w:hAnsi="Arial" w:cs="Arial"/>
          <w:sz w:val="20"/>
          <w:szCs w:val="20"/>
        </w:rPr>
        <w:t>.</w:t>
      </w:r>
      <w:r w:rsidRPr="00167E1C">
        <w:rPr>
          <w:rFonts w:ascii="Arial" w:hAnsi="Arial" w:cs="Arial"/>
          <w:sz w:val="20"/>
          <w:szCs w:val="20"/>
        </w:rPr>
        <w:t xml:space="preserve">138 of the </w:t>
      </w:r>
      <w:r w:rsidRPr="00A6209D">
        <w:rPr>
          <w:rFonts w:ascii="Arial" w:hAnsi="Arial" w:cs="Arial"/>
          <w:i/>
          <w:iCs/>
          <w:sz w:val="20"/>
          <w:szCs w:val="20"/>
        </w:rPr>
        <w:t>Evidence Act 2008</w:t>
      </w:r>
      <w:r w:rsidR="00A6209D" w:rsidRPr="00A6209D">
        <w:rPr>
          <w:rFonts w:ascii="Arial" w:hAnsi="Arial" w:cs="Arial"/>
          <w:sz w:val="20"/>
          <w:szCs w:val="20"/>
        </w:rPr>
        <w:t>;</w:t>
      </w:r>
    </w:p>
    <w:p w14:paraId="503E7E14" w14:textId="5F7F4C72" w:rsidR="00A6209D" w:rsidRDefault="00A6209D" w:rsidP="00167E1C">
      <w:pPr>
        <w:pStyle w:val="ListParagraph"/>
        <w:numPr>
          <w:ilvl w:val="0"/>
          <w:numId w:val="24"/>
        </w:numPr>
        <w:spacing w:line="247" w:lineRule="auto"/>
        <w:ind w:left="357" w:hanging="357"/>
        <w:jc w:val="both"/>
        <w:rPr>
          <w:rFonts w:ascii="Arial" w:hAnsi="Arial" w:cs="Arial"/>
          <w:sz w:val="20"/>
          <w:szCs w:val="20"/>
        </w:rPr>
      </w:pPr>
      <w:r w:rsidRPr="00A6209D">
        <w:rPr>
          <w:rFonts w:ascii="Arial" w:hAnsi="Arial" w:cs="Arial"/>
          <w:sz w:val="20"/>
          <w:szCs w:val="20"/>
        </w:rPr>
        <w:lastRenderedPageBreak/>
        <w:t>the circumstances strongly favoured the reception of the impugned evidence despite its inadmissibility</w:t>
      </w:r>
      <w:r>
        <w:rPr>
          <w:rFonts w:ascii="Arial" w:hAnsi="Arial" w:cs="Arial"/>
          <w:sz w:val="20"/>
          <w:szCs w:val="20"/>
        </w:rPr>
        <w:t xml:space="preserve">, the extreme seriousness of the alleged offending and the powerful probative value of the evidence pointing strongly towards </w:t>
      </w:r>
      <w:r w:rsidR="00D03D44">
        <w:rPr>
          <w:rFonts w:ascii="Arial" w:hAnsi="Arial" w:cs="Arial"/>
          <w:sz w:val="20"/>
          <w:szCs w:val="20"/>
        </w:rPr>
        <w:t>its</w:t>
      </w:r>
      <w:r>
        <w:rPr>
          <w:rFonts w:ascii="Arial" w:hAnsi="Arial" w:cs="Arial"/>
          <w:sz w:val="20"/>
          <w:szCs w:val="20"/>
        </w:rPr>
        <w:t xml:space="preserve"> reception;</w:t>
      </w:r>
    </w:p>
    <w:p w14:paraId="2469EDB5" w14:textId="77777777" w:rsidR="00A6209D" w:rsidRDefault="00A6209D" w:rsidP="00167E1C">
      <w:pPr>
        <w:pStyle w:val="ListParagraph"/>
        <w:numPr>
          <w:ilvl w:val="0"/>
          <w:numId w:val="24"/>
        </w:numPr>
        <w:spacing w:line="247" w:lineRule="auto"/>
        <w:ind w:left="357" w:hanging="357"/>
        <w:jc w:val="both"/>
        <w:rPr>
          <w:rFonts w:ascii="Arial" w:hAnsi="Arial" w:cs="Arial"/>
          <w:sz w:val="20"/>
          <w:szCs w:val="20"/>
        </w:rPr>
      </w:pPr>
      <w:r w:rsidRPr="00A6209D">
        <w:rPr>
          <w:rFonts w:ascii="Arial" w:hAnsi="Arial" w:cs="Arial"/>
          <w:sz w:val="20"/>
          <w:szCs w:val="20"/>
        </w:rPr>
        <w:t>the alleged non-compliance with provisions of s 464S(1) was relatively minor, and did not ‘seriously undermine’ legislative protections</w:t>
      </w:r>
      <w:r>
        <w:rPr>
          <w:rFonts w:ascii="Arial" w:hAnsi="Arial" w:cs="Arial"/>
          <w:sz w:val="20"/>
          <w:szCs w:val="20"/>
        </w:rPr>
        <w:t>;</w:t>
      </w:r>
    </w:p>
    <w:p w14:paraId="4B993A47" w14:textId="3DDD8355" w:rsidR="00A6209D" w:rsidRDefault="00A6209D" w:rsidP="00167E1C">
      <w:pPr>
        <w:pStyle w:val="ListParagraph"/>
        <w:numPr>
          <w:ilvl w:val="0"/>
          <w:numId w:val="24"/>
        </w:numPr>
        <w:spacing w:line="247" w:lineRule="auto"/>
        <w:ind w:left="357" w:hanging="357"/>
        <w:jc w:val="both"/>
        <w:rPr>
          <w:rFonts w:ascii="Arial" w:hAnsi="Arial" w:cs="Arial"/>
          <w:sz w:val="20"/>
          <w:szCs w:val="20"/>
        </w:rPr>
      </w:pPr>
      <w:r>
        <w:rPr>
          <w:rFonts w:ascii="Arial" w:hAnsi="Arial" w:cs="Arial"/>
          <w:sz w:val="20"/>
          <w:szCs w:val="20"/>
        </w:rPr>
        <w:t>any non-compliance with s.464S(1) was neither intentional nor reckless and did not constitute a deliberate flouting of the law; and</w:t>
      </w:r>
    </w:p>
    <w:p w14:paraId="5681A1D2" w14:textId="0439E15A" w:rsidR="00167E1C" w:rsidRPr="00D03D44" w:rsidRDefault="00D03D44" w:rsidP="00D03D44">
      <w:pPr>
        <w:pStyle w:val="ListParagraph"/>
        <w:numPr>
          <w:ilvl w:val="0"/>
          <w:numId w:val="24"/>
        </w:numPr>
        <w:spacing w:after="0" w:line="240" w:lineRule="auto"/>
        <w:ind w:left="357" w:hanging="357"/>
        <w:jc w:val="both"/>
        <w:rPr>
          <w:rFonts w:ascii="Arial" w:hAnsi="Arial" w:cs="Arial"/>
          <w:sz w:val="20"/>
          <w:szCs w:val="20"/>
        </w:rPr>
      </w:pPr>
      <w:r w:rsidRPr="00D03D44">
        <w:rPr>
          <w:rFonts w:ascii="Arial" w:hAnsi="Arial" w:cs="Arial"/>
          <w:sz w:val="20"/>
          <w:szCs w:val="20"/>
        </w:rPr>
        <w:t>“</w:t>
      </w:r>
      <w:r w:rsidR="00A6209D" w:rsidRPr="00D03D44">
        <w:rPr>
          <w:rFonts w:ascii="Arial" w:hAnsi="Arial" w:cs="Arial"/>
          <w:sz w:val="20"/>
          <w:szCs w:val="20"/>
        </w:rPr>
        <w:t>the desirability of admitting the evidence outweighs the undesirability of admitting evidence that [was] obtained in the way in which the evidence was obtained</w:t>
      </w:r>
      <w:r w:rsidRPr="00D03D44">
        <w:rPr>
          <w:rFonts w:ascii="Arial" w:hAnsi="Arial" w:cs="Arial"/>
          <w:sz w:val="20"/>
          <w:szCs w:val="20"/>
        </w:rPr>
        <w:t>”</w:t>
      </w:r>
      <w:r w:rsidR="00A6209D" w:rsidRPr="00D03D44">
        <w:rPr>
          <w:rFonts w:ascii="Arial" w:hAnsi="Arial" w:cs="Arial"/>
          <w:sz w:val="20"/>
          <w:szCs w:val="20"/>
        </w:rPr>
        <w:t>.</w:t>
      </w:r>
    </w:p>
    <w:p w14:paraId="50416361" w14:textId="77777777" w:rsidR="00531BEF" w:rsidRDefault="00531BEF" w:rsidP="00531BEF">
      <w:pPr>
        <w:jc w:val="both"/>
        <w:rPr>
          <w:rFonts w:ascii="Arial" w:hAnsi="Arial" w:cs="Arial"/>
          <w:sz w:val="20"/>
          <w:szCs w:val="20"/>
        </w:rPr>
      </w:pPr>
    </w:p>
    <w:p w14:paraId="778E70ED" w14:textId="5D007067" w:rsidR="00531BEF" w:rsidRDefault="00531BEF" w:rsidP="008A7AD6">
      <w:pPr>
        <w:pStyle w:val="Heading2"/>
        <w:keepNext/>
        <w:keepLines/>
        <w:widowControl/>
        <w:tabs>
          <w:tab w:val="left" w:pos="567"/>
        </w:tabs>
        <w:spacing w:line="240" w:lineRule="auto"/>
        <w:ind w:left="567" w:hanging="567"/>
        <w:rPr>
          <w:rFonts w:ascii="Arial" w:hAnsi="Arial" w:cs="Arial"/>
          <w:b/>
          <w:bCs/>
        </w:rPr>
      </w:pPr>
      <w:bookmarkStart w:id="663" w:name="_8.7_Retention_of"/>
      <w:bookmarkEnd w:id="663"/>
      <w:r>
        <w:rPr>
          <w:rFonts w:ascii="Arial" w:hAnsi="Arial" w:cs="Arial"/>
          <w:b/>
          <w:bCs/>
        </w:rPr>
        <w:t>8.7</w:t>
      </w:r>
      <w:r>
        <w:rPr>
          <w:rFonts w:ascii="Arial" w:hAnsi="Arial" w:cs="Arial"/>
          <w:b/>
          <w:bCs/>
        </w:rPr>
        <w:tab/>
        <w:t>Retention of information following finding of guilt</w:t>
      </w:r>
    </w:p>
    <w:p w14:paraId="2E8F3B7F" w14:textId="77777777" w:rsidR="00531BEF" w:rsidRPr="00531BEF" w:rsidRDefault="00531BEF" w:rsidP="008A7AD6">
      <w:pPr>
        <w:keepNext/>
        <w:keepLines/>
        <w:jc w:val="both"/>
        <w:rPr>
          <w:rFonts w:ascii="Arial" w:hAnsi="Arial" w:cs="Arial"/>
          <w:sz w:val="20"/>
          <w:szCs w:val="20"/>
        </w:rPr>
      </w:pPr>
    </w:p>
    <w:p w14:paraId="09E36C9B" w14:textId="42041338" w:rsidR="00531BEF" w:rsidRDefault="00531BEF" w:rsidP="00F321EE">
      <w:pPr>
        <w:jc w:val="both"/>
        <w:rPr>
          <w:rFonts w:ascii="Arial" w:hAnsi="Arial" w:cs="Arial"/>
          <w:sz w:val="20"/>
          <w:szCs w:val="20"/>
        </w:rPr>
      </w:pPr>
      <w:r>
        <w:rPr>
          <w:rFonts w:ascii="Arial" w:hAnsi="Arial" w:cs="Arial"/>
          <w:sz w:val="20"/>
          <w:szCs w:val="20"/>
        </w:rPr>
        <w:t xml:space="preserve">Section 464ZFB of the </w:t>
      </w:r>
      <w:r w:rsidRPr="00890B59">
        <w:rPr>
          <w:rFonts w:ascii="Arial" w:hAnsi="Arial" w:cs="Arial"/>
          <w:i/>
          <w:iCs/>
          <w:sz w:val="20"/>
          <w:szCs w:val="20"/>
        </w:rPr>
        <w:t>Crimes Act 1958</w:t>
      </w:r>
      <w:r>
        <w:rPr>
          <w:rFonts w:ascii="Arial" w:hAnsi="Arial" w:cs="Arial"/>
          <w:sz w:val="20"/>
          <w:szCs w:val="20"/>
        </w:rPr>
        <w:t xml:space="preserve"> (as amended) provides:</w:t>
      </w:r>
    </w:p>
    <w:p w14:paraId="6F7D1E38" w14:textId="77777777" w:rsidR="00890B59" w:rsidRDefault="00531BEF" w:rsidP="008E7BD4">
      <w:pPr>
        <w:pStyle w:val="ListParagraph"/>
        <w:numPr>
          <w:ilvl w:val="0"/>
          <w:numId w:val="29"/>
        </w:numPr>
        <w:spacing w:before="60" w:line="247" w:lineRule="auto"/>
        <w:ind w:left="454" w:hanging="454"/>
        <w:jc w:val="both"/>
        <w:rPr>
          <w:rFonts w:ascii="Arial" w:hAnsi="Arial" w:cs="Arial"/>
          <w:sz w:val="20"/>
          <w:szCs w:val="20"/>
        </w:rPr>
      </w:pPr>
      <w:r w:rsidRPr="00890B59">
        <w:rPr>
          <w:rFonts w:ascii="Arial" w:hAnsi="Arial" w:cs="Arial"/>
          <w:sz w:val="20"/>
          <w:szCs w:val="20"/>
        </w:rPr>
        <w:t xml:space="preserve">If at any time on or after the commencement of section 26 of the </w:t>
      </w:r>
      <w:r w:rsidRPr="00890B59">
        <w:rPr>
          <w:rFonts w:ascii="Arial" w:hAnsi="Arial" w:cs="Arial"/>
          <w:i/>
          <w:iCs/>
          <w:sz w:val="20"/>
          <w:szCs w:val="20"/>
        </w:rPr>
        <w:t>Crimes (Amendment) Act 1997</w:t>
      </w:r>
      <w:r w:rsidRPr="00890B59">
        <w:rPr>
          <w:rFonts w:ascii="Arial" w:hAnsi="Arial" w:cs="Arial"/>
          <w:sz w:val="20"/>
          <w:szCs w:val="20"/>
        </w:rPr>
        <w:t>—</w:t>
      </w:r>
    </w:p>
    <w:p w14:paraId="27339806" w14:textId="52A3D105" w:rsidR="00890B59" w:rsidRDefault="00531BEF" w:rsidP="008E7BD4">
      <w:pPr>
        <w:pStyle w:val="ListParagraph"/>
        <w:spacing w:before="60" w:after="0" w:line="240" w:lineRule="auto"/>
        <w:ind w:left="908" w:hanging="454"/>
        <w:jc w:val="both"/>
        <w:rPr>
          <w:rFonts w:ascii="Arial" w:hAnsi="Arial" w:cs="Arial"/>
          <w:sz w:val="20"/>
          <w:szCs w:val="20"/>
        </w:rPr>
      </w:pPr>
      <w:r w:rsidRPr="00890B59">
        <w:rPr>
          <w:rFonts w:ascii="Arial" w:hAnsi="Arial" w:cs="Arial"/>
          <w:sz w:val="20"/>
          <w:szCs w:val="20"/>
        </w:rPr>
        <w:t>(a)</w:t>
      </w:r>
      <w:r w:rsidR="00890B59">
        <w:rPr>
          <w:rFonts w:ascii="Arial" w:hAnsi="Arial" w:cs="Arial"/>
          <w:sz w:val="20"/>
          <w:szCs w:val="20"/>
        </w:rPr>
        <w:tab/>
      </w:r>
      <w:r w:rsidRPr="00890B59">
        <w:rPr>
          <w:rFonts w:ascii="Arial" w:hAnsi="Arial" w:cs="Arial"/>
          <w:sz w:val="20"/>
          <w:szCs w:val="20"/>
        </w:rPr>
        <w:t>a DNA profile sample is taken from a DNA person who is a child in accordance with section 464SC or 464SE or a forensic procedure is conducted on a child in accordance with section 464U(7) or 464V(5); and</w:t>
      </w:r>
    </w:p>
    <w:p w14:paraId="1731C502" w14:textId="69497D90" w:rsidR="00890B59" w:rsidRDefault="00531BEF" w:rsidP="008E7BD4">
      <w:pPr>
        <w:pStyle w:val="ListParagraph"/>
        <w:numPr>
          <w:ilvl w:val="0"/>
          <w:numId w:val="30"/>
        </w:numPr>
        <w:spacing w:before="60" w:after="0" w:line="240" w:lineRule="auto"/>
        <w:ind w:left="908" w:hanging="454"/>
        <w:jc w:val="both"/>
        <w:rPr>
          <w:rFonts w:ascii="Arial" w:hAnsi="Arial" w:cs="Arial"/>
          <w:sz w:val="20"/>
          <w:szCs w:val="20"/>
        </w:rPr>
      </w:pPr>
      <w:r w:rsidRPr="00890B59">
        <w:rPr>
          <w:rFonts w:ascii="Arial" w:hAnsi="Arial" w:cs="Arial"/>
          <w:sz w:val="20"/>
          <w:szCs w:val="20"/>
        </w:rPr>
        <w:t>a court finds the child guilty of—</w:t>
      </w:r>
    </w:p>
    <w:p w14:paraId="1ED04282" w14:textId="77777777" w:rsidR="00890B59" w:rsidRDefault="00531BEF" w:rsidP="00DE48D1">
      <w:pPr>
        <w:pStyle w:val="ListParagraph"/>
        <w:numPr>
          <w:ilvl w:val="0"/>
          <w:numId w:val="31"/>
        </w:numPr>
        <w:spacing w:before="60" w:after="0" w:line="240" w:lineRule="auto"/>
        <w:ind w:left="1361" w:hanging="454"/>
        <w:jc w:val="both"/>
        <w:rPr>
          <w:rFonts w:ascii="Arial" w:hAnsi="Arial" w:cs="Arial"/>
          <w:sz w:val="20"/>
          <w:szCs w:val="20"/>
        </w:rPr>
      </w:pPr>
      <w:r w:rsidRPr="00890B59">
        <w:rPr>
          <w:rFonts w:ascii="Arial" w:hAnsi="Arial" w:cs="Arial"/>
          <w:sz w:val="20"/>
          <w:szCs w:val="20"/>
        </w:rPr>
        <w:t>the offence in respect of which the DNA profile sample was taken or the forensic procedure was conducted; or</w:t>
      </w:r>
    </w:p>
    <w:p w14:paraId="02F935B1" w14:textId="77777777" w:rsidR="00890B59" w:rsidRDefault="00531BEF" w:rsidP="008E7BD4">
      <w:pPr>
        <w:pStyle w:val="ListParagraph"/>
        <w:numPr>
          <w:ilvl w:val="0"/>
          <w:numId w:val="31"/>
        </w:numPr>
        <w:spacing w:before="60" w:after="0" w:line="240" w:lineRule="auto"/>
        <w:ind w:left="1361" w:hanging="454"/>
        <w:jc w:val="both"/>
        <w:rPr>
          <w:rFonts w:ascii="Arial" w:hAnsi="Arial" w:cs="Arial"/>
          <w:sz w:val="20"/>
          <w:szCs w:val="20"/>
        </w:rPr>
      </w:pPr>
      <w:r w:rsidRPr="00890B59">
        <w:rPr>
          <w:rFonts w:ascii="Arial" w:hAnsi="Arial" w:cs="Arial"/>
          <w:sz w:val="20"/>
          <w:szCs w:val="20"/>
        </w:rPr>
        <w:t>any other offence arising out of the same circumstances; or</w:t>
      </w:r>
    </w:p>
    <w:p w14:paraId="49A29953" w14:textId="77777777" w:rsidR="00890B59" w:rsidRDefault="00531BEF" w:rsidP="008E7BD4">
      <w:pPr>
        <w:pStyle w:val="ListParagraph"/>
        <w:numPr>
          <w:ilvl w:val="0"/>
          <w:numId w:val="31"/>
        </w:numPr>
        <w:spacing w:before="60" w:after="0" w:line="240" w:lineRule="auto"/>
        <w:ind w:left="1361" w:hanging="454"/>
        <w:jc w:val="both"/>
        <w:rPr>
          <w:rFonts w:ascii="Arial" w:hAnsi="Arial" w:cs="Arial"/>
          <w:sz w:val="20"/>
          <w:szCs w:val="20"/>
        </w:rPr>
      </w:pPr>
      <w:r w:rsidRPr="00890B59">
        <w:rPr>
          <w:rFonts w:ascii="Arial" w:hAnsi="Arial" w:cs="Arial"/>
          <w:sz w:val="20"/>
          <w:szCs w:val="20"/>
        </w:rPr>
        <w:t xml:space="preserve">any other offence in respect of which evidence obtained as a result of the DNA profile sample or forensic procedure had probative value— </w:t>
      </w:r>
    </w:p>
    <w:p w14:paraId="24180819" w14:textId="7D033A30" w:rsidR="00890B59" w:rsidRDefault="00531BEF" w:rsidP="008E7BD4">
      <w:pPr>
        <w:ind w:left="454"/>
        <w:jc w:val="both"/>
        <w:rPr>
          <w:rFonts w:ascii="Arial" w:hAnsi="Arial" w:cs="Arial"/>
          <w:sz w:val="20"/>
          <w:szCs w:val="20"/>
        </w:rPr>
      </w:pPr>
      <w:r w:rsidRPr="00890B59">
        <w:rPr>
          <w:rFonts w:ascii="Arial" w:hAnsi="Arial" w:cs="Arial"/>
          <w:sz w:val="20"/>
          <w:szCs w:val="20"/>
        </w:rPr>
        <w:t>a police officer, at any time after the finding of guilt but not later than 6 months after the final determination of an appeal against conviction or sentence or the expiry of any appeal period in respect of the offence (whichever is the later), may apply to the court referred to in paragraph (b) or to the Children's Court for an order permitting the retention of any sample taken and any related material and information and the court may make an order accordingly.</w:t>
      </w:r>
    </w:p>
    <w:p w14:paraId="54E02C74" w14:textId="732F4CBA" w:rsidR="008E7BD4" w:rsidRPr="008E7BD4" w:rsidRDefault="008E7BD4" w:rsidP="00DE48D1">
      <w:pPr>
        <w:spacing w:before="60"/>
        <w:ind w:left="454" w:hanging="454"/>
        <w:jc w:val="both"/>
        <w:rPr>
          <w:rFonts w:ascii="Arial" w:hAnsi="Arial" w:cs="Arial"/>
          <w:sz w:val="20"/>
          <w:szCs w:val="20"/>
        </w:rPr>
      </w:pPr>
      <w:r>
        <w:rPr>
          <w:rFonts w:ascii="Arial" w:hAnsi="Arial" w:cs="Arial"/>
          <w:sz w:val="20"/>
          <w:szCs w:val="20"/>
        </w:rPr>
        <w:t>(1A)</w:t>
      </w:r>
      <w:r>
        <w:rPr>
          <w:rFonts w:ascii="Arial" w:hAnsi="Arial" w:cs="Arial"/>
          <w:sz w:val="20"/>
          <w:szCs w:val="20"/>
        </w:rPr>
        <w:tab/>
        <w:t>If</w:t>
      </w:r>
      <w:r w:rsidRPr="00890B59">
        <w:rPr>
          <w:rFonts w:ascii="Arial" w:hAnsi="Arial" w:cs="Arial"/>
          <w:sz w:val="20"/>
          <w:szCs w:val="20"/>
        </w:rPr>
        <w:t>—</w:t>
      </w:r>
    </w:p>
    <w:p w14:paraId="6750064A" w14:textId="4AAE5617" w:rsidR="008E7BD4" w:rsidRDefault="008E7BD4" w:rsidP="008E7BD4">
      <w:pPr>
        <w:pStyle w:val="ListParagraph"/>
        <w:numPr>
          <w:ilvl w:val="0"/>
          <w:numId w:val="35"/>
        </w:numPr>
        <w:spacing w:after="0" w:line="240" w:lineRule="auto"/>
        <w:ind w:left="908" w:hanging="454"/>
        <w:jc w:val="both"/>
        <w:rPr>
          <w:rFonts w:ascii="Arial" w:hAnsi="Arial" w:cs="Arial"/>
          <w:sz w:val="20"/>
          <w:szCs w:val="20"/>
        </w:rPr>
      </w:pPr>
      <w:r w:rsidRPr="00890B59">
        <w:rPr>
          <w:rFonts w:ascii="Arial" w:hAnsi="Arial" w:cs="Arial"/>
          <w:sz w:val="20"/>
          <w:szCs w:val="20"/>
        </w:rPr>
        <w:t>a DNA profile sample is taken from a DNA person who is a child in accordance with section 464SC or 464SE or a forensic procedure is conducted on a child in accordance with section 464U(7) or 464V(5); and</w:t>
      </w:r>
    </w:p>
    <w:p w14:paraId="29CE0501" w14:textId="7CF2EEF1" w:rsidR="008E7BD4" w:rsidRDefault="008E7BD4" w:rsidP="008E7BD4">
      <w:pPr>
        <w:pStyle w:val="ListParagraph"/>
        <w:numPr>
          <w:ilvl w:val="0"/>
          <w:numId w:val="35"/>
        </w:numPr>
        <w:spacing w:after="0" w:line="240" w:lineRule="auto"/>
        <w:ind w:left="908" w:hanging="454"/>
        <w:jc w:val="both"/>
        <w:rPr>
          <w:rFonts w:ascii="Arial" w:hAnsi="Arial" w:cs="Arial"/>
          <w:sz w:val="20"/>
          <w:szCs w:val="20"/>
        </w:rPr>
      </w:pPr>
      <w:r>
        <w:rPr>
          <w:rFonts w:ascii="Arial" w:hAnsi="Arial" w:cs="Arial"/>
          <w:sz w:val="20"/>
          <w:szCs w:val="20"/>
        </w:rPr>
        <w:t>a court finds the child not guilty because of mental impairment of</w:t>
      </w:r>
      <w:r>
        <w:t>—</w:t>
      </w:r>
    </w:p>
    <w:p w14:paraId="69085962" w14:textId="77777777" w:rsidR="008E7BD4" w:rsidRDefault="008E7BD4" w:rsidP="00DE48D1">
      <w:pPr>
        <w:pStyle w:val="ListParagraph"/>
        <w:numPr>
          <w:ilvl w:val="0"/>
          <w:numId w:val="36"/>
        </w:numPr>
        <w:spacing w:before="60" w:after="0" w:line="240" w:lineRule="auto"/>
        <w:ind w:left="1361" w:hanging="454"/>
        <w:jc w:val="both"/>
        <w:rPr>
          <w:rFonts w:ascii="Arial" w:hAnsi="Arial" w:cs="Arial"/>
          <w:sz w:val="20"/>
          <w:szCs w:val="20"/>
        </w:rPr>
      </w:pPr>
      <w:r w:rsidRPr="00890B59">
        <w:rPr>
          <w:rFonts w:ascii="Arial" w:hAnsi="Arial" w:cs="Arial"/>
          <w:sz w:val="20"/>
          <w:szCs w:val="20"/>
        </w:rPr>
        <w:t>the offence in respect of which the DNA profile sample was taken or the forensic procedure was conducted; or</w:t>
      </w:r>
    </w:p>
    <w:p w14:paraId="0059EB42" w14:textId="77777777" w:rsidR="008E7BD4" w:rsidRDefault="008E7BD4" w:rsidP="00DE48D1">
      <w:pPr>
        <w:pStyle w:val="ListParagraph"/>
        <w:numPr>
          <w:ilvl w:val="0"/>
          <w:numId w:val="36"/>
        </w:numPr>
        <w:spacing w:before="60" w:after="0" w:line="240" w:lineRule="auto"/>
        <w:ind w:left="1361" w:hanging="454"/>
        <w:jc w:val="both"/>
        <w:rPr>
          <w:rFonts w:ascii="Arial" w:hAnsi="Arial" w:cs="Arial"/>
          <w:sz w:val="20"/>
          <w:szCs w:val="20"/>
        </w:rPr>
      </w:pPr>
      <w:r w:rsidRPr="00890B59">
        <w:rPr>
          <w:rFonts w:ascii="Arial" w:hAnsi="Arial" w:cs="Arial"/>
          <w:sz w:val="20"/>
          <w:szCs w:val="20"/>
        </w:rPr>
        <w:t>any other offence arising out of the same circumstances; or</w:t>
      </w:r>
    </w:p>
    <w:p w14:paraId="14A2F09C" w14:textId="77777777" w:rsidR="008E7BD4" w:rsidRDefault="008E7BD4" w:rsidP="008E7BD4">
      <w:pPr>
        <w:pStyle w:val="ListParagraph"/>
        <w:numPr>
          <w:ilvl w:val="0"/>
          <w:numId w:val="36"/>
        </w:numPr>
        <w:spacing w:before="60" w:after="0" w:line="240" w:lineRule="auto"/>
        <w:ind w:left="1361" w:hanging="454"/>
        <w:jc w:val="both"/>
        <w:rPr>
          <w:rFonts w:ascii="Arial" w:hAnsi="Arial" w:cs="Arial"/>
          <w:sz w:val="20"/>
          <w:szCs w:val="20"/>
        </w:rPr>
      </w:pPr>
      <w:r w:rsidRPr="00890B59">
        <w:rPr>
          <w:rFonts w:ascii="Arial" w:hAnsi="Arial" w:cs="Arial"/>
          <w:sz w:val="20"/>
          <w:szCs w:val="20"/>
        </w:rPr>
        <w:t xml:space="preserve">any other offence in respect of which evidence obtained as a result of the DNA profile sample or forensic procedure had probative value— </w:t>
      </w:r>
    </w:p>
    <w:p w14:paraId="49F55BE7" w14:textId="752E6278" w:rsidR="008E7BD4" w:rsidRDefault="008E7BD4" w:rsidP="008E7BD4">
      <w:pPr>
        <w:ind w:left="454"/>
        <w:jc w:val="both"/>
        <w:rPr>
          <w:rFonts w:ascii="Arial" w:hAnsi="Arial" w:cs="Arial"/>
          <w:sz w:val="20"/>
          <w:szCs w:val="20"/>
        </w:rPr>
      </w:pPr>
      <w:r w:rsidRPr="00890B59">
        <w:rPr>
          <w:rFonts w:ascii="Arial" w:hAnsi="Arial" w:cs="Arial"/>
          <w:sz w:val="20"/>
          <w:szCs w:val="20"/>
        </w:rPr>
        <w:t xml:space="preserve">a police officer, at any time after the </w:t>
      </w:r>
      <w:r w:rsidR="00DE48D1">
        <w:rPr>
          <w:rFonts w:ascii="Arial" w:hAnsi="Arial" w:cs="Arial"/>
          <w:sz w:val="20"/>
          <w:szCs w:val="20"/>
        </w:rPr>
        <w:t xml:space="preserve">verdict of not guilty because of mental impairment </w:t>
      </w:r>
      <w:r w:rsidRPr="00890B59">
        <w:rPr>
          <w:rFonts w:ascii="Arial" w:hAnsi="Arial" w:cs="Arial"/>
          <w:sz w:val="20"/>
          <w:szCs w:val="20"/>
        </w:rPr>
        <w:t xml:space="preserve">but not later than 6 months after the final determination of an appeal against </w:t>
      </w:r>
      <w:r w:rsidR="00DE48D1">
        <w:rPr>
          <w:rFonts w:ascii="Arial" w:hAnsi="Arial" w:cs="Arial"/>
          <w:sz w:val="20"/>
          <w:szCs w:val="20"/>
        </w:rPr>
        <w:t>the verdict</w:t>
      </w:r>
      <w:r w:rsidRPr="00890B59">
        <w:rPr>
          <w:rFonts w:ascii="Arial" w:hAnsi="Arial" w:cs="Arial"/>
          <w:sz w:val="20"/>
          <w:szCs w:val="20"/>
        </w:rPr>
        <w:t xml:space="preserve"> or the expiry of any appeal period in respect of the </w:t>
      </w:r>
      <w:r w:rsidR="00DE48D1">
        <w:rPr>
          <w:rFonts w:ascii="Arial" w:hAnsi="Arial" w:cs="Arial"/>
          <w:sz w:val="20"/>
          <w:szCs w:val="20"/>
        </w:rPr>
        <w:t>verdict</w:t>
      </w:r>
      <w:r w:rsidRPr="00890B59">
        <w:rPr>
          <w:rFonts w:ascii="Arial" w:hAnsi="Arial" w:cs="Arial"/>
          <w:sz w:val="20"/>
          <w:szCs w:val="20"/>
        </w:rPr>
        <w:t xml:space="preserve"> (whichever is the later), may apply to the court referred to in paragraph (b) for an order permitting the retention of any sample taken and any related material and information and the court may make an order accordingly.</w:t>
      </w:r>
    </w:p>
    <w:p w14:paraId="21A0AFDE" w14:textId="15ABF22D" w:rsidR="008E7BD4" w:rsidRDefault="00DE48D1" w:rsidP="00DE48D1">
      <w:pPr>
        <w:spacing w:before="60"/>
        <w:ind w:left="454" w:hanging="454"/>
        <w:jc w:val="both"/>
      </w:pPr>
      <w:r>
        <w:rPr>
          <w:rFonts w:ascii="Arial" w:hAnsi="Arial" w:cs="Arial"/>
          <w:sz w:val="20"/>
          <w:szCs w:val="20"/>
        </w:rPr>
        <w:t>(1B)</w:t>
      </w:r>
      <w:r>
        <w:rPr>
          <w:rFonts w:ascii="Arial" w:hAnsi="Arial" w:cs="Arial"/>
          <w:sz w:val="20"/>
          <w:szCs w:val="20"/>
        </w:rPr>
        <w:tab/>
        <w:t>Subsection (1A) does not apply to an offence heard and determined summarily.</w:t>
      </w:r>
    </w:p>
    <w:p w14:paraId="3EF7FEF4" w14:textId="0864ADD5" w:rsidR="00890B59" w:rsidRDefault="00531BEF" w:rsidP="00DE48D1">
      <w:pPr>
        <w:pStyle w:val="ListParagraph"/>
        <w:numPr>
          <w:ilvl w:val="0"/>
          <w:numId w:val="29"/>
        </w:numPr>
        <w:spacing w:before="60" w:after="0" w:line="240" w:lineRule="auto"/>
        <w:ind w:left="357" w:hanging="357"/>
        <w:jc w:val="both"/>
        <w:rPr>
          <w:rFonts w:ascii="Arial" w:hAnsi="Arial" w:cs="Arial"/>
          <w:sz w:val="20"/>
          <w:szCs w:val="20"/>
        </w:rPr>
      </w:pPr>
      <w:r w:rsidRPr="00890B59">
        <w:rPr>
          <w:rFonts w:ascii="Arial" w:hAnsi="Arial" w:cs="Arial"/>
          <w:sz w:val="20"/>
          <w:szCs w:val="20"/>
        </w:rPr>
        <w:t>A court hearing an application under subsection (1) or (1A)—</w:t>
      </w:r>
    </w:p>
    <w:p w14:paraId="4620E155" w14:textId="77777777" w:rsidR="00890B59" w:rsidRDefault="00531BEF" w:rsidP="00890B59">
      <w:pPr>
        <w:spacing w:before="60"/>
        <w:ind w:left="720"/>
        <w:jc w:val="both"/>
        <w:rPr>
          <w:rFonts w:ascii="Arial" w:hAnsi="Arial" w:cs="Arial"/>
          <w:sz w:val="20"/>
          <w:szCs w:val="20"/>
        </w:rPr>
      </w:pPr>
      <w:r w:rsidRPr="00890B59">
        <w:rPr>
          <w:rFonts w:ascii="Arial" w:hAnsi="Arial" w:cs="Arial"/>
          <w:sz w:val="20"/>
          <w:szCs w:val="20"/>
        </w:rPr>
        <w:t>(a) must take into account the seriousness of the circumstances of the offence in determining whether to make the order under subsection (1) or (1A), as the case requires; and</w:t>
      </w:r>
    </w:p>
    <w:p w14:paraId="2FC86C65" w14:textId="77777777" w:rsidR="0092637A" w:rsidRDefault="00531BEF" w:rsidP="00890B59">
      <w:pPr>
        <w:spacing w:before="60"/>
        <w:ind w:left="720"/>
        <w:jc w:val="both"/>
        <w:rPr>
          <w:rFonts w:ascii="Arial" w:hAnsi="Arial" w:cs="Arial"/>
          <w:sz w:val="20"/>
          <w:szCs w:val="20"/>
        </w:rPr>
      </w:pPr>
      <w:r w:rsidRPr="00890B59">
        <w:rPr>
          <w:rFonts w:ascii="Arial" w:hAnsi="Arial" w:cs="Arial"/>
          <w:sz w:val="20"/>
          <w:szCs w:val="20"/>
        </w:rPr>
        <w:t>(b) must be satisfied that, in all the circumstances, the making of the order is justified; and</w:t>
      </w:r>
    </w:p>
    <w:p w14:paraId="294147E1" w14:textId="36F31F21" w:rsidR="00890B59" w:rsidRDefault="00531BEF" w:rsidP="00890B59">
      <w:pPr>
        <w:spacing w:before="60"/>
        <w:ind w:left="720"/>
        <w:jc w:val="both"/>
        <w:rPr>
          <w:rFonts w:ascii="Arial" w:hAnsi="Arial" w:cs="Arial"/>
          <w:sz w:val="20"/>
          <w:szCs w:val="20"/>
        </w:rPr>
      </w:pPr>
      <w:r w:rsidRPr="00890B59">
        <w:rPr>
          <w:rFonts w:ascii="Arial" w:hAnsi="Arial" w:cs="Arial"/>
          <w:sz w:val="20"/>
          <w:szCs w:val="20"/>
        </w:rPr>
        <w:t>(c) may make such inquiries on oath or by affirmation or otherwise as it considers desirable.</w:t>
      </w:r>
    </w:p>
    <w:p w14:paraId="2619C9C4" w14:textId="2F359F02" w:rsidR="00DE48D1" w:rsidRDefault="00DE48D1" w:rsidP="00DE48D1">
      <w:pPr>
        <w:spacing w:before="60"/>
        <w:jc w:val="both"/>
        <w:rPr>
          <w:rFonts w:ascii="Arial" w:hAnsi="Arial" w:cs="Arial"/>
          <w:sz w:val="20"/>
          <w:szCs w:val="20"/>
        </w:rPr>
      </w:pPr>
      <w:r>
        <w:rPr>
          <w:rFonts w:ascii="Arial" w:hAnsi="Arial" w:cs="Arial"/>
          <w:sz w:val="20"/>
          <w:szCs w:val="20"/>
        </w:rPr>
        <w:t>…</w:t>
      </w:r>
    </w:p>
    <w:p w14:paraId="420B971A" w14:textId="7BA8008F" w:rsidR="00890B59" w:rsidRDefault="00531BEF" w:rsidP="00890B59">
      <w:pPr>
        <w:pStyle w:val="ListParagraph"/>
        <w:numPr>
          <w:ilvl w:val="0"/>
          <w:numId w:val="29"/>
        </w:numPr>
        <w:spacing w:before="60" w:after="0" w:line="240" w:lineRule="auto"/>
        <w:ind w:left="357" w:hanging="357"/>
        <w:jc w:val="both"/>
        <w:rPr>
          <w:rFonts w:ascii="Arial" w:hAnsi="Arial" w:cs="Arial"/>
          <w:sz w:val="20"/>
          <w:szCs w:val="20"/>
        </w:rPr>
      </w:pPr>
      <w:r w:rsidRPr="00890B59">
        <w:rPr>
          <w:rFonts w:ascii="Arial" w:hAnsi="Arial" w:cs="Arial"/>
          <w:sz w:val="20"/>
          <w:szCs w:val="20"/>
        </w:rPr>
        <w:t>If a court makes an order under subsection (1) or (1A), it must give reasons for its decision and cause a copy of the order and reasons to be served on the person on whom the forensic procedure was conducted.</w:t>
      </w:r>
    </w:p>
    <w:p w14:paraId="772A64C8" w14:textId="4BA21D43" w:rsidR="00890B59" w:rsidRPr="00890B59" w:rsidRDefault="00890B59" w:rsidP="00890B59">
      <w:pPr>
        <w:spacing w:before="60"/>
        <w:ind w:left="357" w:hanging="357"/>
        <w:jc w:val="both"/>
        <w:rPr>
          <w:rFonts w:ascii="Arial" w:hAnsi="Arial" w:cs="Arial"/>
          <w:sz w:val="20"/>
          <w:szCs w:val="20"/>
        </w:rPr>
      </w:pPr>
      <w:r>
        <w:rPr>
          <w:rFonts w:ascii="Arial" w:hAnsi="Arial" w:cs="Arial"/>
          <w:sz w:val="20"/>
          <w:szCs w:val="20"/>
        </w:rPr>
        <w:t>(4)</w:t>
      </w:r>
      <w:r>
        <w:rPr>
          <w:rFonts w:ascii="Arial" w:hAnsi="Arial" w:cs="Arial"/>
          <w:sz w:val="20"/>
          <w:szCs w:val="20"/>
        </w:rPr>
        <w:tab/>
      </w:r>
      <w:r w:rsidRPr="00890B59">
        <w:rPr>
          <w:rFonts w:ascii="Arial" w:hAnsi="Arial" w:cs="Arial"/>
          <w:sz w:val="20"/>
          <w:szCs w:val="20"/>
        </w:rPr>
        <w:t>A failure of a court to comply with subsection (3) does not invalidate any order made by it but constitutes non-compliance for the purposes of section 464ZE(1)(a</w:t>
      </w:r>
      <w:r>
        <w:rPr>
          <w:rFonts w:ascii="Arial" w:hAnsi="Arial" w:cs="Arial"/>
          <w:sz w:val="20"/>
          <w:szCs w:val="20"/>
        </w:rPr>
        <w:t>).</w:t>
      </w:r>
    </w:p>
    <w:p w14:paraId="3B03F3FA" w14:textId="31EBBADC" w:rsidR="00890B59" w:rsidRDefault="00890B59" w:rsidP="005B4697">
      <w:pPr>
        <w:jc w:val="both"/>
        <w:rPr>
          <w:rFonts w:ascii="Arial" w:hAnsi="Arial" w:cs="Arial"/>
          <w:sz w:val="20"/>
          <w:szCs w:val="20"/>
        </w:rPr>
      </w:pPr>
    </w:p>
    <w:p w14:paraId="070CDC10" w14:textId="4E4DC06E" w:rsidR="00D34632" w:rsidRDefault="00D34632" w:rsidP="005B4697">
      <w:pPr>
        <w:jc w:val="both"/>
        <w:rPr>
          <w:rFonts w:ascii="Arial" w:hAnsi="Arial" w:cs="Arial"/>
          <w:sz w:val="20"/>
          <w:szCs w:val="20"/>
        </w:rPr>
      </w:pPr>
      <w:r>
        <w:rPr>
          <w:rFonts w:ascii="Arial" w:hAnsi="Arial" w:cs="Arial"/>
          <w:sz w:val="20"/>
          <w:szCs w:val="20"/>
        </w:rPr>
        <w:lastRenderedPageBreak/>
        <w:t xml:space="preserve">In </w:t>
      </w:r>
      <w:r w:rsidRPr="00D34632">
        <w:rPr>
          <w:rFonts w:ascii="Arial" w:hAnsi="Arial" w:cs="Arial"/>
          <w:i/>
          <w:iCs/>
          <w:sz w:val="20"/>
          <w:szCs w:val="20"/>
        </w:rPr>
        <w:t>Lednar v Magistrates Court</w:t>
      </w:r>
      <w:r>
        <w:rPr>
          <w:rFonts w:ascii="Arial" w:hAnsi="Arial" w:cs="Arial"/>
          <w:sz w:val="20"/>
          <w:szCs w:val="20"/>
        </w:rPr>
        <w:t xml:space="preserve"> [2000] A Crim R 396 Gillard J stated at [393] in relation to an application under s.464ZF(1):</w:t>
      </w:r>
    </w:p>
    <w:p w14:paraId="70F54E60" w14:textId="69B75FAA" w:rsidR="00D34632" w:rsidRDefault="00D34632" w:rsidP="00D34632">
      <w:pPr>
        <w:spacing w:before="60"/>
        <w:ind w:left="567" w:right="567"/>
        <w:jc w:val="both"/>
        <w:rPr>
          <w:rFonts w:ascii="Arial" w:hAnsi="Arial" w:cs="Arial"/>
          <w:sz w:val="20"/>
          <w:szCs w:val="20"/>
        </w:rPr>
      </w:pPr>
      <w:r>
        <w:rPr>
          <w:rFonts w:ascii="Arial" w:hAnsi="Arial" w:cs="Arial"/>
          <w:sz w:val="20"/>
          <w:szCs w:val="20"/>
        </w:rPr>
        <w:t>“It is emphasised that the application is made to the Magistrates’ Court [or the Children’s Court] and not to a magistrate.  It is a court proceeding.”</w:t>
      </w:r>
    </w:p>
    <w:p w14:paraId="058B2FC8" w14:textId="77777777" w:rsidR="00D34632" w:rsidRPr="00890B59" w:rsidRDefault="00D34632" w:rsidP="005B4697">
      <w:pPr>
        <w:jc w:val="both"/>
        <w:rPr>
          <w:rFonts w:ascii="Arial" w:hAnsi="Arial" w:cs="Arial"/>
          <w:sz w:val="20"/>
          <w:szCs w:val="20"/>
        </w:rPr>
      </w:pPr>
    </w:p>
    <w:p w14:paraId="23F77D06" w14:textId="077EEA43" w:rsidR="005B4697" w:rsidRDefault="00531BEF" w:rsidP="00F321EE">
      <w:pPr>
        <w:jc w:val="both"/>
        <w:rPr>
          <w:rFonts w:ascii="Arial" w:hAnsi="Arial" w:cs="Arial"/>
          <w:sz w:val="20"/>
          <w:szCs w:val="20"/>
        </w:rPr>
      </w:pPr>
      <w:r w:rsidRPr="00531BEF">
        <w:rPr>
          <w:rFonts w:ascii="Arial" w:hAnsi="Arial" w:cs="Arial"/>
          <w:sz w:val="20"/>
          <w:szCs w:val="20"/>
        </w:rPr>
        <w:t>Section 464ZFC(1) of the Act imposes an obligation on the Chief Commissioner of Police without delay to destroy, or cause to be destroyed, any sample taken and any related material and information if no application is made for its retention under s 464ZFB(1) within the specified period or if a court refuses to make an order under s 464ZFB(1).</w:t>
      </w:r>
    </w:p>
    <w:p w14:paraId="2E9CD3B8" w14:textId="77777777" w:rsidR="005B4697" w:rsidRDefault="005B4697" w:rsidP="00F321EE">
      <w:pPr>
        <w:jc w:val="both"/>
        <w:rPr>
          <w:rFonts w:ascii="Arial" w:hAnsi="Arial" w:cs="Arial"/>
          <w:sz w:val="20"/>
          <w:szCs w:val="20"/>
        </w:rPr>
      </w:pPr>
    </w:p>
    <w:p w14:paraId="2B9EB51E" w14:textId="22600BCF" w:rsidR="005B4697" w:rsidRDefault="000B2CB8" w:rsidP="00F321EE">
      <w:pPr>
        <w:jc w:val="both"/>
        <w:rPr>
          <w:rFonts w:ascii="Arial" w:hAnsi="Arial" w:cs="Arial"/>
          <w:sz w:val="20"/>
          <w:szCs w:val="20"/>
        </w:rPr>
      </w:pPr>
      <w:r>
        <w:rPr>
          <w:rFonts w:ascii="Arial" w:hAnsi="Arial" w:cs="Arial"/>
          <w:sz w:val="20"/>
          <w:szCs w:val="20"/>
        </w:rPr>
        <w:t xml:space="preserve">In </w:t>
      </w:r>
      <w:r w:rsidRPr="00A21AA6">
        <w:rPr>
          <w:rFonts w:ascii="Arial" w:hAnsi="Arial" w:cs="Arial"/>
          <w:i/>
          <w:iCs/>
          <w:sz w:val="20"/>
          <w:szCs w:val="20"/>
        </w:rPr>
        <w:t>MB v Children’s Court of Victoria &amp; Anor</w:t>
      </w:r>
      <w:r>
        <w:rPr>
          <w:rFonts w:ascii="Arial" w:hAnsi="Arial" w:cs="Arial"/>
          <w:sz w:val="20"/>
          <w:szCs w:val="20"/>
        </w:rPr>
        <w:t xml:space="preserve"> [2023] VSC 666 </w:t>
      </w:r>
      <w:r w:rsidR="00A21AA6">
        <w:rPr>
          <w:rFonts w:ascii="Arial" w:hAnsi="Arial" w:cs="Arial"/>
          <w:sz w:val="20"/>
          <w:szCs w:val="20"/>
        </w:rPr>
        <w:t xml:space="preserve">MB </w:t>
      </w:r>
      <w:r>
        <w:rPr>
          <w:rFonts w:ascii="Arial" w:hAnsi="Arial" w:cs="Arial"/>
          <w:sz w:val="20"/>
          <w:szCs w:val="20"/>
        </w:rPr>
        <w:t xml:space="preserve">had </w:t>
      </w:r>
      <w:r w:rsidR="005B4697">
        <w:rPr>
          <w:rFonts w:ascii="Arial" w:hAnsi="Arial" w:cs="Arial"/>
          <w:sz w:val="20"/>
          <w:szCs w:val="20"/>
        </w:rPr>
        <w:t xml:space="preserve">pleaded guilty </w:t>
      </w:r>
      <w:r w:rsidR="00A21AA6">
        <w:rPr>
          <w:rFonts w:ascii="Arial" w:hAnsi="Arial" w:cs="Arial"/>
          <w:sz w:val="20"/>
          <w:szCs w:val="20"/>
        </w:rPr>
        <w:t xml:space="preserve">following a sentence indication </w:t>
      </w:r>
      <w:r w:rsidR="005B4697">
        <w:rPr>
          <w:rFonts w:ascii="Arial" w:hAnsi="Arial" w:cs="Arial"/>
          <w:sz w:val="20"/>
          <w:szCs w:val="20"/>
        </w:rPr>
        <w:t xml:space="preserve">to </w:t>
      </w:r>
      <w:r w:rsidR="002D2555">
        <w:rPr>
          <w:rFonts w:ascii="Arial" w:hAnsi="Arial" w:cs="Arial"/>
          <w:sz w:val="20"/>
          <w:szCs w:val="20"/>
        </w:rPr>
        <w:t>several</w:t>
      </w:r>
      <w:r w:rsidR="005B4697">
        <w:rPr>
          <w:rFonts w:ascii="Arial" w:hAnsi="Arial" w:cs="Arial"/>
          <w:sz w:val="20"/>
          <w:szCs w:val="20"/>
        </w:rPr>
        <w:t xml:space="preserve"> offences, including an offence of aggravated home invasion in connection with which MB – who was 16 years old at the time – had </w:t>
      </w:r>
      <w:r w:rsidR="00A21AA6">
        <w:rPr>
          <w:rFonts w:ascii="Arial" w:hAnsi="Arial" w:cs="Arial"/>
          <w:sz w:val="20"/>
          <w:szCs w:val="20"/>
        </w:rPr>
        <w:t xml:space="preserve">earlier </w:t>
      </w:r>
      <w:r w:rsidR="005B4697">
        <w:rPr>
          <w:rFonts w:ascii="Arial" w:hAnsi="Arial" w:cs="Arial"/>
          <w:sz w:val="20"/>
          <w:szCs w:val="20"/>
        </w:rPr>
        <w:t>voluntarily provided a DNA profile sample to Victoria Police under s.464SC(3)(b)(i) of the Act.</w:t>
      </w:r>
    </w:p>
    <w:p w14:paraId="428E22DF" w14:textId="1D0AD24A" w:rsidR="005B4697" w:rsidRDefault="005B4697" w:rsidP="00A21AA6">
      <w:pPr>
        <w:spacing w:before="80"/>
        <w:jc w:val="both"/>
        <w:rPr>
          <w:rFonts w:ascii="Arial" w:hAnsi="Arial" w:cs="Arial"/>
          <w:sz w:val="20"/>
          <w:szCs w:val="20"/>
        </w:rPr>
      </w:pPr>
      <w:r>
        <w:rPr>
          <w:rFonts w:ascii="Arial" w:hAnsi="Arial" w:cs="Arial"/>
          <w:sz w:val="20"/>
          <w:szCs w:val="20"/>
        </w:rPr>
        <w:t xml:space="preserve">In making the order </w:t>
      </w:r>
      <w:r w:rsidR="000B2CB8">
        <w:rPr>
          <w:rFonts w:ascii="Arial" w:hAnsi="Arial" w:cs="Arial"/>
          <w:sz w:val="20"/>
          <w:szCs w:val="20"/>
        </w:rPr>
        <w:t xml:space="preserve">subsequently </w:t>
      </w:r>
      <w:r>
        <w:rPr>
          <w:rFonts w:ascii="Arial" w:hAnsi="Arial" w:cs="Arial"/>
          <w:sz w:val="20"/>
          <w:szCs w:val="20"/>
        </w:rPr>
        <w:t xml:space="preserve">sought by the </w:t>
      </w:r>
      <w:r w:rsidR="000B2CB8">
        <w:rPr>
          <w:rFonts w:ascii="Arial" w:hAnsi="Arial" w:cs="Arial"/>
          <w:sz w:val="20"/>
          <w:szCs w:val="20"/>
        </w:rPr>
        <w:t xml:space="preserve">Victoria Police </w:t>
      </w:r>
      <w:r>
        <w:rPr>
          <w:rFonts w:ascii="Arial" w:hAnsi="Arial" w:cs="Arial"/>
          <w:sz w:val="20"/>
          <w:szCs w:val="20"/>
        </w:rPr>
        <w:t xml:space="preserve">applicant for the retention of the </w:t>
      </w:r>
      <w:r w:rsidR="00A21AA6">
        <w:rPr>
          <w:rFonts w:ascii="Arial" w:hAnsi="Arial" w:cs="Arial"/>
          <w:sz w:val="20"/>
          <w:szCs w:val="20"/>
        </w:rPr>
        <w:t xml:space="preserve">DNA sample taken from MB the Magistrate’s </w:t>
      </w:r>
      <w:r w:rsidR="00A21AA6" w:rsidRPr="00A21AA6">
        <w:rPr>
          <w:rFonts w:ascii="Arial" w:hAnsi="Arial" w:cs="Arial"/>
          <w:i/>
          <w:iCs/>
          <w:sz w:val="20"/>
          <w:szCs w:val="20"/>
        </w:rPr>
        <w:t>ex tempore</w:t>
      </w:r>
      <w:r w:rsidR="00A21AA6" w:rsidRPr="00531BEF">
        <w:rPr>
          <w:rFonts w:ascii="Arial" w:hAnsi="Arial" w:cs="Arial"/>
          <w:sz w:val="20"/>
          <w:szCs w:val="20"/>
        </w:rPr>
        <w:t xml:space="preserve"> reasons</w:t>
      </w:r>
      <w:r w:rsidR="00A21AA6">
        <w:rPr>
          <w:rFonts w:ascii="Arial" w:hAnsi="Arial" w:cs="Arial"/>
          <w:sz w:val="20"/>
          <w:szCs w:val="20"/>
        </w:rPr>
        <w:t xml:space="preserve"> included the following:</w:t>
      </w:r>
    </w:p>
    <w:p w14:paraId="69F489C7" w14:textId="34AE02BF" w:rsidR="005B4697"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“The application today is for the retention of that sample. That was in part relied upon for the investigation in this matter, whereby there are a number of co-accused who are still subject to a hearing in the adult jurisdiction.</w:t>
      </w:r>
    </w:p>
    <w:p w14:paraId="12AC231F" w14:textId="367C9C99" w:rsidR="00A21AA6"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The application comes before me on the back of an affidavit by Senior Constable Dean Pilati, and the considerations I must have [regard to] are pursuant to s 464ZFB and in particular I must take into account the seriousness of the circumstances of the offence in determining whether to make the order and be satisfied in all the circumstances that making of the order is justified.</w:t>
      </w:r>
    </w:p>
    <w:p w14:paraId="6590681B" w14:textId="274557E8" w:rsidR="00A21AA6"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Having reviewed the affidavit, heard the submissions on behalf of the respondent, I am satisfied that that order is justified, and I do intend to make that order. And I rely on the submissions made on the affidavit. I will hand that decision on the specific reasons in a moment. Also, I note that the young person has prior matters whereby</w:t>
      </w:r>
      <w:r>
        <w:rPr>
          <w:rFonts w:ascii="Arial" w:hAnsi="Arial" w:cs="Arial"/>
          <w:sz w:val="18"/>
          <w:szCs w:val="18"/>
        </w:rPr>
        <w:t>…</w:t>
      </w:r>
      <w:r w:rsidRPr="00A21AA6">
        <w:rPr>
          <w:rFonts w:ascii="Arial" w:hAnsi="Arial" w:cs="Arial"/>
          <w:sz w:val="18"/>
          <w:szCs w:val="18"/>
        </w:rPr>
        <w:t>the priors are of a similar nature and are also of relevance.</w:t>
      </w:r>
    </w:p>
    <w:p w14:paraId="6933169D" w14:textId="3BC56F8E" w:rsidR="00A21AA6"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In totality, the seriousness of the circumstances of the offending warrant the order. Prior convictions of the respondent are such as to warrant the making of the order. Granting of the order is in the public interest and the benefit of having the sample is for the detection of further crime.”</w:t>
      </w:r>
    </w:p>
    <w:p w14:paraId="4F0243EE" w14:textId="77777777" w:rsidR="00A52E78" w:rsidRDefault="00A52E78" w:rsidP="00A52E78">
      <w:pPr>
        <w:jc w:val="both"/>
        <w:rPr>
          <w:rFonts w:ascii="Arial" w:hAnsi="Arial" w:cs="Arial"/>
          <w:sz w:val="20"/>
          <w:szCs w:val="20"/>
        </w:rPr>
      </w:pPr>
    </w:p>
    <w:p w14:paraId="48FE6534" w14:textId="0F23249F" w:rsidR="00A21AA6" w:rsidRDefault="00162B3C" w:rsidP="00A52E78">
      <w:pPr>
        <w:jc w:val="both"/>
        <w:rPr>
          <w:rFonts w:ascii="Arial" w:hAnsi="Arial" w:cs="Arial"/>
          <w:sz w:val="20"/>
          <w:szCs w:val="20"/>
        </w:rPr>
      </w:pPr>
      <w:r>
        <w:rPr>
          <w:rFonts w:ascii="Arial" w:hAnsi="Arial" w:cs="Arial"/>
          <w:sz w:val="20"/>
          <w:szCs w:val="20"/>
        </w:rPr>
        <w:t xml:space="preserve">On application by MB, McDonald J ordered that the retention order made by the Children’s Court </w:t>
      </w:r>
      <w:r w:rsidR="007A56D8">
        <w:rPr>
          <w:rFonts w:ascii="Arial" w:hAnsi="Arial" w:cs="Arial"/>
          <w:sz w:val="20"/>
          <w:szCs w:val="20"/>
        </w:rPr>
        <w:t>be</w:t>
      </w:r>
      <w:r>
        <w:rPr>
          <w:rFonts w:ascii="Arial" w:hAnsi="Arial" w:cs="Arial"/>
          <w:sz w:val="20"/>
          <w:szCs w:val="20"/>
        </w:rPr>
        <w:t xml:space="preserve"> quashed and that the application for retention be remitted to the Children’s Court for rehearing.  </w:t>
      </w:r>
      <w:r w:rsidR="00A52E78">
        <w:rPr>
          <w:rFonts w:ascii="Arial" w:hAnsi="Arial" w:cs="Arial"/>
          <w:sz w:val="20"/>
          <w:szCs w:val="20"/>
        </w:rPr>
        <w:t>H</w:t>
      </w:r>
      <w:r>
        <w:rPr>
          <w:rFonts w:ascii="Arial" w:hAnsi="Arial" w:cs="Arial"/>
          <w:sz w:val="20"/>
          <w:szCs w:val="20"/>
        </w:rPr>
        <w:t>is</w:t>
      </w:r>
      <w:r w:rsidR="00A52E78">
        <w:rPr>
          <w:rFonts w:ascii="Arial" w:hAnsi="Arial" w:cs="Arial"/>
          <w:sz w:val="20"/>
          <w:szCs w:val="20"/>
        </w:rPr>
        <w:t> </w:t>
      </w:r>
      <w:r>
        <w:rPr>
          <w:rFonts w:ascii="Arial" w:hAnsi="Arial" w:cs="Arial"/>
          <w:sz w:val="20"/>
          <w:szCs w:val="20"/>
        </w:rPr>
        <w:t>Honour held at [55] that “MB has made out each of the three grounds on which he challenges the order for retention of his DNA sample.”  Those grounds, set out in [14], are as follows:</w:t>
      </w:r>
    </w:p>
    <w:p w14:paraId="69AFF42D" w14:textId="7AA80C3F" w:rsidR="00162B3C" w:rsidRDefault="00531BEF" w:rsidP="00162B3C">
      <w:pPr>
        <w:pStyle w:val="ListParagraph"/>
        <w:numPr>
          <w:ilvl w:val="0"/>
          <w:numId w:val="32"/>
        </w:numPr>
        <w:spacing w:before="60" w:after="60" w:line="240" w:lineRule="auto"/>
        <w:ind w:left="357" w:hanging="357"/>
        <w:jc w:val="both"/>
        <w:rPr>
          <w:rFonts w:ascii="Arial" w:hAnsi="Arial" w:cs="Arial"/>
          <w:sz w:val="20"/>
          <w:szCs w:val="20"/>
        </w:rPr>
      </w:pPr>
      <w:r w:rsidRPr="00162B3C">
        <w:rPr>
          <w:rFonts w:ascii="Arial" w:hAnsi="Arial" w:cs="Arial"/>
          <w:sz w:val="20"/>
          <w:szCs w:val="20"/>
        </w:rPr>
        <w:t xml:space="preserve">The Magistrate failed to properly consider and apply the requirement under s 464ZFB(2)(b) of the Act that the Court must be satisfied that </w:t>
      </w:r>
      <w:r w:rsidRPr="002D2555">
        <w:rPr>
          <w:rFonts w:ascii="Arial" w:hAnsi="Arial" w:cs="Arial"/>
          <w:i/>
          <w:iCs/>
          <w:sz w:val="20"/>
          <w:szCs w:val="20"/>
        </w:rPr>
        <w:t>in all the circumstances</w:t>
      </w:r>
      <w:r w:rsidRPr="00162B3C">
        <w:rPr>
          <w:rFonts w:ascii="Arial" w:hAnsi="Arial" w:cs="Arial"/>
          <w:sz w:val="20"/>
          <w:szCs w:val="20"/>
        </w:rPr>
        <w:t xml:space="preserve"> the making of the order is justified</w:t>
      </w:r>
      <w:r w:rsidR="00162B3C" w:rsidRPr="00162B3C">
        <w:rPr>
          <w:rFonts w:ascii="Arial" w:hAnsi="Arial" w:cs="Arial"/>
          <w:sz w:val="20"/>
          <w:szCs w:val="20"/>
        </w:rPr>
        <w:t>.</w:t>
      </w:r>
    </w:p>
    <w:p w14:paraId="489DBADA" w14:textId="77777777" w:rsidR="00162B3C" w:rsidRPr="00162B3C" w:rsidRDefault="00162B3C" w:rsidP="00162B3C">
      <w:pPr>
        <w:spacing w:before="60"/>
        <w:jc w:val="both"/>
        <w:rPr>
          <w:rFonts w:ascii="Arial" w:hAnsi="Arial" w:cs="Arial"/>
          <w:sz w:val="2"/>
          <w:szCs w:val="2"/>
        </w:rPr>
      </w:pPr>
    </w:p>
    <w:p w14:paraId="06D3461C" w14:textId="1B9F4819" w:rsidR="00162B3C" w:rsidRDefault="00162B3C" w:rsidP="00162B3C">
      <w:pPr>
        <w:pStyle w:val="ListParagraph"/>
        <w:numPr>
          <w:ilvl w:val="0"/>
          <w:numId w:val="32"/>
        </w:numPr>
        <w:spacing w:before="40" w:after="0" w:line="240" w:lineRule="auto"/>
        <w:ind w:left="357" w:hanging="357"/>
        <w:jc w:val="both"/>
        <w:rPr>
          <w:rFonts w:ascii="Arial" w:hAnsi="Arial" w:cs="Arial"/>
          <w:sz w:val="20"/>
          <w:szCs w:val="20"/>
        </w:rPr>
      </w:pPr>
      <w:r w:rsidRPr="00531BEF">
        <w:rPr>
          <w:rFonts w:ascii="Arial" w:hAnsi="Arial" w:cs="Arial"/>
          <w:sz w:val="20"/>
          <w:szCs w:val="20"/>
        </w:rPr>
        <w:t>The Magistrate’s decision was legally unreasonable by reason of the Magistrate’s reliance upon the prosecutor’s erroneous submission that a retention order was necessary to allow for the legitimate disclosure of a forensic report to MB’s co</w:t>
      </w:r>
      <w:r>
        <w:rPr>
          <w:rFonts w:ascii="Arial" w:hAnsi="Arial" w:cs="Arial"/>
          <w:sz w:val="20"/>
          <w:szCs w:val="20"/>
        </w:rPr>
        <w:t>-</w:t>
      </w:r>
      <w:r w:rsidRPr="00531BEF">
        <w:rPr>
          <w:rFonts w:ascii="Arial" w:hAnsi="Arial" w:cs="Arial"/>
          <w:sz w:val="20"/>
          <w:szCs w:val="20"/>
        </w:rPr>
        <w:t>accused</w:t>
      </w:r>
      <w:r>
        <w:rPr>
          <w:rFonts w:ascii="Arial" w:hAnsi="Arial" w:cs="Arial"/>
          <w:sz w:val="20"/>
          <w:szCs w:val="20"/>
        </w:rPr>
        <w:t>.</w:t>
      </w:r>
    </w:p>
    <w:p w14:paraId="7462B3F7" w14:textId="77777777" w:rsidR="00162B3C" w:rsidRPr="00162B3C" w:rsidRDefault="00162B3C" w:rsidP="00162B3C">
      <w:pPr>
        <w:jc w:val="both"/>
        <w:rPr>
          <w:rFonts w:ascii="Arial" w:hAnsi="Arial" w:cs="Arial"/>
          <w:sz w:val="2"/>
          <w:szCs w:val="2"/>
        </w:rPr>
      </w:pPr>
    </w:p>
    <w:p w14:paraId="2F914600" w14:textId="6B106A07" w:rsidR="00162B3C" w:rsidRPr="00162B3C" w:rsidRDefault="00162B3C" w:rsidP="00162B3C">
      <w:pPr>
        <w:pStyle w:val="ListParagraph"/>
        <w:numPr>
          <w:ilvl w:val="0"/>
          <w:numId w:val="32"/>
        </w:numPr>
        <w:spacing w:before="40" w:after="0" w:line="240" w:lineRule="auto"/>
        <w:ind w:left="357" w:hanging="357"/>
        <w:jc w:val="both"/>
        <w:rPr>
          <w:rFonts w:ascii="Arial" w:hAnsi="Arial" w:cs="Arial"/>
          <w:sz w:val="20"/>
          <w:szCs w:val="20"/>
        </w:rPr>
      </w:pPr>
      <w:r w:rsidRPr="00531BEF">
        <w:rPr>
          <w:rFonts w:ascii="Arial" w:hAnsi="Arial" w:cs="Arial"/>
          <w:sz w:val="20"/>
          <w:szCs w:val="20"/>
        </w:rPr>
        <w:t xml:space="preserve">The retention order was unlawful pursuant to s 38(1) of the </w:t>
      </w:r>
      <w:r w:rsidRPr="002D2555">
        <w:rPr>
          <w:rFonts w:ascii="Arial" w:hAnsi="Arial" w:cs="Arial"/>
          <w:i/>
          <w:iCs/>
          <w:sz w:val="20"/>
          <w:szCs w:val="20"/>
        </w:rPr>
        <w:t>Charter of Human Rights and Responsibilities Act 2006</w:t>
      </w:r>
      <w:r w:rsidRPr="00531BEF">
        <w:rPr>
          <w:rFonts w:ascii="Arial" w:hAnsi="Arial" w:cs="Arial"/>
          <w:sz w:val="20"/>
          <w:szCs w:val="20"/>
        </w:rPr>
        <w:t xml:space="preserve"> (‘Charter’) by reason of the Magistrate’s failure to consider MB’s right to privacy under s 13(a) of the Charter and the right to such protection as is in his best interests as a child under s 17(2) of the Charter.</w:t>
      </w:r>
    </w:p>
    <w:p w14:paraId="05DC6481" w14:textId="349DA43B" w:rsidR="009972D3" w:rsidRDefault="000A1339" w:rsidP="00A52E78">
      <w:pPr>
        <w:spacing w:before="60"/>
        <w:jc w:val="both"/>
        <w:rPr>
          <w:rFonts w:ascii="Arial" w:hAnsi="Arial" w:cs="Arial"/>
          <w:sz w:val="20"/>
          <w:szCs w:val="20"/>
        </w:rPr>
      </w:pPr>
      <w:r>
        <w:rPr>
          <w:rFonts w:ascii="Arial" w:hAnsi="Arial" w:cs="Arial"/>
          <w:sz w:val="20"/>
          <w:szCs w:val="20"/>
        </w:rPr>
        <w:t xml:space="preserve">In relation to ground 1, </w:t>
      </w:r>
      <w:r w:rsidR="00A52E78">
        <w:rPr>
          <w:rFonts w:ascii="Arial" w:hAnsi="Arial" w:cs="Arial"/>
          <w:sz w:val="20"/>
          <w:szCs w:val="20"/>
        </w:rPr>
        <w:t>his Honour said</w:t>
      </w:r>
      <w:r>
        <w:rPr>
          <w:rFonts w:ascii="Arial" w:hAnsi="Arial" w:cs="Arial"/>
          <w:sz w:val="20"/>
          <w:szCs w:val="20"/>
        </w:rPr>
        <w:t xml:space="preserve"> at [16]-[17]</w:t>
      </w:r>
      <w:r w:rsidR="00A52E78">
        <w:rPr>
          <w:rFonts w:ascii="Arial" w:hAnsi="Arial" w:cs="Arial"/>
          <w:sz w:val="20"/>
          <w:szCs w:val="20"/>
        </w:rPr>
        <w:t>:</w:t>
      </w:r>
    </w:p>
    <w:p w14:paraId="234C457A" w14:textId="04F32925" w:rsidR="009972D3" w:rsidRDefault="009972D3" w:rsidP="009972D3">
      <w:pPr>
        <w:spacing w:before="60"/>
        <w:ind w:left="567" w:right="567"/>
        <w:jc w:val="both"/>
        <w:rPr>
          <w:rFonts w:ascii="Arial" w:hAnsi="Arial" w:cs="Arial"/>
          <w:sz w:val="20"/>
          <w:szCs w:val="20"/>
        </w:rPr>
      </w:pPr>
      <w:r>
        <w:rPr>
          <w:rFonts w:ascii="Arial" w:hAnsi="Arial" w:cs="Arial"/>
          <w:sz w:val="20"/>
          <w:szCs w:val="20"/>
        </w:rPr>
        <w:t>[16] “The phrase ‘all the circumstances’ emphasises the breadth of the evaluative assessment which must be undertaken before a court can have the requisite satisfaction that the making of an order is justified.  The discretion conferred under s.464ZFB(2)(c) for the Court to make such inquiries ‘as it considers desirable’ (as opposed to necessary) also reinforces the breadth of the evaluative assessment.</w:t>
      </w:r>
    </w:p>
    <w:p w14:paraId="349CBA19" w14:textId="58D88C05" w:rsidR="009972D3" w:rsidRDefault="009972D3" w:rsidP="007A56D8">
      <w:pPr>
        <w:spacing w:before="60"/>
        <w:ind w:left="567" w:right="567"/>
        <w:jc w:val="both"/>
        <w:rPr>
          <w:rFonts w:ascii="Arial" w:hAnsi="Arial" w:cs="Arial"/>
          <w:sz w:val="20"/>
          <w:szCs w:val="20"/>
        </w:rPr>
      </w:pPr>
      <w:r>
        <w:rPr>
          <w:rFonts w:ascii="Arial" w:hAnsi="Arial" w:cs="Arial"/>
          <w:sz w:val="20"/>
          <w:szCs w:val="20"/>
        </w:rPr>
        <w:t xml:space="preserve">[17] The four reasons set out in the Magistrate’s orders were circumstances properly taken into account in reaching the requisite satisfaction under s.464ZFB.  However, the four matters did not constitute </w:t>
      </w:r>
      <w:r w:rsidRPr="009972D3">
        <w:rPr>
          <w:rFonts w:ascii="Arial" w:hAnsi="Arial" w:cs="Arial"/>
          <w:i/>
          <w:iCs/>
          <w:sz w:val="20"/>
          <w:szCs w:val="20"/>
        </w:rPr>
        <w:t>all</w:t>
      </w:r>
      <w:r>
        <w:rPr>
          <w:rFonts w:ascii="Arial" w:hAnsi="Arial" w:cs="Arial"/>
          <w:sz w:val="20"/>
          <w:szCs w:val="20"/>
        </w:rPr>
        <w:t xml:space="preserve"> of the circumstances relevant to the exercise of the power to make an order.”</w:t>
      </w:r>
    </w:p>
    <w:p w14:paraId="1130EC63" w14:textId="77777777" w:rsidR="009972D3" w:rsidRDefault="009972D3" w:rsidP="007A56D8">
      <w:pPr>
        <w:jc w:val="both"/>
        <w:rPr>
          <w:rFonts w:ascii="Arial" w:hAnsi="Arial" w:cs="Arial"/>
          <w:sz w:val="20"/>
          <w:szCs w:val="20"/>
        </w:rPr>
      </w:pPr>
    </w:p>
    <w:p w14:paraId="642BEA34" w14:textId="564C2212" w:rsidR="00A52E78" w:rsidRDefault="00A52E78" w:rsidP="009A089A">
      <w:pPr>
        <w:jc w:val="both"/>
        <w:rPr>
          <w:rFonts w:ascii="Arial" w:hAnsi="Arial" w:cs="Arial"/>
          <w:sz w:val="20"/>
          <w:szCs w:val="20"/>
        </w:rPr>
      </w:pPr>
      <w:r>
        <w:rPr>
          <w:rFonts w:ascii="Arial" w:hAnsi="Arial" w:cs="Arial"/>
          <w:sz w:val="20"/>
          <w:szCs w:val="20"/>
        </w:rPr>
        <w:t xml:space="preserve">Distilling his Honour’s reasons, it appears that the matters which must be </w:t>
      </w:r>
      <w:r w:rsidR="009A4CB0">
        <w:rPr>
          <w:rFonts w:ascii="Arial" w:hAnsi="Arial" w:cs="Arial"/>
          <w:sz w:val="20"/>
          <w:szCs w:val="20"/>
        </w:rPr>
        <w:t>enunciated</w:t>
      </w:r>
      <w:r>
        <w:rPr>
          <w:rFonts w:ascii="Arial" w:hAnsi="Arial" w:cs="Arial"/>
          <w:sz w:val="20"/>
          <w:szCs w:val="20"/>
        </w:rPr>
        <w:t xml:space="preserve"> by the Children’s Court in </w:t>
      </w:r>
      <w:r w:rsidR="009A4CB0">
        <w:rPr>
          <w:rFonts w:ascii="Arial" w:hAnsi="Arial" w:cs="Arial"/>
          <w:sz w:val="20"/>
          <w:szCs w:val="20"/>
        </w:rPr>
        <w:t>determining</w:t>
      </w:r>
      <w:r>
        <w:rPr>
          <w:rFonts w:ascii="Arial" w:hAnsi="Arial" w:cs="Arial"/>
          <w:sz w:val="20"/>
          <w:szCs w:val="20"/>
        </w:rPr>
        <w:t xml:space="preserve"> retention applications under s.464Z</w:t>
      </w:r>
      <w:r w:rsidR="008F632D">
        <w:rPr>
          <w:rFonts w:ascii="Arial" w:hAnsi="Arial" w:cs="Arial"/>
          <w:sz w:val="20"/>
          <w:szCs w:val="20"/>
        </w:rPr>
        <w:t>F</w:t>
      </w:r>
      <w:r>
        <w:rPr>
          <w:rFonts w:ascii="Arial" w:hAnsi="Arial" w:cs="Arial"/>
          <w:sz w:val="20"/>
          <w:szCs w:val="20"/>
        </w:rPr>
        <w:t>B may be summarised as follows:</w:t>
      </w:r>
    </w:p>
    <w:p w14:paraId="2D611FC5" w14:textId="22062DFF" w:rsidR="002D2555" w:rsidRPr="009A089A" w:rsidRDefault="002D2555" w:rsidP="00EA44B2">
      <w:pPr>
        <w:pStyle w:val="xmsonormal"/>
        <w:spacing w:before="80"/>
        <w:jc w:val="both"/>
        <w:rPr>
          <w:rFonts w:ascii="Arial" w:hAnsi="Arial" w:cs="Arial"/>
          <w:sz w:val="20"/>
          <w:szCs w:val="20"/>
        </w:rPr>
      </w:pPr>
      <w:r w:rsidRPr="009A089A">
        <w:rPr>
          <w:rFonts w:ascii="Arial" w:hAnsi="Arial" w:cs="Arial"/>
          <w:sz w:val="20"/>
          <w:szCs w:val="20"/>
        </w:rPr>
        <w:lastRenderedPageBreak/>
        <w:t>In</w:t>
      </w:r>
      <w:r w:rsidR="000A1339">
        <w:rPr>
          <w:rFonts w:ascii="Arial" w:hAnsi="Arial" w:cs="Arial"/>
          <w:sz w:val="20"/>
          <w:szCs w:val="20"/>
        </w:rPr>
        <w:t xml:space="preserve"> addition to </w:t>
      </w:r>
      <w:r w:rsidRPr="009A089A">
        <w:rPr>
          <w:rFonts w:ascii="Arial" w:hAnsi="Arial" w:cs="Arial"/>
          <w:sz w:val="20"/>
          <w:szCs w:val="20"/>
        </w:rPr>
        <w:t>ensuring that the DNA sample was taken legally (i</w:t>
      </w:r>
      <w:r w:rsidR="009A089A">
        <w:rPr>
          <w:rFonts w:ascii="Arial" w:hAnsi="Arial" w:cs="Arial"/>
          <w:sz w:val="20"/>
          <w:szCs w:val="20"/>
        </w:rPr>
        <w:t>.</w:t>
      </w:r>
      <w:r w:rsidRPr="009A089A">
        <w:rPr>
          <w:rFonts w:ascii="Arial" w:hAnsi="Arial" w:cs="Arial"/>
          <w:sz w:val="20"/>
          <w:szCs w:val="20"/>
        </w:rPr>
        <w:t>e</w:t>
      </w:r>
      <w:r w:rsidR="009A089A">
        <w:rPr>
          <w:rFonts w:ascii="Arial" w:hAnsi="Arial" w:cs="Arial"/>
          <w:sz w:val="20"/>
          <w:szCs w:val="20"/>
        </w:rPr>
        <w:t>.</w:t>
      </w:r>
      <w:r w:rsidRPr="009A089A">
        <w:rPr>
          <w:rFonts w:ascii="Arial" w:hAnsi="Arial" w:cs="Arial"/>
          <w:sz w:val="20"/>
          <w:szCs w:val="20"/>
        </w:rPr>
        <w:t xml:space="preserve"> with respect to a relevant offence, with appropriate consent/notice etc) AND that the application is made within the relevant time frame, the Court, in determining whether </w:t>
      </w:r>
      <w:r w:rsidR="009A089A" w:rsidRPr="009A089A">
        <w:rPr>
          <w:rFonts w:ascii="Arial" w:hAnsi="Arial" w:cs="Arial"/>
          <w:sz w:val="20"/>
          <w:szCs w:val="20"/>
        </w:rPr>
        <w:t xml:space="preserve">or not </w:t>
      </w:r>
      <w:r w:rsidRPr="009A089A">
        <w:rPr>
          <w:rFonts w:ascii="Arial" w:hAnsi="Arial" w:cs="Arial"/>
          <w:sz w:val="20"/>
          <w:szCs w:val="20"/>
        </w:rPr>
        <w:t>to grant the application, is required to consider</w:t>
      </w:r>
      <w:r w:rsidR="009A089A" w:rsidRPr="009A089A">
        <w:rPr>
          <w:rFonts w:ascii="Arial" w:hAnsi="Arial" w:cs="Arial"/>
          <w:sz w:val="20"/>
          <w:szCs w:val="20"/>
        </w:rPr>
        <w:t>—</w:t>
      </w:r>
    </w:p>
    <w:p w14:paraId="020C8FAD" w14:textId="4D9BA186" w:rsidR="002D2555" w:rsidRDefault="009A089A" w:rsidP="009A089A">
      <w:pPr>
        <w:pStyle w:val="xmsonormal"/>
        <w:numPr>
          <w:ilvl w:val="0"/>
          <w:numId w:val="33"/>
        </w:numPr>
        <w:ind w:left="357" w:hanging="357"/>
        <w:rPr>
          <w:rFonts w:ascii="Arial" w:hAnsi="Arial" w:cs="Arial"/>
          <w:sz w:val="20"/>
          <w:szCs w:val="20"/>
        </w:rPr>
      </w:pPr>
      <w:r w:rsidRPr="009A089A">
        <w:rPr>
          <w:rFonts w:ascii="Arial" w:hAnsi="Arial" w:cs="Arial"/>
          <w:sz w:val="20"/>
          <w:szCs w:val="20"/>
        </w:rPr>
        <w:t>the seriousness of the circumstances of the offence</w:t>
      </w:r>
      <w:r>
        <w:rPr>
          <w:rFonts w:ascii="Arial" w:hAnsi="Arial" w:cs="Arial"/>
          <w:sz w:val="20"/>
          <w:szCs w:val="20"/>
        </w:rPr>
        <w:t xml:space="preserve">(s) </w:t>
      </w:r>
      <w:r w:rsidRPr="009A089A">
        <w:rPr>
          <w:rFonts w:ascii="Arial" w:hAnsi="Arial" w:cs="Arial"/>
          <w:sz w:val="20"/>
          <w:szCs w:val="20"/>
        </w:rPr>
        <w:t>that the child has been found guilty of</w:t>
      </w:r>
      <w:r>
        <w:rPr>
          <w:rFonts w:ascii="Arial" w:hAnsi="Arial" w:cs="Arial"/>
          <w:sz w:val="20"/>
          <w:szCs w:val="20"/>
        </w:rPr>
        <w:t>;</w:t>
      </w:r>
      <w:r w:rsidRPr="009A089A">
        <w:rPr>
          <w:rFonts w:ascii="Arial" w:hAnsi="Arial" w:cs="Arial"/>
          <w:sz w:val="20"/>
          <w:szCs w:val="20"/>
        </w:rPr>
        <w:t xml:space="preserve"> and</w:t>
      </w:r>
    </w:p>
    <w:p w14:paraId="66906380" w14:textId="04E9C3B3" w:rsidR="009A089A" w:rsidRDefault="009A089A" w:rsidP="009A089A">
      <w:pPr>
        <w:pStyle w:val="xmsonormal"/>
        <w:numPr>
          <w:ilvl w:val="0"/>
          <w:numId w:val="33"/>
        </w:numPr>
        <w:ind w:left="357" w:hanging="357"/>
        <w:rPr>
          <w:rFonts w:ascii="Arial" w:hAnsi="Arial" w:cs="Arial"/>
          <w:sz w:val="20"/>
          <w:szCs w:val="20"/>
        </w:rPr>
      </w:pPr>
      <w:r w:rsidRPr="009A089A">
        <w:rPr>
          <w:rFonts w:ascii="Arial" w:hAnsi="Arial" w:cs="Arial"/>
          <w:sz w:val="20"/>
          <w:szCs w:val="20"/>
        </w:rPr>
        <w:t>whether</w:t>
      </w:r>
      <w:r>
        <w:rPr>
          <w:rFonts w:ascii="Arial" w:hAnsi="Arial" w:cs="Arial"/>
          <w:sz w:val="20"/>
          <w:szCs w:val="20"/>
        </w:rPr>
        <w:t>,</w:t>
      </w:r>
      <w:r w:rsidRPr="009A089A">
        <w:rPr>
          <w:rFonts w:ascii="Arial" w:hAnsi="Arial" w:cs="Arial"/>
          <w:sz w:val="20"/>
          <w:szCs w:val="20"/>
        </w:rPr>
        <w:t xml:space="preserve"> in “all the circumstances”</w:t>
      </w:r>
      <w:r>
        <w:rPr>
          <w:rFonts w:ascii="Arial" w:hAnsi="Arial" w:cs="Arial"/>
          <w:sz w:val="20"/>
          <w:szCs w:val="20"/>
        </w:rPr>
        <w:t>,</w:t>
      </w:r>
      <w:r w:rsidRPr="009A089A">
        <w:rPr>
          <w:rFonts w:ascii="Arial" w:hAnsi="Arial" w:cs="Arial"/>
          <w:sz w:val="20"/>
          <w:szCs w:val="20"/>
        </w:rPr>
        <w:t xml:space="preserve"> the making of the order is justified</w:t>
      </w:r>
      <w:r>
        <w:rPr>
          <w:rFonts w:ascii="Arial" w:hAnsi="Arial" w:cs="Arial"/>
          <w:sz w:val="20"/>
          <w:szCs w:val="20"/>
        </w:rPr>
        <w:t>.</w:t>
      </w:r>
    </w:p>
    <w:p w14:paraId="1DD27383" w14:textId="11809250" w:rsidR="009A089A" w:rsidRPr="009A089A" w:rsidRDefault="009A089A" w:rsidP="00EA44B2">
      <w:pPr>
        <w:pStyle w:val="xmsonormal"/>
        <w:spacing w:before="80"/>
        <w:jc w:val="both"/>
        <w:rPr>
          <w:rFonts w:ascii="Arial" w:hAnsi="Arial" w:cs="Arial"/>
          <w:sz w:val="20"/>
          <w:szCs w:val="20"/>
        </w:rPr>
      </w:pPr>
      <w:r>
        <w:rPr>
          <w:rFonts w:ascii="Arial" w:hAnsi="Arial" w:cs="Arial"/>
          <w:sz w:val="20"/>
          <w:szCs w:val="20"/>
        </w:rPr>
        <w:t xml:space="preserve">“All the circumstances” – both those for and against the retention of the sample – must be identified and evaluated.  These include, </w:t>
      </w:r>
      <w:r w:rsidRPr="009A089A">
        <w:rPr>
          <w:rFonts w:ascii="Arial" w:hAnsi="Arial" w:cs="Arial"/>
          <w:i/>
          <w:iCs/>
          <w:sz w:val="20"/>
          <w:szCs w:val="20"/>
        </w:rPr>
        <w:t>inter alia</w:t>
      </w:r>
      <w:r w:rsidRPr="009A089A">
        <w:rPr>
          <w:rFonts w:ascii="Arial" w:hAnsi="Arial" w:cs="Arial"/>
          <w:sz w:val="20"/>
          <w:szCs w:val="20"/>
        </w:rPr>
        <w:t>—</w:t>
      </w:r>
    </w:p>
    <w:p w14:paraId="13C50839" w14:textId="24A8A60E" w:rsidR="009A089A"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child’s age and personal circumstances</w:t>
      </w:r>
      <w:r>
        <w:rPr>
          <w:rFonts w:ascii="Arial" w:hAnsi="Arial" w:cs="Arial"/>
          <w:sz w:val="20"/>
          <w:szCs w:val="20"/>
        </w:rPr>
        <w:t>.</w:t>
      </w:r>
    </w:p>
    <w:p w14:paraId="60523E1B" w14:textId="0A633B96" w:rsidR="00EA44B2"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child’s Charter rights, in particular under s.17(2), and the fact that the granting of the application would interfere with the special measure afforded to children (cf. adults) to have the DNA sample destroyed pursuant to s.464ZFC(1)</w:t>
      </w:r>
      <w:r>
        <w:rPr>
          <w:rFonts w:ascii="Arial" w:hAnsi="Arial" w:cs="Arial"/>
          <w:sz w:val="20"/>
          <w:szCs w:val="20"/>
        </w:rPr>
        <w:t>.</w:t>
      </w:r>
    </w:p>
    <w:p w14:paraId="44AF4DA4" w14:textId="5C34EF51" w:rsidR="00EA44B2"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fact that an order for retention may operate in perpetuity</w:t>
      </w:r>
      <w:r>
        <w:rPr>
          <w:rFonts w:ascii="Arial" w:hAnsi="Arial" w:cs="Arial"/>
          <w:sz w:val="20"/>
          <w:szCs w:val="20"/>
        </w:rPr>
        <w:t>.</w:t>
      </w:r>
    </w:p>
    <w:p w14:paraId="0461769C" w14:textId="45FDA3FA" w:rsidR="00EA44B2" w:rsidRDefault="008C7B1B" w:rsidP="00955ADA">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child’s role in the offending (including vis-à-vis any co</w:t>
      </w:r>
      <w:r w:rsidR="00471A86">
        <w:rPr>
          <w:rFonts w:ascii="Arial" w:hAnsi="Arial" w:cs="Arial"/>
          <w:sz w:val="20"/>
          <w:szCs w:val="20"/>
        </w:rPr>
        <w:t>-</w:t>
      </w:r>
      <w:r w:rsidR="00EA44B2">
        <w:rPr>
          <w:rFonts w:ascii="Arial" w:hAnsi="Arial" w:cs="Arial"/>
          <w:sz w:val="20"/>
          <w:szCs w:val="20"/>
        </w:rPr>
        <w:t>accused and their circumstances)</w:t>
      </w:r>
      <w:r>
        <w:rPr>
          <w:rFonts w:ascii="Arial" w:hAnsi="Arial" w:cs="Arial"/>
          <w:sz w:val="20"/>
          <w:szCs w:val="20"/>
        </w:rPr>
        <w:t>.</w:t>
      </w:r>
    </w:p>
    <w:p w14:paraId="7640B781" w14:textId="5C2290B8"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number and nature of the child’s prior criminal offences</w:t>
      </w:r>
      <w:r>
        <w:rPr>
          <w:rFonts w:ascii="Arial" w:hAnsi="Arial" w:cs="Arial"/>
          <w:sz w:val="20"/>
          <w:szCs w:val="20"/>
        </w:rPr>
        <w:t>.</w:t>
      </w:r>
    </w:p>
    <w:p w14:paraId="2A112B75" w14:textId="2892ED80"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role of the DNA sample in proof of the specific offence</w:t>
      </w:r>
      <w:r>
        <w:rPr>
          <w:rFonts w:ascii="Arial" w:hAnsi="Arial" w:cs="Arial"/>
          <w:sz w:val="20"/>
          <w:szCs w:val="20"/>
        </w:rPr>
        <w:t>.</w:t>
      </w:r>
    </w:p>
    <w:p w14:paraId="7EC41874" w14:textId="6CEC70FC"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benefit of having the DNA sample for the detection of future crime</w:t>
      </w:r>
      <w:r>
        <w:rPr>
          <w:rFonts w:ascii="Arial" w:hAnsi="Arial" w:cs="Arial"/>
          <w:sz w:val="20"/>
          <w:szCs w:val="20"/>
        </w:rPr>
        <w:t>.</w:t>
      </w:r>
    </w:p>
    <w:p w14:paraId="17A29AFD" w14:textId="454E8D42"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public interest.</w:t>
      </w:r>
    </w:p>
    <w:p w14:paraId="4C1BC529" w14:textId="77777777" w:rsidR="00162B3C" w:rsidRDefault="00162B3C" w:rsidP="00F321EE">
      <w:pPr>
        <w:jc w:val="both"/>
        <w:rPr>
          <w:rFonts w:ascii="Arial" w:hAnsi="Arial" w:cs="Arial"/>
          <w:sz w:val="20"/>
          <w:szCs w:val="20"/>
        </w:rPr>
      </w:pPr>
    </w:p>
    <w:p w14:paraId="56E1DBBD" w14:textId="4FD5ACDB" w:rsidR="0092637A" w:rsidRDefault="0092637A" w:rsidP="00F321EE">
      <w:pPr>
        <w:jc w:val="both"/>
        <w:rPr>
          <w:rFonts w:ascii="Arial" w:hAnsi="Arial" w:cs="Arial"/>
          <w:sz w:val="20"/>
          <w:szCs w:val="20"/>
        </w:rPr>
      </w:pPr>
      <w:r>
        <w:rPr>
          <w:rFonts w:ascii="Arial" w:hAnsi="Arial" w:cs="Arial"/>
          <w:sz w:val="20"/>
          <w:szCs w:val="20"/>
        </w:rPr>
        <w:t xml:space="preserve">In </w:t>
      </w:r>
      <w:r w:rsidRPr="0092637A">
        <w:rPr>
          <w:rFonts w:ascii="Arial" w:hAnsi="Arial" w:cs="Arial"/>
          <w:i/>
          <w:iCs/>
          <w:sz w:val="20"/>
          <w:szCs w:val="20"/>
        </w:rPr>
        <w:t>DPP v ZZ</w:t>
      </w:r>
      <w:r>
        <w:rPr>
          <w:rFonts w:ascii="Arial" w:hAnsi="Arial" w:cs="Arial"/>
          <w:sz w:val="20"/>
          <w:szCs w:val="20"/>
        </w:rPr>
        <w:t xml:space="preserve"> [2024] VSC 762 a 15 year old offender ZZ had pleaded guilty to manslaughter by stabbing in the course of a group attack on a 20 year old member [H] of a rival gang at the St Kilda foreshore. ZZ had subsequent Children’s Court convictions for which he was close to completing a sentence of 2y detention in a YJC. Jane Dixon J imposed a sentence of 4y YJC to be served concurrently with the remainder of the sentence ZZ was currently undergoing. Her Honour also ordered that a DNA retention order be made in respect of ZZ pursuant to s.464</w:t>
      </w:r>
      <w:proofErr w:type="gramStart"/>
      <w:r>
        <w:rPr>
          <w:rFonts w:ascii="Arial" w:hAnsi="Arial" w:cs="Arial"/>
          <w:sz w:val="20"/>
          <w:szCs w:val="20"/>
        </w:rPr>
        <w:t>ZFB(</w:t>
      </w:r>
      <w:proofErr w:type="gramEnd"/>
      <w:r>
        <w:rPr>
          <w:rFonts w:ascii="Arial" w:hAnsi="Arial" w:cs="Arial"/>
          <w:sz w:val="20"/>
          <w:szCs w:val="20"/>
        </w:rPr>
        <w:t xml:space="preserve">1) of the </w:t>
      </w:r>
      <w:r w:rsidRPr="00F679DE">
        <w:rPr>
          <w:rFonts w:ascii="Arial" w:hAnsi="Arial" w:cs="Arial"/>
          <w:i/>
          <w:iCs/>
          <w:sz w:val="20"/>
          <w:szCs w:val="20"/>
        </w:rPr>
        <w:t>Crimes Act 1958</w:t>
      </w:r>
      <w:r>
        <w:rPr>
          <w:rFonts w:ascii="Arial" w:hAnsi="Arial" w:cs="Arial"/>
          <w:sz w:val="20"/>
          <w:szCs w:val="20"/>
        </w:rPr>
        <w:t xml:space="preserve">. After referring to the judgment of McDonald J in </w:t>
      </w:r>
      <w:r w:rsidRPr="00A21AA6">
        <w:rPr>
          <w:rFonts w:ascii="Arial" w:hAnsi="Arial" w:cs="Arial"/>
          <w:i/>
          <w:iCs/>
          <w:sz w:val="20"/>
          <w:szCs w:val="20"/>
        </w:rPr>
        <w:t>MB v Children’s Court of Victoria &amp; Anor</w:t>
      </w:r>
      <w:r>
        <w:rPr>
          <w:rFonts w:ascii="Arial" w:hAnsi="Arial" w:cs="Arial"/>
          <w:sz w:val="20"/>
          <w:szCs w:val="20"/>
        </w:rPr>
        <w:t>, Jane Dixon J said at [</w:t>
      </w:r>
      <w:r w:rsidR="00955ADA">
        <w:rPr>
          <w:rFonts w:ascii="Arial" w:hAnsi="Arial" w:cs="Arial"/>
          <w:sz w:val="20"/>
          <w:szCs w:val="20"/>
        </w:rPr>
        <w:t>99</w:t>
      </w:r>
      <w:r>
        <w:rPr>
          <w:rFonts w:ascii="Arial" w:hAnsi="Arial" w:cs="Arial"/>
          <w:sz w:val="20"/>
          <w:szCs w:val="20"/>
        </w:rPr>
        <w:t>]-[</w:t>
      </w:r>
      <w:r w:rsidR="005216F2">
        <w:rPr>
          <w:rFonts w:ascii="Arial" w:hAnsi="Arial" w:cs="Arial"/>
          <w:sz w:val="20"/>
          <w:szCs w:val="20"/>
        </w:rPr>
        <w:t>104</w:t>
      </w:r>
      <w:r>
        <w:rPr>
          <w:rFonts w:ascii="Arial" w:hAnsi="Arial" w:cs="Arial"/>
          <w:sz w:val="20"/>
          <w:szCs w:val="20"/>
        </w:rPr>
        <w:t>]:</w:t>
      </w:r>
    </w:p>
    <w:p w14:paraId="05B63610" w14:textId="77777777" w:rsidR="00955ADA" w:rsidRDefault="00955ADA" w:rsidP="00955ADA">
      <w:pPr>
        <w:spacing w:before="60"/>
        <w:ind w:left="567" w:right="567"/>
        <w:jc w:val="both"/>
        <w:rPr>
          <w:rFonts w:ascii="Arial" w:hAnsi="Arial" w:cs="Arial"/>
          <w:sz w:val="20"/>
          <w:szCs w:val="20"/>
        </w:rPr>
      </w:pPr>
      <w:r>
        <w:rPr>
          <w:rFonts w:ascii="Arial" w:hAnsi="Arial" w:cs="Arial"/>
          <w:sz w:val="20"/>
          <w:szCs w:val="20"/>
        </w:rPr>
        <w:t xml:space="preserve">[99] </w:t>
      </w:r>
      <w:r w:rsidR="0092637A" w:rsidRPr="0092637A">
        <w:rPr>
          <w:rFonts w:ascii="Arial" w:hAnsi="Arial" w:cs="Arial"/>
          <w:sz w:val="20"/>
          <w:szCs w:val="20"/>
        </w:rPr>
        <w:t xml:space="preserve">The case of </w:t>
      </w:r>
      <w:r w:rsidR="0092637A" w:rsidRPr="00955ADA">
        <w:rPr>
          <w:rFonts w:ascii="Arial" w:hAnsi="Arial" w:cs="Arial"/>
          <w:i/>
          <w:iCs/>
          <w:sz w:val="20"/>
          <w:szCs w:val="20"/>
        </w:rPr>
        <w:t>MB v Children’s Court of Victoria &amp; Anor</w:t>
      </w:r>
      <w:r>
        <w:rPr>
          <w:rFonts w:ascii="Arial" w:hAnsi="Arial" w:cs="Arial"/>
          <w:sz w:val="20"/>
          <w:szCs w:val="20"/>
        </w:rPr>
        <w:t xml:space="preserve"> [2023] VSC 666</w:t>
      </w:r>
      <w:r w:rsidR="0092637A" w:rsidRPr="0092637A">
        <w:rPr>
          <w:rFonts w:ascii="Arial" w:hAnsi="Arial" w:cs="Arial"/>
          <w:sz w:val="20"/>
          <w:szCs w:val="20"/>
        </w:rPr>
        <w:t xml:space="preserve"> (‘MB’) referred to by both parties provides guidance about the considerations that arise from s</w:t>
      </w:r>
      <w:r>
        <w:rPr>
          <w:rFonts w:ascii="Arial" w:hAnsi="Arial" w:cs="Arial"/>
          <w:sz w:val="20"/>
          <w:szCs w:val="20"/>
        </w:rPr>
        <w:t> </w:t>
      </w:r>
      <w:r w:rsidR="0092637A" w:rsidRPr="0092637A">
        <w:rPr>
          <w:rFonts w:ascii="Arial" w:hAnsi="Arial" w:cs="Arial"/>
          <w:sz w:val="20"/>
          <w:szCs w:val="20"/>
        </w:rPr>
        <w:t>464</w:t>
      </w:r>
      <w:proofErr w:type="gramStart"/>
      <w:r w:rsidR="0092637A" w:rsidRPr="0092637A">
        <w:rPr>
          <w:rFonts w:ascii="Arial" w:hAnsi="Arial" w:cs="Arial"/>
          <w:sz w:val="20"/>
          <w:szCs w:val="20"/>
        </w:rPr>
        <w:t>ZFB(</w:t>
      </w:r>
      <w:proofErr w:type="gramEnd"/>
      <w:r w:rsidR="0092637A" w:rsidRPr="0092637A">
        <w:rPr>
          <w:rFonts w:ascii="Arial" w:hAnsi="Arial" w:cs="Arial"/>
          <w:sz w:val="20"/>
          <w:szCs w:val="20"/>
        </w:rPr>
        <w:t xml:space="preserve">2) of the </w:t>
      </w:r>
      <w:r w:rsidR="0092637A" w:rsidRPr="00955ADA">
        <w:rPr>
          <w:rFonts w:ascii="Arial" w:hAnsi="Arial" w:cs="Arial"/>
          <w:i/>
          <w:iCs/>
          <w:sz w:val="20"/>
          <w:szCs w:val="20"/>
        </w:rPr>
        <w:t>Crimes Act</w:t>
      </w:r>
      <w:r w:rsidR="0092637A" w:rsidRPr="0092637A">
        <w:rPr>
          <w:rFonts w:ascii="Arial" w:hAnsi="Arial" w:cs="Arial"/>
          <w:sz w:val="20"/>
          <w:szCs w:val="20"/>
        </w:rPr>
        <w:t>. In that case, dealing with a magistrate’s decision to make such an order and noting the mandatory requirement that the court be satisfied that in all the circumstances the order is justified, McDonald J noted that s 464ZFB requires the Court to undertake a broad evaluative assessment of whether an order is justified.</w:t>
      </w:r>
      <w:r>
        <w:rPr>
          <w:rFonts w:ascii="Arial" w:hAnsi="Arial" w:cs="Arial"/>
          <w:sz w:val="20"/>
          <w:szCs w:val="20"/>
        </w:rPr>
        <w:t xml:space="preserve"> </w:t>
      </w:r>
      <w:r w:rsidRPr="0092637A">
        <w:rPr>
          <w:rFonts w:ascii="Arial" w:hAnsi="Arial" w:cs="Arial"/>
          <w:sz w:val="20"/>
          <w:szCs w:val="20"/>
        </w:rPr>
        <w:t xml:space="preserve">This meant the Court was required to </w:t>
      </w:r>
      <w:proofErr w:type="spellStart"/>
      <w:r w:rsidRPr="0092637A">
        <w:rPr>
          <w:rFonts w:ascii="Arial" w:hAnsi="Arial" w:cs="Arial"/>
          <w:sz w:val="20"/>
          <w:szCs w:val="20"/>
        </w:rPr>
        <w:t>required</w:t>
      </w:r>
      <w:proofErr w:type="spellEnd"/>
      <w:r w:rsidRPr="0092637A">
        <w:rPr>
          <w:rFonts w:ascii="Arial" w:hAnsi="Arial" w:cs="Arial"/>
          <w:sz w:val="20"/>
          <w:szCs w:val="20"/>
        </w:rPr>
        <w:t xml:space="preserve"> to undertake an evaluative assessment of the circumstances both in favour and against the making of an order. Having undertaken that assessment, an order should only have been made if the magistrate was satisfied that the order was justified.</w:t>
      </w:r>
      <w:r>
        <w:rPr>
          <w:rFonts w:ascii="Arial" w:hAnsi="Arial" w:cs="Arial"/>
          <w:sz w:val="20"/>
          <w:szCs w:val="20"/>
        </w:rPr>
        <w:t xml:space="preserve"> </w:t>
      </w:r>
      <w:r w:rsidR="0092637A" w:rsidRPr="0092637A">
        <w:rPr>
          <w:rFonts w:ascii="Arial" w:hAnsi="Arial" w:cs="Arial"/>
          <w:sz w:val="20"/>
          <w:szCs w:val="20"/>
        </w:rPr>
        <w:t>Both parties provided submissions discussing the factors to be rallied for or against the making of a retention order in your case, raising matters similar to the kinds of factors discussed in MB. Having regard to those factors, and my own assessment of the relevant circumstances in your case, it appears to me that the factors tending in favour of the retention order include that:</w:t>
      </w:r>
    </w:p>
    <w:p w14:paraId="79B3FDFE" w14:textId="36EB6D78"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you have pleaded guilty to </w:t>
      </w:r>
      <w:r w:rsidRPr="0092637A">
        <w:rPr>
          <w:rFonts w:ascii="Arial" w:hAnsi="Arial" w:cs="Arial"/>
          <w:sz w:val="20"/>
          <w:szCs w:val="20"/>
        </w:rPr>
        <w:t>manslaughter, admitting involvement in a group attack on the deceased with knives;</w:t>
      </w:r>
    </w:p>
    <w:p w14:paraId="4AB644B2" w14:textId="358CC000"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92637A">
        <w:rPr>
          <w:rFonts w:ascii="Arial" w:hAnsi="Arial" w:cs="Arial"/>
          <w:sz w:val="20"/>
          <w:szCs w:val="20"/>
        </w:rPr>
        <w:t>your offending was very serious;</w:t>
      </w:r>
    </w:p>
    <w:p w14:paraId="5393E4F6" w14:textId="50202450"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(c)</w:t>
      </w:r>
      <w:r w:rsidR="00955ADA">
        <w:rPr>
          <w:rFonts w:ascii="Arial" w:hAnsi="Arial" w:cs="Arial"/>
          <w:sz w:val="20"/>
          <w:szCs w:val="20"/>
        </w:rPr>
        <w:tab/>
      </w:r>
      <w:r w:rsidRPr="0092637A">
        <w:rPr>
          <w:rFonts w:ascii="Arial" w:hAnsi="Arial" w:cs="Arial"/>
          <w:sz w:val="20"/>
          <w:szCs w:val="20"/>
        </w:rPr>
        <w:t>you admitted to an association with the OGK youth crime gang;</w:t>
      </w:r>
    </w:p>
    <w:p w14:paraId="020AC4E8" w14:textId="2C715731"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92637A">
        <w:rPr>
          <w:rFonts w:ascii="Arial" w:hAnsi="Arial" w:cs="Arial"/>
          <w:sz w:val="20"/>
          <w:szCs w:val="20"/>
        </w:rPr>
        <w:t>your DNA sample was inculpatory, in so far as the sample was ‘matched’ to DNA found on the exterior of a knife sheath that was discarded by you as you fled the scene;</w:t>
      </w:r>
    </w:p>
    <w:p w14:paraId="68D78554" w14:textId="594F0B20"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92637A">
        <w:rPr>
          <w:rFonts w:ascii="Arial" w:hAnsi="Arial" w:cs="Arial"/>
          <w:sz w:val="20"/>
          <w:szCs w:val="20"/>
        </w:rPr>
        <w:t>your degree of participation in the offending was high;</w:t>
      </w:r>
    </w:p>
    <w:p w14:paraId="404802FA" w14:textId="2F0B0EBC"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(f)</w:t>
      </w:r>
      <w:r>
        <w:rPr>
          <w:rFonts w:ascii="Arial" w:hAnsi="Arial" w:cs="Arial"/>
          <w:sz w:val="20"/>
          <w:szCs w:val="20"/>
        </w:rPr>
        <w:tab/>
      </w:r>
      <w:r w:rsidRPr="0092637A">
        <w:rPr>
          <w:rFonts w:ascii="Arial" w:hAnsi="Arial" w:cs="Arial"/>
          <w:sz w:val="20"/>
          <w:szCs w:val="20"/>
        </w:rPr>
        <w:t>you have subsequent convictions for violent offending, and you present as a moderate-high future risk of further violent offending or an above average risk for such recidivism relative to other adolescent offenders; and</w:t>
      </w:r>
    </w:p>
    <w:p w14:paraId="17AE013F" w14:textId="23AF1625"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(g)</w:t>
      </w:r>
      <w:r>
        <w:rPr>
          <w:rFonts w:ascii="Arial" w:hAnsi="Arial" w:cs="Arial"/>
          <w:sz w:val="20"/>
          <w:szCs w:val="20"/>
        </w:rPr>
        <w:tab/>
      </w:r>
      <w:r w:rsidRPr="0092637A">
        <w:rPr>
          <w:rFonts w:ascii="Arial" w:hAnsi="Arial" w:cs="Arial"/>
          <w:sz w:val="20"/>
          <w:szCs w:val="20"/>
        </w:rPr>
        <w:t>the retention of your DNA could provide police a high degree of assistance when investigating serious violent crimes.</w:t>
      </w:r>
    </w:p>
    <w:p w14:paraId="0F213A8C" w14:textId="77777777" w:rsidR="00955ADA" w:rsidRDefault="00955ADA"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100</w:t>
      </w:r>
      <w:r>
        <w:rPr>
          <w:rFonts w:ascii="Arial" w:hAnsi="Arial" w:cs="Arial"/>
          <w:sz w:val="20"/>
          <w:szCs w:val="20"/>
        </w:rPr>
        <w:t>]</w:t>
      </w:r>
      <w:r w:rsidR="0092637A" w:rsidRPr="0092637A">
        <w:rPr>
          <w:rFonts w:ascii="Arial" w:hAnsi="Arial" w:cs="Arial"/>
          <w:sz w:val="20"/>
          <w:szCs w:val="20"/>
        </w:rPr>
        <w:t xml:space="preserve"> The factors tending against the making of a retention order include that</w:t>
      </w:r>
      <w:r>
        <w:rPr>
          <w:rFonts w:ascii="Arial" w:hAnsi="Arial" w:cs="Arial"/>
          <w:sz w:val="20"/>
          <w:szCs w:val="20"/>
        </w:rPr>
        <w:t>:</w:t>
      </w:r>
    </w:p>
    <w:p w14:paraId="2737CEC2" w14:textId="77777777"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(a)</w:t>
      </w:r>
      <w:r w:rsidR="00955ADA">
        <w:rPr>
          <w:rFonts w:ascii="Arial" w:hAnsi="Arial" w:cs="Arial"/>
          <w:sz w:val="20"/>
          <w:szCs w:val="20"/>
        </w:rPr>
        <w:tab/>
      </w:r>
      <w:r w:rsidRPr="0092637A">
        <w:rPr>
          <w:rFonts w:ascii="Arial" w:hAnsi="Arial" w:cs="Arial"/>
          <w:sz w:val="20"/>
          <w:szCs w:val="20"/>
        </w:rPr>
        <w:t>your plea of guilty was entered into on a complicity basis;</w:t>
      </w:r>
    </w:p>
    <w:p w14:paraId="709343E8" w14:textId="1B11BA2D"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(b)</w:t>
      </w:r>
      <w:r w:rsidR="00955ADA">
        <w:rPr>
          <w:rFonts w:ascii="Arial" w:hAnsi="Arial" w:cs="Arial"/>
          <w:sz w:val="20"/>
          <w:szCs w:val="20"/>
        </w:rPr>
        <w:tab/>
      </w:r>
      <w:r w:rsidRPr="0092637A">
        <w:rPr>
          <w:rFonts w:ascii="Arial" w:hAnsi="Arial" w:cs="Arial"/>
          <w:sz w:val="20"/>
          <w:szCs w:val="20"/>
        </w:rPr>
        <w:t>the Crown accept that it cannot be proved that you inflicted the fatal stab wound to the deceased;</w:t>
      </w:r>
    </w:p>
    <w:p w14:paraId="0CFF4A5F" w14:textId="74EB7D08"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(c)</w:t>
      </w:r>
      <w:r w:rsidR="00955ADA">
        <w:rPr>
          <w:rFonts w:ascii="Arial" w:hAnsi="Arial" w:cs="Arial"/>
          <w:sz w:val="20"/>
          <w:szCs w:val="20"/>
        </w:rPr>
        <w:tab/>
      </w:r>
      <w:r w:rsidRPr="0092637A">
        <w:rPr>
          <w:rFonts w:ascii="Arial" w:hAnsi="Arial" w:cs="Arial"/>
          <w:sz w:val="20"/>
          <w:szCs w:val="20"/>
        </w:rPr>
        <w:t>you were 15 years old at the time of the offence and the youngest of those charged in relation to the incident that led to the deceased’s death;</w:t>
      </w:r>
    </w:p>
    <w:p w14:paraId="752D9906" w14:textId="73B23391"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92637A">
        <w:rPr>
          <w:rFonts w:ascii="Arial" w:hAnsi="Arial" w:cs="Arial"/>
          <w:sz w:val="20"/>
          <w:szCs w:val="20"/>
        </w:rPr>
        <w:t>you are presently only 17 years old;</w:t>
      </w:r>
    </w:p>
    <w:p w14:paraId="3F34098E" w14:textId="77777777"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lastRenderedPageBreak/>
        <w:t>(e)</w:t>
      </w:r>
      <w:r>
        <w:rPr>
          <w:rFonts w:ascii="Arial" w:hAnsi="Arial" w:cs="Arial"/>
          <w:sz w:val="20"/>
          <w:szCs w:val="20"/>
        </w:rPr>
        <w:tab/>
        <w:t>y</w:t>
      </w:r>
      <w:r w:rsidRPr="0092637A">
        <w:rPr>
          <w:rFonts w:ascii="Arial" w:hAnsi="Arial" w:cs="Arial"/>
          <w:sz w:val="20"/>
          <w:szCs w:val="20"/>
        </w:rPr>
        <w:t>ou have no prior convictions</w:t>
      </w:r>
      <w:r>
        <w:rPr>
          <w:rFonts w:ascii="Arial" w:hAnsi="Arial" w:cs="Arial"/>
          <w:sz w:val="20"/>
          <w:szCs w:val="20"/>
        </w:rPr>
        <w:t>; y</w:t>
      </w:r>
      <w:r w:rsidRPr="0092637A">
        <w:rPr>
          <w:rFonts w:ascii="Arial" w:hAnsi="Arial" w:cs="Arial"/>
          <w:sz w:val="20"/>
          <w:szCs w:val="20"/>
        </w:rPr>
        <w:t>our subsequent convictions are for offending</w:t>
      </w:r>
      <w:r>
        <w:rPr>
          <w:rFonts w:ascii="Arial" w:hAnsi="Arial" w:cs="Arial"/>
          <w:sz w:val="20"/>
          <w:szCs w:val="20"/>
        </w:rPr>
        <w:t xml:space="preserve"> </w:t>
      </w:r>
      <w:r w:rsidR="0092637A" w:rsidRPr="0092637A">
        <w:rPr>
          <w:rFonts w:ascii="Arial" w:hAnsi="Arial" w:cs="Arial"/>
          <w:sz w:val="20"/>
          <w:szCs w:val="20"/>
        </w:rPr>
        <w:t>which pre-dates the instant offending and your remand for same;</w:t>
      </w:r>
    </w:p>
    <w:p w14:paraId="1BD10596" w14:textId="77777777"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(f)</w:t>
      </w:r>
      <w:r w:rsidR="00955ADA">
        <w:rPr>
          <w:rFonts w:ascii="Arial" w:hAnsi="Arial" w:cs="Arial"/>
          <w:sz w:val="20"/>
          <w:szCs w:val="20"/>
        </w:rPr>
        <w:tab/>
      </w:r>
      <w:r w:rsidRPr="0092637A">
        <w:rPr>
          <w:rFonts w:ascii="Arial" w:hAnsi="Arial" w:cs="Arial"/>
          <w:sz w:val="20"/>
          <w:szCs w:val="20"/>
        </w:rPr>
        <w:t>you have been on remand continuously since your arrest for this offending, nearly two years ago. Despite allegations of offending and other issues whilst in youth detention, your engagement and behaviour have improved since you moved to Cherry Creek Youth Justice Centre approximately one year ago;</w:t>
      </w:r>
    </w:p>
    <w:p w14:paraId="50A4CE7C" w14:textId="77777777"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(g)</w:t>
      </w:r>
      <w:r w:rsidR="00955ADA">
        <w:rPr>
          <w:rFonts w:ascii="Arial" w:hAnsi="Arial" w:cs="Arial"/>
          <w:sz w:val="20"/>
          <w:szCs w:val="20"/>
        </w:rPr>
        <w:tab/>
      </w:r>
      <w:r w:rsidRPr="0092637A">
        <w:rPr>
          <w:rFonts w:ascii="Arial" w:hAnsi="Arial" w:cs="Arial"/>
          <w:sz w:val="20"/>
          <w:szCs w:val="20"/>
        </w:rPr>
        <w:t>you have reasonable prospects for rehabilitation; and</w:t>
      </w:r>
    </w:p>
    <w:p w14:paraId="7E20B8E2" w14:textId="12DF692F"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(h)</w:t>
      </w:r>
      <w:r w:rsidR="00955ADA">
        <w:rPr>
          <w:rFonts w:ascii="Arial" w:hAnsi="Arial" w:cs="Arial"/>
          <w:sz w:val="20"/>
          <w:szCs w:val="20"/>
        </w:rPr>
        <w:tab/>
      </w:r>
      <w:r w:rsidRPr="0092637A">
        <w:rPr>
          <w:rFonts w:ascii="Arial" w:hAnsi="Arial" w:cs="Arial"/>
          <w:sz w:val="20"/>
          <w:szCs w:val="20"/>
        </w:rPr>
        <w:t>the order for retention would operate for the remainder of your life which is a very significant matter for a child.</w:t>
      </w:r>
    </w:p>
    <w:p w14:paraId="27F5CF65" w14:textId="77777777" w:rsidR="00955ADA" w:rsidRDefault="00955ADA" w:rsidP="00955ADA">
      <w:pPr>
        <w:spacing w:before="60"/>
        <w:ind w:left="924" w:right="567" w:hanging="35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101</w:t>
      </w:r>
      <w:r>
        <w:rPr>
          <w:rFonts w:ascii="Arial" w:hAnsi="Arial" w:cs="Arial"/>
          <w:sz w:val="20"/>
          <w:szCs w:val="20"/>
        </w:rPr>
        <w:t>]</w:t>
      </w:r>
      <w:r w:rsidR="0092637A" w:rsidRPr="0092637A">
        <w:rPr>
          <w:rFonts w:ascii="Arial" w:hAnsi="Arial" w:cs="Arial"/>
          <w:sz w:val="20"/>
          <w:szCs w:val="20"/>
        </w:rPr>
        <w:t xml:space="preserve"> Both parties noted the requirement to consider your human rights, including:</w:t>
      </w:r>
    </w:p>
    <w:p w14:paraId="55D2FBB8" w14:textId="5AD64DBE"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(a)</w:t>
      </w:r>
      <w:r w:rsidR="00955ADA">
        <w:rPr>
          <w:rFonts w:ascii="Arial" w:hAnsi="Arial" w:cs="Arial"/>
          <w:sz w:val="20"/>
          <w:szCs w:val="20"/>
        </w:rPr>
        <w:tab/>
      </w:r>
      <w:r w:rsidRPr="0092637A">
        <w:rPr>
          <w:rFonts w:ascii="Arial" w:hAnsi="Arial" w:cs="Arial"/>
          <w:sz w:val="20"/>
          <w:szCs w:val="20"/>
        </w:rPr>
        <w:t>the right not to have your privacy unlawfully or arbitrarily interfered with; and</w:t>
      </w:r>
    </w:p>
    <w:p w14:paraId="03B32D9C" w14:textId="77777777" w:rsidR="00955ADA" w:rsidRDefault="0092637A" w:rsidP="00955ADA">
      <w:pPr>
        <w:spacing w:before="60"/>
        <w:ind w:left="924" w:right="567" w:hanging="357"/>
        <w:jc w:val="both"/>
        <w:rPr>
          <w:rFonts w:ascii="Arial" w:hAnsi="Arial" w:cs="Arial"/>
          <w:sz w:val="20"/>
          <w:szCs w:val="20"/>
        </w:rPr>
      </w:pPr>
      <w:r w:rsidRPr="0092637A">
        <w:rPr>
          <w:rFonts w:ascii="Arial" w:hAnsi="Arial" w:cs="Arial"/>
          <w:sz w:val="20"/>
          <w:szCs w:val="20"/>
        </w:rPr>
        <w:t>(b)</w:t>
      </w:r>
      <w:r w:rsidR="00955ADA">
        <w:rPr>
          <w:rFonts w:ascii="Arial" w:hAnsi="Arial" w:cs="Arial"/>
          <w:sz w:val="20"/>
          <w:szCs w:val="20"/>
        </w:rPr>
        <w:tab/>
      </w:r>
      <w:r w:rsidRPr="0092637A">
        <w:rPr>
          <w:rFonts w:ascii="Arial" w:hAnsi="Arial" w:cs="Arial"/>
          <w:sz w:val="20"/>
          <w:szCs w:val="20"/>
        </w:rPr>
        <w:t>the right, without discrimination, to such protection as is in your best interests and needed by you by reason of being a child.</w:t>
      </w:r>
    </w:p>
    <w:p w14:paraId="1D3CDB88" w14:textId="77777777" w:rsidR="005216F2" w:rsidRDefault="00955ADA"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102</w:t>
      </w:r>
      <w:r>
        <w:rPr>
          <w:rFonts w:ascii="Arial" w:hAnsi="Arial" w:cs="Arial"/>
          <w:sz w:val="20"/>
          <w:szCs w:val="20"/>
        </w:rPr>
        <w:t>]</w:t>
      </w:r>
      <w:r w:rsidR="0092637A" w:rsidRPr="0092637A">
        <w:rPr>
          <w:rFonts w:ascii="Arial" w:hAnsi="Arial" w:cs="Arial"/>
          <w:sz w:val="20"/>
          <w:szCs w:val="20"/>
        </w:rPr>
        <w:t xml:space="preserve"> Having balanced these competing considerations, I have determined that a retention order should be made, and that it is in the public interest to make such an order. Despite the fact that you were quite young when you stabbed the victim in the present case, and you are still quite young, and acknowledging your human rights as a child under ss</w:t>
      </w:r>
      <w:r w:rsidR="005216F2">
        <w:rPr>
          <w:rFonts w:ascii="Arial" w:hAnsi="Arial" w:cs="Arial"/>
          <w:sz w:val="20"/>
          <w:szCs w:val="20"/>
        </w:rPr>
        <w:t>.</w:t>
      </w:r>
      <w:r w:rsidR="0092637A" w:rsidRPr="0092637A">
        <w:rPr>
          <w:rFonts w:ascii="Arial" w:hAnsi="Arial" w:cs="Arial"/>
          <w:sz w:val="20"/>
          <w:szCs w:val="20"/>
        </w:rPr>
        <w:t xml:space="preserve">13(a) and 17(2) of the </w:t>
      </w:r>
      <w:r w:rsidR="0092637A" w:rsidRPr="005216F2">
        <w:rPr>
          <w:rFonts w:ascii="Arial" w:hAnsi="Arial" w:cs="Arial"/>
          <w:i/>
          <w:iCs/>
          <w:sz w:val="20"/>
          <w:szCs w:val="20"/>
        </w:rPr>
        <w:t>Charter</w:t>
      </w:r>
      <w:r w:rsidR="005216F2" w:rsidRPr="005216F2">
        <w:rPr>
          <w:rFonts w:ascii="Arial" w:hAnsi="Arial" w:cs="Arial"/>
          <w:i/>
          <w:iCs/>
          <w:sz w:val="20"/>
          <w:szCs w:val="20"/>
        </w:rPr>
        <w:t xml:space="preserve"> of Human Rights and Responsibilities Act 2006</w:t>
      </w:r>
      <w:r w:rsidR="005216F2">
        <w:rPr>
          <w:rFonts w:ascii="Arial" w:hAnsi="Arial" w:cs="Arial"/>
          <w:sz w:val="20"/>
          <w:szCs w:val="20"/>
        </w:rPr>
        <w:t xml:space="preserve"> </w:t>
      </w:r>
      <w:r w:rsidR="0092637A" w:rsidRPr="0092637A">
        <w:rPr>
          <w:rFonts w:ascii="Arial" w:hAnsi="Arial" w:cs="Arial"/>
          <w:sz w:val="20"/>
          <w:szCs w:val="20"/>
        </w:rPr>
        <w:t>along with the significance of these rights in the context of a retention order that would operate for the remainder of your life, I nevertheless consider a retention order should be granted in this case. The circumstances of the offending are very serious. The victim was attacked whilst he was defenceless, unarmed and subject to a group attack with knives. It</w:t>
      </w:r>
      <w:r w:rsidR="005216F2">
        <w:rPr>
          <w:rFonts w:ascii="Arial" w:hAnsi="Arial" w:cs="Arial"/>
          <w:sz w:val="20"/>
          <w:szCs w:val="20"/>
        </w:rPr>
        <w:t> </w:t>
      </w:r>
      <w:r w:rsidR="0092637A" w:rsidRPr="0092637A">
        <w:rPr>
          <w:rFonts w:ascii="Arial" w:hAnsi="Arial" w:cs="Arial"/>
          <w:sz w:val="20"/>
          <w:szCs w:val="20"/>
        </w:rPr>
        <w:t>is relevant that not only were you part of the group attack, but you admit to stabbing the victim. You continued to behave aggressively after the group attack on the victim.</w:t>
      </w:r>
    </w:p>
    <w:p w14:paraId="3BEDBDB9" w14:textId="77777777" w:rsidR="005216F2" w:rsidRDefault="005216F2"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103</w:t>
      </w:r>
      <w:r>
        <w:rPr>
          <w:rFonts w:ascii="Arial" w:hAnsi="Arial" w:cs="Arial"/>
          <w:sz w:val="20"/>
          <w:szCs w:val="20"/>
        </w:rPr>
        <w:t>]</w:t>
      </w:r>
      <w:r w:rsidR="0092637A" w:rsidRPr="0092637A">
        <w:rPr>
          <w:rFonts w:ascii="Arial" w:hAnsi="Arial" w:cs="Arial"/>
          <w:sz w:val="20"/>
          <w:szCs w:val="20"/>
        </w:rPr>
        <w:t xml:space="preserve"> Further to this, your DNA sample was inculpatory, matching to DNA found on a knife sheath you discarded as you fled the scene. You also have subsequent convictions for violent offending.</w:t>
      </w:r>
    </w:p>
    <w:p w14:paraId="3E806DA1" w14:textId="00F89761" w:rsidR="0092637A" w:rsidRDefault="005216F2"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104</w:t>
      </w:r>
      <w:r>
        <w:rPr>
          <w:rFonts w:ascii="Arial" w:hAnsi="Arial" w:cs="Arial"/>
          <w:sz w:val="20"/>
          <w:szCs w:val="20"/>
        </w:rPr>
        <w:t>]</w:t>
      </w:r>
      <w:r w:rsidR="0092637A" w:rsidRPr="0092637A">
        <w:rPr>
          <w:rFonts w:ascii="Arial" w:hAnsi="Arial" w:cs="Arial"/>
          <w:sz w:val="20"/>
          <w:szCs w:val="20"/>
        </w:rPr>
        <w:t xml:space="preserve"> Although I acknowledge that your engagement and rehabilitation have improved since being moved to Cherry Creek Youth Justice Centre a year ago, and I have found that you have reasonable prospects for rehabilitation, I am persuaded that, in all the circumstances, there is a realistic risk of further violent offending and that it is in the public interest to grant the retention order.</w:t>
      </w:r>
      <w:r>
        <w:rPr>
          <w:rFonts w:ascii="Arial" w:hAnsi="Arial" w:cs="Arial"/>
          <w:sz w:val="20"/>
          <w:szCs w:val="20"/>
        </w:rPr>
        <w:t>”</w:t>
      </w:r>
    </w:p>
    <w:p w14:paraId="707B90DA" w14:textId="77777777" w:rsidR="0092637A" w:rsidRDefault="0092637A" w:rsidP="00F321EE">
      <w:pPr>
        <w:jc w:val="both"/>
        <w:rPr>
          <w:rFonts w:ascii="Arial" w:hAnsi="Arial" w:cs="Arial"/>
          <w:sz w:val="20"/>
          <w:szCs w:val="20"/>
        </w:rPr>
      </w:pPr>
    </w:p>
    <w:p w14:paraId="15CAA6AD" w14:textId="6CBCDCF9" w:rsidR="00F321EE" w:rsidRDefault="00F321EE" w:rsidP="00F321EE">
      <w:pPr>
        <w:pStyle w:val="Heading2"/>
        <w:keepNext/>
        <w:tabs>
          <w:tab w:val="left" w:pos="567"/>
        </w:tabs>
        <w:spacing w:line="240" w:lineRule="auto"/>
        <w:ind w:left="567" w:hanging="567"/>
        <w:rPr>
          <w:rFonts w:ascii="Arial" w:hAnsi="Arial" w:cs="Arial"/>
          <w:b/>
          <w:bCs/>
        </w:rPr>
      </w:pPr>
      <w:bookmarkStart w:id="664" w:name="_8.7_Other_relevant"/>
      <w:bookmarkEnd w:id="664"/>
      <w:r>
        <w:rPr>
          <w:rFonts w:ascii="Arial" w:hAnsi="Arial" w:cs="Arial"/>
          <w:b/>
          <w:bCs/>
        </w:rPr>
        <w:t>8.</w:t>
      </w:r>
      <w:r w:rsidR="00531BEF">
        <w:rPr>
          <w:rFonts w:ascii="Arial" w:hAnsi="Arial" w:cs="Arial"/>
          <w:b/>
          <w:bCs/>
        </w:rPr>
        <w:t>8</w:t>
      </w:r>
      <w:r>
        <w:rPr>
          <w:rFonts w:ascii="Arial" w:hAnsi="Arial" w:cs="Arial"/>
          <w:b/>
          <w:bCs/>
        </w:rPr>
        <w:tab/>
      </w:r>
      <w:r w:rsidR="00811191">
        <w:rPr>
          <w:rFonts w:ascii="Arial" w:hAnsi="Arial" w:cs="Arial"/>
          <w:b/>
          <w:bCs/>
        </w:rPr>
        <w:t>Other relevant provisions relating to</w:t>
      </w:r>
      <w:r>
        <w:rPr>
          <w:rFonts w:ascii="Arial" w:hAnsi="Arial" w:cs="Arial"/>
          <w:b/>
          <w:bCs/>
        </w:rPr>
        <w:t xml:space="preserve"> DNA samples</w:t>
      </w:r>
      <w:r w:rsidR="00752B89">
        <w:rPr>
          <w:rFonts w:ascii="Arial" w:hAnsi="Arial" w:cs="Arial"/>
          <w:b/>
          <w:bCs/>
        </w:rPr>
        <w:t xml:space="preserve"> &amp; forensic procedures</w:t>
      </w:r>
    </w:p>
    <w:p w14:paraId="1A68FBD0" w14:textId="77777777" w:rsidR="00F321EE" w:rsidRPr="00531BEF" w:rsidRDefault="00F321EE" w:rsidP="007A56D8">
      <w:pPr>
        <w:jc w:val="both"/>
        <w:rPr>
          <w:rFonts w:ascii="Arial" w:hAnsi="Arial" w:cs="Arial"/>
          <w:sz w:val="20"/>
          <w:szCs w:val="20"/>
        </w:rPr>
      </w:pPr>
    </w:p>
    <w:p w14:paraId="73383391" w14:textId="3BA477EB" w:rsidR="00F86425" w:rsidRDefault="00F86425" w:rsidP="007A56D8">
      <w:pPr>
        <w:ind w:left="1361" w:hanging="1361"/>
        <w:jc w:val="both"/>
        <w:rPr>
          <w:rFonts w:ascii="Arial" w:hAnsi="Arial" w:cs="Arial"/>
          <w:sz w:val="20"/>
        </w:rPr>
      </w:pPr>
      <w:r>
        <w:rPr>
          <w:rFonts w:ascii="Arial" w:hAnsi="Arial" w:cs="Arial"/>
          <w:sz w:val="20"/>
        </w:rPr>
        <w:t>s.464</w:t>
      </w:r>
      <w:r w:rsidR="00212CF3">
        <w:rPr>
          <w:rFonts w:ascii="Arial" w:hAnsi="Arial" w:cs="Arial"/>
          <w:sz w:val="20"/>
        </w:rPr>
        <w:t>ZB</w:t>
      </w:r>
      <w:r>
        <w:rPr>
          <w:rFonts w:ascii="Arial" w:hAnsi="Arial" w:cs="Arial"/>
          <w:sz w:val="20"/>
        </w:rPr>
        <w:tab/>
      </w:r>
      <w:r w:rsidR="00212CF3">
        <w:rPr>
          <w:rFonts w:ascii="Arial" w:hAnsi="Arial" w:cs="Arial"/>
          <w:sz w:val="20"/>
        </w:rPr>
        <w:t>Analysis of samples</w:t>
      </w:r>
    </w:p>
    <w:p w14:paraId="4E1F3FEE" w14:textId="41CA76B1" w:rsidR="00F86425" w:rsidRDefault="00F86425" w:rsidP="007A56D8">
      <w:pPr>
        <w:ind w:left="1361" w:hanging="1361"/>
        <w:jc w:val="both"/>
        <w:rPr>
          <w:rFonts w:ascii="Arial" w:hAnsi="Arial" w:cs="Arial"/>
          <w:sz w:val="20"/>
        </w:rPr>
      </w:pPr>
      <w:r>
        <w:rPr>
          <w:rFonts w:ascii="Arial" w:hAnsi="Arial" w:cs="Arial"/>
          <w:sz w:val="20"/>
        </w:rPr>
        <w:t>s.464</w:t>
      </w:r>
      <w:r w:rsidR="00212CF3">
        <w:rPr>
          <w:rFonts w:ascii="Arial" w:hAnsi="Arial" w:cs="Arial"/>
          <w:sz w:val="20"/>
        </w:rPr>
        <w:t>ZC</w:t>
      </w:r>
      <w:r>
        <w:rPr>
          <w:rFonts w:ascii="Arial" w:hAnsi="Arial" w:cs="Arial"/>
          <w:sz w:val="20"/>
        </w:rPr>
        <w:tab/>
      </w:r>
      <w:r w:rsidR="00212CF3">
        <w:rPr>
          <w:rFonts w:ascii="Arial" w:hAnsi="Arial" w:cs="Arial"/>
          <w:sz w:val="20"/>
        </w:rPr>
        <w:t>Analysis of material found at scene of offence etc.</w:t>
      </w:r>
    </w:p>
    <w:p w14:paraId="1F3DB637" w14:textId="4D78BD56" w:rsidR="00212CF3" w:rsidRDefault="00F86425" w:rsidP="007A56D8">
      <w:pPr>
        <w:ind w:left="1361" w:hanging="1361"/>
        <w:jc w:val="both"/>
        <w:rPr>
          <w:rFonts w:ascii="Arial" w:hAnsi="Arial" w:cs="Arial"/>
          <w:sz w:val="20"/>
        </w:rPr>
      </w:pPr>
      <w:r>
        <w:rPr>
          <w:rFonts w:ascii="Arial" w:hAnsi="Arial" w:cs="Arial"/>
          <w:sz w:val="20"/>
        </w:rPr>
        <w:t>s.464</w:t>
      </w:r>
      <w:r w:rsidR="00212CF3">
        <w:rPr>
          <w:rFonts w:ascii="Arial" w:hAnsi="Arial" w:cs="Arial"/>
          <w:sz w:val="20"/>
        </w:rPr>
        <w:t>ZD</w:t>
      </w:r>
      <w:r>
        <w:rPr>
          <w:rFonts w:ascii="Arial" w:hAnsi="Arial" w:cs="Arial"/>
          <w:sz w:val="20"/>
        </w:rPr>
        <w:tab/>
      </w:r>
      <w:r w:rsidR="00212CF3">
        <w:rPr>
          <w:rFonts w:ascii="Arial" w:hAnsi="Arial" w:cs="Arial"/>
          <w:sz w:val="20"/>
        </w:rPr>
        <w:t>Forensic reports to be made available</w:t>
      </w:r>
    </w:p>
    <w:p w14:paraId="6DF5D150" w14:textId="2F03CC90" w:rsidR="00212CF3" w:rsidRDefault="00212CF3" w:rsidP="007A56D8">
      <w:pPr>
        <w:ind w:left="1361" w:hanging="1361"/>
        <w:jc w:val="both"/>
        <w:rPr>
          <w:rFonts w:ascii="Arial" w:hAnsi="Arial" w:cs="Arial"/>
          <w:sz w:val="20"/>
        </w:rPr>
      </w:pPr>
      <w:r>
        <w:rPr>
          <w:rFonts w:ascii="Arial" w:hAnsi="Arial" w:cs="Arial"/>
          <w:sz w:val="20"/>
        </w:rPr>
        <w:t>s.464ZF</w:t>
      </w:r>
      <w:r>
        <w:rPr>
          <w:rFonts w:ascii="Arial" w:hAnsi="Arial" w:cs="Arial"/>
          <w:sz w:val="20"/>
        </w:rPr>
        <w:tab/>
        <w:t xml:space="preserve">Forensic procedure following the commission of a forensic sample offence [see also </w:t>
      </w:r>
      <w:r w:rsidRPr="00771FFB">
        <w:rPr>
          <w:rFonts w:ascii="Arial" w:hAnsi="Arial" w:cs="Arial"/>
          <w:b/>
          <w:bCs/>
          <w:sz w:val="20"/>
          <w:shd w:val="clear" w:color="auto" w:fill="C5E0B3" w:themeFill="accent6" w:themeFillTint="66"/>
        </w:rPr>
        <w:t>section 11.1.12</w:t>
      </w:r>
      <w:r>
        <w:rPr>
          <w:rFonts w:ascii="Arial" w:hAnsi="Arial" w:cs="Arial"/>
          <w:sz w:val="20"/>
        </w:rPr>
        <w:t>]</w:t>
      </w:r>
    </w:p>
    <w:p w14:paraId="65B9EA78" w14:textId="0737EA4D" w:rsidR="00212CF3" w:rsidRDefault="00212CF3" w:rsidP="00752B89">
      <w:pPr>
        <w:ind w:left="1361" w:hanging="1361"/>
        <w:jc w:val="both"/>
        <w:rPr>
          <w:rFonts w:ascii="Arial" w:hAnsi="Arial" w:cs="Arial"/>
          <w:sz w:val="20"/>
        </w:rPr>
      </w:pPr>
      <w:r>
        <w:rPr>
          <w:rFonts w:ascii="Arial" w:hAnsi="Arial" w:cs="Arial"/>
          <w:sz w:val="20"/>
        </w:rPr>
        <w:t>s.464ZFAAA</w:t>
      </w:r>
      <w:r>
        <w:rPr>
          <w:rFonts w:ascii="Arial" w:hAnsi="Arial" w:cs="Arial"/>
          <w:sz w:val="20"/>
        </w:rPr>
        <w:tab/>
      </w:r>
      <w:r w:rsidR="00752B89">
        <w:rPr>
          <w:rFonts w:ascii="Arial" w:hAnsi="Arial" w:cs="Arial"/>
          <w:sz w:val="20"/>
        </w:rPr>
        <w:t>Forensic procedure following finding of not guilty because of mental impairment</w:t>
      </w:r>
    </w:p>
    <w:p w14:paraId="66D007D0" w14:textId="326DCCE4" w:rsidR="00752B89" w:rsidRDefault="00752B89" w:rsidP="00752B89">
      <w:pPr>
        <w:ind w:left="1361" w:hanging="1361"/>
        <w:jc w:val="both"/>
        <w:rPr>
          <w:rFonts w:ascii="Arial" w:hAnsi="Arial" w:cs="Arial"/>
          <w:sz w:val="20"/>
        </w:rPr>
      </w:pPr>
      <w:r>
        <w:rPr>
          <w:rFonts w:ascii="Arial" w:hAnsi="Arial" w:cs="Arial"/>
          <w:sz w:val="20"/>
        </w:rPr>
        <w:t>s.464ZFAA</w:t>
      </w:r>
      <w:r>
        <w:rPr>
          <w:rFonts w:ascii="Arial" w:hAnsi="Arial" w:cs="Arial"/>
          <w:sz w:val="20"/>
        </w:rPr>
        <w:tab/>
        <w:t>Notice to attend for forensic procedure</w:t>
      </w:r>
    </w:p>
    <w:p w14:paraId="50E8100E" w14:textId="62F8257B" w:rsidR="00752B89" w:rsidRDefault="00752B89" w:rsidP="00752B89">
      <w:pPr>
        <w:ind w:left="1361" w:hanging="1361"/>
        <w:jc w:val="both"/>
        <w:rPr>
          <w:rFonts w:ascii="Arial" w:hAnsi="Arial" w:cs="Arial"/>
          <w:sz w:val="20"/>
        </w:rPr>
      </w:pPr>
      <w:r>
        <w:rPr>
          <w:rFonts w:ascii="Arial" w:hAnsi="Arial" w:cs="Arial"/>
          <w:sz w:val="20"/>
        </w:rPr>
        <w:t>s.464ZFAB</w:t>
      </w:r>
      <w:r>
        <w:rPr>
          <w:rFonts w:ascii="Arial" w:hAnsi="Arial" w:cs="Arial"/>
          <w:sz w:val="20"/>
        </w:rPr>
        <w:tab/>
        <w:t xml:space="preserve">DNA profile sample from registrable offenders under the Sex Offenders Registration Act [see also </w:t>
      </w:r>
      <w:r w:rsidRPr="00771FFB">
        <w:rPr>
          <w:rFonts w:ascii="Arial" w:hAnsi="Arial" w:cs="Arial"/>
          <w:b/>
          <w:bCs/>
          <w:sz w:val="20"/>
          <w:shd w:val="clear" w:color="auto" w:fill="C5E0B3" w:themeFill="accent6" w:themeFillTint="66"/>
        </w:rPr>
        <w:t>section 11.3.3</w:t>
      </w:r>
      <w:r>
        <w:rPr>
          <w:rFonts w:ascii="Arial" w:hAnsi="Arial" w:cs="Arial"/>
          <w:sz w:val="20"/>
        </w:rPr>
        <w:t>]</w:t>
      </w:r>
    </w:p>
    <w:p w14:paraId="7B7D6E7F" w14:textId="4A0A5CF4" w:rsidR="00212CF3" w:rsidRDefault="004F79F5" w:rsidP="004F79F5">
      <w:pPr>
        <w:ind w:left="1361" w:hanging="1361"/>
        <w:jc w:val="both"/>
        <w:rPr>
          <w:rFonts w:ascii="Arial" w:hAnsi="Arial" w:cs="Arial"/>
          <w:sz w:val="20"/>
        </w:rPr>
      </w:pPr>
      <w:r>
        <w:rPr>
          <w:rFonts w:ascii="Arial" w:hAnsi="Arial" w:cs="Arial"/>
          <w:sz w:val="20"/>
        </w:rPr>
        <w:t>s.464ZFAE</w:t>
      </w:r>
      <w:r>
        <w:rPr>
          <w:rFonts w:ascii="Arial" w:hAnsi="Arial" w:cs="Arial"/>
          <w:sz w:val="20"/>
        </w:rPr>
        <w:tab/>
        <w:t>Senior police officer may authorise taking a DNA profile sample from certain adults and children who have previously provided a sample</w:t>
      </w:r>
    </w:p>
    <w:p w14:paraId="0A9CCB65" w14:textId="0EC6DFF3" w:rsidR="004F79F5" w:rsidRDefault="004F79F5" w:rsidP="004F79F5">
      <w:pPr>
        <w:ind w:left="1361" w:hanging="1361"/>
        <w:jc w:val="both"/>
        <w:rPr>
          <w:rFonts w:ascii="Arial" w:hAnsi="Arial" w:cs="Arial"/>
          <w:sz w:val="20"/>
        </w:rPr>
      </w:pPr>
      <w:r>
        <w:rPr>
          <w:rFonts w:ascii="Arial" w:hAnsi="Arial" w:cs="Arial"/>
          <w:sz w:val="20"/>
        </w:rPr>
        <w:t>s.464ZFA</w:t>
      </w:r>
      <w:r>
        <w:rPr>
          <w:rFonts w:ascii="Arial" w:hAnsi="Arial" w:cs="Arial"/>
          <w:sz w:val="20"/>
        </w:rPr>
        <w:tab/>
        <w:t>Warrants issues for forensic procedures under ss.464ZF or 464ZFAAA</w:t>
      </w:r>
    </w:p>
    <w:p w14:paraId="57567018" w14:textId="512A17B7" w:rsidR="00212CF3" w:rsidRDefault="004F79F5" w:rsidP="004F79F5">
      <w:pPr>
        <w:ind w:left="1361" w:hanging="1361"/>
        <w:jc w:val="both"/>
        <w:rPr>
          <w:rFonts w:ascii="Arial" w:hAnsi="Arial" w:cs="Arial"/>
          <w:sz w:val="20"/>
        </w:rPr>
      </w:pPr>
      <w:r>
        <w:rPr>
          <w:rFonts w:ascii="Arial" w:hAnsi="Arial" w:cs="Arial"/>
          <w:sz w:val="20"/>
        </w:rPr>
        <w:t>s.464ZFB</w:t>
      </w:r>
      <w:r>
        <w:rPr>
          <w:rFonts w:ascii="Arial" w:hAnsi="Arial" w:cs="Arial"/>
          <w:sz w:val="20"/>
        </w:rPr>
        <w:tab/>
        <w:t>Retention of information following finding of guilt</w:t>
      </w:r>
    </w:p>
    <w:p w14:paraId="14C0F628" w14:textId="03A0FCF8" w:rsidR="004F79F5" w:rsidRDefault="004F79F5" w:rsidP="004F79F5">
      <w:pPr>
        <w:ind w:left="1361" w:hanging="1361"/>
        <w:jc w:val="both"/>
        <w:rPr>
          <w:rFonts w:ascii="Arial" w:hAnsi="Arial" w:cs="Arial"/>
          <w:sz w:val="20"/>
        </w:rPr>
      </w:pPr>
      <w:r>
        <w:rPr>
          <w:rFonts w:ascii="Arial" w:hAnsi="Arial" w:cs="Arial"/>
          <w:sz w:val="20"/>
        </w:rPr>
        <w:t>s.464ZFC</w:t>
      </w:r>
      <w:r>
        <w:rPr>
          <w:rFonts w:ascii="Arial" w:hAnsi="Arial" w:cs="Arial"/>
          <w:sz w:val="20"/>
        </w:rPr>
        <w:tab/>
        <w:t>Destruction of information following finding of guilt</w:t>
      </w:r>
    </w:p>
    <w:p w14:paraId="39D82542" w14:textId="29DB77B3" w:rsidR="004F79F5" w:rsidRDefault="004F79F5" w:rsidP="004F79F5">
      <w:pPr>
        <w:ind w:left="1361" w:hanging="1361"/>
        <w:jc w:val="both"/>
        <w:rPr>
          <w:rFonts w:ascii="Arial" w:hAnsi="Arial" w:cs="Arial"/>
          <w:sz w:val="20"/>
        </w:rPr>
      </w:pPr>
      <w:r>
        <w:rPr>
          <w:rFonts w:ascii="Arial" w:hAnsi="Arial" w:cs="Arial"/>
          <w:sz w:val="20"/>
        </w:rPr>
        <w:t>s.464ZFD</w:t>
      </w:r>
      <w:r>
        <w:rPr>
          <w:rFonts w:ascii="Arial" w:hAnsi="Arial" w:cs="Arial"/>
          <w:sz w:val="20"/>
        </w:rPr>
        <w:tab/>
        <w:t>Victorian DNA database</w:t>
      </w:r>
    </w:p>
    <w:p w14:paraId="233B4EB3" w14:textId="7E8A605B" w:rsidR="004F79F5" w:rsidRDefault="004F79F5" w:rsidP="004F79F5">
      <w:pPr>
        <w:ind w:left="1361" w:hanging="1361"/>
        <w:jc w:val="both"/>
        <w:rPr>
          <w:rFonts w:ascii="Arial" w:hAnsi="Arial" w:cs="Arial"/>
          <w:sz w:val="20"/>
        </w:rPr>
      </w:pPr>
      <w:r>
        <w:rPr>
          <w:rFonts w:ascii="Arial" w:hAnsi="Arial" w:cs="Arial"/>
          <w:sz w:val="20"/>
        </w:rPr>
        <w:t>s.464ZG</w:t>
      </w:r>
      <w:r>
        <w:rPr>
          <w:rFonts w:ascii="Arial" w:hAnsi="Arial" w:cs="Arial"/>
          <w:sz w:val="20"/>
        </w:rPr>
        <w:tab/>
        <w:t>Destruction of identifying information</w:t>
      </w:r>
    </w:p>
    <w:p w14:paraId="7CE7771D" w14:textId="6C8794F6" w:rsidR="004F79F5" w:rsidRDefault="004F79F5" w:rsidP="004F79F5">
      <w:pPr>
        <w:ind w:left="1361" w:hanging="1361"/>
        <w:jc w:val="both"/>
        <w:rPr>
          <w:rFonts w:ascii="Arial" w:hAnsi="Arial" w:cs="Arial"/>
          <w:sz w:val="20"/>
        </w:rPr>
      </w:pPr>
      <w:r>
        <w:rPr>
          <w:rFonts w:ascii="Arial" w:hAnsi="Arial" w:cs="Arial"/>
          <w:sz w:val="20"/>
        </w:rPr>
        <w:t>s.464ZGA</w:t>
      </w:r>
      <w:r>
        <w:rPr>
          <w:rFonts w:ascii="Arial" w:hAnsi="Arial" w:cs="Arial"/>
          <w:sz w:val="20"/>
        </w:rPr>
        <w:tab/>
        <w:t>Forensic information from juveniles</w:t>
      </w:r>
    </w:p>
    <w:p w14:paraId="56D19BFA" w14:textId="7B95D5E9" w:rsidR="004F79F5" w:rsidRDefault="004F79F5" w:rsidP="004F79F5">
      <w:pPr>
        <w:ind w:left="1361" w:hanging="1361"/>
        <w:jc w:val="both"/>
        <w:rPr>
          <w:rFonts w:ascii="Arial" w:hAnsi="Arial" w:cs="Arial"/>
          <w:sz w:val="20"/>
        </w:rPr>
      </w:pPr>
      <w:r>
        <w:rPr>
          <w:rFonts w:ascii="Arial" w:hAnsi="Arial" w:cs="Arial"/>
          <w:sz w:val="20"/>
        </w:rPr>
        <w:t>s.464ZGB</w:t>
      </w:r>
      <w:r>
        <w:rPr>
          <w:rFonts w:ascii="Arial" w:hAnsi="Arial" w:cs="Arial"/>
          <w:sz w:val="20"/>
        </w:rPr>
        <w:tab/>
        <w:t>Samples given voluntarily</w:t>
      </w:r>
    </w:p>
    <w:p w14:paraId="3E3C52D1" w14:textId="0FF8256E" w:rsidR="004F79F5" w:rsidRDefault="004F79F5" w:rsidP="004F79F5">
      <w:pPr>
        <w:ind w:left="1361" w:hanging="1361"/>
        <w:jc w:val="both"/>
        <w:rPr>
          <w:rFonts w:ascii="Arial" w:hAnsi="Arial" w:cs="Arial"/>
          <w:sz w:val="20"/>
        </w:rPr>
      </w:pPr>
      <w:r>
        <w:rPr>
          <w:rFonts w:ascii="Arial" w:hAnsi="Arial" w:cs="Arial"/>
          <w:sz w:val="20"/>
        </w:rPr>
        <w:t>s.464ZGC</w:t>
      </w:r>
      <w:r>
        <w:rPr>
          <w:rFonts w:ascii="Arial" w:hAnsi="Arial" w:cs="Arial"/>
          <w:sz w:val="20"/>
        </w:rPr>
        <w:tab/>
      </w:r>
      <w:r w:rsidR="00F66D32">
        <w:rPr>
          <w:rFonts w:ascii="Arial" w:hAnsi="Arial" w:cs="Arial"/>
          <w:sz w:val="20"/>
        </w:rPr>
        <w:t>Withdrawal of consent prior to giving sample</w:t>
      </w:r>
    </w:p>
    <w:p w14:paraId="4259BD2E" w14:textId="6E6DAA1B" w:rsidR="004F79F5" w:rsidRDefault="00F66D32" w:rsidP="004F79F5">
      <w:pPr>
        <w:ind w:left="1361" w:hanging="1361"/>
        <w:jc w:val="both"/>
        <w:rPr>
          <w:rFonts w:ascii="Arial" w:hAnsi="Arial" w:cs="Arial"/>
          <w:sz w:val="20"/>
        </w:rPr>
      </w:pPr>
      <w:r>
        <w:rPr>
          <w:rFonts w:ascii="Arial" w:hAnsi="Arial" w:cs="Arial"/>
          <w:sz w:val="20"/>
        </w:rPr>
        <w:t>s.464ZGD</w:t>
      </w:r>
      <w:r>
        <w:rPr>
          <w:rFonts w:ascii="Arial" w:hAnsi="Arial" w:cs="Arial"/>
          <w:sz w:val="20"/>
        </w:rPr>
        <w:tab/>
        <w:t>Procedure to take sample</w:t>
      </w:r>
    </w:p>
    <w:p w14:paraId="0023BCC8" w14:textId="48C6529C" w:rsidR="00F66D32" w:rsidRDefault="00F66D32" w:rsidP="004F79F5">
      <w:pPr>
        <w:ind w:left="1361" w:hanging="1361"/>
        <w:jc w:val="both"/>
        <w:rPr>
          <w:rFonts w:ascii="Arial" w:hAnsi="Arial" w:cs="Arial"/>
          <w:sz w:val="20"/>
        </w:rPr>
      </w:pPr>
      <w:r>
        <w:rPr>
          <w:rFonts w:ascii="Arial" w:hAnsi="Arial" w:cs="Arial"/>
          <w:sz w:val="20"/>
        </w:rPr>
        <w:t>s.464ZGE</w:t>
      </w:r>
      <w:r>
        <w:rPr>
          <w:rFonts w:ascii="Arial" w:hAnsi="Arial" w:cs="Arial"/>
          <w:sz w:val="20"/>
        </w:rPr>
        <w:tab/>
        <w:t>Safeguards after giving sample</w:t>
      </w:r>
    </w:p>
    <w:p w14:paraId="7B5C021C" w14:textId="6A0D3BF1" w:rsidR="00F66D32" w:rsidRDefault="00F66D32" w:rsidP="004F79F5">
      <w:pPr>
        <w:ind w:left="1361" w:hanging="1361"/>
        <w:jc w:val="both"/>
        <w:rPr>
          <w:rFonts w:ascii="Arial" w:hAnsi="Arial" w:cs="Arial"/>
          <w:sz w:val="20"/>
        </w:rPr>
      </w:pPr>
      <w:r>
        <w:rPr>
          <w:rFonts w:ascii="Arial" w:hAnsi="Arial" w:cs="Arial"/>
          <w:sz w:val="20"/>
        </w:rPr>
        <w:t>s.464ZGF</w:t>
      </w:r>
      <w:r>
        <w:rPr>
          <w:rFonts w:ascii="Arial" w:hAnsi="Arial" w:cs="Arial"/>
          <w:sz w:val="20"/>
        </w:rPr>
        <w:tab/>
        <w:t>Application to court where consent to retention of sample withdrawn</w:t>
      </w:r>
    </w:p>
    <w:p w14:paraId="07BB751E" w14:textId="311010CD" w:rsidR="004F79F5" w:rsidRDefault="00F66D32" w:rsidP="004F79F5">
      <w:pPr>
        <w:ind w:left="1361" w:hanging="1361"/>
        <w:jc w:val="both"/>
        <w:rPr>
          <w:rFonts w:ascii="Arial" w:hAnsi="Arial" w:cs="Arial"/>
          <w:sz w:val="20"/>
        </w:rPr>
      </w:pPr>
      <w:r>
        <w:rPr>
          <w:rFonts w:ascii="Arial" w:hAnsi="Arial" w:cs="Arial"/>
          <w:sz w:val="20"/>
        </w:rPr>
        <w:t>s.464ZGFA</w:t>
      </w:r>
      <w:r>
        <w:rPr>
          <w:rFonts w:ascii="Arial" w:hAnsi="Arial" w:cs="Arial"/>
          <w:sz w:val="20"/>
        </w:rPr>
        <w:tab/>
        <w:t>Voluntary samples given by police or VIFM personnel</w:t>
      </w:r>
    </w:p>
    <w:p w14:paraId="506164DC" w14:textId="01B2AD8B" w:rsidR="00F66D32" w:rsidRDefault="00F66D32" w:rsidP="004F79F5">
      <w:pPr>
        <w:ind w:left="1361" w:hanging="1361"/>
        <w:jc w:val="both"/>
        <w:rPr>
          <w:rFonts w:ascii="Arial" w:hAnsi="Arial" w:cs="Arial"/>
          <w:sz w:val="20"/>
        </w:rPr>
      </w:pPr>
      <w:r>
        <w:rPr>
          <w:rFonts w:ascii="Arial" w:hAnsi="Arial" w:cs="Arial"/>
          <w:sz w:val="20"/>
        </w:rPr>
        <w:t>s.464ZGFB</w:t>
      </w:r>
      <w:r>
        <w:rPr>
          <w:rFonts w:ascii="Arial" w:hAnsi="Arial" w:cs="Arial"/>
          <w:sz w:val="20"/>
        </w:rPr>
        <w:tab/>
        <w:t>Destruction of samples given by police and VIFM personnel and storage of DNA information</w:t>
      </w:r>
    </w:p>
    <w:p w14:paraId="47036DFB" w14:textId="5FCBB667" w:rsidR="00E659D6" w:rsidRDefault="00E659D6" w:rsidP="004F79F5">
      <w:pPr>
        <w:ind w:left="1361" w:hanging="1361"/>
        <w:jc w:val="both"/>
        <w:rPr>
          <w:rFonts w:ascii="Arial" w:hAnsi="Arial" w:cs="Arial"/>
          <w:sz w:val="20"/>
        </w:rPr>
      </w:pPr>
      <w:r>
        <w:rPr>
          <w:rFonts w:ascii="Arial" w:hAnsi="Arial" w:cs="Arial"/>
          <w:sz w:val="20"/>
        </w:rPr>
        <w:lastRenderedPageBreak/>
        <w:t>s.464ZGFC</w:t>
      </w:r>
      <w:r>
        <w:rPr>
          <w:rFonts w:ascii="Arial" w:hAnsi="Arial" w:cs="Arial"/>
          <w:sz w:val="20"/>
        </w:rPr>
        <w:tab/>
        <w:t>Destruction of fingerprints for children aged under 12 years of age</w:t>
      </w:r>
    </w:p>
    <w:p w14:paraId="0DF8FB59" w14:textId="554191E2" w:rsidR="00E659D6" w:rsidRDefault="00E659D6" w:rsidP="004F79F5">
      <w:pPr>
        <w:ind w:left="1361" w:hanging="1361"/>
        <w:jc w:val="both"/>
        <w:rPr>
          <w:rFonts w:ascii="Arial" w:hAnsi="Arial" w:cs="Arial"/>
          <w:sz w:val="20"/>
        </w:rPr>
      </w:pPr>
      <w:r>
        <w:rPr>
          <w:rFonts w:ascii="Arial" w:hAnsi="Arial" w:cs="Arial"/>
          <w:sz w:val="20"/>
        </w:rPr>
        <w:t>s.464ZGFD</w:t>
      </w:r>
      <w:r>
        <w:rPr>
          <w:rFonts w:ascii="Arial" w:hAnsi="Arial" w:cs="Arial"/>
          <w:sz w:val="20"/>
        </w:rPr>
        <w:tab/>
        <w:t>Destruction of samples and other identifying information for children under 12 years of age</w:t>
      </w:r>
    </w:p>
    <w:p w14:paraId="3EB8561C" w14:textId="5E3F8CA5" w:rsidR="00F66D32" w:rsidRDefault="00F66D32" w:rsidP="004F79F5">
      <w:pPr>
        <w:ind w:left="1361" w:hanging="1361"/>
        <w:jc w:val="both"/>
        <w:rPr>
          <w:rFonts w:ascii="Arial" w:hAnsi="Arial" w:cs="Arial"/>
          <w:sz w:val="20"/>
        </w:rPr>
      </w:pPr>
      <w:r>
        <w:rPr>
          <w:rFonts w:ascii="Arial" w:hAnsi="Arial" w:cs="Arial"/>
          <w:sz w:val="20"/>
        </w:rPr>
        <w:t>s.464ZGG</w:t>
      </w:r>
      <w:r>
        <w:rPr>
          <w:rFonts w:ascii="Arial" w:hAnsi="Arial" w:cs="Arial"/>
          <w:sz w:val="20"/>
        </w:rPr>
        <w:tab/>
        <w:t>Supply of forensic material for purposes of DNA database</w:t>
      </w:r>
    </w:p>
    <w:p w14:paraId="1992F978" w14:textId="41BFF3B1" w:rsidR="00F66D32" w:rsidRDefault="00F66D32" w:rsidP="004F79F5">
      <w:pPr>
        <w:ind w:left="1361" w:hanging="1361"/>
        <w:jc w:val="both"/>
        <w:rPr>
          <w:rFonts w:ascii="Arial" w:hAnsi="Arial" w:cs="Arial"/>
          <w:sz w:val="20"/>
        </w:rPr>
      </w:pPr>
      <w:r>
        <w:rPr>
          <w:rFonts w:ascii="Arial" w:hAnsi="Arial" w:cs="Arial"/>
          <w:sz w:val="20"/>
        </w:rPr>
        <w:t>s.464ZGH</w:t>
      </w:r>
      <w:r>
        <w:rPr>
          <w:rFonts w:ascii="Arial" w:hAnsi="Arial" w:cs="Arial"/>
          <w:sz w:val="20"/>
        </w:rPr>
        <w:tab/>
        <w:t>Use of information on Victorian DNA database</w:t>
      </w:r>
    </w:p>
    <w:p w14:paraId="7515A23B" w14:textId="611A2C3A" w:rsidR="00F66D32" w:rsidRDefault="00F66D32" w:rsidP="004F79F5">
      <w:pPr>
        <w:ind w:left="1361" w:hanging="1361"/>
        <w:jc w:val="both"/>
        <w:rPr>
          <w:rFonts w:ascii="Arial" w:hAnsi="Arial" w:cs="Arial"/>
          <w:sz w:val="20"/>
        </w:rPr>
      </w:pPr>
      <w:r>
        <w:rPr>
          <w:rFonts w:ascii="Arial" w:hAnsi="Arial" w:cs="Arial"/>
          <w:sz w:val="20"/>
        </w:rPr>
        <w:t>s.464ZGI</w:t>
      </w:r>
      <w:r>
        <w:rPr>
          <w:rFonts w:ascii="Arial" w:hAnsi="Arial" w:cs="Arial"/>
          <w:sz w:val="20"/>
        </w:rPr>
        <w:tab/>
        <w:t>Permissible matching of DNA profiles</w:t>
      </w:r>
    </w:p>
    <w:p w14:paraId="66E9DDF8" w14:textId="1A08BC55" w:rsidR="00F66D32" w:rsidRDefault="00F66D32" w:rsidP="004F79F5">
      <w:pPr>
        <w:ind w:left="1361" w:hanging="1361"/>
        <w:jc w:val="both"/>
        <w:rPr>
          <w:rFonts w:ascii="Arial" w:hAnsi="Arial" w:cs="Arial"/>
          <w:sz w:val="20"/>
        </w:rPr>
      </w:pPr>
      <w:r>
        <w:rPr>
          <w:rFonts w:ascii="Arial" w:hAnsi="Arial" w:cs="Arial"/>
          <w:sz w:val="20"/>
        </w:rPr>
        <w:t>s.464ZGJ</w:t>
      </w:r>
      <w:r>
        <w:rPr>
          <w:rFonts w:ascii="Arial" w:hAnsi="Arial" w:cs="Arial"/>
          <w:sz w:val="20"/>
        </w:rPr>
        <w:tab/>
        <w:t>Recording, retention</w:t>
      </w:r>
      <w:r w:rsidR="00333162">
        <w:rPr>
          <w:rFonts w:ascii="Arial" w:hAnsi="Arial" w:cs="Arial"/>
          <w:sz w:val="20"/>
        </w:rPr>
        <w:t xml:space="preserve"> and removal of identifying information on DNA database</w:t>
      </w:r>
    </w:p>
    <w:p w14:paraId="5C2DB90E" w14:textId="531BF353" w:rsidR="00333162" w:rsidRDefault="00333162" w:rsidP="004F79F5">
      <w:pPr>
        <w:ind w:left="1361" w:hanging="1361"/>
        <w:jc w:val="both"/>
        <w:rPr>
          <w:rFonts w:ascii="Arial" w:hAnsi="Arial" w:cs="Arial"/>
          <w:sz w:val="20"/>
        </w:rPr>
      </w:pPr>
      <w:r>
        <w:rPr>
          <w:rFonts w:ascii="Arial" w:hAnsi="Arial" w:cs="Arial"/>
          <w:sz w:val="20"/>
        </w:rPr>
        <w:t>s.464ZGK</w:t>
      </w:r>
      <w:r>
        <w:rPr>
          <w:rFonts w:ascii="Arial" w:hAnsi="Arial" w:cs="Arial"/>
          <w:sz w:val="20"/>
        </w:rPr>
        <w:tab/>
        <w:t>Disclosure of Victorian information</w:t>
      </w:r>
    </w:p>
    <w:p w14:paraId="0D9AAFDD" w14:textId="77777777" w:rsidR="00F66D32" w:rsidRDefault="00F66D32" w:rsidP="004F79F5">
      <w:pPr>
        <w:ind w:left="1361" w:hanging="1361"/>
        <w:jc w:val="both"/>
        <w:rPr>
          <w:rFonts w:ascii="Arial" w:hAnsi="Arial" w:cs="Arial"/>
          <w:sz w:val="20"/>
        </w:rPr>
      </w:pPr>
    </w:p>
    <w:p w14:paraId="433EFCE0" w14:textId="7A57F968" w:rsidR="00EE5134" w:rsidRPr="00461B92" w:rsidRDefault="006F7501" w:rsidP="00461B92">
      <w:pPr>
        <w:jc w:val="center"/>
        <w:rPr>
          <w:rFonts w:ascii="Arial" w:hAnsi="Arial" w:cs="Arial"/>
          <w:color w:val="000000"/>
        </w:rPr>
      </w:pPr>
      <w:r>
        <w:rPr>
          <w:noProof/>
        </w:rPr>
        <w:drawing>
          <wp:inline distT="0" distB="0" distL="0" distR="0" wp14:anchorId="43083C31" wp14:editId="5AE0BA4D">
            <wp:extent cx="1797050" cy="41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0" cy="416560"/>
                    </a:xfrm>
                    <a:prstGeom prst="rect">
                      <a:avLst/>
                    </a:prstGeom>
                    <a:noFill/>
                    <a:ln>
                      <a:noFill/>
                    </a:ln>
                  </pic:spPr>
                </pic:pic>
              </a:graphicData>
            </a:graphic>
          </wp:inline>
        </w:drawing>
      </w:r>
    </w:p>
    <w:sectPr w:rsidR="00EE5134" w:rsidRPr="00461B92" w:rsidSect="00554446">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ACD2" w14:textId="77777777" w:rsidR="004E1258" w:rsidRDefault="004E1258">
      <w:r>
        <w:separator/>
      </w:r>
    </w:p>
  </w:endnote>
  <w:endnote w:type="continuationSeparator" w:id="0">
    <w:p w14:paraId="39421955" w14:textId="77777777" w:rsidR="004E1258" w:rsidRDefault="004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FFD1" w14:textId="77777777" w:rsidR="00FD0640" w:rsidRDefault="00FD0640">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765914">
      <w:rPr>
        <w:rStyle w:val="PageNumber"/>
        <w:rFonts w:ascii="Arial" w:hAnsi="Arial" w:cs="Arial"/>
        <w:b/>
        <w:bCs/>
        <w:sz w:val="16"/>
      </w:rPr>
      <w:t xml:space="preserve">former </w:t>
    </w:r>
    <w:r>
      <w:rPr>
        <w:rStyle w:val="PageNumber"/>
        <w:rFonts w:ascii="Arial" w:hAnsi="Arial" w:cs="Arial"/>
        <w:b/>
        <w:bCs/>
        <w:sz w:val="16"/>
      </w:rPr>
      <w:t>Magistrate Peter Power for the Children's Court of Victoria</w:t>
    </w:r>
  </w:p>
  <w:p w14:paraId="3E05F979" w14:textId="4FC1D9A8" w:rsidR="00FD0640" w:rsidRDefault="00FD0640">
    <w:pPr>
      <w:pStyle w:val="Footer"/>
    </w:pPr>
    <w:r>
      <w:rPr>
        <w:rStyle w:val="PageNumber"/>
        <w:rFonts w:ascii="Arial" w:hAnsi="Arial" w:cs="Arial"/>
        <w:b/>
        <w:bCs/>
        <w:sz w:val="16"/>
      </w:rPr>
      <w:t xml:space="preserve">Last updated </w:t>
    </w:r>
    <w:r w:rsidR="007F192F">
      <w:rPr>
        <w:rStyle w:val="PageNumber"/>
        <w:rFonts w:ascii="Arial" w:hAnsi="Arial" w:cs="Arial"/>
        <w:b/>
        <w:bCs/>
        <w:sz w:val="16"/>
      </w:rPr>
      <w:t>1</w:t>
    </w:r>
    <w:r w:rsidR="00AF39FE">
      <w:rPr>
        <w:rStyle w:val="PageNumber"/>
        <w:rFonts w:ascii="Arial" w:hAnsi="Arial" w:cs="Arial"/>
        <w:b/>
        <w:bCs/>
        <w:sz w:val="16"/>
      </w:rPr>
      <w:t>3</w:t>
    </w:r>
    <w:r w:rsidR="007F192F">
      <w:rPr>
        <w:rStyle w:val="PageNumber"/>
        <w:rFonts w:ascii="Arial" w:hAnsi="Arial" w:cs="Arial"/>
        <w:b/>
        <w:bCs/>
        <w:sz w:val="16"/>
      </w:rPr>
      <w:t xml:space="preserve"> February 2026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8.</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12</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BFBD" w14:textId="77777777" w:rsidR="004E1258" w:rsidRDefault="004E1258">
      <w:r>
        <w:separator/>
      </w:r>
    </w:p>
  </w:footnote>
  <w:footnote w:type="continuationSeparator" w:id="0">
    <w:p w14:paraId="27A207FB" w14:textId="77777777" w:rsidR="004E1258" w:rsidRDefault="004E1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95F72"/>
    <w:multiLevelType w:val="hybridMultilevel"/>
    <w:tmpl w:val="85102B7A"/>
    <w:lvl w:ilvl="0" w:tplc="FA8A22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252C7C"/>
    <w:multiLevelType w:val="hybridMultilevel"/>
    <w:tmpl w:val="83EA3932"/>
    <w:lvl w:ilvl="0" w:tplc="005E61D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293250"/>
    <w:multiLevelType w:val="hybridMultilevel"/>
    <w:tmpl w:val="DF36C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04F32"/>
    <w:multiLevelType w:val="hybridMultilevel"/>
    <w:tmpl w:val="DF182740"/>
    <w:lvl w:ilvl="0" w:tplc="2CF4E9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385DB9"/>
    <w:multiLevelType w:val="hybridMultilevel"/>
    <w:tmpl w:val="8B86376C"/>
    <w:lvl w:ilvl="0" w:tplc="191236A6">
      <w:start w:val="2"/>
      <w:numFmt w:val="bullet"/>
      <w:lvlText w:val=""/>
      <w:lvlJc w:val="left"/>
      <w:pPr>
        <w:tabs>
          <w:tab w:val="num" w:pos="420"/>
        </w:tabs>
        <w:ind w:left="60" w:firstLine="0"/>
      </w:pPr>
      <w:rPr>
        <w:rFonts w:ascii="Wingdings 2" w:hAnsi="Wingdings 2" w:hint="default"/>
        <w:sz w:val="20"/>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0D443F2"/>
    <w:multiLevelType w:val="hybridMultilevel"/>
    <w:tmpl w:val="8B86376C"/>
    <w:lvl w:ilvl="0" w:tplc="191236A6">
      <w:start w:val="2"/>
      <w:numFmt w:val="bullet"/>
      <w:lvlText w:val=""/>
      <w:lvlJc w:val="left"/>
      <w:pPr>
        <w:tabs>
          <w:tab w:val="num" w:pos="420"/>
        </w:tabs>
        <w:ind w:left="60" w:firstLine="0"/>
      </w:pPr>
      <w:rPr>
        <w:rFonts w:ascii="Wingdings 2" w:hAnsi="Wingdings 2" w:hint="default"/>
        <w:sz w:val="20"/>
      </w:rPr>
    </w:lvl>
    <w:lvl w:ilvl="1" w:tplc="5FCECE48">
      <w:start w:val="1"/>
      <w:numFmt w:val="bullet"/>
      <w:lvlText w:val="o"/>
      <w:lvlJc w:val="left"/>
      <w:pPr>
        <w:tabs>
          <w:tab w:val="num" w:pos="816"/>
        </w:tabs>
        <w:ind w:left="816" w:hanging="362"/>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688278B"/>
    <w:multiLevelType w:val="hybridMultilevel"/>
    <w:tmpl w:val="98FC6E32"/>
    <w:lvl w:ilvl="0" w:tplc="BAB676DC">
      <w:start w:val="1"/>
      <w:numFmt w:val="lowerLetter"/>
      <w:lvlText w:val="(%1)"/>
      <w:lvlJc w:val="left"/>
      <w:pPr>
        <w:ind w:left="720" w:hanging="360"/>
      </w:pPr>
      <w:rPr>
        <w:rFonts w:ascii="Arial" w:hAnsi="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C5ED4"/>
    <w:multiLevelType w:val="hybridMultilevel"/>
    <w:tmpl w:val="8E3E5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3F3B09"/>
    <w:multiLevelType w:val="hybridMultilevel"/>
    <w:tmpl w:val="18F0F95E"/>
    <w:lvl w:ilvl="0" w:tplc="365A8DD4">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64530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247B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0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E49A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FC6E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056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08D4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C0CD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1F20EE"/>
    <w:multiLevelType w:val="hybridMultilevel"/>
    <w:tmpl w:val="1EB0AAF2"/>
    <w:lvl w:ilvl="0" w:tplc="A5868686">
      <w:start w:val="8"/>
      <w:numFmt w:val="bullet"/>
      <w:lvlText w:val=""/>
      <w:lvlJc w:val="left"/>
      <w:pPr>
        <w:tabs>
          <w:tab w:val="num" w:pos="0"/>
        </w:tabs>
        <w:ind w:left="283" w:hanging="283"/>
      </w:pPr>
      <w:rPr>
        <w:rFonts w:ascii="Wingdings" w:hAnsi="Wingdings" w:cs="Times New Roman" w:hint="default"/>
        <w:b w:val="0"/>
        <w:i w:val="0"/>
        <w:color w:val="000000"/>
        <w:sz w:val="20"/>
        <w:szCs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B78AE"/>
    <w:multiLevelType w:val="hybridMultilevel"/>
    <w:tmpl w:val="15A81872"/>
    <w:lvl w:ilvl="0" w:tplc="43603BE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E54435"/>
    <w:multiLevelType w:val="hybridMultilevel"/>
    <w:tmpl w:val="BFFE0B66"/>
    <w:lvl w:ilvl="0" w:tplc="E368B2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7000DE"/>
    <w:multiLevelType w:val="hybridMultilevel"/>
    <w:tmpl w:val="E250B61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F4016C2"/>
    <w:multiLevelType w:val="multilevel"/>
    <w:tmpl w:val="F4809D8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960" w:hanging="180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15" w15:restartNumberingAfterBreak="0">
    <w:nsid w:val="1F4B29E3"/>
    <w:multiLevelType w:val="hybridMultilevel"/>
    <w:tmpl w:val="F3B070F8"/>
    <w:lvl w:ilvl="0" w:tplc="EE34DF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0163E3"/>
    <w:multiLevelType w:val="hybridMultilevel"/>
    <w:tmpl w:val="8C46CB92"/>
    <w:lvl w:ilvl="0" w:tplc="3DA4116E">
      <w:start w:val="1"/>
      <w:numFmt w:val="lowerLetter"/>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F36C92"/>
    <w:multiLevelType w:val="hybridMultilevel"/>
    <w:tmpl w:val="F2D0DD96"/>
    <w:lvl w:ilvl="0" w:tplc="3F9CB0E4">
      <w:start w:val="2"/>
      <w:numFmt w:val="bullet"/>
      <w:lvlText w:val=""/>
      <w:lvlJc w:val="left"/>
      <w:pPr>
        <w:tabs>
          <w:tab w:val="num" w:pos="360"/>
        </w:tabs>
        <w:ind w:left="170" w:hanging="170"/>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1F0736"/>
    <w:multiLevelType w:val="hybridMultilevel"/>
    <w:tmpl w:val="83C45758"/>
    <w:lvl w:ilvl="0" w:tplc="9C70DC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507675"/>
    <w:multiLevelType w:val="hybridMultilevel"/>
    <w:tmpl w:val="5F34B3B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326330A5"/>
    <w:multiLevelType w:val="hybridMultilevel"/>
    <w:tmpl w:val="D2522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2" w15:restartNumberingAfterBreak="0">
    <w:nsid w:val="347C2B15"/>
    <w:multiLevelType w:val="hybridMultilevel"/>
    <w:tmpl w:val="E250B61A"/>
    <w:lvl w:ilvl="0" w:tplc="69C6671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4AF48AC"/>
    <w:multiLevelType w:val="hybridMultilevel"/>
    <w:tmpl w:val="0344BA0C"/>
    <w:lvl w:ilvl="0" w:tplc="C88631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A971E4"/>
    <w:multiLevelType w:val="hybridMultilevel"/>
    <w:tmpl w:val="235CF8A0"/>
    <w:lvl w:ilvl="0" w:tplc="FFB206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5D0BDB"/>
    <w:multiLevelType w:val="hybridMultilevel"/>
    <w:tmpl w:val="63EE275E"/>
    <w:lvl w:ilvl="0" w:tplc="234A3F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A023FC"/>
    <w:multiLevelType w:val="hybridMultilevel"/>
    <w:tmpl w:val="8B0E3208"/>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A4221F"/>
    <w:multiLevelType w:val="hybridMultilevel"/>
    <w:tmpl w:val="5FEC3972"/>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213DF2"/>
    <w:multiLevelType w:val="hybridMultilevel"/>
    <w:tmpl w:val="790E8B60"/>
    <w:lvl w:ilvl="0" w:tplc="191236A6">
      <w:start w:val="2"/>
      <w:numFmt w:val="bullet"/>
      <w:lvlText w:val=""/>
      <w:lvlJc w:val="left"/>
      <w:pPr>
        <w:tabs>
          <w:tab w:val="num" w:pos="723"/>
        </w:tabs>
        <w:ind w:left="363" w:firstLine="0"/>
      </w:pPr>
      <w:rPr>
        <w:rFonts w:ascii="Wingdings 2" w:hAnsi="Wingdings 2" w:hint="default"/>
        <w:sz w:val="20"/>
      </w:rPr>
    </w:lvl>
    <w:lvl w:ilvl="1" w:tplc="04090003" w:tentative="1">
      <w:start w:val="1"/>
      <w:numFmt w:val="bullet"/>
      <w:lvlText w:val="o"/>
      <w:lvlJc w:val="left"/>
      <w:pPr>
        <w:tabs>
          <w:tab w:val="num" w:pos="1803"/>
        </w:tabs>
        <w:ind w:left="1803" w:hanging="360"/>
      </w:pPr>
      <w:rPr>
        <w:rFonts w:ascii="Courier New" w:hAnsi="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29" w15:restartNumberingAfterBreak="0">
    <w:nsid w:val="516673F4"/>
    <w:multiLevelType w:val="hybridMultilevel"/>
    <w:tmpl w:val="7C86ABA0"/>
    <w:lvl w:ilvl="0" w:tplc="BEA2CF2C">
      <w:start w:val="1"/>
      <w:numFmt w:val="decimal"/>
      <w:lvlText w:val="(%1)"/>
      <w:lvlJc w:val="left"/>
      <w:pPr>
        <w:ind w:left="740" w:hanging="360"/>
      </w:pPr>
      <w:rPr>
        <w:rFonts w:ascii="Arial" w:hAnsi="Arial" w:hint="default"/>
        <w:sz w:val="20"/>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30" w15:restartNumberingAfterBreak="0">
    <w:nsid w:val="58EE617C"/>
    <w:multiLevelType w:val="hybridMultilevel"/>
    <w:tmpl w:val="42869740"/>
    <w:lvl w:ilvl="0" w:tplc="12B611BE">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8410B7"/>
    <w:multiLevelType w:val="hybridMultilevel"/>
    <w:tmpl w:val="C1D22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460681"/>
    <w:multiLevelType w:val="hybridMultilevel"/>
    <w:tmpl w:val="62827262"/>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64F71"/>
    <w:multiLevelType w:val="hybridMultilevel"/>
    <w:tmpl w:val="B7EEBCCE"/>
    <w:lvl w:ilvl="0" w:tplc="C56EC644">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4" w15:restartNumberingAfterBreak="0">
    <w:nsid w:val="61B76C95"/>
    <w:multiLevelType w:val="hybridMultilevel"/>
    <w:tmpl w:val="BA909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015BF2"/>
    <w:multiLevelType w:val="hybridMultilevel"/>
    <w:tmpl w:val="136A2C96"/>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573ACC"/>
    <w:multiLevelType w:val="hybridMultilevel"/>
    <w:tmpl w:val="E8EE84FE"/>
    <w:lvl w:ilvl="0" w:tplc="F798129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3B4D41"/>
    <w:multiLevelType w:val="hybridMultilevel"/>
    <w:tmpl w:val="DDA22DB6"/>
    <w:lvl w:ilvl="0" w:tplc="3FBA122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69EF4A56"/>
    <w:multiLevelType w:val="multilevel"/>
    <w:tmpl w:val="1758FD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ADC47D1"/>
    <w:multiLevelType w:val="hybridMultilevel"/>
    <w:tmpl w:val="38BAAE00"/>
    <w:lvl w:ilvl="0" w:tplc="8B3045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A3450F"/>
    <w:multiLevelType w:val="hybridMultilevel"/>
    <w:tmpl w:val="1E2E1E12"/>
    <w:lvl w:ilvl="0" w:tplc="CB480494">
      <w:start w:val="1"/>
      <w:numFmt w:val="lowerLetter"/>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0E2A21"/>
    <w:multiLevelType w:val="hybridMultilevel"/>
    <w:tmpl w:val="B8FE5B1A"/>
    <w:lvl w:ilvl="0" w:tplc="9D08C6D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1747BB"/>
    <w:multiLevelType w:val="hybridMultilevel"/>
    <w:tmpl w:val="790E8B60"/>
    <w:lvl w:ilvl="0" w:tplc="2160A2D2">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803"/>
        </w:tabs>
        <w:ind w:left="1803" w:hanging="360"/>
      </w:pPr>
      <w:rPr>
        <w:rFonts w:ascii="Courier New" w:hAnsi="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43" w15:restartNumberingAfterBreak="0">
    <w:nsid w:val="7513354D"/>
    <w:multiLevelType w:val="hybridMultilevel"/>
    <w:tmpl w:val="0504E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CB7F8B"/>
    <w:multiLevelType w:val="hybridMultilevel"/>
    <w:tmpl w:val="AC107B6A"/>
    <w:lvl w:ilvl="0" w:tplc="191236A6">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7947738">
    <w:abstractNumId w:val="21"/>
  </w:num>
  <w:num w:numId="2" w16cid:durableId="1216165518">
    <w:abstractNumId w:val="35"/>
  </w:num>
  <w:num w:numId="3" w16cid:durableId="782304035">
    <w:abstractNumId w:val="44"/>
  </w:num>
  <w:num w:numId="4" w16cid:durableId="19357743">
    <w:abstractNumId w:val="5"/>
  </w:num>
  <w:num w:numId="5" w16cid:durableId="534661506">
    <w:abstractNumId w:val="32"/>
  </w:num>
  <w:num w:numId="6" w16cid:durableId="2129663336">
    <w:abstractNumId w:val="28"/>
  </w:num>
  <w:num w:numId="7" w16cid:durableId="666829155">
    <w:abstractNumId w:val="27"/>
  </w:num>
  <w:num w:numId="8" w16cid:durableId="491214328">
    <w:abstractNumId w:val="6"/>
  </w:num>
  <w:num w:numId="9" w16cid:durableId="1555121385">
    <w:abstractNumId w:val="42"/>
  </w:num>
  <w:num w:numId="10" w16cid:durableId="1042633683">
    <w:abstractNumId w:val="17"/>
  </w:num>
  <w:num w:numId="11" w16cid:durableId="2147311666">
    <w:abstractNumId w:val="10"/>
  </w:num>
  <w:num w:numId="12" w16cid:durableId="1994986614">
    <w:abstractNumId w:val="38"/>
  </w:num>
  <w:num w:numId="13" w16cid:durableId="107815968">
    <w:abstractNumId w:val="31"/>
  </w:num>
  <w:num w:numId="14" w16cid:durableId="905921329">
    <w:abstractNumId w:val="26"/>
  </w:num>
  <w:num w:numId="15" w16cid:durableId="842470868">
    <w:abstractNumId w:val="1"/>
  </w:num>
  <w:num w:numId="16" w16cid:durableId="1411999530">
    <w:abstractNumId w:val="11"/>
  </w:num>
  <w:num w:numId="17" w16cid:durableId="349572101">
    <w:abstractNumId w:val="36"/>
  </w:num>
  <w:num w:numId="18" w16cid:durableId="1967856757">
    <w:abstractNumId w:val="14"/>
  </w:num>
  <w:num w:numId="19" w16cid:durableId="1387490781">
    <w:abstractNumId w:val="4"/>
  </w:num>
  <w:num w:numId="20" w16cid:durableId="165050336">
    <w:abstractNumId w:val="29"/>
  </w:num>
  <w:num w:numId="21" w16cid:durableId="1310749821">
    <w:abstractNumId w:val="18"/>
  </w:num>
  <w:num w:numId="22" w16cid:durableId="1211578416">
    <w:abstractNumId w:val="23"/>
  </w:num>
  <w:num w:numId="23" w16cid:durableId="2056615059">
    <w:abstractNumId w:val="12"/>
  </w:num>
  <w:num w:numId="24" w16cid:durableId="368334610">
    <w:abstractNumId w:val="8"/>
  </w:num>
  <w:num w:numId="25" w16cid:durableId="1840538690">
    <w:abstractNumId w:val="19"/>
  </w:num>
  <w:num w:numId="26" w16cid:durableId="96143701">
    <w:abstractNumId w:val="37"/>
  </w:num>
  <w:num w:numId="27" w16cid:durableId="938755381">
    <w:abstractNumId w:val="20"/>
  </w:num>
  <w:num w:numId="28" w16cid:durableId="1583248381">
    <w:abstractNumId w:val="43"/>
  </w:num>
  <w:num w:numId="29" w16cid:durableId="518156275">
    <w:abstractNumId w:val="24"/>
  </w:num>
  <w:num w:numId="30" w16cid:durableId="363948038">
    <w:abstractNumId w:val="41"/>
  </w:num>
  <w:num w:numId="31" w16cid:durableId="547107180">
    <w:abstractNumId w:val="22"/>
  </w:num>
  <w:num w:numId="32" w16cid:durableId="1399018841">
    <w:abstractNumId w:val="15"/>
  </w:num>
  <w:num w:numId="33" w16cid:durableId="1996185246">
    <w:abstractNumId w:val="3"/>
  </w:num>
  <w:num w:numId="34" w16cid:durableId="1249850338">
    <w:abstractNumId w:val="25"/>
  </w:num>
  <w:num w:numId="35" w16cid:durableId="949311936">
    <w:abstractNumId w:val="33"/>
  </w:num>
  <w:num w:numId="36" w16cid:durableId="1636057265">
    <w:abstractNumId w:val="13"/>
  </w:num>
  <w:num w:numId="37" w16cid:durableId="725688160">
    <w:abstractNumId w:val="34"/>
  </w:num>
  <w:num w:numId="38" w16cid:durableId="1679581064">
    <w:abstractNumId w:val="9"/>
  </w:num>
  <w:num w:numId="39" w16cid:durableId="250161031">
    <w:abstractNumId w:val="16"/>
  </w:num>
  <w:num w:numId="40" w16cid:durableId="1685017088">
    <w:abstractNumId w:val="0"/>
  </w:num>
  <w:num w:numId="41" w16cid:durableId="933250042">
    <w:abstractNumId w:val="2"/>
  </w:num>
  <w:num w:numId="42" w16cid:durableId="492528528">
    <w:abstractNumId w:val="30"/>
  </w:num>
  <w:num w:numId="43" w16cid:durableId="1719821156">
    <w:abstractNumId w:val="40"/>
  </w:num>
  <w:num w:numId="44" w16cid:durableId="1138107172">
    <w:abstractNumId w:val="7"/>
  </w:num>
  <w:num w:numId="45" w16cid:durableId="194538581">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06FD"/>
    <w:rsid w:val="00011486"/>
    <w:rsid w:val="00011ADD"/>
    <w:rsid w:val="00013BEF"/>
    <w:rsid w:val="000157CC"/>
    <w:rsid w:val="000158D9"/>
    <w:rsid w:val="000359A7"/>
    <w:rsid w:val="000360BA"/>
    <w:rsid w:val="00040ECC"/>
    <w:rsid w:val="00047992"/>
    <w:rsid w:val="000514DB"/>
    <w:rsid w:val="000574C7"/>
    <w:rsid w:val="00063071"/>
    <w:rsid w:val="000821C0"/>
    <w:rsid w:val="00096E01"/>
    <w:rsid w:val="000A1339"/>
    <w:rsid w:val="000B2CB8"/>
    <w:rsid w:val="000B405A"/>
    <w:rsid w:val="000C3F42"/>
    <w:rsid w:val="000D10CF"/>
    <w:rsid w:val="000D111F"/>
    <w:rsid w:val="000D1261"/>
    <w:rsid w:val="000D21B4"/>
    <w:rsid w:val="000D3AA3"/>
    <w:rsid w:val="000E5475"/>
    <w:rsid w:val="000E5A20"/>
    <w:rsid w:val="000E5AC2"/>
    <w:rsid w:val="000E7159"/>
    <w:rsid w:val="000F58E8"/>
    <w:rsid w:val="00100415"/>
    <w:rsid w:val="00110F53"/>
    <w:rsid w:val="001119CE"/>
    <w:rsid w:val="001214FF"/>
    <w:rsid w:val="001250EF"/>
    <w:rsid w:val="001338AE"/>
    <w:rsid w:val="001339D7"/>
    <w:rsid w:val="00137510"/>
    <w:rsid w:val="001454DE"/>
    <w:rsid w:val="00145E3B"/>
    <w:rsid w:val="00145E6B"/>
    <w:rsid w:val="001500F4"/>
    <w:rsid w:val="001506F6"/>
    <w:rsid w:val="00154624"/>
    <w:rsid w:val="00156D55"/>
    <w:rsid w:val="001571F2"/>
    <w:rsid w:val="00162B3C"/>
    <w:rsid w:val="00167E1C"/>
    <w:rsid w:val="00170EDB"/>
    <w:rsid w:val="001734A5"/>
    <w:rsid w:val="001807E6"/>
    <w:rsid w:val="001814D2"/>
    <w:rsid w:val="001830E4"/>
    <w:rsid w:val="00185738"/>
    <w:rsid w:val="00190949"/>
    <w:rsid w:val="001961EF"/>
    <w:rsid w:val="001A2E55"/>
    <w:rsid w:val="001A2F1A"/>
    <w:rsid w:val="001B188D"/>
    <w:rsid w:val="001C54CF"/>
    <w:rsid w:val="001D5646"/>
    <w:rsid w:val="001D5C5E"/>
    <w:rsid w:val="001F18A9"/>
    <w:rsid w:val="001F3465"/>
    <w:rsid w:val="00201B76"/>
    <w:rsid w:val="002021B0"/>
    <w:rsid w:val="0020391C"/>
    <w:rsid w:val="002068A0"/>
    <w:rsid w:val="00212CF3"/>
    <w:rsid w:val="00221437"/>
    <w:rsid w:val="0022716E"/>
    <w:rsid w:val="0023433A"/>
    <w:rsid w:val="002457C1"/>
    <w:rsid w:val="002566F1"/>
    <w:rsid w:val="00260BAB"/>
    <w:rsid w:val="00265F34"/>
    <w:rsid w:val="00285A4A"/>
    <w:rsid w:val="00290DD4"/>
    <w:rsid w:val="00292F2E"/>
    <w:rsid w:val="00295588"/>
    <w:rsid w:val="002A04B3"/>
    <w:rsid w:val="002B227B"/>
    <w:rsid w:val="002B7B1C"/>
    <w:rsid w:val="002D2555"/>
    <w:rsid w:val="002D6E85"/>
    <w:rsid w:val="002E0EE9"/>
    <w:rsid w:val="002F5928"/>
    <w:rsid w:val="002F68CB"/>
    <w:rsid w:val="00303E64"/>
    <w:rsid w:val="00304960"/>
    <w:rsid w:val="00305B77"/>
    <w:rsid w:val="00306422"/>
    <w:rsid w:val="003106FD"/>
    <w:rsid w:val="00327B44"/>
    <w:rsid w:val="00331D96"/>
    <w:rsid w:val="00333162"/>
    <w:rsid w:val="00333D88"/>
    <w:rsid w:val="00334EB0"/>
    <w:rsid w:val="00336D71"/>
    <w:rsid w:val="00347A6F"/>
    <w:rsid w:val="003502AC"/>
    <w:rsid w:val="00350853"/>
    <w:rsid w:val="00353D46"/>
    <w:rsid w:val="00354408"/>
    <w:rsid w:val="0037797E"/>
    <w:rsid w:val="003810CD"/>
    <w:rsid w:val="00386C54"/>
    <w:rsid w:val="003968ED"/>
    <w:rsid w:val="003A0E1F"/>
    <w:rsid w:val="003A32F3"/>
    <w:rsid w:val="003A34B0"/>
    <w:rsid w:val="003A7330"/>
    <w:rsid w:val="003B2EAC"/>
    <w:rsid w:val="003C3EC8"/>
    <w:rsid w:val="003C523D"/>
    <w:rsid w:val="003C5F89"/>
    <w:rsid w:val="003C70DC"/>
    <w:rsid w:val="003C7C28"/>
    <w:rsid w:val="003D403F"/>
    <w:rsid w:val="003D7459"/>
    <w:rsid w:val="003E1D36"/>
    <w:rsid w:val="003E1FBA"/>
    <w:rsid w:val="003F073B"/>
    <w:rsid w:val="004045C5"/>
    <w:rsid w:val="004068B4"/>
    <w:rsid w:val="00411403"/>
    <w:rsid w:val="00411BB6"/>
    <w:rsid w:val="00420987"/>
    <w:rsid w:val="00420AE7"/>
    <w:rsid w:val="00422349"/>
    <w:rsid w:val="004321F7"/>
    <w:rsid w:val="00455C26"/>
    <w:rsid w:val="00461B92"/>
    <w:rsid w:val="00461CCE"/>
    <w:rsid w:val="00462B25"/>
    <w:rsid w:val="00464957"/>
    <w:rsid w:val="00471A86"/>
    <w:rsid w:val="00486CBD"/>
    <w:rsid w:val="00487855"/>
    <w:rsid w:val="004A36DA"/>
    <w:rsid w:val="004B3986"/>
    <w:rsid w:val="004B4C24"/>
    <w:rsid w:val="004B57C5"/>
    <w:rsid w:val="004C3DFE"/>
    <w:rsid w:val="004C54A4"/>
    <w:rsid w:val="004C676B"/>
    <w:rsid w:val="004D6392"/>
    <w:rsid w:val="004E11A1"/>
    <w:rsid w:val="004E1258"/>
    <w:rsid w:val="004E1A5D"/>
    <w:rsid w:val="004E5C2A"/>
    <w:rsid w:val="004E63A1"/>
    <w:rsid w:val="004E70F4"/>
    <w:rsid w:val="004F0E38"/>
    <w:rsid w:val="004F79F5"/>
    <w:rsid w:val="005077BC"/>
    <w:rsid w:val="00510ED7"/>
    <w:rsid w:val="00514C42"/>
    <w:rsid w:val="00516F1E"/>
    <w:rsid w:val="005216F2"/>
    <w:rsid w:val="00531BEF"/>
    <w:rsid w:val="00534C0D"/>
    <w:rsid w:val="00540D9B"/>
    <w:rsid w:val="00543BFF"/>
    <w:rsid w:val="00554446"/>
    <w:rsid w:val="00561606"/>
    <w:rsid w:val="0056589B"/>
    <w:rsid w:val="00570B05"/>
    <w:rsid w:val="005844BF"/>
    <w:rsid w:val="00584C17"/>
    <w:rsid w:val="005B34F2"/>
    <w:rsid w:val="005B4697"/>
    <w:rsid w:val="005D0751"/>
    <w:rsid w:val="005D4559"/>
    <w:rsid w:val="005E1D4C"/>
    <w:rsid w:val="005E237C"/>
    <w:rsid w:val="005E61CE"/>
    <w:rsid w:val="005F005E"/>
    <w:rsid w:val="005F55F4"/>
    <w:rsid w:val="005F7C9E"/>
    <w:rsid w:val="0060183F"/>
    <w:rsid w:val="00604F4A"/>
    <w:rsid w:val="00605238"/>
    <w:rsid w:val="00605C02"/>
    <w:rsid w:val="00615A9E"/>
    <w:rsid w:val="006219A1"/>
    <w:rsid w:val="00624FD8"/>
    <w:rsid w:val="00627AB5"/>
    <w:rsid w:val="00630C59"/>
    <w:rsid w:val="00633765"/>
    <w:rsid w:val="00634CF2"/>
    <w:rsid w:val="00650181"/>
    <w:rsid w:val="006525E1"/>
    <w:rsid w:val="00655434"/>
    <w:rsid w:val="006554F8"/>
    <w:rsid w:val="00664F3B"/>
    <w:rsid w:val="0067050D"/>
    <w:rsid w:val="006805B9"/>
    <w:rsid w:val="00680EF4"/>
    <w:rsid w:val="006840E6"/>
    <w:rsid w:val="006845E4"/>
    <w:rsid w:val="00693277"/>
    <w:rsid w:val="00693AB8"/>
    <w:rsid w:val="006959CD"/>
    <w:rsid w:val="006A4063"/>
    <w:rsid w:val="006B3F0A"/>
    <w:rsid w:val="006B428E"/>
    <w:rsid w:val="006B7D28"/>
    <w:rsid w:val="006C3F45"/>
    <w:rsid w:val="006C5BB8"/>
    <w:rsid w:val="006D5C9C"/>
    <w:rsid w:val="006D7E71"/>
    <w:rsid w:val="006E2EC0"/>
    <w:rsid w:val="006E5820"/>
    <w:rsid w:val="006E7F4C"/>
    <w:rsid w:val="006F199F"/>
    <w:rsid w:val="006F7501"/>
    <w:rsid w:val="00704059"/>
    <w:rsid w:val="0070560A"/>
    <w:rsid w:val="0071198A"/>
    <w:rsid w:val="0071460A"/>
    <w:rsid w:val="00715E37"/>
    <w:rsid w:val="00721169"/>
    <w:rsid w:val="00726B0F"/>
    <w:rsid w:val="00727B80"/>
    <w:rsid w:val="00741FAC"/>
    <w:rsid w:val="00744BDF"/>
    <w:rsid w:val="00746293"/>
    <w:rsid w:val="007474AF"/>
    <w:rsid w:val="0075029C"/>
    <w:rsid w:val="00752B89"/>
    <w:rsid w:val="0076063C"/>
    <w:rsid w:val="007625AA"/>
    <w:rsid w:val="0076434E"/>
    <w:rsid w:val="00765914"/>
    <w:rsid w:val="00771FFB"/>
    <w:rsid w:val="00776DF4"/>
    <w:rsid w:val="00791752"/>
    <w:rsid w:val="007A17EA"/>
    <w:rsid w:val="007A56D8"/>
    <w:rsid w:val="007A5BD8"/>
    <w:rsid w:val="007A71CE"/>
    <w:rsid w:val="007F192F"/>
    <w:rsid w:val="007F2325"/>
    <w:rsid w:val="008004D3"/>
    <w:rsid w:val="00811191"/>
    <w:rsid w:val="008134DF"/>
    <w:rsid w:val="00824E94"/>
    <w:rsid w:val="00830F10"/>
    <w:rsid w:val="008312BC"/>
    <w:rsid w:val="00833667"/>
    <w:rsid w:val="00837174"/>
    <w:rsid w:val="00845999"/>
    <w:rsid w:val="00854E17"/>
    <w:rsid w:val="00860003"/>
    <w:rsid w:val="00867E13"/>
    <w:rsid w:val="008715F3"/>
    <w:rsid w:val="00875A2F"/>
    <w:rsid w:val="008775AC"/>
    <w:rsid w:val="00881596"/>
    <w:rsid w:val="00881CE1"/>
    <w:rsid w:val="0089061E"/>
    <w:rsid w:val="00890B59"/>
    <w:rsid w:val="00891E2C"/>
    <w:rsid w:val="008922DB"/>
    <w:rsid w:val="0089368A"/>
    <w:rsid w:val="0089543B"/>
    <w:rsid w:val="008A480A"/>
    <w:rsid w:val="008A7AD6"/>
    <w:rsid w:val="008B1D2D"/>
    <w:rsid w:val="008B3B9F"/>
    <w:rsid w:val="008B6F96"/>
    <w:rsid w:val="008C2C87"/>
    <w:rsid w:val="008C64C6"/>
    <w:rsid w:val="008C7B1B"/>
    <w:rsid w:val="008C7EB4"/>
    <w:rsid w:val="008E7BD4"/>
    <w:rsid w:val="008E7C70"/>
    <w:rsid w:val="008F2F2D"/>
    <w:rsid w:val="008F45CA"/>
    <w:rsid w:val="008F5E96"/>
    <w:rsid w:val="008F632D"/>
    <w:rsid w:val="008F635B"/>
    <w:rsid w:val="00911510"/>
    <w:rsid w:val="009148E0"/>
    <w:rsid w:val="00915146"/>
    <w:rsid w:val="00916A86"/>
    <w:rsid w:val="00917EEE"/>
    <w:rsid w:val="009247EF"/>
    <w:rsid w:val="0092637A"/>
    <w:rsid w:val="009301F1"/>
    <w:rsid w:val="0093049A"/>
    <w:rsid w:val="00946CD6"/>
    <w:rsid w:val="00950FC7"/>
    <w:rsid w:val="0095434B"/>
    <w:rsid w:val="00954DB0"/>
    <w:rsid w:val="00955ADA"/>
    <w:rsid w:val="00956313"/>
    <w:rsid w:val="00956465"/>
    <w:rsid w:val="0096751B"/>
    <w:rsid w:val="00976B7E"/>
    <w:rsid w:val="009972D3"/>
    <w:rsid w:val="009A02CE"/>
    <w:rsid w:val="009A089A"/>
    <w:rsid w:val="009A1D2B"/>
    <w:rsid w:val="009A23A8"/>
    <w:rsid w:val="009A47B6"/>
    <w:rsid w:val="009A4CB0"/>
    <w:rsid w:val="009B004D"/>
    <w:rsid w:val="009B0EA5"/>
    <w:rsid w:val="009B62AA"/>
    <w:rsid w:val="009C13D2"/>
    <w:rsid w:val="009C1670"/>
    <w:rsid w:val="009C1B40"/>
    <w:rsid w:val="009D3E60"/>
    <w:rsid w:val="009D4C93"/>
    <w:rsid w:val="009D59C5"/>
    <w:rsid w:val="009D624F"/>
    <w:rsid w:val="009E3A4A"/>
    <w:rsid w:val="009E5D5B"/>
    <w:rsid w:val="009F0632"/>
    <w:rsid w:val="009F71A1"/>
    <w:rsid w:val="00A01434"/>
    <w:rsid w:val="00A030A5"/>
    <w:rsid w:val="00A04AB5"/>
    <w:rsid w:val="00A17BC3"/>
    <w:rsid w:val="00A21AA6"/>
    <w:rsid w:val="00A309C7"/>
    <w:rsid w:val="00A31CFA"/>
    <w:rsid w:val="00A41814"/>
    <w:rsid w:val="00A43F67"/>
    <w:rsid w:val="00A5069C"/>
    <w:rsid w:val="00A51EC5"/>
    <w:rsid w:val="00A52E78"/>
    <w:rsid w:val="00A54D88"/>
    <w:rsid w:val="00A56A98"/>
    <w:rsid w:val="00A6209D"/>
    <w:rsid w:val="00A62B5B"/>
    <w:rsid w:val="00A7044B"/>
    <w:rsid w:val="00A708B0"/>
    <w:rsid w:val="00A710B8"/>
    <w:rsid w:val="00A764BE"/>
    <w:rsid w:val="00A91E87"/>
    <w:rsid w:val="00AA0DBD"/>
    <w:rsid w:val="00AA7214"/>
    <w:rsid w:val="00AC1CA1"/>
    <w:rsid w:val="00AC44B4"/>
    <w:rsid w:val="00AD0609"/>
    <w:rsid w:val="00AD2E30"/>
    <w:rsid w:val="00AF0906"/>
    <w:rsid w:val="00AF2DF5"/>
    <w:rsid w:val="00AF39FE"/>
    <w:rsid w:val="00AF57FD"/>
    <w:rsid w:val="00B00B1D"/>
    <w:rsid w:val="00B065EC"/>
    <w:rsid w:val="00B12CD0"/>
    <w:rsid w:val="00B17581"/>
    <w:rsid w:val="00B211D6"/>
    <w:rsid w:val="00B31659"/>
    <w:rsid w:val="00B345D2"/>
    <w:rsid w:val="00B3534A"/>
    <w:rsid w:val="00B3587B"/>
    <w:rsid w:val="00B43FD6"/>
    <w:rsid w:val="00B5433E"/>
    <w:rsid w:val="00B571A9"/>
    <w:rsid w:val="00B71547"/>
    <w:rsid w:val="00B72464"/>
    <w:rsid w:val="00B81434"/>
    <w:rsid w:val="00B81A94"/>
    <w:rsid w:val="00B9026C"/>
    <w:rsid w:val="00B907F2"/>
    <w:rsid w:val="00B94A1F"/>
    <w:rsid w:val="00BA3CD7"/>
    <w:rsid w:val="00BA7F26"/>
    <w:rsid w:val="00BB1D47"/>
    <w:rsid w:val="00BC0127"/>
    <w:rsid w:val="00BC34B5"/>
    <w:rsid w:val="00BC578C"/>
    <w:rsid w:val="00BC6B4A"/>
    <w:rsid w:val="00BD2A72"/>
    <w:rsid w:val="00BD3F4F"/>
    <w:rsid w:val="00BD4E40"/>
    <w:rsid w:val="00BD5C54"/>
    <w:rsid w:val="00BE46E7"/>
    <w:rsid w:val="00BF08E5"/>
    <w:rsid w:val="00BF0CA1"/>
    <w:rsid w:val="00BF33CC"/>
    <w:rsid w:val="00C06D05"/>
    <w:rsid w:val="00C132DA"/>
    <w:rsid w:val="00C14BED"/>
    <w:rsid w:val="00C26609"/>
    <w:rsid w:val="00C34E8E"/>
    <w:rsid w:val="00C41742"/>
    <w:rsid w:val="00C4430C"/>
    <w:rsid w:val="00C513ED"/>
    <w:rsid w:val="00C57499"/>
    <w:rsid w:val="00C604CE"/>
    <w:rsid w:val="00C66A47"/>
    <w:rsid w:val="00C81782"/>
    <w:rsid w:val="00C84CE5"/>
    <w:rsid w:val="00C92B1F"/>
    <w:rsid w:val="00C94831"/>
    <w:rsid w:val="00C97AB8"/>
    <w:rsid w:val="00CA0E6C"/>
    <w:rsid w:val="00CA70F7"/>
    <w:rsid w:val="00CB2399"/>
    <w:rsid w:val="00CD1E27"/>
    <w:rsid w:val="00CD7825"/>
    <w:rsid w:val="00CE3D68"/>
    <w:rsid w:val="00CF0594"/>
    <w:rsid w:val="00CF37E5"/>
    <w:rsid w:val="00D01D2B"/>
    <w:rsid w:val="00D0237B"/>
    <w:rsid w:val="00D03D44"/>
    <w:rsid w:val="00D058B2"/>
    <w:rsid w:val="00D0612E"/>
    <w:rsid w:val="00D11857"/>
    <w:rsid w:val="00D1739B"/>
    <w:rsid w:val="00D17F5B"/>
    <w:rsid w:val="00D209FA"/>
    <w:rsid w:val="00D249E3"/>
    <w:rsid w:val="00D31FDE"/>
    <w:rsid w:val="00D34632"/>
    <w:rsid w:val="00D34A3B"/>
    <w:rsid w:val="00D37C29"/>
    <w:rsid w:val="00D442B8"/>
    <w:rsid w:val="00D44597"/>
    <w:rsid w:val="00D4729E"/>
    <w:rsid w:val="00D55E02"/>
    <w:rsid w:val="00D60095"/>
    <w:rsid w:val="00D64367"/>
    <w:rsid w:val="00D64815"/>
    <w:rsid w:val="00D73565"/>
    <w:rsid w:val="00D833D2"/>
    <w:rsid w:val="00D871C1"/>
    <w:rsid w:val="00D873A0"/>
    <w:rsid w:val="00D960CF"/>
    <w:rsid w:val="00D96967"/>
    <w:rsid w:val="00DA231C"/>
    <w:rsid w:val="00DA2E45"/>
    <w:rsid w:val="00DA5CCF"/>
    <w:rsid w:val="00DB4DE7"/>
    <w:rsid w:val="00DC1256"/>
    <w:rsid w:val="00DC287C"/>
    <w:rsid w:val="00DC641E"/>
    <w:rsid w:val="00DD3EAC"/>
    <w:rsid w:val="00DD4298"/>
    <w:rsid w:val="00DD4FB9"/>
    <w:rsid w:val="00DE48D1"/>
    <w:rsid w:val="00DF44E5"/>
    <w:rsid w:val="00DF5F35"/>
    <w:rsid w:val="00E015B7"/>
    <w:rsid w:val="00E02C8D"/>
    <w:rsid w:val="00E12FA6"/>
    <w:rsid w:val="00E3161A"/>
    <w:rsid w:val="00E35AA4"/>
    <w:rsid w:val="00E41D0E"/>
    <w:rsid w:val="00E43029"/>
    <w:rsid w:val="00E46787"/>
    <w:rsid w:val="00E47AC7"/>
    <w:rsid w:val="00E5119F"/>
    <w:rsid w:val="00E51E06"/>
    <w:rsid w:val="00E525BE"/>
    <w:rsid w:val="00E536EA"/>
    <w:rsid w:val="00E6133F"/>
    <w:rsid w:val="00E61F41"/>
    <w:rsid w:val="00E63095"/>
    <w:rsid w:val="00E64960"/>
    <w:rsid w:val="00E659D6"/>
    <w:rsid w:val="00E80E2B"/>
    <w:rsid w:val="00E8343B"/>
    <w:rsid w:val="00E86771"/>
    <w:rsid w:val="00E90AC8"/>
    <w:rsid w:val="00E925C3"/>
    <w:rsid w:val="00E95A20"/>
    <w:rsid w:val="00E95F52"/>
    <w:rsid w:val="00EA001E"/>
    <w:rsid w:val="00EA44B2"/>
    <w:rsid w:val="00EB03F4"/>
    <w:rsid w:val="00EB08FF"/>
    <w:rsid w:val="00EB3B4B"/>
    <w:rsid w:val="00EB60D4"/>
    <w:rsid w:val="00EC61FA"/>
    <w:rsid w:val="00ED45E7"/>
    <w:rsid w:val="00EE5134"/>
    <w:rsid w:val="00EF2A2F"/>
    <w:rsid w:val="00EF4299"/>
    <w:rsid w:val="00EF6C82"/>
    <w:rsid w:val="00F26F18"/>
    <w:rsid w:val="00F3147C"/>
    <w:rsid w:val="00F321EE"/>
    <w:rsid w:val="00F35C1F"/>
    <w:rsid w:val="00F416AE"/>
    <w:rsid w:val="00F45215"/>
    <w:rsid w:val="00F46FC9"/>
    <w:rsid w:val="00F551A4"/>
    <w:rsid w:val="00F64800"/>
    <w:rsid w:val="00F66D32"/>
    <w:rsid w:val="00F73BDD"/>
    <w:rsid w:val="00F74129"/>
    <w:rsid w:val="00F77208"/>
    <w:rsid w:val="00F80DAD"/>
    <w:rsid w:val="00F82282"/>
    <w:rsid w:val="00F86425"/>
    <w:rsid w:val="00F8764C"/>
    <w:rsid w:val="00FA0FD4"/>
    <w:rsid w:val="00FA33DD"/>
    <w:rsid w:val="00FA4617"/>
    <w:rsid w:val="00FB6EAD"/>
    <w:rsid w:val="00FD0640"/>
    <w:rsid w:val="00FD0E0F"/>
    <w:rsid w:val="00FD3788"/>
    <w:rsid w:val="00FE0284"/>
    <w:rsid w:val="00FE5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92ED151"/>
  <w15:docId w15:val="{4167CDF1-FDAC-402F-8503-C48DBFEF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
    <w:basedOn w:val="Normal"/>
    <w:link w:val="Heading1Char1"/>
    <w:qFormat/>
    <w:pPr>
      <w:widowControl w:val="0"/>
      <w:numPr>
        <w:numId w:val="1"/>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BodyText"/>
    <w:qFormat/>
    <w:pPr>
      <w:keepNext/>
      <w:widowControl w:val="0"/>
      <w:spacing w:before="120" w:after="80" w:line="240" w:lineRule="atLeast"/>
      <w:jc w:val="both"/>
      <w:outlineLvl w:val="3"/>
    </w:pPr>
    <w:rPr>
      <w:rFonts w:ascii="Book Antiqua" w:hAnsi="Book Antiqua"/>
      <w:b/>
      <w:i/>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BodyText">
    <w:name w:val="Body Text"/>
    <w:basedOn w:val="Normal"/>
    <w:rPr>
      <w:rFonts w:ascii="Georgia" w:hAnsi="Georgia"/>
      <w:b/>
      <w:sz w:val="28"/>
      <w:szCs w:val="20"/>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pPr>
      <w:widowControl w:val="0"/>
      <w:spacing w:after="240" w:line="480" w:lineRule="atLeast"/>
      <w:ind w:left="720"/>
      <w:jc w:val="both"/>
    </w:pPr>
    <w:rPr>
      <w:rFonts w:ascii="Book Antiqua" w:hAnsi="Book Antiqua"/>
      <w:szCs w:val="20"/>
    </w:rPr>
  </w:style>
  <w:style w:type="paragraph" w:styleId="FootnoteText">
    <w:name w:val="footnote text"/>
    <w:basedOn w:val="Normal"/>
    <w:link w:val="FootnoteTextChar"/>
    <w:uiPriority w:val="99"/>
    <w:semiHidden/>
    <w:rsid w:val="00DA2E45"/>
    <w:pPr>
      <w:widowControl w:val="0"/>
      <w:spacing w:line="240" w:lineRule="atLeast"/>
      <w:jc w:val="both"/>
    </w:pPr>
    <w:rPr>
      <w:rFonts w:ascii="Book Antiqua" w:hAnsi="Book Antiqua"/>
      <w:sz w:val="20"/>
      <w:szCs w:val="20"/>
    </w:rPr>
  </w:style>
  <w:style w:type="character" w:styleId="FootnoteReference">
    <w:name w:val="footnote reference"/>
    <w:uiPriority w:val="99"/>
    <w:semiHidden/>
    <w:rsid w:val="00DA2E45"/>
    <w:rPr>
      <w:vertAlign w:val="superscript"/>
    </w:rPr>
  </w:style>
  <w:style w:type="paragraph" w:customStyle="1" w:styleId="Catchwords">
    <w:name w:val="Catchwords"/>
    <w:basedOn w:val="Normal"/>
    <w:rsid w:val="009E5D5B"/>
    <w:pPr>
      <w:widowControl w:val="0"/>
      <w:jc w:val="both"/>
    </w:pPr>
    <w:rPr>
      <w:rFonts w:ascii="Book Antiqua" w:hAnsi="Book Antiqua"/>
      <w:szCs w:val="20"/>
      <w:lang w:eastAsia="en-AU"/>
    </w:rPr>
  </w:style>
  <w:style w:type="character" w:customStyle="1" w:styleId="Heading1Char1">
    <w:name w:val="Heading 1 Char1"/>
    <w:aliases w:val="Heading 1 Char Char"/>
    <w:link w:val="Heading1"/>
    <w:rsid w:val="005E1D4C"/>
    <w:rPr>
      <w:rFonts w:ascii="Book Antiqua" w:hAnsi="Book Antiqua"/>
      <w:kern w:val="28"/>
      <w:sz w:val="24"/>
      <w:lang w:val="en-AU" w:eastAsia="en-US" w:bidi="ar-SA"/>
    </w:rPr>
  </w:style>
  <w:style w:type="paragraph" w:customStyle="1" w:styleId="Footer-Web">
    <w:name w:val="Footer-Web"/>
    <w:basedOn w:val="Footer"/>
    <w:rsid w:val="005E1D4C"/>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rsid w:val="00AD2E30"/>
    <w:pPr>
      <w:widowControl w:val="0"/>
    </w:pPr>
    <w:rPr>
      <w:rFonts w:ascii="Book Antiqua" w:hAnsi="Book Antiqua"/>
      <w:szCs w:val="20"/>
    </w:rPr>
  </w:style>
  <w:style w:type="character" w:customStyle="1" w:styleId="Quote1Char">
    <w:name w:val="Quote1 Char"/>
    <w:link w:val="Quote1"/>
    <w:rsid w:val="004321F7"/>
    <w:rPr>
      <w:rFonts w:ascii="Book Antiqua" w:hAnsi="Book Antiqua"/>
      <w:sz w:val="24"/>
      <w:lang w:val="en-AU" w:eastAsia="en-US" w:bidi="ar-SA"/>
    </w:rPr>
  </w:style>
  <w:style w:type="character" w:customStyle="1" w:styleId="FootnoteTextChar">
    <w:name w:val="Footnote Text Char"/>
    <w:link w:val="FootnoteText"/>
    <w:uiPriority w:val="99"/>
    <w:locked/>
    <w:rsid w:val="004321F7"/>
    <w:rPr>
      <w:rFonts w:ascii="Book Antiqua" w:hAnsi="Book Antiqua"/>
      <w:lang w:val="en-AU" w:eastAsia="en-US" w:bidi="ar-SA"/>
    </w:rPr>
  </w:style>
  <w:style w:type="paragraph" w:customStyle="1" w:styleId="Level2">
    <w:name w:val="Level 2"/>
    <w:basedOn w:val="Normal"/>
    <w:next w:val="Heading1"/>
    <w:rsid w:val="00DF5F35"/>
    <w:pPr>
      <w:widowControl w:val="0"/>
      <w:spacing w:before="240"/>
      <w:ind w:left="720"/>
      <w:jc w:val="both"/>
    </w:pPr>
    <w:rPr>
      <w:rFonts w:ascii="Book Antiqua" w:hAnsi="Book Antiqua"/>
      <w:b/>
      <w:szCs w:val="20"/>
    </w:rPr>
  </w:style>
  <w:style w:type="paragraph" w:customStyle="1" w:styleId="DraftHeading2">
    <w:name w:val="Draft Heading 2"/>
    <w:basedOn w:val="Normal"/>
    <w:next w:val="Normal"/>
    <w:link w:val="DraftHeading2Char"/>
    <w:rsid w:val="00BF08E5"/>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BF08E5"/>
    <w:pPr>
      <w:overflowPunct w:val="0"/>
      <w:autoSpaceDE w:val="0"/>
      <w:autoSpaceDN w:val="0"/>
      <w:adjustRightInd w:val="0"/>
      <w:spacing w:before="120"/>
      <w:textAlignment w:val="baseline"/>
    </w:pPr>
    <w:rPr>
      <w:szCs w:val="20"/>
    </w:rPr>
  </w:style>
  <w:style w:type="paragraph" w:customStyle="1" w:styleId="SideNote">
    <w:name w:val="Side Note"/>
    <w:basedOn w:val="Normal"/>
    <w:rsid w:val="00BF08E5"/>
    <w:pPr>
      <w:framePr w:w="964" w:h="340" w:hSpace="181" w:vSpace="181"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2Char">
    <w:name w:val="Draft Heading 2 Char"/>
    <w:link w:val="DraftHeading2"/>
    <w:locked/>
    <w:rsid w:val="00BF08E5"/>
    <w:rPr>
      <w:sz w:val="24"/>
      <w:lang w:eastAsia="en-US"/>
    </w:rPr>
  </w:style>
  <w:style w:type="paragraph" w:customStyle="1" w:styleId="DraftHeading1">
    <w:name w:val="Draft Heading 1"/>
    <w:basedOn w:val="Normal"/>
    <w:next w:val="Normal"/>
    <w:link w:val="DraftHeading1Char"/>
    <w:rsid w:val="00837174"/>
    <w:pPr>
      <w:overflowPunct w:val="0"/>
      <w:autoSpaceDE w:val="0"/>
      <w:autoSpaceDN w:val="0"/>
      <w:adjustRightInd w:val="0"/>
      <w:spacing w:before="120"/>
      <w:textAlignment w:val="baseline"/>
      <w:outlineLvl w:val="2"/>
    </w:pPr>
    <w:rPr>
      <w:b/>
      <w:szCs w:val="20"/>
    </w:rPr>
  </w:style>
  <w:style w:type="character" w:customStyle="1" w:styleId="DraftHeading1Char">
    <w:name w:val="Draft Heading 1 Char"/>
    <w:link w:val="DraftHeading1"/>
    <w:locked/>
    <w:rsid w:val="00837174"/>
    <w:rPr>
      <w:b/>
      <w:sz w:val="24"/>
      <w:lang w:eastAsia="en-US"/>
    </w:rPr>
  </w:style>
  <w:style w:type="table" w:customStyle="1" w:styleId="TableGrid">
    <w:name w:val="TableGrid"/>
    <w:rsid w:val="008C2C87"/>
    <w:rPr>
      <w:rFonts w:ascii="Calibri" w:hAnsi="Calibri"/>
      <w:sz w:val="22"/>
      <w:szCs w:val="22"/>
    </w:rPr>
    <w:tblPr>
      <w:tblCellMar>
        <w:top w:w="0" w:type="dxa"/>
        <w:left w:w="0" w:type="dxa"/>
        <w:bottom w:w="0" w:type="dxa"/>
        <w:right w:w="0" w:type="dxa"/>
      </w:tblCellMar>
    </w:tblPr>
  </w:style>
  <w:style w:type="character" w:styleId="Hyperlink">
    <w:name w:val="Hyperlink"/>
    <w:rsid w:val="006C5BB8"/>
    <w:rPr>
      <w:color w:val="0563C1"/>
      <w:u w:val="single"/>
    </w:rPr>
  </w:style>
  <w:style w:type="character" w:styleId="UnresolvedMention">
    <w:name w:val="Unresolved Mention"/>
    <w:uiPriority w:val="99"/>
    <w:semiHidden/>
    <w:unhideWhenUsed/>
    <w:rsid w:val="006C5BB8"/>
    <w:rPr>
      <w:color w:val="605E5C"/>
      <w:shd w:val="clear" w:color="auto" w:fill="E1DFDD"/>
    </w:rPr>
  </w:style>
  <w:style w:type="character" w:styleId="FollowedHyperlink">
    <w:name w:val="FollowedHyperlink"/>
    <w:rsid w:val="006C5BB8"/>
    <w:rPr>
      <w:color w:val="954F72"/>
      <w:u w:val="single"/>
    </w:rPr>
  </w:style>
  <w:style w:type="paragraph" w:styleId="ListParagraph">
    <w:name w:val="List Paragraph"/>
    <w:basedOn w:val="Normal"/>
    <w:uiPriority w:val="34"/>
    <w:qFormat/>
    <w:rsid w:val="008E7C70"/>
    <w:pPr>
      <w:spacing w:after="138" w:line="248" w:lineRule="auto"/>
      <w:ind w:left="720" w:firstLine="5"/>
      <w:contextualSpacing/>
    </w:pPr>
    <w:rPr>
      <w:rFonts w:ascii="Tahoma" w:eastAsia="Tahoma" w:hAnsi="Tahoma" w:cs="Tahoma"/>
      <w:color w:val="000000"/>
      <w:sz w:val="22"/>
      <w:szCs w:val="22"/>
      <w:lang w:eastAsia="en-AU"/>
    </w:rPr>
  </w:style>
  <w:style w:type="paragraph" w:customStyle="1" w:styleId="xmsonormal">
    <w:name w:val="x_msonormal"/>
    <w:basedOn w:val="Normal"/>
    <w:rsid w:val="002D2555"/>
    <w:rPr>
      <w:rFonts w:ascii="Calibri" w:eastAsiaTheme="minorHAnsi" w:hAnsi="Calibri" w:cs="Calibri"/>
      <w:sz w:val="22"/>
      <w:szCs w:val="22"/>
      <w:lang w:eastAsia="en-AU"/>
    </w:rPr>
  </w:style>
  <w:style w:type="paragraph" w:customStyle="1" w:styleId="BodySectionSub">
    <w:name w:val="Body Section (Sub)"/>
    <w:next w:val="Normal"/>
    <w:link w:val="BodySectionSubChar"/>
    <w:rsid w:val="008E7BD4"/>
    <w:pPr>
      <w:overflowPunct w:val="0"/>
      <w:autoSpaceDE w:val="0"/>
      <w:autoSpaceDN w:val="0"/>
      <w:adjustRightInd w:val="0"/>
      <w:spacing w:before="120"/>
      <w:ind w:left="1361"/>
      <w:textAlignment w:val="baseline"/>
    </w:pPr>
    <w:rPr>
      <w:sz w:val="24"/>
      <w:lang w:eastAsia="en-US"/>
    </w:rPr>
  </w:style>
  <w:style w:type="paragraph" w:customStyle="1" w:styleId="DraftHeading4">
    <w:name w:val="Draft Heading 4"/>
    <w:basedOn w:val="Normal"/>
    <w:next w:val="Normal"/>
    <w:rsid w:val="008E7BD4"/>
    <w:pPr>
      <w:overflowPunct w:val="0"/>
      <w:autoSpaceDE w:val="0"/>
      <w:autoSpaceDN w:val="0"/>
      <w:adjustRightInd w:val="0"/>
      <w:spacing w:before="120"/>
      <w:textAlignment w:val="baseline"/>
    </w:pPr>
    <w:rPr>
      <w:szCs w:val="20"/>
    </w:rPr>
  </w:style>
  <w:style w:type="character" w:customStyle="1" w:styleId="BodySectionSubChar">
    <w:name w:val="Body Section (Sub) Char"/>
    <w:basedOn w:val="DefaultParagraphFont"/>
    <w:link w:val="BodySectionSub"/>
    <w:rsid w:val="008E7BD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22033">
      <w:bodyDiv w:val="1"/>
      <w:marLeft w:val="0"/>
      <w:marRight w:val="0"/>
      <w:marTop w:val="0"/>
      <w:marBottom w:val="0"/>
      <w:divBdr>
        <w:top w:val="none" w:sz="0" w:space="0" w:color="auto"/>
        <w:left w:val="none" w:sz="0" w:space="0" w:color="auto"/>
        <w:bottom w:val="none" w:sz="0" w:space="0" w:color="auto"/>
        <w:right w:val="none" w:sz="0" w:space="0" w:color="auto"/>
      </w:divBdr>
    </w:div>
    <w:div w:id="378169292">
      <w:bodyDiv w:val="1"/>
      <w:marLeft w:val="0"/>
      <w:marRight w:val="0"/>
      <w:marTop w:val="0"/>
      <w:marBottom w:val="0"/>
      <w:divBdr>
        <w:top w:val="none" w:sz="0" w:space="0" w:color="auto"/>
        <w:left w:val="none" w:sz="0" w:space="0" w:color="auto"/>
        <w:bottom w:val="none" w:sz="0" w:space="0" w:color="auto"/>
        <w:right w:val="none" w:sz="0" w:space="0" w:color="auto"/>
      </w:divBdr>
    </w:div>
    <w:div w:id="1531605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3B687-11CD-4F90-947B-FBA0B432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27375</Words>
  <Characters>132496</Characters>
  <Application>Microsoft Office Word</Application>
  <DocSecurity>0</DocSecurity>
  <Lines>2453</Lines>
  <Paragraphs>1031</Paragraphs>
  <ScaleCrop>false</ScaleCrop>
  <HeadingPairs>
    <vt:vector size="2" baseType="variant">
      <vt:variant>
        <vt:lpstr>Title</vt:lpstr>
      </vt:variant>
      <vt:variant>
        <vt:i4>1</vt:i4>
      </vt:variant>
    </vt:vector>
  </HeadingPairs>
  <TitlesOfParts>
    <vt:vector size="1" baseType="lpstr">
      <vt:lpstr>8</vt:lpstr>
    </vt:vector>
  </TitlesOfParts>
  <Company/>
  <LinksUpToDate>false</LinksUpToDate>
  <CharactersWithSpaces>158840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Peter Power</dc:creator>
  <cp:keywords/>
  <dc:description/>
  <cp:lastModifiedBy>Peter Power (CSV)</cp:lastModifiedBy>
  <cp:revision>2</cp:revision>
  <cp:lastPrinted>2025-09-11T05:51:00Z</cp:lastPrinted>
  <dcterms:created xsi:type="dcterms:W3CDTF">2026-02-12T21:15:00Z</dcterms:created>
  <dcterms:modified xsi:type="dcterms:W3CDTF">2026-02-12T21:15:00Z</dcterms:modified>
</cp:coreProperties>
</file>