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5DD63138"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2DF6D4C8"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w:t>
        </w:r>
        <w:r w:rsidR="006200EC">
          <w:rPr>
            <w:rStyle w:val="Hyperlink"/>
            <w:rFonts w:ascii="Arial" w:hAnsi="Arial" w:cs="Arial"/>
            <w:b/>
            <w:bCs/>
            <w:sz w:val="20"/>
            <w:u w:val="none"/>
          </w:rPr>
          <w:t xml:space="preserve">including those </w:t>
        </w:r>
        <w:r w:rsidR="00E31386" w:rsidRPr="00FA71D1">
          <w:rPr>
            <w:rStyle w:val="Hyperlink"/>
            <w:rFonts w:ascii="Arial" w:hAnsi="Arial" w:cs="Arial"/>
            <w:b/>
            <w:bCs/>
            <w:sz w:val="20"/>
            <w:u w:val="none"/>
          </w:rPr>
          <w:t xml:space="preserve">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 xml:space="preserve">Power to prevent an abuse of the Court’s own judicial </w:t>
        </w:r>
        <w:r w:rsidR="004618DC">
          <w:rPr>
            <w:rStyle w:val="Hyperlink"/>
            <w:rFonts w:ascii="Arial" w:hAnsi="Arial" w:cs="Arial"/>
            <w:b/>
            <w:bCs/>
            <w:sz w:val="20"/>
            <w:u w:val="none"/>
          </w:rPr>
          <w:t>process</w:t>
        </w:r>
      </w:hyperlink>
    </w:p>
    <w:p w14:paraId="47D84908"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 judicata &amp; cause of action, issue, claim or Anshun estoppel</w:t>
        </w:r>
      </w:hyperlink>
    </w:p>
    <w:p w14:paraId="4F769737"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Requirement of leave by CCV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3.3.4.4  Implied</w:t>
        </w:r>
        <w:proofErr w:type="gramEnd"/>
        <w:r w:rsidRPr="00756901">
          <w:rPr>
            <w:rStyle w:val="Hyperlink"/>
            <w:rFonts w:ascii="Arial" w:hAnsi="Arial" w:cs="Arial"/>
            <w:b/>
            <w:bCs/>
            <w:sz w:val="20"/>
            <w:u w:val="none"/>
          </w:rPr>
          <w:t xml:space="preserve">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4DA581A9" w14:textId="5A2CEAF5" w:rsidR="004E6F29" w:rsidRPr="00756901" w:rsidRDefault="004E6F29" w:rsidP="004E6F29">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5_Power_to"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w:t>
        </w:r>
        <w:r>
          <w:rPr>
            <w:rStyle w:val="Hyperlink"/>
            <w:rFonts w:ascii="Arial" w:hAnsi="Arial" w:cs="Arial"/>
            <w:b/>
            <w:bCs/>
            <w:sz w:val="20"/>
            <w:u w:val="none"/>
          </w:rPr>
          <w:t>5</w:t>
        </w:r>
        <w:r w:rsidRPr="00756901">
          <w:rPr>
            <w:rStyle w:val="Hyperlink"/>
            <w:rFonts w:ascii="Arial" w:hAnsi="Arial" w:cs="Arial"/>
            <w:b/>
            <w:bCs/>
            <w:sz w:val="20"/>
            <w:u w:val="none"/>
          </w:rPr>
          <w:t xml:space="preserve">  </w:t>
        </w:r>
        <w:r>
          <w:rPr>
            <w:rStyle w:val="Hyperlink"/>
            <w:rFonts w:ascii="Arial" w:hAnsi="Arial" w:cs="Arial"/>
            <w:b/>
            <w:bCs/>
            <w:sz w:val="20"/>
            <w:u w:val="none"/>
          </w:rPr>
          <w:t>P</w:t>
        </w:r>
        <w:r w:rsidRPr="00756901">
          <w:rPr>
            <w:rStyle w:val="Hyperlink"/>
            <w:rFonts w:ascii="Arial" w:hAnsi="Arial" w:cs="Arial"/>
            <w:b/>
            <w:bCs/>
            <w:sz w:val="20"/>
            <w:u w:val="none"/>
          </w:rPr>
          <w:t>ower</w:t>
        </w:r>
        <w:proofErr w:type="gramEnd"/>
        <w:r w:rsidRPr="00756901">
          <w:rPr>
            <w:rStyle w:val="Hyperlink"/>
            <w:rFonts w:ascii="Arial" w:hAnsi="Arial" w:cs="Arial"/>
            <w:b/>
            <w:bCs/>
            <w:sz w:val="20"/>
            <w:u w:val="none"/>
          </w:rPr>
          <w:t xml:space="preserve"> to </w:t>
        </w:r>
        <w:r>
          <w:rPr>
            <w:rStyle w:val="Hyperlink"/>
            <w:rFonts w:ascii="Arial" w:hAnsi="Arial" w:cs="Arial"/>
            <w:b/>
            <w:bCs/>
            <w:sz w:val="20"/>
            <w:u w:val="none"/>
          </w:rPr>
          <w:t xml:space="preserve">dismiss </w:t>
        </w:r>
        <w:r w:rsidRPr="00756901">
          <w:rPr>
            <w:rStyle w:val="Hyperlink"/>
            <w:rFonts w:ascii="Arial" w:hAnsi="Arial" w:cs="Arial"/>
            <w:b/>
            <w:bCs/>
            <w:sz w:val="20"/>
            <w:u w:val="none"/>
          </w:rPr>
          <w:t>a</w:t>
        </w:r>
        <w:r>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t>
        </w:r>
        <w:r>
          <w:rPr>
            <w:rStyle w:val="Hyperlink"/>
            <w:rFonts w:ascii="Arial" w:hAnsi="Arial" w:cs="Arial"/>
            <w:b/>
            <w:bCs/>
            <w:sz w:val="20"/>
            <w:u w:val="none"/>
          </w:rPr>
          <w:t>for want of prosecution</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282F7857"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 xml:space="preserve">Duty of </w:t>
        </w:r>
        <w:r>
          <w:rPr>
            <w:rStyle w:val="Hyperlink"/>
            <w:rFonts w:ascii="Arial" w:hAnsi="Arial" w:cs="Arial"/>
            <w:b/>
            <w:sz w:val="20"/>
            <w:u w:val="none"/>
          </w:rPr>
          <w:t>legal representative</w:t>
        </w:r>
        <w:r w:rsidR="00CD6643">
          <w:rPr>
            <w:rStyle w:val="Hyperlink"/>
            <w:rFonts w:ascii="Arial" w:hAnsi="Arial" w:cs="Arial"/>
            <w:b/>
            <w:sz w:val="20"/>
            <w:u w:val="none"/>
          </w:rPr>
          <w:t xml:space="preserve">s (including </w:t>
        </w:r>
        <w:r w:rsidR="00F17748">
          <w:rPr>
            <w:rStyle w:val="Hyperlink"/>
            <w:rFonts w:ascii="Arial" w:hAnsi="Arial" w:cs="Arial"/>
            <w:b/>
            <w:sz w:val="20"/>
            <w:u w:val="none"/>
          </w:rPr>
          <w:t>re</w:t>
        </w:r>
        <w:r w:rsidR="00CD2D09">
          <w:rPr>
            <w:rStyle w:val="Hyperlink"/>
            <w:rFonts w:ascii="Arial" w:hAnsi="Arial" w:cs="Arial"/>
            <w:b/>
            <w:sz w:val="20"/>
            <w:u w:val="none"/>
          </w:rPr>
          <w:t xml:space="preserve"> the </w:t>
        </w:r>
        <w:r w:rsidR="00CD6643">
          <w:rPr>
            <w:rStyle w:val="Hyperlink"/>
            <w:rFonts w:ascii="Arial" w:hAnsi="Arial" w:cs="Arial"/>
            <w:b/>
            <w:sz w:val="20"/>
            <w:u w:val="none"/>
          </w:rPr>
          <w:t xml:space="preserve">use of AI </w:t>
        </w:r>
        <w:r w:rsidR="00CD2D09">
          <w:rPr>
            <w:rStyle w:val="Hyperlink"/>
            <w:rFonts w:ascii="Arial" w:hAnsi="Arial" w:cs="Arial"/>
            <w:b/>
            <w:sz w:val="20"/>
            <w:u w:val="none"/>
          </w:rPr>
          <w:t>for</w:t>
        </w:r>
        <w:r w:rsidR="00CD6643">
          <w:rPr>
            <w:rStyle w:val="Hyperlink"/>
            <w:rFonts w:ascii="Arial" w:hAnsi="Arial" w:cs="Arial"/>
            <w:b/>
            <w:sz w:val="20"/>
            <w:u w:val="none"/>
          </w:rPr>
          <w:t xml:space="preserve"> creation of documents)</w:t>
        </w:r>
      </w:hyperlink>
    </w:p>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5_What_happens_1" w:history="1">
        <w:r w:rsidRPr="0022246F">
          <w:rPr>
            <w:rStyle w:val="Hyperlink"/>
            <w:rFonts w:ascii="Arial" w:hAnsi="Arial" w:cs="Arial"/>
            <w:b/>
            <w:bCs/>
            <w:u w:val="none"/>
          </w:rPr>
          <w:t>3.5</w:t>
        </w:r>
        <w:r w:rsidRPr="0022246F">
          <w:rPr>
            <w:rStyle w:val="Hyperlink"/>
            <w:rFonts w:ascii="Arial" w:hAnsi="Arial" w:cs="Arial"/>
            <w:b/>
            <w:bCs/>
            <w:u w:val="none"/>
          </w:rPr>
          <w:tab/>
          <w:t>What happens in Court</w:t>
        </w:r>
      </w:hyperlink>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3.5.3.2  </w:t>
        </w:r>
        <w:r w:rsidR="007C1C82" w:rsidRPr="00FD5828">
          <w:rPr>
            <w:rStyle w:val="Hyperlink"/>
            <w:rFonts w:ascii="Arial" w:hAnsi="Arial" w:cs="Arial"/>
            <w:b/>
            <w:bCs/>
            <w:sz w:val="20"/>
            <w:u w:val="none"/>
          </w:rPr>
          <w:t>Admissibility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3.5.3.3  </w:t>
        </w:r>
        <w:r w:rsidR="007C1C82" w:rsidRPr="00FD5828">
          <w:rPr>
            <w:rStyle w:val="Hyperlink"/>
            <w:rFonts w:ascii="Arial" w:hAnsi="Arial" w:cs="Arial"/>
            <w:b/>
            <w:bCs/>
            <w:sz w:val="20"/>
            <w:u w:val="none"/>
          </w:rPr>
          <w:t>Admissibility of evidence in a Family Division case</w:t>
        </w:r>
      </w:hyperlink>
    </w:p>
    <w:p w14:paraId="05952FB9" w14:textId="408FE0B5"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t xml:space="preserve">3.5.3.4  </w:t>
        </w:r>
        <w:r w:rsidR="007C1C82" w:rsidRPr="0022246F">
          <w:rPr>
            <w:rStyle w:val="Hyperlink"/>
            <w:rFonts w:ascii="Arial" w:hAnsi="Arial" w:cs="Arial"/>
            <w:b/>
            <w:sz w:val="20"/>
            <w:u w:val="none"/>
          </w:rPr>
          <w:t>The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t>3.5.3.</w:t>
        </w:r>
        <w:r>
          <w:rPr>
            <w:rStyle w:val="Hyperlink"/>
            <w:rFonts w:ascii="Arial" w:hAnsi="Arial" w:cs="Arial"/>
            <w:b/>
            <w:color w:val="0033CC"/>
            <w:sz w:val="20"/>
            <w:u w:val="none"/>
          </w:rPr>
          <w:t>5</w:t>
        </w:r>
        <w:r w:rsidRPr="00106472">
          <w:rPr>
            <w:rStyle w:val="Hyperlink"/>
            <w:rFonts w:ascii="Arial" w:hAnsi="Arial" w:cs="Arial"/>
            <w:b/>
            <w:color w:val="0033CC"/>
            <w:sz w:val="20"/>
            <w:u w:val="none"/>
          </w:rPr>
          <w:t xml:space="preserve">  </w:t>
        </w:r>
        <w:r w:rsidR="00E02733">
          <w:rPr>
            <w:rStyle w:val="Hyperlink"/>
            <w:rFonts w:ascii="Arial" w:hAnsi="Arial" w:cs="Arial"/>
            <w:b/>
            <w:bCs/>
            <w:color w:val="0033CC"/>
            <w:sz w:val="20"/>
            <w:u w:val="none"/>
          </w:rPr>
          <w:t>E</w:t>
        </w:r>
        <w:r>
          <w:rPr>
            <w:rStyle w:val="Hyperlink"/>
            <w:rFonts w:ascii="Arial" w:hAnsi="Arial" w:cs="Arial"/>
            <w:b/>
            <w:color w:val="0033CC"/>
            <w:sz w:val="20"/>
            <w:u w:val="none"/>
          </w:rPr>
          <w:t xml:space="preserve">xpert </w:t>
        </w:r>
        <w:r w:rsidRPr="00106472">
          <w:rPr>
            <w:rStyle w:val="Hyperlink"/>
            <w:rFonts w:ascii="Arial" w:hAnsi="Arial" w:cs="Arial"/>
            <w:b/>
            <w:color w:val="0033CC"/>
            <w:sz w:val="20"/>
            <w:u w:val="none"/>
          </w:rPr>
          <w:t>evidenc</w:t>
        </w:r>
        <w:r w:rsidR="00346B40">
          <w:rPr>
            <w:rStyle w:val="Hyperlink"/>
            <w:rFonts w:ascii="Arial" w:hAnsi="Arial" w:cs="Arial"/>
            <w:b/>
            <w:color w:val="0033CC"/>
            <w:sz w:val="20"/>
            <w:u w:val="none"/>
          </w:rPr>
          <w:t>e/Opinion evidenc</w:t>
        </w:r>
        <w:r w:rsidRPr="00106472">
          <w:rPr>
            <w:rStyle w:val="Hyperlink"/>
            <w:rFonts w:ascii="Arial" w:hAnsi="Arial" w:cs="Arial"/>
            <w:b/>
            <w:color w:val="0033CC"/>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 xml:space="preserve">Conflicting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.1  The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3.5.5.1  </w:t>
        </w:r>
        <w:r w:rsidR="00120AA9" w:rsidRPr="00BA5B6D">
          <w:rPr>
            <w:rFonts w:ascii="Arial" w:hAnsi="Arial" w:cs="Arial"/>
            <w:b/>
            <w:color w:val="0000FF"/>
            <w:sz w:val="20"/>
          </w:rPr>
          <w:t>Use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3.5.6.1  The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3.5.9.1  </w:t>
        </w:r>
        <w:r w:rsidR="008A5C71" w:rsidRPr="00FD5828">
          <w:rPr>
            <w:rStyle w:val="Hyperlink"/>
            <w:rFonts w:ascii="Arial" w:hAnsi="Arial" w:cs="Arial"/>
            <w:b/>
            <w:bCs/>
            <w:sz w:val="20"/>
            <w:u w:val="none"/>
          </w:rPr>
          <w:t>Production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3.5.9.2  </w:t>
        </w:r>
        <w:r w:rsidR="008A5C71" w:rsidRPr="00FD5828">
          <w:rPr>
            <w:rStyle w:val="Hyperlink"/>
            <w:rFonts w:ascii="Arial" w:hAnsi="Arial" w:cs="Arial"/>
            <w:b/>
            <w:bCs/>
            <w:sz w:val="20"/>
            <w:u w:val="none"/>
          </w:rPr>
          <w:t>Pre-hearing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3.5.9.3  </w:t>
        </w:r>
        <w:r w:rsidR="00BD4A44" w:rsidRPr="00FD5828">
          <w:rPr>
            <w:rStyle w:val="Hyperlink"/>
            <w:rFonts w:ascii="Arial" w:hAnsi="Arial" w:cs="Arial"/>
            <w:b/>
            <w:bCs/>
            <w:sz w:val="20"/>
            <w:u w:val="none"/>
          </w:rPr>
          <w:t>Production of “notes” in “apprehension cases” in the Family Division</w:t>
        </w:r>
      </w:hyperlink>
    </w:p>
    <w:p w14:paraId="44B5EA24" w14:textId="512454CB" w:rsidR="00595D4C" w:rsidRPr="00FD5828" w:rsidRDefault="00595D4C" w:rsidP="006F4F2A">
      <w:pPr>
        <w:keepNext/>
        <w:keepLines/>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42ED055C"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B8085D" w:rsidRPr="00803AFF">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1B9E2FCD" w14:textId="2B610660" w:rsidR="00843765" w:rsidRPr="00FD5828" w:rsidRDefault="009F7C91"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2E50BCCA" w14:textId="77777777" w:rsidR="00174184" w:rsidRPr="00E54D25"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8"/>
          <w:szCs w:val="12"/>
        </w:rPr>
      </w:pPr>
    </w:p>
    <w:p w14:paraId="1E9C8FA9" w14:textId="4E5E624F" w:rsidR="00843765" w:rsidRPr="00FD5828" w:rsidRDefault="00B21DA4" w:rsidP="00E02733">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174184">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24410B3" w14:textId="2117E5E1"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FE777C">
          <w:rPr>
            <w:rStyle w:val="Hyperlink"/>
            <w:rFonts w:ascii="Arial" w:hAnsi="Arial" w:cs="Arial"/>
            <w:b/>
            <w:bCs/>
            <w:sz w:val="20"/>
            <w:u w:val="none"/>
          </w:rPr>
          <w:t xml:space="preserve">Reopening </w:t>
        </w:r>
        <w:r w:rsidR="00D635CD">
          <w:rPr>
            <w:rStyle w:val="Hyperlink"/>
            <w:rFonts w:ascii="Arial" w:hAnsi="Arial" w:cs="Arial"/>
            <w:b/>
            <w:bCs/>
            <w:sz w:val="20"/>
            <w:u w:val="none"/>
          </w:rPr>
          <w:t xml:space="preserve">a </w:t>
        </w:r>
        <w:r w:rsidR="00FE777C">
          <w:rPr>
            <w:rStyle w:val="Hyperlink"/>
            <w:rFonts w:ascii="Arial" w:hAnsi="Arial" w:cs="Arial"/>
            <w:b/>
            <w:bCs/>
            <w:sz w:val="20"/>
            <w:u w:val="none"/>
          </w:rPr>
          <w:t>case</w:t>
        </w:r>
      </w:hyperlink>
    </w:p>
    <w:p w14:paraId="0DD9AA77" w14:textId="5E2997AF" w:rsidR="00843765" w:rsidRPr="00FD5828" w:rsidRDefault="00B21DA4"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971446">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341F37DA" w14:textId="3352BF9A" w:rsidR="00B21DA4" w:rsidRDefault="009F7C91" w:rsidP="00E25E37">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1_Case_stated"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Pr="00592CF8" w:rsidRDefault="00BA2C61" w:rsidP="00BA2C61">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3C0E3AFA" w14:textId="77777777" w:rsidR="00081C0C" w:rsidRPr="006F089E" w:rsidRDefault="00081C0C" w:rsidP="00081C0C">
      <w:pPr>
        <w:pBdr>
          <w:top w:val="single" w:sz="4" w:space="1" w:color="auto"/>
          <w:left w:val="single" w:sz="4" w:space="4" w:color="auto"/>
          <w:bottom w:val="single" w:sz="4" w:space="1" w:color="auto"/>
          <w:right w:val="single" w:sz="4" w:space="4" w:color="auto"/>
        </w:pBdr>
        <w:jc w:val="both"/>
        <w:rPr>
          <w:rFonts w:ascii="Arial" w:hAnsi="Arial" w:cs="Arial"/>
          <w:sz w:val="6"/>
          <w:szCs w:val="22"/>
        </w:rPr>
      </w:pPr>
    </w:p>
    <w:p w14:paraId="08F96E80" w14:textId="45C9DC20" w:rsidR="00FC3FDE" w:rsidRDefault="00FC3FDE" w:rsidP="001222C4">
      <w:pPr>
        <w:rPr>
          <w:rFonts w:ascii="Arial" w:hAnsi="Arial" w:cs="Arial"/>
          <w:sz w:val="20"/>
        </w:rPr>
      </w:pPr>
      <w:bookmarkStart w:id="43" w:name="_Toc30608804"/>
      <w:bookmarkStart w:id="44" w:name="_Toc30610018"/>
      <w:bookmarkStart w:id="45" w:name="_Toc30610262"/>
      <w:bookmarkStart w:id="46" w:name="_Toc30638416"/>
      <w:bookmarkStart w:id="47" w:name="_Toc30644225"/>
      <w:bookmarkStart w:id="48" w:name="_Toc30644628"/>
      <w:bookmarkStart w:id="49" w:name="_Toc30645178"/>
      <w:bookmarkStart w:id="50" w:name="_Toc30646389"/>
      <w:bookmarkStart w:id="51" w:name="_Toc30646684"/>
      <w:bookmarkStart w:id="52" w:name="_Toc30646795"/>
      <w:bookmarkStart w:id="53" w:name="_Toc30648152"/>
      <w:bookmarkStart w:id="54" w:name="_Toc30649050"/>
      <w:bookmarkStart w:id="55" w:name="_Toc30649126"/>
      <w:bookmarkStart w:id="56" w:name="_Toc30649387"/>
      <w:bookmarkStart w:id="57" w:name="_Toc30649707"/>
      <w:bookmarkStart w:id="58" w:name="_Toc30651641"/>
      <w:bookmarkStart w:id="59" w:name="_Toc30652625"/>
      <w:bookmarkStart w:id="60" w:name="_Toc30652723"/>
      <w:bookmarkStart w:id="61" w:name="_Toc30654068"/>
      <w:bookmarkStart w:id="62" w:name="_Toc30654419"/>
      <w:bookmarkStart w:id="63" w:name="_Toc30655038"/>
      <w:bookmarkStart w:id="64" w:name="_Toc30655295"/>
      <w:bookmarkStart w:id="65" w:name="_Toc30656973"/>
      <w:bookmarkStart w:id="66" w:name="_Toc30661722"/>
      <w:bookmarkStart w:id="67" w:name="_Toc30666410"/>
      <w:bookmarkStart w:id="68" w:name="_Toc30666640"/>
      <w:bookmarkStart w:id="69" w:name="_Toc30667815"/>
      <w:bookmarkStart w:id="70" w:name="_Toc30669193"/>
      <w:bookmarkStart w:id="71" w:name="_Toc30671409"/>
      <w:bookmarkStart w:id="72" w:name="_Toc30673936"/>
      <w:bookmarkStart w:id="73" w:name="_Toc30691158"/>
      <w:bookmarkStart w:id="74" w:name="_Toc30691529"/>
      <w:bookmarkStart w:id="75" w:name="_Toc30691909"/>
      <w:bookmarkStart w:id="76" w:name="_Toc30692668"/>
      <w:bookmarkStart w:id="77" w:name="_Toc30693047"/>
      <w:bookmarkStart w:id="78" w:name="_Toc30693425"/>
      <w:bookmarkStart w:id="79" w:name="_Toc30693804"/>
      <w:bookmarkStart w:id="80" w:name="_Toc30694185"/>
      <w:bookmarkStart w:id="81" w:name="_Toc30698774"/>
      <w:bookmarkStart w:id="82" w:name="_Toc30699152"/>
      <w:bookmarkStart w:id="83" w:name="_Toc30699537"/>
      <w:bookmarkStart w:id="84" w:name="_Toc30700692"/>
      <w:bookmarkStart w:id="85" w:name="_Toc30701079"/>
      <w:bookmarkStart w:id="86" w:name="_Toc30743688"/>
      <w:bookmarkStart w:id="87" w:name="_Toc30754510"/>
      <w:bookmarkStart w:id="88" w:name="_Toc30756950"/>
      <w:bookmarkStart w:id="89" w:name="_Toc30757499"/>
      <w:bookmarkStart w:id="90" w:name="_Toc30757899"/>
      <w:bookmarkStart w:id="91" w:name="_Toc30762660"/>
      <w:bookmarkStart w:id="92" w:name="_Toc30767314"/>
      <w:bookmarkStart w:id="93"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7F9E59BD" w14:textId="77777777" w:rsidR="00B77BA2" w:rsidRDefault="00B77BA2" w:rsidP="00B77BA2">
      <w:pPr>
        <w:jc w:val="both"/>
        <w:rPr>
          <w:rFonts w:ascii="Arial" w:hAnsi="Arial" w:cs="Arial"/>
          <w:sz w:val="20"/>
        </w:rPr>
      </w:pPr>
    </w:p>
    <w:p w14:paraId="78E59700" w14:textId="77777777" w:rsidR="00B77BA2" w:rsidRPr="00BD3BA0" w:rsidRDefault="00B77BA2" w:rsidP="00B77BA2">
      <w:pPr>
        <w:jc w:val="center"/>
        <w:rPr>
          <w:rFonts w:ascii="Arial" w:hAnsi="Arial" w:cs="Arial"/>
          <w:b/>
          <w:bCs/>
          <w:sz w:val="22"/>
          <w:szCs w:val="28"/>
        </w:rPr>
      </w:pPr>
      <w:r w:rsidRPr="00BD3BA0">
        <w:rPr>
          <w:rFonts w:ascii="Arial" w:hAnsi="Arial" w:cs="Arial"/>
          <w:b/>
          <w:bCs/>
          <w:sz w:val="22"/>
          <w:szCs w:val="28"/>
        </w:rPr>
        <w:t>THE REST OF THIS PAGE IS BLANK</w:t>
      </w:r>
    </w:p>
    <w:p w14:paraId="1ADED835" w14:textId="77777777" w:rsidR="00B77BA2" w:rsidRDefault="00B77BA2" w:rsidP="00B77BA2">
      <w:pPr>
        <w:rPr>
          <w:rFonts w:ascii="Arial" w:hAnsi="Arial" w:cs="Arial"/>
          <w:sz w:val="20"/>
        </w:rPr>
      </w:pPr>
    </w:p>
    <w:p w14:paraId="1A2BFFFB" w14:textId="77777777" w:rsidR="00043500" w:rsidRDefault="00043500">
      <w:pPr>
        <w:rPr>
          <w:rFonts w:ascii="Arial" w:hAnsi="Arial" w:cs="Arial"/>
          <w:b/>
          <w:bCs/>
          <w:kern w:val="28"/>
          <w:szCs w:val="20"/>
          <w:lang w:val="en-GB"/>
        </w:rPr>
      </w:pPr>
      <w:bookmarkStart w:id="94" w:name="_3.1_Roles_of"/>
      <w:bookmarkStart w:id="95" w:name="B31"/>
      <w:bookmarkEnd w:id="94"/>
      <w:bookmarkEnd w:id="95"/>
      <w:r>
        <w:rPr>
          <w:rFonts w:ascii="Arial" w:hAnsi="Arial" w:cs="Arial"/>
          <w:b/>
          <w:bCs/>
        </w:rPr>
        <w:br w:type="page"/>
      </w:r>
    </w:p>
    <w:p w14:paraId="6410EAA2" w14:textId="3BC1F049" w:rsidR="00B21DA4" w:rsidRDefault="00B21DA4" w:rsidP="001222C4">
      <w:pPr>
        <w:pStyle w:val="Heading2"/>
        <w:widowControl/>
        <w:tabs>
          <w:tab w:val="left" w:pos="567"/>
        </w:tabs>
        <w:spacing w:line="240" w:lineRule="auto"/>
        <w:rPr>
          <w:rFonts w:ascii="Arial" w:hAnsi="Arial" w:cs="Arial"/>
          <w:b/>
          <w:bCs/>
        </w:rPr>
      </w:pPr>
      <w:bookmarkStart w:id="96" w:name="_3.1_Roles_of_1"/>
      <w:bookmarkStart w:id="97" w:name="_Hlk199139022"/>
      <w:bookmarkEnd w:id="96"/>
      <w:r>
        <w:rPr>
          <w:rFonts w:ascii="Arial" w:hAnsi="Arial" w:cs="Arial"/>
          <w:b/>
          <w:bCs/>
        </w:rPr>
        <w:lastRenderedPageBreak/>
        <w:t>3.1</w:t>
      </w:r>
      <w:r>
        <w:rPr>
          <w:rFonts w:ascii="Arial" w:hAnsi="Arial" w:cs="Arial"/>
          <w:b/>
          <w:bCs/>
        </w:rPr>
        <w:tab/>
        <w:t>Roles of judicial officers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7"/>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6A20A72D" w:rsidR="00235CEF" w:rsidRDefault="00235CEF">
      <w:pPr>
        <w:jc w:val="both"/>
        <w:rPr>
          <w:rFonts w:ascii="Arial" w:hAnsi="Arial" w:cs="Arial"/>
          <w:sz w:val="20"/>
        </w:rPr>
      </w:pPr>
      <w:r>
        <w:rPr>
          <w:rFonts w:ascii="Arial" w:hAnsi="Arial" w:cs="Arial"/>
          <w:sz w:val="20"/>
        </w:rPr>
        <w:t xml:space="preserve">In addition since May 2021 judicial registrars have been appointed who preside over some hearings in both Divisions of the CCV.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A judge may intervene, frequently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8" w:name="_3.1.1_Procedural_fairness"/>
      <w:bookmarkStart w:id="99" w:name="_Hlk142632735"/>
      <w:bookmarkEnd w:id="98"/>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5D605C36"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The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the issue and, if necessary, seeing someone about it is a reflection of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Open justice means media coverage,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0" w:name="_3.1.1_Procedural_fairness_1"/>
      <w:bookmarkEnd w:id="100"/>
      <w:r>
        <w:rPr>
          <w:rFonts w:ascii="Arial" w:hAnsi="Arial" w:cs="Arial"/>
          <w:b/>
          <w:bCs/>
          <w:sz w:val="20"/>
        </w:rPr>
        <w:lastRenderedPageBreak/>
        <w:t>3.1.1</w:t>
      </w:r>
      <w:r>
        <w:rPr>
          <w:rFonts w:ascii="Arial" w:hAnsi="Arial" w:cs="Arial"/>
          <w:b/>
          <w:bCs/>
          <w:sz w:val="20"/>
        </w:rPr>
        <w:tab/>
        <w:t>Procedural fairness (natural justice) generally</w:t>
      </w:r>
      <w:bookmarkEnd w:id="99"/>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r>
        <w:rPr>
          <w:rFonts w:ascii="Arial" w:hAnsi="Arial" w:cs="Arial"/>
          <w:sz w:val="20"/>
          <w:szCs w:val="20"/>
        </w:rPr>
        <w:t xml:space="preserve"> </w:t>
      </w:r>
      <w:r w:rsidRPr="007F6791">
        <w:rPr>
          <w:rFonts w:ascii="Arial" w:hAnsi="Arial" w:cs="Arial"/>
          <w:sz w:val="20"/>
          <w:szCs w:val="20"/>
        </w:rPr>
        <w:t xml:space="preserve"> The</w:t>
      </w:r>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This will ordinarily include being informed of the case to be advanced by the opposing party and having an opportunity to respond</w:t>
      </w:r>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Matters to be taken into account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he rules of natural justice do not require the decision maker to disclose what he is minded to decide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1" w:name="_Hlk74894731"/>
    </w:p>
    <w:p w14:paraId="17EB20EF" w14:textId="32BB089E" w:rsidR="002F2123" w:rsidRDefault="002F2123" w:rsidP="00B843BA">
      <w:pPr>
        <w:jc w:val="both"/>
        <w:rPr>
          <w:rFonts w:ascii="Arial" w:hAnsi="Arial" w:cs="Arial"/>
          <w:sz w:val="20"/>
        </w:rPr>
      </w:pPr>
      <w:bookmarkStart w:id="102"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namely, that a court ‘is not entitled to take into account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1"/>
    <w:bookmarkEnd w:id="102"/>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3"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3"/>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4" w:name="105-r"/>
      <w:r w:rsidRPr="00F81B96">
        <w:rPr>
          <w:rFonts w:ascii="Arial" w:hAnsi="Arial" w:cs="Arial"/>
          <w:color w:val="000000"/>
          <w:sz w:val="20"/>
          <w:lang w:val="en"/>
        </w:rPr>
        <w:t>s</w:t>
      </w:r>
      <w:bookmarkEnd w:id="104"/>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5"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5"/>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taken into account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501CA(4)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6" w:name="_Hlk116629691"/>
    </w:p>
    <w:p w14:paraId="183AE4B2" w14:textId="14979D62"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7"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7"/>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8"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8"/>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the reports of Dr W and Ms C, in particular, had been introduced late, were relevant to and confirmed as relied upon in the Secretary’s case and were adverse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(e) counsel for Ms Harris raised the ‘risk’ that if the witnesses were called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(f) her Honour then settled upon Mr Jackson telling her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[95]</w:t>
      </w:r>
      <w:r w:rsidR="00262D47">
        <w:rPr>
          <w:rFonts w:ascii="Arial" w:hAnsi="Arial" w:cs="Arial"/>
          <w:sz w:val="20"/>
          <w:szCs w:val="20"/>
        </w:rPr>
        <w:noBreakHyphen/>
      </w:r>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Pr="0027049C" w:rsidRDefault="00875262" w:rsidP="00537E2D">
      <w:pPr>
        <w:pStyle w:val="NormalWeb"/>
        <w:spacing w:before="0" w:beforeAutospacing="0" w:after="0" w:afterAutospacing="0"/>
        <w:jc w:val="both"/>
        <w:rPr>
          <w:rFonts w:ascii="Arial" w:hAnsi="Arial" w:cs="Arial"/>
          <w:sz w:val="20"/>
          <w:szCs w:val="20"/>
        </w:rPr>
      </w:pPr>
    </w:p>
    <w:bookmarkEnd w:id="106"/>
    <w:p w14:paraId="3C1692C3" w14:textId="3BA21779" w:rsidR="00515AAE" w:rsidRDefault="00CE3457" w:rsidP="00AA1D19">
      <w:pPr>
        <w:tabs>
          <w:tab w:val="left" w:pos="1440"/>
        </w:tabs>
        <w:jc w:val="both"/>
        <w:rPr>
          <w:rFonts w:ascii="Arial" w:hAnsi="Arial" w:cs="Arial"/>
          <w:color w:val="000000"/>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[2019] VSCA 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09"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09"/>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r w:rsidR="00515AAE">
        <w:rPr>
          <w:rFonts w:ascii="Arial" w:hAnsi="Arial" w:cs="Arial"/>
          <w:color w:val="000000"/>
          <w:sz w:val="20"/>
        </w:rPr>
        <w:t xml:space="preserve">; </w:t>
      </w:r>
      <w:r w:rsidR="00515AAE" w:rsidRPr="00515AAE">
        <w:rPr>
          <w:rFonts w:ascii="Arial" w:hAnsi="Arial" w:cs="Arial"/>
          <w:i/>
          <w:iCs/>
          <w:color w:val="000000"/>
          <w:sz w:val="20"/>
        </w:rPr>
        <w:t>Badari v Minister for Territory Families and Urban Housing</w:t>
      </w:r>
      <w:r w:rsidR="00515AAE" w:rsidRPr="00515AAE">
        <w:rPr>
          <w:rFonts w:ascii="Arial" w:hAnsi="Arial" w:cs="Arial"/>
          <w:color w:val="000000"/>
          <w:sz w:val="20"/>
        </w:rPr>
        <w:t xml:space="preserve"> [2025] HCA 47</w:t>
      </w:r>
      <w:r w:rsidR="00515AAE">
        <w:rPr>
          <w:rFonts w:ascii="Arial" w:hAnsi="Arial" w:cs="Arial"/>
          <w:color w:val="000000"/>
          <w:sz w:val="20"/>
        </w:rPr>
        <w:t xml:space="preserve"> at [16]-[20] &amp; [35]-[47]</w:t>
      </w:r>
      <w:r w:rsidR="00C36A84">
        <w:rPr>
          <w:rFonts w:ascii="Arial" w:hAnsi="Arial" w:cs="Arial"/>
          <w:color w:val="000000"/>
          <w:sz w:val="20"/>
        </w:rPr>
        <w:t xml:space="preserve">; </w:t>
      </w:r>
      <w:proofErr w:type="spellStart"/>
      <w:r w:rsidR="00C36A84" w:rsidRPr="00C36A84">
        <w:rPr>
          <w:rFonts w:ascii="Arial" w:hAnsi="Arial" w:cs="Arial"/>
          <w:i/>
          <w:iCs/>
          <w:color w:val="000000"/>
          <w:sz w:val="20"/>
        </w:rPr>
        <w:t>Nitsopoulos</w:t>
      </w:r>
      <w:proofErr w:type="spellEnd"/>
      <w:r w:rsidR="00C36A84" w:rsidRPr="00C36A84">
        <w:rPr>
          <w:rFonts w:ascii="Arial" w:hAnsi="Arial" w:cs="Arial"/>
          <w:i/>
          <w:iCs/>
          <w:color w:val="000000"/>
          <w:sz w:val="20"/>
        </w:rPr>
        <w:t xml:space="preserve"> v The King</w:t>
      </w:r>
      <w:r w:rsidR="00C36A84">
        <w:rPr>
          <w:rFonts w:ascii="Arial" w:hAnsi="Arial" w:cs="Arial"/>
          <w:i/>
          <w:iCs/>
          <w:color w:val="000000"/>
          <w:sz w:val="20"/>
        </w:rPr>
        <w:t>;</w:t>
      </w:r>
      <w:r w:rsidR="00C36A84" w:rsidRPr="00C36A84">
        <w:rPr>
          <w:rFonts w:ascii="Arial" w:hAnsi="Arial" w:cs="Arial"/>
          <w:i/>
          <w:iCs/>
          <w:color w:val="000000"/>
          <w:sz w:val="20"/>
        </w:rPr>
        <w:t xml:space="preserve"> </w:t>
      </w:r>
      <w:proofErr w:type="spellStart"/>
      <w:r w:rsidR="00C36A84" w:rsidRPr="00C36A84">
        <w:rPr>
          <w:rFonts w:ascii="Arial" w:hAnsi="Arial" w:cs="Arial"/>
          <w:i/>
          <w:iCs/>
          <w:color w:val="000000"/>
          <w:sz w:val="20"/>
        </w:rPr>
        <w:t>Bojadzievska</w:t>
      </w:r>
      <w:proofErr w:type="spellEnd"/>
      <w:r w:rsidR="00C36A84" w:rsidRPr="00C36A84">
        <w:rPr>
          <w:rFonts w:ascii="Arial" w:hAnsi="Arial" w:cs="Arial"/>
          <w:i/>
          <w:iCs/>
          <w:color w:val="000000"/>
          <w:sz w:val="20"/>
        </w:rPr>
        <w:t xml:space="preserve"> v The King</w:t>
      </w:r>
      <w:r w:rsidR="00C36A84">
        <w:rPr>
          <w:rFonts w:ascii="Arial" w:hAnsi="Arial" w:cs="Arial"/>
          <w:color w:val="000000"/>
          <w:sz w:val="20"/>
        </w:rPr>
        <w:t xml:space="preserve"> [2025] VSCA 312 (summarised in section </w:t>
      </w:r>
      <w:r w:rsidR="00C36A84" w:rsidRPr="00C36A84">
        <w:rPr>
          <w:rFonts w:ascii="Arial" w:hAnsi="Arial" w:cs="Arial"/>
          <w:b/>
          <w:bCs/>
          <w:color w:val="000000"/>
          <w:sz w:val="20"/>
          <w:shd w:val="clear" w:color="auto" w:fill="C5E0B3" w:themeFill="accent6" w:themeFillTint="66"/>
        </w:rPr>
        <w:t>11.2.25</w:t>
      </w:r>
      <w:r w:rsidR="00C36A84">
        <w:rPr>
          <w:rFonts w:ascii="Arial" w:hAnsi="Arial" w:cs="Arial"/>
          <w:color w:val="000000"/>
          <w:sz w:val="20"/>
        </w:rPr>
        <w:t>)</w:t>
      </w:r>
      <w:r w:rsidR="00515AAE">
        <w:rPr>
          <w:rFonts w:ascii="Arial" w:hAnsi="Arial" w:cs="Arial"/>
          <w:color w:val="000000"/>
          <w:sz w:val="20"/>
        </w:rPr>
        <w:t>.</w:t>
      </w:r>
    </w:p>
    <w:p w14:paraId="66E06B5D" w14:textId="77777777" w:rsidR="00515AAE" w:rsidRDefault="00515AAE" w:rsidP="00AA1D19">
      <w:pPr>
        <w:tabs>
          <w:tab w:val="left" w:pos="1440"/>
        </w:tabs>
        <w:jc w:val="both"/>
        <w:rPr>
          <w:rFonts w:ascii="Arial" w:hAnsi="Arial" w:cs="Arial"/>
          <w:color w:val="000000"/>
          <w:sz w:val="20"/>
        </w:rPr>
      </w:pP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0" w:name="_3.1.2_Actual_or"/>
      <w:bookmarkEnd w:id="110"/>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6C7EDC">
      <w:pPr>
        <w:keepNext/>
        <w:keepLines/>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6C7EDC">
      <w:pPr>
        <w:keepNext/>
        <w:keepLines/>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77777777"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Pr>
          <w:rFonts w:ascii="Arial" w:hAnsi="Arial" w:cs="Arial"/>
          <w:sz w:val="20"/>
          <w:szCs w:val="20"/>
        </w:rPr>
        <w:t>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Default="005646C2" w:rsidP="005646C2"/>
    <w:p w14:paraId="675DE3AE" w14:textId="77777777"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that there had been 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place">
        <w:smartTag w:uri="urn:schemas-microsoft-com:office:smarttags" w:element="City">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r w:rsidRPr="008A42F3">
        <w:rPr>
          <w:rFonts w:ascii="Arial" w:hAnsi="Arial" w:cs="Arial"/>
          <w:bCs/>
          <w:sz w:val="20"/>
        </w:rPr>
        <w:t>bias</w:t>
      </w:r>
      <w:r w:rsidRPr="008A42F3">
        <w:rPr>
          <w:rFonts w:ascii="Arial" w:hAnsi="Arial" w:cs="Arial"/>
          <w:sz w:val="20"/>
        </w:rPr>
        <w:t>‘</w:t>
      </w:r>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decision‘.</w:t>
      </w:r>
    </w:p>
    <w:p w14:paraId="176404BD" w14:textId="77777777" w:rsidR="00F13772" w:rsidRDefault="00F13772" w:rsidP="004A3510">
      <w:pPr>
        <w:rPr>
          <w:rFonts w:ascii="Arial" w:hAnsi="Arial" w:cs="Arial"/>
          <w:sz w:val="20"/>
        </w:rPr>
      </w:pPr>
    </w:p>
    <w:p w14:paraId="73169375" w14:textId="77777777"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77777777"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w:t>
      </w:r>
      <w:r w:rsidRPr="001A1BF2">
        <w:rPr>
          <w:rFonts w:ascii="Arial" w:hAnsi="Arial" w:cs="Arial"/>
          <w:color w:val="000000"/>
          <w:sz w:val="20"/>
        </w:rPr>
        <w:lastRenderedPageBreak/>
        <w:t>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01AA9783"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1"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1"/>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w:t>
      </w:r>
      <w:r w:rsidR="005B1DDA">
        <w:rPr>
          <w:rFonts w:ascii="Arial" w:hAnsi="Arial" w:cs="Arial"/>
          <w:sz w:val="20"/>
          <w:szCs w:val="20"/>
        </w:rPr>
        <w:t xml:space="preserve"> </w:t>
      </w:r>
      <w:r w:rsidR="005B1DDA" w:rsidRPr="005B1DDA">
        <w:rPr>
          <w:rFonts w:ascii="Arial" w:hAnsi="Arial" w:cs="Arial"/>
          <w:sz w:val="20"/>
          <w:szCs w:val="20"/>
        </w:rPr>
        <w:t xml:space="preserve">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departure from the judge deciding the case 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lastRenderedPageBreak/>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 xml:space="preserve">[21] Once again, this reasoning is erroneous. The alignment of the fair-minded lay observer with the judiciary and the legal profession is inconsistent with the apprehension of bias principle and its operation and purpose. The hypothetical observer is a standard by which the </w:t>
      </w:r>
      <w:r w:rsidRPr="00767AA0">
        <w:rPr>
          <w:rFonts w:ascii="Arial" w:hAnsi="Arial" w:cs="Arial"/>
          <w:sz w:val="20"/>
          <w:szCs w:val="20"/>
        </w:rPr>
        <w:lastRenderedPageBreak/>
        <w:t>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77777777"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or tribunal to present evidence or make submissions to this court, even given that the application was being heard in the </w:t>
      </w:r>
      <w:smartTag w:uri="urn:schemas-microsoft-com:office:smarttags" w:element="Street">
        <w:smartTag w:uri="urn:schemas-microsoft-com:office:smarttags" w:element="address">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67A87D1B" w14:textId="583098B0" w:rsidR="00902967" w:rsidRPr="00902967" w:rsidRDefault="00FA1676" w:rsidP="00B6728D">
      <w:pPr>
        <w:spacing w:before="20"/>
        <w:jc w:val="both"/>
        <w:rPr>
          <w:rFonts w:ascii="Arial" w:hAnsi="Arial" w:cs="Arial"/>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lastRenderedPageBreak/>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2"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2"/>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3" w:name="_Toc30608805"/>
      <w:bookmarkStart w:id="114" w:name="_Toc30610019"/>
      <w:bookmarkStart w:id="115" w:name="_Toc30610263"/>
      <w:bookmarkStart w:id="116" w:name="_Toc30638417"/>
      <w:bookmarkStart w:id="117" w:name="_Toc30644226"/>
      <w:bookmarkStart w:id="118" w:name="_Toc30644629"/>
      <w:bookmarkStart w:id="119" w:name="_Toc30645179"/>
      <w:bookmarkStart w:id="120" w:name="_Toc30646390"/>
      <w:bookmarkStart w:id="121" w:name="_Toc30646685"/>
      <w:bookmarkStart w:id="122" w:name="_Toc30646796"/>
      <w:bookmarkStart w:id="123" w:name="_Toc30648153"/>
      <w:bookmarkStart w:id="124" w:name="_Toc30649051"/>
      <w:bookmarkStart w:id="125" w:name="_Toc30649127"/>
      <w:bookmarkStart w:id="126" w:name="_Toc30649388"/>
      <w:bookmarkStart w:id="127" w:name="_Toc30649708"/>
      <w:bookmarkStart w:id="128" w:name="_Toc30651642"/>
      <w:bookmarkStart w:id="129" w:name="_Toc30652626"/>
      <w:bookmarkStart w:id="130" w:name="_Toc30652724"/>
      <w:bookmarkStart w:id="131" w:name="_Toc30654069"/>
      <w:bookmarkStart w:id="132" w:name="_Toc30654420"/>
      <w:bookmarkStart w:id="133" w:name="_Toc30655039"/>
      <w:bookmarkStart w:id="134" w:name="_Toc30655296"/>
      <w:bookmarkStart w:id="135" w:name="_Toc30656974"/>
      <w:bookmarkStart w:id="136" w:name="_Toc30661723"/>
      <w:bookmarkStart w:id="137" w:name="_Toc30666411"/>
      <w:bookmarkStart w:id="138" w:name="_Toc30666641"/>
      <w:bookmarkStart w:id="139" w:name="_Toc30667816"/>
      <w:bookmarkStart w:id="140" w:name="_Toc30669194"/>
      <w:bookmarkStart w:id="141" w:name="_Toc30671410"/>
      <w:bookmarkStart w:id="142" w:name="_Toc30673937"/>
      <w:bookmarkStart w:id="143" w:name="_Toc30691159"/>
      <w:bookmarkStart w:id="144" w:name="_Toc30691530"/>
      <w:bookmarkStart w:id="145" w:name="_Toc30691910"/>
      <w:bookmarkStart w:id="146" w:name="_Toc30692669"/>
      <w:bookmarkStart w:id="147" w:name="_Toc30693048"/>
      <w:bookmarkStart w:id="148" w:name="_Toc30693426"/>
      <w:bookmarkStart w:id="149" w:name="_Toc30693805"/>
      <w:bookmarkStart w:id="150" w:name="_Toc30694186"/>
      <w:bookmarkStart w:id="151" w:name="_Toc30698775"/>
      <w:bookmarkStart w:id="152" w:name="_Toc30699153"/>
      <w:bookmarkStart w:id="153" w:name="_Toc30699538"/>
      <w:bookmarkStart w:id="154" w:name="_Toc30700693"/>
      <w:bookmarkStart w:id="155" w:name="_Toc30701080"/>
      <w:bookmarkStart w:id="156" w:name="_Toc30743689"/>
      <w:bookmarkStart w:id="157" w:name="_Toc30754511"/>
      <w:bookmarkStart w:id="158" w:name="_Toc30756951"/>
      <w:bookmarkStart w:id="159" w:name="_Toc30757500"/>
      <w:bookmarkStart w:id="160" w:name="_Toc30757900"/>
      <w:bookmarkStart w:id="161" w:name="_Toc30762661"/>
      <w:bookmarkStart w:id="162" w:name="_Toc30767315"/>
      <w:bookmarkStart w:id="163"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r w:rsidR="00902967">
        <w:rPr>
          <w:rFonts w:ascii="Arial" w:hAnsi="Arial" w:cs="Arial"/>
          <w:sz w:val="20"/>
        </w:rPr>
        <w:t xml:space="preserve">; </w:t>
      </w:r>
      <w:r w:rsidR="00902967" w:rsidRPr="00902967">
        <w:rPr>
          <w:rFonts w:ascii="Arial" w:hAnsi="Arial" w:cs="Arial"/>
          <w:i/>
          <w:iCs/>
          <w:color w:val="000000"/>
          <w:sz w:val="20"/>
        </w:rPr>
        <w:t>In the matter of an application by Francesco Madafferi</w:t>
      </w:r>
      <w:r w:rsidR="00902967" w:rsidRPr="00902967">
        <w:rPr>
          <w:rFonts w:ascii="Arial" w:hAnsi="Arial" w:cs="Arial"/>
          <w:color w:val="000000"/>
          <w:sz w:val="20"/>
        </w:rPr>
        <w:t xml:space="preserve"> [2025] VSC 779</w:t>
      </w:r>
      <w:r w:rsidR="00902967">
        <w:rPr>
          <w:rFonts w:ascii="Arial" w:hAnsi="Arial" w:cs="Arial"/>
          <w:color w:val="000000"/>
          <w:sz w:val="20"/>
        </w:rPr>
        <w:t>.</w:t>
      </w:r>
    </w:p>
    <w:p w14:paraId="5BDE966B" w14:textId="2F748347" w:rsidR="00B6728D" w:rsidRDefault="00B6728D" w:rsidP="00B6728D">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4" w:name="_3.2_Judicial_Independence"/>
      <w:bookmarkEnd w:id="164"/>
      <w:r w:rsidRPr="00036D92">
        <w:rPr>
          <w:rFonts w:ascii="Arial" w:hAnsi="Arial" w:cs="Arial"/>
          <w:b/>
          <w:bCs/>
        </w:rPr>
        <w:lastRenderedPageBreak/>
        <w:t>3.2</w:t>
      </w:r>
      <w:r w:rsidRPr="00036D92">
        <w:rPr>
          <w:rFonts w:ascii="Arial" w:hAnsi="Arial" w:cs="Arial"/>
          <w:b/>
          <w:bCs/>
        </w:rPr>
        <w:tab/>
        <w:t>Judicial Independence</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5" w:name="_3.2.1_Judicial_independence"/>
      <w:bookmarkEnd w:id="165"/>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6" w:name="_3.2.2_Judicial_immunity"/>
      <w:bookmarkEnd w:id="166"/>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113L(3)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 xml:space="preserve">ns 9A, 17U(3)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 xml:space="preserve">542J(3)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 xml:space="preserve">Sections 14, 16J(3)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7" w:name="_3.3_Judicial_Powers"/>
      <w:bookmarkStart w:id="168" w:name="_3.3_Children’s_Court"/>
      <w:bookmarkStart w:id="169" w:name="B33"/>
      <w:bookmarkStart w:id="170" w:name="_Toc30608806"/>
      <w:bookmarkStart w:id="171" w:name="_Toc30610020"/>
      <w:bookmarkStart w:id="172" w:name="_Toc30610264"/>
      <w:bookmarkStart w:id="173" w:name="_Toc30638418"/>
      <w:bookmarkStart w:id="174" w:name="_Toc30644227"/>
      <w:bookmarkStart w:id="175" w:name="_Toc30644630"/>
      <w:bookmarkStart w:id="176" w:name="_Toc30645180"/>
      <w:bookmarkStart w:id="177" w:name="_Toc30646391"/>
      <w:bookmarkStart w:id="178" w:name="_Toc30646686"/>
      <w:bookmarkStart w:id="179" w:name="_Toc30646797"/>
      <w:bookmarkStart w:id="180" w:name="_Toc30648154"/>
      <w:bookmarkStart w:id="181" w:name="_Toc30649052"/>
      <w:bookmarkStart w:id="182" w:name="_Toc30649128"/>
      <w:bookmarkStart w:id="183" w:name="_Toc30649389"/>
      <w:bookmarkStart w:id="184" w:name="_Toc30649709"/>
      <w:bookmarkStart w:id="185" w:name="_Toc30651643"/>
      <w:bookmarkStart w:id="186" w:name="_Toc30652627"/>
      <w:bookmarkStart w:id="187" w:name="_Toc30652725"/>
      <w:bookmarkStart w:id="188" w:name="_Toc30654070"/>
      <w:bookmarkStart w:id="189" w:name="_Toc30654421"/>
      <w:bookmarkStart w:id="190" w:name="_Toc30655040"/>
      <w:bookmarkStart w:id="191" w:name="_Toc30655297"/>
      <w:bookmarkStart w:id="192" w:name="_Toc30656975"/>
      <w:bookmarkStart w:id="193" w:name="_Toc30661724"/>
      <w:bookmarkStart w:id="194" w:name="_Toc30666412"/>
      <w:bookmarkStart w:id="195" w:name="_Toc30666642"/>
      <w:bookmarkStart w:id="196" w:name="_Toc30667817"/>
      <w:bookmarkStart w:id="197" w:name="_Toc30669195"/>
      <w:bookmarkStart w:id="198" w:name="_Toc30671411"/>
      <w:bookmarkStart w:id="199" w:name="_Toc30673938"/>
      <w:bookmarkStart w:id="200" w:name="_Toc30691160"/>
      <w:bookmarkStart w:id="201" w:name="_Toc30691531"/>
      <w:bookmarkStart w:id="202" w:name="_Toc30691911"/>
      <w:bookmarkStart w:id="203" w:name="_Toc30692670"/>
      <w:bookmarkStart w:id="204" w:name="_Toc30693049"/>
      <w:bookmarkStart w:id="205" w:name="_Toc30693427"/>
      <w:bookmarkStart w:id="206" w:name="_Toc30693806"/>
      <w:bookmarkStart w:id="207" w:name="_Toc30694187"/>
      <w:bookmarkStart w:id="208" w:name="_Toc30698776"/>
      <w:bookmarkStart w:id="209" w:name="_Toc30699154"/>
      <w:bookmarkStart w:id="210" w:name="_Toc30699539"/>
      <w:bookmarkStart w:id="211" w:name="_Toc30700694"/>
      <w:bookmarkStart w:id="212" w:name="_Toc30701081"/>
      <w:bookmarkStart w:id="213" w:name="_Toc30743690"/>
      <w:bookmarkStart w:id="214" w:name="_Toc30754512"/>
      <w:bookmarkStart w:id="215" w:name="_Toc30756952"/>
      <w:bookmarkStart w:id="216" w:name="_Toc30757501"/>
      <w:bookmarkStart w:id="217" w:name="_Toc30757901"/>
      <w:bookmarkStart w:id="218" w:name="_Toc30762662"/>
      <w:bookmarkStart w:id="219" w:name="_Toc30767316"/>
      <w:bookmarkStart w:id="220" w:name="_Toc34823332"/>
      <w:bookmarkEnd w:id="167"/>
      <w:bookmarkEnd w:id="168"/>
      <w:bookmarkEnd w:id="169"/>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p>
    <w:p w14:paraId="18C79194" w14:textId="77777777" w:rsidR="00AE2500" w:rsidRDefault="00AE2500" w:rsidP="00AE2500">
      <w:pPr>
        <w:rPr>
          <w:rFonts w:ascii="Arial" w:hAnsi="Arial" w:cs="Arial"/>
          <w:sz w:val="20"/>
        </w:rPr>
      </w:pPr>
    </w:p>
    <w:p w14:paraId="3B289369" w14:textId="61E4497D" w:rsidR="00312136" w:rsidRPr="00312136" w:rsidRDefault="00312136" w:rsidP="00312136">
      <w:pPr>
        <w:pStyle w:val="Heading3"/>
        <w:keepNext/>
        <w:keepLines/>
        <w:spacing w:after="120" w:line="240" w:lineRule="auto"/>
        <w:rPr>
          <w:rFonts w:ascii="Arial" w:hAnsi="Arial" w:cs="Arial"/>
          <w:b/>
          <w:bCs/>
          <w:sz w:val="20"/>
        </w:rPr>
      </w:pPr>
      <w:bookmarkStart w:id="221" w:name="_3.3.1_Powers_conferred"/>
      <w:bookmarkStart w:id="222" w:name="B331"/>
      <w:bookmarkEnd w:id="221"/>
      <w:bookmarkEnd w:id="222"/>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6200EC">
        <w:rPr>
          <w:rFonts w:ascii="Arial" w:hAnsi="Arial" w:cs="Arial"/>
          <w:b/>
          <w:bCs/>
          <w:sz w:val="20"/>
        </w:rPr>
        <w:t xml:space="preserve">including those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3" w:name="_Hlk199236624"/>
    </w:p>
    <w:bookmarkEnd w:id="223"/>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3DC56DC7" w14:textId="2BF2663A" w:rsidR="005A00C5" w:rsidRDefault="00FE09C0" w:rsidP="006200EC">
      <w:pPr>
        <w:ind w:left="11"/>
        <w:jc w:val="both"/>
        <w:rPr>
          <w:rFonts w:ascii="Arial" w:hAnsi="Arial" w:cs="Arial"/>
          <w:sz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4"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4"/>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r w:rsidR="0027275D">
        <w:rPr>
          <w:rFonts w:ascii="Arial" w:hAnsi="Arial" w:cs="Arial"/>
          <w:sz w:val="20"/>
          <w:szCs w:val="20"/>
        </w:rPr>
        <w:t xml:space="preserve">; </w:t>
      </w:r>
      <w:r w:rsidR="0027275D" w:rsidRPr="0027275D">
        <w:rPr>
          <w:rFonts w:ascii="Arial" w:hAnsi="Arial" w:cs="Arial"/>
          <w:i/>
          <w:iCs/>
          <w:sz w:val="20"/>
          <w:szCs w:val="20"/>
        </w:rPr>
        <w:t>R v Brown (No 2)</w:t>
      </w:r>
      <w:r w:rsidR="0027275D" w:rsidRPr="0027275D">
        <w:rPr>
          <w:rFonts w:ascii="Arial" w:hAnsi="Arial" w:cs="Arial"/>
          <w:sz w:val="20"/>
          <w:szCs w:val="20"/>
        </w:rPr>
        <w:t xml:space="preserve"> [2025] VSC 766</w:t>
      </w:r>
      <w:r w:rsidR="006200EC">
        <w:rPr>
          <w:rFonts w:ascii="Arial" w:hAnsi="Arial" w:cs="Arial"/>
          <w:sz w:val="20"/>
          <w:szCs w:val="20"/>
        </w:rPr>
        <w:t xml:space="preserve">; </w:t>
      </w:r>
      <w:r w:rsidR="006200EC" w:rsidRPr="006200EC">
        <w:rPr>
          <w:rFonts w:ascii="Arial" w:hAnsi="Arial" w:cs="Arial"/>
          <w:i/>
          <w:iCs/>
          <w:sz w:val="20"/>
        </w:rPr>
        <w:t>Van Rooy Machinery Pty Ltd v Michieli</w:t>
      </w:r>
      <w:r w:rsidR="006200EC" w:rsidRPr="006200EC">
        <w:rPr>
          <w:rFonts w:ascii="Arial" w:hAnsi="Arial" w:cs="Arial"/>
          <w:sz w:val="20"/>
        </w:rPr>
        <w:t xml:space="preserve"> [2025] VSC 757</w:t>
      </w:r>
      <w:r w:rsidR="006200EC">
        <w:rPr>
          <w:rFonts w:ascii="Arial" w:hAnsi="Arial" w:cs="Arial"/>
          <w:sz w:val="20"/>
        </w:rPr>
        <w:t>.</w:t>
      </w:r>
    </w:p>
    <w:p w14:paraId="343EBE68" w14:textId="77777777" w:rsidR="006200EC" w:rsidRDefault="006200EC" w:rsidP="006200EC">
      <w:pPr>
        <w:ind w:left="11"/>
        <w:jc w:val="both"/>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5" w:name="_3.3.2_Powers_conferred_1"/>
      <w:bookmarkStart w:id="226" w:name="B332"/>
      <w:bookmarkEnd w:id="225"/>
      <w:bookmarkEnd w:id="226"/>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7" w:name="_3.3.2_Powers_conferred"/>
      <w:bookmarkStart w:id="228" w:name="B333"/>
      <w:bookmarkEnd w:id="227"/>
      <w:bookmarkEnd w:id="228"/>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2A08BE37" w14:textId="77777777" w:rsidR="00312136" w:rsidRDefault="00312136"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place">
        <w:smartTag w:uri="urn:schemas-microsoft-com:office:smarttags" w:element="Stat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'I have read Kirby P's judgment in draft, and reluctantly agree with it.  I say 'reluctantly', because in my view a trial judge's decision to grant or refuse an adjournment ought be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lastRenderedPageBreak/>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were not to be considered solely by reference to whether any prejudice to Aon could be compensated by costs.  Both the primary judge and the Court of Appeal should have taken into account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taken into account.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ublic resources and undue delay, with the concomitant strain and uncertainty imposed on litigants, should not be taken into account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538C5CF7" w14:textId="5B637405" w:rsidR="0007304C" w:rsidRDefault="0007304C"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lastRenderedPageBreak/>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It was argued that proceeding to trial before 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In my view, the discretion miscarried. The learned judge erred in taking into account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[8] The announcement of a decision to introduce particular legislation, and any retrospective operation of such legislation, may impact pending proceedings. But,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29" w:name="_3.3.3_Implied_powers"/>
      <w:bookmarkStart w:id="230" w:name="B334"/>
      <w:bookmarkEnd w:id="229"/>
      <w:bookmarkEnd w:id="230"/>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1" w:name="B3341"/>
    <w:bookmarkStart w:id="232" w:name="_3.3.4.1_Power_to"/>
    <w:bookmarkEnd w:id="231"/>
    <w:bookmarkEnd w:id="232"/>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6532E301" w14:textId="784230F1" w:rsidR="00764E0E" w:rsidRDefault="005D6EA1" w:rsidP="002A6040">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670F64">
        <w:rPr>
          <w:rFonts w:ascii="Arial" w:hAnsi="Arial" w:cs="Arial"/>
          <w:sz w:val="20"/>
          <w:szCs w:val="20"/>
        </w:rPr>
        <w:t xml:space="preserve">  At [21]-[22] </w:t>
      </w:r>
      <w:r w:rsidR="00764E0E">
        <w:rPr>
          <w:rFonts w:ascii="Arial" w:hAnsi="Arial" w:cs="Arial"/>
          <w:sz w:val="20"/>
          <w:szCs w:val="20"/>
        </w:rPr>
        <w:t>Kiefel CJ, Gageler, Keane &amp; Gordon JJ said:</w:t>
      </w:r>
    </w:p>
    <w:p w14:paraId="5DD5C967" w14:textId="56E09D10" w:rsidR="00670F64" w:rsidRPr="00670F64" w:rsidRDefault="00670F64" w:rsidP="00670F64">
      <w:pPr>
        <w:spacing w:before="60"/>
        <w:ind w:left="454" w:right="454"/>
        <w:jc w:val="both"/>
        <w:rPr>
          <w:rFonts w:ascii="Arial" w:hAnsi="Arial" w:cs="Arial"/>
          <w:color w:val="000000"/>
          <w:sz w:val="20"/>
          <w:szCs w:val="20"/>
          <w:lang w:eastAsia="en-AU"/>
        </w:rPr>
      </w:pPr>
      <w:r>
        <w:rPr>
          <w:rFonts w:ascii="Arial" w:hAnsi="Arial" w:cs="Arial"/>
          <w:bCs/>
          <w:sz w:val="20"/>
        </w:rPr>
        <w:t xml:space="preserve">[21] </w:t>
      </w:r>
      <w:r w:rsidR="00DF6714">
        <w:rPr>
          <w:rFonts w:ascii="Arial" w:hAnsi="Arial" w:cs="Arial"/>
          <w:bCs/>
          <w:sz w:val="20"/>
        </w:rPr>
        <w:t>“</w:t>
      </w:r>
      <w:r>
        <w:rPr>
          <w:rFonts w:ascii="Arial" w:hAnsi="Arial" w:cs="Arial"/>
          <w:bCs/>
          <w:sz w:val="20"/>
        </w:rPr>
        <w:t xml:space="preserve">In </w:t>
      </w:r>
      <w:r w:rsidRPr="00670F64">
        <w:rPr>
          <w:rFonts w:ascii="Arial" w:hAnsi="Arial" w:cs="Arial"/>
          <w:bCs/>
          <w:i/>
          <w:iCs/>
          <w:sz w:val="20"/>
        </w:rPr>
        <w:t>Strickland</w:t>
      </w:r>
      <w:r w:rsidR="00544ADF">
        <w:rPr>
          <w:rFonts w:ascii="Arial" w:hAnsi="Arial" w:cs="Arial"/>
          <w:bCs/>
          <w:i/>
          <w:iCs/>
          <w:sz w:val="20"/>
        </w:rPr>
        <w:t xml:space="preserve"> (a pseudonym) v Director of Public Prosecutions (Cth)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sidR="00544ADF">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sidR="00544ADF">
        <w:rPr>
          <w:rFonts w:ascii="Arial" w:hAnsi="Arial" w:cs="Arial"/>
          <w:color w:val="000000"/>
          <w:sz w:val="20"/>
          <w:szCs w:val="20"/>
        </w:rPr>
        <w:t xml:space="preserve"> permanent stay</w:t>
      </w:r>
      <w:r>
        <w:rPr>
          <w:rFonts w:ascii="Arial" w:hAnsi="Arial" w:cs="Arial"/>
          <w:color w:val="000000"/>
          <w:sz w:val="20"/>
          <w:szCs w:val="20"/>
        </w:rPr>
        <w:t xml:space="preserve">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6D9C5E97" w14:textId="141E78FD" w:rsidR="00670F64" w:rsidRPr="00670F64" w:rsidRDefault="00670F64" w:rsidP="00846852">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sidR="00846852">
        <w:rPr>
          <w:rFonts w:ascii="Arial" w:hAnsi="Arial" w:cs="Arial"/>
          <w:sz w:val="18"/>
          <w:szCs w:val="18"/>
        </w:rPr>
        <w:t xml:space="preserve">a permanent stay </w:t>
      </w:r>
      <w:r w:rsidRPr="00670F64">
        <w:rPr>
          <w:rFonts w:ascii="Arial" w:hAnsi="Arial" w:cs="Arial"/>
          <w:sz w:val="18"/>
          <w:szCs w:val="18"/>
        </w:rPr>
        <w:t>of proceedings.’</w:t>
      </w:r>
    </w:p>
    <w:p w14:paraId="0BBE3F89" w14:textId="4C5EE447" w:rsidR="00846852" w:rsidRPr="00670F64" w:rsidRDefault="00846852" w:rsidP="00DF6714">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00670F64" w:rsidRPr="00670F64">
        <w:rPr>
          <w:rFonts w:ascii="Arial" w:hAnsi="Arial" w:cs="Arial"/>
          <w:color w:val="000000"/>
          <w:sz w:val="20"/>
          <w:szCs w:val="20"/>
        </w:rPr>
        <w:t xml:space="preserve">Gageler J, who dissented as to the result of the case, was also of the opinion </w:t>
      </w:r>
      <w:r w:rsidR="00544ADF">
        <w:rPr>
          <w:rFonts w:ascii="Arial" w:hAnsi="Arial" w:cs="Arial"/>
          <w:color w:val="000000"/>
          <w:sz w:val="20"/>
          <w:szCs w:val="20"/>
        </w:rPr>
        <w:t xml:space="preserve">at 373 [115] </w:t>
      </w:r>
      <w:r w:rsidR="00670F64" w:rsidRPr="00670F64">
        <w:rPr>
          <w:rFonts w:ascii="Arial" w:hAnsi="Arial" w:cs="Arial"/>
          <w:color w:val="000000"/>
          <w:sz w:val="20"/>
          <w:szCs w:val="20"/>
        </w:rPr>
        <w:t>that a</w:t>
      </w:r>
      <w:r>
        <w:rPr>
          <w:rFonts w:ascii="Arial" w:hAnsi="Arial" w:cs="Arial"/>
          <w:color w:val="000000"/>
          <w:sz w:val="20"/>
          <w:szCs w:val="20"/>
        </w:rPr>
        <w:t xml:space="preserve"> permanent stay </w:t>
      </w:r>
      <w:r w:rsidR="00670F64"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00670F64"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00F17CEF">
        <w:rPr>
          <w:rFonts w:ascii="Arial" w:hAnsi="Arial" w:cs="Arial"/>
          <w:color w:val="000000"/>
          <w:sz w:val="20"/>
          <w:szCs w:val="20"/>
        </w:rPr>
        <w:t>’</w:t>
      </w:r>
      <w:r w:rsidR="00670F64" w:rsidRPr="00670F64">
        <w:rPr>
          <w:rFonts w:ascii="Arial" w:hAnsi="Arial" w:cs="Arial"/>
          <w:color w:val="000000"/>
          <w:sz w:val="20"/>
          <w:szCs w:val="20"/>
        </w:rPr>
        <w:t>. And Gordon J, who also dissented as to the result of the case, agreed that there is no occasion to order a</w:t>
      </w:r>
      <w:r w:rsidR="00544ADF">
        <w:rPr>
          <w:rFonts w:ascii="Arial" w:hAnsi="Arial" w:cs="Arial"/>
          <w:color w:val="000000"/>
          <w:sz w:val="20"/>
          <w:szCs w:val="20"/>
        </w:rPr>
        <w:t xml:space="preserve"> permanent stay </w:t>
      </w:r>
      <w:r w:rsidR="00670F64" w:rsidRPr="00670F64">
        <w:rPr>
          <w:rFonts w:ascii="Arial" w:hAnsi="Arial" w:cs="Arial"/>
          <w:color w:val="000000"/>
          <w:sz w:val="20"/>
          <w:szCs w:val="20"/>
        </w:rPr>
        <w:t xml:space="preserve">of </w:t>
      </w:r>
      <w:r w:rsidR="00670F64" w:rsidRPr="00670F64">
        <w:rPr>
          <w:rFonts w:ascii="Arial" w:hAnsi="Arial" w:cs="Arial"/>
          <w:color w:val="000000"/>
          <w:sz w:val="20"/>
          <w:szCs w:val="20"/>
        </w:rPr>
        <w:lastRenderedPageBreak/>
        <w:t>proceedings where the prejudice resulting from an abuse of process is curable by less drastic means. Her Honour said</w:t>
      </w:r>
      <w:bookmarkStart w:id="233" w:name="_ftnref42"/>
      <w:r w:rsidR="00544ADF">
        <w:rPr>
          <w:rFonts w:ascii="Arial" w:hAnsi="Arial" w:cs="Arial"/>
          <w:color w:val="000000"/>
          <w:sz w:val="20"/>
          <w:szCs w:val="20"/>
        </w:rPr>
        <w:t xml:space="preserve"> at 408 [244]</w:t>
      </w:r>
      <w:bookmarkEnd w:id="233"/>
      <w:r w:rsidR="00670F64" w:rsidRPr="00670F64">
        <w:rPr>
          <w:rFonts w:ascii="Arial" w:hAnsi="Arial" w:cs="Arial"/>
          <w:color w:val="000000"/>
          <w:sz w:val="20"/>
          <w:szCs w:val="20"/>
        </w:rPr>
        <w:t>:</w:t>
      </w:r>
    </w:p>
    <w:p w14:paraId="45E626F4" w14:textId="4F905A73" w:rsidR="00F17CEF" w:rsidRPr="00F17CEF" w:rsidRDefault="00DF6714" w:rsidP="00F17CE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t>‘</w:t>
      </w:r>
      <w:r w:rsidR="00670F64"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00670F64" w:rsidRPr="00F17CEF">
        <w:rPr>
          <w:rFonts w:ascii="Arial" w:hAnsi="Arial" w:cs="Arial"/>
          <w:sz w:val="18"/>
          <w:szCs w:val="18"/>
        </w:rPr>
        <w:t>"</w:t>
      </w:r>
    </w:p>
    <w:p w14:paraId="59E16BF9" w14:textId="77777777" w:rsidR="00670F64" w:rsidRDefault="00670F64" w:rsidP="002A6040">
      <w:pPr>
        <w:jc w:val="both"/>
        <w:rPr>
          <w:rFonts w:ascii="Arial" w:hAnsi="Arial" w:cs="Arial"/>
          <w:sz w:val="20"/>
          <w:szCs w:val="20"/>
        </w:rPr>
      </w:pP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4"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4"/>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lastRenderedPageBreak/>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The correct 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lastRenderedPageBreak/>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 xml:space="preserve">In this case, s 6A(2)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5"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5"/>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6"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37"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6"/>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37"/>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38" w:name="_Toc30651644"/>
      <w:bookmarkStart w:id="239" w:name="_Toc30652628"/>
      <w:bookmarkStart w:id="240" w:name="_Toc30652726"/>
      <w:bookmarkStart w:id="241" w:name="_Toc30654071"/>
      <w:bookmarkStart w:id="242" w:name="_Toc30654422"/>
      <w:bookmarkStart w:id="243" w:name="_Toc30655041"/>
      <w:bookmarkStart w:id="244" w:name="_Toc30655298"/>
      <w:bookmarkStart w:id="245" w:name="_Toc30656976"/>
      <w:bookmarkStart w:id="246" w:name="_Toc30661725"/>
      <w:bookmarkStart w:id="247" w:name="_Toc30666413"/>
      <w:bookmarkStart w:id="248" w:name="_Toc30666643"/>
      <w:bookmarkStart w:id="249" w:name="_Toc30667818"/>
      <w:bookmarkStart w:id="250" w:name="_Toc30669196"/>
      <w:bookmarkStart w:id="251" w:name="_Toc30671412"/>
      <w:bookmarkStart w:id="252" w:name="_Toc30673939"/>
      <w:bookmarkStart w:id="253" w:name="_Toc30691161"/>
      <w:bookmarkStart w:id="254" w:name="_Toc30691532"/>
      <w:bookmarkStart w:id="255" w:name="_Toc30691912"/>
      <w:bookmarkStart w:id="256" w:name="_Toc30692671"/>
      <w:bookmarkStart w:id="257" w:name="_Toc30693050"/>
      <w:bookmarkStart w:id="258" w:name="_Toc30693428"/>
      <w:bookmarkStart w:id="259" w:name="_Toc30693807"/>
      <w:bookmarkStart w:id="260" w:name="_Toc30694188"/>
      <w:bookmarkStart w:id="261" w:name="_Toc30698777"/>
      <w:bookmarkStart w:id="262" w:name="_Toc30699155"/>
      <w:bookmarkStart w:id="263" w:name="_Toc30699540"/>
      <w:bookmarkStart w:id="264" w:name="_Toc30700695"/>
      <w:bookmarkStart w:id="265" w:name="_Toc30701082"/>
      <w:bookmarkStart w:id="266" w:name="_Toc30743691"/>
      <w:bookmarkStart w:id="267" w:name="_Toc30754513"/>
      <w:bookmarkStart w:id="268" w:name="_Toc30756953"/>
      <w:bookmarkStart w:id="269" w:name="_Toc30757502"/>
      <w:bookmarkStart w:id="270" w:name="_Toc30757902"/>
      <w:bookmarkStart w:id="271" w:name="_Toc30762663"/>
      <w:bookmarkStart w:id="272" w:name="_Toc30767317"/>
      <w:bookmarkStart w:id="273"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 xml:space="preserve">case manager at CVE, became engaged to provide services to rehabilitate and reintegrate TC and to provide </w:t>
      </w:r>
      <w:r w:rsidR="000867E8" w:rsidRPr="000B7637">
        <w:rPr>
          <w:rFonts w:ascii="Arial" w:hAnsi="Arial" w:cs="Arial"/>
          <w:sz w:val="20"/>
          <w:szCs w:val="20"/>
        </w:rPr>
        <w:lastRenderedPageBreak/>
        <w:t>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[72]</w:t>
      </w:r>
      <w:r w:rsidR="000B7637">
        <w:rPr>
          <w:rFonts w:ascii="Arial" w:hAnsi="Arial" w:cs="Arial"/>
          <w:sz w:val="20"/>
          <w:szCs w:val="20"/>
        </w:rPr>
        <w:noBreakHyphen/>
      </w:r>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lastRenderedPageBreak/>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r>
        <w:rPr>
          <w:rFonts w:ascii="Arial" w:hAnsi="Arial" w:cs="Arial"/>
          <w:sz w:val="18"/>
          <w:szCs w:val="18"/>
        </w:rPr>
        <w:t>‘”</w:t>
      </w:r>
      <w:r w:rsidR="00FF672E" w:rsidRPr="007875B5">
        <w:rPr>
          <w:rFonts w:ascii="Arial" w:hAnsi="Arial" w:cs="Arial"/>
          <w:sz w:val="18"/>
          <w:szCs w:val="18"/>
        </w:rPr>
        <w:t>Abuse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77777777"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 xml:space="preserve">including an assault alleged to have been committed on 13/09/2008.  The accused was 17y8m at the time of the alleged offences but was not charged until he </w:t>
      </w:r>
      <w:r w:rsidR="001B5E53" w:rsidRPr="00164487">
        <w:rPr>
          <w:rFonts w:ascii="Arial" w:hAnsi="Arial" w:cs="Arial"/>
          <w:color w:val="000000"/>
          <w:sz w:val="20"/>
          <w:szCs w:val="20"/>
        </w:rPr>
        <w:lastRenderedPageBreak/>
        <w:t>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B04DA9">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F892CD3" w:rsidR="00095896" w:rsidRPr="00095896" w:rsidRDefault="00095896" w:rsidP="00095896">
      <w:pPr>
        <w:jc w:val="both"/>
        <w:rPr>
          <w:rFonts w:ascii="Arial" w:hAnsi="Arial" w:cs="Arial"/>
          <w:sz w:val="20"/>
          <w:szCs w:val="20"/>
        </w:rPr>
      </w:pPr>
      <w:r>
        <w:rPr>
          <w:rFonts w:ascii="Arial" w:hAnsi="Arial" w:cs="Arial"/>
          <w:sz w:val="20"/>
        </w:rPr>
        <w:lastRenderedPageBreak/>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the next subsection: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774ADADF" w14:textId="77777777" w:rsidR="00095896" w:rsidRDefault="00095896" w:rsidP="00D64B2E">
      <w:pPr>
        <w:rPr>
          <w:rFonts w:ascii="Arial" w:hAnsi="Arial" w:cs="Arial"/>
          <w:sz w:val="20"/>
        </w:rPr>
      </w:pP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4" w:name="_3.3.4.2_Res_judicata,"/>
      <w:bookmarkStart w:id="275" w:name="B3342"/>
      <w:bookmarkEnd w:id="274"/>
      <w:bookmarkEnd w:id="275"/>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6DF8A0A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w:t>
      </w:r>
      <w:r w:rsidRPr="00347753">
        <w:rPr>
          <w:rFonts w:ascii="Arial" w:eastAsia="Arial" w:hAnsi="Arial" w:cs="Arial"/>
          <w:iCs/>
          <w:sz w:val="18"/>
          <w:szCs w:val="18"/>
        </w:rPr>
        <w:lastRenderedPageBreak/>
        <w:t>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Once it is appreciated that the rights in issue in the property settlement proceedings and in the spousal maintenance proceedings are the statutory rights of the wife to seek orders 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w:t>
      </w:r>
      <w:r w:rsidRPr="00DE0813">
        <w:rPr>
          <w:rFonts w:ascii="Arial" w:hAnsi="Arial" w:cs="Arial"/>
          <w:sz w:val="20"/>
          <w:szCs w:val="20"/>
        </w:rPr>
        <w:lastRenderedPageBreak/>
        <w:t xml:space="preserve">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there are a variety of circumstances ... why a party may justifiably refrain from litigating 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47B7F6A2" w14:textId="77777777"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for an order that the Secretary be permitted to tender 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6B7D00" w:rsidRPr="006B7D00">
        <w:rPr>
          <w:rFonts w:ascii="Arial" w:hAnsi="Arial" w:cs="Arial"/>
          <w:sz w:val="20"/>
          <w:szCs w:val="20"/>
        </w:rPr>
        <w:t xml:space="preserve"> 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7777777"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 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77777777" w:rsidR="007F7FD5" w:rsidRPr="00854172" w:rsidRDefault="007F7FD5" w:rsidP="00944C68">
      <w:pPr>
        <w:spacing w:before="80"/>
        <w:ind w:left="1134" w:right="1134"/>
        <w:jc w:val="both"/>
        <w:rPr>
          <w:rFonts w:ascii="Arial" w:hAnsi="Arial" w:cs="Arial"/>
          <w:bCs/>
          <w:sz w:val="20"/>
          <w:szCs w:val="20"/>
        </w:rPr>
      </w:pPr>
      <w:r w:rsidRPr="00854172">
        <w:rPr>
          <w:rFonts w:ascii="Arial" w:hAnsi="Arial" w:cs="Arial"/>
          <w:bCs/>
          <w:sz w:val="20"/>
          <w:szCs w:val="20"/>
        </w:rPr>
        <w:t xml:space="preserve">‘A judicial determination directly involving an issue of fact or of law disposes once and for all of the issue, so that it cannot afterwards be raised between the same parties or their privies.  </w:t>
      </w:r>
      <w:r w:rsidRPr="00854172">
        <w:rPr>
          <w:rFonts w:ascii="Arial" w:hAnsi="Arial" w:cs="Arial"/>
          <w:b/>
          <w:sz w:val="20"/>
          <w:szCs w:val="20"/>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854172">
        <w:rPr>
          <w:rFonts w:ascii="Arial" w:hAnsi="Arial" w:cs="Arial"/>
          <w:bCs/>
          <w:sz w:val="20"/>
          <w:szCs w:val="20"/>
        </w:rPr>
        <w:t>.  In matters of fact the issue estoppel is confined to those ultimate facts which form the ingredients in the cause of action, that is, the title to the right established.’</w:t>
      </w:r>
    </w:p>
    <w:p w14:paraId="47904EFB" w14:textId="77777777"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 xml:space="preserve">What the principle of issue estoppel means as applied to the circumstances of this case is that no party would </w:t>
      </w:r>
      <w:r w:rsidR="007F7FD5" w:rsidRPr="00854172">
        <w:rPr>
          <w:rFonts w:ascii="Arial" w:hAnsi="Arial" w:cs="Arial"/>
          <w:b/>
          <w:sz w:val="20"/>
          <w:szCs w:val="20"/>
        </w:rPr>
        <w:lastRenderedPageBreak/>
        <w:t>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make a decision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[There were a number of examples which ultimately came to light in which material in several of the 19 DOHS’ reports was either misleading or wrong or both.]  I</w:t>
      </w:r>
      <w:r w:rsidRPr="00854172">
        <w:rPr>
          <w:rFonts w:ascii="Arial" w:hAnsi="Arial" w:cs="Arial"/>
          <w:bCs/>
          <w:sz w:val="20"/>
          <w:szCs w:val="20"/>
        </w:rPr>
        <w:t xml:space="preserve">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 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77777777"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77777777"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w:t>
      </w:r>
      <w:r w:rsidR="00AA6352">
        <w:rPr>
          <w:rFonts w:ascii="Arial" w:hAnsi="Arial" w:cs="Arial"/>
          <w:color w:val="000000"/>
          <w:sz w:val="20"/>
        </w:rPr>
        <w:lastRenderedPageBreak/>
        <w:t xml:space="preserve">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2BF32572"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76"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76"/>
      <w:r w:rsidRPr="00490AA3">
        <w:rPr>
          <w:rFonts w:ascii="Arial" w:hAnsi="Arial" w:cs="Arial"/>
          <w:sz w:val="20"/>
          <w:szCs w:val="20"/>
        </w:rPr>
        <w:t xml:space="preserve">involved two siblings, A (born 11/08/2020) and J (born 12/06/2017).  On 01/08/2018 the Children’s Court [CCV]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CCV are a protection application by emergency care for A and an application for a long-term care order for J.  The issue before the CCV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 xml:space="preserve">“[O]n the face of s.162(1)(c), there is no identity of issues between the determination of the Court concerning child J in 2018 and the issues now arising in </w:t>
      </w:r>
      <w:r w:rsidRPr="00201B53">
        <w:rPr>
          <w:rFonts w:ascii="Arial" w:hAnsi="Arial" w:cs="Arial"/>
          <w:b/>
          <w:bCs/>
          <w:sz w:val="20"/>
          <w:szCs w:val="16"/>
        </w:rPr>
        <w:lastRenderedPageBreak/>
        <w:t>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7FFDD06A"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made a decision. So, the traditional legal analyses do not fit all that well with </w:t>
      </w:r>
      <w:r>
        <w:rPr>
          <w:rFonts w:ascii="Arial" w:hAnsi="Arial" w:cs="Arial"/>
          <w:color w:val="000000"/>
          <w:sz w:val="20"/>
          <w:szCs w:val="20"/>
          <w:bdr w:val="none" w:sz="0" w:space="0" w:color="auto" w:frame="1"/>
        </w:rPr>
        <w:t xml:space="preserve">the CCV’s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77" w:name="_3.3.4.3_Requirement_of"/>
      <w:bookmarkStart w:id="278" w:name="B3343"/>
      <w:bookmarkEnd w:id="277"/>
      <w:bookmarkEnd w:id="278"/>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are in need of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28CC4761"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filed a protection application in relation to a child on the basis that she was in need of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 xml:space="preserve">I should first state that the CCV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79" w:name="_3.3.4.4_Implied_power"/>
      <w:bookmarkEnd w:id="279"/>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112C588E" w14:textId="77777777" w:rsidR="004E6F29" w:rsidRDefault="004E6F29" w:rsidP="004E6F29">
      <w:pPr>
        <w:rPr>
          <w:rFonts w:ascii="Arial" w:hAnsi="Arial" w:cs="Arial"/>
          <w:sz w:val="20"/>
        </w:rPr>
      </w:pPr>
      <w:bookmarkStart w:id="280" w:name="_3.4_Procedural_guidelines"/>
      <w:bookmarkStart w:id="281" w:name="B34"/>
      <w:bookmarkStart w:id="282" w:name="_Hlk167784752"/>
      <w:bookmarkEnd w:id="280"/>
      <w:bookmarkEnd w:id="281"/>
    </w:p>
    <w:p w14:paraId="6D4DF695" w14:textId="271BD371" w:rsidR="004E6F29" w:rsidRPr="009F25D4" w:rsidRDefault="004E6F29" w:rsidP="004E6F29">
      <w:pPr>
        <w:pStyle w:val="Heading3"/>
        <w:keepNext/>
        <w:spacing w:line="240" w:lineRule="auto"/>
        <w:rPr>
          <w:rFonts w:ascii="Arial" w:hAnsi="Arial" w:cs="Arial"/>
          <w:b/>
          <w:bCs/>
          <w:color w:val="000000"/>
          <w:sz w:val="20"/>
        </w:rPr>
      </w:pPr>
      <w:bookmarkStart w:id="283" w:name="_3.3.4.5_Power_to"/>
      <w:bookmarkEnd w:id="283"/>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5</w:t>
      </w:r>
      <w:r w:rsidRPr="006C4114">
        <w:rPr>
          <w:rFonts w:ascii="Arial" w:hAnsi="Arial" w:cs="Arial"/>
          <w:b/>
          <w:bCs/>
          <w:sz w:val="20"/>
        </w:rPr>
        <w:tab/>
      </w:r>
      <w:r>
        <w:rPr>
          <w:rFonts w:ascii="Arial" w:hAnsi="Arial" w:cs="Arial"/>
          <w:b/>
          <w:bCs/>
          <w:sz w:val="20"/>
        </w:rPr>
        <w:t xml:space="preserve">Power to dismiss a proceeding </w:t>
      </w:r>
      <w:r w:rsidR="00C253B3">
        <w:rPr>
          <w:rFonts w:ascii="Arial" w:hAnsi="Arial" w:cs="Arial"/>
          <w:b/>
          <w:bCs/>
          <w:sz w:val="20"/>
        </w:rPr>
        <w:t>f</w:t>
      </w:r>
      <w:r>
        <w:rPr>
          <w:rFonts w:ascii="Arial" w:hAnsi="Arial" w:cs="Arial"/>
          <w:b/>
          <w:bCs/>
          <w:sz w:val="20"/>
        </w:rPr>
        <w:t>or want of prosecution</w:t>
      </w:r>
    </w:p>
    <w:p w14:paraId="07510E89" w14:textId="44D2E0E2" w:rsidR="004E6F29" w:rsidRDefault="004E6F29" w:rsidP="0062091D">
      <w:pPr>
        <w:spacing w:before="120"/>
        <w:jc w:val="both"/>
        <w:rPr>
          <w:rFonts w:ascii="Arial" w:hAnsi="Arial" w:cs="Arial"/>
          <w:sz w:val="20"/>
        </w:rPr>
      </w:pPr>
      <w:r>
        <w:rPr>
          <w:rFonts w:ascii="Arial" w:hAnsi="Arial" w:cs="Arial"/>
          <w:sz w:val="20"/>
        </w:rPr>
        <w:t xml:space="preserve">In </w:t>
      </w:r>
      <w:r w:rsidRPr="004E6F29">
        <w:rPr>
          <w:rFonts w:ascii="Arial" w:hAnsi="Arial" w:cs="Arial"/>
          <w:i/>
          <w:iCs/>
          <w:sz w:val="20"/>
        </w:rPr>
        <w:t xml:space="preserve">Pentridge Village Ptd Ltd (in </w:t>
      </w:r>
      <w:proofErr w:type="gramStart"/>
      <w:r w:rsidRPr="004E6F29">
        <w:rPr>
          <w:rFonts w:ascii="Arial" w:hAnsi="Arial" w:cs="Arial"/>
          <w:i/>
          <w:iCs/>
          <w:sz w:val="20"/>
        </w:rPr>
        <w:t>liquidation)(</w:t>
      </w:r>
      <w:proofErr w:type="gramEnd"/>
      <w:r w:rsidRPr="004E6F29">
        <w:rPr>
          <w:rFonts w:ascii="Arial" w:hAnsi="Arial" w:cs="Arial"/>
          <w:i/>
          <w:iCs/>
          <w:sz w:val="20"/>
        </w:rPr>
        <w:t>Receivers and managers appointed) v Capital Finance Australia Ltd</w:t>
      </w:r>
      <w:r>
        <w:rPr>
          <w:rFonts w:ascii="Arial" w:hAnsi="Arial" w:cs="Arial"/>
          <w:sz w:val="20"/>
        </w:rPr>
        <w:t xml:space="preserve"> [2025] VSCA 290 the proceeding had </w:t>
      </w:r>
      <w:r w:rsidR="000F17DA">
        <w:rPr>
          <w:rFonts w:ascii="Arial" w:hAnsi="Arial" w:cs="Arial"/>
          <w:sz w:val="20"/>
        </w:rPr>
        <w:t xml:space="preserve">had </w:t>
      </w:r>
      <w:r>
        <w:rPr>
          <w:rFonts w:ascii="Arial" w:hAnsi="Arial" w:cs="Arial"/>
          <w:sz w:val="20"/>
        </w:rPr>
        <w:t xml:space="preserve">a long and protracted history, the applicants having commenced the proceeding on 30 June 2016 claiming damages in the order of $840 million for loss of opportunity to develop the former Pentridge Prison site and pleading </w:t>
      </w:r>
      <w:r w:rsidR="0062091D">
        <w:rPr>
          <w:rFonts w:ascii="Arial" w:hAnsi="Arial" w:cs="Arial"/>
          <w:sz w:val="20"/>
        </w:rPr>
        <w:t>misleading and deceptive conduct, deceit and statutory unconscionable conduct by the respondent. Stynes J made orders on 3</w:t>
      </w:r>
      <w:r w:rsidR="000F17DA">
        <w:rPr>
          <w:rFonts w:ascii="Arial" w:hAnsi="Arial" w:cs="Arial"/>
          <w:sz w:val="20"/>
        </w:rPr>
        <w:t> </w:t>
      </w:r>
      <w:r w:rsidR="0062091D">
        <w:rPr>
          <w:rFonts w:ascii="Arial" w:hAnsi="Arial" w:cs="Arial"/>
          <w:sz w:val="20"/>
        </w:rPr>
        <w:t>November 2023 dismissing the proceeding for want of prosecution</w:t>
      </w:r>
      <w:r w:rsidR="000F17DA">
        <w:rPr>
          <w:rFonts w:ascii="Arial" w:hAnsi="Arial" w:cs="Arial"/>
          <w:sz w:val="20"/>
        </w:rPr>
        <w:t xml:space="preserve"> on the basis</w:t>
      </w:r>
      <w:r w:rsidR="0062091D">
        <w:rPr>
          <w:rFonts w:ascii="Arial" w:hAnsi="Arial" w:cs="Arial"/>
          <w:sz w:val="20"/>
        </w:rPr>
        <w:t xml:space="preserve"> that there had been </w:t>
      </w:r>
      <w:r w:rsidR="0062091D" w:rsidRPr="0062091D">
        <w:rPr>
          <w:rFonts w:ascii="Arial" w:hAnsi="Arial" w:cs="Arial"/>
          <w:sz w:val="20"/>
        </w:rPr>
        <w:t xml:space="preserve">inordinate and inexcusable delay on the part of the applicants which prejudiced </w:t>
      </w:r>
      <w:r w:rsidR="0062091D">
        <w:rPr>
          <w:rFonts w:ascii="Arial" w:hAnsi="Arial" w:cs="Arial"/>
          <w:sz w:val="20"/>
        </w:rPr>
        <w:t>the respondent</w:t>
      </w:r>
      <w:r w:rsidR="0062091D" w:rsidRPr="0062091D">
        <w:rPr>
          <w:rFonts w:ascii="Arial" w:hAnsi="Arial" w:cs="Arial"/>
          <w:sz w:val="20"/>
        </w:rPr>
        <w:t xml:space="preserve"> and gave rise to a substantial risk that a fair trial could not be </w:t>
      </w:r>
      <w:proofErr w:type="gramStart"/>
      <w:r w:rsidR="0062091D" w:rsidRPr="0062091D">
        <w:rPr>
          <w:rFonts w:ascii="Arial" w:hAnsi="Arial" w:cs="Arial"/>
          <w:sz w:val="20"/>
        </w:rPr>
        <w:t>had</w:t>
      </w:r>
      <w:r w:rsidR="000F17DA">
        <w:rPr>
          <w:rFonts w:ascii="Arial" w:hAnsi="Arial" w:cs="Arial"/>
          <w:sz w:val="20"/>
        </w:rPr>
        <w:t>:</w:t>
      </w:r>
      <w:proofErr w:type="gramEnd"/>
      <w:r w:rsidR="000F17DA">
        <w:rPr>
          <w:rFonts w:ascii="Arial" w:hAnsi="Arial" w:cs="Arial"/>
          <w:sz w:val="20"/>
        </w:rPr>
        <w:t xml:space="preserve"> see [2023] VSC 605.</w:t>
      </w:r>
    </w:p>
    <w:p w14:paraId="6F3D7487" w14:textId="750CD93A" w:rsidR="004E6F29" w:rsidRDefault="00C41C87" w:rsidP="005C4CC4">
      <w:pPr>
        <w:spacing w:before="80"/>
        <w:jc w:val="both"/>
        <w:rPr>
          <w:rFonts w:ascii="Arial" w:hAnsi="Arial" w:cs="Arial"/>
          <w:sz w:val="20"/>
        </w:rPr>
      </w:pPr>
      <w:r>
        <w:rPr>
          <w:rFonts w:ascii="Arial" w:hAnsi="Arial" w:cs="Arial"/>
          <w:sz w:val="20"/>
        </w:rPr>
        <w:t xml:space="preserve">The Court of Appeal granted leave to appeal, holding that Stynes J had identified the correct test </w:t>
      </w:r>
      <w:r w:rsidRPr="004E6F29">
        <w:rPr>
          <w:rFonts w:ascii="Arial" w:hAnsi="Arial" w:cs="Arial"/>
          <w:sz w:val="20"/>
        </w:rPr>
        <w:t xml:space="preserve">but </w:t>
      </w:r>
      <w:r w:rsidR="005C4CC4">
        <w:rPr>
          <w:rFonts w:ascii="Arial" w:hAnsi="Arial" w:cs="Arial"/>
          <w:sz w:val="20"/>
        </w:rPr>
        <w:t>had</w:t>
      </w:r>
      <w:r w:rsidRPr="004E6F29">
        <w:rPr>
          <w:rFonts w:ascii="Arial" w:hAnsi="Arial" w:cs="Arial"/>
          <w:sz w:val="20"/>
        </w:rPr>
        <w:t xml:space="preserve"> not distinguish</w:t>
      </w:r>
      <w:r w:rsidR="005C4CC4">
        <w:rPr>
          <w:rFonts w:ascii="Arial" w:hAnsi="Arial" w:cs="Arial"/>
          <w:sz w:val="20"/>
        </w:rPr>
        <w:t>ed</w:t>
      </w:r>
      <w:r w:rsidRPr="004E6F29">
        <w:rPr>
          <w:rFonts w:ascii="Arial" w:hAnsi="Arial" w:cs="Arial"/>
          <w:sz w:val="20"/>
        </w:rPr>
        <w:t xml:space="preserve"> between prejudice to </w:t>
      </w:r>
      <w:r>
        <w:rPr>
          <w:rFonts w:ascii="Arial" w:hAnsi="Arial" w:cs="Arial"/>
          <w:sz w:val="20"/>
        </w:rPr>
        <w:t xml:space="preserve">the </w:t>
      </w:r>
      <w:r w:rsidRPr="004E6F29">
        <w:rPr>
          <w:rFonts w:ascii="Arial" w:hAnsi="Arial" w:cs="Arial"/>
          <w:sz w:val="20"/>
        </w:rPr>
        <w:t xml:space="preserve">respondent due to </w:t>
      </w:r>
      <w:r>
        <w:rPr>
          <w:rFonts w:ascii="Arial" w:hAnsi="Arial" w:cs="Arial"/>
          <w:sz w:val="20"/>
        </w:rPr>
        <w:t xml:space="preserve">the </w:t>
      </w:r>
      <w:r w:rsidRPr="004E6F29">
        <w:rPr>
          <w:rFonts w:ascii="Arial" w:hAnsi="Arial" w:cs="Arial"/>
          <w:sz w:val="20"/>
        </w:rPr>
        <w:t xml:space="preserve">applicants’ inordinate and inexcusable delay and prejudice </w:t>
      </w:r>
      <w:r>
        <w:rPr>
          <w:rFonts w:ascii="Arial" w:hAnsi="Arial" w:cs="Arial"/>
          <w:sz w:val="20"/>
        </w:rPr>
        <w:t xml:space="preserve">the </w:t>
      </w:r>
      <w:r w:rsidRPr="004E6F29">
        <w:rPr>
          <w:rFonts w:ascii="Arial" w:hAnsi="Arial" w:cs="Arial"/>
          <w:sz w:val="20"/>
        </w:rPr>
        <w:t>respondent would have suffered in any event</w:t>
      </w:r>
      <w:r>
        <w:rPr>
          <w:rFonts w:ascii="Arial" w:hAnsi="Arial" w:cs="Arial"/>
          <w:sz w:val="20"/>
        </w:rPr>
        <w:t xml:space="preserve">. In reconsidering the dismissal application the Court of Appeal found further periods of inordinate and inexcusable delay, leading </w:t>
      </w:r>
      <w:r w:rsidR="00380D51">
        <w:rPr>
          <w:rFonts w:ascii="Arial" w:hAnsi="Arial" w:cs="Arial"/>
          <w:sz w:val="20"/>
        </w:rPr>
        <w:t xml:space="preserve">it </w:t>
      </w:r>
      <w:r>
        <w:rPr>
          <w:rFonts w:ascii="Arial" w:hAnsi="Arial" w:cs="Arial"/>
          <w:sz w:val="20"/>
        </w:rPr>
        <w:t>to conclu</w:t>
      </w:r>
      <w:r w:rsidR="00380D51">
        <w:rPr>
          <w:rFonts w:ascii="Arial" w:hAnsi="Arial" w:cs="Arial"/>
          <w:sz w:val="20"/>
        </w:rPr>
        <w:t>de</w:t>
      </w:r>
      <w:r>
        <w:rPr>
          <w:rFonts w:ascii="Arial" w:hAnsi="Arial" w:cs="Arial"/>
          <w:sz w:val="20"/>
        </w:rPr>
        <w:t xml:space="preserve"> that the proceeding should be dismissed for want of prosecution.</w:t>
      </w:r>
    </w:p>
    <w:p w14:paraId="44737F2E" w14:textId="494CB02A" w:rsidR="005C4CC4" w:rsidRDefault="00C41C87" w:rsidP="00C41C87">
      <w:pPr>
        <w:spacing w:before="60"/>
        <w:jc w:val="both"/>
        <w:rPr>
          <w:rFonts w:ascii="Arial" w:hAnsi="Arial" w:cs="Arial"/>
          <w:sz w:val="20"/>
        </w:rPr>
      </w:pPr>
      <w:r>
        <w:rPr>
          <w:rFonts w:ascii="Arial" w:hAnsi="Arial" w:cs="Arial"/>
          <w:sz w:val="20"/>
        </w:rPr>
        <w:t xml:space="preserve">In relation to the relevant test, </w:t>
      </w:r>
      <w:r w:rsidR="005C4CC4">
        <w:rPr>
          <w:rFonts w:ascii="Arial" w:hAnsi="Arial" w:cs="Arial"/>
          <w:sz w:val="20"/>
        </w:rPr>
        <w:t xml:space="preserve">the Court of Appeal (Kennedy, Orr &amp; Richards JJA) referred at [71] to “the </w:t>
      </w:r>
      <w:r w:rsidR="005C4CC4" w:rsidRPr="005C4CC4">
        <w:rPr>
          <w:rFonts w:ascii="Arial" w:hAnsi="Arial" w:cs="Arial"/>
          <w:sz w:val="20"/>
        </w:rPr>
        <w:t xml:space="preserve">fundamental principle that has long informed the exercise of the power to dismiss proceedings for want </w:t>
      </w:r>
      <w:r w:rsidR="005C4CC4" w:rsidRPr="005C4CC4">
        <w:rPr>
          <w:rFonts w:ascii="Arial" w:hAnsi="Arial" w:cs="Arial"/>
          <w:sz w:val="20"/>
        </w:rPr>
        <w:lastRenderedPageBreak/>
        <w:t>of prosecution, which is that an order for dismissal will be made ‘if the justice of the occasion demands it’</w:t>
      </w:r>
      <w:r w:rsidR="005C4CC4">
        <w:rPr>
          <w:rFonts w:ascii="Arial" w:hAnsi="Arial" w:cs="Arial"/>
          <w:sz w:val="20"/>
        </w:rPr>
        <w:t xml:space="preserve">: see </w:t>
      </w:r>
      <w:r w:rsidR="005C4CC4" w:rsidRPr="005C4CC4">
        <w:rPr>
          <w:rFonts w:ascii="Arial" w:hAnsi="Arial" w:cs="Arial"/>
          <w:i/>
          <w:iCs/>
          <w:sz w:val="20"/>
        </w:rPr>
        <w:t>Masel v Transport Industries Insurance Co Ltd</w:t>
      </w:r>
      <w:r w:rsidR="005C4CC4" w:rsidRPr="005C4CC4">
        <w:rPr>
          <w:rFonts w:ascii="Arial" w:hAnsi="Arial" w:cs="Arial"/>
          <w:sz w:val="20"/>
        </w:rPr>
        <w:t xml:space="preserve"> [1995] 2 VR 32</w:t>
      </w:r>
      <w:r w:rsidR="005C4CC4">
        <w:rPr>
          <w:rFonts w:ascii="Arial" w:hAnsi="Arial" w:cs="Arial"/>
          <w:sz w:val="20"/>
        </w:rPr>
        <w:t>8, 332</w:t>
      </w:r>
      <w:r w:rsidR="005C4CC4" w:rsidRPr="005C4CC4">
        <w:rPr>
          <w:rFonts w:ascii="Arial" w:hAnsi="Arial" w:cs="Arial"/>
          <w:sz w:val="20"/>
        </w:rPr>
        <w:t>.</w:t>
      </w:r>
      <w:r w:rsidR="005C4CC4">
        <w:rPr>
          <w:rFonts w:ascii="Arial" w:hAnsi="Arial" w:cs="Arial"/>
          <w:sz w:val="20"/>
        </w:rPr>
        <w:t>”</w:t>
      </w:r>
      <w:r w:rsidR="00380D51">
        <w:rPr>
          <w:rFonts w:ascii="Arial" w:hAnsi="Arial" w:cs="Arial"/>
          <w:sz w:val="20"/>
        </w:rPr>
        <w:t xml:space="preserve"> Their Honours’ analysis at [70]-[84] </w:t>
      </w:r>
      <w:r w:rsidR="00C253B3">
        <w:rPr>
          <w:rFonts w:ascii="Arial" w:hAnsi="Arial" w:cs="Arial"/>
          <w:sz w:val="20"/>
        </w:rPr>
        <w:t>conclude</w:t>
      </w:r>
      <w:r w:rsidR="002765B8">
        <w:rPr>
          <w:rFonts w:ascii="Arial" w:hAnsi="Arial" w:cs="Arial"/>
          <w:sz w:val="20"/>
        </w:rPr>
        <w:t>d</w:t>
      </w:r>
      <w:r w:rsidR="00380D51">
        <w:rPr>
          <w:rFonts w:ascii="Arial" w:hAnsi="Arial" w:cs="Arial"/>
          <w:sz w:val="20"/>
        </w:rPr>
        <w:t xml:space="preserve"> that the guidelines adopted in </w:t>
      </w:r>
      <w:r w:rsidR="005C4CC4" w:rsidRPr="00380D51">
        <w:rPr>
          <w:rFonts w:ascii="Arial" w:hAnsi="Arial" w:cs="Arial"/>
          <w:i/>
          <w:iCs/>
          <w:sz w:val="20"/>
        </w:rPr>
        <w:t xml:space="preserve">Bishopsgate Insurance Australia Ltd (in </w:t>
      </w:r>
      <w:proofErr w:type="spellStart"/>
      <w:r w:rsidR="005C4CC4" w:rsidRPr="00380D51">
        <w:rPr>
          <w:rFonts w:ascii="Arial" w:hAnsi="Arial" w:cs="Arial"/>
          <w:i/>
          <w:iCs/>
          <w:sz w:val="20"/>
        </w:rPr>
        <w:t>liq</w:t>
      </w:r>
      <w:proofErr w:type="spellEnd"/>
      <w:r w:rsidR="005C4CC4" w:rsidRPr="00380D51">
        <w:rPr>
          <w:rFonts w:ascii="Arial" w:hAnsi="Arial" w:cs="Arial"/>
          <w:i/>
          <w:iCs/>
          <w:sz w:val="20"/>
        </w:rPr>
        <w:t>) v Deloitte Haskins &amp; Sells</w:t>
      </w:r>
      <w:r w:rsidR="005C4CC4" w:rsidRPr="005C4CC4">
        <w:rPr>
          <w:rFonts w:ascii="Arial" w:hAnsi="Arial" w:cs="Arial"/>
          <w:sz w:val="20"/>
        </w:rPr>
        <w:t xml:space="preserve"> [1999] 3 VR 863 </w:t>
      </w:r>
      <w:r w:rsidR="00380D51">
        <w:rPr>
          <w:rFonts w:ascii="Arial" w:hAnsi="Arial" w:cs="Arial"/>
          <w:sz w:val="20"/>
        </w:rPr>
        <w:t xml:space="preserve">remain operative but the Court is now also </w:t>
      </w:r>
      <w:r w:rsidR="005C4CC4" w:rsidRPr="005C4CC4">
        <w:rPr>
          <w:rFonts w:ascii="Arial" w:hAnsi="Arial" w:cs="Arial"/>
          <w:sz w:val="20"/>
        </w:rPr>
        <w:t>obliged to have regard to the efficient conduct of its business, efficient use of its resources, minimising delay, and the timely determination of the procee</w:t>
      </w:r>
      <w:r w:rsidR="00380D51">
        <w:rPr>
          <w:rFonts w:ascii="Arial" w:hAnsi="Arial" w:cs="Arial"/>
          <w:sz w:val="20"/>
        </w:rPr>
        <w:t>ding</w:t>
      </w:r>
      <w:r w:rsidR="00C253B3">
        <w:rPr>
          <w:rFonts w:ascii="Arial" w:hAnsi="Arial" w:cs="Arial"/>
          <w:sz w:val="20"/>
        </w:rPr>
        <w:t xml:space="preserve">, </w:t>
      </w:r>
      <w:r w:rsidR="00380D51">
        <w:rPr>
          <w:rFonts w:ascii="Arial" w:hAnsi="Arial" w:cs="Arial"/>
          <w:sz w:val="20"/>
        </w:rPr>
        <w:t xml:space="preserve">their Honours </w:t>
      </w:r>
      <w:r w:rsidR="00C253B3">
        <w:rPr>
          <w:rFonts w:ascii="Arial" w:hAnsi="Arial" w:cs="Arial"/>
          <w:sz w:val="20"/>
        </w:rPr>
        <w:t>stating at [84]</w:t>
      </w:r>
      <w:r w:rsidR="00380D51">
        <w:rPr>
          <w:rFonts w:ascii="Arial" w:hAnsi="Arial" w:cs="Arial"/>
          <w:sz w:val="20"/>
        </w:rPr>
        <w:t>:</w:t>
      </w:r>
    </w:p>
    <w:p w14:paraId="24D9A58D" w14:textId="4040A6FB" w:rsidR="005C4CC4" w:rsidRDefault="00C253B3" w:rsidP="00C253B3">
      <w:pPr>
        <w:spacing w:before="80"/>
        <w:ind w:left="567" w:right="567"/>
        <w:jc w:val="both"/>
        <w:rPr>
          <w:rFonts w:ascii="Arial" w:hAnsi="Arial" w:cs="Arial"/>
          <w:sz w:val="20"/>
        </w:rPr>
      </w:pPr>
      <w:r>
        <w:rPr>
          <w:rFonts w:ascii="Arial" w:hAnsi="Arial" w:cs="Arial"/>
          <w:color w:val="000000"/>
          <w:sz w:val="20"/>
          <w:szCs w:val="20"/>
          <w:shd w:val="clear" w:color="auto" w:fill="FFFFFF"/>
        </w:rPr>
        <w:t>“</w:t>
      </w:r>
      <w:r w:rsidR="00380D51" w:rsidRPr="00380D51">
        <w:rPr>
          <w:rFonts w:ascii="Arial" w:hAnsi="Arial" w:cs="Arial"/>
          <w:sz w:val="20"/>
        </w:rPr>
        <w:t xml:space="preserve">It follows that, when considering an application for an order dismissing a civil proceeding for want of prosecution, the Court is now obliged to have regard to the efficient conduct of its business, efficient use of its resources, minimising delay, and the timely determination of the proceeding. That is so whether the application is made under Order 24 of the Rules or in the Court’s inherent jurisdiction. The statement in </w:t>
      </w:r>
      <w:r w:rsidR="00380D51" w:rsidRPr="00C253B3">
        <w:rPr>
          <w:rFonts w:ascii="Arial" w:hAnsi="Arial" w:cs="Arial"/>
          <w:i/>
          <w:iCs/>
          <w:sz w:val="20"/>
        </w:rPr>
        <w:t>Bishopsgate</w:t>
      </w:r>
      <w:r w:rsidR="00380D51" w:rsidRPr="00380D51">
        <w:rPr>
          <w:rFonts w:ascii="Arial" w:hAnsi="Arial" w:cs="Arial"/>
          <w:sz w:val="20"/>
        </w:rPr>
        <w:t xml:space="preserve"> to the effect that these considerations are not ordinarily relevant can no longer stand in light of the decision of the High Court in </w:t>
      </w:r>
      <w:r w:rsidR="00380D51" w:rsidRPr="00C253B3">
        <w:rPr>
          <w:rFonts w:ascii="Arial" w:hAnsi="Arial" w:cs="Arial"/>
          <w:i/>
          <w:iCs/>
          <w:sz w:val="20"/>
        </w:rPr>
        <w:t>Aon</w:t>
      </w:r>
      <w:r w:rsidRPr="00C253B3">
        <w:rPr>
          <w:rFonts w:ascii="Arial" w:hAnsi="Arial" w:cs="Arial"/>
          <w:i/>
          <w:iCs/>
          <w:sz w:val="20"/>
        </w:rPr>
        <w:t xml:space="preserve"> Risk Services Australia Ltd v Australian National University</w:t>
      </w:r>
      <w:r w:rsidRPr="00C253B3">
        <w:rPr>
          <w:rFonts w:ascii="Arial" w:hAnsi="Arial" w:cs="Arial"/>
          <w:sz w:val="20"/>
        </w:rPr>
        <w:t xml:space="preserve"> (2009) 239 CLR 17</w:t>
      </w:r>
      <w:r>
        <w:rPr>
          <w:rFonts w:ascii="Arial" w:hAnsi="Arial" w:cs="Arial"/>
          <w:sz w:val="20"/>
        </w:rPr>
        <w:t>5,</w:t>
      </w:r>
      <w:r w:rsidR="00380D51" w:rsidRPr="00380D51">
        <w:rPr>
          <w:rFonts w:ascii="Arial" w:hAnsi="Arial" w:cs="Arial"/>
          <w:sz w:val="20"/>
        </w:rPr>
        <w:t xml:space="preserve"> and </w:t>
      </w:r>
      <w:r>
        <w:rPr>
          <w:rFonts w:ascii="Arial" w:hAnsi="Arial" w:cs="Arial"/>
          <w:sz w:val="20"/>
        </w:rPr>
        <w:t xml:space="preserve">[ss.7-9 of] </w:t>
      </w:r>
      <w:r w:rsidR="00380D51" w:rsidRPr="00380D51">
        <w:rPr>
          <w:rFonts w:ascii="Arial" w:hAnsi="Arial" w:cs="Arial"/>
          <w:sz w:val="20"/>
        </w:rPr>
        <w:t xml:space="preserve">the </w:t>
      </w:r>
      <w:r w:rsidR="00380D51" w:rsidRPr="00C253B3">
        <w:rPr>
          <w:rFonts w:ascii="Arial" w:hAnsi="Arial" w:cs="Arial"/>
          <w:i/>
          <w:iCs/>
          <w:sz w:val="20"/>
        </w:rPr>
        <w:t>Civil Procedure Act</w:t>
      </w:r>
      <w:r w:rsidRPr="00C253B3">
        <w:rPr>
          <w:rFonts w:ascii="Arial" w:hAnsi="Arial" w:cs="Arial"/>
          <w:i/>
          <w:iCs/>
          <w:sz w:val="20"/>
        </w:rPr>
        <w:t xml:space="preserve"> 2010</w:t>
      </w:r>
      <w:r>
        <w:rPr>
          <w:rFonts w:ascii="Arial" w:hAnsi="Arial" w:cs="Arial"/>
          <w:sz w:val="20"/>
        </w:rPr>
        <w:t xml:space="preserve"> (Vic)</w:t>
      </w:r>
      <w:r w:rsidR="00380D51" w:rsidRPr="00380D51">
        <w:rPr>
          <w:rFonts w:ascii="Arial" w:hAnsi="Arial" w:cs="Arial"/>
          <w:sz w:val="20"/>
        </w:rPr>
        <w:t>.</w:t>
      </w:r>
      <w:r>
        <w:rPr>
          <w:rFonts w:ascii="Arial" w:hAnsi="Arial" w:cs="Arial"/>
          <w:sz w:val="20"/>
        </w:rPr>
        <w:t>”</w:t>
      </w:r>
    </w:p>
    <w:p w14:paraId="2D057956" w14:textId="2FB4BA5A" w:rsidR="004E6F29" w:rsidRDefault="00C253B3" w:rsidP="00C253B3">
      <w:pPr>
        <w:spacing w:before="80"/>
        <w:jc w:val="both"/>
        <w:rPr>
          <w:rFonts w:ascii="Arial" w:hAnsi="Arial" w:cs="Arial"/>
          <w:sz w:val="20"/>
        </w:rPr>
      </w:pPr>
      <w:r>
        <w:rPr>
          <w:rFonts w:ascii="Arial" w:hAnsi="Arial" w:cs="Arial"/>
          <w:sz w:val="20"/>
        </w:rPr>
        <w:t xml:space="preserve">So far as the efficient management of child protection proceedings is concerned, s.215B of the CYFA </w:t>
      </w:r>
      <w:r w:rsidR="00F01A26">
        <w:rPr>
          <w:rFonts w:ascii="Arial" w:hAnsi="Arial" w:cs="Arial"/>
          <w:sz w:val="20"/>
        </w:rPr>
        <w:t xml:space="preserve">appears </w:t>
      </w:r>
      <w:r w:rsidR="0052149C">
        <w:rPr>
          <w:rFonts w:ascii="Arial" w:hAnsi="Arial" w:cs="Arial"/>
          <w:sz w:val="20"/>
        </w:rPr>
        <w:t xml:space="preserve">designed </w:t>
      </w:r>
      <w:r w:rsidR="00F01A26">
        <w:rPr>
          <w:rFonts w:ascii="Arial" w:hAnsi="Arial" w:cs="Arial"/>
          <w:sz w:val="20"/>
        </w:rPr>
        <w:t xml:space="preserve">to </w:t>
      </w:r>
      <w:r w:rsidR="0052149C">
        <w:rPr>
          <w:rFonts w:ascii="Arial" w:hAnsi="Arial" w:cs="Arial"/>
          <w:sz w:val="20"/>
        </w:rPr>
        <w:t xml:space="preserve">achieve a similar purpose of efficiency and delay minimisation in </w:t>
      </w:r>
      <w:r>
        <w:rPr>
          <w:rFonts w:ascii="Arial" w:hAnsi="Arial" w:cs="Arial"/>
          <w:sz w:val="20"/>
        </w:rPr>
        <w:t xml:space="preserve">the </w:t>
      </w:r>
      <w:r w:rsidR="00F01A26">
        <w:rPr>
          <w:rFonts w:ascii="Arial" w:hAnsi="Arial" w:cs="Arial"/>
          <w:sz w:val="20"/>
        </w:rPr>
        <w:t xml:space="preserve">Family Division of the </w:t>
      </w:r>
      <w:r>
        <w:rPr>
          <w:rFonts w:ascii="Arial" w:hAnsi="Arial" w:cs="Arial"/>
          <w:sz w:val="20"/>
        </w:rPr>
        <w:t xml:space="preserve">Children’s Court as </w:t>
      </w:r>
      <w:r w:rsidR="00F01A26">
        <w:rPr>
          <w:rFonts w:ascii="Arial" w:hAnsi="Arial" w:cs="Arial"/>
          <w:sz w:val="20"/>
        </w:rPr>
        <w:t xml:space="preserve">the </w:t>
      </w:r>
      <w:r w:rsidR="00F01A26" w:rsidRPr="00F01A26">
        <w:rPr>
          <w:rFonts w:ascii="Arial" w:hAnsi="Arial" w:cs="Arial"/>
          <w:i/>
          <w:iCs/>
          <w:sz w:val="20"/>
        </w:rPr>
        <w:t>Civil Procedure Act 2010</w:t>
      </w:r>
      <w:r w:rsidR="00F01A26">
        <w:rPr>
          <w:rFonts w:ascii="Arial" w:hAnsi="Arial" w:cs="Arial"/>
          <w:sz w:val="20"/>
        </w:rPr>
        <w:t xml:space="preserve"> </w:t>
      </w:r>
      <w:r w:rsidR="0052149C">
        <w:rPr>
          <w:rFonts w:ascii="Arial" w:hAnsi="Arial" w:cs="Arial"/>
          <w:sz w:val="20"/>
        </w:rPr>
        <w:t>is designed to achieve in</w:t>
      </w:r>
      <w:r w:rsidR="00F01A26">
        <w:rPr>
          <w:rFonts w:ascii="Arial" w:hAnsi="Arial" w:cs="Arial"/>
          <w:sz w:val="20"/>
        </w:rPr>
        <w:t xml:space="preserve"> other Victorian civil jurisdictions.</w:t>
      </w:r>
    </w:p>
    <w:p w14:paraId="3118FFD8" w14:textId="77777777" w:rsidR="00C253B3" w:rsidRDefault="00C253B3" w:rsidP="00D71A60">
      <w:pPr>
        <w:jc w:val="both"/>
        <w:rPr>
          <w:rFonts w:ascii="Arial" w:hAnsi="Arial" w:cs="Arial"/>
          <w:sz w:val="20"/>
        </w:rPr>
      </w:pPr>
    </w:p>
    <w:p w14:paraId="6E489CC4" w14:textId="77777777" w:rsidR="007849C4" w:rsidRPr="00836E86" w:rsidRDefault="007849C4" w:rsidP="007849C4">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72B307CE" w14:textId="77777777" w:rsidR="007849C4" w:rsidRPr="00836E86" w:rsidRDefault="007849C4" w:rsidP="007849C4">
      <w:pPr>
        <w:rPr>
          <w:rFonts w:ascii="Arial" w:hAnsi="Arial" w:cs="Arial"/>
          <w:sz w:val="20"/>
        </w:rPr>
      </w:pPr>
    </w:p>
    <w:p w14:paraId="08DF8A12" w14:textId="77777777" w:rsidR="00D71A60" w:rsidRDefault="00D71A60" w:rsidP="00D71A60">
      <w:pPr>
        <w:rPr>
          <w:rFonts w:ascii="Arial" w:hAnsi="Arial" w:cs="Arial"/>
          <w:b/>
          <w:bCs/>
          <w:color w:val="000000"/>
          <w:kern w:val="28"/>
          <w:sz w:val="20"/>
          <w:szCs w:val="20"/>
          <w:lang w:val="en-GB"/>
        </w:rPr>
      </w:pPr>
      <w:r>
        <w:rPr>
          <w:rFonts w:ascii="Arial" w:hAnsi="Arial" w:cs="Arial"/>
          <w:b/>
          <w:bCs/>
          <w:color w:val="000000"/>
          <w:sz w:val="20"/>
        </w:rPr>
        <w:br w:type="page"/>
      </w:r>
    </w:p>
    <w:bookmarkEnd w:id="282"/>
    <w:p w14:paraId="763DAFF2" w14:textId="4F389B20" w:rsidR="00B21DA4" w:rsidRDefault="00B21DA4" w:rsidP="00D71A60">
      <w:pPr>
        <w:pStyle w:val="Heading2"/>
        <w:keepNext/>
        <w:keepLines/>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4" w:name="_3.4.1_Comprehensibility_etc."/>
      <w:bookmarkStart w:id="285" w:name="B341"/>
      <w:bookmarkStart w:id="286" w:name="_Toc30651645"/>
      <w:bookmarkStart w:id="287" w:name="_Toc30652629"/>
      <w:bookmarkStart w:id="288" w:name="_Toc30652727"/>
      <w:bookmarkStart w:id="289" w:name="_Toc30654072"/>
      <w:bookmarkStart w:id="290" w:name="_Toc30654423"/>
      <w:bookmarkStart w:id="291" w:name="_Toc30655042"/>
      <w:bookmarkStart w:id="292" w:name="_Toc30655299"/>
      <w:bookmarkStart w:id="293" w:name="_Toc30656977"/>
      <w:bookmarkStart w:id="294" w:name="_Toc30661726"/>
      <w:bookmarkStart w:id="295" w:name="_Toc30666414"/>
      <w:bookmarkStart w:id="296" w:name="_Toc30666644"/>
      <w:bookmarkStart w:id="297" w:name="_Toc30667819"/>
      <w:bookmarkStart w:id="298" w:name="_Toc30669197"/>
      <w:bookmarkStart w:id="299" w:name="_Toc30671413"/>
      <w:bookmarkStart w:id="300" w:name="_Toc30673940"/>
      <w:bookmarkStart w:id="301" w:name="_Toc30691162"/>
      <w:bookmarkStart w:id="302" w:name="_Toc30691533"/>
      <w:bookmarkStart w:id="303" w:name="_Toc30691913"/>
      <w:bookmarkStart w:id="304" w:name="_Toc30692672"/>
      <w:bookmarkStart w:id="305" w:name="_Toc30693051"/>
      <w:bookmarkStart w:id="306" w:name="_Toc30693429"/>
      <w:bookmarkStart w:id="307" w:name="_Toc30693808"/>
      <w:bookmarkStart w:id="308" w:name="_Toc30694189"/>
      <w:bookmarkStart w:id="309" w:name="_Toc30698778"/>
      <w:bookmarkStart w:id="310" w:name="_Toc30699156"/>
      <w:bookmarkStart w:id="311" w:name="_Toc30699541"/>
      <w:bookmarkStart w:id="312" w:name="_Toc30700696"/>
      <w:bookmarkStart w:id="313" w:name="_Toc30701083"/>
      <w:bookmarkStart w:id="314" w:name="_Toc30743692"/>
      <w:bookmarkStart w:id="315" w:name="_Toc30754514"/>
      <w:bookmarkStart w:id="316" w:name="_Toc30756954"/>
      <w:bookmarkStart w:id="317" w:name="_Toc30757503"/>
      <w:bookmarkStart w:id="318" w:name="_Toc30757903"/>
      <w:bookmarkStart w:id="319" w:name="_Toc30762664"/>
      <w:bookmarkStart w:id="320" w:name="_Toc30767318"/>
      <w:bookmarkStart w:id="321" w:name="_Toc34823334"/>
      <w:bookmarkEnd w:id="284"/>
      <w:bookmarkEnd w:id="285"/>
      <w:r>
        <w:rPr>
          <w:rFonts w:ascii="Arial" w:hAnsi="Arial" w:cs="Arial"/>
          <w:b/>
          <w:bCs/>
          <w:sz w:val="20"/>
        </w:rPr>
        <w:t>3.4.1</w:t>
      </w:r>
      <w:r>
        <w:rPr>
          <w:rFonts w:ascii="Arial" w:hAnsi="Arial" w:cs="Arial"/>
          <w:b/>
          <w:bCs/>
          <w:sz w:val="20"/>
        </w:rPr>
        <w:tab/>
        <w:t>Comprehensibility etc.</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2"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2"/>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3" w:name="_3.4.2_Pilot_program"/>
      <w:bookmarkStart w:id="324" w:name="B342"/>
      <w:bookmarkEnd w:id="323"/>
      <w:bookmarkEnd w:id="324"/>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 xml:space="preserve">Section 389K(4)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 xml:space="preserve">389K(4)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389K(4)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The Intermediary Program is now an ongoing program,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25" w:name="_3.4.3_Standing_to"/>
      <w:bookmarkStart w:id="326" w:name="B343"/>
      <w:bookmarkStart w:id="327" w:name="_Toc30651646"/>
      <w:bookmarkStart w:id="328" w:name="_Toc30652630"/>
      <w:bookmarkStart w:id="329" w:name="_Toc30652728"/>
      <w:bookmarkStart w:id="330" w:name="_Toc30654073"/>
      <w:bookmarkStart w:id="331" w:name="_Toc30654424"/>
      <w:bookmarkStart w:id="332" w:name="_Toc30655043"/>
      <w:bookmarkStart w:id="333" w:name="_Toc30655300"/>
      <w:bookmarkStart w:id="334" w:name="_Toc30656978"/>
      <w:bookmarkStart w:id="335" w:name="_Toc30661727"/>
      <w:bookmarkStart w:id="336" w:name="_Toc30666415"/>
      <w:bookmarkStart w:id="337" w:name="_Toc30666645"/>
      <w:bookmarkStart w:id="338" w:name="_Toc30667820"/>
      <w:bookmarkStart w:id="339" w:name="_Toc30669198"/>
      <w:bookmarkStart w:id="340" w:name="_Toc30671414"/>
      <w:bookmarkStart w:id="341" w:name="_Toc30673941"/>
      <w:bookmarkStart w:id="342" w:name="_Toc30691163"/>
      <w:bookmarkStart w:id="343" w:name="_Toc30691534"/>
      <w:bookmarkStart w:id="344" w:name="_Toc30691914"/>
      <w:bookmarkStart w:id="345" w:name="_Toc30692673"/>
      <w:bookmarkStart w:id="346" w:name="_Toc30693052"/>
      <w:bookmarkStart w:id="347" w:name="_Toc30693430"/>
      <w:bookmarkStart w:id="348" w:name="_Toc30693809"/>
      <w:bookmarkStart w:id="349" w:name="_Toc30694190"/>
      <w:bookmarkStart w:id="350" w:name="_Toc30698779"/>
      <w:bookmarkStart w:id="351" w:name="_Toc30699157"/>
      <w:bookmarkStart w:id="352" w:name="_Toc30699542"/>
      <w:bookmarkStart w:id="353" w:name="_Toc30700697"/>
      <w:bookmarkStart w:id="354" w:name="_Toc30701084"/>
      <w:bookmarkStart w:id="355" w:name="_Toc30743693"/>
      <w:bookmarkStart w:id="356" w:name="_Toc30754515"/>
      <w:bookmarkStart w:id="357" w:name="_Toc30756955"/>
      <w:bookmarkStart w:id="358" w:name="_Toc30757504"/>
      <w:bookmarkStart w:id="359" w:name="_Toc30757904"/>
      <w:bookmarkStart w:id="360" w:name="_Toc30762665"/>
      <w:bookmarkStart w:id="361" w:name="_Toc30767319"/>
      <w:bookmarkStart w:id="362" w:name="_Toc34823335"/>
      <w:bookmarkEnd w:id="325"/>
      <w:bookmarkEnd w:id="326"/>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B04DA9">
      <w:pPr>
        <w:numPr>
          <w:ilvl w:val="0"/>
          <w:numId w:val="166"/>
        </w:numPr>
        <w:ind w:left="1208" w:right="851" w:hanging="357"/>
        <w:jc w:val="both"/>
        <w:rPr>
          <w:rFonts w:ascii="Arial" w:hAnsi="Arial" w:cs="Arial"/>
          <w:sz w:val="20"/>
        </w:rPr>
      </w:pPr>
      <w:r w:rsidRPr="00D87E5E">
        <w:rPr>
          <w:rFonts w:ascii="Arial" w:hAnsi="Arial" w:cs="Arial"/>
          <w:sz w:val="20"/>
        </w:rPr>
        <w:t xml:space="preserve">It risks duplication as a result of concurrent VCAT proceedings → the Department cautioned the Court against judicially reviewing an administrative decision in circumstances where the objective sought by Ms MA is reunification where she is neither a parent </w:t>
      </w:r>
      <w:proofErr w:type="gramStart"/>
      <w:r w:rsidRPr="00D87E5E">
        <w:rPr>
          <w:rFonts w:ascii="Arial" w:hAnsi="Arial" w:cs="Arial"/>
          <w:sz w:val="20"/>
        </w:rPr>
        <w:t>or</w:t>
      </w:r>
      <w:proofErr w:type="gramEnd"/>
      <w:r w:rsidRPr="00D87E5E">
        <w:rPr>
          <w:rFonts w:ascii="Arial" w:hAnsi="Arial" w:cs="Arial"/>
          <w:sz w:val="20"/>
        </w:rPr>
        <w:t xml:space="preserve">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B04DA9">
      <w:pPr>
        <w:numPr>
          <w:ilvl w:val="0"/>
          <w:numId w:val="166"/>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444DE8">
      <w:pPr>
        <w:numPr>
          <w:ilvl w:val="0"/>
          <w:numId w:val="170"/>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I do not accept that the joinder risks destabilising Lily’s care arrangements and potentially exposes Lily to further cumulative harm. These submissions were poorly expressed and presupposed that the joinder application would result in the Court making a decision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3" w:name="_3.4.4_Interpreter"/>
      <w:bookmarkStart w:id="364" w:name="B344"/>
      <w:bookmarkStart w:id="365" w:name="_Toc30649710"/>
      <w:bookmarkStart w:id="366" w:name="_Toc30651647"/>
      <w:bookmarkStart w:id="367" w:name="_Toc30652631"/>
      <w:bookmarkStart w:id="368" w:name="_Toc30652729"/>
      <w:bookmarkStart w:id="369" w:name="_Toc30654074"/>
      <w:bookmarkStart w:id="370" w:name="_Toc30654425"/>
      <w:bookmarkStart w:id="371" w:name="_Toc30655044"/>
      <w:bookmarkStart w:id="372" w:name="_Toc30655301"/>
      <w:bookmarkStart w:id="373" w:name="_Toc30656979"/>
      <w:bookmarkStart w:id="374" w:name="_Toc30661728"/>
      <w:bookmarkStart w:id="375" w:name="_Toc30666416"/>
      <w:bookmarkStart w:id="376" w:name="_Toc30666646"/>
      <w:bookmarkStart w:id="377" w:name="_Toc30667821"/>
      <w:bookmarkStart w:id="378" w:name="_Toc30669199"/>
      <w:bookmarkStart w:id="379" w:name="_Toc30671415"/>
      <w:bookmarkStart w:id="380" w:name="_Toc30673942"/>
      <w:bookmarkStart w:id="381" w:name="_Toc30691164"/>
      <w:bookmarkStart w:id="382" w:name="_Toc30691535"/>
      <w:bookmarkStart w:id="383" w:name="_Toc30691915"/>
      <w:bookmarkStart w:id="384" w:name="_Toc30692674"/>
      <w:bookmarkStart w:id="385" w:name="_Toc30693053"/>
      <w:bookmarkStart w:id="386" w:name="_Toc30693431"/>
      <w:bookmarkStart w:id="387" w:name="_Toc30693810"/>
      <w:bookmarkStart w:id="388" w:name="_Toc30694191"/>
      <w:bookmarkStart w:id="389" w:name="_Toc30698780"/>
      <w:bookmarkStart w:id="390" w:name="_Toc30699158"/>
      <w:bookmarkStart w:id="391" w:name="_Toc30699543"/>
      <w:bookmarkStart w:id="392" w:name="_Toc30700698"/>
      <w:bookmarkStart w:id="393" w:name="_Toc30701085"/>
      <w:bookmarkStart w:id="394" w:name="_Toc30743694"/>
      <w:bookmarkStart w:id="395" w:name="_Toc30754516"/>
      <w:bookmarkStart w:id="396" w:name="_Toc30756956"/>
      <w:bookmarkStart w:id="397" w:name="_Toc30757505"/>
      <w:bookmarkStart w:id="398" w:name="_Toc30757905"/>
      <w:bookmarkStart w:id="399" w:name="_Toc30762666"/>
      <w:bookmarkStart w:id="400" w:name="_Toc30767320"/>
      <w:bookmarkStart w:id="401" w:name="_Toc34823336"/>
      <w:bookmarkEnd w:id="363"/>
      <w:bookmarkEnd w:id="364"/>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618E13A3" w14:textId="3B635A7A" w:rsidR="005F211A" w:rsidRDefault="008F12B0" w:rsidP="008F12B0">
      <w:pPr>
        <w:jc w:val="both"/>
        <w:rPr>
          <w:rFonts w:ascii="Arial" w:hAnsi="Arial" w:cs="Arial"/>
          <w:sz w:val="20"/>
        </w:rPr>
      </w:pPr>
      <w:r>
        <w:rPr>
          <w:rFonts w:ascii="Arial" w:hAnsi="Arial" w:cs="Arial"/>
          <w:sz w:val="20"/>
        </w:rPr>
        <w:t>In</w:t>
      </w:r>
      <w:r w:rsidRPr="005F211A">
        <w:rPr>
          <w:rFonts w:ascii="Arial" w:hAnsi="Arial" w:cs="Arial"/>
          <w:i/>
          <w:iCs/>
          <w:sz w:val="20"/>
        </w:rPr>
        <w:t xml:space="preserve"> DPP (</w:t>
      </w:r>
      <w:proofErr w:type="spellStart"/>
      <w:r w:rsidRPr="005F211A">
        <w:rPr>
          <w:rFonts w:ascii="Arial" w:hAnsi="Arial" w:cs="Arial"/>
          <w:i/>
          <w:iCs/>
          <w:sz w:val="20"/>
        </w:rPr>
        <w:t>Cth</w:t>
      </w:r>
      <w:proofErr w:type="spellEnd"/>
      <w:r w:rsidRPr="005F211A">
        <w:rPr>
          <w:rFonts w:ascii="Arial" w:hAnsi="Arial" w:cs="Arial"/>
          <w:i/>
          <w:iCs/>
          <w:sz w:val="20"/>
        </w:rPr>
        <w:t>) v Al Salman (No 6)</w:t>
      </w:r>
      <w:r w:rsidRPr="008F12B0">
        <w:rPr>
          <w:rFonts w:ascii="Arial" w:hAnsi="Arial" w:cs="Arial"/>
          <w:sz w:val="20"/>
        </w:rPr>
        <w:t xml:space="preserve"> [2025] VSC 813</w:t>
      </w:r>
      <w:r w:rsidR="005F211A">
        <w:rPr>
          <w:rFonts w:ascii="Arial" w:hAnsi="Arial" w:cs="Arial"/>
          <w:sz w:val="20"/>
        </w:rPr>
        <w:t xml:space="preserve"> </w:t>
      </w:r>
      <w:r>
        <w:rPr>
          <w:rFonts w:ascii="Arial" w:hAnsi="Arial" w:cs="Arial"/>
          <w:sz w:val="20"/>
        </w:rPr>
        <w:t>the accused was c</w:t>
      </w:r>
      <w:r w:rsidRPr="008F12B0">
        <w:rPr>
          <w:rFonts w:ascii="Arial" w:hAnsi="Arial" w:cs="Arial"/>
          <w:sz w:val="20"/>
        </w:rPr>
        <w:t>harge</w:t>
      </w:r>
      <w:r>
        <w:rPr>
          <w:rFonts w:ascii="Arial" w:hAnsi="Arial" w:cs="Arial"/>
          <w:sz w:val="20"/>
        </w:rPr>
        <w:t>d</w:t>
      </w:r>
      <w:r w:rsidRPr="008F12B0">
        <w:rPr>
          <w:rFonts w:ascii="Arial" w:hAnsi="Arial" w:cs="Arial"/>
          <w:sz w:val="20"/>
        </w:rPr>
        <w:t xml:space="preserve"> </w:t>
      </w:r>
      <w:r>
        <w:rPr>
          <w:rFonts w:ascii="Arial" w:hAnsi="Arial" w:cs="Arial"/>
          <w:sz w:val="20"/>
        </w:rPr>
        <w:t>with</w:t>
      </w:r>
      <w:r w:rsidRPr="008F12B0">
        <w:rPr>
          <w:rFonts w:ascii="Arial" w:hAnsi="Arial" w:cs="Arial"/>
          <w:sz w:val="20"/>
        </w:rPr>
        <w:t xml:space="preserve"> </w:t>
      </w:r>
      <w:r w:rsidR="005F211A">
        <w:rPr>
          <w:rFonts w:ascii="Arial" w:hAnsi="Arial" w:cs="Arial"/>
          <w:sz w:val="20"/>
        </w:rPr>
        <w:t xml:space="preserve">7 counts of </w:t>
      </w:r>
      <w:r w:rsidRPr="008F12B0">
        <w:rPr>
          <w:rFonts w:ascii="Arial" w:hAnsi="Arial" w:cs="Arial"/>
          <w:sz w:val="20"/>
        </w:rPr>
        <w:t xml:space="preserve">aggravated servitude </w:t>
      </w:r>
      <w:r w:rsidR="005F211A">
        <w:rPr>
          <w:rFonts w:ascii="Arial" w:hAnsi="Arial" w:cs="Arial"/>
          <w:sz w:val="20"/>
        </w:rPr>
        <w:t xml:space="preserve">committed against his wife and six children. </w:t>
      </w:r>
      <w:r w:rsidR="002C4F65">
        <w:rPr>
          <w:rFonts w:ascii="Arial" w:hAnsi="Arial" w:cs="Arial"/>
          <w:sz w:val="20"/>
        </w:rPr>
        <w:t>H</w:t>
      </w:r>
      <w:r w:rsidR="005F211A">
        <w:rPr>
          <w:rFonts w:ascii="Arial" w:hAnsi="Arial" w:cs="Arial"/>
          <w:sz w:val="20"/>
        </w:rPr>
        <w:t xml:space="preserve">is application to exclude evidence pursuant to ss.135 &amp; 137 of the </w:t>
      </w:r>
      <w:r w:rsidRPr="005F211A">
        <w:rPr>
          <w:rFonts w:ascii="Arial" w:hAnsi="Arial" w:cs="Arial"/>
          <w:i/>
          <w:iCs/>
          <w:sz w:val="20"/>
        </w:rPr>
        <w:t>Evidence Act 2008</w:t>
      </w:r>
      <w:r w:rsidRPr="008F12B0">
        <w:rPr>
          <w:rFonts w:ascii="Arial" w:hAnsi="Arial" w:cs="Arial"/>
          <w:sz w:val="20"/>
        </w:rPr>
        <w:t xml:space="preserve"> (Vic) </w:t>
      </w:r>
      <w:r w:rsidR="005F211A">
        <w:rPr>
          <w:rFonts w:ascii="Arial" w:hAnsi="Arial" w:cs="Arial"/>
          <w:sz w:val="20"/>
        </w:rPr>
        <w:t>was based on a number of interpreting errors. In refusing the application Champion J said at [240]-[241]:</w:t>
      </w:r>
    </w:p>
    <w:p w14:paraId="74C9F3E5" w14:textId="6D92BF1A" w:rsidR="005F211A" w:rsidRDefault="005F211A" w:rsidP="005F211A">
      <w:pPr>
        <w:spacing w:before="60"/>
        <w:ind w:left="454" w:right="454"/>
        <w:jc w:val="both"/>
        <w:rPr>
          <w:rFonts w:ascii="Arial" w:hAnsi="Arial" w:cs="Arial"/>
          <w:sz w:val="20"/>
        </w:rPr>
      </w:pPr>
      <w:r>
        <w:rPr>
          <w:rFonts w:ascii="Arial" w:hAnsi="Arial" w:cs="Arial"/>
          <w:sz w:val="20"/>
          <w:szCs w:val="20"/>
        </w:rPr>
        <w:t>[240] “</w:t>
      </w:r>
      <w:r w:rsidR="008F12B0" w:rsidRPr="008F12B0">
        <w:rPr>
          <w:rFonts w:ascii="Arial" w:hAnsi="Arial" w:cs="Arial"/>
          <w:sz w:val="20"/>
        </w:rPr>
        <w:t>Having considered all the matters put on behalf of the accused, I am of the opinion that, due to the interpreting errors which are not challenged by the prosecution, there has been a loss of opportunity on the part of the accused to cross-examine on a number of issues, and to pursue lines of enquiry. The accused was entitled to rely on a sufficient and appropriate level of accuracy in the interpreting work conducted by MJ.</w:t>
      </w:r>
    </w:p>
    <w:p w14:paraId="3DD0B789" w14:textId="0F652FF5" w:rsidR="00B14E95" w:rsidRDefault="005F211A" w:rsidP="005F211A">
      <w:pPr>
        <w:spacing w:before="60"/>
        <w:ind w:left="454" w:right="454"/>
        <w:jc w:val="both"/>
        <w:rPr>
          <w:rFonts w:ascii="Arial" w:hAnsi="Arial" w:cs="Arial"/>
          <w:sz w:val="20"/>
        </w:rPr>
      </w:pPr>
      <w:r>
        <w:rPr>
          <w:rFonts w:ascii="Arial" w:hAnsi="Arial" w:cs="Arial"/>
          <w:sz w:val="20"/>
        </w:rPr>
        <w:t>[</w:t>
      </w:r>
      <w:r w:rsidR="008F12B0" w:rsidRPr="008F12B0">
        <w:rPr>
          <w:rFonts w:ascii="Arial" w:hAnsi="Arial" w:cs="Arial"/>
          <w:sz w:val="20"/>
        </w:rPr>
        <w:t>241</w:t>
      </w:r>
      <w:r>
        <w:rPr>
          <w:rFonts w:ascii="Arial" w:hAnsi="Arial" w:cs="Arial"/>
          <w:sz w:val="20"/>
        </w:rPr>
        <w:t>]</w:t>
      </w:r>
      <w:r w:rsidR="008F12B0" w:rsidRPr="008F12B0">
        <w:rPr>
          <w:rFonts w:ascii="Arial" w:hAnsi="Arial" w:cs="Arial"/>
          <w:sz w:val="20"/>
        </w:rPr>
        <w:t xml:space="preserve"> However, despite this conclusion, I find that any loss of opportunity, forensic disadvantage, and prejudice suffered by the accused can be adequately cured by carefully expressed instructions to the jury, consistent with the cases discussed above. Ultimately, I</w:t>
      </w:r>
      <w:r>
        <w:rPr>
          <w:rFonts w:ascii="Arial" w:hAnsi="Arial" w:cs="Arial"/>
          <w:sz w:val="20"/>
        </w:rPr>
        <w:t> </w:t>
      </w:r>
      <w:r w:rsidR="008F12B0" w:rsidRPr="008F12B0">
        <w:rPr>
          <w:rFonts w:ascii="Arial" w:hAnsi="Arial" w:cs="Arial"/>
          <w:sz w:val="20"/>
        </w:rPr>
        <w:t xml:space="preserve">am not satisfied that all or any of the 43 identified interpreting errors should be excluded pursuant to sections 135 or 137, or the Court’s residual common law discretion, and I decline to grant the application to exclude the evidence of </w:t>
      </w:r>
      <w:proofErr w:type="spellStart"/>
      <w:r w:rsidR="008F12B0" w:rsidRPr="008F12B0">
        <w:rPr>
          <w:rFonts w:ascii="Arial" w:hAnsi="Arial" w:cs="Arial"/>
          <w:sz w:val="20"/>
        </w:rPr>
        <w:t>Abtsam</w:t>
      </w:r>
      <w:proofErr w:type="spellEnd"/>
      <w:r w:rsidR="008F12B0" w:rsidRPr="008F12B0">
        <w:rPr>
          <w:rFonts w:ascii="Arial" w:hAnsi="Arial" w:cs="Arial"/>
          <w:sz w:val="20"/>
        </w:rPr>
        <w:t xml:space="preserve"> Jasim, on whole or in part. I find that, provided that appropriate directions are provided to the jury, the accused can receive a fair trial.</w:t>
      </w:r>
      <w:r>
        <w:rPr>
          <w:rFonts w:ascii="Arial" w:hAnsi="Arial" w:cs="Arial"/>
          <w:sz w:val="20"/>
        </w:rPr>
        <w:t>”</w:t>
      </w:r>
    </w:p>
    <w:p w14:paraId="2CD40AC8" w14:textId="77777777" w:rsidR="005F211A" w:rsidRDefault="005F211A" w:rsidP="005F211A">
      <w:pPr>
        <w:ind w:right="454"/>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2" w:name="_3.4.5_Representation_of"/>
      <w:bookmarkEnd w:id="402"/>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lastRenderedPageBreak/>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place">
        <w:smartTag w:uri="urn:schemas-microsoft-com:office:smarttags" w:element="City">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3"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3"/>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4"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4"/>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05" w:name="_3.4.6_Duty_of"/>
      <w:bookmarkEnd w:id="405"/>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lastRenderedPageBreak/>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06"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06"/>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07" w:name="_3.4.6_Duty_of_1"/>
      <w:bookmarkEnd w:id="407"/>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place">
        <w:smartTag w:uri="urn:schemas-microsoft-com:office:smarttags" w:element="country-region">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What is reasonable for this purpose will necessarily depend upon the circumstances. Matters to be taken into account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061FC62C" w14:textId="553ECF04" w:rsidR="00292662" w:rsidRDefault="00292662" w:rsidP="00443E59">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AsJ.</w:t>
      </w:r>
    </w:p>
    <w:p w14:paraId="366ED440" w14:textId="77777777" w:rsidR="00FE0AC1" w:rsidRDefault="00FE0AC1" w:rsidP="00443E59">
      <w:pPr>
        <w:jc w:val="both"/>
        <w:rPr>
          <w:rFonts w:ascii="Helvetica" w:hAnsi="Helvetica"/>
          <w:color w:val="000000"/>
          <w:sz w:val="20"/>
        </w:rPr>
      </w:pPr>
    </w:p>
    <w:p w14:paraId="7613362F" w14:textId="225B45ED" w:rsidR="0007599F" w:rsidRDefault="0007599F" w:rsidP="0007599F">
      <w:pPr>
        <w:pStyle w:val="Heading3"/>
        <w:keepNext/>
        <w:keepLines/>
        <w:spacing w:after="100" w:line="240" w:lineRule="auto"/>
        <w:rPr>
          <w:rFonts w:ascii="Arial" w:hAnsi="Arial" w:cs="Arial"/>
          <w:b/>
          <w:bCs/>
          <w:sz w:val="20"/>
        </w:rPr>
      </w:pPr>
      <w:bookmarkStart w:id="408" w:name="_3.4.7_Duty_of"/>
      <w:bookmarkEnd w:id="408"/>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Duty of legal representatives</w:t>
      </w:r>
      <w:r w:rsidR="00CD6643">
        <w:rPr>
          <w:rFonts w:ascii="Arial" w:hAnsi="Arial" w:cs="Arial"/>
          <w:b/>
          <w:sz w:val="20"/>
        </w:rPr>
        <w:t xml:space="preserve"> (including </w:t>
      </w:r>
      <w:r w:rsidR="00C25083">
        <w:rPr>
          <w:rFonts w:ascii="Arial" w:hAnsi="Arial" w:cs="Arial"/>
          <w:b/>
          <w:sz w:val="20"/>
        </w:rPr>
        <w:t>re</w:t>
      </w:r>
      <w:r w:rsidR="00163716">
        <w:rPr>
          <w:rFonts w:ascii="Arial" w:hAnsi="Arial" w:cs="Arial"/>
          <w:b/>
          <w:sz w:val="20"/>
        </w:rPr>
        <w:t xml:space="preserve"> </w:t>
      </w:r>
      <w:r w:rsidR="006F4F2A">
        <w:rPr>
          <w:rFonts w:ascii="Arial" w:hAnsi="Arial" w:cs="Arial"/>
          <w:b/>
          <w:sz w:val="20"/>
        </w:rPr>
        <w:t xml:space="preserve">the </w:t>
      </w:r>
      <w:r w:rsidR="00CD6643">
        <w:rPr>
          <w:rFonts w:ascii="Arial" w:hAnsi="Arial" w:cs="Arial"/>
          <w:b/>
          <w:sz w:val="20"/>
        </w:rPr>
        <w:t xml:space="preserve">use of AI </w:t>
      </w:r>
      <w:r w:rsidR="00CD2D09">
        <w:rPr>
          <w:rFonts w:ascii="Arial" w:hAnsi="Arial" w:cs="Arial"/>
          <w:b/>
          <w:sz w:val="20"/>
        </w:rPr>
        <w:t>for</w:t>
      </w:r>
      <w:r w:rsidR="00CD6643">
        <w:rPr>
          <w:rFonts w:ascii="Arial" w:hAnsi="Arial" w:cs="Arial"/>
          <w:b/>
          <w:sz w:val="20"/>
        </w:rPr>
        <w:t xml:space="preserve"> creation of documents)</w:t>
      </w:r>
    </w:p>
    <w:p w14:paraId="779E0796" w14:textId="13A94756"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See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 xml:space="preserve">Director of Consumer Affairs </w:t>
      </w:r>
      <w:smartTag w:uri="urn:schemas-microsoft-com:office:smarttags" w:element="State">
        <w:r w:rsidR="00212E60" w:rsidRPr="00E37520">
          <w:rPr>
            <w:rFonts w:ascii="Arial" w:hAnsi="Arial" w:cs="Arial"/>
            <w:i/>
            <w:color w:val="000000"/>
            <w:sz w:val="20"/>
          </w:rPr>
          <w:t>Victoria</w:t>
        </w:r>
      </w:smartTag>
      <w:r w:rsidR="00212E60" w:rsidRPr="00E37520">
        <w:rPr>
          <w:rFonts w:ascii="Arial" w:hAnsi="Arial" w:cs="Arial"/>
          <w:i/>
          <w:color w:val="000000"/>
          <w:sz w:val="20"/>
        </w:rPr>
        <w:t xml:space="preserve"> v Operation Smile (</w:t>
      </w:r>
      <w:smartTag w:uri="urn:schemas-microsoft-com:office:smarttags" w:element="place">
        <w:smartTag w:uri="urn:schemas-microsoft-com:office:smarttags" w:element="country-region">
          <w:r w:rsidR="00212E60" w:rsidRPr="00E37520">
            <w:rPr>
              <w:rFonts w:ascii="Arial" w:hAnsi="Arial" w:cs="Arial"/>
              <w:i/>
              <w:color w:val="000000"/>
              <w:sz w:val="20"/>
            </w:rPr>
            <w:t>Australia</w:t>
          </w:r>
        </w:smartTag>
      </w:smartTag>
      <w:r w:rsidR="00212E60" w:rsidRPr="00E37520">
        <w:rPr>
          <w:rFonts w:ascii="Arial" w:hAnsi="Arial" w:cs="Arial"/>
          <w:i/>
          <w:color w:val="000000"/>
          <w:sz w:val="20"/>
        </w:rPr>
        <w:t>)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Legal practitioners are expected to be familiar with the rules and practice of the court in which they are admitted to practice and in which they hold themselves out, usually for a fee, to do so.”</w:t>
      </w:r>
    </w:p>
    <w:p w14:paraId="5713D48B" w14:textId="77777777" w:rsidR="00F161C2" w:rsidRDefault="00F161C2" w:rsidP="00F161C2">
      <w:pPr>
        <w:jc w:val="both"/>
        <w:rPr>
          <w:rFonts w:ascii="Arial" w:hAnsi="Arial" w:cs="Arial"/>
          <w:sz w:val="20"/>
        </w:rPr>
      </w:pPr>
      <w:bookmarkStart w:id="409" w:name="_3.5_What_happens"/>
      <w:bookmarkStart w:id="410" w:name="B35"/>
      <w:bookmarkStart w:id="411" w:name="_3.5_What_happens_1"/>
      <w:bookmarkStart w:id="412" w:name="_Hlk206401078"/>
      <w:bookmarkStart w:id="413" w:name="_Toc30608807"/>
      <w:bookmarkStart w:id="414" w:name="_Toc30610021"/>
      <w:bookmarkStart w:id="415" w:name="_Toc30610265"/>
      <w:bookmarkStart w:id="416" w:name="_Toc30638419"/>
      <w:bookmarkStart w:id="417" w:name="_Toc30644228"/>
      <w:bookmarkStart w:id="418" w:name="_Toc30644631"/>
      <w:bookmarkStart w:id="419" w:name="_Toc30645181"/>
      <w:bookmarkStart w:id="420" w:name="_Toc30646392"/>
      <w:bookmarkStart w:id="421" w:name="_Toc30646687"/>
      <w:bookmarkStart w:id="422" w:name="_Toc30646798"/>
      <w:bookmarkStart w:id="423" w:name="_Toc30648155"/>
      <w:bookmarkStart w:id="424" w:name="_Toc30649053"/>
      <w:bookmarkStart w:id="425" w:name="_Toc30649129"/>
      <w:bookmarkStart w:id="426" w:name="_Toc30649390"/>
      <w:bookmarkStart w:id="427" w:name="_Toc30649711"/>
      <w:bookmarkStart w:id="428" w:name="_Toc30651648"/>
      <w:bookmarkStart w:id="429" w:name="_Toc30652632"/>
      <w:bookmarkStart w:id="430" w:name="_Toc30652730"/>
      <w:bookmarkStart w:id="431" w:name="_Toc30654075"/>
      <w:bookmarkStart w:id="432" w:name="_Toc30654426"/>
      <w:bookmarkStart w:id="433" w:name="_Toc30655045"/>
      <w:bookmarkStart w:id="434" w:name="_Toc30655302"/>
      <w:bookmarkStart w:id="435" w:name="_Toc30656980"/>
      <w:bookmarkStart w:id="436" w:name="_Toc30661729"/>
      <w:bookmarkStart w:id="437" w:name="_Toc30666417"/>
      <w:bookmarkStart w:id="438" w:name="_Toc30666647"/>
      <w:bookmarkStart w:id="439" w:name="_Toc30667822"/>
      <w:bookmarkStart w:id="440" w:name="_Toc30669200"/>
      <w:bookmarkStart w:id="441" w:name="_Toc30671416"/>
      <w:bookmarkStart w:id="442" w:name="_Toc30673943"/>
      <w:bookmarkStart w:id="443" w:name="_Toc30691165"/>
      <w:bookmarkStart w:id="444" w:name="_Toc30691536"/>
      <w:bookmarkStart w:id="445" w:name="_Toc30691916"/>
      <w:bookmarkStart w:id="446" w:name="_Toc30692675"/>
      <w:bookmarkStart w:id="447" w:name="_Toc30693054"/>
      <w:bookmarkStart w:id="448" w:name="_Toc30693432"/>
      <w:bookmarkStart w:id="449" w:name="_Toc30693811"/>
      <w:bookmarkStart w:id="450" w:name="_Toc30694192"/>
      <w:bookmarkStart w:id="451" w:name="_Toc30698781"/>
      <w:bookmarkStart w:id="452" w:name="_Toc30699159"/>
      <w:bookmarkStart w:id="453" w:name="_Toc30699544"/>
      <w:bookmarkStart w:id="454" w:name="_Toc30700699"/>
      <w:bookmarkStart w:id="455" w:name="_Toc30701086"/>
      <w:bookmarkStart w:id="456" w:name="_Toc30743695"/>
      <w:bookmarkStart w:id="457" w:name="_Toc30754517"/>
      <w:bookmarkStart w:id="458" w:name="_Toc30756957"/>
      <w:bookmarkStart w:id="459" w:name="_Toc30757506"/>
      <w:bookmarkStart w:id="460" w:name="_Toc30757906"/>
      <w:bookmarkStart w:id="461" w:name="_Toc30762667"/>
      <w:bookmarkStart w:id="462" w:name="_Toc30767321"/>
      <w:bookmarkStart w:id="463" w:name="_Toc34823337"/>
      <w:bookmarkEnd w:id="409"/>
      <w:bookmarkEnd w:id="410"/>
      <w:bookmarkEnd w:id="411"/>
    </w:p>
    <w:p w14:paraId="6FDB3E6E" w14:textId="42EDC38F" w:rsidR="007D0264" w:rsidRDefault="008017AC" w:rsidP="00C90393">
      <w:pPr>
        <w:jc w:val="both"/>
        <w:rPr>
          <w:rFonts w:ascii="Arial" w:hAnsi="Arial" w:cs="Arial"/>
          <w:sz w:val="20"/>
        </w:rPr>
      </w:pPr>
      <w:bookmarkStart w:id="464" w:name="_Hlk206164261"/>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w:t>
      </w:r>
      <w:r w:rsidR="008E2E19">
        <w:rPr>
          <w:rFonts w:ascii="Arial" w:hAnsi="Arial" w:cs="Arial"/>
          <w:sz w:val="20"/>
        </w:rPr>
        <w:t>t</w:t>
      </w:r>
      <w:r>
        <w:rPr>
          <w:rFonts w:ascii="Arial" w:hAnsi="Arial" w:cs="Arial"/>
          <w:sz w:val="20"/>
        </w:rPr>
        <w:t xml:space="preserve">he deceased – who was the mother of </w:t>
      </w:r>
      <w:r w:rsidR="004B49E8">
        <w:rPr>
          <w:rFonts w:ascii="Arial" w:hAnsi="Arial" w:cs="Arial"/>
          <w:sz w:val="20"/>
        </w:rPr>
        <w:t>the</w:t>
      </w:r>
      <w:r>
        <w:rPr>
          <w:rFonts w:ascii="Arial" w:hAnsi="Arial" w:cs="Arial"/>
          <w:sz w:val="20"/>
        </w:rPr>
        <w:t xml:space="preserve"> coaccused XQ – was killed </w:t>
      </w:r>
      <w:r w:rsidR="00FE6B89">
        <w:rPr>
          <w:rFonts w:ascii="Arial" w:hAnsi="Arial" w:cs="Arial"/>
          <w:sz w:val="20"/>
        </w:rPr>
        <w:t xml:space="preserve">by GR </w:t>
      </w:r>
      <w:r>
        <w:rPr>
          <w:rFonts w:ascii="Arial" w:hAnsi="Arial" w:cs="Arial"/>
          <w:sz w:val="20"/>
        </w:rPr>
        <w:t>on 05/04/2023. At the time GR was 14 years old and XQ was 15</w:t>
      </w:r>
      <w:r w:rsidR="00FE6B89">
        <w:rPr>
          <w:rFonts w:ascii="Arial" w:hAnsi="Arial" w:cs="Arial"/>
          <w:sz w:val="20"/>
        </w:rPr>
        <w:t> </w:t>
      </w:r>
      <w:r>
        <w:rPr>
          <w:rFonts w:ascii="Arial" w:hAnsi="Arial" w:cs="Arial"/>
          <w:sz w:val="20"/>
        </w:rPr>
        <w:t xml:space="preserve">years old. </w:t>
      </w:r>
      <w:r w:rsidR="00912E82" w:rsidRPr="008017AC">
        <w:rPr>
          <w:rFonts w:ascii="Arial" w:hAnsi="Arial" w:cs="Arial"/>
          <w:sz w:val="20"/>
        </w:rPr>
        <w:t xml:space="preserve">On the basis of </w:t>
      </w:r>
      <w:r w:rsidR="00912E82">
        <w:rPr>
          <w:rFonts w:ascii="Arial" w:hAnsi="Arial" w:cs="Arial"/>
          <w:sz w:val="20"/>
        </w:rPr>
        <w:t>two forensic psychiatric reports</w:t>
      </w:r>
      <w:r w:rsidR="00912E82" w:rsidRPr="008017AC">
        <w:rPr>
          <w:rFonts w:ascii="Arial" w:hAnsi="Arial" w:cs="Arial"/>
          <w:sz w:val="20"/>
        </w:rPr>
        <w:t xml:space="preserve">, the parties </w:t>
      </w:r>
      <w:r w:rsidR="00912E82">
        <w:rPr>
          <w:rFonts w:ascii="Arial" w:hAnsi="Arial" w:cs="Arial"/>
          <w:sz w:val="20"/>
        </w:rPr>
        <w:t xml:space="preserve">had </w:t>
      </w:r>
      <w:r w:rsidR="00912E82" w:rsidRPr="008017AC">
        <w:rPr>
          <w:rFonts w:ascii="Arial" w:hAnsi="Arial" w:cs="Arial"/>
          <w:sz w:val="20"/>
        </w:rPr>
        <w:t>agreed that the proposed evidence established the defence of mental impairment</w:t>
      </w:r>
      <w:r w:rsidR="00143355">
        <w:rPr>
          <w:rFonts w:ascii="Arial" w:hAnsi="Arial" w:cs="Arial"/>
          <w:sz w:val="20"/>
        </w:rPr>
        <w:t xml:space="preserve"> for GR</w:t>
      </w:r>
      <w:r w:rsidR="00912E82" w:rsidRPr="008017AC">
        <w:rPr>
          <w:rFonts w:ascii="Arial" w:hAnsi="Arial" w:cs="Arial"/>
          <w:sz w:val="20"/>
        </w:rPr>
        <w:t>.</w:t>
      </w:r>
      <w:r w:rsidR="00912E82">
        <w:rPr>
          <w:rFonts w:ascii="Arial" w:hAnsi="Arial" w:cs="Arial"/>
          <w:sz w:val="20"/>
        </w:rPr>
        <w:t xml:space="preserve"> </w:t>
      </w:r>
      <w:r w:rsidR="00C90393">
        <w:rPr>
          <w:rFonts w:ascii="Arial" w:hAnsi="Arial" w:cs="Arial"/>
          <w:sz w:val="20"/>
        </w:rPr>
        <w:t xml:space="preserve">On 14/08/2025 </w:t>
      </w:r>
      <w:r w:rsidR="008E2E19">
        <w:rPr>
          <w:rFonts w:ascii="Arial" w:hAnsi="Arial" w:cs="Arial"/>
          <w:sz w:val="20"/>
        </w:rPr>
        <w:t xml:space="preserve">Elliott J found GR not guilty of </w:t>
      </w:r>
      <w:r w:rsidR="008E2E19">
        <w:rPr>
          <w:rFonts w:ascii="Arial" w:hAnsi="Arial" w:cs="Arial"/>
          <w:sz w:val="20"/>
        </w:rPr>
        <w:lastRenderedPageBreak/>
        <w:t>murder by reason of mental impairment</w:t>
      </w:r>
      <w:r w:rsidR="00C90393">
        <w:rPr>
          <w:rFonts w:ascii="Arial" w:hAnsi="Arial" w:cs="Arial"/>
          <w:sz w:val="20"/>
        </w:rPr>
        <w:t xml:space="preserve">, </w:t>
      </w:r>
      <w:r w:rsidR="00912E82">
        <w:rPr>
          <w:rFonts w:ascii="Arial" w:hAnsi="Arial" w:cs="Arial"/>
          <w:sz w:val="20"/>
        </w:rPr>
        <w:t xml:space="preserve">being satisfied that </w:t>
      </w:r>
      <w:r w:rsidR="00912E82"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sidR="00912E82">
        <w:rPr>
          <w:rFonts w:ascii="Arial" w:hAnsi="Arial" w:cs="Arial"/>
          <w:sz w:val="20"/>
        </w:rPr>
        <w:t xml:space="preserve">. His Honour </w:t>
      </w:r>
      <w:r w:rsidR="008E2E19">
        <w:rPr>
          <w:rFonts w:ascii="Arial" w:hAnsi="Arial" w:cs="Arial"/>
          <w:sz w:val="20"/>
        </w:rPr>
        <w:t xml:space="preserve">declared GR liable to supervision under Part 5 of the </w:t>
      </w:r>
      <w:r w:rsidR="008E2E19" w:rsidRPr="008E2E19">
        <w:rPr>
          <w:rFonts w:ascii="Arial" w:hAnsi="Arial" w:cs="Arial"/>
          <w:i/>
          <w:iCs/>
          <w:sz w:val="20"/>
        </w:rPr>
        <w:t>Crimes (Mental impairment and Unfitness to be Tried) Act 1997</w:t>
      </w:r>
      <w:r w:rsidR="00C7471A">
        <w:rPr>
          <w:rFonts w:ascii="Arial" w:hAnsi="Arial" w:cs="Arial"/>
          <w:i/>
          <w:iCs/>
          <w:sz w:val="20"/>
        </w:rPr>
        <w:t xml:space="preserve"> </w:t>
      </w:r>
      <w:r w:rsidR="00C7471A" w:rsidRPr="00C7471A">
        <w:rPr>
          <w:rFonts w:ascii="Arial" w:hAnsi="Arial" w:cs="Arial"/>
          <w:sz w:val="20"/>
        </w:rPr>
        <w:t>[</w:t>
      </w:r>
      <w:r w:rsidR="00C7471A">
        <w:rPr>
          <w:rFonts w:ascii="Arial" w:hAnsi="Arial" w:cs="Arial"/>
          <w:sz w:val="20"/>
        </w:rPr>
        <w:t xml:space="preserve">the </w:t>
      </w:r>
      <w:r w:rsidR="00C7471A" w:rsidRPr="00C7471A">
        <w:rPr>
          <w:rFonts w:ascii="Arial" w:hAnsi="Arial" w:cs="Arial"/>
          <w:sz w:val="20"/>
        </w:rPr>
        <w:t>CMIA]</w:t>
      </w:r>
      <w:r w:rsidR="00C90393">
        <w:rPr>
          <w:rFonts w:ascii="Arial" w:hAnsi="Arial" w:cs="Arial"/>
          <w:sz w:val="20"/>
        </w:rPr>
        <w:t xml:space="preserve"> and</w:t>
      </w:r>
      <w:r w:rsidR="008E2E19">
        <w:rPr>
          <w:rFonts w:ascii="Arial" w:hAnsi="Arial" w:cs="Arial"/>
          <w:sz w:val="20"/>
        </w:rPr>
        <w:t xml:space="preserve"> adjourned the matter to allow for a report and a certificate of available services to be obtained.</w:t>
      </w:r>
    </w:p>
    <w:bookmarkEnd w:id="412"/>
    <w:p w14:paraId="6A574F55" w14:textId="66376F5E" w:rsidR="00C90393" w:rsidRDefault="00C90393" w:rsidP="007D0264">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 xml:space="preserve">artificial intelligence </w:t>
      </w:r>
      <w:r w:rsidR="00292BD2" w:rsidRPr="00292BD2">
        <w:rPr>
          <w:rFonts w:ascii="Arial" w:hAnsi="Arial" w:cs="Arial"/>
          <w:b/>
          <w:bCs/>
          <w:sz w:val="20"/>
        </w:rPr>
        <w:t>[AI]</w:t>
      </w:r>
      <w:r w:rsidR="00292BD2">
        <w:rPr>
          <w:rFonts w:ascii="Arial" w:hAnsi="Arial" w:cs="Arial"/>
          <w:sz w:val="20"/>
        </w:rPr>
        <w:t xml:space="preserve"> </w:t>
      </w:r>
      <w:r>
        <w:rPr>
          <w:rFonts w:ascii="Arial" w:hAnsi="Arial" w:cs="Arial"/>
          <w:sz w:val="20"/>
        </w:rPr>
        <w:t xml:space="preserve">and which included references to non-existent case citations and inaccurate quotes. </w:t>
      </w:r>
      <w:r w:rsidRPr="00C7471A">
        <w:rPr>
          <w:rFonts w:ascii="Arial" w:hAnsi="Arial" w:cs="Arial"/>
          <w:sz w:val="20"/>
        </w:rPr>
        <w:t>The</w:t>
      </w:r>
      <w:r w:rsidR="007D0264">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sidR="00FE6B89">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w:t>
      </w:r>
      <w:r w:rsidR="007D0264">
        <w:rPr>
          <w:rFonts w:ascii="Arial" w:hAnsi="Arial" w:cs="Arial"/>
          <w:sz w:val="20"/>
        </w:rPr>
        <w:t xml:space="preserve">counsel involved </w:t>
      </w:r>
      <w:r w:rsidR="000136BC">
        <w:rPr>
          <w:rFonts w:ascii="Arial" w:hAnsi="Arial" w:cs="Arial"/>
          <w:sz w:val="20"/>
        </w:rPr>
        <w:t>unequivocally</w:t>
      </w:r>
      <w:r w:rsidR="007D0264">
        <w:rPr>
          <w:rFonts w:ascii="Arial" w:hAnsi="Arial" w:cs="Arial"/>
          <w:sz w:val="20"/>
        </w:rPr>
        <w:t xml:space="preserve"> apologized to the Court. At [77]-[80] Elliott J said [emphasis added]:</w:t>
      </w:r>
    </w:p>
    <w:p w14:paraId="34046B69" w14:textId="77777777" w:rsidR="007D0264" w:rsidRDefault="007D0264" w:rsidP="007D0264">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May v Costaras</w:t>
      </w:r>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fn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1865C1DE" w14:textId="0DCD3795" w:rsidR="007D0264" w:rsidRDefault="007D0264" w:rsidP="00912E82">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009C4AE6" w:rsidRPr="009C4AE6">
        <w:rPr>
          <w:rFonts w:ascii="Arial" w:hAnsi="Arial" w:cs="Arial"/>
          <w:sz w:val="20"/>
        </w:rPr>
        <w:t xml:space="preserve">A copy of the guidelines is available at: </w:t>
      </w:r>
      <w:hyperlink r:id="rId44" w:history="1">
        <w:r w:rsidR="009C4AE6" w:rsidRPr="00912E82">
          <w:rPr>
            <w:rStyle w:val="Hyperlink"/>
            <w:rFonts w:ascii="Arial" w:hAnsi="Arial" w:cs="Arial"/>
            <w:sz w:val="20"/>
          </w:rPr>
          <w:t>https://www.supremecourt.vic.gov.au/forms-fees-and</w:t>
        </w:r>
        <w:r w:rsidR="00912E82" w:rsidRPr="00912E82">
          <w:rPr>
            <w:rStyle w:val="Hyperlink"/>
            <w:rFonts w:ascii="Arial" w:hAnsi="Arial" w:cs="Arial"/>
            <w:sz w:val="20"/>
          </w:rPr>
          <w:t>-</w:t>
        </w:r>
        <w:r w:rsidR="009C4AE6" w:rsidRPr="00912E82">
          <w:rPr>
            <w:rStyle w:val="Hyperlink"/>
            <w:rFonts w:ascii="Arial" w:hAnsi="Arial" w:cs="Arial"/>
            <w:sz w:val="20"/>
          </w:rPr>
          <w:t>services/forms-templates-and-guidelines/guideline-responsible-use-of-ai-in-litigation</w:t>
        </w:r>
      </w:hyperlink>
      <w:r w:rsidR="009C4AE6" w:rsidRPr="009C4AE6">
        <w:rPr>
          <w:rFonts w:ascii="Arial" w:hAnsi="Arial" w:cs="Arial"/>
          <w:sz w:val="20"/>
        </w:rPr>
        <w:t>.</w:t>
      </w:r>
      <w:r w:rsidR="00912E82">
        <w:rPr>
          <w:rFonts w:ascii="Arial" w:hAnsi="Arial" w:cs="Arial"/>
          <w:sz w:val="20"/>
        </w:rPr>
        <w:t xml:space="preserve"> </w:t>
      </w:r>
      <w:r w:rsidRPr="00143355">
        <w:rPr>
          <w:rFonts w:ascii="Arial" w:hAnsi="Arial" w:cs="Arial"/>
          <w:b/>
          <w:bCs/>
          <w:sz w:val="20"/>
        </w:rPr>
        <w:t>It is essential that all litigants and practitioners adhere to these guidelines.</w:t>
      </w:r>
    </w:p>
    <w:p w14:paraId="5CF9B7B6" w14:textId="77777777" w:rsid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3DC2845" w14:textId="771F0554" w:rsidR="007D0264" w:rsidRP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9F4EAA9" w14:textId="77777777" w:rsidR="00C90393" w:rsidRDefault="00C90393" w:rsidP="00F161C2">
      <w:pPr>
        <w:jc w:val="both"/>
        <w:rPr>
          <w:rFonts w:ascii="Arial" w:hAnsi="Arial" w:cs="Arial"/>
          <w:sz w:val="20"/>
        </w:rPr>
      </w:pPr>
    </w:p>
    <w:bookmarkEnd w:id="464"/>
    <w:p w14:paraId="2ECDBF99" w14:textId="77777777" w:rsidR="00F161C2" w:rsidRPr="00836E86" w:rsidRDefault="00F161C2" w:rsidP="00F161C2">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63C2806" w14:textId="77777777" w:rsidR="00F161C2" w:rsidRPr="00836E86" w:rsidRDefault="00F161C2" w:rsidP="00F161C2">
      <w:pPr>
        <w:rPr>
          <w:rFonts w:ascii="Arial" w:hAnsi="Arial" w:cs="Arial"/>
          <w:sz w:val="20"/>
        </w:rPr>
      </w:pPr>
    </w:p>
    <w:p w14:paraId="1C5EB6A5" w14:textId="77777777" w:rsidR="00F161C2" w:rsidRDefault="00F161C2">
      <w:pPr>
        <w:rPr>
          <w:rFonts w:ascii="Arial" w:hAnsi="Arial" w:cs="Arial"/>
          <w:b/>
          <w:bCs/>
          <w:color w:val="000000"/>
          <w:kern w:val="28"/>
          <w:szCs w:val="20"/>
          <w:lang w:val="en-GB"/>
        </w:rPr>
      </w:pPr>
      <w:r>
        <w:rPr>
          <w:rFonts w:ascii="Arial" w:hAnsi="Arial" w:cs="Arial"/>
          <w:b/>
          <w:bCs/>
          <w:color w:val="000000"/>
        </w:rPr>
        <w:br w:type="page"/>
      </w:r>
    </w:p>
    <w:p w14:paraId="111A9D06" w14:textId="6D8B8448" w:rsidR="00B21DA4" w:rsidRPr="001A1BF2" w:rsidRDefault="00B21DA4" w:rsidP="00F623AD">
      <w:pPr>
        <w:pStyle w:val="Heading2"/>
        <w:keepNext/>
        <w:keepLines/>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65" w:name="_3.5.1_Preparation"/>
      <w:bookmarkStart w:id="466" w:name="B351"/>
      <w:bookmarkStart w:id="467" w:name="_Toc30649712"/>
      <w:bookmarkStart w:id="468" w:name="_Toc30651649"/>
      <w:bookmarkStart w:id="469" w:name="_Toc30652633"/>
      <w:bookmarkStart w:id="470" w:name="_Toc30652731"/>
      <w:bookmarkStart w:id="471" w:name="_Toc30654076"/>
      <w:bookmarkStart w:id="472" w:name="_Toc30654427"/>
      <w:bookmarkStart w:id="473" w:name="_Toc30655046"/>
      <w:bookmarkStart w:id="474" w:name="_Toc30655303"/>
      <w:bookmarkStart w:id="475" w:name="_Toc30656981"/>
      <w:bookmarkStart w:id="476" w:name="_Toc30661730"/>
      <w:bookmarkStart w:id="477" w:name="_Toc30666418"/>
      <w:bookmarkStart w:id="478" w:name="_Toc30666648"/>
      <w:bookmarkStart w:id="479" w:name="_Toc30667823"/>
      <w:bookmarkStart w:id="480" w:name="_Toc30669201"/>
      <w:bookmarkStart w:id="481" w:name="_Toc30671417"/>
      <w:bookmarkStart w:id="482" w:name="_Toc30673944"/>
      <w:bookmarkStart w:id="483" w:name="_Toc30691166"/>
      <w:bookmarkStart w:id="484" w:name="_Toc30691537"/>
      <w:bookmarkStart w:id="485" w:name="_Toc30691917"/>
      <w:bookmarkStart w:id="486" w:name="_Toc30692676"/>
      <w:bookmarkStart w:id="487" w:name="_Toc30693055"/>
      <w:bookmarkStart w:id="488" w:name="_Toc30693433"/>
      <w:bookmarkStart w:id="489" w:name="_Toc30693812"/>
      <w:bookmarkStart w:id="490" w:name="_Toc30694193"/>
      <w:bookmarkStart w:id="491" w:name="_Toc30698782"/>
      <w:bookmarkStart w:id="492" w:name="_Toc30699160"/>
      <w:bookmarkStart w:id="493" w:name="_Toc30699545"/>
      <w:bookmarkStart w:id="494" w:name="_Toc30700700"/>
      <w:bookmarkStart w:id="495" w:name="_Toc30701087"/>
      <w:bookmarkStart w:id="496" w:name="_Toc30743696"/>
      <w:bookmarkStart w:id="497" w:name="_Toc30754518"/>
      <w:bookmarkStart w:id="498" w:name="_Toc30756958"/>
      <w:bookmarkStart w:id="499" w:name="_Toc30757507"/>
      <w:bookmarkStart w:id="500" w:name="_Toc30757907"/>
      <w:bookmarkStart w:id="501" w:name="_Toc30762668"/>
      <w:bookmarkStart w:id="502" w:name="_Toc30767322"/>
      <w:bookmarkStart w:id="503" w:name="_Toc34823338"/>
      <w:bookmarkEnd w:id="465"/>
      <w:bookmarkEnd w:id="466"/>
      <w:r w:rsidRPr="001A1BF2">
        <w:rPr>
          <w:rFonts w:ascii="Arial" w:hAnsi="Arial" w:cs="Arial"/>
          <w:b/>
          <w:bCs/>
          <w:color w:val="000000"/>
          <w:sz w:val="20"/>
        </w:rPr>
        <w:t>3.5.1</w:t>
      </w:r>
      <w:r w:rsidRPr="001A1BF2">
        <w:rPr>
          <w:rFonts w:ascii="Arial" w:hAnsi="Arial" w:cs="Arial"/>
          <w:b/>
          <w:bCs/>
          <w:color w:val="000000"/>
          <w:sz w:val="20"/>
        </w:rPr>
        <w:tab/>
        <w:t>Preparation</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04" w:name="_3.5.2_Mention"/>
      <w:bookmarkStart w:id="505" w:name="B352"/>
      <w:bookmarkStart w:id="506" w:name="_Toc30649714"/>
      <w:bookmarkStart w:id="507" w:name="_Toc30651651"/>
      <w:bookmarkStart w:id="508" w:name="_Toc30652635"/>
      <w:bookmarkStart w:id="509" w:name="_Toc30652733"/>
      <w:bookmarkStart w:id="510" w:name="_Toc30654078"/>
      <w:bookmarkStart w:id="511" w:name="_Toc30654429"/>
      <w:bookmarkStart w:id="512" w:name="_Toc30655048"/>
      <w:bookmarkStart w:id="513" w:name="_Toc30655305"/>
      <w:bookmarkStart w:id="514" w:name="_Toc30656983"/>
      <w:bookmarkStart w:id="515" w:name="_Toc30661732"/>
      <w:bookmarkStart w:id="516" w:name="_Toc30666420"/>
      <w:bookmarkStart w:id="517" w:name="_Toc30666650"/>
      <w:bookmarkStart w:id="518" w:name="_Toc30667825"/>
      <w:bookmarkStart w:id="519" w:name="_Toc30669203"/>
      <w:bookmarkStart w:id="520" w:name="_Toc30671419"/>
      <w:bookmarkStart w:id="521" w:name="_Toc30673946"/>
      <w:bookmarkStart w:id="522" w:name="_Toc30691168"/>
      <w:bookmarkStart w:id="523" w:name="_Toc30691539"/>
      <w:bookmarkStart w:id="524" w:name="_Toc30691919"/>
      <w:bookmarkStart w:id="525" w:name="_Toc30692678"/>
      <w:bookmarkStart w:id="526" w:name="_Toc30693057"/>
      <w:bookmarkStart w:id="527" w:name="_Toc30693435"/>
      <w:bookmarkStart w:id="528" w:name="_Toc30693814"/>
      <w:bookmarkStart w:id="529" w:name="_Toc30694195"/>
      <w:bookmarkStart w:id="530" w:name="_Toc30698784"/>
      <w:bookmarkStart w:id="531" w:name="_Toc30699162"/>
      <w:bookmarkStart w:id="532" w:name="_Toc30699547"/>
      <w:bookmarkStart w:id="533" w:name="_Toc30700702"/>
      <w:bookmarkStart w:id="534" w:name="_Toc30701089"/>
      <w:bookmarkStart w:id="535" w:name="_Toc30743698"/>
      <w:bookmarkStart w:id="536" w:name="_Toc30754520"/>
      <w:bookmarkStart w:id="537" w:name="_Toc30756960"/>
      <w:bookmarkStart w:id="538" w:name="_Toc30757509"/>
      <w:bookmarkStart w:id="539" w:name="_Toc30757909"/>
      <w:bookmarkStart w:id="540" w:name="_Toc30762670"/>
      <w:bookmarkStart w:id="541" w:name="_Toc30767324"/>
      <w:bookmarkStart w:id="542" w:name="_Toc34823340"/>
      <w:bookmarkEnd w:id="504"/>
      <w:bookmarkEnd w:id="505"/>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43" w:name="_3.5.3_Evidence"/>
      <w:bookmarkStart w:id="544" w:name="_Toc30649713"/>
      <w:bookmarkStart w:id="545" w:name="_Toc30651650"/>
      <w:bookmarkStart w:id="546" w:name="_Toc30652634"/>
      <w:bookmarkStart w:id="547" w:name="_Toc30652732"/>
      <w:bookmarkStart w:id="548" w:name="_Toc30654077"/>
      <w:bookmarkStart w:id="549" w:name="_Toc30654428"/>
      <w:bookmarkStart w:id="550" w:name="_Toc30655047"/>
      <w:bookmarkStart w:id="551" w:name="_Toc30655304"/>
      <w:bookmarkStart w:id="552" w:name="_Toc30656982"/>
      <w:bookmarkStart w:id="553" w:name="_Toc30661731"/>
      <w:bookmarkStart w:id="554" w:name="_Toc30666419"/>
      <w:bookmarkStart w:id="555" w:name="_Toc30666649"/>
      <w:bookmarkStart w:id="556" w:name="_Toc30667824"/>
      <w:bookmarkStart w:id="557" w:name="_Toc30669202"/>
      <w:bookmarkStart w:id="558" w:name="_Toc30671418"/>
      <w:bookmarkStart w:id="559" w:name="_Toc30673945"/>
      <w:bookmarkStart w:id="560" w:name="_Toc30691167"/>
      <w:bookmarkStart w:id="561" w:name="_Toc30691538"/>
      <w:bookmarkStart w:id="562" w:name="_Toc30691918"/>
      <w:bookmarkStart w:id="563" w:name="_Toc30692677"/>
      <w:bookmarkStart w:id="564" w:name="_Toc30693056"/>
      <w:bookmarkStart w:id="565" w:name="_Toc30693434"/>
      <w:bookmarkStart w:id="566" w:name="_Toc30693813"/>
      <w:bookmarkStart w:id="567" w:name="_Toc30694194"/>
      <w:bookmarkStart w:id="568" w:name="_Toc30698783"/>
      <w:bookmarkStart w:id="569" w:name="_Toc30699161"/>
      <w:bookmarkStart w:id="570" w:name="_Toc30699546"/>
      <w:bookmarkStart w:id="571" w:name="_Toc30700701"/>
      <w:bookmarkStart w:id="572" w:name="_Toc30701088"/>
      <w:bookmarkStart w:id="573" w:name="_Toc30743697"/>
      <w:bookmarkStart w:id="574" w:name="_Toc30754519"/>
      <w:bookmarkStart w:id="575" w:name="_Toc30756959"/>
      <w:bookmarkStart w:id="576" w:name="_Toc30757508"/>
      <w:bookmarkStart w:id="577" w:name="_Toc30757908"/>
      <w:bookmarkStart w:id="578" w:name="_Toc30762669"/>
      <w:bookmarkStart w:id="579" w:name="_Toc30767323"/>
      <w:bookmarkStart w:id="580" w:name="_Toc34823339"/>
      <w:bookmarkEnd w:id="543"/>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2B6CD978"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5" w:history="1">
        <w:r w:rsidR="009B0A9D" w:rsidRPr="009B0A9D">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81" w:name="_Hlk109651830"/>
      <w:r w:rsidR="00DD0DA0" w:rsidRPr="00A31FFA">
        <w:rPr>
          <w:rFonts w:ascii="Arial" w:hAnsi="Arial" w:cs="Arial"/>
          <w:sz w:val="20"/>
        </w:rPr>
        <w:t>–</w:t>
      </w:r>
    </w:p>
    <w:bookmarkEnd w:id="581"/>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82" w:name="_3.5.3.1_Admissibility_of"/>
      <w:bookmarkStart w:id="583" w:name="B3531"/>
      <w:bookmarkEnd w:id="582"/>
      <w:bookmarkEnd w:id="583"/>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If the court concludes there is such a danger, it must weigh that danger against the probative value of the evidence. In balancing the factors, the court must have regard 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w:t>
      </w:r>
      <w:r w:rsidRPr="007B51A0">
        <w:rPr>
          <w:rFonts w:ascii="Arial" w:hAnsi="Arial" w:cs="Arial"/>
          <w:color w:val="000000"/>
          <w:sz w:val="20"/>
        </w:rPr>
        <w:lastRenderedPageBreak/>
        <w:t>evidence in the trial of Qian and cannot be used against Qian. Directions concerning the evidence of Subu and Jabbour can also be given, if required.</w:t>
      </w:r>
      <w:r>
        <w:rPr>
          <w:rFonts w:ascii="Arial" w:hAnsi="Arial" w:cs="Arial"/>
          <w:color w:val="000000"/>
          <w:sz w:val="20"/>
        </w:rPr>
        <w:t>”</w:t>
      </w:r>
    </w:p>
    <w:p w14:paraId="3583601A" w14:textId="647CD68F" w:rsidR="00056144" w:rsidRDefault="00AD5C78" w:rsidP="00AD5C78">
      <w:pPr>
        <w:spacing w:before="60"/>
        <w:jc w:val="both"/>
        <w:rPr>
          <w:rFonts w:ascii="Arial" w:hAnsi="Arial" w:cs="Arial"/>
          <w:color w:val="000000"/>
          <w:sz w:val="20"/>
        </w:rPr>
      </w:pPr>
      <w:r>
        <w:rPr>
          <w:rFonts w:ascii="Arial" w:hAnsi="Arial" w:cs="Arial"/>
          <w:color w:val="000000"/>
          <w:sz w:val="20"/>
        </w:rPr>
        <w:t xml:space="preserve">For details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AD5C78">
        <w:rPr>
          <w:rFonts w:ascii="Arial" w:hAnsi="Arial" w:cs="Arial"/>
          <w:b/>
          <w:bCs/>
          <w:color w:val="000000"/>
          <w:sz w:val="20"/>
          <w:shd w:val="clear" w:color="auto" w:fill="C5E0B3" w:themeFill="accent6" w:themeFillTint="66"/>
        </w:rPr>
        <w:t>.</w:t>
      </w:r>
    </w:p>
    <w:p w14:paraId="2D34B8E0" w14:textId="77777777" w:rsidR="00AD5C78" w:rsidRDefault="00AD5C78" w:rsidP="00BB2003">
      <w:pPr>
        <w:jc w:val="both"/>
        <w:rPr>
          <w:rFonts w:ascii="Arial" w:hAnsi="Arial" w:cs="Arial"/>
          <w:color w:val="000000"/>
          <w:sz w:val="20"/>
        </w:rPr>
      </w:pPr>
    </w:p>
    <w:p w14:paraId="3A0FE311" w14:textId="73AFDF1C" w:rsidR="00BB2003" w:rsidRDefault="00BB2003" w:rsidP="001C0754">
      <w:pPr>
        <w:keepNext/>
        <w:keepLines/>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In determining whether it is so satisfied, the matters that the court must take into account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84" w:name="_3.5.3.2_Admissibility_of"/>
      <w:bookmarkStart w:id="585" w:name="B3532"/>
      <w:bookmarkEnd w:id="584"/>
      <w:bookmarkEnd w:id="585"/>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3801557A" w14:textId="77777777" w:rsidR="0054755A" w:rsidRDefault="0054755A" w:rsidP="0054755A">
      <w:pPr>
        <w:jc w:val="both"/>
        <w:rPr>
          <w:rFonts w:ascii="Arial" w:hAnsi="Arial" w:cs="Arial"/>
          <w:color w:val="000000"/>
          <w:sz w:val="20"/>
        </w:rPr>
      </w:pPr>
    </w:p>
    <w:p w14:paraId="2638F6A6" w14:textId="6E107E7C" w:rsidR="0054755A" w:rsidRPr="0047194B" w:rsidRDefault="0054755A" w:rsidP="0054755A">
      <w:pPr>
        <w:jc w:val="both"/>
        <w:rPr>
          <w:rFonts w:ascii="Arial" w:hAnsi="Arial" w:cs="Arial"/>
          <w:color w:val="000000"/>
          <w:sz w:val="20"/>
        </w:rPr>
      </w:pPr>
      <w:r w:rsidRPr="0047194B">
        <w:rPr>
          <w:rFonts w:ascii="Arial" w:hAnsi="Arial" w:cs="Arial"/>
          <w:color w:val="000000"/>
          <w:sz w:val="20"/>
        </w:rPr>
        <w:t xml:space="preserve">In the Criminal Division of the </w:t>
      </w:r>
      <w:r>
        <w:rPr>
          <w:rFonts w:ascii="Arial" w:hAnsi="Arial" w:cs="Arial"/>
          <w:color w:val="000000"/>
          <w:sz w:val="20"/>
        </w:rPr>
        <w:t xml:space="preserve">Children’s </w:t>
      </w:r>
      <w:r w:rsidRPr="0047194B">
        <w:rPr>
          <w:rFonts w:ascii="Arial" w:hAnsi="Arial" w:cs="Arial"/>
          <w:color w:val="000000"/>
          <w:sz w:val="20"/>
        </w:rPr>
        <w:t>Court</w:t>
      </w:r>
      <w:r>
        <w:rPr>
          <w:rFonts w:ascii="Arial" w:hAnsi="Arial" w:cs="Arial"/>
          <w:color w:val="000000"/>
          <w:sz w:val="20"/>
        </w:rPr>
        <w:t>,</w:t>
      </w:r>
      <w:r w:rsidRPr="0047194B">
        <w:rPr>
          <w:rFonts w:ascii="Arial" w:hAnsi="Arial" w:cs="Arial"/>
          <w:color w:val="000000"/>
          <w:sz w:val="20"/>
        </w:rPr>
        <w:t xml:space="preserve"> </w:t>
      </w:r>
      <w:r>
        <w:rPr>
          <w:rFonts w:ascii="Arial" w:hAnsi="Arial" w:cs="Arial"/>
          <w:color w:val="000000"/>
          <w:sz w:val="20"/>
        </w:rPr>
        <w:t>in determining whether or not a child is guilty of an offence, the rules relating to the admissibility of evidence apply strictly.  Section 357(1) of the CYFA provides:</w:t>
      </w:r>
    </w:p>
    <w:p w14:paraId="725B0329" w14:textId="77777777" w:rsidR="0054755A" w:rsidRDefault="0054755A" w:rsidP="0054755A">
      <w:pPr>
        <w:spacing w:before="60" w:line="240" w:lineRule="exact"/>
        <w:ind w:left="567" w:right="567"/>
        <w:jc w:val="both"/>
        <w:rPr>
          <w:rFonts w:ascii="Arial" w:hAnsi="Arial" w:cs="Arial"/>
          <w:bCs/>
          <w:sz w:val="20"/>
        </w:rPr>
      </w:pPr>
      <w:r>
        <w:rPr>
          <w:rFonts w:ascii="Arial" w:hAnsi="Arial" w:cs="Arial"/>
          <w:bCs/>
          <w:sz w:val="20"/>
        </w:rPr>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3E2DE8DD" w14:textId="77777777" w:rsidR="0054755A" w:rsidRDefault="0054755A" w:rsidP="0054755A">
      <w:pPr>
        <w:jc w:val="both"/>
        <w:rPr>
          <w:rFonts w:ascii="Arial" w:hAnsi="Arial" w:cs="Arial"/>
          <w:color w:val="000000"/>
          <w:sz w:val="20"/>
        </w:rPr>
      </w:pPr>
    </w:p>
    <w:p w14:paraId="2B485A17" w14:textId="09D15170" w:rsidR="00E8698A" w:rsidRDefault="00E8698A" w:rsidP="0054755A">
      <w:pPr>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 xml:space="preserve">(2) Where there are aspects of such a recording which are indistinct so as not to yield the full content of the conversation, so that it may need to be played over repeatedly before the conversation can be accurately understood, the court may receive a </w:t>
      </w:r>
      <w:r w:rsidRPr="00A76B36">
        <w:rPr>
          <w:rFonts w:ascii="Arial" w:hAnsi="Arial" w:cs="Arial"/>
          <w:sz w:val="20"/>
          <w:szCs w:val="20"/>
        </w:rPr>
        <w:lastRenderedPageBreak/>
        <w:t>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Nevertheless, their Honours recognised the practical assistance that might be provided to the court by the provision to it of a transcript of the 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lastRenderedPageBreak/>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44AFFE33"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54755A">
        <w:rPr>
          <w:rFonts w:ascii="Arial" w:hAnsi="Arial" w:cs="Arial"/>
          <w:sz w:val="20"/>
          <w:szCs w:val="20"/>
        </w:rPr>
        <w:t>wa</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On 05/03/2022 when the applicant was arrested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6A91C889" w:rsidR="00C84356" w:rsidRPr="003E6EC7" w:rsidRDefault="00C84356" w:rsidP="00834ED7">
      <w:pPr>
        <w:pStyle w:val="ListParagraph"/>
        <w:numPr>
          <w:ilvl w:val="0"/>
          <w:numId w:val="152"/>
        </w:numPr>
        <w:ind w:left="459" w:hanging="459"/>
        <w:contextualSpacing/>
        <w:jc w:val="both"/>
      </w:pPr>
      <w:r w:rsidRPr="00834ED7">
        <w:rPr>
          <w:rFonts w:ascii="Arial" w:hAnsi="Arial" w:cs="Arial"/>
          <w:sz w:val="20"/>
          <w:szCs w:val="16"/>
        </w:rPr>
        <w:t xml:space="preserve">held that </w:t>
      </w:r>
      <w:r w:rsidRPr="00834ED7">
        <w:rPr>
          <w:rFonts w:ascii="Arial" w:hAnsi="Arial" w:cs="Arial"/>
          <w:b/>
          <w:bCs/>
          <w:sz w:val="20"/>
          <w:szCs w:val="16"/>
        </w:rPr>
        <w:t>the EBM data</w:t>
      </w:r>
      <w:r w:rsidRPr="00834ED7">
        <w:rPr>
          <w:rFonts w:ascii="Arial" w:hAnsi="Arial" w:cs="Arial"/>
          <w:sz w:val="20"/>
          <w:szCs w:val="16"/>
        </w:rPr>
        <w:t xml:space="preserve"> met the business records exception to the hearsay rule in s.69 of the </w:t>
      </w:r>
      <w:r w:rsidRPr="00834ED7">
        <w:rPr>
          <w:rFonts w:ascii="Arial" w:hAnsi="Arial" w:cs="Arial"/>
          <w:i/>
          <w:iCs/>
          <w:sz w:val="20"/>
          <w:szCs w:val="16"/>
        </w:rPr>
        <w:t>Evidence Act 2008</w:t>
      </w:r>
      <w:r w:rsidRPr="00834ED7">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lastRenderedPageBreak/>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[63]</w:t>
      </w:r>
      <w:r w:rsidR="00D97AC5">
        <w:rPr>
          <w:rFonts w:ascii="Arial" w:hAnsi="Arial" w:cs="Arial"/>
          <w:sz w:val="20"/>
          <w:szCs w:val="20"/>
        </w:rPr>
        <w:noBreakHyphen/>
      </w:r>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7FC2C22C" w14:textId="39CEC4BE" w:rsidR="0026091F" w:rsidRDefault="003E6EC7" w:rsidP="00C84356">
      <w:pPr>
        <w:jc w:val="both"/>
        <w:rPr>
          <w:rFonts w:ascii="Arial" w:hAnsi="Arial" w:cs="Arial"/>
          <w:color w:val="000000"/>
          <w:sz w:val="20"/>
        </w:rPr>
      </w:pPr>
      <w:r>
        <w:rPr>
          <w:rFonts w:ascii="Arial" w:hAnsi="Arial" w:cs="Arial"/>
          <w:color w:val="000000"/>
          <w:sz w:val="20"/>
        </w:rPr>
        <w:t>In</w:t>
      </w:r>
      <w:r w:rsidR="0026091F">
        <w:rPr>
          <w:rFonts w:ascii="Arial" w:hAnsi="Arial" w:cs="Arial"/>
          <w:color w:val="000000"/>
          <w:sz w:val="20"/>
        </w:rPr>
        <w:t xml:space="preserve"> </w:t>
      </w:r>
      <w:r w:rsidR="0026091F" w:rsidRPr="0026091F">
        <w:rPr>
          <w:rFonts w:ascii="Arial" w:hAnsi="Arial" w:cs="Arial"/>
          <w:i/>
          <w:iCs/>
          <w:color w:val="000000"/>
          <w:sz w:val="20"/>
        </w:rPr>
        <w:t>Moorhouse (a pseudonym) v The King</w:t>
      </w:r>
      <w:r w:rsidR="0026091F">
        <w:rPr>
          <w:rFonts w:ascii="Arial" w:hAnsi="Arial" w:cs="Arial"/>
          <w:color w:val="000000"/>
          <w:sz w:val="20"/>
        </w:rPr>
        <w:t xml:space="preserve"> [2025] VSCA 325 the Court of Appeal </w:t>
      </w:r>
      <w:r>
        <w:rPr>
          <w:rFonts w:ascii="Arial" w:hAnsi="Arial" w:cs="Arial"/>
          <w:color w:val="000000"/>
          <w:sz w:val="20"/>
        </w:rPr>
        <w:t>– i</w:t>
      </w:r>
      <w:r w:rsidR="0026091F">
        <w:rPr>
          <w:rFonts w:ascii="Arial" w:hAnsi="Arial" w:cs="Arial"/>
          <w:color w:val="000000"/>
          <w:sz w:val="20"/>
        </w:rPr>
        <w:t>n a</w:t>
      </w:r>
      <w:r>
        <w:rPr>
          <w:rFonts w:ascii="Arial" w:hAnsi="Arial" w:cs="Arial"/>
          <w:color w:val="000000"/>
          <w:sz w:val="20"/>
        </w:rPr>
        <w:t>n appeal against a</w:t>
      </w:r>
      <w:r w:rsidR="0026091F">
        <w:rPr>
          <w:rFonts w:ascii="Arial" w:hAnsi="Arial" w:cs="Arial"/>
          <w:color w:val="000000"/>
          <w:sz w:val="20"/>
        </w:rPr>
        <w:t xml:space="preserve"> pre-trial </w:t>
      </w:r>
      <w:r>
        <w:rPr>
          <w:rFonts w:ascii="Arial" w:hAnsi="Arial" w:cs="Arial"/>
          <w:color w:val="000000"/>
          <w:sz w:val="20"/>
        </w:rPr>
        <w:t xml:space="preserve">ruling </w:t>
      </w:r>
      <w:r w:rsidR="0026091F">
        <w:rPr>
          <w:rFonts w:ascii="Arial" w:hAnsi="Arial" w:cs="Arial"/>
          <w:color w:val="000000"/>
          <w:sz w:val="20"/>
        </w:rPr>
        <w:t>in</w:t>
      </w:r>
      <w:r>
        <w:rPr>
          <w:rFonts w:ascii="Arial" w:hAnsi="Arial" w:cs="Arial"/>
          <w:color w:val="000000"/>
          <w:sz w:val="20"/>
        </w:rPr>
        <w:t xml:space="preserve"> </w:t>
      </w:r>
      <w:r w:rsidR="0026091F">
        <w:rPr>
          <w:rFonts w:ascii="Arial" w:hAnsi="Arial" w:cs="Arial"/>
          <w:color w:val="000000"/>
          <w:sz w:val="20"/>
        </w:rPr>
        <w:t xml:space="preserve">relation to </w:t>
      </w:r>
      <w:r>
        <w:rPr>
          <w:rFonts w:ascii="Arial" w:hAnsi="Arial" w:cs="Arial"/>
          <w:color w:val="000000"/>
          <w:sz w:val="20"/>
        </w:rPr>
        <w:t>proposed evidentiary material – held:</w:t>
      </w:r>
    </w:p>
    <w:p w14:paraId="3169219E" w14:textId="19B8B17D" w:rsidR="003E6EC7"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mobile phone data depicted in Microsoft Excel spreadsheets and the mobile call charge records contained in the depositions were admissible as they were not misleading and were of high probative value not outweighed by the danger of unfair prejudice.</w:t>
      </w:r>
    </w:p>
    <w:p w14:paraId="2FF76A45" w14:textId="77777777" w:rsidR="007B6025"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vehicle GPS data report and the evidence of the provider of the GPS data were relevant and of high probative value not outweighed by the danger of unfair prejudice.</w:t>
      </w:r>
    </w:p>
    <w:p w14:paraId="3D21D3AE" w14:textId="6E905622" w:rsidR="007B6025" w:rsidRPr="007B6025"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evidence of Sgt Duncan Brown, including the animated mapping of the call charge records that he produces, was not admissible in its current form, being misleading in part and giving r</w:t>
      </w:r>
      <w:r w:rsidR="007E01BF">
        <w:rPr>
          <w:rFonts w:ascii="Arial" w:hAnsi="Arial" w:cs="Arial"/>
          <w:sz w:val="20"/>
          <w:szCs w:val="16"/>
        </w:rPr>
        <w:t>i</w:t>
      </w:r>
      <w:r>
        <w:rPr>
          <w:rFonts w:ascii="Arial" w:hAnsi="Arial" w:cs="Arial"/>
          <w:sz w:val="20"/>
          <w:szCs w:val="16"/>
        </w:rPr>
        <w:t>se</w:t>
      </w:r>
      <w:r w:rsidR="007E01BF">
        <w:rPr>
          <w:rFonts w:ascii="Arial" w:hAnsi="Arial" w:cs="Arial"/>
          <w:sz w:val="20"/>
          <w:szCs w:val="16"/>
        </w:rPr>
        <w:t xml:space="preserve"> to a danger of unfair prejudice.</w:t>
      </w:r>
    </w:p>
    <w:p w14:paraId="75DE9F80" w14:textId="77777777" w:rsidR="0026091F" w:rsidRDefault="0026091F"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 xml:space="preserve">that the probative </w:t>
      </w:r>
      <w:r w:rsidRPr="0099378C">
        <w:rPr>
          <w:rFonts w:ascii="Arial" w:hAnsi="Arial" w:cs="Arial"/>
          <w:sz w:val="20"/>
        </w:rPr>
        <w:lastRenderedPageBreak/>
        <w:t>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00E72751" w14:textId="5C3F9A6E" w:rsidR="00D7021B" w:rsidRDefault="0054755A" w:rsidP="007E01BF">
      <w:pPr>
        <w:jc w:val="both"/>
        <w:rPr>
          <w:rFonts w:ascii="Arial" w:hAnsi="Arial" w:cs="Arial"/>
          <w:color w:val="000000"/>
          <w:sz w:val="20"/>
        </w:rPr>
      </w:pPr>
      <w:r>
        <w:rPr>
          <w:rFonts w:ascii="Arial" w:hAnsi="Arial" w:cs="Arial"/>
          <w:color w:val="000000"/>
          <w:sz w:val="20"/>
        </w:rPr>
        <w:t xml:space="preserve">In </w:t>
      </w:r>
      <w:r w:rsidRPr="0054755A">
        <w:rPr>
          <w:rFonts w:ascii="Arial" w:hAnsi="Arial" w:cs="Arial"/>
          <w:i/>
          <w:iCs/>
          <w:color w:val="000000"/>
          <w:sz w:val="20"/>
        </w:rPr>
        <w:t>R v Stott &amp; Ors (Rulings 1-6)</w:t>
      </w:r>
      <w:r>
        <w:rPr>
          <w:rFonts w:ascii="Arial" w:hAnsi="Arial" w:cs="Arial"/>
          <w:color w:val="000000"/>
          <w:sz w:val="20"/>
        </w:rPr>
        <w:t xml:space="preserve"> [2025] VSC </w:t>
      </w:r>
      <w:r w:rsidR="00D7021B">
        <w:rPr>
          <w:rFonts w:ascii="Arial" w:hAnsi="Arial" w:cs="Arial"/>
          <w:color w:val="000000"/>
          <w:sz w:val="20"/>
        </w:rPr>
        <w:t>286</w:t>
      </w:r>
      <w:r>
        <w:rPr>
          <w:rFonts w:ascii="Arial" w:hAnsi="Arial" w:cs="Arial"/>
          <w:color w:val="000000"/>
          <w:sz w:val="20"/>
        </w:rPr>
        <w:t xml:space="preserve"> </w:t>
      </w:r>
      <w:r w:rsidR="00D7021B">
        <w:rPr>
          <w:rFonts w:ascii="Arial" w:hAnsi="Arial" w:cs="Arial"/>
          <w:color w:val="000000"/>
          <w:sz w:val="20"/>
        </w:rPr>
        <w:t xml:space="preserve">the Crown alleged that the accused Mr D’Elio, Ms Stott &amp; Mr Clarke – motivated by a belief </w:t>
      </w:r>
      <w:r w:rsidR="00645C80">
        <w:rPr>
          <w:rFonts w:ascii="Arial" w:hAnsi="Arial" w:cs="Arial"/>
          <w:color w:val="000000"/>
          <w:sz w:val="20"/>
        </w:rPr>
        <w:t>that CG</w:t>
      </w:r>
      <w:r w:rsidR="00D7021B">
        <w:rPr>
          <w:rFonts w:ascii="Arial" w:hAnsi="Arial" w:cs="Arial"/>
          <w:color w:val="000000"/>
          <w:sz w:val="20"/>
        </w:rPr>
        <w:t xml:space="preserve"> had implicated another person to police – kidnapped </w:t>
      </w:r>
      <w:r w:rsidR="00645C80">
        <w:rPr>
          <w:rFonts w:ascii="Arial" w:hAnsi="Arial" w:cs="Arial"/>
          <w:color w:val="000000"/>
          <w:sz w:val="20"/>
        </w:rPr>
        <w:t>him</w:t>
      </w:r>
      <w:r w:rsidR="00D7021B">
        <w:rPr>
          <w:rFonts w:ascii="Arial" w:hAnsi="Arial" w:cs="Arial"/>
          <w:color w:val="000000"/>
          <w:sz w:val="20"/>
        </w:rPr>
        <w:t>, murdered him by unknown means and then burned the vehicle CG had been driving with his body inside it. The C</w:t>
      </w:r>
      <w:r w:rsidR="00D7021B" w:rsidRPr="00D7021B">
        <w:rPr>
          <w:rFonts w:ascii="Arial" w:hAnsi="Arial" w:cs="Arial"/>
          <w:color w:val="000000"/>
          <w:sz w:val="20"/>
        </w:rPr>
        <w:t xml:space="preserve">rown case on each charge against each accused </w:t>
      </w:r>
      <w:r w:rsidR="00D7021B">
        <w:rPr>
          <w:rFonts w:ascii="Arial" w:hAnsi="Arial" w:cs="Arial"/>
          <w:color w:val="000000"/>
          <w:sz w:val="20"/>
        </w:rPr>
        <w:t xml:space="preserve">was </w:t>
      </w:r>
      <w:r w:rsidR="00D7021B" w:rsidRPr="00D7021B">
        <w:rPr>
          <w:rFonts w:ascii="Arial" w:hAnsi="Arial" w:cs="Arial"/>
          <w:color w:val="000000"/>
          <w:sz w:val="20"/>
        </w:rPr>
        <w:t xml:space="preserve">put on basis of involvement in </w:t>
      </w:r>
      <w:r w:rsidR="00D7021B">
        <w:rPr>
          <w:rFonts w:ascii="Arial" w:hAnsi="Arial" w:cs="Arial"/>
          <w:color w:val="000000"/>
          <w:sz w:val="20"/>
        </w:rPr>
        <w:t xml:space="preserve">the </w:t>
      </w:r>
      <w:r w:rsidR="00D7021B" w:rsidRPr="00D7021B">
        <w:rPr>
          <w:rFonts w:ascii="Arial" w:hAnsi="Arial" w:cs="Arial"/>
          <w:color w:val="000000"/>
          <w:sz w:val="20"/>
        </w:rPr>
        <w:t xml:space="preserve">offence by way of agreement to commit </w:t>
      </w:r>
      <w:r w:rsidR="00D7021B">
        <w:rPr>
          <w:rFonts w:ascii="Arial" w:hAnsi="Arial" w:cs="Arial"/>
          <w:color w:val="000000"/>
          <w:sz w:val="20"/>
        </w:rPr>
        <w:t xml:space="preserve">the </w:t>
      </w:r>
      <w:r w:rsidR="00D7021B" w:rsidRPr="00D7021B">
        <w:rPr>
          <w:rFonts w:ascii="Arial" w:hAnsi="Arial" w:cs="Arial"/>
          <w:color w:val="000000"/>
          <w:sz w:val="20"/>
        </w:rPr>
        <w:t xml:space="preserve">offence or, alternatively, on direct basis of perpetration of </w:t>
      </w:r>
      <w:r w:rsidR="00D7021B">
        <w:rPr>
          <w:rFonts w:ascii="Arial" w:hAnsi="Arial" w:cs="Arial"/>
          <w:color w:val="000000"/>
          <w:sz w:val="20"/>
        </w:rPr>
        <w:t xml:space="preserve">the </w:t>
      </w:r>
      <w:r w:rsidR="00D7021B" w:rsidRPr="00D7021B">
        <w:rPr>
          <w:rFonts w:ascii="Arial" w:hAnsi="Arial" w:cs="Arial"/>
          <w:color w:val="000000"/>
          <w:sz w:val="20"/>
        </w:rPr>
        <w:t>offence</w:t>
      </w:r>
      <w:r w:rsidR="00D7021B">
        <w:rPr>
          <w:rFonts w:ascii="Arial" w:hAnsi="Arial" w:cs="Arial"/>
          <w:color w:val="000000"/>
          <w:sz w:val="20"/>
        </w:rPr>
        <w:t xml:space="preserve">. This judgment of Croucher J contains </w:t>
      </w:r>
      <w:r w:rsidR="00D318E4">
        <w:rPr>
          <w:rFonts w:ascii="Arial" w:hAnsi="Arial" w:cs="Arial"/>
          <w:color w:val="000000"/>
          <w:sz w:val="20"/>
        </w:rPr>
        <w:t>s</w:t>
      </w:r>
      <w:r w:rsidR="00D7021B" w:rsidRPr="00D7021B">
        <w:rPr>
          <w:rFonts w:ascii="Arial" w:hAnsi="Arial" w:cs="Arial"/>
          <w:color w:val="000000"/>
          <w:sz w:val="20"/>
        </w:rPr>
        <w:t xml:space="preserve">ix pre-trial rulings (and numerous sub-rulings) on </w:t>
      </w:r>
      <w:r w:rsidR="00D7021B">
        <w:rPr>
          <w:rFonts w:ascii="Arial" w:hAnsi="Arial" w:cs="Arial"/>
          <w:color w:val="000000"/>
          <w:sz w:val="20"/>
        </w:rPr>
        <w:t xml:space="preserve">the </w:t>
      </w:r>
      <w:r w:rsidR="00D7021B" w:rsidRPr="00D7021B">
        <w:rPr>
          <w:rFonts w:ascii="Arial" w:hAnsi="Arial" w:cs="Arial"/>
          <w:color w:val="000000"/>
          <w:sz w:val="20"/>
        </w:rPr>
        <w:t xml:space="preserve">admissibility or permitted use of evidence </w:t>
      </w:r>
      <w:r w:rsidR="00D7021B">
        <w:rPr>
          <w:rFonts w:ascii="Arial" w:hAnsi="Arial" w:cs="Arial"/>
          <w:color w:val="000000"/>
          <w:sz w:val="20"/>
        </w:rPr>
        <w:t xml:space="preserve">that the </w:t>
      </w:r>
      <w:r w:rsidR="00D7021B" w:rsidRPr="00D7021B">
        <w:rPr>
          <w:rFonts w:ascii="Arial" w:hAnsi="Arial" w:cs="Arial"/>
          <w:color w:val="000000"/>
          <w:sz w:val="20"/>
        </w:rPr>
        <w:t>Crown propose</w:t>
      </w:r>
      <w:r w:rsidR="00D7021B">
        <w:rPr>
          <w:rFonts w:ascii="Arial" w:hAnsi="Arial" w:cs="Arial"/>
          <w:color w:val="000000"/>
          <w:sz w:val="20"/>
        </w:rPr>
        <w:t>d</w:t>
      </w:r>
      <w:r w:rsidR="00D7021B" w:rsidRPr="00D7021B">
        <w:rPr>
          <w:rFonts w:ascii="Arial" w:hAnsi="Arial" w:cs="Arial"/>
          <w:color w:val="000000"/>
          <w:sz w:val="20"/>
        </w:rPr>
        <w:t xml:space="preserve"> to lead at </w:t>
      </w:r>
      <w:r w:rsidR="00D7021B">
        <w:rPr>
          <w:rFonts w:ascii="Arial" w:hAnsi="Arial" w:cs="Arial"/>
          <w:color w:val="000000"/>
          <w:sz w:val="20"/>
        </w:rPr>
        <w:t xml:space="preserve">a </w:t>
      </w:r>
      <w:r w:rsidR="00D7021B" w:rsidRPr="00D7021B">
        <w:rPr>
          <w:rFonts w:ascii="Arial" w:hAnsi="Arial" w:cs="Arial"/>
          <w:color w:val="000000"/>
          <w:sz w:val="20"/>
        </w:rPr>
        <w:t>joint trial</w:t>
      </w:r>
      <w:r w:rsidR="00D7021B">
        <w:rPr>
          <w:rFonts w:ascii="Arial" w:hAnsi="Arial" w:cs="Arial"/>
          <w:color w:val="000000"/>
          <w:sz w:val="20"/>
        </w:rPr>
        <w:t xml:space="preserve"> under the following headings:</w:t>
      </w:r>
    </w:p>
    <w:p w14:paraId="18CBF1E5" w14:textId="4A066F51" w:rsidR="00D7021B" w:rsidRPr="00434405" w:rsidRDefault="00D7021B" w:rsidP="00D318E4">
      <w:pPr>
        <w:jc w:val="both"/>
        <w:rPr>
          <w:rFonts w:ascii="Arial" w:hAnsi="Arial" w:cs="Arial"/>
          <w:color w:val="000000"/>
          <w:sz w:val="20"/>
        </w:rPr>
      </w:pPr>
      <w:r w:rsidRPr="00434405">
        <w:rPr>
          <w:rFonts w:ascii="Arial" w:hAnsi="Arial" w:cs="Arial"/>
          <w:color w:val="000000"/>
          <w:sz w:val="20"/>
        </w:rPr>
        <w:t>Ruling 1: Ms Stott’s police interview</w:t>
      </w:r>
      <w:r w:rsidR="00434405" w:rsidRPr="00434405">
        <w:rPr>
          <w:rFonts w:ascii="Arial" w:hAnsi="Arial" w:cs="Arial"/>
          <w:color w:val="000000"/>
          <w:sz w:val="20"/>
        </w:rPr>
        <w:t xml:space="preserve"> [s.90 </w:t>
      </w:r>
      <w:r w:rsidR="00434405" w:rsidRPr="00434405">
        <w:rPr>
          <w:rFonts w:ascii="Arial" w:hAnsi="Arial" w:cs="Arial"/>
          <w:i/>
          <w:iCs/>
          <w:color w:val="000000"/>
          <w:sz w:val="20"/>
        </w:rPr>
        <w:t>Evidence Act 2008</w:t>
      </w:r>
      <w:r w:rsidR="00434405" w:rsidRPr="00434405">
        <w:rPr>
          <w:rFonts w:ascii="Arial" w:hAnsi="Arial" w:cs="Arial"/>
          <w:color w:val="000000"/>
          <w:sz w:val="20"/>
        </w:rPr>
        <w:t xml:space="preserve"> [EA]]</w:t>
      </w:r>
    </w:p>
    <w:p w14:paraId="51D9B103" w14:textId="7A8B9400" w:rsidR="00D7021B" w:rsidRPr="00434405" w:rsidRDefault="00D7021B" w:rsidP="00D318E4">
      <w:pPr>
        <w:jc w:val="both"/>
        <w:rPr>
          <w:rFonts w:ascii="Arial" w:hAnsi="Arial" w:cs="Arial"/>
          <w:color w:val="000000"/>
          <w:sz w:val="20"/>
        </w:rPr>
      </w:pPr>
      <w:r w:rsidRPr="00434405">
        <w:rPr>
          <w:rFonts w:ascii="Arial" w:hAnsi="Arial" w:cs="Arial"/>
          <w:color w:val="000000"/>
          <w:sz w:val="20"/>
        </w:rPr>
        <w:t xml:space="preserve">Ruling 2: Secretly recorded conversation between Mr </w:t>
      </w:r>
      <w:proofErr w:type="spellStart"/>
      <w:r w:rsidRPr="00434405">
        <w:rPr>
          <w:rFonts w:ascii="Arial" w:hAnsi="Arial" w:cs="Arial"/>
          <w:color w:val="000000"/>
          <w:sz w:val="20"/>
        </w:rPr>
        <w:t>D’Elio</w:t>
      </w:r>
      <w:proofErr w:type="spellEnd"/>
      <w:r w:rsidRPr="00434405">
        <w:rPr>
          <w:rFonts w:ascii="Arial" w:hAnsi="Arial" w:cs="Arial"/>
          <w:color w:val="000000"/>
          <w:sz w:val="20"/>
        </w:rPr>
        <w:t xml:space="preserve"> and </w:t>
      </w:r>
      <w:r w:rsidR="00434405" w:rsidRPr="00434405">
        <w:rPr>
          <w:rFonts w:ascii="Arial" w:hAnsi="Arial" w:cs="Arial"/>
          <w:color w:val="000000"/>
          <w:sz w:val="20"/>
        </w:rPr>
        <w:t xml:space="preserve">a </w:t>
      </w:r>
      <w:r w:rsidRPr="00434405">
        <w:rPr>
          <w:rFonts w:ascii="Arial" w:hAnsi="Arial" w:cs="Arial"/>
          <w:color w:val="000000"/>
          <w:sz w:val="20"/>
        </w:rPr>
        <w:t>covert operative</w:t>
      </w:r>
      <w:r w:rsidR="00434405" w:rsidRPr="00434405">
        <w:rPr>
          <w:rFonts w:ascii="Arial" w:hAnsi="Arial" w:cs="Arial"/>
          <w:color w:val="000000"/>
          <w:sz w:val="20"/>
        </w:rPr>
        <w:t xml:space="preserve"> [ss.90,135,137EA]</w:t>
      </w:r>
    </w:p>
    <w:p w14:paraId="3AC7D47E" w14:textId="08B4A3E4"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3: Arunta calls between or concerning Ms Stott and others</w:t>
      </w:r>
      <w:r w:rsidR="00434405" w:rsidRPr="00434405">
        <w:rPr>
          <w:rFonts w:ascii="Arial" w:hAnsi="Arial" w:cs="Arial"/>
          <w:color w:val="000000"/>
          <w:sz w:val="20"/>
        </w:rPr>
        <w:t xml:space="preserve"> [ss.59 &amp; 76 EA]</w:t>
      </w:r>
    </w:p>
    <w:p w14:paraId="1DDC5825" w14:textId="6AC2B88C"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4: Miscellaneous pieces of evidence</w:t>
      </w:r>
      <w:r w:rsidR="00434405">
        <w:rPr>
          <w:rFonts w:ascii="Arial" w:hAnsi="Arial" w:cs="Arial"/>
          <w:color w:val="000000"/>
          <w:sz w:val="20"/>
        </w:rPr>
        <w:t xml:space="preserve"> [ss.87 &amp; 137 EA]</w:t>
      </w:r>
    </w:p>
    <w:p w14:paraId="41CE52CA" w14:textId="4D5FF252"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5: Mr Clarke’s edited police interview</w:t>
      </w:r>
    </w:p>
    <w:p w14:paraId="5667F28F" w14:textId="272FBCE5" w:rsidR="00D318E4" w:rsidRPr="00434405" w:rsidRDefault="00D318E4" w:rsidP="00D318E4">
      <w:pPr>
        <w:jc w:val="both"/>
        <w:rPr>
          <w:rFonts w:ascii="Arial" w:hAnsi="Arial" w:cs="Arial"/>
          <w:color w:val="000000"/>
          <w:sz w:val="20"/>
        </w:rPr>
      </w:pPr>
      <w:r w:rsidRPr="00434405">
        <w:rPr>
          <w:rFonts w:ascii="Arial" w:hAnsi="Arial" w:cs="Arial"/>
          <w:color w:val="000000"/>
          <w:sz w:val="20"/>
        </w:rPr>
        <w:t xml:space="preserve">Ruling 6: </w:t>
      </w:r>
      <w:r w:rsidR="00434405" w:rsidRPr="00434405">
        <w:rPr>
          <w:rFonts w:ascii="Arial" w:hAnsi="Arial" w:cs="Arial"/>
          <w:color w:val="000000"/>
          <w:sz w:val="20"/>
        </w:rPr>
        <w:t xml:space="preserve">Ms Stott &amp; Mr Clarke may use Mr </w:t>
      </w:r>
      <w:proofErr w:type="spellStart"/>
      <w:r w:rsidR="00434405" w:rsidRPr="00434405">
        <w:rPr>
          <w:rFonts w:ascii="Arial" w:hAnsi="Arial" w:cs="Arial"/>
          <w:color w:val="000000"/>
          <w:sz w:val="20"/>
        </w:rPr>
        <w:t>D’Elio’s</w:t>
      </w:r>
      <w:proofErr w:type="spellEnd"/>
      <w:r w:rsidR="00434405" w:rsidRPr="00434405">
        <w:rPr>
          <w:rFonts w:ascii="Arial" w:hAnsi="Arial" w:cs="Arial"/>
          <w:color w:val="000000"/>
          <w:sz w:val="20"/>
        </w:rPr>
        <w:t xml:space="preserve"> admissions in their cases [s.83 EA]</w:t>
      </w:r>
    </w:p>
    <w:p w14:paraId="015EED2A" w14:textId="77777777" w:rsidR="00D318E4" w:rsidRDefault="00D318E4" w:rsidP="00D318E4">
      <w:pPr>
        <w:jc w:val="both"/>
        <w:rPr>
          <w:rFonts w:ascii="Arial" w:hAnsi="Arial" w:cs="Arial"/>
          <w:color w:val="000000"/>
          <w:sz w:val="20"/>
        </w:rPr>
      </w:pPr>
    </w:p>
    <w:p w14:paraId="1AC5CE34" w14:textId="466D2BF8" w:rsidR="002119B0" w:rsidRDefault="0086609B" w:rsidP="002119B0">
      <w:pPr>
        <w:jc w:val="both"/>
        <w:rPr>
          <w:rFonts w:ascii="Arial" w:hAnsi="Arial" w:cs="Arial"/>
          <w:color w:val="000000"/>
          <w:sz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635D47">
        <w:rPr>
          <w:rFonts w:ascii="Arial" w:hAnsi="Arial" w:cs="Arial"/>
          <w:color w:val="000000"/>
          <w:sz w:val="20"/>
          <w:szCs w:val="20"/>
        </w:rPr>
        <w:t xml:space="preserve">; </w:t>
      </w:r>
      <w:r w:rsidR="00635D47" w:rsidRPr="00583B2D">
        <w:rPr>
          <w:rFonts w:ascii="Arial" w:hAnsi="Arial" w:cs="Arial"/>
          <w:i/>
          <w:iCs/>
          <w:sz w:val="20"/>
          <w:szCs w:val="20"/>
        </w:rPr>
        <w:t>SA (a pseudonym) v The King</w:t>
      </w:r>
      <w:r w:rsidR="00635D47">
        <w:rPr>
          <w:rFonts w:ascii="Arial" w:hAnsi="Arial" w:cs="Arial"/>
          <w:sz w:val="20"/>
          <w:szCs w:val="20"/>
        </w:rPr>
        <w:t xml:space="preserve"> [2025] VSCA 300 at [155]-[179]</w:t>
      </w:r>
      <w:r w:rsidR="00A935DD">
        <w:rPr>
          <w:rFonts w:ascii="Arial" w:hAnsi="Arial" w:cs="Arial"/>
          <w:sz w:val="20"/>
          <w:szCs w:val="20"/>
        </w:rPr>
        <w:t xml:space="preserve">; </w:t>
      </w:r>
      <w:r w:rsidR="00A935DD" w:rsidRPr="00A935DD">
        <w:rPr>
          <w:rFonts w:ascii="Arial" w:hAnsi="Arial" w:cs="Arial"/>
          <w:i/>
          <w:iCs/>
          <w:color w:val="000000"/>
          <w:sz w:val="20"/>
        </w:rPr>
        <w:t>DPP (</w:t>
      </w:r>
      <w:proofErr w:type="spellStart"/>
      <w:r w:rsidR="00A935DD" w:rsidRPr="00A935DD">
        <w:rPr>
          <w:rFonts w:ascii="Arial" w:hAnsi="Arial" w:cs="Arial"/>
          <w:i/>
          <w:iCs/>
          <w:color w:val="000000"/>
          <w:sz w:val="20"/>
        </w:rPr>
        <w:t>Cth</w:t>
      </w:r>
      <w:proofErr w:type="spellEnd"/>
      <w:r w:rsidR="00A935DD" w:rsidRPr="00A935DD">
        <w:rPr>
          <w:rFonts w:ascii="Arial" w:hAnsi="Arial" w:cs="Arial"/>
          <w:i/>
          <w:iCs/>
          <w:color w:val="000000"/>
          <w:sz w:val="20"/>
        </w:rPr>
        <w:t>) v Al Salman (No 4)</w:t>
      </w:r>
      <w:r w:rsidR="00A935DD" w:rsidRPr="00A935DD">
        <w:rPr>
          <w:rFonts w:ascii="Arial" w:hAnsi="Arial" w:cs="Arial"/>
          <w:color w:val="000000"/>
          <w:sz w:val="20"/>
        </w:rPr>
        <w:t xml:space="preserve"> [2025] VSC 811</w:t>
      </w:r>
      <w:r w:rsidR="009F23FD">
        <w:rPr>
          <w:rFonts w:ascii="Arial" w:hAnsi="Arial" w:cs="Arial"/>
          <w:color w:val="000000"/>
          <w:sz w:val="20"/>
        </w:rPr>
        <w:t xml:space="preserve">; </w:t>
      </w:r>
      <w:r w:rsidR="009F23FD" w:rsidRPr="00A935DD">
        <w:rPr>
          <w:rFonts w:ascii="Arial" w:hAnsi="Arial" w:cs="Arial"/>
          <w:i/>
          <w:iCs/>
          <w:color w:val="000000"/>
          <w:sz w:val="20"/>
        </w:rPr>
        <w:t>DPP (</w:t>
      </w:r>
      <w:proofErr w:type="spellStart"/>
      <w:r w:rsidR="009F23FD" w:rsidRPr="00A935DD">
        <w:rPr>
          <w:rFonts w:ascii="Arial" w:hAnsi="Arial" w:cs="Arial"/>
          <w:i/>
          <w:iCs/>
          <w:color w:val="000000"/>
          <w:sz w:val="20"/>
        </w:rPr>
        <w:t>Cth</w:t>
      </w:r>
      <w:proofErr w:type="spellEnd"/>
      <w:r w:rsidR="009F23FD" w:rsidRPr="00A935DD">
        <w:rPr>
          <w:rFonts w:ascii="Arial" w:hAnsi="Arial" w:cs="Arial"/>
          <w:i/>
          <w:iCs/>
          <w:color w:val="000000"/>
          <w:sz w:val="20"/>
        </w:rPr>
        <w:t xml:space="preserve">) v Al Salman (No </w:t>
      </w:r>
      <w:r w:rsidR="009F23FD">
        <w:rPr>
          <w:rFonts w:ascii="Arial" w:hAnsi="Arial" w:cs="Arial"/>
          <w:i/>
          <w:iCs/>
          <w:color w:val="000000"/>
          <w:sz w:val="20"/>
        </w:rPr>
        <w:t>6</w:t>
      </w:r>
      <w:r w:rsidR="009F23FD" w:rsidRPr="00A935DD">
        <w:rPr>
          <w:rFonts w:ascii="Arial" w:hAnsi="Arial" w:cs="Arial"/>
          <w:i/>
          <w:iCs/>
          <w:color w:val="000000"/>
          <w:sz w:val="20"/>
        </w:rPr>
        <w:t>)</w:t>
      </w:r>
      <w:r w:rsidR="009F23FD" w:rsidRPr="00A935DD">
        <w:rPr>
          <w:rFonts w:ascii="Arial" w:hAnsi="Arial" w:cs="Arial"/>
          <w:color w:val="000000"/>
          <w:sz w:val="20"/>
        </w:rPr>
        <w:t xml:space="preserve"> [2025] VSC 81</w:t>
      </w:r>
      <w:r w:rsidR="009F23FD">
        <w:rPr>
          <w:rFonts w:ascii="Arial" w:hAnsi="Arial" w:cs="Arial"/>
          <w:color w:val="000000"/>
          <w:sz w:val="20"/>
        </w:rPr>
        <w:t>3.</w:t>
      </w:r>
    </w:p>
    <w:p w14:paraId="3456DD39" w14:textId="77777777" w:rsidR="00A935DD" w:rsidRPr="00F65EB1" w:rsidRDefault="00A935DD"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86" w:name="_3.5.3.3_Admissibility_of"/>
      <w:bookmarkStart w:id="587" w:name="B3533"/>
      <w:bookmarkEnd w:id="586"/>
      <w:bookmarkEnd w:id="587"/>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lastRenderedPageBreak/>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do: cf. </w:t>
      </w:r>
      <w:r w:rsidRPr="00FC40FC">
        <w:rPr>
          <w:rFonts w:ascii="Arial" w:hAnsi="Arial" w:cs="Arial"/>
          <w:i/>
          <w:sz w:val="20"/>
        </w:rPr>
        <w:t xml:space="preserve">Project Blue Sky Inc v </w:t>
      </w:r>
      <w:smartTag w:uri="urn:schemas-microsoft-com:office:smarttags" w:element="place">
        <w:smartTag w:uri="urn:schemas-microsoft-com:office:smarttags" w:element="City">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place">
        <w:smartTag w:uri="urn:schemas-microsoft-com:office:smarttags" w:element="City">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88" w:name="_3.5.3.4_The_hearsay"/>
      <w:bookmarkEnd w:id="588"/>
      <w:r>
        <w:rPr>
          <w:rFonts w:ascii="Arial" w:hAnsi="Arial" w:cs="Arial"/>
          <w:b/>
          <w:bCs/>
          <w:color w:val="000000"/>
          <w:sz w:val="20"/>
        </w:rPr>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lastRenderedPageBreak/>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taken into account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58A6C82A" w14:textId="77777777" w:rsidR="007B51A0" w:rsidRDefault="007B51A0" w:rsidP="007B51A0">
      <w:pPr>
        <w:jc w:val="both"/>
        <w:rPr>
          <w:rFonts w:ascii="Arial" w:hAnsi="Arial" w:cs="Arial"/>
          <w:sz w:val="20"/>
        </w:rPr>
      </w:pPr>
    </w:p>
    <w:p w14:paraId="157ADE9A" w14:textId="76170328" w:rsidR="000F2CE5" w:rsidRPr="009F25D4" w:rsidRDefault="000F2CE5" w:rsidP="000F2CE5">
      <w:pPr>
        <w:pStyle w:val="Heading3"/>
        <w:keepNext/>
        <w:spacing w:line="240" w:lineRule="auto"/>
        <w:rPr>
          <w:rFonts w:ascii="Arial" w:hAnsi="Arial" w:cs="Arial"/>
          <w:b/>
          <w:bCs/>
          <w:color w:val="000000"/>
          <w:sz w:val="20"/>
        </w:rPr>
      </w:pPr>
      <w:bookmarkStart w:id="589" w:name="_3.5.3.5_Expert_evidence"/>
      <w:bookmarkEnd w:id="589"/>
      <w:r w:rsidRPr="008C3BC8">
        <w:rPr>
          <w:rFonts w:ascii="Arial" w:hAnsi="Arial" w:cs="Arial"/>
          <w:b/>
          <w:bCs/>
          <w:color w:val="000000"/>
          <w:sz w:val="20"/>
        </w:rPr>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6B64D8D" w14:textId="2435BC8F" w:rsidR="009C5B9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 xml:space="preserve">MA </w:t>
      </w:r>
      <w:r w:rsidRPr="00BE2ABB">
        <w:rPr>
          <w:rFonts w:ascii="Arial" w:hAnsi="Arial" w:cs="Arial"/>
          <w:bCs/>
          <w:i/>
          <w:color w:val="000000"/>
          <w:sz w:val="20"/>
        </w:rPr>
        <w:lastRenderedPageBreak/>
        <w:t>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Pr="00BE2ABB">
        <w:rPr>
          <w:rFonts w:ascii="Arial" w:hAnsi="Arial" w:cs="Arial"/>
          <w:bCs/>
          <w:color w:val="000000"/>
          <w:sz w:val="20"/>
        </w:rPr>
        <w:t>.</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635D47">
            <w:pPr>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635D47">
            <w:pPr>
              <w:keepNext/>
              <w:keepLines/>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 xml:space="preserve">trial before a judge and jury in which prejudicial </w:t>
      </w:r>
      <w:r w:rsidR="00585686" w:rsidRPr="00585686">
        <w:rPr>
          <w:rFonts w:ascii="Arial" w:hAnsi="Arial" w:cs="Arial"/>
          <w:sz w:val="20"/>
          <w:szCs w:val="20"/>
        </w:rPr>
        <w:lastRenderedPageBreak/>
        <w:t>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[11]</w:t>
      </w:r>
      <w:r w:rsidR="005C1DBA" w:rsidRPr="005C1DBA">
        <w:rPr>
          <w:rFonts w:ascii="Arial" w:hAnsi="Arial" w:cs="Arial"/>
          <w:sz w:val="20"/>
          <w:szCs w:val="20"/>
        </w:rPr>
        <w:t xml:space="preserve">. The tribunal of fact might at most be assisted in the performance of the function by being apprised of the opinion of another person – an expert – based on that person's </w:t>
      </w:r>
      <w:r w:rsidR="005C1DBA" w:rsidRPr="005C1DBA">
        <w:rPr>
          <w:rFonts w:ascii="Arial" w:hAnsi="Arial" w:cs="Arial"/>
          <w:sz w:val="20"/>
          <w:szCs w:val="20"/>
        </w:rPr>
        <w:lastRenderedPageBreak/>
        <w:t>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 xml:space="preserve">in the context of considering the admissibility of the opinion of an expert under the uniform evidence legislation, apply equally to the determination of the admissibility of an expert opinion at common law. Those principles require that, in order to satisfy the condition of admissibility that the opinion of an expert be demonstrated to be based on </w:t>
      </w:r>
      <w:r w:rsidR="005C1DBA" w:rsidRPr="00AC6BFB">
        <w:rPr>
          <w:rFonts w:ascii="Arial" w:hAnsi="Arial" w:cs="Arial"/>
          <w:b/>
          <w:bCs/>
          <w:sz w:val="20"/>
          <w:szCs w:val="20"/>
        </w:rPr>
        <w:lastRenderedPageBreak/>
        <w:t>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reasoning</w:t>
      </w:r>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[h]owever valuable intuitive 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w:t>
      </w:r>
      <w:r w:rsidR="005C1DBA" w:rsidRPr="005C1DBA">
        <w:rPr>
          <w:rFonts w:ascii="Arial" w:hAnsi="Arial" w:cs="Arial"/>
          <w:sz w:val="20"/>
          <w:szCs w:val="20"/>
        </w:rPr>
        <w:lastRenderedPageBreak/>
        <w:t>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a party must then identify the expertise of the witness in that field; it must be demonstrates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(e)</w:t>
      </w:r>
      <w:r>
        <w:rPr>
          <w:rFonts w:ascii="Arial" w:hAnsi="Arial" w:cs="Arial"/>
          <w:bCs/>
          <w:sz w:val="20"/>
        </w:rPr>
        <w:tab/>
        <w:t>the onus rests on the party calling the witness to satisfied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lastRenderedPageBreak/>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place">
        <w:smartTag w:uri="urn:schemas-microsoft-com:office:smarttags" w:element="Stat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Month" w:val="12"/>
          <w:attr w:name="Day" w:val="11"/>
          <w:attr w:name="Year" w:val="199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[38]  “In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issue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my role as a magistrate allocated to the Children’s Court. But it is important not to over-emphasize its usefulness when applied to any particular case. The research and the </w:t>
      </w:r>
      <w:r w:rsidRPr="00FC3025">
        <w:rPr>
          <w:rFonts w:ascii="Arial" w:hAnsi="Arial" w:cs="Arial"/>
          <w:sz w:val="20"/>
        </w:rPr>
        <w:lastRenderedPageBreak/>
        <w:t xml:space="preserve">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make reference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 xml:space="preserve">Baulch v Lyndoch Warrnambool &amp; </w:t>
      </w:r>
      <w:r w:rsidRPr="0041421A">
        <w:rPr>
          <w:rFonts w:ascii="Arial" w:hAnsi="Arial" w:cs="Arial"/>
          <w:i/>
          <w:sz w:val="20"/>
          <w:szCs w:val="20"/>
        </w:rPr>
        <w:lastRenderedPageBreak/>
        <w:t>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a party must then identify the expertise of the witness in that field; it must be demonstrates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CYFA</w:t>
      </w:r>
      <w:r w:rsidR="00337356" w:rsidRPr="00720FCE">
        <w:rPr>
          <w:rFonts w:ascii="Arial" w:hAnsi="Arial" w:cs="Arial"/>
          <w:sz w:val="20"/>
          <w:szCs w:val="20"/>
        </w:rPr>
        <w:t xml:space="preserve"> .</w:t>
      </w:r>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lastRenderedPageBreak/>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90" w:name="_4.8.6_Attendance_of"/>
      <w:bookmarkStart w:id="591" w:name="B486"/>
      <w:bookmarkEnd w:id="590"/>
      <w:bookmarkEnd w:id="591"/>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which he witnessed. It may also be based on other matters or events he witnessed, such as the manner of the deceased’s driving. To the extent the opinion was based on LJ’s belief </w:t>
      </w:r>
      <w:r w:rsidRPr="004937E6">
        <w:rPr>
          <w:rFonts w:ascii="Arial" w:hAnsi="Arial" w:cs="Arial"/>
          <w:sz w:val="20"/>
          <w:szCs w:val="20"/>
        </w:rPr>
        <w:lastRenderedPageBreak/>
        <w:t>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592" w:name="_3.5.3.6_Other_cases"/>
      <w:bookmarkStart w:id="593" w:name="B3536"/>
      <w:bookmarkStart w:id="594" w:name="_3.5.3.5_Illegally_or"/>
      <w:bookmarkStart w:id="595" w:name="B3535"/>
      <w:bookmarkEnd w:id="592"/>
      <w:bookmarkEnd w:id="593"/>
      <w:bookmarkEnd w:id="594"/>
      <w:bookmarkEnd w:id="595"/>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 (1), it is to take into account</w:t>
      </w:r>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lastRenderedPageBreak/>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takes action. The desirability of admitting evidence </w:t>
      </w:r>
      <w:r w:rsidRPr="007B42D6">
        <w:rPr>
          <w:rFonts w:ascii="Arial" w:hAnsi="Arial" w:cs="Arial"/>
          <w:sz w:val="20"/>
          <w:szCs w:val="20"/>
        </w:rPr>
        <w:lastRenderedPageBreak/>
        <w:t>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were is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596"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be in need of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There is nothing in the terms of a warrant that would permit a search for information as to the whereabouts of CM. The warrant solely covers the recovery of CM and not an unlimited search of premises whatever the purpose. Because of the invasive nature of a 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lastRenderedPageBreak/>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596"/>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597" w:name="_Hlk130308460"/>
      <w:r>
        <w:rPr>
          <w:rFonts w:ascii="Arial" w:hAnsi="Arial" w:cs="Arial"/>
          <w:color w:val="000000"/>
          <w:sz w:val="20"/>
        </w:rPr>
        <w:t>holding that all items seized pursuant to the execution of the April 2021 warrant were not to be admitted into evidence in the applicant’s trial, the Court of Appeal said at [198]</w:t>
      </w:r>
      <w:r w:rsidR="006D47B2">
        <w:rPr>
          <w:rFonts w:ascii="Arial" w:hAnsi="Arial" w:cs="Arial"/>
          <w:color w:val="000000"/>
          <w:sz w:val="20"/>
        </w:rPr>
        <w:noBreakHyphen/>
      </w:r>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597"/>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0B3C1561" w14:textId="2380F5AC" w:rsidR="00C46F79" w:rsidRPr="008E5682"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598"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598"/>
    </w:p>
    <w:p w14:paraId="1B0CF0D3" w14:textId="77777777" w:rsidR="00C46F79" w:rsidRPr="008E5682" w:rsidRDefault="00C46F79"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599" w:name="_3.5.3.6_Admissibility_of"/>
      <w:bookmarkStart w:id="600" w:name="_Hlk202261531"/>
      <w:bookmarkEnd w:id="599"/>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600"/>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 xml:space="preserve">Evidence of the character, reputation or conduct of a person, or a tendency that a person has or had, is not admissible to prove that a person has or had a tendency </w:t>
      </w:r>
      <w:r w:rsidRPr="00F85775">
        <w:rPr>
          <w:rFonts w:ascii="Arial" w:hAnsi="Arial" w:cs="Arial"/>
          <w:sz w:val="20"/>
          <w:szCs w:val="20"/>
        </w:rPr>
        <w:lastRenderedPageBreak/>
        <w:t>(whether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01"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Coincidence evidence is evidence which uses the improbability of two or more events occurring coincidentally to prove, relevantly, that a person performed a particular act. The use of coincidence evidence relies on a process of inferential reasoning in which it is open to a jury to draw two inferences. First, from evidence of similarities between two or more 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w:t>
      </w:r>
      <w:r w:rsidRPr="0066660A">
        <w:rPr>
          <w:rFonts w:cs="Arial"/>
          <w:color w:val="000000"/>
          <w:sz w:val="20"/>
        </w:rPr>
        <w:lastRenderedPageBreak/>
        <w:t xml:space="preserve">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01"/>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 xml:space="preserve">use the evidence of each of the women to prove the tendency of the applicant to have both a particular state of mind </w:t>
      </w:r>
      <w:r>
        <w:rPr>
          <w:rFonts w:ascii="Arial" w:hAnsi="Arial" w:cs="Arial"/>
          <w:sz w:val="20"/>
        </w:rPr>
        <w:lastRenderedPageBreak/>
        <w:t>(namely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 xml:space="preserve">In such cases, evidence of each charged act is admissible as circumstantial evidence in proof of each other charged act </w:t>
      </w:r>
      <w:r w:rsidRPr="001478D7">
        <w:rPr>
          <w:sz w:val="16"/>
          <w:szCs w:val="12"/>
        </w:rPr>
        <w:lastRenderedPageBreak/>
        <w:t>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xml:space="preserve">;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w:t>
      </w:r>
      <w:r w:rsidRPr="007C67E9">
        <w:rPr>
          <w:sz w:val="18"/>
          <w:szCs w:val="18"/>
        </w:rPr>
        <w:lastRenderedPageBreak/>
        <w:t>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499BF388" w:rsidR="00CA2279" w:rsidRDefault="00592325" w:rsidP="00943C7B">
      <w:pPr>
        <w:spacing w:before="120"/>
        <w:jc w:val="both"/>
        <w:rPr>
          <w:rFonts w:ascii="Arial" w:hAnsi="Arial" w:cs="Arial"/>
          <w:sz w:val="20"/>
          <w:szCs w:val="20"/>
        </w:rPr>
      </w:pPr>
      <w:r>
        <w:rPr>
          <w:rFonts w:ascii="Arial" w:hAnsi="Arial" w:cs="Arial"/>
          <w:sz w:val="20"/>
          <w:szCs w:val="20"/>
        </w:rPr>
        <w:lastRenderedPageBreak/>
        <w:t xml:space="preserve">In </w:t>
      </w:r>
      <w:r w:rsidR="00CF34DD" w:rsidRPr="005159D1">
        <w:rPr>
          <w:rFonts w:ascii="Arial" w:hAnsi="Arial" w:cs="Arial"/>
          <w:sz w:val="20"/>
          <w:szCs w:val="20"/>
        </w:rPr>
        <w:t>(2024) 98 ALJR 644, 649 [19]; [2024] HCA 15</w:t>
      </w:r>
      <w:r w:rsidR="00CF34DD">
        <w:rPr>
          <w:rFonts w:ascii="Arial" w:hAnsi="Arial" w:cs="Arial"/>
          <w:sz w:val="20"/>
          <w:szCs w:val="20"/>
        </w:rPr>
        <w:t xml:space="preserve"> </w:t>
      </w:r>
      <w:r>
        <w:rPr>
          <w:rFonts w:ascii="Arial" w:hAnsi="Arial" w:cs="Arial"/>
          <w:sz w:val="20"/>
          <w:szCs w:val="20"/>
        </w:rPr>
        <w:t>[2024] HCA 15 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2ADC9757" w14:textId="77777777" w:rsidR="002768B3" w:rsidRDefault="002768B3"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Clancy v Plaintiffs A, B,C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taking into account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w:t>
      </w:r>
      <w:r>
        <w:rPr>
          <w:rFonts w:ascii="Arial" w:hAnsi="Arial" w:cs="Arial"/>
          <w:sz w:val="20"/>
          <w:szCs w:val="20"/>
        </w:rPr>
        <w:lastRenderedPageBreak/>
        <w:t>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[70]–[71], Gageler J in his minority judgment observed that tendency reasoning is not deductive logic, but is a form of inferential or inductive reasoning.</w:t>
      </w:r>
      <w:r w:rsidR="0013683D">
        <w:rPr>
          <w:rFonts w:ascii="Arial" w:hAnsi="Arial" w:cs="Arial"/>
          <w:sz w:val="20"/>
        </w:rPr>
        <w:t xml:space="preserve"> </w:t>
      </w:r>
      <w:r w:rsidR="0013683D" w:rsidRPr="006728BA">
        <w:rPr>
          <w:rFonts w:ascii="Arial" w:hAnsi="Arial" w:cs="Arial"/>
          <w:sz w:val="20"/>
        </w:rPr>
        <w:t>The jury is asked to reason that a person who is shown to have a tendency to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and </w:t>
      </w:r>
      <w:r w:rsidR="00585A10">
        <w:rPr>
          <w:rFonts w:ascii="Arial" w:hAnsi="Arial" w:cs="Arial"/>
          <w:sz w:val="20"/>
        </w:rPr>
        <w:t xml:space="preserve"> </w:t>
      </w:r>
      <w:r w:rsidRPr="0013683D">
        <w:rPr>
          <w:rFonts w:ascii="Arial" w:hAnsi="Arial" w:cs="Arial"/>
          <w:sz w:val="20"/>
        </w:rPr>
        <w:t>explained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it,and prejudice may also arise if an accused is required ‘to answer a raft of uncharged conduct stretching back, perhaps, over many years’.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lastRenderedPageBreak/>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5749D3A3" w:rsidR="00630923" w:rsidRDefault="00976CB1" w:rsidP="00A44886">
      <w:pPr>
        <w:jc w:val="both"/>
        <w:rPr>
          <w:rFonts w:ascii="Arial" w:hAnsi="Arial" w:cs="Arial"/>
          <w:sz w:val="20"/>
        </w:rPr>
      </w:pPr>
      <w:bookmarkStart w:id="602" w:name="_3.5.3.8_Conflicting_evidence"/>
      <w:bookmarkStart w:id="603" w:name="_Hlk96415398"/>
      <w:bookmarkEnd w:id="602"/>
      <w:r>
        <w:rPr>
          <w:rFonts w:ascii="Arial" w:hAnsi="Arial" w:cs="Arial"/>
          <w:sz w:val="20"/>
          <w:szCs w:val="20"/>
        </w:rPr>
        <w:t>For further dicta on tendency evidence s</w:t>
      </w:r>
      <w:r w:rsidR="006B2259" w:rsidRPr="009B6C10">
        <w:rPr>
          <w:rFonts w:ascii="Arial" w:hAnsi="Arial" w:cs="Arial"/>
          <w:sz w:val="20"/>
          <w:szCs w:val="20"/>
        </w:rPr>
        <w:t xml:space="preserve">ee </w:t>
      </w:r>
      <w:r w:rsidR="006B2259" w:rsidRPr="009B6C10">
        <w:rPr>
          <w:rFonts w:ascii="Arial" w:hAnsi="Arial" w:cs="Arial"/>
          <w:i/>
          <w:iCs/>
          <w:sz w:val="20"/>
          <w:szCs w:val="20"/>
        </w:rPr>
        <w:t>Harlen (a pseudonym) v The King</w:t>
      </w:r>
      <w:r w:rsidR="006B2259" w:rsidRPr="009B6C10">
        <w:rPr>
          <w:rFonts w:ascii="Arial" w:hAnsi="Arial" w:cs="Arial"/>
          <w:sz w:val="20"/>
          <w:szCs w:val="20"/>
        </w:rPr>
        <w:t xml:space="preserve"> [2023] VSCA 269 at [61]-[85]</w:t>
      </w:r>
      <w:r w:rsidR="0066245E" w:rsidRPr="009B6C10">
        <w:rPr>
          <w:rFonts w:ascii="Arial" w:hAnsi="Arial" w:cs="Arial"/>
          <w:sz w:val="20"/>
          <w:szCs w:val="20"/>
        </w:rPr>
        <w:t xml:space="preserve">; </w:t>
      </w:r>
      <w:r w:rsidR="0066245E" w:rsidRPr="009B6C10">
        <w:rPr>
          <w:rFonts w:ascii="Arial" w:hAnsi="Arial" w:cs="Arial"/>
          <w:i/>
          <w:iCs/>
          <w:sz w:val="20"/>
          <w:szCs w:val="20"/>
        </w:rPr>
        <w:t xml:space="preserve">Sharman (a pseudonym) v The King </w:t>
      </w:r>
      <w:r w:rsidR="0066245E" w:rsidRPr="009B6C10">
        <w:rPr>
          <w:rFonts w:ascii="Arial" w:hAnsi="Arial" w:cs="Arial"/>
          <w:sz w:val="20"/>
          <w:szCs w:val="20"/>
        </w:rPr>
        <w:t>[2024] VSCA 5 at [67]-[68]</w:t>
      </w:r>
      <w:r w:rsidR="002D42B7" w:rsidRPr="009B6C10">
        <w:rPr>
          <w:rFonts w:ascii="Arial" w:hAnsi="Arial" w:cs="Arial"/>
          <w:sz w:val="20"/>
          <w:szCs w:val="20"/>
        </w:rPr>
        <w:t xml:space="preserve">; </w:t>
      </w:r>
      <w:r w:rsidR="002D42B7" w:rsidRPr="009B6C10">
        <w:rPr>
          <w:rFonts w:ascii="Arial" w:hAnsi="Arial" w:cs="Arial"/>
          <w:i/>
          <w:iCs/>
          <w:color w:val="000000"/>
          <w:sz w:val="20"/>
          <w:szCs w:val="20"/>
        </w:rPr>
        <w:t>Lee v The King</w:t>
      </w:r>
      <w:r w:rsidR="002D42B7" w:rsidRPr="009B6C10">
        <w:rPr>
          <w:rFonts w:ascii="Arial" w:hAnsi="Arial" w:cs="Arial"/>
          <w:color w:val="000000"/>
          <w:sz w:val="20"/>
          <w:szCs w:val="20"/>
        </w:rPr>
        <w:t xml:space="preserve"> [2024] VSCA 10 at [54]-[61]</w:t>
      </w:r>
      <w:r w:rsidR="00626134" w:rsidRPr="009B6C10">
        <w:rPr>
          <w:rFonts w:ascii="Arial" w:hAnsi="Arial" w:cs="Arial"/>
          <w:color w:val="000000"/>
          <w:sz w:val="20"/>
          <w:szCs w:val="20"/>
        </w:rPr>
        <w:t xml:space="preserve">; </w:t>
      </w:r>
      <w:r w:rsidR="00626134" w:rsidRPr="009B6C10">
        <w:rPr>
          <w:rFonts w:ascii="Arial" w:hAnsi="Arial" w:cs="Arial"/>
          <w:i/>
          <w:iCs/>
          <w:color w:val="000000"/>
          <w:sz w:val="20"/>
          <w:szCs w:val="20"/>
        </w:rPr>
        <w:t>Rhodes (a pseudonym) v The King</w:t>
      </w:r>
      <w:r w:rsidR="00626134" w:rsidRPr="009B6C10">
        <w:rPr>
          <w:rFonts w:ascii="Arial" w:hAnsi="Arial" w:cs="Arial"/>
          <w:color w:val="000000"/>
          <w:sz w:val="20"/>
          <w:szCs w:val="20"/>
        </w:rPr>
        <w:t xml:space="preserve"> [2024] VSCA 15</w:t>
      </w:r>
      <w:r w:rsidR="008766F1" w:rsidRPr="009B6C10">
        <w:rPr>
          <w:rFonts w:ascii="Arial" w:hAnsi="Arial" w:cs="Arial"/>
          <w:color w:val="000000"/>
          <w:sz w:val="20"/>
          <w:szCs w:val="20"/>
        </w:rPr>
        <w:t xml:space="preserve">; </w:t>
      </w:r>
      <w:r w:rsidR="008766F1" w:rsidRPr="009B6C10">
        <w:rPr>
          <w:rFonts w:ascii="Arial" w:hAnsi="Arial" w:cs="Arial"/>
          <w:i/>
          <w:iCs/>
          <w:color w:val="000000"/>
          <w:sz w:val="20"/>
          <w:szCs w:val="20"/>
        </w:rPr>
        <w:t>Gibson (a pseudonym) v The King</w:t>
      </w:r>
      <w:r w:rsidR="008766F1" w:rsidRPr="009B6C10">
        <w:rPr>
          <w:rFonts w:ascii="Arial" w:hAnsi="Arial" w:cs="Arial"/>
          <w:color w:val="000000"/>
          <w:sz w:val="20"/>
          <w:szCs w:val="20"/>
        </w:rPr>
        <w:t xml:space="preserve"> [2024] VSCA 33 at [26]</w:t>
      </w:r>
      <w:r w:rsidR="008766F1" w:rsidRPr="009B6C10">
        <w:rPr>
          <w:rFonts w:ascii="Arial" w:hAnsi="Arial" w:cs="Arial"/>
          <w:color w:val="000000"/>
          <w:sz w:val="20"/>
          <w:szCs w:val="20"/>
        </w:rPr>
        <w:noBreakHyphen/>
        <w:t>[43]</w:t>
      </w:r>
      <w:r w:rsidR="00976B16" w:rsidRPr="009B6C10">
        <w:rPr>
          <w:rFonts w:ascii="Arial" w:hAnsi="Arial" w:cs="Arial"/>
          <w:color w:val="000000"/>
          <w:sz w:val="20"/>
          <w:szCs w:val="20"/>
        </w:rPr>
        <w:t xml:space="preserve">; </w:t>
      </w:r>
      <w:r w:rsidR="00976B16" w:rsidRPr="009B6C10">
        <w:rPr>
          <w:rFonts w:ascii="Arial" w:hAnsi="Arial" w:cs="Arial"/>
          <w:i/>
          <w:iCs/>
          <w:color w:val="000000"/>
          <w:sz w:val="20"/>
          <w:szCs w:val="20"/>
        </w:rPr>
        <w:t>Healy (a pseudonym) v The King</w:t>
      </w:r>
      <w:r w:rsidR="00976B16" w:rsidRPr="009B6C10">
        <w:rPr>
          <w:rFonts w:ascii="Arial" w:hAnsi="Arial" w:cs="Arial"/>
          <w:color w:val="000000"/>
          <w:sz w:val="20"/>
          <w:szCs w:val="20"/>
        </w:rPr>
        <w:t xml:space="preserve"> [2024] VSCA 80 at [50]-[65]</w:t>
      </w:r>
      <w:r w:rsidR="00FC556C" w:rsidRPr="009B6C10">
        <w:rPr>
          <w:rFonts w:ascii="Arial" w:hAnsi="Arial" w:cs="Arial"/>
          <w:color w:val="000000"/>
          <w:sz w:val="20"/>
          <w:szCs w:val="20"/>
        </w:rPr>
        <w:t xml:space="preserve">; </w:t>
      </w:r>
      <w:r w:rsidR="00FC556C" w:rsidRPr="009B6C10">
        <w:rPr>
          <w:rFonts w:ascii="Arial" w:hAnsi="Arial" w:cs="Arial"/>
          <w:i/>
          <w:iCs/>
          <w:color w:val="000000"/>
          <w:sz w:val="20"/>
          <w:szCs w:val="20"/>
        </w:rPr>
        <w:t>Callaway (a pseudonym) v The King</w:t>
      </w:r>
      <w:r w:rsidR="00FC556C" w:rsidRPr="009B6C10">
        <w:rPr>
          <w:rFonts w:ascii="Arial" w:hAnsi="Arial" w:cs="Arial"/>
          <w:color w:val="000000"/>
          <w:sz w:val="20"/>
          <w:szCs w:val="20"/>
        </w:rPr>
        <w:t xml:space="preserve"> [2024] VSCA 103 at [19]-[43]</w:t>
      </w:r>
      <w:r w:rsidR="003B52E6" w:rsidRPr="009B6C10">
        <w:rPr>
          <w:rFonts w:ascii="Arial" w:hAnsi="Arial" w:cs="Arial"/>
          <w:color w:val="000000"/>
          <w:sz w:val="20"/>
          <w:szCs w:val="20"/>
        </w:rPr>
        <w:t xml:space="preserve">; </w:t>
      </w:r>
      <w:r w:rsidR="003B52E6" w:rsidRPr="009B6C10">
        <w:rPr>
          <w:rFonts w:ascii="Arial" w:hAnsi="Arial" w:cs="Arial"/>
          <w:i/>
          <w:iCs/>
          <w:color w:val="000000"/>
          <w:sz w:val="20"/>
          <w:szCs w:val="20"/>
        </w:rPr>
        <w:t>Fares v The King</w:t>
      </w:r>
      <w:r w:rsidR="003B52E6" w:rsidRPr="009B6C10">
        <w:rPr>
          <w:rFonts w:ascii="Arial" w:hAnsi="Arial" w:cs="Arial"/>
          <w:color w:val="000000"/>
          <w:sz w:val="20"/>
          <w:szCs w:val="20"/>
        </w:rPr>
        <w:t xml:space="preserve"> [2024] VSCA 108 at [90]-[127]</w:t>
      </w:r>
      <w:r w:rsidR="009B6C10" w:rsidRPr="009B6C10">
        <w:rPr>
          <w:rFonts w:ascii="Arial" w:hAnsi="Arial" w:cs="Arial"/>
          <w:color w:val="000000"/>
          <w:sz w:val="20"/>
          <w:szCs w:val="20"/>
        </w:rPr>
        <w:t xml:space="preserve">; </w:t>
      </w:r>
      <w:r w:rsidR="009B6C10" w:rsidRPr="009B6C10">
        <w:rPr>
          <w:rFonts w:ascii="Arial" w:hAnsi="Arial" w:cs="Arial"/>
          <w:i/>
          <w:iCs/>
          <w:sz w:val="20"/>
          <w:szCs w:val="20"/>
        </w:rPr>
        <w:t>Milky v The King</w:t>
      </w:r>
      <w:r w:rsidR="009B6C10" w:rsidRPr="009B6C10">
        <w:rPr>
          <w:rFonts w:ascii="Arial" w:hAnsi="Arial" w:cs="Arial"/>
          <w:sz w:val="20"/>
          <w:szCs w:val="20"/>
        </w:rPr>
        <w:t xml:space="preserve"> [2024] VSCA 136</w:t>
      </w:r>
      <w:r w:rsidR="009B6C10">
        <w:rPr>
          <w:rFonts w:ascii="Arial" w:hAnsi="Arial" w:cs="Arial"/>
          <w:sz w:val="20"/>
          <w:szCs w:val="20"/>
        </w:rPr>
        <w:t xml:space="preserve"> at [13]-[33]</w:t>
      </w:r>
      <w:r w:rsidR="00BF0559">
        <w:rPr>
          <w:rFonts w:ascii="Arial" w:hAnsi="Arial" w:cs="Arial"/>
          <w:sz w:val="20"/>
          <w:szCs w:val="20"/>
        </w:rPr>
        <w:t xml:space="preserve">; </w:t>
      </w:r>
      <w:r w:rsidR="00BF0559" w:rsidRPr="00BF0559">
        <w:rPr>
          <w:rFonts w:ascii="Arial" w:hAnsi="Arial" w:cs="Arial"/>
          <w:i/>
          <w:iCs/>
          <w:sz w:val="20"/>
          <w:szCs w:val="20"/>
        </w:rPr>
        <w:t>R v Lynn (Ruling 7)</w:t>
      </w:r>
      <w:r w:rsidR="00BF0559">
        <w:rPr>
          <w:rFonts w:ascii="Arial" w:hAnsi="Arial" w:cs="Arial"/>
          <w:sz w:val="20"/>
          <w:szCs w:val="20"/>
        </w:rPr>
        <w:t xml:space="preserve"> [2024] VSC 376 at [22]-[30]</w:t>
      </w:r>
      <w:r w:rsidR="00DD6F1E">
        <w:rPr>
          <w:rFonts w:ascii="Arial" w:hAnsi="Arial" w:cs="Arial"/>
          <w:sz w:val="20"/>
          <w:szCs w:val="20"/>
        </w:rPr>
        <w:t xml:space="preserve">; </w:t>
      </w:r>
      <w:r w:rsidR="00DD6F1E" w:rsidRPr="00DD6F1E">
        <w:rPr>
          <w:rFonts w:ascii="Arial" w:hAnsi="Arial" w:cs="Arial"/>
          <w:i/>
          <w:iCs/>
          <w:sz w:val="20"/>
          <w:szCs w:val="20"/>
        </w:rPr>
        <w:t>Franklin (a pseudonym) v The King</w:t>
      </w:r>
      <w:r w:rsidR="00DD6F1E">
        <w:rPr>
          <w:rFonts w:ascii="Arial" w:hAnsi="Arial" w:cs="Arial"/>
          <w:sz w:val="20"/>
          <w:szCs w:val="20"/>
        </w:rPr>
        <w:t xml:space="preserve"> [2024] VSCA 213 at [66]-[81], [89]-[104], [109]-[123] &amp; [127]-[141]</w:t>
      </w:r>
      <w:r w:rsidR="00215CB5">
        <w:rPr>
          <w:rFonts w:ascii="Arial" w:hAnsi="Arial" w:cs="Arial"/>
          <w:sz w:val="20"/>
          <w:szCs w:val="20"/>
        </w:rPr>
        <w:t xml:space="preserve">; </w:t>
      </w:r>
      <w:r w:rsidR="00215CB5">
        <w:rPr>
          <w:rFonts w:ascii="Arial" w:hAnsi="Arial" w:cs="Arial"/>
          <w:sz w:val="20"/>
        </w:rPr>
        <w:t xml:space="preserve">Rulings 2 &amp; 3 in </w:t>
      </w:r>
      <w:r w:rsidR="00215CB5" w:rsidRPr="009A47B6">
        <w:rPr>
          <w:rFonts w:ascii="Arial" w:hAnsi="Arial" w:cs="Arial"/>
          <w:i/>
          <w:iCs/>
          <w:sz w:val="20"/>
        </w:rPr>
        <w:t>DPP v Alhassan (Rulings 1 to 5)</w:t>
      </w:r>
      <w:r w:rsidR="00215CB5">
        <w:rPr>
          <w:rFonts w:ascii="Arial" w:hAnsi="Arial" w:cs="Arial"/>
          <w:sz w:val="20"/>
        </w:rPr>
        <w:t xml:space="preserve"> [2024] VSC 573 at [46]-[82] &amp; [83]-[99]</w:t>
      </w:r>
      <w:bookmarkStart w:id="604" w:name="_Hlk185238093"/>
      <w:r w:rsidR="007B0655">
        <w:rPr>
          <w:rFonts w:ascii="Arial" w:hAnsi="Arial" w:cs="Arial"/>
          <w:sz w:val="20"/>
        </w:rPr>
        <w:t xml:space="preserve">; </w:t>
      </w:r>
      <w:r w:rsidR="007B0655" w:rsidRPr="007B0655">
        <w:rPr>
          <w:rFonts w:ascii="Arial" w:hAnsi="Arial" w:cs="Arial"/>
          <w:i/>
          <w:iCs/>
          <w:sz w:val="20"/>
        </w:rPr>
        <w:t>DP (a pseudonym) v Bird</w:t>
      </w:r>
      <w:r w:rsidR="007B0655">
        <w:rPr>
          <w:rFonts w:ascii="Arial" w:hAnsi="Arial" w:cs="Arial"/>
          <w:sz w:val="20"/>
        </w:rPr>
        <w:t xml:space="preserve"> [2021] VSC 850 at [91]-[98]</w:t>
      </w:r>
      <w:r>
        <w:rPr>
          <w:rFonts w:ascii="Arial" w:hAnsi="Arial" w:cs="Arial"/>
          <w:sz w:val="20"/>
        </w:rPr>
        <w:t xml:space="preserve">; </w:t>
      </w:r>
      <w:r w:rsidRPr="00976CB1">
        <w:rPr>
          <w:rFonts w:ascii="Arial" w:hAnsi="Arial" w:cs="Arial"/>
          <w:i/>
          <w:iCs/>
          <w:sz w:val="20"/>
        </w:rPr>
        <w:t>Ward v The King</w:t>
      </w:r>
      <w:r>
        <w:rPr>
          <w:rFonts w:ascii="Arial" w:hAnsi="Arial" w:cs="Arial"/>
          <w:sz w:val="20"/>
        </w:rPr>
        <w:t xml:space="preserve"> [2025] VSCA 101 at [184]-[194]</w:t>
      </w:r>
      <w:r w:rsidR="00630923">
        <w:rPr>
          <w:rFonts w:ascii="Arial" w:hAnsi="Arial" w:cs="Arial"/>
          <w:sz w:val="20"/>
        </w:rPr>
        <w:t xml:space="preserve">; </w:t>
      </w:r>
      <w:r w:rsidR="00630923" w:rsidRPr="00630923">
        <w:rPr>
          <w:rFonts w:ascii="Arial" w:hAnsi="Arial" w:cs="Arial"/>
          <w:i/>
          <w:iCs/>
          <w:sz w:val="20"/>
          <w:szCs w:val="20"/>
        </w:rPr>
        <w:t>DPP v Mehdi &amp; Ors (Ruling 1)</w:t>
      </w:r>
      <w:r w:rsidR="00630923">
        <w:rPr>
          <w:rFonts w:ascii="Arial" w:hAnsi="Arial" w:cs="Arial"/>
          <w:sz w:val="20"/>
          <w:szCs w:val="20"/>
        </w:rPr>
        <w:t xml:space="preserve"> [2024] VSC 830 at [22]-[40]</w:t>
      </w:r>
      <w:r w:rsidR="009C60AB">
        <w:rPr>
          <w:rFonts w:ascii="Arial" w:hAnsi="Arial" w:cs="Arial"/>
          <w:sz w:val="20"/>
          <w:szCs w:val="20"/>
        </w:rPr>
        <w:t xml:space="preserve">; </w:t>
      </w:r>
      <w:r w:rsidR="009C60AB" w:rsidRPr="009C60AB">
        <w:rPr>
          <w:rFonts w:ascii="Arial" w:hAnsi="Arial" w:cs="Arial"/>
          <w:i/>
          <w:iCs/>
          <w:sz w:val="20"/>
          <w:szCs w:val="20"/>
        </w:rPr>
        <w:t>Poole (a pseudonym) v The King</w:t>
      </w:r>
      <w:r w:rsidR="009C60AB">
        <w:rPr>
          <w:rFonts w:ascii="Arial" w:hAnsi="Arial" w:cs="Arial"/>
          <w:sz w:val="20"/>
          <w:szCs w:val="20"/>
        </w:rPr>
        <w:t xml:space="preserve"> [2025] VSCA 127 at [19]-[26] &amp; [59]-[91]</w:t>
      </w:r>
      <w:r w:rsidR="00C62AB3">
        <w:rPr>
          <w:rFonts w:ascii="Arial" w:hAnsi="Arial" w:cs="Arial"/>
          <w:sz w:val="20"/>
          <w:szCs w:val="20"/>
        </w:rPr>
        <w:t xml:space="preserve">; </w:t>
      </w:r>
      <w:r w:rsidR="006F4F2A" w:rsidRPr="002A4FAE">
        <w:rPr>
          <w:rFonts w:ascii="Arial" w:hAnsi="Arial" w:cs="Arial"/>
          <w:i/>
          <w:iCs/>
          <w:sz w:val="20"/>
          <w:szCs w:val="20"/>
        </w:rPr>
        <w:t xml:space="preserve">R v Patterson (Ruling </w:t>
      </w:r>
      <w:r w:rsidR="006F4F2A">
        <w:rPr>
          <w:rFonts w:ascii="Arial" w:hAnsi="Arial" w:cs="Arial"/>
          <w:i/>
          <w:iCs/>
          <w:sz w:val="20"/>
          <w:szCs w:val="20"/>
        </w:rPr>
        <w:t>1</w:t>
      </w:r>
      <w:r w:rsidR="006F4F2A" w:rsidRPr="002A4FAE">
        <w:rPr>
          <w:rFonts w:ascii="Arial" w:hAnsi="Arial" w:cs="Arial"/>
          <w:i/>
          <w:iCs/>
          <w:sz w:val="20"/>
          <w:szCs w:val="20"/>
        </w:rPr>
        <w:t>)</w:t>
      </w:r>
      <w:r w:rsidR="006F4F2A" w:rsidRPr="002A4FAE">
        <w:rPr>
          <w:rFonts w:ascii="Arial" w:hAnsi="Arial" w:cs="Arial"/>
          <w:sz w:val="20"/>
          <w:szCs w:val="20"/>
        </w:rPr>
        <w:t xml:space="preserve"> [2025] VSC 10</w:t>
      </w:r>
      <w:r w:rsidR="006F4F2A">
        <w:rPr>
          <w:rFonts w:ascii="Arial" w:hAnsi="Arial" w:cs="Arial"/>
          <w:sz w:val="20"/>
          <w:szCs w:val="20"/>
        </w:rPr>
        <w:t>2 at [</w:t>
      </w:r>
      <w:r w:rsidR="005226EC">
        <w:rPr>
          <w:rFonts w:ascii="Arial" w:hAnsi="Arial" w:cs="Arial"/>
          <w:sz w:val="20"/>
          <w:szCs w:val="20"/>
        </w:rPr>
        <w:t>123] &amp; [</w:t>
      </w:r>
      <w:r w:rsidR="006F4F2A">
        <w:rPr>
          <w:rFonts w:ascii="Arial" w:hAnsi="Arial" w:cs="Arial"/>
          <w:sz w:val="20"/>
          <w:szCs w:val="20"/>
        </w:rPr>
        <w:t>1</w:t>
      </w:r>
      <w:r w:rsidR="005226EC">
        <w:rPr>
          <w:rFonts w:ascii="Arial" w:hAnsi="Arial" w:cs="Arial"/>
          <w:sz w:val="20"/>
          <w:szCs w:val="20"/>
        </w:rPr>
        <w:t>35</w:t>
      </w:r>
      <w:r w:rsidR="006F4F2A">
        <w:rPr>
          <w:rFonts w:ascii="Arial" w:hAnsi="Arial" w:cs="Arial"/>
          <w:sz w:val="20"/>
          <w:szCs w:val="20"/>
        </w:rPr>
        <w:t>]-[1</w:t>
      </w:r>
      <w:r w:rsidR="005226EC">
        <w:rPr>
          <w:rFonts w:ascii="Arial" w:hAnsi="Arial" w:cs="Arial"/>
          <w:sz w:val="20"/>
          <w:szCs w:val="20"/>
        </w:rPr>
        <w:t>39</w:t>
      </w:r>
      <w:r w:rsidR="006F4F2A">
        <w:rPr>
          <w:rFonts w:ascii="Arial" w:hAnsi="Arial" w:cs="Arial"/>
          <w:sz w:val="20"/>
          <w:szCs w:val="20"/>
        </w:rPr>
        <w:t xml:space="preserve">]; </w:t>
      </w:r>
      <w:r w:rsidR="00DE27F9" w:rsidRPr="002A4FAE">
        <w:rPr>
          <w:rFonts w:ascii="Arial" w:hAnsi="Arial" w:cs="Arial"/>
          <w:i/>
          <w:iCs/>
          <w:sz w:val="20"/>
          <w:szCs w:val="20"/>
        </w:rPr>
        <w:t xml:space="preserve">R v Patterson (Ruling </w:t>
      </w:r>
      <w:r w:rsidR="00DE27F9">
        <w:rPr>
          <w:rFonts w:ascii="Arial" w:hAnsi="Arial" w:cs="Arial"/>
          <w:i/>
          <w:iCs/>
          <w:sz w:val="20"/>
          <w:szCs w:val="20"/>
        </w:rPr>
        <w:t>3</w:t>
      </w:r>
      <w:r w:rsidR="00DE27F9" w:rsidRPr="002A4FAE">
        <w:rPr>
          <w:rFonts w:ascii="Arial" w:hAnsi="Arial" w:cs="Arial"/>
          <w:i/>
          <w:iCs/>
          <w:sz w:val="20"/>
          <w:szCs w:val="20"/>
        </w:rPr>
        <w:t>)</w:t>
      </w:r>
      <w:r w:rsidR="00DE27F9" w:rsidRPr="002A4FAE">
        <w:rPr>
          <w:rFonts w:ascii="Arial" w:hAnsi="Arial" w:cs="Arial"/>
          <w:sz w:val="20"/>
          <w:szCs w:val="20"/>
        </w:rPr>
        <w:t xml:space="preserve"> [2025] VSC 10</w:t>
      </w:r>
      <w:r w:rsidR="00DE27F9">
        <w:rPr>
          <w:rFonts w:ascii="Arial" w:hAnsi="Arial" w:cs="Arial"/>
          <w:sz w:val="20"/>
          <w:szCs w:val="20"/>
        </w:rPr>
        <w:t xml:space="preserve">4 at [14]-[15]; </w:t>
      </w:r>
      <w:r w:rsidR="002A4FAE" w:rsidRPr="002A4FAE">
        <w:rPr>
          <w:rFonts w:ascii="Arial" w:hAnsi="Arial" w:cs="Arial"/>
          <w:i/>
          <w:iCs/>
          <w:sz w:val="20"/>
          <w:szCs w:val="20"/>
        </w:rPr>
        <w:t>R v Patterson (Ruling 6)</w:t>
      </w:r>
      <w:r w:rsidR="002A4FAE" w:rsidRPr="002A4FAE">
        <w:rPr>
          <w:rFonts w:ascii="Arial" w:hAnsi="Arial" w:cs="Arial"/>
          <w:sz w:val="20"/>
          <w:szCs w:val="20"/>
        </w:rPr>
        <w:t xml:space="preserve"> [2025] VSC 108</w:t>
      </w:r>
      <w:r w:rsidR="002A4FAE">
        <w:rPr>
          <w:rFonts w:ascii="Arial" w:hAnsi="Arial" w:cs="Arial"/>
          <w:sz w:val="20"/>
          <w:szCs w:val="20"/>
        </w:rPr>
        <w:t xml:space="preserve"> {appeal dismissed: see </w:t>
      </w:r>
      <w:r w:rsidR="00C62AB3" w:rsidRPr="00C62AB3">
        <w:rPr>
          <w:rFonts w:ascii="Arial" w:hAnsi="Arial" w:cs="Arial"/>
          <w:i/>
          <w:iCs/>
          <w:sz w:val="20"/>
          <w:szCs w:val="20"/>
        </w:rPr>
        <w:t>DPP v Patterson</w:t>
      </w:r>
      <w:r w:rsidR="00C62AB3">
        <w:rPr>
          <w:rFonts w:ascii="Arial" w:hAnsi="Arial" w:cs="Arial"/>
          <w:sz w:val="20"/>
          <w:szCs w:val="20"/>
        </w:rPr>
        <w:t xml:space="preserve"> [2025] VSCA 82 at [</w:t>
      </w:r>
      <w:r w:rsidR="00FB6197">
        <w:rPr>
          <w:rFonts w:ascii="Arial" w:hAnsi="Arial" w:cs="Arial"/>
          <w:sz w:val="20"/>
          <w:szCs w:val="20"/>
        </w:rPr>
        <w:t>67</w:t>
      </w:r>
      <w:r w:rsidR="00C62AB3">
        <w:rPr>
          <w:rFonts w:ascii="Arial" w:hAnsi="Arial" w:cs="Arial"/>
          <w:sz w:val="20"/>
          <w:szCs w:val="20"/>
        </w:rPr>
        <w:t>]-[</w:t>
      </w:r>
      <w:r w:rsidR="00FB6197">
        <w:rPr>
          <w:rFonts w:ascii="Arial" w:hAnsi="Arial" w:cs="Arial"/>
          <w:sz w:val="20"/>
          <w:szCs w:val="20"/>
        </w:rPr>
        <w:t>78</w:t>
      </w:r>
      <w:r w:rsidR="00C62AB3">
        <w:rPr>
          <w:rFonts w:ascii="Arial" w:hAnsi="Arial" w:cs="Arial"/>
          <w:sz w:val="20"/>
          <w:szCs w:val="20"/>
        </w:rPr>
        <w:t>]</w:t>
      </w:r>
      <w:r w:rsidR="00FB6197">
        <w:rPr>
          <w:rFonts w:ascii="Arial" w:hAnsi="Arial" w:cs="Arial"/>
          <w:sz w:val="20"/>
          <w:szCs w:val="20"/>
        </w:rPr>
        <w:t>, [88]-[109] &amp; [113]-[127]</w:t>
      </w:r>
      <w:r w:rsidR="00C62AB3">
        <w:rPr>
          <w:rFonts w:ascii="Arial" w:hAnsi="Arial" w:cs="Arial"/>
          <w:sz w:val="20"/>
          <w:szCs w:val="20"/>
        </w:rPr>
        <w:t xml:space="preserve"> </w:t>
      </w:r>
      <w:r w:rsidR="00FB6197">
        <w:rPr>
          <w:rFonts w:ascii="Arial" w:hAnsi="Arial" w:cs="Arial"/>
          <w:sz w:val="20"/>
          <w:szCs w:val="20"/>
        </w:rPr>
        <w:t>per Emerton P &amp; T Forrest JA and</w:t>
      </w:r>
      <w:r w:rsidR="00C62AB3">
        <w:rPr>
          <w:rFonts w:ascii="Arial" w:hAnsi="Arial" w:cs="Arial"/>
          <w:sz w:val="20"/>
          <w:szCs w:val="20"/>
        </w:rPr>
        <w:t xml:space="preserve"> </w:t>
      </w:r>
      <w:r w:rsidR="00FB6197">
        <w:rPr>
          <w:rFonts w:ascii="Arial" w:hAnsi="Arial" w:cs="Arial"/>
          <w:sz w:val="20"/>
          <w:szCs w:val="20"/>
        </w:rPr>
        <w:t xml:space="preserve">at </w:t>
      </w:r>
      <w:r w:rsidR="00C62AB3">
        <w:rPr>
          <w:rFonts w:ascii="Arial" w:hAnsi="Arial" w:cs="Arial"/>
          <w:sz w:val="20"/>
          <w:szCs w:val="20"/>
        </w:rPr>
        <w:t>[</w:t>
      </w:r>
      <w:r w:rsidR="00FB6197">
        <w:rPr>
          <w:rFonts w:ascii="Arial" w:hAnsi="Arial" w:cs="Arial"/>
          <w:sz w:val="20"/>
          <w:szCs w:val="20"/>
        </w:rPr>
        <w:t>186</w:t>
      </w:r>
      <w:r w:rsidR="00C62AB3">
        <w:rPr>
          <w:rFonts w:ascii="Arial" w:hAnsi="Arial" w:cs="Arial"/>
          <w:sz w:val="20"/>
          <w:szCs w:val="20"/>
        </w:rPr>
        <w:t>]-[</w:t>
      </w:r>
      <w:r w:rsidR="00FB6197">
        <w:rPr>
          <w:rFonts w:ascii="Arial" w:hAnsi="Arial" w:cs="Arial"/>
          <w:sz w:val="20"/>
          <w:szCs w:val="20"/>
        </w:rPr>
        <w:t>236</w:t>
      </w:r>
      <w:r w:rsidR="00C62AB3">
        <w:rPr>
          <w:rFonts w:ascii="Arial" w:hAnsi="Arial" w:cs="Arial"/>
          <w:sz w:val="20"/>
          <w:szCs w:val="20"/>
        </w:rPr>
        <w:t>]</w:t>
      </w:r>
      <w:r w:rsidR="00FB6197">
        <w:rPr>
          <w:rFonts w:ascii="Arial" w:hAnsi="Arial" w:cs="Arial"/>
          <w:sz w:val="20"/>
          <w:szCs w:val="20"/>
        </w:rPr>
        <w:t xml:space="preserve"> per Priest</w:t>
      </w:r>
      <w:r w:rsidR="005226EC">
        <w:rPr>
          <w:rFonts w:ascii="Arial" w:hAnsi="Arial" w:cs="Arial"/>
          <w:sz w:val="20"/>
          <w:szCs w:val="20"/>
        </w:rPr>
        <w:t xml:space="preserve"> </w:t>
      </w:r>
      <w:r w:rsidR="00FB6197">
        <w:rPr>
          <w:rFonts w:ascii="Arial" w:hAnsi="Arial" w:cs="Arial"/>
          <w:sz w:val="20"/>
          <w:szCs w:val="20"/>
        </w:rPr>
        <w:t>JA</w:t>
      </w:r>
      <w:r w:rsidR="00DE27F9">
        <w:rPr>
          <w:rFonts w:ascii="Arial" w:hAnsi="Arial" w:cs="Arial"/>
          <w:sz w:val="20"/>
          <w:szCs w:val="20"/>
        </w:rPr>
        <w:t>}</w:t>
      </w:r>
      <w:r w:rsidR="00D15E25">
        <w:rPr>
          <w:rFonts w:ascii="Arial" w:hAnsi="Arial" w:cs="Arial"/>
          <w:sz w:val="20"/>
          <w:szCs w:val="20"/>
        </w:rPr>
        <w:t xml:space="preserve">; </w:t>
      </w:r>
      <w:r w:rsidR="00D15E25" w:rsidRPr="00D15E25">
        <w:rPr>
          <w:rFonts w:ascii="Arial" w:hAnsi="Arial" w:cs="Arial"/>
          <w:i/>
          <w:iCs/>
          <w:sz w:val="20"/>
          <w:szCs w:val="20"/>
        </w:rPr>
        <w:t>Morgan (a pseudonym) v The King</w:t>
      </w:r>
      <w:r w:rsidR="00D15E25">
        <w:rPr>
          <w:rFonts w:ascii="Arial" w:hAnsi="Arial" w:cs="Arial"/>
          <w:sz w:val="20"/>
          <w:szCs w:val="20"/>
        </w:rPr>
        <w:t xml:space="preserve"> [2025] VSCA 227 at [91]-[104].</w:t>
      </w:r>
    </w:p>
    <w:p w14:paraId="2AE7FBA7" w14:textId="77777777" w:rsidR="00630923" w:rsidRDefault="00630923" w:rsidP="00A44886">
      <w:pPr>
        <w:jc w:val="both"/>
        <w:rPr>
          <w:rFonts w:ascii="Arial" w:hAnsi="Arial" w:cs="Arial"/>
          <w:sz w:val="20"/>
        </w:rPr>
      </w:pPr>
    </w:p>
    <w:bookmarkEnd w:id="604"/>
    <w:p w14:paraId="50E57E65" w14:textId="77777777" w:rsidR="00A44886" w:rsidRPr="00836E86" w:rsidRDefault="00A44886" w:rsidP="00A4488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0F2EBE43" w14:textId="77777777" w:rsidR="00A44886" w:rsidRPr="00836E86" w:rsidRDefault="00A44886" w:rsidP="00A44886">
      <w:pPr>
        <w:rPr>
          <w:rFonts w:ascii="Arial" w:hAnsi="Arial" w:cs="Arial"/>
          <w:sz w:val="20"/>
        </w:rPr>
      </w:pPr>
    </w:p>
    <w:p w14:paraId="3F1F058C" w14:textId="77777777" w:rsidR="000F2367" w:rsidRDefault="000F2367">
      <w:pPr>
        <w:rPr>
          <w:rFonts w:ascii="Arial" w:hAnsi="Arial" w:cs="Arial"/>
          <w:b/>
          <w:bCs/>
          <w:color w:val="000000"/>
          <w:kern w:val="28"/>
          <w:sz w:val="20"/>
          <w:szCs w:val="20"/>
          <w:lang w:val="en-GB"/>
        </w:rPr>
      </w:pPr>
      <w:r>
        <w:rPr>
          <w:rFonts w:ascii="Arial" w:hAnsi="Arial" w:cs="Arial"/>
          <w:b/>
          <w:bCs/>
          <w:color w:val="000000"/>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05" w:name="_3.5.3.8_Conflicting_evidence_1"/>
      <w:bookmarkEnd w:id="605"/>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4E1088C9"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Because an innocent person may find the experience of interrogation stressful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nation and cross-examination take place months, if not years, after the incident, thereby blunting emotions associated with the criminal event. Score two against the judge and jury. Because of the long time delay before the beginning of the trial, the suspect will have repeated her false account so often that she may start to believe her own story; when that happens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allow a simple yes or no reply. Score four against the judge and jury. And then there is the innocent defendant who comes to trial terrified of being disbelieved. Why should the jury and judge </w:t>
      </w:r>
      <w:r w:rsidRPr="002837EB">
        <w:rPr>
          <w:rFonts w:ascii="Arial" w:hAnsi="Arial" w:cs="Arial"/>
          <w:sz w:val="18"/>
          <w:szCs w:val="18"/>
        </w:rPr>
        <w:lastRenderedPageBreak/>
        <w:t xml:space="preserve">believe her, if the police, prosecutor, and the judge, in pretrial moves for dismissal, did not? 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resulted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1C91CD7B"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1E299890" w14:textId="0A746789" w:rsidR="00C22AF6" w:rsidRDefault="00C22AF6" w:rsidP="00726AA6">
      <w:pPr>
        <w:spacing w:before="80"/>
        <w:jc w:val="both"/>
        <w:rPr>
          <w:rFonts w:ascii="Arial" w:hAnsi="Arial" w:cs="Arial"/>
          <w:sz w:val="20"/>
          <w:szCs w:val="20"/>
        </w:rPr>
      </w:pPr>
      <w:r>
        <w:rPr>
          <w:rFonts w:ascii="Arial" w:hAnsi="Arial" w:cs="Arial"/>
          <w:sz w:val="20"/>
        </w:rPr>
        <w:t xml:space="preserve">In dismissing the appeal in </w:t>
      </w:r>
      <w:r w:rsidRPr="00C22AF6">
        <w:rPr>
          <w:rFonts w:ascii="Arial" w:hAnsi="Arial" w:cs="Arial"/>
          <w:i/>
          <w:iCs/>
          <w:sz w:val="20"/>
        </w:rPr>
        <w:t>Gobel Aviation Pty Ltd (in liquidation) v Ripper</w:t>
      </w:r>
      <w:r>
        <w:rPr>
          <w:rFonts w:ascii="Arial" w:hAnsi="Arial" w:cs="Arial"/>
          <w:sz w:val="20"/>
        </w:rPr>
        <w:t xml:space="preserve"> [2025] VSCA 344</w:t>
      </w:r>
      <w:r>
        <w:rPr>
          <w:rFonts w:ascii="Arial" w:hAnsi="Arial" w:cs="Arial"/>
          <w:sz w:val="20"/>
        </w:rPr>
        <w:t xml:space="preserve"> </w:t>
      </w:r>
      <w:r w:rsidR="00726AA6" w:rsidRPr="00726AA6">
        <w:rPr>
          <w:rFonts w:ascii="Arial" w:hAnsi="Arial" w:cs="Arial"/>
          <w:sz w:val="20"/>
        </w:rPr>
        <w:t>N</w:t>
      </w:r>
      <w:r w:rsidR="00726AA6">
        <w:rPr>
          <w:rFonts w:ascii="Arial" w:hAnsi="Arial" w:cs="Arial"/>
          <w:sz w:val="20"/>
        </w:rPr>
        <w:t>iall</w:t>
      </w:r>
      <w:r w:rsidR="00726AA6" w:rsidRPr="00726AA6">
        <w:rPr>
          <w:rFonts w:ascii="Arial" w:hAnsi="Arial" w:cs="Arial"/>
          <w:sz w:val="20"/>
        </w:rPr>
        <w:t xml:space="preserve"> CJ, B</w:t>
      </w:r>
      <w:r w:rsidR="00726AA6">
        <w:rPr>
          <w:rFonts w:ascii="Arial" w:hAnsi="Arial" w:cs="Arial"/>
          <w:sz w:val="20"/>
        </w:rPr>
        <w:t>each</w:t>
      </w:r>
      <w:r w:rsidR="00726AA6" w:rsidRPr="00726AA6">
        <w:rPr>
          <w:rFonts w:ascii="Arial" w:hAnsi="Arial" w:cs="Arial"/>
          <w:sz w:val="20"/>
        </w:rPr>
        <w:t xml:space="preserve"> JA and O’M</w:t>
      </w:r>
      <w:r w:rsidR="00726AA6">
        <w:rPr>
          <w:rFonts w:ascii="Arial" w:hAnsi="Arial" w:cs="Arial"/>
          <w:sz w:val="20"/>
        </w:rPr>
        <w:t>eara</w:t>
      </w:r>
      <w:r w:rsidR="00726AA6" w:rsidRPr="00726AA6">
        <w:rPr>
          <w:rFonts w:ascii="Arial" w:hAnsi="Arial" w:cs="Arial"/>
          <w:sz w:val="20"/>
        </w:rPr>
        <w:t xml:space="preserve"> AJA</w:t>
      </w:r>
      <w:r>
        <w:rPr>
          <w:rFonts w:ascii="Arial" w:hAnsi="Arial" w:cs="Arial"/>
          <w:sz w:val="20"/>
        </w:rPr>
        <w:t xml:space="preserve"> cited at [72] the above dicta from </w:t>
      </w:r>
      <w:r w:rsidRPr="00C22AF6">
        <w:rPr>
          <w:rFonts w:ascii="Arial" w:hAnsi="Arial" w:cs="Arial"/>
          <w:i/>
          <w:iCs/>
          <w:sz w:val="20"/>
        </w:rPr>
        <w:t>Fox v Percy</w:t>
      </w:r>
      <w:r>
        <w:rPr>
          <w:rFonts w:ascii="Arial" w:hAnsi="Arial" w:cs="Arial"/>
          <w:sz w:val="20"/>
        </w:rPr>
        <w:t xml:space="preserve"> and continued at [73]:</w:t>
      </w:r>
    </w:p>
    <w:p w14:paraId="3B05A618" w14:textId="7E0370D5" w:rsidR="00C22AF6" w:rsidRDefault="00C22AF6" w:rsidP="00C22AF6">
      <w:pPr>
        <w:spacing w:before="80"/>
        <w:ind w:left="567" w:right="567"/>
        <w:jc w:val="both"/>
        <w:rPr>
          <w:rFonts w:ascii="Arial" w:hAnsi="Arial" w:cs="Arial"/>
          <w:iCs/>
          <w:sz w:val="20"/>
        </w:rPr>
      </w:pPr>
      <w:r>
        <w:rPr>
          <w:rFonts w:ascii="Arial" w:hAnsi="Arial" w:cs="Arial"/>
          <w:sz w:val="20"/>
          <w:szCs w:val="20"/>
        </w:rPr>
        <w:t>“</w:t>
      </w:r>
      <w:r w:rsidRPr="00C22AF6">
        <w:rPr>
          <w:rFonts w:ascii="Arial" w:hAnsi="Arial" w:cs="Arial"/>
          <w:sz w:val="20"/>
          <w:szCs w:val="20"/>
        </w:rPr>
        <w:t>It follows that when the credibility or reliability of the evidence of witnesses is in question, it is commonly desirable for the trier of fact, if possible, to look also to the content of ‘contemporary materials, objectively established facts and the apparent logic of events’.</w:t>
      </w:r>
      <w:r>
        <w:rPr>
          <w:rFonts w:ascii="Arial" w:hAnsi="Arial" w:cs="Arial"/>
          <w:sz w:val="20"/>
          <w:szCs w:val="20"/>
        </w:rPr>
        <w:t>”</w:t>
      </w:r>
    </w:p>
    <w:p w14:paraId="3E1F38A0" w14:textId="77777777" w:rsidR="00C22AF6" w:rsidRDefault="00C22AF6"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w:t>
      </w:r>
      <w:r w:rsidRPr="00590A7D">
        <w:rPr>
          <w:rFonts w:ascii="Arial" w:hAnsi="Arial" w:cs="Arial"/>
          <w:color w:val="000000"/>
          <w:sz w:val="20"/>
          <w:szCs w:val="20"/>
        </w:rPr>
        <w:lastRenderedPageBreak/>
        <w:t>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06"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06"/>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AsJ.</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684DB794"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w:t>
      </w:r>
      <w:r w:rsidR="00380C1F">
        <w:rPr>
          <w:rFonts w:ascii="Arial" w:hAnsi="Arial" w:cs="Arial"/>
          <w:sz w:val="20"/>
        </w:rPr>
        <w:lastRenderedPageBreak/>
        <w:t xml:space="preserve">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major factual 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07"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07"/>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D92FA4">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lastRenderedPageBreak/>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footage cannot be explained by the fallibility of memory. During his original evidence, 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to have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in </w:t>
      </w:r>
      <w:r>
        <w:rPr>
          <w:rFonts w:ascii="Arial" w:hAnsi="Arial" w:cs="Arial"/>
          <w:sz w:val="20"/>
          <w:szCs w:val="20"/>
        </w:rPr>
        <w:t xml:space="preserve"> –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Masters in Economics.</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lastRenderedPageBreak/>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2226CF10"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5 day trial Judge Palmer found that the plaintiff Vera Gazzard was the owner </w:t>
      </w:r>
      <w:r w:rsidR="005D6DF0" w:rsidRPr="005D6DF0">
        <w:rPr>
          <w:rFonts w:ascii="Arial" w:hAnsi="Arial" w:cs="Arial"/>
          <w:sz w:val="20"/>
        </w:rPr>
        <w:lastRenderedPageBreak/>
        <w:t xml:space="preserve">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404D49">
        <w:rPr>
          <w:rFonts w:ascii="Arial" w:hAnsi="Arial" w:cs="Arial"/>
          <w:sz w:val="20"/>
        </w:rPr>
        <w:t>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That said, as a witness he seemed reasonably open and candid, and several times gave answers that 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08"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6" w:anchor="fn56" w:history="1"/>
      <w:bookmarkEnd w:id="608"/>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Nevertheless, just because a witness is untrustworthy does not mean that everything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09" w:name="_3.5.3.9_Inadmissibility_without"/>
      <w:bookmarkEnd w:id="609"/>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06E7AA05" w14:textId="77777777" w:rsidR="006C4A9A" w:rsidRDefault="006C4A9A" w:rsidP="006C4A9A">
      <w:pPr>
        <w:spacing w:before="120"/>
        <w:jc w:val="both"/>
        <w:rPr>
          <w:rFonts w:ascii="Arial" w:hAnsi="Arial" w:cs="Arial"/>
          <w:sz w:val="20"/>
          <w:szCs w:val="20"/>
        </w:rPr>
      </w:pPr>
      <w:r>
        <w:rPr>
          <w:rFonts w:ascii="Arial" w:hAnsi="Arial" w:cs="Arial"/>
          <w:sz w:val="20"/>
          <w:szCs w:val="20"/>
        </w:rPr>
        <w:t xml:space="preserve">Under s.32B(1) of the EMPA </w:t>
      </w:r>
      <w:r w:rsidRPr="00AD1396">
        <w:rPr>
          <w:rFonts w:ascii="Arial" w:hAnsi="Arial" w:cs="Arial"/>
          <w:sz w:val="20"/>
          <w:szCs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lastRenderedPageBreak/>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CE4E2D">
      <w:pPr>
        <w:spacing w:before="60"/>
        <w:ind w:left="1191" w:right="567" w:hanging="624"/>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3E4770">
      <w:pPr>
        <w:pStyle w:val="DraftHeading3"/>
        <w:numPr>
          <w:ilvl w:val="0"/>
          <w:numId w:val="118"/>
        </w:numPr>
        <w:spacing w:before="0"/>
        <w:ind w:left="1656" w:right="567"/>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3E4770">
      <w:pPr>
        <w:pStyle w:val="DraftHeading3"/>
        <w:numPr>
          <w:ilvl w:val="0"/>
          <w:numId w:val="118"/>
        </w:numPr>
        <w:spacing w:before="0"/>
        <w:ind w:left="1656" w:right="567"/>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(1)</w:t>
      </w:r>
      <w:r w:rsidRPr="00AD1396">
        <w:rPr>
          <w:rFonts w:ascii="Arial" w:hAnsi="Arial" w:cs="Arial"/>
          <w:sz w:val="20"/>
          <w:szCs w:val="20"/>
        </w:rPr>
        <w:tab/>
        <w:t>In a legal proceeding—</w:t>
      </w:r>
    </w:p>
    <w:p w14:paraId="1FC68363" w14:textId="1A387B69"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10" w:name="_Hlk138924367"/>
      <w:r w:rsidRPr="00AD1396">
        <w:rPr>
          <w:rFonts w:ascii="Arial" w:hAnsi="Arial" w:cs="Arial"/>
          <w:sz w:val="20"/>
        </w:rPr>
        <w:t>information to which this section applies</w:t>
      </w:r>
      <w:bookmarkEnd w:id="610"/>
      <w:r w:rsidRPr="00AD1396">
        <w:rPr>
          <w:rFonts w:ascii="Arial" w:hAnsi="Arial" w:cs="Arial"/>
          <w:sz w:val="20"/>
        </w:rPr>
        <w:t>;</w:t>
      </w:r>
    </w:p>
    <w:p w14:paraId="562FAC3C" w14:textId="3BE6A241"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CE4E2D">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11" w:name="_Hlk106300027"/>
      <w:r w:rsidRPr="00AD1396">
        <w:rPr>
          <w:rFonts w:ascii="Arial" w:hAnsi="Arial" w:cs="Arial"/>
          <w:sz w:val="20"/>
        </w:rPr>
        <w:t>has complied with the requirements under section 32CA or 32CC (as the case requires) that are not waived</w:t>
      </w:r>
      <w:bookmarkEnd w:id="611"/>
      <w:r w:rsidRPr="00AD1396">
        <w:rPr>
          <w:rFonts w:ascii="Arial" w:hAnsi="Arial" w:cs="Arial"/>
          <w:sz w:val="20"/>
        </w:rPr>
        <w:t>.</w:t>
      </w:r>
    </w:p>
    <w:p w14:paraId="4F306A0B" w14:textId="4C83705D" w:rsidR="00183219" w:rsidRPr="00AD1396" w:rsidRDefault="00183219" w:rsidP="00183219">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110C45C1" w:rsidR="006C4A9A" w:rsidRDefault="005E5575" w:rsidP="00E74E79">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3E4770">
      <w:pPr>
        <w:pStyle w:val="ListParagraph"/>
        <w:numPr>
          <w:ilvl w:val="0"/>
          <w:numId w:val="120"/>
        </w:numPr>
        <w:spacing w:before="60"/>
        <w:ind w:left="1191" w:right="567" w:hanging="624"/>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3F54874D" w14:textId="73D6864E" w:rsidR="00D04F26" w:rsidRPr="00D04F26" w:rsidRDefault="00D04F26" w:rsidP="00D04F26">
      <w:pPr>
        <w:spacing w:before="60"/>
        <w:ind w:left="567" w:right="567"/>
        <w:rPr>
          <w:rFonts w:ascii="Arial" w:hAnsi="Arial" w:cs="Arial"/>
          <w:sz w:val="20"/>
        </w:rPr>
      </w:pPr>
      <w:r>
        <w:rPr>
          <w:rFonts w:ascii="Arial" w:hAnsi="Arial" w:cs="Arial"/>
          <w:sz w:val="20"/>
        </w:rPr>
        <w:t>…</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Without limiting the matters that the court may take into account for the purposes of subsection (1)(c), the court must take into account–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need to encourage victims of sexual offences to seek counselling and the extent to which victims may be discouraged to do so, or the extent to which the 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lastRenderedPageBreak/>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726EED59"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t xml:space="preserve">Section 32E(1)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1CA61E4" w:rsidR="002B7946" w:rsidRDefault="00CE4E2D" w:rsidP="002E7182">
      <w:pPr>
        <w:jc w:val="both"/>
        <w:rPr>
          <w:rFonts w:ascii="Arial" w:hAnsi="Arial" w:cs="Arial"/>
          <w:sz w:val="20"/>
          <w:szCs w:val="20"/>
        </w:rPr>
      </w:pPr>
      <w:r>
        <w:rPr>
          <w:rFonts w:ascii="Arial" w:hAnsi="Arial" w:cs="Arial"/>
          <w:sz w:val="20"/>
          <w:szCs w:val="20"/>
        </w:rPr>
        <w:t xml:space="preserve">In </w:t>
      </w:r>
      <w:bookmarkStart w:id="612"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12"/>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C487486"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32BF4BA7"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32D(2)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32CF(2)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0728CBB2"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13" w:name="_3.5.3.10__Common"/>
      <w:bookmarkEnd w:id="613"/>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8C6255">
      <w:pPr>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lastRenderedPageBreak/>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The judge is to give a party such opportunity to make submissions, and to refer to relevant information, relating to the acquiring or taking into account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 xml:space="preserve">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w:t>
      </w:r>
      <w:r w:rsidR="00660230" w:rsidRPr="00877E48">
        <w:rPr>
          <w:rFonts w:ascii="Arial" w:hAnsi="Arial" w:cs="Arial"/>
          <w:sz w:val="20"/>
        </w:rPr>
        <w:lastRenderedPageBreak/>
        <w:t>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14" w:name="_3.5.3.11__Admissibility"/>
      <w:bookmarkEnd w:id="614"/>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54595F06" w14:textId="77777777" w:rsidR="008A225F" w:rsidRDefault="008A225F" w:rsidP="008A225F">
      <w:pPr>
        <w:jc w:val="both"/>
        <w:rPr>
          <w:rFonts w:ascii="Arial" w:hAnsi="Arial" w:cs="Arial"/>
          <w:sz w:val="20"/>
        </w:rPr>
      </w:pPr>
    </w:p>
    <w:p w14:paraId="039F4C3D" w14:textId="6886C5E5" w:rsidR="008A225F" w:rsidRDefault="008A225F" w:rsidP="008A225F">
      <w:pPr>
        <w:jc w:val="both"/>
        <w:rPr>
          <w:rFonts w:ascii="Arial" w:hAnsi="Arial" w:cs="Arial"/>
          <w:sz w:val="20"/>
        </w:rPr>
      </w:pPr>
      <w:bookmarkStart w:id="615" w:name="_Hlk195009418"/>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113C7896" w14:textId="77777777" w:rsidR="008A225F" w:rsidRDefault="008A225F" w:rsidP="008A225F">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57EABD5A" w14:textId="77777777" w:rsidR="008A225F" w:rsidRDefault="008A225F" w:rsidP="008A225F">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36EFBA3" w14:textId="77777777" w:rsidR="008A225F" w:rsidRDefault="008A225F" w:rsidP="008A225F">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33B8832B" w14:textId="77777777" w:rsidR="008A225F" w:rsidRDefault="008A225F" w:rsidP="008A225F">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88CD220"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5D65F6BB"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BB74D5C" w14:textId="77777777" w:rsidR="008A225F" w:rsidRDefault="008A225F" w:rsidP="008A225F">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321F8BB4" w14:textId="77777777" w:rsidR="008A225F" w:rsidRDefault="008A225F" w:rsidP="008A225F">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7F3F4497" w14:textId="77777777" w:rsidR="008A225F" w:rsidRPr="00C50E61" w:rsidRDefault="008A225F" w:rsidP="008A225F">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39374AA5"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lastRenderedPageBreak/>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bookmarkEnd w:id="615"/>
    <w:p w14:paraId="7D07E9D8" w14:textId="77777777" w:rsidR="008A225F" w:rsidRDefault="008A225F" w:rsidP="008A225F">
      <w:pPr>
        <w:jc w:val="both"/>
        <w:rPr>
          <w:rFonts w:ascii="Arial" w:hAnsi="Arial" w:cs="Arial"/>
          <w:sz w:val="20"/>
        </w:rPr>
      </w:pPr>
    </w:p>
    <w:p w14:paraId="0B0BE402" w14:textId="1937641A" w:rsidR="0058227C" w:rsidRDefault="00871A33" w:rsidP="008A225F">
      <w:pPr>
        <w:jc w:val="both"/>
        <w:rPr>
          <w:rFonts w:ascii="Arial" w:hAnsi="Arial" w:cs="Arial"/>
          <w:sz w:val="20"/>
        </w:rPr>
      </w:pPr>
      <w:r>
        <w:rPr>
          <w:rFonts w:ascii="Arial" w:hAnsi="Arial" w:cs="Arial"/>
          <w:sz w:val="20"/>
        </w:rPr>
        <w:t xml:space="preserve">In </w:t>
      </w:r>
      <w:r w:rsidRPr="00FB1B56">
        <w:rPr>
          <w:rFonts w:ascii="Arial" w:hAnsi="Arial" w:cs="Arial"/>
          <w:i/>
          <w:iCs/>
          <w:sz w:val="20"/>
        </w:rPr>
        <w:t>Tsalkos v The King</w:t>
      </w:r>
      <w:r>
        <w:rPr>
          <w:rFonts w:ascii="Arial" w:hAnsi="Arial" w:cs="Arial"/>
          <w:sz w:val="20"/>
        </w:rPr>
        <w:t xml:space="preserve"> [2024] VSCA 324 </w:t>
      </w:r>
      <w:r w:rsidR="0058227C" w:rsidRPr="00614EE8">
        <w:rPr>
          <w:rFonts w:ascii="Arial" w:hAnsi="Arial" w:cs="Arial"/>
          <w:sz w:val="20"/>
        </w:rPr>
        <w:t xml:space="preserve">the respondent </w:t>
      </w:r>
      <w:r w:rsidR="0058227C">
        <w:rPr>
          <w:rFonts w:ascii="Arial" w:hAnsi="Arial" w:cs="Arial"/>
          <w:sz w:val="20"/>
        </w:rPr>
        <w:t>had been</w:t>
      </w:r>
      <w:r w:rsidR="0058227C" w:rsidRPr="00614EE8">
        <w:rPr>
          <w:rFonts w:ascii="Arial" w:hAnsi="Arial" w:cs="Arial"/>
          <w:sz w:val="20"/>
        </w:rPr>
        <w:t xml:space="preserve"> found guilty by a jury </w:t>
      </w:r>
      <w:r>
        <w:rPr>
          <w:rFonts w:ascii="Arial" w:hAnsi="Arial" w:cs="Arial"/>
          <w:sz w:val="20"/>
        </w:rPr>
        <w:t xml:space="preserve">in the County Court of Victoria </w:t>
      </w:r>
      <w:r w:rsidR="0058227C" w:rsidRPr="00614EE8">
        <w:rPr>
          <w:rFonts w:ascii="Arial" w:hAnsi="Arial" w:cs="Arial"/>
          <w:sz w:val="20"/>
        </w:rPr>
        <w:t>of two charges of kidnapping and two charges of rape with aggravating circumstances of two female complainants, AB and JJ. The respondent was also found guilty of four charges of procuring or inciting the commission of an act of gross indecency with a person under the age of 16 years, 3 each committed against JJ. AB and JJ were 16 years and 15 years of age respectively at the time of the offences. The respondent was sentenced to a substantial term of imprisonment.</w:t>
      </w:r>
    </w:p>
    <w:p w14:paraId="5D3E488A" w14:textId="5E85A16D" w:rsidR="0058227C" w:rsidRDefault="0058227C" w:rsidP="0058227C">
      <w:pPr>
        <w:spacing w:before="120"/>
        <w:jc w:val="both"/>
        <w:rPr>
          <w:rFonts w:ascii="Arial" w:hAnsi="Arial" w:cs="Arial"/>
          <w:sz w:val="20"/>
        </w:rPr>
      </w:pPr>
      <w:r w:rsidRPr="00614EE8">
        <w:rPr>
          <w:rFonts w:ascii="Arial" w:hAnsi="Arial" w:cs="Arial"/>
          <w:sz w:val="20"/>
        </w:rPr>
        <w:t>The respondent applied for leave to appeal against conviction and sentence.</w:t>
      </w:r>
      <w:r>
        <w:rPr>
          <w:rFonts w:ascii="Arial" w:hAnsi="Arial" w:cs="Arial"/>
          <w:sz w:val="20"/>
        </w:rPr>
        <w:t xml:space="preserve"> </w:t>
      </w:r>
      <w:r w:rsidR="00D75146">
        <w:rPr>
          <w:rFonts w:ascii="Arial" w:hAnsi="Arial" w:cs="Arial"/>
          <w:sz w:val="20"/>
        </w:rPr>
        <w:t>At [6]-[7] the Court of Appeal noted that t</w:t>
      </w:r>
      <w:r>
        <w:rPr>
          <w:rFonts w:ascii="Arial" w:hAnsi="Arial" w:cs="Arial"/>
          <w:sz w:val="20"/>
        </w:rPr>
        <w:t xml:space="preserve">he </w:t>
      </w:r>
      <w:r w:rsidR="00D75146">
        <w:rPr>
          <w:rFonts w:ascii="Arial" w:hAnsi="Arial" w:cs="Arial"/>
          <w:sz w:val="20"/>
        </w:rPr>
        <w:t xml:space="preserve">conviction </w:t>
      </w:r>
      <w:r w:rsidR="00B20376">
        <w:rPr>
          <w:rFonts w:ascii="Arial" w:hAnsi="Arial" w:cs="Arial"/>
          <w:sz w:val="20"/>
        </w:rPr>
        <w:t>appeal</w:t>
      </w:r>
      <w:r w:rsidRPr="00614EE8">
        <w:rPr>
          <w:rFonts w:ascii="Arial" w:hAnsi="Arial" w:cs="Arial"/>
          <w:sz w:val="20"/>
        </w:rPr>
        <w:t xml:space="preserve"> </w:t>
      </w:r>
      <w:r>
        <w:rPr>
          <w:rFonts w:ascii="Arial" w:hAnsi="Arial" w:cs="Arial"/>
          <w:sz w:val="20"/>
        </w:rPr>
        <w:t>involved</w:t>
      </w:r>
      <w:r w:rsidRPr="00FB1B56">
        <w:rPr>
          <w:rFonts w:ascii="Arial" w:hAnsi="Arial" w:cs="Arial"/>
          <w:sz w:val="20"/>
        </w:rPr>
        <w:t xml:space="preserve"> the admissibility of evidence of the distress of</w:t>
      </w:r>
      <w:r>
        <w:rPr>
          <w:rFonts w:ascii="Arial" w:hAnsi="Arial" w:cs="Arial"/>
          <w:sz w:val="20"/>
        </w:rPr>
        <w:t xml:space="preserve"> </w:t>
      </w:r>
      <w:r w:rsidRPr="00FB1B56">
        <w:rPr>
          <w:rFonts w:ascii="Arial" w:hAnsi="Arial" w:cs="Arial"/>
          <w:sz w:val="20"/>
        </w:rPr>
        <w:t xml:space="preserve">complainant </w:t>
      </w:r>
      <w:r>
        <w:rPr>
          <w:rFonts w:ascii="Arial" w:hAnsi="Arial" w:cs="Arial"/>
          <w:sz w:val="20"/>
        </w:rPr>
        <w:t xml:space="preserve">AB </w:t>
      </w:r>
      <w:r w:rsidRPr="00FB1B56">
        <w:rPr>
          <w:rFonts w:ascii="Arial" w:hAnsi="Arial" w:cs="Arial"/>
          <w:sz w:val="20"/>
        </w:rPr>
        <w:t>and the directions which should be given to a jury in respect of such evidence</w:t>
      </w:r>
      <w:r>
        <w:rPr>
          <w:rFonts w:ascii="Arial" w:hAnsi="Arial" w:cs="Arial"/>
          <w:sz w:val="20"/>
        </w:rPr>
        <w:t>. AB’s mother had given evidence – referred to in the judgments as ‘</w:t>
      </w:r>
      <w:r w:rsidRPr="00D604AC">
        <w:rPr>
          <w:rFonts w:ascii="Arial" w:hAnsi="Arial" w:cs="Arial"/>
          <w:b/>
          <w:bCs/>
          <w:sz w:val="20"/>
        </w:rPr>
        <w:t>distress evidence</w:t>
      </w:r>
      <w:r>
        <w:rPr>
          <w:rFonts w:ascii="Arial" w:hAnsi="Arial" w:cs="Arial"/>
          <w:sz w:val="20"/>
        </w:rPr>
        <w:t xml:space="preserve">’ – about 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002C30B4">
        <w:rPr>
          <w:rFonts w:ascii="Arial" w:hAnsi="Arial" w:cs="Arial"/>
          <w:sz w:val="20"/>
        </w:rPr>
        <w:t>“</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w:t>
      </w:r>
      <w:r w:rsidR="002C30B4">
        <w:rPr>
          <w:rFonts w:ascii="Arial" w:hAnsi="Arial" w:cs="Arial"/>
          <w:sz w:val="20"/>
        </w:rPr>
        <w:t>…</w:t>
      </w:r>
      <w:r w:rsidRPr="00FB1B56">
        <w:rPr>
          <w:rFonts w:ascii="Arial" w:hAnsi="Arial" w:cs="Arial"/>
          <w:sz w:val="20"/>
        </w:rPr>
        <w:t>AB told her mother that she had been raped, that she was with a friend, and that they got into a car with a man before he raped both of them. They were very frightened because he threatened them and he had a knife</w:t>
      </w:r>
      <w:r w:rsidR="00727523">
        <w:rPr>
          <w:rFonts w:ascii="Arial" w:hAnsi="Arial" w:cs="Arial"/>
          <w:sz w:val="20"/>
        </w:rPr>
        <w:t>.</w:t>
      </w:r>
      <w:r w:rsidR="00D75146">
        <w:rPr>
          <w:rFonts w:ascii="Arial" w:hAnsi="Arial" w:cs="Arial"/>
          <w:sz w:val="20"/>
        </w:rPr>
        <w:t>”</w:t>
      </w:r>
    </w:p>
    <w:p w14:paraId="1BEA16CC" w14:textId="456954FB" w:rsidR="00C72113" w:rsidRDefault="00C72113" w:rsidP="0058227C">
      <w:pPr>
        <w:spacing w:before="120"/>
        <w:jc w:val="both"/>
        <w:rPr>
          <w:rFonts w:ascii="Arial" w:hAnsi="Arial" w:cs="Arial"/>
          <w:sz w:val="20"/>
        </w:rPr>
      </w:pPr>
      <w:r>
        <w:rPr>
          <w:rFonts w:ascii="Arial" w:hAnsi="Arial" w:cs="Arial"/>
          <w:sz w:val="20"/>
        </w:rPr>
        <w:t>In their joint judgment at [8]-[10] Emerton P, McLeish &amp; Boyce JJA noted:</w:t>
      </w:r>
    </w:p>
    <w:p w14:paraId="5CBFAC3A" w14:textId="6F30BE1A" w:rsidR="00C72113" w:rsidRDefault="00C72113" w:rsidP="00C72113">
      <w:pPr>
        <w:spacing w:before="60"/>
        <w:ind w:left="924" w:right="567" w:hanging="357"/>
        <w:jc w:val="both"/>
        <w:rPr>
          <w:rFonts w:ascii="Arial" w:hAnsi="Arial" w:cs="Arial"/>
          <w:sz w:val="20"/>
        </w:rPr>
      </w:pPr>
      <w:r>
        <w:rPr>
          <w:rFonts w:ascii="Arial" w:hAnsi="Arial" w:cs="Arial"/>
          <w:sz w:val="20"/>
        </w:rPr>
        <w:t>[8]</w:t>
      </w:r>
      <w:r>
        <w:rPr>
          <w:rFonts w:ascii="Arial" w:hAnsi="Arial" w:cs="Arial"/>
          <w:sz w:val="20"/>
        </w:rPr>
        <w:tab/>
        <w:t>“The distress evidence, and the circumstances and manner in which it was left to be used by the jury, is amply described in the judgments of Priest JA and Niall JA. In short:</w:t>
      </w:r>
    </w:p>
    <w:p w14:paraId="403F0ABB"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4D8B83B8"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C49173C"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0D607F" w14:textId="18548E81" w:rsidR="00C72113" w:rsidRPr="00CF787A"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 judge gave the jury a direction on distress, leaving it to the jury to determine whether AB’s distress was because she had been raped or for some other reason. Her Honour warned the jury that they could not use AB’s distress as indirect evidence supporting the charges unless satisfied that AB was distressed because of the alleged sexual offending and not for some other reason.</w:t>
      </w:r>
    </w:p>
    <w:p w14:paraId="42AA1B30" w14:textId="65A10950" w:rsidR="00C72113" w:rsidRDefault="00C72113" w:rsidP="00C72113">
      <w:pPr>
        <w:spacing w:before="60"/>
        <w:ind w:left="924" w:right="567" w:hanging="357"/>
        <w:jc w:val="both"/>
        <w:rPr>
          <w:rFonts w:ascii="Arial" w:hAnsi="Arial" w:cs="Arial"/>
          <w:sz w:val="20"/>
        </w:rPr>
      </w:pPr>
      <w:r>
        <w:rPr>
          <w:rFonts w:ascii="Arial" w:hAnsi="Arial" w:cs="Arial"/>
          <w:sz w:val="20"/>
        </w:rPr>
        <w:t>[9]</w:t>
      </w:r>
      <w:r>
        <w:rPr>
          <w:rFonts w:ascii="Arial" w:hAnsi="Arial" w:cs="Arial"/>
          <w:sz w:val="20"/>
        </w:rPr>
        <w:tab/>
      </w:r>
      <w:r w:rsidRPr="00C72113">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AD18A4A" w14:textId="7F193C51" w:rsidR="00C72113" w:rsidRDefault="00C72113" w:rsidP="00C72113">
      <w:pPr>
        <w:spacing w:before="60"/>
        <w:ind w:left="924" w:right="567" w:hanging="357"/>
        <w:jc w:val="both"/>
        <w:rPr>
          <w:rFonts w:ascii="Arial" w:hAnsi="Arial" w:cs="Arial"/>
          <w:sz w:val="20"/>
        </w:rPr>
      </w:pPr>
      <w:r>
        <w:rPr>
          <w:rFonts w:ascii="Arial" w:hAnsi="Arial" w:cs="Arial"/>
          <w:sz w:val="20"/>
        </w:rPr>
        <w:t>[10]</w:t>
      </w:r>
      <w:r>
        <w:rPr>
          <w:rFonts w:ascii="Arial" w:hAnsi="Arial" w:cs="Arial"/>
          <w:sz w:val="20"/>
        </w:rPr>
        <w:tab/>
      </w:r>
      <w:r w:rsidRPr="00C72113">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r>
        <w:rPr>
          <w:rFonts w:ascii="Arial" w:hAnsi="Arial" w:cs="Arial"/>
          <w:sz w:val="20"/>
        </w:rPr>
        <w:t>”</w:t>
      </w:r>
    </w:p>
    <w:p w14:paraId="048B5C56" w14:textId="43BEF3BD" w:rsidR="00B20376" w:rsidRDefault="001456E1" w:rsidP="00B20376">
      <w:pPr>
        <w:spacing w:before="60"/>
        <w:jc w:val="both"/>
        <w:rPr>
          <w:rFonts w:ascii="Arial" w:hAnsi="Arial" w:cs="Arial"/>
          <w:sz w:val="20"/>
        </w:rPr>
      </w:pPr>
      <w:r>
        <w:rPr>
          <w:rFonts w:ascii="Arial" w:hAnsi="Arial" w:cs="Arial"/>
          <w:sz w:val="20"/>
        </w:rPr>
        <w:t>In a joint judgment in</w:t>
      </w:r>
      <w:r w:rsidR="00871A33">
        <w:rPr>
          <w:rFonts w:ascii="Arial" w:hAnsi="Arial" w:cs="Arial"/>
          <w:sz w:val="20"/>
        </w:rPr>
        <w:t xml:space="preserve"> </w:t>
      </w:r>
      <w:r w:rsidR="00871A33" w:rsidRPr="00614EE8">
        <w:rPr>
          <w:rFonts w:ascii="Arial" w:hAnsi="Arial" w:cs="Arial"/>
          <w:i/>
          <w:iCs/>
          <w:sz w:val="20"/>
        </w:rPr>
        <w:t>The King v Tsalkos</w:t>
      </w:r>
      <w:r w:rsidR="00871A33" w:rsidRPr="00614EE8">
        <w:rPr>
          <w:rFonts w:ascii="Arial" w:hAnsi="Arial" w:cs="Arial"/>
          <w:sz w:val="20"/>
        </w:rPr>
        <w:t xml:space="preserve"> [2025] HCA 49</w:t>
      </w:r>
      <w:r w:rsidR="00871A33">
        <w:rPr>
          <w:rFonts w:ascii="Arial" w:hAnsi="Arial" w:cs="Arial"/>
          <w:sz w:val="20"/>
        </w:rPr>
        <w:t xml:space="preserve"> the High Court allowed the Crown appeal and </w:t>
      </w:r>
      <w:r w:rsidR="00871A33" w:rsidRPr="008060F5">
        <w:rPr>
          <w:rFonts w:ascii="Arial" w:hAnsi="Arial" w:cs="Arial"/>
          <w:sz w:val="20"/>
        </w:rPr>
        <w:t>order</w:t>
      </w:r>
      <w:r w:rsidR="00871A33">
        <w:rPr>
          <w:rFonts w:ascii="Arial" w:hAnsi="Arial" w:cs="Arial"/>
          <w:sz w:val="20"/>
        </w:rPr>
        <w:t>ed</w:t>
      </w:r>
      <w:r w:rsidR="00871A33" w:rsidRPr="008060F5">
        <w:rPr>
          <w:rFonts w:ascii="Arial" w:hAnsi="Arial" w:cs="Arial"/>
          <w:sz w:val="20"/>
        </w:rPr>
        <w:t xml:space="preserve"> that</w:t>
      </w:r>
      <w:r w:rsidR="00B20376">
        <w:rPr>
          <w:rFonts w:ascii="Arial" w:hAnsi="Arial" w:cs="Arial"/>
          <w:sz w:val="20"/>
        </w:rPr>
        <w:t>–</w:t>
      </w:r>
    </w:p>
    <w:p w14:paraId="21B54FC9" w14:textId="77777777"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w:t>
      </w:r>
      <w:r w:rsidR="00871A33" w:rsidRPr="008060F5">
        <w:rPr>
          <w:rFonts w:ascii="Arial" w:hAnsi="Arial" w:cs="Arial"/>
          <w:sz w:val="20"/>
        </w:rPr>
        <w:t xml:space="preserve">he </w:t>
      </w:r>
      <w:r>
        <w:rPr>
          <w:rFonts w:ascii="Arial" w:hAnsi="Arial" w:cs="Arial"/>
          <w:sz w:val="20"/>
        </w:rPr>
        <w:t xml:space="preserve">respondent’s </w:t>
      </w:r>
      <w:r w:rsidR="00871A33" w:rsidRPr="008060F5">
        <w:rPr>
          <w:rFonts w:ascii="Arial" w:hAnsi="Arial" w:cs="Arial"/>
          <w:sz w:val="20"/>
        </w:rPr>
        <w:t>appeal against conviction to th</w:t>
      </w:r>
      <w:r w:rsidR="00871A33">
        <w:rPr>
          <w:rFonts w:ascii="Arial" w:hAnsi="Arial" w:cs="Arial"/>
          <w:sz w:val="20"/>
        </w:rPr>
        <w:t>e</w:t>
      </w:r>
      <w:r w:rsidR="00871A33" w:rsidRPr="008060F5">
        <w:rPr>
          <w:rFonts w:ascii="Arial" w:hAnsi="Arial" w:cs="Arial"/>
          <w:sz w:val="20"/>
        </w:rPr>
        <w:t xml:space="preserve"> Court </w:t>
      </w:r>
      <w:r w:rsidR="00871A33">
        <w:rPr>
          <w:rFonts w:ascii="Arial" w:hAnsi="Arial" w:cs="Arial"/>
          <w:sz w:val="20"/>
        </w:rPr>
        <w:t xml:space="preserve">of Appeal </w:t>
      </w:r>
      <w:r w:rsidR="00871A33" w:rsidRPr="008060F5">
        <w:rPr>
          <w:rFonts w:ascii="Arial" w:hAnsi="Arial" w:cs="Arial"/>
          <w:sz w:val="20"/>
        </w:rPr>
        <w:t>be dismissed</w:t>
      </w:r>
      <w:r>
        <w:rPr>
          <w:rFonts w:ascii="Arial" w:hAnsi="Arial" w:cs="Arial"/>
          <w:sz w:val="20"/>
        </w:rPr>
        <w:t>;</w:t>
      </w:r>
    </w:p>
    <w:p w14:paraId="4D139EBF" w14:textId="742ECD49"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the respondent’s application for leave to appeal against sentence be remitted to the Court of Appeal for determination.</w:t>
      </w:r>
    </w:p>
    <w:p w14:paraId="5776559A" w14:textId="336A447D" w:rsidR="001456E1" w:rsidRDefault="001456E1" w:rsidP="001456E1">
      <w:pPr>
        <w:spacing w:before="60"/>
        <w:jc w:val="both"/>
        <w:rPr>
          <w:rFonts w:ascii="Arial" w:hAnsi="Arial" w:cs="Arial"/>
          <w:sz w:val="20"/>
        </w:rPr>
      </w:pPr>
      <w:r>
        <w:rPr>
          <w:rFonts w:ascii="Arial" w:hAnsi="Arial" w:cs="Arial"/>
          <w:sz w:val="20"/>
        </w:rPr>
        <w:t>At [2]-[3]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JJ summarised their reasons as follows:</w:t>
      </w:r>
    </w:p>
    <w:p w14:paraId="2560E946" w14:textId="77777777" w:rsidR="00B80003" w:rsidRDefault="001456E1" w:rsidP="008A225F">
      <w:pPr>
        <w:spacing w:before="60"/>
        <w:ind w:left="567" w:right="567"/>
        <w:jc w:val="both"/>
        <w:rPr>
          <w:rFonts w:ascii="Arial" w:hAnsi="Arial" w:cs="Arial"/>
          <w:b/>
          <w:bCs/>
          <w:sz w:val="20"/>
        </w:rPr>
      </w:pPr>
      <w:r>
        <w:rPr>
          <w:rFonts w:ascii="Arial" w:hAnsi="Arial" w:cs="Arial"/>
          <w:sz w:val="20"/>
        </w:rPr>
        <w:lastRenderedPageBreak/>
        <w:t>[2] “</w:t>
      </w:r>
      <w:r w:rsidRPr="001456E1">
        <w:rPr>
          <w:rFonts w:ascii="Arial" w:hAnsi="Arial" w:cs="Arial"/>
          <w:sz w:val="20"/>
        </w:rPr>
        <w:t>A majority of the Court of Appeal (Emerton P, McLeish and Boyce JJA, and Priest JA; Niall JA dissenting) found that a substantial miscarriage of justice</w:t>
      </w:r>
      <w:r>
        <w:rPr>
          <w:rFonts w:ascii="Arial" w:hAnsi="Arial" w:cs="Arial"/>
          <w:sz w:val="20"/>
        </w:rPr>
        <w:t xml:space="preserve"> {</w:t>
      </w:r>
      <w:r w:rsidRPr="001456E1">
        <w:rPr>
          <w:rFonts w:ascii="Arial" w:hAnsi="Arial" w:cs="Arial"/>
          <w:i/>
          <w:iCs/>
          <w:sz w:val="20"/>
        </w:rPr>
        <w:t>Criminal Procedure Act 2009</w:t>
      </w:r>
      <w:r>
        <w:rPr>
          <w:rFonts w:ascii="Arial" w:hAnsi="Arial" w:cs="Arial"/>
          <w:sz w:val="20"/>
        </w:rPr>
        <w:t xml:space="preserve"> (Vic), s.276(1)(c)} </w:t>
      </w:r>
      <w:r w:rsidRPr="001456E1">
        <w:rPr>
          <w:rFonts w:ascii="Arial" w:hAnsi="Arial" w:cs="Arial"/>
          <w:sz w:val="20"/>
        </w:rPr>
        <w:t xml:space="preserve">was occasioned because the trial judge's directions supposedly invited the jury to use evidence that AB was distressed at the time she complained about the alleged offences to her mother as </w:t>
      </w:r>
      <w:r>
        <w:rPr>
          <w:rFonts w:ascii="Arial" w:hAnsi="Arial" w:cs="Arial"/>
          <w:sz w:val="20"/>
        </w:rPr>
        <w:t>‘</w:t>
      </w:r>
      <w:r w:rsidRPr="001456E1">
        <w:rPr>
          <w:rFonts w:ascii="Arial" w:hAnsi="Arial" w:cs="Arial"/>
          <w:sz w:val="20"/>
        </w:rPr>
        <w:t>independent support</w:t>
      </w:r>
      <w:r>
        <w:rPr>
          <w:rFonts w:ascii="Arial" w:hAnsi="Arial" w:cs="Arial"/>
          <w:sz w:val="20"/>
        </w:rPr>
        <w:t>’</w:t>
      </w:r>
      <w:r w:rsidRPr="001456E1">
        <w:rPr>
          <w:rFonts w:ascii="Arial" w:hAnsi="Arial" w:cs="Arial"/>
          <w:sz w:val="20"/>
        </w:rPr>
        <w:t xml:space="preserve"> for AB's account in circumstances where, according to the majority, it was not open to the jury to find the requisite causal link between the distress and the events complained of</w:t>
      </w:r>
      <w:r>
        <w:rPr>
          <w:rFonts w:ascii="Arial" w:hAnsi="Arial" w:cs="Arial"/>
          <w:sz w:val="20"/>
        </w:rPr>
        <w:t xml:space="preserve">: see </w:t>
      </w:r>
      <w:r w:rsidRPr="001456E1">
        <w:rPr>
          <w:rFonts w:ascii="Arial" w:hAnsi="Arial" w:cs="Arial"/>
          <w:sz w:val="20"/>
        </w:rPr>
        <w:t>[2024] VSCA 324 at [65], [75</w:t>
      </w:r>
      <w:r>
        <w:rPr>
          <w:rFonts w:ascii="Arial" w:hAnsi="Arial" w:cs="Arial"/>
          <w:sz w:val="20"/>
        </w:rPr>
        <w:t>]</w:t>
      </w:r>
      <w:r>
        <w:rPr>
          <w:rFonts w:ascii="Arial" w:hAnsi="Arial" w:cs="Arial"/>
          <w:b/>
          <w:bCs/>
          <w:sz w:val="20"/>
        </w:rPr>
        <w:t>.</w:t>
      </w:r>
    </w:p>
    <w:p w14:paraId="2742C07F" w14:textId="38F74798" w:rsidR="001456E1" w:rsidRPr="001456E1" w:rsidRDefault="001456E1" w:rsidP="00B80003">
      <w:pPr>
        <w:spacing w:before="60"/>
        <w:ind w:left="567" w:right="567"/>
        <w:jc w:val="both"/>
        <w:rPr>
          <w:rFonts w:ascii="Arial" w:hAnsi="Arial" w:cs="Arial"/>
          <w:b/>
          <w:bCs/>
          <w:sz w:val="20"/>
        </w:rPr>
      </w:pPr>
      <w:r w:rsidRPr="001456E1">
        <w:rPr>
          <w:rFonts w:ascii="Arial" w:hAnsi="Arial" w:cs="Arial"/>
          <w:sz w:val="20"/>
        </w:rPr>
        <w:t>[3] As will be explained, the reasoning of the majority of the Court of Appeal in upholding this ground was inconsistent with the subsequent decision of this</w:t>
      </w:r>
      <w:r>
        <w:rPr>
          <w:rFonts w:ascii="Arial" w:hAnsi="Arial" w:cs="Arial"/>
          <w:sz w:val="20"/>
        </w:rPr>
        <w:t xml:space="preserve"> Court in </w:t>
      </w:r>
      <w:r w:rsidRPr="001456E1">
        <w:rPr>
          <w:rFonts w:ascii="Arial" w:hAnsi="Arial" w:cs="Arial"/>
          <w:i/>
          <w:iCs/>
          <w:sz w:val="20"/>
        </w:rPr>
        <w:t>R v Churchill (a</w:t>
      </w:r>
      <w:r>
        <w:rPr>
          <w:rFonts w:ascii="Arial" w:hAnsi="Arial" w:cs="Arial"/>
          <w:i/>
          <w:iCs/>
          <w:sz w:val="20"/>
        </w:rPr>
        <w:t> </w:t>
      </w:r>
      <w:r w:rsidRPr="001456E1">
        <w:rPr>
          <w:rFonts w:ascii="Arial" w:hAnsi="Arial" w:cs="Arial"/>
          <w:i/>
          <w:iCs/>
          <w:sz w:val="20"/>
        </w:rPr>
        <w:t>pseudonym)</w:t>
      </w:r>
      <w:r w:rsidR="00B80003">
        <w:rPr>
          <w:rFonts w:ascii="Arial" w:hAnsi="Arial" w:cs="Arial"/>
          <w:i/>
          <w:iCs/>
          <w:sz w:val="20"/>
        </w:rPr>
        <w:t xml:space="preserve"> </w:t>
      </w:r>
      <w:r w:rsidR="00064D97" w:rsidRPr="00064D97">
        <w:rPr>
          <w:rFonts w:ascii="Arial" w:hAnsi="Arial" w:cs="Arial"/>
          <w:sz w:val="20"/>
        </w:rPr>
        <w:t xml:space="preserve">[2025] HCA 11; </w:t>
      </w:r>
      <w:r w:rsidR="00B80003" w:rsidRPr="00614EE8">
        <w:rPr>
          <w:rFonts w:ascii="Arial" w:hAnsi="Arial" w:cs="Arial"/>
          <w:sz w:val="20"/>
        </w:rPr>
        <w:t>(2025) 99 ALJR 719; 422 ALR 265</w:t>
      </w:r>
      <w:r w:rsidRPr="001456E1">
        <w:rPr>
          <w:rFonts w:ascii="Arial" w:hAnsi="Arial" w:cs="Arial"/>
          <w:i/>
          <w:iCs/>
          <w:sz w:val="20"/>
        </w:rPr>
        <w:t>.</w:t>
      </w:r>
      <w:r w:rsidRPr="001456E1">
        <w:rPr>
          <w:rFonts w:ascii="Arial" w:hAnsi="Arial" w:cs="Arial"/>
          <w:b/>
          <w:bCs/>
          <w:sz w:val="20"/>
        </w:rPr>
        <w:t xml:space="preserve"> </w:t>
      </w:r>
      <w:r w:rsidRPr="001456E1">
        <w:rPr>
          <w:rFonts w:ascii="Arial" w:hAnsi="Arial" w:cs="Arial"/>
          <w:sz w:val="20"/>
        </w:rPr>
        <w:t xml:space="preserve">Contrary to the conclusion of the majority, AB's mother's evidence that AB was distressed at the time AB complained to her was capable of supporting the occurrence of the alleged offending. Further, contrary to the conclusion of the majority, the trial judge's directions did not invite the jury to treat the evidence as </w:t>
      </w:r>
      <w:r w:rsidR="00B80003">
        <w:rPr>
          <w:rFonts w:ascii="Arial" w:hAnsi="Arial" w:cs="Arial"/>
          <w:sz w:val="20"/>
        </w:rPr>
        <w:t>‘</w:t>
      </w:r>
      <w:r w:rsidRPr="001456E1">
        <w:rPr>
          <w:rFonts w:ascii="Arial" w:hAnsi="Arial" w:cs="Arial"/>
          <w:sz w:val="20"/>
        </w:rPr>
        <w:t>independent support</w:t>
      </w:r>
      <w:r w:rsidR="00B80003">
        <w:rPr>
          <w:rFonts w:ascii="Arial" w:hAnsi="Arial" w:cs="Arial"/>
          <w:sz w:val="20"/>
        </w:rPr>
        <w:t>’</w:t>
      </w:r>
      <w:r w:rsidRPr="001456E1">
        <w:rPr>
          <w:rFonts w:ascii="Arial" w:hAnsi="Arial" w:cs="Arial"/>
          <w:sz w:val="20"/>
        </w:rPr>
        <w:t xml:space="preserve"> for AB's evidence in the sense of being independent evidence corroborative of AB's testimony. Additional complaints raised by the respondent in this Court to the effect that a substantial miscarriage of justice was occasioned by either or both the failure of the trial judge to exclude the evidence of distress under s 137 of the </w:t>
      </w:r>
      <w:r w:rsidRPr="001456E1">
        <w:rPr>
          <w:rFonts w:ascii="Arial" w:hAnsi="Arial" w:cs="Arial"/>
          <w:i/>
          <w:iCs/>
          <w:sz w:val="20"/>
        </w:rPr>
        <w:t xml:space="preserve">Evidence Act 2008 </w:t>
      </w:r>
      <w:r w:rsidRPr="001456E1">
        <w:rPr>
          <w:rFonts w:ascii="Arial" w:hAnsi="Arial" w:cs="Arial"/>
          <w:sz w:val="20"/>
        </w:rPr>
        <w:t xml:space="preserve">(Vic) or the failure of the trial judge to correct a submission made by the prosecutor in the prosecutor's closing address that the evidence of distress was </w:t>
      </w:r>
      <w:r w:rsidR="00B80003">
        <w:rPr>
          <w:rFonts w:ascii="Arial" w:hAnsi="Arial" w:cs="Arial"/>
          <w:sz w:val="20"/>
        </w:rPr>
        <w:t>‘</w:t>
      </w:r>
      <w:r w:rsidRPr="001456E1">
        <w:rPr>
          <w:rFonts w:ascii="Arial" w:hAnsi="Arial" w:cs="Arial"/>
          <w:sz w:val="20"/>
        </w:rPr>
        <w:t>independent evidence</w:t>
      </w:r>
      <w:r w:rsidR="00B80003">
        <w:rPr>
          <w:rFonts w:ascii="Arial" w:hAnsi="Arial" w:cs="Arial"/>
          <w:sz w:val="20"/>
        </w:rPr>
        <w:t>’</w:t>
      </w:r>
      <w:r w:rsidRPr="001456E1">
        <w:rPr>
          <w:rFonts w:ascii="Arial" w:hAnsi="Arial" w:cs="Arial"/>
          <w:sz w:val="20"/>
        </w:rPr>
        <w:t xml:space="preserve"> should also be rejected.</w:t>
      </w:r>
      <w:r w:rsidR="00B80003">
        <w:rPr>
          <w:rFonts w:ascii="Arial" w:hAnsi="Arial" w:cs="Arial"/>
          <w:sz w:val="20"/>
        </w:rPr>
        <w:t>”</w:t>
      </w:r>
    </w:p>
    <w:p w14:paraId="22C4611A" w14:textId="5C38B89D" w:rsidR="00B80003" w:rsidRDefault="00B80003" w:rsidP="00B80003">
      <w:pPr>
        <w:spacing w:before="60"/>
        <w:jc w:val="both"/>
        <w:rPr>
          <w:rFonts w:ascii="Arial" w:hAnsi="Arial" w:cs="Arial"/>
          <w:sz w:val="20"/>
        </w:rPr>
      </w:pPr>
      <w:r>
        <w:rPr>
          <w:rFonts w:ascii="Arial" w:hAnsi="Arial" w:cs="Arial"/>
          <w:sz w:val="20"/>
        </w:rPr>
        <w:t>At [24]-[2</w:t>
      </w:r>
      <w:r w:rsidR="0034762B">
        <w:rPr>
          <w:rFonts w:ascii="Arial" w:hAnsi="Arial" w:cs="Arial"/>
          <w:sz w:val="20"/>
        </w:rPr>
        <w:t>8</w:t>
      </w:r>
      <w:r>
        <w:rPr>
          <w:rFonts w:ascii="Arial" w:hAnsi="Arial" w:cs="Arial"/>
          <w:sz w:val="20"/>
        </w:rPr>
        <w:t>]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 xml:space="preserve">JJ detailed “four related errors” in the reasoning of the majority of the Court of Appeal which follow from </w:t>
      </w:r>
      <w:r w:rsidRPr="001456E1">
        <w:rPr>
          <w:rFonts w:ascii="Arial" w:hAnsi="Arial" w:cs="Arial"/>
          <w:i/>
          <w:iCs/>
          <w:sz w:val="20"/>
        </w:rPr>
        <w:t>R v Churchill</w:t>
      </w:r>
      <w:r w:rsidR="0034762B">
        <w:rPr>
          <w:rFonts w:ascii="Arial" w:hAnsi="Arial" w:cs="Arial"/>
          <w:sz w:val="20"/>
        </w:rPr>
        <w:t xml:space="preserve"> and their consequence:</w:t>
      </w:r>
    </w:p>
    <w:p w14:paraId="3673E079" w14:textId="47DD4D50" w:rsidR="00007D7F" w:rsidRDefault="00B80003" w:rsidP="00007D7F">
      <w:pPr>
        <w:spacing w:before="60"/>
        <w:ind w:left="567" w:right="567"/>
        <w:jc w:val="both"/>
        <w:rPr>
          <w:rFonts w:ascii="Arial" w:hAnsi="Arial" w:cs="Arial"/>
          <w:sz w:val="20"/>
        </w:rPr>
      </w:pPr>
      <w:r>
        <w:rPr>
          <w:rFonts w:ascii="Arial" w:hAnsi="Arial" w:cs="Arial"/>
          <w:sz w:val="20"/>
        </w:rPr>
        <w:t>[24] “</w:t>
      </w:r>
      <w:r w:rsidRPr="008060F5">
        <w:rPr>
          <w:rFonts w:ascii="Arial" w:hAnsi="Arial" w:cs="Arial"/>
          <w:sz w:val="20"/>
        </w:rPr>
        <w:t>First, it was erroneous to separate AB's distress from the content of her complaint in assessing the admissibility and use of the evidence given by AB's mother of what transpired at the hospital. Just as the jury must consider all the evidence</w:t>
      </w:r>
      <w:r w:rsidR="00007D7F">
        <w:rPr>
          <w:rFonts w:ascii="Arial" w:hAnsi="Arial" w:cs="Arial"/>
          <w:sz w:val="20"/>
        </w:rPr>
        <w:t xml:space="preserve"> {</w:t>
      </w:r>
      <w:r w:rsidR="00007D7F" w:rsidRPr="00007D7F">
        <w:rPr>
          <w:rFonts w:ascii="Arial" w:hAnsi="Arial" w:cs="Arial"/>
          <w:i/>
          <w:iCs/>
          <w:sz w:val="20"/>
        </w:rPr>
        <w:t xml:space="preserve">Shepherd v The Queen </w:t>
      </w:r>
      <w:r w:rsidR="00007D7F" w:rsidRPr="00007D7F">
        <w:rPr>
          <w:rFonts w:ascii="Arial" w:hAnsi="Arial" w:cs="Arial"/>
          <w:sz w:val="20"/>
        </w:rPr>
        <w:t xml:space="preserve">(1990) 170 CLR 573 at 580, quoting </w:t>
      </w:r>
      <w:r w:rsidR="00007D7F" w:rsidRPr="00007D7F">
        <w:rPr>
          <w:rFonts w:ascii="Arial" w:hAnsi="Arial" w:cs="Arial"/>
          <w:i/>
          <w:iCs/>
          <w:sz w:val="20"/>
        </w:rPr>
        <w:t>Chamberlain v The Queen [No 2]</w:t>
      </w:r>
      <w:r w:rsidR="00007D7F" w:rsidRPr="00007D7F">
        <w:rPr>
          <w:rFonts w:ascii="Arial" w:hAnsi="Arial" w:cs="Arial"/>
          <w:sz w:val="20"/>
        </w:rPr>
        <w:t xml:space="preserve"> (1984) 153 CLR 521 at 535-536</w:t>
      </w:r>
      <w:r w:rsidR="00007D7F">
        <w:rPr>
          <w:rFonts w:ascii="Arial" w:hAnsi="Arial" w:cs="Arial"/>
          <w:sz w:val="20"/>
        </w:rPr>
        <w:t>}</w:t>
      </w:r>
      <w:r w:rsidRPr="008060F5">
        <w:rPr>
          <w:rFonts w:ascii="Arial" w:hAnsi="Arial" w:cs="Arial"/>
          <w:sz w:val="20"/>
        </w:rPr>
        <w:t>,</w:t>
      </w:r>
      <w:r w:rsidR="00007D7F">
        <w:rPr>
          <w:rFonts w:ascii="Arial" w:hAnsi="Arial" w:cs="Arial"/>
          <w:sz w:val="20"/>
        </w:rPr>
        <w:t xml:space="preserve"> </w:t>
      </w:r>
      <w:r w:rsidRPr="008060F5">
        <w:rPr>
          <w:rFonts w:ascii="Arial" w:hAnsi="Arial" w:cs="Arial"/>
          <w:sz w:val="20"/>
        </w:rPr>
        <w:t>an assessment of the relevance of evidence and its possible uses must involve a consideration of that evidence's effect when taken with other evidence</w:t>
      </w:r>
      <w:r w:rsidR="00007D7F">
        <w:rPr>
          <w:rFonts w:ascii="Arial" w:hAnsi="Arial" w:cs="Arial"/>
          <w:sz w:val="20"/>
        </w:rPr>
        <w:t xml:space="preserve"> {</w:t>
      </w:r>
      <w:r w:rsidR="00007D7F" w:rsidRPr="00007D7F">
        <w:rPr>
          <w:rFonts w:ascii="Arial" w:hAnsi="Arial" w:cs="Arial"/>
          <w:i/>
          <w:iCs/>
          <w:sz w:val="20"/>
        </w:rPr>
        <w:t>Festa v The Queen</w:t>
      </w:r>
      <w:r w:rsidR="00007D7F" w:rsidRPr="00007D7F">
        <w:rPr>
          <w:rFonts w:ascii="Arial" w:hAnsi="Arial" w:cs="Arial"/>
          <w:sz w:val="20"/>
        </w:rPr>
        <w:t xml:space="preserve"> (2001) 208 CLR 593 at 599 [14]; </w:t>
      </w:r>
      <w:r w:rsidR="00007D7F" w:rsidRPr="00007D7F">
        <w:rPr>
          <w:rFonts w:ascii="Arial" w:hAnsi="Arial" w:cs="Arial"/>
          <w:i/>
          <w:iCs/>
          <w:sz w:val="20"/>
        </w:rPr>
        <w:t>Evans v The Queen</w:t>
      </w:r>
      <w:r w:rsidR="00007D7F" w:rsidRPr="00007D7F">
        <w:rPr>
          <w:rFonts w:ascii="Arial" w:hAnsi="Arial" w:cs="Arial"/>
          <w:sz w:val="20"/>
        </w:rPr>
        <w:t xml:space="preserve"> (2007) 235 CLR 521 at 568 [177]</w:t>
      </w:r>
      <w:r w:rsidR="00007D7F">
        <w:rPr>
          <w:rFonts w:ascii="Arial" w:hAnsi="Arial" w:cs="Arial"/>
          <w:sz w:val="20"/>
        </w:rPr>
        <w:t xml:space="preserve">}. </w:t>
      </w:r>
      <w:r w:rsidRPr="008060F5">
        <w:rPr>
          <w:rFonts w:ascii="Arial" w:hAnsi="Arial" w:cs="Arial"/>
          <w:sz w:val="20"/>
        </w:rPr>
        <w:t>AB's distress was an aspect of her complaint in telling her mother what happened to her</w:t>
      </w:r>
      <w:r w:rsidR="00007D7F">
        <w:rPr>
          <w:rFonts w:ascii="Arial" w:hAnsi="Arial" w:cs="Arial"/>
          <w:sz w:val="20"/>
        </w:rPr>
        <w:t xml:space="preserve"> {</w:t>
      </w:r>
      <w:r w:rsidR="00007D7F" w:rsidRPr="00007D7F">
        <w:rPr>
          <w:rFonts w:ascii="Arial" w:hAnsi="Arial" w:cs="Arial"/>
          <w:i/>
          <w:iCs/>
          <w:sz w:val="20"/>
        </w:rPr>
        <w:t>Evidence Act 2008</w:t>
      </w:r>
      <w:r w:rsidR="00007D7F" w:rsidRPr="00007D7F">
        <w:rPr>
          <w:rFonts w:ascii="Arial" w:hAnsi="Arial" w:cs="Arial"/>
          <w:sz w:val="20"/>
        </w:rPr>
        <w:t xml:space="preserve"> (Vic), s 66(1), (2)(a), (2)(b)(i), (2)(b)(ii)</w:t>
      </w:r>
      <w:r w:rsidR="00007D7F">
        <w:rPr>
          <w:rFonts w:ascii="Arial" w:hAnsi="Arial" w:cs="Arial"/>
          <w:sz w:val="20"/>
        </w:rPr>
        <w:t>; s</w:t>
      </w:r>
      <w:r w:rsidR="00007D7F" w:rsidRPr="00007D7F">
        <w:rPr>
          <w:rFonts w:ascii="Arial" w:hAnsi="Arial" w:cs="Arial"/>
          <w:sz w:val="20"/>
        </w:rPr>
        <w:t xml:space="preserve">ee also </w:t>
      </w:r>
      <w:r w:rsidR="00007D7F" w:rsidRPr="00007D7F">
        <w:rPr>
          <w:rFonts w:ascii="Arial" w:hAnsi="Arial" w:cs="Arial"/>
          <w:i/>
          <w:iCs/>
          <w:sz w:val="20"/>
        </w:rPr>
        <w:t>Churchill</w:t>
      </w:r>
      <w:r w:rsidR="00007D7F" w:rsidRPr="00007D7F">
        <w:rPr>
          <w:rFonts w:ascii="Arial" w:hAnsi="Arial" w:cs="Arial"/>
          <w:sz w:val="20"/>
        </w:rPr>
        <w:t xml:space="preserve"> at </w:t>
      </w:r>
      <w:r w:rsidR="00064D97">
        <w:rPr>
          <w:rFonts w:ascii="Arial" w:hAnsi="Arial" w:cs="Arial"/>
          <w:sz w:val="20"/>
        </w:rPr>
        <w:t>[52]</w:t>
      </w:r>
      <w:r w:rsidR="00007D7F">
        <w:rPr>
          <w:rFonts w:ascii="Arial" w:hAnsi="Arial" w:cs="Arial"/>
          <w:sz w:val="20"/>
        </w:rPr>
        <w:t>}</w:t>
      </w:r>
      <w:r w:rsidR="00007D7F" w:rsidRPr="00007D7F">
        <w:rPr>
          <w:rFonts w:ascii="Arial" w:hAnsi="Arial" w:cs="Arial"/>
          <w:sz w:val="20"/>
        </w:rPr>
        <w:t>.</w:t>
      </w:r>
      <w:r w:rsidR="00007D7F">
        <w:rPr>
          <w:rFonts w:ascii="Arial" w:hAnsi="Arial" w:cs="Arial"/>
          <w:sz w:val="20"/>
        </w:rPr>
        <w:t xml:space="preserve"> </w:t>
      </w:r>
      <w:r w:rsidR="00007D7F" w:rsidRPr="007B4F28">
        <w:rPr>
          <w:rFonts w:ascii="Arial" w:hAnsi="Arial" w:cs="Arial"/>
          <w:b/>
          <w:bCs/>
          <w:sz w:val="20"/>
        </w:rPr>
        <w:t xml:space="preserve">Thus the evidence of AB's distress was admissible for the purposes identified in </w:t>
      </w:r>
      <w:r w:rsidR="00007D7F" w:rsidRPr="007B4F28">
        <w:rPr>
          <w:rFonts w:ascii="Arial" w:hAnsi="Arial" w:cs="Arial"/>
          <w:b/>
          <w:bCs/>
          <w:i/>
          <w:iCs/>
          <w:sz w:val="20"/>
        </w:rPr>
        <w:t>Churchill</w:t>
      </w:r>
      <w:r w:rsidR="00007D7F" w:rsidRPr="007B4F28">
        <w:rPr>
          <w:rFonts w:ascii="Arial" w:hAnsi="Arial" w:cs="Arial"/>
          <w:b/>
          <w:bCs/>
          <w:sz w:val="20"/>
        </w:rPr>
        <w:t>: namely, not only as evidence relevant to credit but also as (indirect) proof that the offending occurred</w:t>
      </w:r>
      <w:r w:rsidR="007B4F28" w:rsidRPr="007B4F28">
        <w:rPr>
          <w:rFonts w:ascii="Arial" w:hAnsi="Arial" w:cs="Arial"/>
          <w:b/>
          <w:bCs/>
          <w:sz w:val="20"/>
        </w:rPr>
        <w:t xml:space="preserve"> {</w:t>
      </w:r>
      <w:r w:rsidR="007B4F28" w:rsidRPr="007B4F28">
        <w:rPr>
          <w:rFonts w:ascii="Arial" w:hAnsi="Arial" w:cs="Arial"/>
          <w:b/>
          <w:bCs/>
          <w:i/>
          <w:iCs/>
          <w:sz w:val="20"/>
        </w:rPr>
        <w:t>Churchill</w:t>
      </w:r>
      <w:r w:rsidR="007B4F28" w:rsidRPr="007B4F28">
        <w:rPr>
          <w:rFonts w:ascii="Arial" w:hAnsi="Arial" w:cs="Arial"/>
          <w:b/>
          <w:bCs/>
          <w:sz w:val="20"/>
        </w:rPr>
        <w:t xml:space="preserve"> </w:t>
      </w:r>
      <w:r w:rsidR="00064D97">
        <w:rPr>
          <w:rFonts w:ascii="Arial" w:hAnsi="Arial" w:cs="Arial"/>
          <w:b/>
          <w:bCs/>
          <w:sz w:val="20"/>
        </w:rPr>
        <w:t>at</w:t>
      </w:r>
      <w:r w:rsidR="007B4F28" w:rsidRPr="007B4F28">
        <w:rPr>
          <w:rFonts w:ascii="Arial" w:hAnsi="Arial" w:cs="Arial"/>
          <w:b/>
          <w:bCs/>
          <w:sz w:val="20"/>
        </w:rPr>
        <w:t xml:space="preserve"> [3]}.</w:t>
      </w:r>
      <w:r w:rsidR="007B4F28">
        <w:rPr>
          <w:rFonts w:ascii="Arial" w:hAnsi="Arial" w:cs="Arial"/>
          <w:sz w:val="20"/>
        </w:rPr>
        <w:t xml:space="preserve"> </w:t>
      </w:r>
      <w:r w:rsidR="007B4F28" w:rsidRPr="008060F5">
        <w:rPr>
          <w:rFonts w:ascii="Arial" w:hAnsi="Arial" w:cs="Arial"/>
          <w:sz w:val="20"/>
        </w:rPr>
        <w:t xml:space="preserve">In this Court, the respondent submitted that the reasoning in </w:t>
      </w:r>
      <w:r w:rsidR="007B4F28" w:rsidRPr="008060F5">
        <w:rPr>
          <w:rFonts w:ascii="Arial" w:hAnsi="Arial" w:cs="Arial"/>
          <w:i/>
          <w:iCs/>
          <w:sz w:val="20"/>
        </w:rPr>
        <w:t xml:space="preserve">Churchill </w:t>
      </w:r>
      <w:r w:rsidR="007B4F28" w:rsidRPr="008060F5">
        <w:rPr>
          <w:rFonts w:ascii="Arial" w:hAnsi="Arial" w:cs="Arial"/>
          <w:sz w:val="20"/>
        </w:rPr>
        <w:t xml:space="preserve">was not engaged because the evidence of AB's distress given by her mother involved an observation of distress prior to the making of the complaint. This submission must be rejected. As the above description makes clear, AB's mother described AB's distress </w:t>
      </w:r>
      <w:r w:rsidR="007B4F28">
        <w:rPr>
          <w:rFonts w:ascii="Arial" w:hAnsi="Arial" w:cs="Arial"/>
          <w:sz w:val="20"/>
        </w:rPr>
        <w:t>‘</w:t>
      </w:r>
      <w:r w:rsidR="007B4F28" w:rsidRPr="008060F5">
        <w:rPr>
          <w:rFonts w:ascii="Arial" w:hAnsi="Arial" w:cs="Arial"/>
          <w:sz w:val="20"/>
        </w:rPr>
        <w:t>at the time</w:t>
      </w:r>
      <w:r w:rsidR="007B4F28">
        <w:rPr>
          <w:rFonts w:ascii="Arial" w:hAnsi="Arial" w:cs="Arial"/>
          <w:sz w:val="20"/>
        </w:rPr>
        <w:t>’</w:t>
      </w:r>
      <w:r w:rsidR="007B4F28" w:rsidRPr="008060F5">
        <w:rPr>
          <w:rFonts w:ascii="Arial" w:hAnsi="Arial" w:cs="Arial"/>
          <w:sz w:val="20"/>
        </w:rPr>
        <w:t xml:space="preserve"> AB complained about being raped</w:t>
      </w:r>
      <w:r w:rsidR="007B4F28">
        <w:rPr>
          <w:rFonts w:ascii="Arial" w:hAnsi="Arial" w:cs="Arial"/>
          <w:sz w:val="20"/>
        </w:rPr>
        <w:t xml:space="preserve"> {see above at </w:t>
      </w:r>
      <w:r w:rsidR="007B4F28" w:rsidRPr="00007D7F">
        <w:rPr>
          <w:rFonts w:ascii="Arial" w:hAnsi="Arial" w:cs="Arial"/>
          <w:sz w:val="20"/>
        </w:rPr>
        <w:t>[2], [3], [12]</w:t>
      </w:r>
      <w:r w:rsidR="007B4F28">
        <w:rPr>
          <w:rFonts w:ascii="Arial" w:hAnsi="Arial" w:cs="Arial"/>
          <w:sz w:val="20"/>
        </w:rPr>
        <w:t>}</w:t>
      </w:r>
      <w:r w:rsidR="007B4F28" w:rsidRPr="00007D7F">
        <w:rPr>
          <w:rFonts w:ascii="Arial" w:hAnsi="Arial" w:cs="Arial"/>
          <w:sz w:val="20"/>
        </w:rPr>
        <w:t>.</w:t>
      </w:r>
    </w:p>
    <w:p w14:paraId="1D24DBC0" w14:textId="626316BB" w:rsidR="007B4F28" w:rsidRDefault="007B4F28" w:rsidP="007B4F28">
      <w:pPr>
        <w:spacing w:before="60"/>
        <w:ind w:left="567" w:right="567"/>
        <w:jc w:val="both"/>
        <w:rPr>
          <w:rFonts w:ascii="Arial" w:hAnsi="Arial" w:cs="Arial"/>
          <w:sz w:val="20"/>
        </w:rPr>
      </w:pPr>
      <w:r>
        <w:rPr>
          <w:rFonts w:ascii="Arial" w:hAnsi="Arial" w:cs="Arial"/>
          <w:sz w:val="20"/>
        </w:rPr>
        <w:t xml:space="preserve">[25] </w:t>
      </w:r>
      <w:r w:rsidRPr="00007D7F">
        <w:rPr>
          <w:rFonts w:ascii="Arial" w:hAnsi="Arial" w:cs="Arial"/>
          <w:sz w:val="20"/>
        </w:rPr>
        <w:t xml:space="preserve">Second, the focus of the majority of the Court of Appeal </w:t>
      </w:r>
      <w:r>
        <w:rPr>
          <w:rFonts w:ascii="Arial" w:hAnsi="Arial" w:cs="Arial"/>
          <w:sz w:val="20"/>
        </w:rPr>
        <w:t xml:space="preserve">{at [51]} </w:t>
      </w:r>
      <w:r w:rsidRPr="00007D7F">
        <w:rPr>
          <w:rFonts w:ascii="Arial" w:hAnsi="Arial" w:cs="Arial"/>
          <w:sz w:val="20"/>
        </w:rPr>
        <w:t>upon whether the evidence of AB's distress at the time she was recounting the alleged offending to</w:t>
      </w:r>
      <w:r>
        <w:rPr>
          <w:rFonts w:ascii="Arial" w:hAnsi="Arial" w:cs="Arial"/>
          <w:sz w:val="20"/>
        </w:rPr>
        <w:t xml:space="preserve"> </w:t>
      </w:r>
      <w:r w:rsidR="00007D7F" w:rsidRPr="00007D7F">
        <w:rPr>
          <w:rFonts w:ascii="Arial" w:hAnsi="Arial" w:cs="Arial"/>
          <w:sz w:val="20"/>
        </w:rPr>
        <w:t xml:space="preserve">her mother provided </w:t>
      </w:r>
      <w:r>
        <w:rPr>
          <w:rFonts w:ascii="Arial" w:hAnsi="Arial" w:cs="Arial"/>
          <w:sz w:val="20"/>
        </w:rPr>
        <w:t>‘</w:t>
      </w:r>
      <w:r w:rsidR="00007D7F" w:rsidRPr="00007D7F">
        <w:rPr>
          <w:rFonts w:ascii="Arial" w:hAnsi="Arial" w:cs="Arial"/>
          <w:sz w:val="20"/>
        </w:rPr>
        <w:t>independent support</w:t>
      </w:r>
      <w:r>
        <w:rPr>
          <w:rFonts w:ascii="Arial" w:hAnsi="Arial" w:cs="Arial"/>
          <w:sz w:val="20"/>
        </w:rPr>
        <w:t>’</w:t>
      </w:r>
      <w:r w:rsidR="00007D7F" w:rsidRPr="00007D7F">
        <w:rPr>
          <w:rFonts w:ascii="Arial" w:hAnsi="Arial" w:cs="Arial"/>
          <w:sz w:val="20"/>
        </w:rPr>
        <w:t xml:space="preserve"> for AB's account was misplaced</w:t>
      </w:r>
      <w:r>
        <w:rPr>
          <w:rFonts w:ascii="Arial" w:hAnsi="Arial" w:cs="Arial"/>
          <w:sz w:val="20"/>
        </w:rPr>
        <w:t xml:space="preserve">. </w:t>
      </w:r>
      <w:r w:rsidR="00007D7F" w:rsidRPr="00007D7F">
        <w:rPr>
          <w:rFonts w:ascii="Arial" w:hAnsi="Arial" w:cs="Arial"/>
          <w:sz w:val="20"/>
        </w:rPr>
        <w:t>That approach reflects one of the historical evidentiary rules</w:t>
      </w:r>
      <w:r>
        <w:rPr>
          <w:rFonts w:ascii="Arial" w:hAnsi="Arial" w:cs="Arial"/>
          <w:sz w:val="20"/>
        </w:rPr>
        <w:t xml:space="preserve"> </w:t>
      </w:r>
      <w:r w:rsidR="00007D7F" w:rsidRPr="00007D7F">
        <w:rPr>
          <w:rFonts w:ascii="Arial" w:hAnsi="Arial" w:cs="Arial"/>
          <w:sz w:val="20"/>
        </w:rPr>
        <w:t xml:space="preserve">identified in </w:t>
      </w:r>
      <w:r w:rsidR="00007D7F" w:rsidRPr="007B4F28">
        <w:rPr>
          <w:rFonts w:ascii="Arial" w:hAnsi="Arial" w:cs="Arial"/>
          <w:i/>
          <w:iCs/>
          <w:sz w:val="20"/>
        </w:rPr>
        <w:t>Churchill</w:t>
      </w:r>
      <w:r w:rsidR="00007D7F" w:rsidRPr="00007D7F">
        <w:rPr>
          <w:rFonts w:ascii="Arial" w:hAnsi="Arial" w:cs="Arial"/>
          <w:sz w:val="20"/>
        </w:rPr>
        <w:t xml:space="preserve"> as having been abolished: namely, that to be evidence in corroboration of the testimony of the complainant in the context of a sexual offence the evidence must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of the testimony of the complainant</w:t>
      </w:r>
      <w:r w:rsidR="00064D97">
        <w:rPr>
          <w:rFonts w:ascii="Arial" w:hAnsi="Arial" w:cs="Arial"/>
          <w:sz w:val="20"/>
        </w:rPr>
        <w:t xml:space="preserve">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[43]</w:t>
      </w:r>
      <w:r w:rsidR="00064D97">
        <w:rPr>
          <w:rFonts w:ascii="Arial" w:hAnsi="Arial" w:cs="Arial"/>
          <w:sz w:val="20"/>
        </w:rPr>
        <w:t>}</w:t>
      </w:r>
      <w:r w:rsidR="00007D7F" w:rsidRPr="00007D7F">
        <w:rPr>
          <w:rFonts w:ascii="Arial" w:hAnsi="Arial" w:cs="Arial"/>
          <w:sz w:val="20"/>
        </w:rPr>
        <w:t xml:space="preserve">. Under that superseded evidentiary rule, evidence of distress could only be considered to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and thus corroborative if there was a causal connection rationally open to be drawn by the jury between the alleged offence and the complainant's distress and that connection could not be established if the evidence was </w:t>
      </w:r>
      <w:r w:rsidR="00064D97">
        <w:rPr>
          <w:rFonts w:ascii="Arial" w:hAnsi="Arial" w:cs="Arial"/>
          <w:sz w:val="20"/>
        </w:rPr>
        <w:t>‘</w:t>
      </w:r>
      <w:r w:rsidR="00007D7F" w:rsidRPr="00007D7F">
        <w:rPr>
          <w:rFonts w:ascii="Arial" w:hAnsi="Arial" w:cs="Arial"/>
          <w:sz w:val="20"/>
        </w:rPr>
        <w:t>of an equivocal nature</w:t>
      </w:r>
      <w:r w:rsidR="00064D97">
        <w:rPr>
          <w:rFonts w:ascii="Arial" w:hAnsi="Arial" w:cs="Arial"/>
          <w:sz w:val="20"/>
        </w:rPr>
        <w:t>’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w:t>
      </w:r>
      <w:r w:rsidR="00064D97">
        <w:rPr>
          <w:rFonts w:ascii="Arial" w:hAnsi="Arial" w:cs="Arial"/>
          <w:sz w:val="20"/>
        </w:rPr>
        <w:t>4</w:t>
      </w:r>
      <w:r w:rsidR="00064D97" w:rsidRPr="00007D7F">
        <w:rPr>
          <w:rFonts w:ascii="Arial" w:hAnsi="Arial" w:cs="Arial"/>
          <w:sz w:val="20"/>
        </w:rPr>
        <w:t xml:space="preserve">], quoting </w:t>
      </w:r>
      <w:r w:rsidR="00064D97" w:rsidRPr="00064D97">
        <w:rPr>
          <w:rFonts w:ascii="Arial" w:hAnsi="Arial" w:cs="Arial"/>
          <w:i/>
          <w:iCs/>
          <w:sz w:val="20"/>
        </w:rPr>
        <w:t>R v Flannery</w:t>
      </w:r>
      <w:r w:rsidR="00064D97" w:rsidRPr="00007D7F">
        <w:rPr>
          <w:rFonts w:ascii="Arial" w:hAnsi="Arial" w:cs="Arial"/>
          <w:sz w:val="20"/>
        </w:rPr>
        <w:t xml:space="preserve"> [1969] VR 586 at 592</w:t>
      </w:r>
      <w:r w:rsidR="00064D97">
        <w:rPr>
          <w:rFonts w:ascii="Arial" w:hAnsi="Arial" w:cs="Arial"/>
          <w:sz w:val="20"/>
        </w:rPr>
        <w:t>}</w:t>
      </w:r>
      <w:r w:rsidR="00064D97" w:rsidRPr="00007D7F">
        <w:rPr>
          <w:rFonts w:ascii="Arial" w:hAnsi="Arial" w:cs="Arial"/>
          <w:sz w:val="20"/>
        </w:rPr>
        <w:t>.</w:t>
      </w:r>
    </w:p>
    <w:p w14:paraId="2352EE5A" w14:textId="775004FA"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26</w:t>
      </w:r>
      <w:r>
        <w:rPr>
          <w:rFonts w:ascii="Arial" w:hAnsi="Arial" w:cs="Arial"/>
          <w:sz w:val="20"/>
        </w:rPr>
        <w:t>]</w:t>
      </w:r>
      <w:r w:rsidR="00007D7F" w:rsidRPr="00007D7F">
        <w:rPr>
          <w:rFonts w:ascii="Arial" w:hAnsi="Arial" w:cs="Arial"/>
          <w:sz w:val="20"/>
        </w:rPr>
        <w:t xml:space="preserve"> Third, the majority's description of the distress evidence as </w:t>
      </w:r>
      <w:r>
        <w:rPr>
          <w:rFonts w:ascii="Arial" w:hAnsi="Arial" w:cs="Arial"/>
          <w:sz w:val="20"/>
        </w:rPr>
        <w:t>‘</w:t>
      </w:r>
      <w:r w:rsidR="00007D7F" w:rsidRPr="00007D7F">
        <w:rPr>
          <w:rFonts w:ascii="Arial" w:hAnsi="Arial" w:cs="Arial"/>
          <w:sz w:val="20"/>
        </w:rPr>
        <w:t>intractably neutral</w:t>
      </w:r>
      <w:r>
        <w:rPr>
          <w:rFonts w:ascii="Arial" w:hAnsi="Arial" w:cs="Arial"/>
          <w:sz w:val="20"/>
        </w:rPr>
        <w:t>’</w:t>
      </w:r>
      <w:r w:rsidR="00007D7F" w:rsidRPr="00007D7F">
        <w:rPr>
          <w:rFonts w:ascii="Arial" w:hAnsi="Arial" w:cs="Arial"/>
          <w:sz w:val="20"/>
        </w:rPr>
        <w:t xml:space="preserve"> does not reflect a proper application of s 55 of the </w:t>
      </w:r>
      <w:r w:rsidR="00007D7F" w:rsidRPr="007B4F28">
        <w:rPr>
          <w:rFonts w:ascii="Arial" w:hAnsi="Arial" w:cs="Arial"/>
          <w:i/>
          <w:iCs/>
          <w:sz w:val="20"/>
        </w:rPr>
        <w:t>Evidence Act</w:t>
      </w:r>
      <w:r w:rsidR="00007D7F" w:rsidRPr="00007D7F">
        <w:rPr>
          <w:rFonts w:ascii="Arial" w:hAnsi="Arial" w:cs="Arial"/>
          <w:sz w:val="20"/>
        </w:rPr>
        <w:t xml:space="preserve">. Instead, it reflects the application of the superseded historical evidentiary rule just noted. Section 55(1) merely provides that evidence is relevant where the evidence, if accepted, </w:t>
      </w:r>
      <w:r>
        <w:rPr>
          <w:rFonts w:ascii="Arial" w:hAnsi="Arial" w:cs="Arial"/>
          <w:sz w:val="20"/>
        </w:rPr>
        <w:t>‘</w:t>
      </w:r>
      <w:r w:rsidR="00007D7F" w:rsidRPr="00007D7F">
        <w:rPr>
          <w:rFonts w:ascii="Arial" w:hAnsi="Arial" w:cs="Arial"/>
          <w:sz w:val="20"/>
        </w:rPr>
        <w:t>could rationally affect (directly or indirectly) the assessment of the probability of the existence of a fact in issue in the proceeding</w:t>
      </w:r>
      <w:r>
        <w:rPr>
          <w:rFonts w:ascii="Arial" w:hAnsi="Arial" w:cs="Arial"/>
          <w:sz w:val="20"/>
        </w:rPr>
        <w:t>’</w:t>
      </w:r>
      <w:r w:rsidR="00007D7F" w:rsidRPr="00007D7F">
        <w:rPr>
          <w:rFonts w:ascii="Arial" w:hAnsi="Arial" w:cs="Arial"/>
          <w:sz w:val="20"/>
        </w:rPr>
        <w:t>. The circumstance that there could be another explanation for the distress evidence does not mean that the test of relevance in s 55 is not satisfied. Instead, consideration must be given to whether there is a process of reasoning by which the evidence could rationally affect the assessment of the probabilities</w:t>
      </w:r>
      <w:r w:rsidR="00064D97">
        <w:rPr>
          <w:rFonts w:ascii="Arial" w:hAnsi="Arial" w:cs="Arial"/>
          <w:sz w:val="20"/>
        </w:rPr>
        <w:t xml:space="preserve"> {</w:t>
      </w:r>
      <w:r w:rsidR="00064D97" w:rsidRPr="00064D97">
        <w:rPr>
          <w:rFonts w:ascii="Arial" w:hAnsi="Arial" w:cs="Arial"/>
          <w:i/>
          <w:iCs/>
          <w:sz w:val="20"/>
        </w:rPr>
        <w:t>Washer v Western Australia</w:t>
      </w:r>
      <w:r w:rsidR="00064D97" w:rsidRPr="00007D7F">
        <w:rPr>
          <w:rFonts w:ascii="Arial" w:hAnsi="Arial" w:cs="Arial"/>
          <w:sz w:val="20"/>
        </w:rPr>
        <w:t xml:space="preserve"> (2007) 234 CLR 492 at 497-498 [5]</w:t>
      </w:r>
      <w:r w:rsidR="00064D97">
        <w:rPr>
          <w:rFonts w:ascii="Arial" w:hAnsi="Arial" w:cs="Arial"/>
          <w:sz w:val="20"/>
        </w:rPr>
        <w:t>}.</w:t>
      </w:r>
      <w:r w:rsidR="00007D7F" w:rsidRPr="00007D7F">
        <w:rPr>
          <w:rFonts w:ascii="Arial" w:hAnsi="Arial" w:cs="Arial"/>
          <w:sz w:val="20"/>
        </w:rPr>
        <w:t xml:space="preserve"> In circumstances where the complaint of </w:t>
      </w:r>
      <w:r w:rsidR="00007D7F" w:rsidRPr="00007D7F">
        <w:rPr>
          <w:rFonts w:ascii="Arial" w:hAnsi="Arial" w:cs="Arial"/>
          <w:sz w:val="20"/>
        </w:rPr>
        <w:lastRenderedPageBreak/>
        <w:t>rape was accompanied by evidence of distress and the probative effect of the distress evidence was to be considered having regard to the content of the complaint</w:t>
      </w:r>
      <w:r w:rsidR="00064D97">
        <w:rPr>
          <w:rFonts w:ascii="Arial" w:hAnsi="Arial" w:cs="Arial"/>
          <w:sz w:val="20"/>
        </w:rPr>
        <w:t xml:space="preserve"> {</w:t>
      </w:r>
      <w:r w:rsidR="00064D97" w:rsidRPr="00064D97">
        <w:rPr>
          <w:rFonts w:ascii="Arial" w:hAnsi="Arial" w:cs="Arial"/>
          <w:i/>
          <w:iCs/>
          <w:sz w:val="20"/>
        </w:rPr>
        <w:t>HML v The Queen</w:t>
      </w:r>
      <w:r w:rsidR="00064D97" w:rsidRPr="00007D7F">
        <w:rPr>
          <w:rFonts w:ascii="Arial" w:hAnsi="Arial" w:cs="Arial"/>
          <w:sz w:val="20"/>
        </w:rPr>
        <w:t xml:space="preserve"> (2008) 235 CLR 334 at 352 [6]</w:t>
      </w:r>
      <w:r w:rsidR="00064D97">
        <w:rPr>
          <w:rFonts w:ascii="Arial" w:hAnsi="Arial" w:cs="Arial"/>
          <w:sz w:val="20"/>
        </w:rPr>
        <w:t>}</w:t>
      </w:r>
      <w:r w:rsidR="00007D7F" w:rsidRPr="00007D7F">
        <w:rPr>
          <w:rFonts w:ascii="Arial" w:hAnsi="Arial" w:cs="Arial"/>
          <w:sz w:val="20"/>
        </w:rPr>
        <w:t>, the test of relevance in s 55 was satisfied.</w:t>
      </w:r>
    </w:p>
    <w:p w14:paraId="69D000CB" w14:textId="1945B9E2"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27</w:t>
      </w:r>
      <w:r>
        <w:rPr>
          <w:rFonts w:ascii="Arial" w:hAnsi="Arial" w:cs="Arial"/>
          <w:sz w:val="20"/>
        </w:rPr>
        <w:t>]</w:t>
      </w:r>
      <w:r w:rsidR="00007D7F" w:rsidRPr="00007D7F">
        <w:rPr>
          <w:rFonts w:ascii="Arial" w:hAnsi="Arial" w:cs="Arial"/>
          <w:sz w:val="20"/>
        </w:rPr>
        <w:t xml:space="preserve"> Fourth, as Niall JA found</w:t>
      </w:r>
      <w:r w:rsidR="00064D97">
        <w:rPr>
          <w:rFonts w:ascii="Arial" w:hAnsi="Arial" w:cs="Arial"/>
          <w:sz w:val="20"/>
        </w:rPr>
        <w:t xml:space="preserve"> at [</w:t>
      </w:r>
      <w:r w:rsidR="008A225F">
        <w:rPr>
          <w:rFonts w:ascii="Arial" w:hAnsi="Arial" w:cs="Arial"/>
          <w:sz w:val="20"/>
        </w:rPr>
        <w:t>281</w:t>
      </w:r>
      <w:r w:rsidR="00064D97">
        <w:rPr>
          <w:rFonts w:ascii="Arial" w:hAnsi="Arial" w:cs="Arial"/>
          <w:sz w:val="20"/>
        </w:rPr>
        <w:t>]</w:t>
      </w:r>
      <w:r w:rsidR="00007D7F" w:rsidRPr="00007D7F">
        <w:rPr>
          <w:rFonts w:ascii="Arial" w:hAnsi="Arial" w:cs="Arial"/>
          <w:sz w:val="20"/>
        </w:rPr>
        <w:t xml:space="preserve">, the trial judge's directions did not invite </w:t>
      </w:r>
      <w:r>
        <w:rPr>
          <w:rFonts w:ascii="Arial" w:hAnsi="Arial" w:cs="Arial"/>
          <w:sz w:val="20"/>
        </w:rPr>
        <w:t>‘</w:t>
      </w:r>
      <w:r w:rsidR="00007D7F" w:rsidRPr="00007D7F">
        <w:rPr>
          <w:rFonts w:ascii="Arial" w:hAnsi="Arial" w:cs="Arial"/>
          <w:sz w:val="20"/>
        </w:rPr>
        <w:t>the jury to treat the distress evidence as independent corroboration</w:t>
      </w:r>
      <w:r>
        <w:rPr>
          <w:rFonts w:ascii="Arial" w:hAnsi="Arial" w:cs="Arial"/>
          <w:sz w:val="20"/>
        </w:rPr>
        <w:t>’</w:t>
      </w:r>
      <w:r w:rsidR="00007D7F" w:rsidRPr="00007D7F">
        <w:rPr>
          <w:rFonts w:ascii="Arial" w:hAnsi="Arial" w:cs="Arial"/>
          <w:sz w:val="20"/>
        </w:rPr>
        <w:t xml:space="preserve"> of AB's account</w:t>
      </w:r>
      <w:r w:rsidR="008A225F">
        <w:rPr>
          <w:rFonts w:ascii="Arial" w:hAnsi="Arial" w:cs="Arial"/>
          <w:sz w:val="20"/>
        </w:rPr>
        <w:t>.</w:t>
      </w:r>
      <w:r w:rsidR="00007D7F" w:rsidRPr="00007D7F">
        <w:rPr>
          <w:rFonts w:ascii="Arial" w:hAnsi="Arial" w:cs="Arial"/>
          <w:sz w:val="20"/>
        </w:rPr>
        <w:t xml:space="preserve"> Once any requirement for corroboration is put aside, it is potentially misleading to treat indirect or circumstantial evidence as synonymous with "independent" evidence. Two pieces of evidence can be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the sense that each emanates from a different and unrelated source, such as two separate eyewitnesses to an offence. Evidence such as that given by AB's mother can also be characterised as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if it is adduced from a separate source to the testimony of the witness who was distressed, even though, as Niall</w:t>
      </w:r>
      <w:r w:rsidR="008A225F">
        <w:rPr>
          <w:rFonts w:ascii="Arial" w:hAnsi="Arial" w:cs="Arial"/>
          <w:sz w:val="20"/>
        </w:rPr>
        <w:t> </w:t>
      </w:r>
      <w:r w:rsidR="00007D7F" w:rsidRPr="00007D7F">
        <w:rPr>
          <w:rFonts w:ascii="Arial" w:hAnsi="Arial" w:cs="Arial"/>
          <w:sz w:val="20"/>
        </w:rPr>
        <w:t>JA observed</w:t>
      </w:r>
      <w:r w:rsidR="008A225F">
        <w:rPr>
          <w:rFonts w:ascii="Arial" w:hAnsi="Arial" w:cs="Arial"/>
          <w:sz w:val="20"/>
        </w:rPr>
        <w:t xml:space="preserve"> at [264]</w:t>
      </w:r>
      <w:r w:rsidR="00007D7F" w:rsidRPr="00007D7F">
        <w:rPr>
          <w:rFonts w:ascii="Arial" w:hAnsi="Arial" w:cs="Arial"/>
          <w:sz w:val="20"/>
        </w:rPr>
        <w:t xml:space="preserve">, </w:t>
      </w:r>
      <w:r w:rsidR="008A225F">
        <w:rPr>
          <w:rFonts w:ascii="Arial" w:hAnsi="Arial" w:cs="Arial"/>
          <w:sz w:val="20"/>
        </w:rPr>
        <w:t>‘</w:t>
      </w:r>
      <w:r w:rsidR="00007D7F" w:rsidRPr="00007D7F">
        <w:rPr>
          <w:rFonts w:ascii="Arial" w:hAnsi="Arial" w:cs="Arial"/>
          <w:sz w:val="20"/>
        </w:rPr>
        <w:t>[d]</w:t>
      </w:r>
      <w:proofErr w:type="spellStart"/>
      <w:r w:rsidR="00007D7F" w:rsidRPr="00007D7F">
        <w:rPr>
          <w:rFonts w:ascii="Arial" w:hAnsi="Arial" w:cs="Arial"/>
          <w:sz w:val="20"/>
        </w:rPr>
        <w:t>istress</w:t>
      </w:r>
      <w:proofErr w:type="spellEnd"/>
      <w:r w:rsidR="00007D7F" w:rsidRPr="00007D7F">
        <w:rPr>
          <w:rFonts w:ascii="Arial" w:hAnsi="Arial" w:cs="Arial"/>
          <w:sz w:val="20"/>
        </w:rPr>
        <w:t xml:space="preserve"> evidence always [ultimately] emanates from the complainant</w:t>
      </w:r>
      <w:r w:rsidR="008A225F">
        <w:rPr>
          <w:rFonts w:ascii="Arial" w:hAnsi="Arial" w:cs="Arial"/>
          <w:sz w:val="20"/>
        </w:rPr>
        <w:t>’.</w:t>
      </w:r>
      <w:r w:rsidR="00007D7F" w:rsidRPr="00007D7F">
        <w:rPr>
          <w:rFonts w:ascii="Arial" w:hAnsi="Arial" w:cs="Arial"/>
          <w:sz w:val="20"/>
        </w:rPr>
        <w:t xml:space="preserve"> In light of </w:t>
      </w:r>
      <w:r w:rsidR="00007D7F" w:rsidRPr="008A225F">
        <w:rPr>
          <w:rFonts w:ascii="Arial" w:hAnsi="Arial" w:cs="Arial"/>
          <w:i/>
          <w:iCs/>
          <w:sz w:val="20"/>
        </w:rPr>
        <w:t>Churchill</w:t>
      </w:r>
      <w:r w:rsidR="00007D7F" w:rsidRPr="00007D7F">
        <w:rPr>
          <w:rFonts w:ascii="Arial" w:hAnsi="Arial" w:cs="Arial"/>
          <w:sz w:val="20"/>
        </w:rPr>
        <w:t xml:space="preserve"> it suffices to note that whether or not distress evidence is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either sense is generally irrelevant to an assessment of the evidence's admissibility and use.</w:t>
      </w:r>
    </w:p>
    <w:p w14:paraId="0B1C9F2A" w14:textId="1C9B4EBA" w:rsidR="008060F5" w:rsidRPr="008060F5"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28</w:t>
      </w:r>
      <w:r>
        <w:rPr>
          <w:rFonts w:ascii="Arial" w:hAnsi="Arial" w:cs="Arial"/>
          <w:sz w:val="20"/>
        </w:rPr>
        <w:t>]</w:t>
      </w:r>
      <w:r w:rsidR="00007D7F" w:rsidRPr="00007D7F">
        <w:rPr>
          <w:rFonts w:ascii="Arial" w:hAnsi="Arial" w:cs="Arial"/>
          <w:sz w:val="20"/>
        </w:rPr>
        <w:t xml:space="preserve"> In the end result, the trial judge's directions to the jury were consistent with </w:t>
      </w:r>
      <w:r w:rsidR="00007D7F" w:rsidRPr="007B4F28">
        <w:rPr>
          <w:rFonts w:ascii="Arial" w:hAnsi="Arial" w:cs="Arial"/>
          <w:i/>
          <w:iCs/>
          <w:sz w:val="20"/>
        </w:rPr>
        <w:t>Churchill</w:t>
      </w:r>
      <w:r w:rsidR="00007D7F" w:rsidRPr="00007D7F">
        <w:rPr>
          <w:rFonts w:ascii="Arial" w:hAnsi="Arial" w:cs="Arial"/>
          <w:sz w:val="20"/>
        </w:rPr>
        <w:t>. Those directions did not occasion a substantial miscarriage of justice. It follows that the sole ground of appeal must be upheld.</w:t>
      </w:r>
      <w:r>
        <w:rPr>
          <w:rFonts w:ascii="Arial" w:hAnsi="Arial" w:cs="Arial"/>
          <w:sz w:val="20"/>
        </w:rPr>
        <w:t>”</w:t>
      </w:r>
    </w:p>
    <w:p w14:paraId="79958553" w14:textId="77777777" w:rsidR="00787056" w:rsidRDefault="00787056" w:rsidP="00466896">
      <w:pPr>
        <w:jc w:val="both"/>
        <w:rPr>
          <w:rFonts w:ascii="Arial" w:hAnsi="Arial" w:cs="Arial"/>
          <w:sz w:val="20"/>
        </w:rPr>
      </w:pPr>
    </w:p>
    <w:p w14:paraId="0A572667" w14:textId="41BCC09B" w:rsidR="001F20F0" w:rsidRPr="00326ED0" w:rsidRDefault="001F20F0" w:rsidP="00466896">
      <w:pPr>
        <w:jc w:val="both"/>
        <w:rPr>
          <w:rFonts w:ascii="Arial" w:hAnsi="Arial" w:cs="Arial"/>
          <w:sz w:val="20"/>
          <w:szCs w:val="20"/>
        </w:rPr>
      </w:pPr>
      <w:r>
        <w:rPr>
          <w:rFonts w:ascii="Arial" w:hAnsi="Arial" w:cs="Arial"/>
          <w:sz w:val="20"/>
        </w:rPr>
        <w:t xml:space="preserve">See also </w:t>
      </w:r>
      <w:bookmarkStart w:id="616" w:name="_Hlk211241266"/>
      <w:r w:rsidRPr="001F20F0">
        <w:rPr>
          <w:rFonts w:ascii="Arial" w:hAnsi="Arial" w:cs="Arial"/>
          <w:i/>
          <w:iCs/>
          <w:sz w:val="20"/>
        </w:rPr>
        <w:t>Foster (a pseudonym) v The King</w:t>
      </w:r>
      <w:r>
        <w:rPr>
          <w:rFonts w:ascii="Arial" w:hAnsi="Arial" w:cs="Arial"/>
          <w:sz w:val="20"/>
        </w:rPr>
        <w:t xml:space="preserve"> [2025] VSCA 242 at [49]-[76]</w:t>
      </w:r>
      <w:bookmarkEnd w:id="616"/>
      <w:r w:rsidR="00326ED0">
        <w:rPr>
          <w:rFonts w:ascii="Arial" w:hAnsi="Arial" w:cs="Arial"/>
          <w:sz w:val="20"/>
        </w:rPr>
        <w:t xml:space="preserve">; </w:t>
      </w:r>
      <w:r w:rsidR="00326ED0" w:rsidRPr="00F26C35">
        <w:rPr>
          <w:rFonts w:ascii="Arial" w:hAnsi="Arial" w:cs="Arial"/>
          <w:i/>
          <w:iCs/>
          <w:color w:val="000000"/>
          <w:sz w:val="20"/>
          <w:szCs w:val="20"/>
        </w:rPr>
        <w:t>Poyser v The King</w:t>
      </w:r>
      <w:r w:rsidR="00326ED0">
        <w:rPr>
          <w:rFonts w:ascii="Arial" w:hAnsi="Arial" w:cs="Arial"/>
          <w:color w:val="000000"/>
          <w:sz w:val="20"/>
          <w:szCs w:val="20"/>
        </w:rPr>
        <w:t xml:space="preserve"> [2025] </w:t>
      </w:r>
      <w:r w:rsidR="00326ED0" w:rsidRPr="00326ED0">
        <w:rPr>
          <w:rFonts w:ascii="Arial" w:hAnsi="Arial" w:cs="Arial"/>
          <w:color w:val="000000"/>
          <w:sz w:val="20"/>
          <w:szCs w:val="20"/>
        </w:rPr>
        <w:t xml:space="preserve">VSCA 308 at [24] &amp; [32] detailed in </w:t>
      </w:r>
      <w:r w:rsidR="00326ED0" w:rsidRPr="00326ED0">
        <w:rPr>
          <w:rFonts w:ascii="Arial" w:hAnsi="Arial" w:cs="Arial"/>
          <w:b/>
          <w:bCs/>
          <w:color w:val="000000"/>
          <w:sz w:val="20"/>
          <w:szCs w:val="20"/>
          <w:shd w:val="clear" w:color="auto" w:fill="C5E0B3" w:themeFill="accent6" w:themeFillTint="66"/>
        </w:rPr>
        <w:t xml:space="preserve">section </w:t>
      </w:r>
      <w:r w:rsidR="00326ED0" w:rsidRPr="00326ED0">
        <w:rPr>
          <w:rFonts w:ascii="Arial" w:hAnsi="Arial" w:cs="Arial"/>
          <w:b/>
          <w:bCs/>
          <w:sz w:val="20"/>
          <w:szCs w:val="20"/>
          <w:shd w:val="clear" w:color="auto" w:fill="C5E0B3" w:themeFill="accent6" w:themeFillTint="66"/>
        </w:rPr>
        <w:t>10.3.3.5</w:t>
      </w:r>
      <w:r w:rsidR="00326ED0" w:rsidRPr="00326ED0">
        <w:rPr>
          <w:rFonts w:ascii="Arial" w:hAnsi="Arial" w:cs="Arial"/>
          <w:b/>
          <w:color w:val="FFFFFF" w:themeColor="background1"/>
          <w:sz w:val="20"/>
          <w:szCs w:val="20"/>
          <w:shd w:val="clear" w:color="auto" w:fill="000000"/>
        </w:rPr>
        <w:t>C</w:t>
      </w:r>
      <w:r w:rsidR="00326ED0" w:rsidRPr="00326ED0">
        <w:rPr>
          <w:rFonts w:ascii="Arial" w:hAnsi="Arial" w:cs="Arial"/>
          <w:bCs/>
          <w:color w:val="000000" w:themeColor="text1"/>
          <w:sz w:val="20"/>
          <w:szCs w:val="20"/>
        </w:rPr>
        <w:t>.</w:t>
      </w:r>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17" w:name="_3.5.3.12__Tendering"/>
      <w:bookmarkStart w:id="618" w:name="_Hlk189124062"/>
      <w:bookmarkEnd w:id="617"/>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 xml:space="preserve">In my view, as a matter of elementary procedural fairness, parties to litigation must make it clear when they intend to tender a document. In this regard, best practice is to state one’s intention to tender the document in question by using the word ‘tender’. However, I </w:t>
      </w:r>
      <w:r w:rsidRPr="00786256">
        <w:rPr>
          <w:rFonts w:ascii="Arial" w:hAnsi="Arial" w:cs="Arial"/>
          <w:sz w:val="20"/>
        </w:rPr>
        <w:lastRenderedPageBreak/>
        <w:t>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taken into account,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 xml:space="preserve">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w:t>
      </w:r>
      <w:r w:rsidRPr="00786256">
        <w:rPr>
          <w:rFonts w:ascii="Arial" w:hAnsi="Arial" w:cs="Arial"/>
          <w:sz w:val="20"/>
        </w:rPr>
        <w:lastRenderedPageBreak/>
        <w:t>not required to determine any claim of denial of procedural fairness. It is unnecessary for me to say anything further on that issue.</w:t>
      </w:r>
      <w:r>
        <w:rPr>
          <w:rFonts w:ascii="Arial" w:hAnsi="Arial" w:cs="Arial"/>
          <w:sz w:val="20"/>
        </w:rPr>
        <w:t>”</w:t>
      </w:r>
    </w:p>
    <w:p w14:paraId="7F5B55DE" w14:textId="77777777" w:rsidR="00F46FEB" w:rsidRPr="00836E86" w:rsidRDefault="00F46FEB" w:rsidP="00641166">
      <w:pPr>
        <w:jc w:val="both"/>
        <w:rPr>
          <w:rFonts w:ascii="Arial" w:hAnsi="Arial" w:cs="Arial"/>
          <w:sz w:val="20"/>
        </w:rPr>
      </w:pPr>
      <w:bookmarkStart w:id="619" w:name="_3.5.3.13_Application_of"/>
      <w:bookmarkEnd w:id="619"/>
    </w:p>
    <w:p w14:paraId="78F45C11" w14:textId="697A87C9" w:rsidR="00B21DA4" w:rsidRDefault="00B21DA4" w:rsidP="001C1A58">
      <w:pPr>
        <w:pStyle w:val="Heading3"/>
        <w:keepNext/>
        <w:keepLines/>
        <w:spacing w:after="120" w:line="240" w:lineRule="auto"/>
        <w:rPr>
          <w:rFonts w:ascii="Arial" w:hAnsi="Arial" w:cs="Arial"/>
          <w:b/>
          <w:bCs/>
          <w:sz w:val="20"/>
        </w:rPr>
      </w:pPr>
      <w:bookmarkStart w:id="620" w:name="_3.5.4_Contested_Criminal"/>
      <w:bookmarkStart w:id="621" w:name="_Toc30649715"/>
      <w:bookmarkStart w:id="622" w:name="_Toc30651652"/>
      <w:bookmarkStart w:id="623" w:name="_Toc30652636"/>
      <w:bookmarkStart w:id="624" w:name="_Toc30652734"/>
      <w:bookmarkStart w:id="625" w:name="_Toc30654079"/>
      <w:bookmarkStart w:id="626" w:name="_Toc30654430"/>
      <w:bookmarkStart w:id="627" w:name="_Toc30655049"/>
      <w:bookmarkStart w:id="628" w:name="_Toc30655306"/>
      <w:bookmarkStart w:id="629" w:name="_Toc30656984"/>
      <w:bookmarkStart w:id="630" w:name="_Toc30661733"/>
      <w:bookmarkStart w:id="631" w:name="_Toc30666421"/>
      <w:bookmarkStart w:id="632" w:name="_Toc30666651"/>
      <w:bookmarkStart w:id="633" w:name="_Toc30667826"/>
      <w:bookmarkStart w:id="634" w:name="_Toc30669204"/>
      <w:bookmarkStart w:id="635" w:name="_Toc30671420"/>
      <w:bookmarkStart w:id="636" w:name="_Toc30673947"/>
      <w:bookmarkStart w:id="637" w:name="_Toc30691169"/>
      <w:bookmarkStart w:id="638" w:name="_Toc30691540"/>
      <w:bookmarkStart w:id="639" w:name="_Toc30691920"/>
      <w:bookmarkStart w:id="640" w:name="_Toc30692679"/>
      <w:bookmarkStart w:id="641" w:name="_Toc30693058"/>
      <w:bookmarkStart w:id="642" w:name="_Toc30693436"/>
      <w:bookmarkStart w:id="643" w:name="_Toc30693815"/>
      <w:bookmarkStart w:id="644" w:name="_Toc30694196"/>
      <w:bookmarkStart w:id="645" w:name="_Toc30698785"/>
      <w:bookmarkStart w:id="646" w:name="_Toc30699163"/>
      <w:bookmarkStart w:id="647" w:name="_Toc30699548"/>
      <w:bookmarkStart w:id="648" w:name="_Toc30700703"/>
      <w:bookmarkStart w:id="649" w:name="_Toc30701090"/>
      <w:bookmarkStart w:id="650" w:name="_Toc30743699"/>
      <w:bookmarkStart w:id="651" w:name="_Toc30754521"/>
      <w:bookmarkStart w:id="652" w:name="_Toc30756961"/>
      <w:bookmarkStart w:id="653" w:name="_Toc30757510"/>
      <w:bookmarkStart w:id="654" w:name="_Toc30757910"/>
      <w:bookmarkStart w:id="655" w:name="_Toc30762671"/>
      <w:bookmarkStart w:id="656" w:name="_Toc30767325"/>
      <w:bookmarkStart w:id="657" w:name="_Toc34823341"/>
      <w:bookmarkEnd w:id="603"/>
      <w:bookmarkEnd w:id="618"/>
      <w:bookmarkEnd w:id="620"/>
      <w:r>
        <w:rPr>
          <w:rFonts w:ascii="Arial" w:hAnsi="Arial" w:cs="Arial"/>
          <w:b/>
          <w:bCs/>
          <w:sz w:val="20"/>
        </w:rPr>
        <w:t>3.5.4</w:t>
      </w:r>
      <w:r>
        <w:rPr>
          <w:rFonts w:ascii="Arial" w:hAnsi="Arial" w:cs="Arial"/>
          <w:b/>
          <w:bCs/>
          <w:sz w:val="20"/>
        </w:rPr>
        <w:tab/>
        <w:t>Contested Criminal Division case</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58" w:name="_3.5.4.1_The_usual"/>
      <w:bookmarkEnd w:id="658"/>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[59]</w:t>
      </w:r>
      <w:r w:rsidR="00A13B31">
        <w:rPr>
          <w:rFonts w:ascii="Arial" w:hAnsi="Arial" w:cs="Arial"/>
          <w:sz w:val="20"/>
          <w:szCs w:val="20"/>
        </w:rPr>
        <w:noBreakHyphen/>
      </w:r>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others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 xml:space="preserve">It is important in the interests of justice that cross-examination be conducted within reasonable limits.  For example, previous convictions are ordinarily only likely to bear upon </w:t>
      </w:r>
      <w:r w:rsidRPr="003E1273">
        <w:rPr>
          <w:rFonts w:ascii="Arial" w:hAnsi="Arial" w:cs="Arial"/>
          <w:sz w:val="20"/>
          <w:szCs w:val="18"/>
        </w:rPr>
        <w:lastRenderedPageBreak/>
        <w:t>credibility where they are capable of showing a propensity to be untruthful</w:t>
      </w:r>
      <w:r w:rsidR="00C37348">
        <w:rPr>
          <w:rFonts w:ascii="Arial" w:hAnsi="Arial" w:cs="Arial"/>
          <w:sz w:val="20"/>
          <w:szCs w:val="18"/>
        </w:rPr>
        <w:t>: R v Hanson [2005] 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59" w:name="_Toc30651653"/>
      <w:bookmarkStart w:id="660" w:name="_Toc30652637"/>
      <w:bookmarkStart w:id="661" w:name="_Toc30652735"/>
      <w:bookmarkStart w:id="662" w:name="_Toc30654080"/>
      <w:bookmarkStart w:id="663" w:name="_Toc30654431"/>
      <w:bookmarkStart w:id="664" w:name="_Toc30655050"/>
      <w:bookmarkStart w:id="665" w:name="_Toc30655307"/>
      <w:bookmarkStart w:id="666" w:name="_Toc30656985"/>
      <w:bookmarkStart w:id="667" w:name="_Toc30661734"/>
      <w:bookmarkStart w:id="668" w:name="_Toc30666422"/>
      <w:bookmarkStart w:id="669" w:name="_Toc30666652"/>
      <w:bookmarkStart w:id="670" w:name="_Toc30667827"/>
      <w:bookmarkStart w:id="671" w:name="_Toc30669205"/>
      <w:bookmarkStart w:id="672" w:name="_Toc30671421"/>
      <w:bookmarkStart w:id="673" w:name="_Toc30673948"/>
      <w:bookmarkStart w:id="674" w:name="_Toc30691170"/>
      <w:bookmarkStart w:id="675" w:name="_Toc30691541"/>
      <w:bookmarkStart w:id="676" w:name="_Toc30691921"/>
      <w:bookmarkStart w:id="677" w:name="_Toc30692680"/>
      <w:bookmarkStart w:id="678" w:name="_Toc30693059"/>
      <w:bookmarkStart w:id="679" w:name="_Toc30693437"/>
      <w:bookmarkStart w:id="680" w:name="_Toc30693816"/>
      <w:bookmarkStart w:id="681" w:name="_Toc30694197"/>
      <w:bookmarkStart w:id="682" w:name="_Toc30698786"/>
      <w:bookmarkStart w:id="683" w:name="_Toc30699164"/>
      <w:bookmarkStart w:id="684" w:name="_Toc30699549"/>
      <w:bookmarkStart w:id="685" w:name="_Toc30700704"/>
      <w:bookmarkStart w:id="686" w:name="_Toc30701091"/>
      <w:bookmarkStart w:id="687" w:name="_Toc30743700"/>
      <w:bookmarkStart w:id="688" w:name="_Toc30754522"/>
      <w:bookmarkStart w:id="689" w:name="_Toc30756962"/>
      <w:bookmarkStart w:id="690" w:name="_Toc30757511"/>
      <w:bookmarkStart w:id="691" w:name="_Toc30757911"/>
      <w:bookmarkStart w:id="692" w:name="_Toc30762672"/>
      <w:bookmarkStart w:id="693" w:name="_Toc30767326"/>
      <w:bookmarkStart w:id="694" w:name="_Toc34823342"/>
    </w:p>
    <w:p w14:paraId="6F311421" w14:textId="583C2CB6" w:rsidR="00F46FEB" w:rsidRPr="00666FA7" w:rsidRDefault="00F46FEB" w:rsidP="00F46FEB">
      <w:pPr>
        <w:pStyle w:val="Heading3"/>
        <w:keepNext/>
        <w:spacing w:line="240" w:lineRule="auto"/>
        <w:rPr>
          <w:rFonts w:ascii="Arial" w:hAnsi="Arial" w:cs="Arial"/>
          <w:b/>
          <w:bCs/>
          <w:sz w:val="20"/>
          <w:lang w:val="en-AU"/>
        </w:rPr>
      </w:pPr>
      <w:bookmarkStart w:id="695" w:name="_3.5.4.2_Application_of"/>
      <w:bookmarkEnd w:id="695"/>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FE7228">
        <w:trPr>
          <w:trHeight w:val="1703"/>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of </w:t>
            </w:r>
            <w:r w:rsidR="00707E1B">
              <w:rPr>
                <w:rFonts w:ascii="Arial" w:hAnsi="Arial" w:cs="Arial"/>
                <w:b/>
                <w:bCs/>
                <w:sz w:val="20"/>
              </w:rPr>
              <w:t xml:space="preserve"> a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C5A3EE0" w14:textId="4FBB248D" w:rsidR="00F46FEB" w:rsidRDefault="00F46FEB" w:rsidP="00F46FEB">
      <w:pPr>
        <w:rPr>
          <w:rFonts w:ascii="Arial" w:hAnsi="Arial" w:cs="Arial"/>
          <w:b/>
          <w:bCs/>
          <w:kern w:val="28"/>
          <w:sz w:val="20"/>
          <w:szCs w:val="20"/>
          <w:lang w:val="en-GB"/>
        </w:rPr>
      </w:pPr>
      <w:r>
        <w:rPr>
          <w:rFonts w:ascii="Arial" w:hAnsi="Arial" w:cs="Arial"/>
          <w:b/>
          <w:bCs/>
          <w:sz w:val="20"/>
        </w:rPr>
        <w:br w:type="page"/>
      </w: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696" w:name="_3.5.5.1_Evidence-in-chief_in"/>
      <w:bookmarkStart w:id="697" w:name="B3551"/>
      <w:bookmarkStart w:id="698" w:name="_3.5.5.1_Use_of"/>
      <w:bookmarkEnd w:id="696"/>
      <w:bookmarkEnd w:id="697"/>
      <w:bookmarkEnd w:id="698"/>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EBA8A81"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14B38">
        <w:rPr>
          <w:rFonts w:ascii="Arial" w:hAnsi="Arial" w:cs="Arial"/>
          <w:sz w:val="20"/>
        </w:rPr>
        <w:t>.</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699" w:name="_3.5.5.2_Evidence_in"/>
      <w:bookmarkStart w:id="700" w:name="B3552"/>
      <w:bookmarkStart w:id="701" w:name="_3.5.5.2_Use_of"/>
      <w:bookmarkEnd w:id="699"/>
      <w:bookmarkEnd w:id="700"/>
      <w:bookmarkEnd w:id="701"/>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8C5AC2">
      <w:pPr>
        <w:keepNext/>
        <w:keepLines/>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not be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s.37(2), 37A(2), 123(2), 123A(2) or 125A(1)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the prosecution must take into account</w:t>
      </w:r>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.387F(2)</w:t>
      </w:r>
      <w:r w:rsidR="00036D92">
        <w:rPr>
          <w:rFonts w:ascii="Arial" w:hAnsi="Arial" w:cs="Arial"/>
          <w:sz w:val="20"/>
        </w:rPr>
        <w:t xml:space="preserve">, </w:t>
      </w:r>
      <w:r w:rsidR="00D13481">
        <w:rPr>
          <w:rFonts w:ascii="Arial" w:hAnsi="Arial" w:cs="Arial"/>
          <w:sz w:val="20"/>
        </w:rPr>
        <w:t xml:space="preserve">387F(3)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02" w:name="_3.5.6_Contested_Family"/>
      <w:bookmarkStart w:id="703" w:name="B356"/>
      <w:bookmarkStart w:id="704" w:name="_Toc30651654"/>
      <w:bookmarkStart w:id="705" w:name="_Toc30652638"/>
      <w:bookmarkStart w:id="706" w:name="_Toc30652736"/>
      <w:bookmarkStart w:id="707" w:name="_Toc30654081"/>
      <w:bookmarkStart w:id="708" w:name="_Toc30654432"/>
      <w:bookmarkStart w:id="709" w:name="_Toc30655051"/>
      <w:bookmarkStart w:id="710" w:name="_Toc30655308"/>
      <w:bookmarkStart w:id="711" w:name="_Toc30656986"/>
      <w:bookmarkStart w:id="712" w:name="_Toc30661735"/>
      <w:bookmarkStart w:id="713" w:name="_Toc30666423"/>
      <w:bookmarkStart w:id="714" w:name="_Toc30666653"/>
      <w:bookmarkStart w:id="715" w:name="_Toc30667828"/>
      <w:bookmarkStart w:id="716" w:name="_Toc30669206"/>
      <w:bookmarkStart w:id="717" w:name="_Toc30671422"/>
      <w:bookmarkStart w:id="718" w:name="_Toc30673949"/>
      <w:bookmarkStart w:id="719" w:name="_Toc30691171"/>
      <w:bookmarkStart w:id="720" w:name="_Toc30691542"/>
      <w:bookmarkStart w:id="721" w:name="_Toc30691922"/>
      <w:bookmarkStart w:id="722" w:name="_Toc30692681"/>
      <w:bookmarkStart w:id="723" w:name="_Toc30693060"/>
      <w:bookmarkStart w:id="724" w:name="_Toc30693438"/>
      <w:bookmarkStart w:id="725" w:name="_Toc30693817"/>
      <w:bookmarkStart w:id="726" w:name="_Toc30694198"/>
      <w:bookmarkStart w:id="727" w:name="_Toc30698787"/>
      <w:bookmarkStart w:id="728" w:name="_Toc30699165"/>
      <w:bookmarkStart w:id="729" w:name="_Toc30699550"/>
      <w:bookmarkStart w:id="730" w:name="_Toc30700705"/>
      <w:bookmarkStart w:id="731" w:name="_Toc30701092"/>
      <w:bookmarkStart w:id="732" w:name="_Toc30743701"/>
      <w:bookmarkStart w:id="733" w:name="_Toc30754523"/>
      <w:bookmarkStart w:id="734" w:name="_Toc30756963"/>
      <w:bookmarkStart w:id="735" w:name="_Toc30757512"/>
      <w:bookmarkStart w:id="736" w:name="_Toc30757912"/>
      <w:bookmarkStart w:id="737" w:name="_Toc30762673"/>
      <w:bookmarkStart w:id="738" w:name="_Toc30767327"/>
      <w:bookmarkStart w:id="739" w:name="_Toc34823343"/>
      <w:bookmarkStart w:id="740" w:name="_Toc40580922"/>
      <w:bookmarkStart w:id="741" w:name="_Toc40581326"/>
      <w:bookmarkStart w:id="742" w:name="_Toc40581814"/>
      <w:bookmarkStart w:id="743" w:name="_Toc30651655"/>
      <w:bookmarkStart w:id="744" w:name="_Toc30652639"/>
      <w:bookmarkStart w:id="745" w:name="_Toc30652737"/>
      <w:bookmarkStart w:id="746" w:name="_Toc30654082"/>
      <w:bookmarkStart w:id="747" w:name="_Toc30654433"/>
      <w:bookmarkStart w:id="748" w:name="_Toc30655052"/>
      <w:bookmarkStart w:id="749" w:name="_Toc30655309"/>
      <w:bookmarkStart w:id="750" w:name="_Toc30656987"/>
      <w:bookmarkStart w:id="751" w:name="_Toc30661736"/>
      <w:bookmarkStart w:id="752" w:name="_Toc30666424"/>
      <w:bookmarkStart w:id="753" w:name="_Toc30666654"/>
      <w:bookmarkStart w:id="754" w:name="_Toc30667829"/>
      <w:bookmarkStart w:id="755" w:name="_Toc30669207"/>
      <w:bookmarkStart w:id="756" w:name="_Toc30671423"/>
      <w:bookmarkStart w:id="757" w:name="_Toc30673950"/>
      <w:bookmarkStart w:id="758" w:name="_Toc30691172"/>
      <w:bookmarkStart w:id="759" w:name="_Toc30691543"/>
      <w:bookmarkStart w:id="760" w:name="_Toc30691923"/>
      <w:bookmarkStart w:id="761" w:name="_Toc30692682"/>
      <w:bookmarkStart w:id="762" w:name="_Toc30693061"/>
      <w:bookmarkStart w:id="763" w:name="_Toc30693439"/>
      <w:bookmarkStart w:id="764" w:name="_Toc30693818"/>
      <w:bookmarkStart w:id="765" w:name="_Toc30694199"/>
      <w:bookmarkStart w:id="766" w:name="_Toc30698788"/>
      <w:bookmarkStart w:id="767" w:name="_Toc30699166"/>
      <w:bookmarkStart w:id="768" w:name="_Toc30699551"/>
      <w:bookmarkStart w:id="769" w:name="_Toc30700706"/>
      <w:bookmarkStart w:id="770" w:name="_Toc30701093"/>
      <w:bookmarkStart w:id="771" w:name="_Toc30743702"/>
      <w:bookmarkStart w:id="772" w:name="_Toc30754524"/>
      <w:bookmarkStart w:id="773" w:name="_Toc30756964"/>
      <w:bookmarkStart w:id="774" w:name="_Toc30757513"/>
      <w:bookmarkStart w:id="775" w:name="_Toc30757913"/>
      <w:bookmarkStart w:id="776" w:name="_Toc30762674"/>
      <w:bookmarkStart w:id="777" w:name="_Toc30767328"/>
      <w:bookmarkStart w:id="778" w:name="_Toc34823344"/>
      <w:bookmarkEnd w:id="702"/>
      <w:bookmarkEnd w:id="703"/>
      <w:r>
        <w:rPr>
          <w:rFonts w:ascii="Arial" w:hAnsi="Arial" w:cs="Arial"/>
          <w:b/>
          <w:bCs/>
          <w:sz w:val="20"/>
        </w:rPr>
        <w:t>3.5.6</w:t>
      </w:r>
      <w:r>
        <w:rPr>
          <w:rFonts w:ascii="Arial" w:hAnsi="Arial" w:cs="Arial"/>
          <w:b/>
          <w:bCs/>
          <w:sz w:val="20"/>
        </w:rPr>
        <w:tab/>
        <w:t>Contested Family Division case</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79" w:name="_3.5.6.1_The_usual"/>
      <w:bookmarkStart w:id="780" w:name="B3561"/>
      <w:bookmarkEnd w:id="779"/>
      <w:bookmarkEnd w:id="780"/>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Month" w:val="12"/>
          <w:attr w:name="Day" w:val="5"/>
          <w:attr w:name="Year" w:val="1996"/>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Month" w:val="7"/>
          <w:attr w:name="Day" w:val="28"/>
          <w:attr w:name="Year" w:val="2002"/>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81" w:name="_3.5.6.2_Informal_procedure"/>
      <w:bookmarkStart w:id="782" w:name="B3562"/>
      <w:bookmarkEnd w:id="781"/>
      <w:bookmarkEnd w:id="782"/>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there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last couple of years it has become the firm view of the full time judicial members of the Children’s Court of Victoria that this model is in need of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A capacity to order further expert assessments or examinations to assist in the first stage of the decision-making process of deciding whether or not the child was in need of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83" w:name="_3.5.6.3_Section_215B"/>
      <w:bookmarkStart w:id="784" w:name="_3.5.6.3_Management_of"/>
      <w:bookmarkStart w:id="785" w:name="B3563"/>
      <w:bookmarkEnd w:id="783"/>
      <w:bookmarkEnd w:id="784"/>
      <w:bookmarkEnd w:id="785"/>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64AB6EBB"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Family Violence Protection Act 2008</w:t>
      </w:r>
      <w:r>
        <w:rPr>
          <w:rFonts w:ascii="Arial" w:hAnsi="Arial" w:cs="Arial"/>
          <w:color w:val="000000"/>
          <w:sz w:val="20"/>
          <w:lang w:val="en-US"/>
        </w:rPr>
        <w:t>;</w:t>
      </w:r>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he or she or any other person connected to the proceeding has been, or is at risk of being subjected to family violence;</w:t>
      </w:r>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Street">
        <w:smartTag w:uri="urn:schemas-microsoft-com:office:smarttags" w:element="address">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Year" w:val="2006"/>
          <w:attr w:name="Day" w:val="1"/>
          <w:attr w:name="Month" w:val="7"/>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Street">
        <w:smartTag w:uri="urn:schemas-microsoft-com:office:smarttags" w:element="address">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86" w:name="_3.5.6.4_Obligation_to"/>
      <w:bookmarkStart w:id="787" w:name="B3564"/>
      <w:bookmarkEnd w:id="786"/>
      <w:bookmarkEnd w:id="787"/>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r w:rsidR="004C360E">
        <w:rPr>
          <w:rFonts w:ascii="Arial" w:hAnsi="Arial" w:cs="Arial"/>
          <w:color w:val="000000"/>
          <w:sz w:val="20"/>
          <w:lang w:val="en-US"/>
        </w:rPr>
        <w:t xml:space="preserve">all of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77777777"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7B2122">
        <w:rPr>
          <w:rFonts w:ascii="Arial" w:hAnsi="Arial" w:cs="Arial"/>
          <w:sz w:val="20"/>
        </w:rPr>
        <w:t>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3.5.7</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77777777"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8C5578">
      <w:pPr>
        <w:widowControl w:val="0"/>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place">
        <w:smartTag w:uri="urn:schemas-microsoft-com:office:smarttags" w:element="country-region">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88"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take into account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were in need of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88"/>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784A672"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[23]</w:t>
      </w:r>
      <w:r w:rsidR="007A12D2">
        <w:rPr>
          <w:rFonts w:ascii="Arial" w:hAnsi="Arial" w:cs="Arial"/>
          <w:sz w:val="20"/>
        </w:rPr>
        <w:noBreakHyphen/>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89" w:name="_3.5.6.5_Tips_for"/>
      <w:bookmarkEnd w:id="789"/>
      <w:r>
        <w:rPr>
          <w:rFonts w:ascii="Arial" w:hAnsi="Arial" w:cs="Arial"/>
          <w:b/>
          <w:bCs/>
          <w:sz w:val="20"/>
        </w:rPr>
        <w:lastRenderedPageBreak/>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90"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90"/>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lastRenderedPageBreak/>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Listen very carefully to the questions asked.  If you don’t understand the question, don’t guess but ask for the question to be put again.  If it becomes apparent at a later stage that you may have 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91" w:name="_3.5.7_The_Less"/>
      <w:bookmarkStart w:id="792" w:name="B357"/>
      <w:bookmarkStart w:id="793" w:name="_3.5.7_Gaol_order"/>
      <w:bookmarkStart w:id="794" w:name="_3.5.7_Compelling_production"/>
      <w:bookmarkEnd w:id="791"/>
      <w:bookmarkEnd w:id="792"/>
      <w:bookmarkEnd w:id="793"/>
      <w:bookmarkEnd w:id="794"/>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795" w:name="_Ref525641622"/>
      <w:r>
        <w:rPr>
          <w:bCs/>
          <w:lang w:eastAsia="en-AU" w:bidi="en-AU"/>
        </w:rPr>
        <w:tab/>
      </w:r>
      <w:bookmarkStart w:id="796"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795"/>
      <w:bookmarkEnd w:id="796"/>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55I(3)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797" w:name="_3.5.8_Use_of_1"/>
      <w:bookmarkEnd w:id="797"/>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 xml:space="preserve">“A court may order that a recording referred to in s.367 be produced for use in a proceeding (other than a [criminal] proceeding referred to in s.368) before that court if the court is satisfied that it is in the best interests of the witness to do so.”  Section 368A(3)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798" w:name="_3.5.9_Production_of"/>
      <w:bookmarkStart w:id="799" w:name="B359"/>
      <w:bookmarkEnd w:id="798"/>
      <w:bookmarkEnd w:id="799"/>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800"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800"/>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01" w:name="_3.5.9.1__Production"/>
      <w:bookmarkStart w:id="802" w:name="_Hlk188525439"/>
      <w:bookmarkEnd w:id="801"/>
      <w:r w:rsidRPr="009F25D4">
        <w:rPr>
          <w:rFonts w:ascii="Arial" w:hAnsi="Arial" w:cs="Arial"/>
          <w:b/>
          <w:bCs/>
          <w:color w:val="000000"/>
          <w:sz w:val="20"/>
        </w:rPr>
        <w:t>3.5.9.1  Production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4CF1D132" w:rsidR="003F4824" w:rsidRPr="00653C5B" w:rsidRDefault="000920E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Principal Registrar of the Supreme Court of New South Wales v Tastan</w:t>
      </w:r>
      <w:r w:rsidR="00653C5B">
        <w:rPr>
          <w:rFonts w:ascii="Arial" w:hAnsi="Arial" w:cs="Arial"/>
          <w:iCs/>
          <w:color w:val="000000"/>
          <w:sz w:val="20"/>
        </w:rPr>
        <w:t xml:space="preserve"> (1994) A 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4079F529"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277ADB">
        <w:rPr>
          <w:rFonts w:ascii="Arial" w:hAnsi="Arial" w:cs="Arial"/>
          <w:color w:val="000000"/>
          <w:sz w:val="20"/>
          <w:szCs w:val="20"/>
        </w:rPr>
        <w:t>.</w:t>
      </w:r>
    </w:p>
    <w:bookmarkEnd w:id="802"/>
    <w:p w14:paraId="236F7418" w14:textId="7777777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lastRenderedPageBreak/>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8F047DE"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Pr="00516711">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 xml:space="preserve">documents that are stored only in electronic form by or on behalf of a government agency are not ‘documents of an agency’ at all within the meaning of the </w:t>
      </w:r>
      <w:r w:rsidR="006834E4" w:rsidRPr="004C09F7">
        <w:rPr>
          <w:rFonts w:ascii="Arial" w:hAnsi="Arial" w:cs="Arial"/>
          <w:sz w:val="20"/>
          <w:szCs w:val="20"/>
        </w:rPr>
        <w:lastRenderedPageBreak/>
        <w:t>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not be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lastRenderedPageBreak/>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make a decision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60902B39" w14:textId="2E91BA32" w:rsidR="00E07F20" w:rsidRDefault="001D6E4B" w:rsidP="0057380D">
      <w:pPr>
        <w:jc w:val="both"/>
        <w:rPr>
          <w:rFonts w:ascii="Arial" w:hAnsi="Arial" w:cs="Arial"/>
          <w:color w:val="000000"/>
          <w:sz w:val="20"/>
          <w:szCs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Reynolds v Qube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p>
    <w:p w14:paraId="33261EF6" w14:textId="77777777" w:rsidR="00E07F20" w:rsidRDefault="00E07F20"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w:t>
      </w:r>
      <w:r w:rsidR="007873C8">
        <w:rPr>
          <w:rFonts w:ascii="Arial" w:hAnsi="Arial" w:cs="Arial"/>
          <w:color w:val="000000"/>
          <w:sz w:val="20"/>
          <w:szCs w:val="20"/>
        </w:rPr>
        <w:lastRenderedPageBreak/>
        <w:t xml:space="preserve">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However, taking into account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03"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03"/>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Smith v Trustees of the Christian Brothers; Pearce v 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Madafferi v The 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w:t>
      </w:r>
      <w:r w:rsidRPr="0040353D">
        <w:rPr>
          <w:rFonts w:ascii="Arial" w:hAnsi="Arial" w:cs="Arial"/>
          <w:color w:val="000000"/>
          <w:sz w:val="20"/>
        </w:rPr>
        <w:lastRenderedPageBreak/>
        <w:t>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04"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04"/>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Month" w:val="12"/>
          <w:attr w:name="Day" w:val="16"/>
          <w:attr w:name="Year" w:val="1966"/>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Month" w:val="3"/>
          <w:attr w:name="Day" w:val="23"/>
          <w:attr w:name="Year" w:val="1976"/>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place">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lastRenderedPageBreak/>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place">
        <w:smartTag w:uri="urn:schemas-microsoft-com:office:smarttags" w:element="Stat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not be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Section 130(5) sets out a list of the matters a court is to take into account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lastRenderedPageBreak/>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It may be suggested that the notion of a balancing of relevant factors pointing in one direction against relevant factors pointing in the other is not consistent with the proposition that identity 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To say that in such a case no balance is called for is to say that,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lastRenderedPageBreak/>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Madafferi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05"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05"/>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lastRenderedPageBreak/>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06" w:name="_3.5.9.2__Pre-hearing"/>
      <w:bookmarkStart w:id="807" w:name="B3592"/>
      <w:bookmarkEnd w:id="806"/>
      <w:bookmarkEnd w:id="807"/>
      <w:r w:rsidRPr="009F25D4">
        <w:rPr>
          <w:rFonts w:ascii="Arial" w:hAnsi="Arial" w:cs="Arial"/>
          <w:b/>
          <w:bCs/>
          <w:color w:val="000000"/>
          <w:sz w:val="20"/>
        </w:rPr>
        <w:t>3.5.9.2  Pre-hearing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The duty is to disclose all relevant material of help to an accused. It is owed to the court, not the 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 xml:space="preserve">in order for this Court to conclude that a trial is vitiated by non-disclosure ‘it is not necessary for the appellant to </w:t>
      </w:r>
      <w:r w:rsidR="00A83AED" w:rsidRPr="00A83AED">
        <w:rPr>
          <w:rFonts w:ascii="Arial" w:hAnsi="Arial" w:cs="Arial"/>
          <w:color w:val="000000"/>
          <w:sz w:val="20"/>
        </w:rPr>
        <w:lastRenderedPageBreak/>
        <w:t>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08" w:name="_3.5.9.3__Production"/>
      <w:bookmarkStart w:id="809" w:name="B3593"/>
      <w:bookmarkEnd w:id="808"/>
      <w:bookmarkEnd w:id="809"/>
      <w:r w:rsidRPr="009F25D4">
        <w:rPr>
          <w:rFonts w:ascii="Arial" w:hAnsi="Arial" w:cs="Arial"/>
          <w:b/>
          <w:bCs/>
          <w:color w:val="000000"/>
          <w:sz w:val="20"/>
        </w:rPr>
        <w:t xml:space="preserve">3.5.9.3  Production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lastRenderedPageBreak/>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10" w:name="_3.5.10_Children_as"/>
      <w:bookmarkStart w:id="811" w:name="B3510"/>
      <w:bookmarkEnd w:id="810"/>
      <w:bookmarkEnd w:id="811"/>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12" w:name="_3.5.10.1__Ensuring"/>
      <w:bookmarkEnd w:id="812"/>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 xml:space="preserve">Ensuring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13" w:name="_A_WITNESS_SUMMONSES"/>
      <w:bookmarkEnd w:id="813"/>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effected,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14"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14"/>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15" w:name="_B_WITNESS_SUMMONSES"/>
      <w:bookmarkEnd w:id="815"/>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16" w:name="_C_NOTICES_TO"/>
      <w:bookmarkEnd w:id="816"/>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17" w:name="_3.5.10.2__Compellability"/>
      <w:bookmarkEnd w:id="817"/>
      <w:r>
        <w:rPr>
          <w:rFonts w:ascii="Arial" w:hAnsi="Arial" w:cs="Arial"/>
          <w:b/>
          <w:bCs/>
          <w:sz w:val="20"/>
        </w:rPr>
        <w:t>3.5.10.2  Competence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18" w:name="_B_ATTEMPTED_ARMED"/>
      <w:bookmarkEnd w:id="818"/>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19" w:name="_3.5.10.1__Competence"/>
      <w:bookmarkStart w:id="820" w:name="B35101"/>
      <w:bookmarkEnd w:id="819"/>
      <w:bookmarkEnd w:id="820"/>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71172E72"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taking into account, </w:t>
      </w:r>
      <w:r w:rsidR="00CA55B0" w:rsidRPr="00CA55B0">
        <w:rPr>
          <w:rFonts w:ascii="Arial" w:hAnsi="Arial" w:cs="Arial"/>
          <w:i/>
          <w:sz w:val="20"/>
        </w:rPr>
        <w:t>inter alia</w:t>
      </w:r>
      <w:r w:rsidR="00CA55B0">
        <w:rPr>
          <w:rFonts w:ascii="Arial" w:hAnsi="Arial" w:cs="Arial"/>
          <w:sz w:val="20"/>
        </w:rPr>
        <w:t>, the matters set out in s.18(7) – that</w:t>
      </w:r>
      <w:r w:rsidR="00FD5F44" w:rsidRPr="00A31FFA">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502A5776" w14:textId="4F6E09CF" w:rsidR="00D13FB8" w:rsidRDefault="00D13FB8"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21" w:name="_3.5.10.3__Children"/>
      <w:bookmarkEnd w:id="821"/>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place">
        <w:smartTag w:uri="urn:schemas-microsoft-com:office:smarttags" w:element="City">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22" w:name="_3.5.10.3__Claim"/>
      <w:bookmarkEnd w:id="822"/>
    </w:p>
    <w:p w14:paraId="036A28A8" w14:textId="128EED55" w:rsidR="00D13FB8" w:rsidRDefault="00D13FB8" w:rsidP="00D13FB8">
      <w:pPr>
        <w:pStyle w:val="Heading3"/>
        <w:keepNext/>
        <w:spacing w:line="240" w:lineRule="auto"/>
        <w:rPr>
          <w:rFonts w:ascii="Arial" w:hAnsi="Arial" w:cs="Arial"/>
          <w:b/>
          <w:bCs/>
          <w:sz w:val="20"/>
        </w:rPr>
      </w:pPr>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not be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23" w:name="_3.5.10.5__Leave"/>
      <w:bookmarkStart w:id="824" w:name="_3.5.11_Oaths_and"/>
      <w:bookmarkStart w:id="825" w:name="B3511"/>
      <w:bookmarkEnd w:id="823"/>
      <w:bookmarkEnd w:id="824"/>
      <w:bookmarkEnd w:id="825"/>
      <w:r>
        <w:rPr>
          <w:rFonts w:ascii="Arial" w:hAnsi="Arial" w:cs="Arial"/>
          <w:b/>
          <w:bCs/>
          <w:sz w:val="20"/>
        </w:rPr>
        <w:lastRenderedPageBreak/>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26" w:name="_3.5.12_Appearance_or"/>
      <w:bookmarkStart w:id="827" w:name="B3512"/>
      <w:bookmarkEnd w:id="826"/>
      <w:bookmarkEnd w:id="827"/>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28" w:name="_3.5.12.1__Appearance"/>
      <w:bookmarkStart w:id="829" w:name="B35121"/>
      <w:bookmarkEnd w:id="828"/>
      <w:bookmarkEnd w:id="829"/>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 xml:space="preserve">Appearance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 xml:space="preserve">Section 42E(1)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lastRenderedPageBreak/>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42F(</w:t>
      </w:r>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42F(7)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r>
        <w:rPr>
          <w:rFonts w:ascii="Arial" w:hAnsi="Arial" w:cs="Arial"/>
          <w:sz w:val="20"/>
          <w:szCs w:val="20"/>
        </w:rPr>
        <w:t>‘</w:t>
      </w:r>
      <w:r w:rsidRPr="00B97656">
        <w:rPr>
          <w:rFonts w:ascii="Arial" w:hAnsi="Arial" w:cs="Arial"/>
          <w:sz w:val="20"/>
          <w:szCs w:val="20"/>
        </w:rPr>
        <w:t xml:space="preserve"> ...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w:t>
      </w:r>
      <w:r w:rsidRPr="00A81791">
        <w:rPr>
          <w:rFonts w:ascii="Arial" w:hAnsi="Arial" w:cs="Arial"/>
          <w:sz w:val="20"/>
        </w:rPr>
        <w:lastRenderedPageBreak/>
        <w:t>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30" w:name="_3.5.12.2__Appearance"/>
      <w:bookmarkStart w:id="831" w:name="B35122"/>
      <w:bookmarkEnd w:id="830"/>
      <w:bookmarkEnd w:id="831"/>
      <w:r>
        <w:rPr>
          <w:rFonts w:ascii="Arial" w:hAnsi="Arial" w:cs="Arial"/>
          <w:b/>
          <w:bCs/>
          <w:sz w:val="20"/>
        </w:rPr>
        <w:t>3.5.12.2  Appearance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 xml:space="preserve">must appear, or be brought, physically before the court.  Section 42P(1)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32" w:name="_3.5.12.3__Alternative"/>
      <w:bookmarkStart w:id="833" w:name="B35123"/>
      <w:bookmarkEnd w:id="832"/>
      <w:bookmarkEnd w:id="833"/>
      <w:r>
        <w:rPr>
          <w:rFonts w:ascii="Arial" w:hAnsi="Arial" w:cs="Arial"/>
          <w:b/>
          <w:bCs/>
          <w:sz w:val="20"/>
        </w:rPr>
        <w:t>3.5.12.3  Alternative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lastRenderedPageBreak/>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34" w:name="_3.5.13_The_rule"/>
      <w:bookmarkStart w:id="835" w:name="B3513"/>
      <w:bookmarkEnd w:id="834"/>
      <w:bookmarkEnd w:id="835"/>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place">
        <w:smartTag w:uri="urn:schemas-microsoft-com:office:smarttags" w:element="country-region">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  Any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 xml:space="preserve">[2006] </w:t>
      </w:r>
      <w:r w:rsidRPr="001A0C2D">
        <w:rPr>
          <w:rFonts w:ascii="Arial" w:hAnsi="Arial" w:cs="Arial"/>
          <w:sz w:val="20"/>
          <w:szCs w:val="20"/>
        </w:rPr>
        <w:lastRenderedPageBreak/>
        <w:t>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taken into account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lastRenderedPageBreak/>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0F23971" w14:textId="43539B7D" w:rsidR="00115DCA" w:rsidRPr="00EE27CA" w:rsidRDefault="00115DCA" w:rsidP="00115DCA">
      <w:pPr>
        <w:jc w:val="both"/>
        <w:rPr>
          <w:rFonts w:ascii="Arial" w:hAnsi="Arial" w:cs="Arial"/>
          <w:color w:val="000000"/>
          <w:sz w:val="20"/>
        </w:rPr>
      </w:pPr>
      <w:r>
        <w:rPr>
          <w:rFonts w:ascii="Arial" w:hAnsi="Arial" w:cs="Arial"/>
          <w:color w:val="000000"/>
          <w:sz w:val="20"/>
          <w:szCs w:val="20"/>
        </w:rPr>
        <w:t xml:space="preserve">In </w:t>
      </w:r>
      <w:r w:rsidRPr="00241E82">
        <w:rPr>
          <w:rFonts w:ascii="Arial" w:hAnsi="Arial" w:cs="Arial"/>
          <w:i/>
          <w:color w:val="000000"/>
          <w:sz w:val="20"/>
          <w:szCs w:val="20"/>
        </w:rPr>
        <w:t>R v Morrow</w:t>
      </w:r>
      <w:r w:rsidRPr="00241E82">
        <w:rPr>
          <w:rFonts w:ascii="Arial" w:hAnsi="Arial" w:cs="Arial"/>
          <w:color w:val="000000"/>
          <w:sz w:val="20"/>
          <w:szCs w:val="20"/>
        </w:rPr>
        <w:t xml:space="preserve"> [2009] VSCA 291 </w:t>
      </w:r>
      <w:r>
        <w:rPr>
          <w:rFonts w:ascii="Arial" w:hAnsi="Arial" w:cs="Arial"/>
          <w:color w:val="000000"/>
          <w:sz w:val="20"/>
          <w:szCs w:val="20"/>
        </w:rPr>
        <w:t xml:space="preserve">see the judgment of Nettle JA </w:t>
      </w:r>
      <w:r w:rsidRPr="00241E82">
        <w:rPr>
          <w:rFonts w:ascii="Arial" w:hAnsi="Arial" w:cs="Arial"/>
          <w:color w:val="000000"/>
          <w:sz w:val="20"/>
          <w:szCs w:val="20"/>
        </w:rPr>
        <w:t xml:space="preserve">at [2]-[6] </w:t>
      </w:r>
      <w:r>
        <w:rPr>
          <w:rFonts w:ascii="Arial" w:hAnsi="Arial" w:cs="Arial"/>
          <w:color w:val="000000"/>
          <w:sz w:val="20"/>
          <w:szCs w:val="20"/>
        </w:rPr>
        <w:t>and that of Redlich JA at</w:t>
      </w:r>
      <w:r w:rsidRPr="00241E82">
        <w:rPr>
          <w:rFonts w:ascii="Arial" w:hAnsi="Arial" w:cs="Arial"/>
          <w:color w:val="000000"/>
          <w:sz w:val="20"/>
          <w:szCs w:val="20"/>
        </w:rPr>
        <w:t xml:space="preserve"> [</w:t>
      </w:r>
      <w:proofErr w:type="gramStart"/>
      <w:r w:rsidRPr="00241E82">
        <w:rPr>
          <w:rFonts w:ascii="Arial" w:hAnsi="Arial" w:cs="Arial"/>
          <w:color w:val="000000"/>
          <w:sz w:val="20"/>
          <w:szCs w:val="20"/>
        </w:rPr>
        <w:t>36]</w:t>
      </w:r>
      <w:r>
        <w:rPr>
          <w:rFonts w:ascii="Arial" w:hAnsi="Arial" w:cs="Arial"/>
          <w:color w:val="000000"/>
          <w:sz w:val="20"/>
          <w:szCs w:val="20"/>
        </w:rPr>
        <w:noBreakHyphen/>
      </w:r>
      <w:proofErr w:type="gramEnd"/>
      <w:r w:rsidRPr="00241E82">
        <w:rPr>
          <w:rFonts w:ascii="Arial" w:hAnsi="Arial" w:cs="Arial"/>
          <w:color w:val="000000"/>
          <w:sz w:val="20"/>
          <w:szCs w:val="20"/>
        </w:rPr>
        <w:t>[71]</w:t>
      </w:r>
      <w:r>
        <w:rPr>
          <w:rFonts w:ascii="Arial" w:hAnsi="Arial" w:cs="Arial"/>
          <w:color w:val="000000"/>
          <w:sz w:val="20"/>
          <w:szCs w:val="20"/>
        </w:rPr>
        <w:t>,</w:t>
      </w:r>
      <w:r w:rsidRPr="00241E82">
        <w:rPr>
          <w:rFonts w:ascii="Arial" w:hAnsi="Arial" w:cs="Arial"/>
          <w:color w:val="000000"/>
          <w:sz w:val="20"/>
          <w:szCs w:val="20"/>
        </w:rPr>
        <w:t xml:space="preserve"> in particular</w:t>
      </w:r>
      <w:r w:rsidRPr="00EE27CA">
        <w:rPr>
          <w:rFonts w:ascii="Arial" w:hAnsi="Arial" w:cs="Arial"/>
          <w:color w:val="000000"/>
          <w:sz w:val="20"/>
        </w:rPr>
        <w:t xml:space="preserve"> at [59] where his Honour said:</w:t>
      </w:r>
    </w:p>
    <w:p w14:paraId="57928216" w14:textId="77777777" w:rsidR="00115DCA" w:rsidRPr="006F7316" w:rsidRDefault="00115DCA" w:rsidP="00115DCA">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take into account: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40A638F5" w14:textId="77777777" w:rsidR="00115DCA" w:rsidRDefault="00115DCA" w:rsidP="00DE0CC3">
      <w:pPr>
        <w:jc w:val="both"/>
        <w:rPr>
          <w:rFonts w:ascii="Arial" w:hAnsi="Arial" w:cs="Arial"/>
          <w:color w:val="000000"/>
          <w:sz w:val="20"/>
        </w:rPr>
      </w:pPr>
    </w:p>
    <w:p w14:paraId="7FC05DD8" w14:textId="51F2EF56" w:rsidR="00115DCA" w:rsidRDefault="00115DCA" w:rsidP="00DE0CC3">
      <w:pPr>
        <w:jc w:val="both"/>
        <w:rPr>
          <w:rFonts w:ascii="Arial" w:hAnsi="Arial" w:cs="Arial"/>
          <w:color w:val="000000"/>
          <w:sz w:val="20"/>
        </w:rPr>
      </w:pPr>
      <w:r>
        <w:rPr>
          <w:rFonts w:ascii="Arial" w:hAnsi="Arial" w:cs="Arial"/>
          <w:color w:val="000000"/>
          <w:sz w:val="20"/>
        </w:rPr>
        <w:t xml:space="preserve">In allowing the appeal and ordering a new trial in </w:t>
      </w:r>
      <w:r w:rsidRPr="00115DCA">
        <w:rPr>
          <w:rFonts w:ascii="Arial" w:hAnsi="Arial" w:cs="Arial"/>
          <w:i/>
          <w:iCs/>
          <w:color w:val="000000"/>
          <w:sz w:val="20"/>
        </w:rPr>
        <w:t>Lynn v The King</w:t>
      </w:r>
      <w:r>
        <w:rPr>
          <w:rFonts w:ascii="Arial" w:hAnsi="Arial" w:cs="Arial"/>
          <w:color w:val="000000"/>
          <w:sz w:val="20"/>
        </w:rPr>
        <w:t xml:space="preserve"> [2025] VSCA 315 (summarised in </w:t>
      </w:r>
      <w:r w:rsidRPr="00115DCA">
        <w:rPr>
          <w:rFonts w:ascii="Arial" w:hAnsi="Arial" w:cs="Arial"/>
          <w:b/>
          <w:bCs/>
          <w:color w:val="000000"/>
          <w:sz w:val="20"/>
          <w:shd w:val="clear" w:color="auto" w:fill="C5E0B3" w:themeFill="accent6" w:themeFillTint="66"/>
        </w:rPr>
        <w:t>section 10.0.2</w:t>
      </w:r>
      <w:r>
        <w:rPr>
          <w:rFonts w:ascii="Arial" w:hAnsi="Arial" w:cs="Arial"/>
          <w:color w:val="000000"/>
          <w:sz w:val="20"/>
        </w:rPr>
        <w:t>) the Court of Appeal said at [63]:</w:t>
      </w:r>
    </w:p>
    <w:p w14:paraId="58C26EE2" w14:textId="3318B471" w:rsidR="006E4EBA" w:rsidRDefault="006E4EBA" w:rsidP="006E4EBA">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166EBA6A" w14:textId="77777777" w:rsidR="00115DCA" w:rsidRDefault="00115DCA" w:rsidP="00DE0CC3">
      <w:pPr>
        <w:jc w:val="both"/>
        <w:rPr>
          <w:rFonts w:ascii="Arial" w:hAnsi="Arial" w:cs="Arial"/>
          <w:color w:val="000000"/>
          <w:sz w:val="20"/>
        </w:rPr>
      </w:pPr>
    </w:p>
    <w:p w14:paraId="23CAA841" w14:textId="1EC56954" w:rsidR="0045772C" w:rsidRPr="006F7316" w:rsidRDefault="00A62B38" w:rsidP="00115DCA">
      <w:pPr>
        <w:jc w:val="both"/>
        <w:rPr>
          <w:rFonts w:ascii="Arial" w:hAnsi="Arial" w:cs="Arial"/>
          <w:sz w:val="20"/>
          <w:szCs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36"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bookmarkEnd w:id="836"/>
      <w:r w:rsidR="00BA2E1A">
        <w:rPr>
          <w:rFonts w:ascii="Arial" w:hAnsi="Arial" w:cs="Arial"/>
          <w:color w:val="000000"/>
          <w:sz w:val="20"/>
          <w:szCs w:val="20"/>
        </w:rPr>
        <w:t xml:space="preserve">; </w:t>
      </w:r>
      <w:r w:rsidR="00BA2E1A">
        <w:rPr>
          <w:rFonts w:ascii="Arial" w:hAnsi="Arial" w:cs="Arial"/>
          <w:i/>
          <w:iCs/>
          <w:color w:val="000000"/>
          <w:sz w:val="20"/>
          <w:szCs w:val="20"/>
        </w:rPr>
        <w:t xml:space="preserve">Seymour (a pseudonym) v The King </w:t>
      </w:r>
      <w:r w:rsidR="00BA2E1A" w:rsidRPr="00E437D8">
        <w:rPr>
          <w:rFonts w:ascii="Arial" w:hAnsi="Arial" w:cs="Arial"/>
          <w:color w:val="000000"/>
          <w:sz w:val="20"/>
          <w:szCs w:val="20"/>
        </w:rPr>
        <w:t>[2025] VSCA 334</w:t>
      </w:r>
      <w:r w:rsidR="00BA2E1A">
        <w:rPr>
          <w:rFonts w:ascii="Arial" w:hAnsi="Arial" w:cs="Arial"/>
          <w:color w:val="000000"/>
          <w:sz w:val="20"/>
          <w:szCs w:val="20"/>
        </w:rPr>
        <w:t xml:space="preserve"> at [</w:t>
      </w:r>
      <w:r w:rsidR="004650D0">
        <w:rPr>
          <w:rFonts w:ascii="Arial" w:hAnsi="Arial" w:cs="Arial"/>
          <w:color w:val="000000"/>
          <w:sz w:val="20"/>
          <w:szCs w:val="20"/>
        </w:rPr>
        <w:t>104</w:t>
      </w:r>
      <w:r w:rsidR="00BA2E1A">
        <w:rPr>
          <w:rFonts w:ascii="Arial" w:hAnsi="Arial" w:cs="Arial"/>
          <w:color w:val="000000"/>
          <w:sz w:val="20"/>
          <w:szCs w:val="20"/>
        </w:rPr>
        <w:t>]</w:t>
      </w:r>
      <w:r w:rsidR="004650D0">
        <w:rPr>
          <w:rFonts w:ascii="Arial" w:hAnsi="Arial" w:cs="Arial"/>
          <w:color w:val="000000"/>
          <w:sz w:val="20"/>
          <w:szCs w:val="20"/>
        </w:rPr>
        <w:noBreakHyphen/>
      </w:r>
      <w:r w:rsidR="00BA2E1A">
        <w:rPr>
          <w:rFonts w:ascii="Arial" w:hAnsi="Arial" w:cs="Arial"/>
          <w:color w:val="000000"/>
          <w:sz w:val="20"/>
          <w:szCs w:val="20"/>
        </w:rPr>
        <w:t>[</w:t>
      </w:r>
      <w:r w:rsidR="004650D0">
        <w:rPr>
          <w:rFonts w:ascii="Arial" w:hAnsi="Arial" w:cs="Arial"/>
          <w:color w:val="000000"/>
          <w:sz w:val="20"/>
          <w:szCs w:val="20"/>
        </w:rPr>
        <w:t>133</w:t>
      </w:r>
      <w:r w:rsidR="00BA2E1A">
        <w:rPr>
          <w:rFonts w:ascii="Arial" w:hAnsi="Arial" w:cs="Arial"/>
          <w:color w:val="000000"/>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37" w:name="_3.5.14_The_rule"/>
      <w:bookmarkEnd w:id="837"/>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A616AE">
      <w:pPr>
        <w:spacing w:before="60"/>
        <w:ind w:left="567" w:right="567"/>
        <w:jc w:val="both"/>
        <w:rPr>
          <w:rFonts w:ascii="Arial" w:hAnsi="Arial" w:cs="Arial"/>
          <w:color w:val="000000"/>
          <w:sz w:val="20"/>
          <w:szCs w:val="20"/>
        </w:rPr>
      </w:pPr>
      <w:r w:rsidRPr="008C3BC8">
        <w:rPr>
          <w:rFonts w:ascii="Arial" w:hAnsi="Arial" w:cs="Arial"/>
          <w:color w:val="000000"/>
          <w:sz w:val="20"/>
          <w:szCs w:val="20"/>
        </w:rPr>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lastRenderedPageBreak/>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7"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8"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9"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38" w:name="_ftnref50"/>
      <w:r w:rsidR="00E4755A" w:rsidRPr="00E4755A">
        <w:rPr>
          <w:rFonts w:ascii="Arial" w:hAnsi="Arial" w:cs="Arial"/>
          <w:color w:val="000000" w:themeColor="text1"/>
          <w:sz w:val="20"/>
          <w:szCs w:val="20"/>
        </w:rPr>
        <w:t xml:space="preserve">: </w:t>
      </w:r>
      <w:hyperlink r:id="rId50"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1"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38"/>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adverse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 xml:space="preserve">[W]here a party without explanation fails to call as a witness a person whom he might reasonably be expected to call, if that person’s evidence would be favourable to him, then, although the jury may not treat as evidence what they may as a matter of speculation think </w:t>
      </w:r>
      <w:r w:rsidRPr="008C3BC8">
        <w:rPr>
          <w:rFonts w:ascii="Arial" w:hAnsi="Arial" w:cs="Arial"/>
          <w:color w:val="000000"/>
          <w:sz w:val="20"/>
          <w:szCs w:val="22"/>
        </w:rPr>
        <w:lastRenderedPageBreak/>
        <w:t>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[49] “The unexplained failure of Goddard Elliott to call Mr Ackman [who was in its ‘camp’] gives rise to an inference that his evidence would not have assisted Goddard Elliott’s case.  That inference may be taken into account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may be stated in short terms. In essence, an unexplained failure by a party to call a witness, or to 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lastRenderedPageBreak/>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663–4 </w:t>
      </w:r>
      <w:r w:rsidR="00B70ED0">
        <w:rPr>
          <w:rFonts w:ascii="Arial" w:hAnsi="Arial" w:cs="Arial"/>
          <w:sz w:val="20"/>
        </w:rPr>
        <w:t>.</w:t>
      </w:r>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lastRenderedPageBreak/>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27D14146"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39"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39"/>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40" w:name="_3.5.15_Unfavourable_witnesses"/>
      <w:bookmarkStart w:id="841" w:name="B3515"/>
      <w:bookmarkEnd w:id="840"/>
      <w:bookmarkEnd w:id="841"/>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Two of the matters that the court may take into account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4F58E4D" w14:textId="77777777" w:rsidR="002C0A9F" w:rsidRDefault="002C0A9F" w:rsidP="002C0A9F">
      <w:pPr>
        <w:jc w:val="both"/>
        <w:rPr>
          <w:rFonts w:ascii="Arial" w:hAnsi="Arial" w:cs="Arial"/>
          <w:sz w:val="20"/>
        </w:rPr>
      </w:pPr>
      <w:bookmarkStart w:id="842" w:name="_3.6_Statutory_interpretation"/>
      <w:bookmarkStart w:id="843" w:name="B36"/>
      <w:bookmarkStart w:id="844" w:name="_3.6_Statutory_interpretation_1"/>
      <w:bookmarkStart w:id="845" w:name="_Toc30608808"/>
      <w:bookmarkStart w:id="846" w:name="_Toc30610022"/>
      <w:bookmarkStart w:id="847" w:name="_Toc30610266"/>
      <w:bookmarkStart w:id="848" w:name="_Toc30638420"/>
      <w:bookmarkStart w:id="849" w:name="_Toc30644229"/>
      <w:bookmarkStart w:id="850" w:name="_Toc30644632"/>
      <w:bookmarkStart w:id="851" w:name="_Toc30645182"/>
      <w:bookmarkStart w:id="852" w:name="_Toc30646393"/>
      <w:bookmarkStart w:id="853" w:name="_Toc30646688"/>
      <w:bookmarkStart w:id="854" w:name="_Toc30646799"/>
      <w:bookmarkStart w:id="855" w:name="_Toc30648156"/>
      <w:bookmarkStart w:id="856" w:name="_Toc30649054"/>
      <w:bookmarkStart w:id="857" w:name="_Toc30649130"/>
      <w:bookmarkStart w:id="858" w:name="_Toc30649391"/>
      <w:bookmarkStart w:id="859" w:name="_Toc30649716"/>
      <w:bookmarkStart w:id="860" w:name="_Toc30651656"/>
      <w:bookmarkStart w:id="861" w:name="_Toc30652640"/>
      <w:bookmarkStart w:id="862" w:name="_Toc30652738"/>
      <w:bookmarkStart w:id="863" w:name="_Toc30654083"/>
      <w:bookmarkStart w:id="864" w:name="_Toc30654434"/>
      <w:bookmarkStart w:id="865" w:name="_Toc30655053"/>
      <w:bookmarkStart w:id="866" w:name="_Toc30655310"/>
      <w:bookmarkStart w:id="867" w:name="_Toc30656988"/>
      <w:bookmarkStart w:id="868" w:name="_Toc30661737"/>
      <w:bookmarkStart w:id="869" w:name="_Toc30666425"/>
      <w:bookmarkStart w:id="870" w:name="_Toc30666655"/>
      <w:bookmarkStart w:id="871" w:name="_Toc30667830"/>
      <w:bookmarkStart w:id="872" w:name="_Toc30669208"/>
      <w:bookmarkStart w:id="873" w:name="_Toc30671424"/>
      <w:bookmarkStart w:id="874" w:name="_Toc30673951"/>
      <w:bookmarkStart w:id="875" w:name="_Toc30691173"/>
      <w:bookmarkStart w:id="876" w:name="_Toc30691544"/>
      <w:bookmarkStart w:id="877" w:name="_Toc30691924"/>
      <w:bookmarkStart w:id="878" w:name="_Toc30692683"/>
      <w:bookmarkStart w:id="879" w:name="_Toc30693062"/>
      <w:bookmarkStart w:id="880" w:name="_Toc30693440"/>
      <w:bookmarkStart w:id="881" w:name="_Toc30693819"/>
      <w:bookmarkStart w:id="882" w:name="_Toc30694200"/>
      <w:bookmarkStart w:id="883" w:name="_Toc30698789"/>
      <w:bookmarkStart w:id="884" w:name="_Toc30699167"/>
      <w:bookmarkStart w:id="885" w:name="_Toc30699552"/>
      <w:bookmarkStart w:id="886" w:name="_Toc30700707"/>
      <w:bookmarkStart w:id="887" w:name="_Toc30701094"/>
      <w:bookmarkStart w:id="888" w:name="_Toc30743703"/>
      <w:bookmarkStart w:id="889" w:name="_Toc30754525"/>
      <w:bookmarkStart w:id="890" w:name="_Toc30756965"/>
      <w:bookmarkStart w:id="891" w:name="_Toc30757514"/>
      <w:bookmarkStart w:id="892" w:name="_Toc30757914"/>
      <w:bookmarkStart w:id="893" w:name="_Toc30762675"/>
      <w:bookmarkStart w:id="894" w:name="_Toc30767329"/>
      <w:bookmarkStart w:id="895" w:name="_Toc34823345"/>
      <w:bookmarkStart w:id="896" w:name="_Toc58831507"/>
      <w:bookmarkEnd w:id="842"/>
      <w:bookmarkEnd w:id="843"/>
      <w:bookmarkEnd w:id="844"/>
    </w:p>
    <w:p w14:paraId="0BE8A27C" w14:textId="77777777" w:rsidR="00AB3569" w:rsidRDefault="00AB3569" w:rsidP="00190B72">
      <w:pPr>
        <w:pStyle w:val="Heading2"/>
        <w:keepNext/>
        <w:keepLines/>
        <w:tabs>
          <w:tab w:val="left" w:pos="567"/>
        </w:tabs>
        <w:spacing w:line="240" w:lineRule="auto"/>
        <w:rPr>
          <w:rFonts w:ascii="Arial" w:hAnsi="Arial" w:cs="Arial"/>
          <w:b/>
          <w:bCs/>
        </w:rPr>
      </w:pPr>
      <w:r>
        <w:rPr>
          <w:rFonts w:ascii="Arial" w:hAnsi="Arial" w:cs="Arial"/>
          <w:b/>
          <w:bCs/>
        </w:rPr>
        <w:lastRenderedPageBreak/>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2E710D3" w14:textId="77777777" w:rsidR="00177B34"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The modern </w:t>
      </w:r>
      <w:r w:rsidR="00EA77AD">
        <w:rPr>
          <w:rFonts w:ascii="Arial" w:hAnsi="Arial" w:cs="Arial"/>
          <w:sz w:val="20"/>
        </w:rPr>
        <w:t xml:space="preserve">Australian </w:t>
      </w:r>
      <w:r w:rsidR="00177B34">
        <w:rPr>
          <w:rFonts w:ascii="Arial" w:hAnsi="Arial" w:cs="Arial"/>
          <w:sz w:val="20"/>
        </w:rPr>
        <w:t xml:space="preserve">principles of statutory </w:t>
      </w:r>
      <w:r w:rsidR="004C7E7D">
        <w:rPr>
          <w:rFonts w:ascii="Arial" w:hAnsi="Arial" w:cs="Arial"/>
          <w:sz w:val="20"/>
        </w:rPr>
        <w:t>interpreta</w:t>
      </w:r>
      <w:r w:rsidR="00177B34">
        <w:rPr>
          <w:rFonts w:ascii="Arial" w:hAnsi="Arial" w:cs="Arial"/>
          <w:sz w:val="20"/>
        </w:rPr>
        <w:t xml:space="preserve">tion </w:t>
      </w:r>
      <w:r w:rsidR="009F7C91">
        <w:rPr>
          <w:rFonts w:ascii="Arial" w:hAnsi="Arial" w:cs="Arial"/>
          <w:sz w:val="20"/>
        </w:rPr>
        <w:t>are</w:t>
      </w:r>
      <w:r w:rsidR="00177B34">
        <w:rPr>
          <w:rFonts w:ascii="Arial" w:hAnsi="Arial" w:cs="Arial"/>
          <w:sz w:val="20"/>
        </w:rPr>
        <w:t xml:space="preserve"> conveniently summarized in the judgment of Dodds-Streeton JA (with which Ashley JA &amp; Hansen AJA agreed) in </w:t>
      </w:r>
      <w:r w:rsidR="00177B34" w:rsidRPr="009013EB">
        <w:rPr>
          <w:rFonts w:ascii="Arial" w:hAnsi="Arial" w:cs="Arial"/>
          <w:i/>
          <w:sz w:val="20"/>
        </w:rPr>
        <w:t>Alinta Asset Management Pty Ltd v Essential Services Commission</w:t>
      </w:r>
      <w:r w:rsidR="00177B34">
        <w:rPr>
          <w:rFonts w:ascii="Arial" w:hAnsi="Arial" w:cs="Arial"/>
          <w:sz w:val="20"/>
        </w:rPr>
        <w:t xml:space="preserve"> [2008] VSCA 273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E10E562"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Wilson JJ.  See also </w:t>
      </w:r>
      <w:r w:rsidRPr="00A616AE">
        <w:rPr>
          <w:rFonts w:ascii="Arial" w:hAnsi="Arial" w:cs="Arial"/>
          <w:i/>
          <w:sz w:val="18"/>
          <w:szCs w:val="18"/>
        </w:rPr>
        <w:t>South West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lastRenderedPageBreak/>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lastRenderedPageBreak/>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22A5504C" w14:textId="14AF6491" w:rsidR="00DB7E9B" w:rsidRDefault="00DB7E9B" w:rsidP="00177B34">
      <w:pPr>
        <w:jc w:val="both"/>
        <w:rPr>
          <w:rFonts w:ascii="Arial" w:hAnsi="Arial" w:cs="Arial"/>
          <w:sz w:val="20"/>
        </w:rPr>
      </w:pPr>
      <w:r>
        <w:rPr>
          <w:rFonts w:ascii="Arial" w:hAnsi="Arial" w:cs="Arial"/>
          <w:sz w:val="20"/>
        </w:rPr>
        <w:t xml:space="preserve">See also </w:t>
      </w:r>
      <w:bookmarkStart w:id="897"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897"/>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p>
    <w:p w14:paraId="58868AB9" w14:textId="77777777" w:rsidR="004C7D62" w:rsidRDefault="004C7D62"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898"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898"/>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 xml:space="preserve">In brief, a commercial contract is to be construed objectively, by reference to its text, context, and commercial purpose. Ordinarily, the relevant context is confined to the </w:t>
      </w:r>
      <w:r w:rsidRPr="00967849">
        <w:rPr>
          <w:rFonts w:ascii="Arial" w:hAnsi="Arial" w:cs="Arial"/>
          <w:sz w:val="20"/>
        </w:rPr>
        <w:lastRenderedPageBreak/>
        <w:t>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lastRenderedPageBreak/>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899"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899"/>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900"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lastRenderedPageBreak/>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[23]–[24]</w:t>
      </w:r>
      <w:r>
        <w:rPr>
          <w:rFonts w:ascii="Arial" w:hAnsi="Arial" w:cs="Arial"/>
          <w:sz w:val="20"/>
        </w:rPr>
        <w:t xml:space="preserve">, </w:t>
      </w:r>
      <w:r w:rsidRPr="00452120">
        <w:rPr>
          <w:rFonts w:ascii="Arial" w:hAnsi="Arial" w:cs="Arial"/>
          <w:sz w:val="20"/>
        </w:rPr>
        <w:t>[63]–[66]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lastRenderedPageBreak/>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01"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02"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02"/>
      <w:r w:rsidR="000631D5">
        <w:rPr>
          <w:rFonts w:ascii="Arial" w:hAnsi="Arial" w:cs="Arial"/>
          <w:sz w:val="20"/>
        </w:rPr>
        <w:t>.</w:t>
      </w:r>
      <w:bookmarkEnd w:id="901"/>
    </w:p>
    <w:p w14:paraId="456D7886" w14:textId="77777777" w:rsidR="00AA1ABD" w:rsidRDefault="00AA1ABD" w:rsidP="00641166">
      <w:pPr>
        <w:jc w:val="both"/>
        <w:rPr>
          <w:rFonts w:ascii="Arial" w:hAnsi="Arial" w:cs="Arial"/>
          <w:sz w:val="20"/>
        </w:rPr>
      </w:pPr>
    </w:p>
    <w:bookmarkEnd w:id="900"/>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03" w:name="_3.7_Judgments_-"/>
      <w:bookmarkStart w:id="904" w:name="B37"/>
      <w:bookmarkEnd w:id="903"/>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sidR="00A01EEC">
        <w:rPr>
          <w:rFonts w:ascii="Arial" w:hAnsi="Arial" w:cs="Arial"/>
          <w:b/>
          <w:bCs/>
        </w:rPr>
        <w:t xml:space="preserve"> &amp; Orders</w:t>
      </w:r>
      <w:bookmarkEnd w:id="896"/>
    </w:p>
    <w:bookmarkEnd w:id="904"/>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05" w:name="_3.7.1_Explanation_&amp;"/>
      <w:bookmarkStart w:id="906" w:name="B371"/>
      <w:bookmarkStart w:id="907" w:name="_Toc30652642"/>
      <w:bookmarkStart w:id="908" w:name="_Toc30652740"/>
      <w:bookmarkStart w:id="909" w:name="_Toc30654085"/>
      <w:bookmarkStart w:id="910" w:name="_Toc30654436"/>
      <w:bookmarkStart w:id="911" w:name="_Toc30655055"/>
      <w:bookmarkStart w:id="912" w:name="_Toc30655312"/>
      <w:bookmarkStart w:id="913" w:name="_Toc30656990"/>
      <w:bookmarkStart w:id="914" w:name="_Toc30661739"/>
      <w:bookmarkStart w:id="915" w:name="_Toc30666427"/>
      <w:bookmarkStart w:id="916" w:name="_Toc30666657"/>
      <w:bookmarkStart w:id="917" w:name="_Toc30667832"/>
      <w:bookmarkStart w:id="918" w:name="_Toc30669210"/>
      <w:bookmarkStart w:id="919" w:name="_Toc30671426"/>
      <w:bookmarkStart w:id="920" w:name="_Toc30673953"/>
      <w:bookmarkStart w:id="921" w:name="_Toc30691175"/>
      <w:bookmarkStart w:id="922" w:name="_Toc30691546"/>
      <w:bookmarkStart w:id="923" w:name="_Toc30691926"/>
      <w:bookmarkStart w:id="924" w:name="_Toc30692685"/>
      <w:bookmarkStart w:id="925" w:name="_Toc30693064"/>
      <w:bookmarkStart w:id="926" w:name="_Toc30693442"/>
      <w:bookmarkStart w:id="927" w:name="_Toc30693821"/>
      <w:bookmarkStart w:id="928" w:name="_Toc30694202"/>
      <w:bookmarkStart w:id="929" w:name="_Toc30698791"/>
      <w:bookmarkStart w:id="930" w:name="_Toc30699169"/>
      <w:bookmarkStart w:id="931" w:name="_Toc30699554"/>
      <w:bookmarkStart w:id="932" w:name="_Toc30700709"/>
      <w:bookmarkStart w:id="933" w:name="_Toc30701096"/>
      <w:bookmarkStart w:id="934" w:name="_Toc30743705"/>
      <w:bookmarkStart w:id="935" w:name="_Toc30754527"/>
      <w:bookmarkStart w:id="936" w:name="_Toc30756967"/>
      <w:bookmarkStart w:id="937" w:name="_Toc30757516"/>
      <w:bookmarkStart w:id="938" w:name="_Toc30757916"/>
      <w:bookmarkStart w:id="939" w:name="_Toc30762677"/>
      <w:bookmarkStart w:id="940" w:name="_Toc30767331"/>
      <w:bookmarkStart w:id="941" w:name="_Toc34823347"/>
      <w:bookmarkStart w:id="942" w:name="_Toc58831508"/>
      <w:bookmarkEnd w:id="905"/>
      <w:bookmarkEnd w:id="906"/>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Both Ms D and Mr D need to stand back and appreciate their boys are well cared for by both parents. From everything I have read, they are generally happy, healthy, well-educated and content boys. As I set out below, if they have frustrations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43"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2" w:tgtFrame="_blank" w:history="1">
        <w:r w:rsidRPr="000E21E7">
          <w:rPr>
            <w:rStyle w:val="Hyperlink"/>
            <w:rFonts w:ascii="Arial" w:hAnsi="Arial" w:cs="Arial"/>
            <w:sz w:val="20"/>
          </w:rPr>
          <w:t>here</w:t>
        </w:r>
      </w:hyperlink>
      <w:r>
        <w:rPr>
          <w:rFonts w:ascii="Arial" w:hAnsi="Arial" w:cs="Arial"/>
          <w:sz w:val="20"/>
        </w:rPr>
        <w:t>.</w:t>
      </w:r>
    </w:p>
    <w:bookmarkEnd w:id="943"/>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3"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taken into account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44" w:name="_3.7.2_Provision_of"/>
      <w:bookmarkEnd w:id="944"/>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45" w:name="_3.7.2_Judgments"/>
      <w:bookmarkStart w:id="946" w:name="B372"/>
      <w:bookmarkStart w:id="947" w:name="_Toc58831510"/>
      <w:bookmarkEnd w:id="945"/>
      <w:bookmarkEnd w:id="946"/>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47"/>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‘enter into’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State">
        <w:smartTag w:uri="urn:schemas-microsoft-com:office:smarttags" w:element="plac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48" w:name="_Toc30608810"/>
      <w:bookmarkStart w:id="949" w:name="_Toc30610024"/>
      <w:bookmarkStart w:id="950" w:name="_Toc30610268"/>
      <w:bookmarkStart w:id="951" w:name="_Toc30638422"/>
      <w:bookmarkStart w:id="952" w:name="_Toc30644231"/>
      <w:bookmarkStart w:id="953" w:name="_Toc30644634"/>
      <w:bookmarkStart w:id="954" w:name="_Toc30645184"/>
      <w:bookmarkStart w:id="955" w:name="_Toc30646395"/>
      <w:bookmarkStart w:id="956" w:name="_Toc30646690"/>
      <w:bookmarkStart w:id="957" w:name="_Toc30646801"/>
      <w:bookmarkStart w:id="958" w:name="_Toc30648158"/>
      <w:bookmarkStart w:id="959" w:name="_Toc30649056"/>
      <w:bookmarkStart w:id="960" w:name="_Toc30649132"/>
      <w:bookmarkStart w:id="961" w:name="_Toc30649393"/>
      <w:bookmarkStart w:id="962" w:name="_Toc30649718"/>
      <w:bookmarkStart w:id="963" w:name="_Toc30651658"/>
      <w:bookmarkStart w:id="964" w:name="_Toc30652644"/>
      <w:bookmarkStart w:id="965" w:name="_Toc30652742"/>
      <w:bookmarkStart w:id="966" w:name="_Toc30654087"/>
      <w:bookmarkStart w:id="967" w:name="_Toc30654438"/>
      <w:bookmarkStart w:id="968" w:name="_Toc30655057"/>
      <w:bookmarkStart w:id="969" w:name="_Toc30655314"/>
      <w:bookmarkStart w:id="970" w:name="_Toc30656992"/>
      <w:bookmarkStart w:id="971" w:name="_Toc30661741"/>
      <w:bookmarkStart w:id="972" w:name="_Toc30666429"/>
      <w:bookmarkStart w:id="973" w:name="_Toc30666659"/>
      <w:bookmarkStart w:id="974" w:name="_Toc30667834"/>
      <w:bookmarkStart w:id="975" w:name="_Toc30669212"/>
      <w:bookmarkStart w:id="976" w:name="_Toc30671428"/>
      <w:bookmarkStart w:id="977" w:name="_Toc30673955"/>
      <w:bookmarkStart w:id="978" w:name="_Toc30691177"/>
      <w:bookmarkStart w:id="979" w:name="_Toc30691548"/>
      <w:bookmarkStart w:id="980" w:name="_Toc30691928"/>
      <w:bookmarkStart w:id="981" w:name="_Toc30692687"/>
      <w:bookmarkStart w:id="982" w:name="_Toc30693066"/>
      <w:bookmarkStart w:id="983" w:name="_Toc30693444"/>
      <w:bookmarkStart w:id="984" w:name="_Toc30693823"/>
      <w:bookmarkStart w:id="985" w:name="_Toc30694204"/>
      <w:bookmarkStart w:id="986" w:name="_Toc30698793"/>
      <w:bookmarkStart w:id="987" w:name="_Toc30699171"/>
      <w:bookmarkStart w:id="988" w:name="_Toc30699556"/>
      <w:bookmarkStart w:id="989" w:name="_Toc30700711"/>
      <w:bookmarkStart w:id="990" w:name="_Toc30701098"/>
      <w:bookmarkStart w:id="991" w:name="_Toc30743707"/>
      <w:bookmarkStart w:id="992" w:name="_Toc30754529"/>
      <w:bookmarkStart w:id="993" w:name="_Toc30756969"/>
      <w:bookmarkStart w:id="994" w:name="_Toc30757518"/>
      <w:bookmarkStart w:id="995" w:name="_Toc30757918"/>
      <w:bookmarkStart w:id="996" w:name="_Toc30762679"/>
      <w:bookmarkStart w:id="997" w:name="_Toc30767333"/>
      <w:bookmarkStart w:id="998" w:name="_Toc34823349"/>
      <w:bookmarkStart w:id="999"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  It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[30]  Where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place">
        <w:smartTag w:uri="urn:schemas-microsoft-com:office:smarttags" w:element="City">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w:t>
      </w:r>
      <w:r w:rsidR="00A962F2">
        <w:rPr>
          <w:rFonts w:ascii="Arial" w:hAnsi="Arial" w:cs="Arial"/>
          <w:color w:val="000000"/>
          <w:sz w:val="20"/>
          <w:szCs w:val="20"/>
        </w:rPr>
        <w:t>…</w:t>
      </w:r>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Fundamentally, the duty is an obligation to explain, however briefly, why the judge came to the conclusion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But, ordinarily, where a judge rejects or excludes from consideration evidence or other material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judge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[14] </w:t>
      </w:r>
      <w:r w:rsidRPr="0037342E">
        <w:rPr>
          <w:rFonts w:ascii="Arial" w:hAnsi="Arial" w:cs="Arial"/>
          <w:sz w:val="20"/>
          <w:szCs w:val="20"/>
        </w:rPr>
        <w:t xml:space="preserve"> This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the trial judge did not find, and in our opinion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 xml:space="preserve">4A  </w:t>
      </w:r>
      <w:r w:rsidRPr="00B50A1D">
        <w:rPr>
          <w:rFonts w:ascii="Arial" w:eastAsia="Book Antiqua" w:hAnsi="Arial" w:cs="Arial"/>
          <w:b/>
          <w:sz w:val="18"/>
          <w:szCs w:val="18"/>
        </w:rPr>
        <w:tab/>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305B5894" w14:textId="2573B4C2" w:rsidR="00E04517" w:rsidRDefault="00E04517" w:rsidP="0005560B">
      <w:pPr>
        <w:jc w:val="both"/>
        <w:rPr>
          <w:rFonts w:ascii="Arial" w:hAnsi="Arial" w:cs="Arial"/>
          <w:color w:val="000000"/>
          <w:sz w:val="20"/>
        </w:rPr>
      </w:pPr>
      <w:r>
        <w:rPr>
          <w:rFonts w:ascii="Arial" w:hAnsi="Arial" w:cs="Arial"/>
          <w:color w:val="000000"/>
          <w:sz w:val="20"/>
        </w:rPr>
        <w:t xml:space="preserve">In </w:t>
      </w:r>
      <w:r w:rsidRPr="00E04517">
        <w:rPr>
          <w:rFonts w:ascii="Arial" w:hAnsi="Arial" w:cs="Arial"/>
          <w:i/>
          <w:iCs/>
          <w:color w:val="000000"/>
          <w:sz w:val="20"/>
        </w:rPr>
        <w:t>Ma</w:t>
      </w:r>
      <w:r w:rsidR="00F31C76">
        <w:rPr>
          <w:rFonts w:ascii="Arial" w:hAnsi="Arial" w:cs="Arial"/>
          <w:i/>
          <w:iCs/>
          <w:color w:val="000000"/>
          <w:sz w:val="20"/>
        </w:rPr>
        <w:t>y &amp; May</w:t>
      </w:r>
      <w:r w:rsidRPr="00E04517">
        <w:rPr>
          <w:rFonts w:ascii="Arial" w:hAnsi="Arial" w:cs="Arial"/>
          <w:i/>
          <w:iCs/>
          <w:color w:val="000000"/>
          <w:sz w:val="20"/>
        </w:rPr>
        <w:t xml:space="preserve"> v HSBC Australia </w:t>
      </w:r>
      <w:r>
        <w:rPr>
          <w:rFonts w:ascii="Arial" w:hAnsi="Arial" w:cs="Arial"/>
          <w:i/>
          <w:iCs/>
          <w:color w:val="000000"/>
          <w:sz w:val="20"/>
        </w:rPr>
        <w:t xml:space="preserve">Bank </w:t>
      </w:r>
      <w:r w:rsidRPr="00E04517">
        <w:rPr>
          <w:rFonts w:ascii="Arial" w:hAnsi="Arial" w:cs="Arial"/>
          <w:i/>
          <w:iCs/>
          <w:color w:val="000000"/>
          <w:sz w:val="20"/>
        </w:rPr>
        <w:t>Limited</w:t>
      </w:r>
      <w:r>
        <w:rPr>
          <w:rFonts w:ascii="Arial" w:hAnsi="Arial" w:cs="Arial"/>
          <w:color w:val="000000"/>
          <w:sz w:val="20"/>
        </w:rPr>
        <w:t xml:space="preserve"> [2025] VSCA 311 the unrepresented applicants sought leave to appeal a summary judgment which the respondent bank had obtained against them, claiming</w:t>
      </w:r>
      <w:r w:rsidR="00F31C76">
        <w:rPr>
          <w:rFonts w:ascii="Arial" w:hAnsi="Arial" w:cs="Arial"/>
          <w:color w:val="000000"/>
          <w:sz w:val="20"/>
        </w:rPr>
        <w:t>,</w:t>
      </w:r>
      <w:r>
        <w:rPr>
          <w:rFonts w:ascii="Arial" w:hAnsi="Arial" w:cs="Arial"/>
          <w:color w:val="000000"/>
          <w:sz w:val="20"/>
        </w:rPr>
        <w:t xml:space="preserve"> </w:t>
      </w:r>
      <w:r w:rsidR="00F31C76" w:rsidRPr="00F31C76">
        <w:rPr>
          <w:rFonts w:ascii="Arial" w:hAnsi="Arial" w:cs="Arial"/>
          <w:i/>
          <w:iCs/>
          <w:color w:val="000000"/>
          <w:sz w:val="20"/>
        </w:rPr>
        <w:t>inter alia</w:t>
      </w:r>
      <w:r w:rsidR="00F31C76">
        <w:rPr>
          <w:rFonts w:ascii="Arial" w:hAnsi="Arial" w:cs="Arial"/>
          <w:color w:val="000000"/>
          <w:sz w:val="20"/>
        </w:rPr>
        <w:t xml:space="preserve">, </w:t>
      </w:r>
      <w:r>
        <w:rPr>
          <w:rFonts w:ascii="Arial" w:hAnsi="Arial" w:cs="Arial"/>
          <w:color w:val="000000"/>
          <w:sz w:val="20"/>
        </w:rPr>
        <w:t xml:space="preserve">that an admitted </w:t>
      </w:r>
      <w:r w:rsidRPr="00E04517">
        <w:rPr>
          <w:rFonts w:ascii="Arial" w:hAnsi="Arial" w:cs="Arial"/>
          <w:color w:val="000000"/>
          <w:sz w:val="20"/>
        </w:rPr>
        <w:t>mortgage was not a contract and not binding</w:t>
      </w:r>
      <w:r>
        <w:rPr>
          <w:rFonts w:ascii="Arial" w:hAnsi="Arial" w:cs="Arial"/>
          <w:color w:val="000000"/>
          <w:sz w:val="20"/>
        </w:rPr>
        <w:t xml:space="preserve"> and that the judge’s reaso</w:t>
      </w:r>
      <w:r w:rsidR="00F31C76">
        <w:rPr>
          <w:rFonts w:ascii="Arial" w:hAnsi="Arial" w:cs="Arial"/>
          <w:color w:val="000000"/>
          <w:sz w:val="20"/>
        </w:rPr>
        <w:t>n</w:t>
      </w:r>
      <w:r>
        <w:rPr>
          <w:rFonts w:ascii="Arial" w:hAnsi="Arial" w:cs="Arial"/>
          <w:color w:val="000000"/>
          <w:sz w:val="20"/>
        </w:rPr>
        <w:t xml:space="preserve">s </w:t>
      </w:r>
      <w:r w:rsidR="00F31C76">
        <w:rPr>
          <w:rFonts w:ascii="Arial" w:hAnsi="Arial" w:cs="Arial"/>
          <w:color w:val="000000"/>
          <w:sz w:val="20"/>
        </w:rPr>
        <w:t>were inadequate. In refusing leave to appeal Walker &amp; Richards JJA said at [52]-[53]:</w:t>
      </w:r>
    </w:p>
    <w:p w14:paraId="50CA2C27" w14:textId="0E069751" w:rsidR="00F31C76" w:rsidRDefault="00F31C76" w:rsidP="00F31C76">
      <w:pPr>
        <w:spacing w:before="60"/>
        <w:ind w:left="454" w:right="454"/>
        <w:jc w:val="both"/>
        <w:rPr>
          <w:rFonts w:ascii="Arial" w:hAnsi="Arial" w:cs="Arial"/>
          <w:color w:val="000000"/>
          <w:sz w:val="20"/>
        </w:rPr>
      </w:pPr>
      <w:r>
        <w:rPr>
          <w:rFonts w:ascii="Arial" w:hAnsi="Arial" w:cs="Arial"/>
          <w:sz w:val="20"/>
          <w:szCs w:val="20"/>
        </w:rPr>
        <w:t>[52] “</w:t>
      </w:r>
      <w:r w:rsidR="00E04517" w:rsidRPr="00E04517">
        <w:rPr>
          <w:rFonts w:ascii="Arial" w:hAnsi="Arial" w:cs="Arial"/>
          <w:color w:val="000000"/>
          <w:sz w:val="20"/>
        </w:rPr>
        <w:t xml:space="preserve">As Gleeson CJ, McHugh and Gummow J observed in </w:t>
      </w:r>
      <w:proofErr w:type="spellStart"/>
      <w:r w:rsidR="00E04517" w:rsidRPr="00F31C76">
        <w:rPr>
          <w:rFonts w:ascii="Arial" w:hAnsi="Arial" w:cs="Arial"/>
          <w:i/>
          <w:iCs/>
          <w:color w:val="000000"/>
          <w:sz w:val="20"/>
        </w:rPr>
        <w:t>Whisprun</w:t>
      </w:r>
      <w:proofErr w:type="spellEnd"/>
      <w:r w:rsidR="00E04517" w:rsidRPr="00F31C76">
        <w:rPr>
          <w:rFonts w:ascii="Arial" w:hAnsi="Arial" w:cs="Arial"/>
          <w:i/>
          <w:iCs/>
          <w:color w:val="000000"/>
          <w:sz w:val="20"/>
        </w:rPr>
        <w:t xml:space="preserve"> Pty Ltd v Dixon</w:t>
      </w:r>
      <w:r>
        <w:rPr>
          <w:rFonts w:ascii="Arial" w:hAnsi="Arial" w:cs="Arial"/>
          <w:color w:val="000000"/>
          <w:sz w:val="20"/>
        </w:rPr>
        <w:t xml:space="preserve"> </w:t>
      </w:r>
      <w:r w:rsidRPr="00E04517">
        <w:rPr>
          <w:rFonts w:ascii="Arial" w:hAnsi="Arial" w:cs="Arial"/>
          <w:color w:val="000000"/>
          <w:sz w:val="20"/>
        </w:rPr>
        <w:t>(2003) 77 ALJR 1598, 1610 [62]</w:t>
      </w:r>
      <w:r>
        <w:rPr>
          <w:rFonts w:ascii="Arial" w:hAnsi="Arial" w:cs="Arial"/>
          <w:color w:val="000000"/>
          <w:sz w:val="20"/>
        </w:rPr>
        <w:t>; [2003] HCA 48:</w:t>
      </w:r>
    </w:p>
    <w:p w14:paraId="3DB5A64D" w14:textId="15BA17D6" w:rsidR="00F31C76" w:rsidRPr="00F31C76" w:rsidRDefault="00F31C76" w:rsidP="00F31C76">
      <w:pPr>
        <w:spacing w:before="60"/>
        <w:ind w:left="907" w:right="907"/>
        <w:jc w:val="both"/>
        <w:rPr>
          <w:rFonts w:ascii="Arial" w:hAnsi="Arial" w:cs="Arial"/>
          <w:color w:val="000000"/>
          <w:sz w:val="18"/>
          <w:szCs w:val="22"/>
        </w:rPr>
      </w:pPr>
      <w:r w:rsidRPr="00F31C76">
        <w:rPr>
          <w:rFonts w:ascii="Arial" w:hAnsi="Arial" w:cs="Arial"/>
          <w:color w:val="000000"/>
          <w:sz w:val="18"/>
          <w:szCs w:val="22"/>
        </w:rPr>
        <w:t>A judge’s reasons are not required to mention every fact or argument relied on by the losing party as relevant to an issue. Judgments of trial judges would soon become longer than they already are if a judge’s failure to mention such facts and arguments would be evidence that he or she had not properly considered the losing party’s case.</w:t>
      </w:r>
    </w:p>
    <w:p w14:paraId="7C85379C" w14:textId="673C83B8" w:rsidR="00F31C76" w:rsidRDefault="00F31C76" w:rsidP="00F31C76">
      <w:pPr>
        <w:spacing w:before="60"/>
        <w:ind w:left="454" w:right="454"/>
        <w:jc w:val="both"/>
        <w:rPr>
          <w:rFonts w:ascii="Arial" w:hAnsi="Arial" w:cs="Arial"/>
          <w:color w:val="000000"/>
          <w:sz w:val="20"/>
        </w:rPr>
      </w:pPr>
      <w:r>
        <w:rPr>
          <w:rFonts w:ascii="Arial" w:hAnsi="Arial" w:cs="Arial"/>
          <w:color w:val="000000"/>
          <w:sz w:val="20"/>
        </w:rPr>
        <w:t xml:space="preserve">[53] </w:t>
      </w:r>
      <w:r w:rsidRPr="00E04517">
        <w:rPr>
          <w:rFonts w:ascii="Arial" w:hAnsi="Arial" w:cs="Arial"/>
          <w:color w:val="000000"/>
          <w:sz w:val="20"/>
        </w:rPr>
        <w:t>In the present case the judge’s reasons sufficiently dealt with the issues necessary to explain his Honour’s decision to grant summary judgment to HSBC and to set aside the notice to admit. Indeed, in light of the nonsensical nature of the Mays’ arguments, the judge went beyond what was required. This ground of appeal has no prospect of success.</w:t>
      </w:r>
      <w:r>
        <w:rPr>
          <w:rFonts w:ascii="Arial" w:hAnsi="Arial" w:cs="Arial"/>
          <w:color w:val="000000"/>
          <w:sz w:val="20"/>
        </w:rPr>
        <w:t>”</w:t>
      </w:r>
    </w:p>
    <w:p w14:paraId="4AE4E562" w14:textId="17962567" w:rsidR="00E04517" w:rsidRPr="00F31C76" w:rsidRDefault="00E04517" w:rsidP="00F31C76">
      <w:pPr>
        <w:spacing w:before="60"/>
        <w:ind w:right="454"/>
        <w:jc w:val="both"/>
        <w:rPr>
          <w:rFonts w:ascii="Arial" w:hAnsi="Arial" w:cs="Arial"/>
          <w:sz w:val="20"/>
          <w:szCs w:val="20"/>
        </w:rPr>
      </w:pPr>
    </w:p>
    <w:p w14:paraId="01153A31" w14:textId="66CA86C0"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The Royal Dental 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 xml:space="preserve">VCP Investments Pty Ltd v J </w:t>
      </w:r>
      <w:r w:rsidR="009B37E3" w:rsidRPr="00986720">
        <w:rPr>
          <w:rFonts w:ascii="Arial" w:hAnsi="Arial" w:cs="Arial"/>
          <w:i/>
          <w:color w:val="000000"/>
          <w:sz w:val="20"/>
        </w:rPr>
        <w:lastRenderedPageBreak/>
        <w:t>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1000"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1000"/>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E04517">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lastRenderedPageBreak/>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place">
        <w:smartTag w:uri="urn:schemas-microsoft-com:office:smarttags" w:element="Stat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167</w:t>
      </w:r>
      <w:r w:rsidR="00840F82">
        <w:rPr>
          <w:rFonts w:ascii="Arial" w:hAnsi="Arial" w:cs="Arial"/>
          <w:sz w:val="20"/>
          <w:szCs w:val="20"/>
        </w:rPr>
        <w:t xml:space="preserve">  at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55B75AD9" w14:textId="18AC8681" w:rsidR="00EE547E" w:rsidRDefault="00EE547E">
      <w:pPr>
        <w:rPr>
          <w:rFonts w:ascii="Arial" w:hAnsi="Arial" w:cs="Arial"/>
          <w:sz w:val="20"/>
        </w:rPr>
      </w:pPr>
      <w:bookmarkStart w:id="1001" w:name="_Toc58831516"/>
    </w:p>
    <w:p w14:paraId="7625129E" w14:textId="09EE6169" w:rsidR="00B21DA4" w:rsidRDefault="00B21DA4">
      <w:pPr>
        <w:pStyle w:val="Heading2"/>
        <w:keepNext/>
        <w:keepLines/>
        <w:tabs>
          <w:tab w:val="left" w:pos="567"/>
        </w:tabs>
        <w:spacing w:line="240" w:lineRule="auto"/>
        <w:rPr>
          <w:rFonts w:ascii="Arial" w:hAnsi="Arial" w:cs="Arial"/>
          <w:b/>
          <w:bCs/>
        </w:rPr>
      </w:pPr>
      <w:bookmarkStart w:id="1002" w:name="_3.8_Amending_judgments"/>
      <w:bookmarkStart w:id="1003" w:name="B38"/>
      <w:bookmarkEnd w:id="1002"/>
      <w:bookmarkEnd w:id="1003"/>
      <w:r>
        <w:rPr>
          <w:rFonts w:ascii="Arial" w:hAnsi="Arial" w:cs="Arial"/>
          <w:b/>
          <w:bCs/>
        </w:rPr>
        <w:lastRenderedPageBreak/>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01"/>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04" w:name="_3.8.1_The_‘slip"/>
      <w:bookmarkEnd w:id="1004"/>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4"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5"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[40]</w:t>
      </w:r>
      <w:r w:rsidR="00C417D0">
        <w:rPr>
          <w:rFonts w:ascii="Arial" w:hAnsi="Arial" w:cs="Arial"/>
          <w:sz w:val="20"/>
          <w:szCs w:val="16"/>
        </w:rPr>
        <w:noBreakHyphen/>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w:t>
      </w:r>
      <w:r w:rsidRPr="00BD2080">
        <w:rPr>
          <w:rFonts w:ascii="Arial" w:eastAsia="Book Antiqua" w:hAnsi="Arial" w:cs="Arial"/>
          <w:i/>
          <w:sz w:val="20"/>
          <w:szCs w:val="20"/>
        </w:rPr>
        <w:lastRenderedPageBreak/>
        <w:t xml:space="preserve">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  "Rule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[33]  In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Exceptions founded upon the inherent jurisdiction of the court to ensure that its procedures do not effect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05"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place">
        <w:smartTag w:uri="urn:schemas-microsoft-com:office:smarttags" w:element="City">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05"/>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lastRenderedPageBreak/>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taking into account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w:t>
      </w:r>
      <w:r w:rsidRPr="00457498">
        <w:rPr>
          <w:rFonts w:ascii="Arial" w:hAnsi="Arial" w:cs="Arial"/>
          <w:sz w:val="20"/>
        </w:rPr>
        <w:lastRenderedPageBreak/>
        <w:t xml:space="preserve">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70793C5B" w14:textId="4746CE01" w:rsidR="001F4A69" w:rsidRDefault="0051022B" w:rsidP="00492138">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8357AD">
        <w:rPr>
          <w:rFonts w:ascii="Arial" w:hAnsi="Arial" w:cs="Arial"/>
          <w:sz w:val="20"/>
          <w:szCs w:val="20"/>
        </w:rPr>
        <w:t>.</w:t>
      </w:r>
    </w:p>
    <w:p w14:paraId="5EE5815C" w14:textId="77777777" w:rsidR="00FE777C" w:rsidRDefault="00FE777C" w:rsidP="00FE777C">
      <w:pPr>
        <w:jc w:val="both"/>
        <w:rPr>
          <w:rFonts w:ascii="Arial" w:hAnsi="Arial" w:cs="Arial"/>
          <w:color w:val="000000"/>
          <w:sz w:val="20"/>
        </w:rPr>
      </w:pPr>
      <w:bookmarkStart w:id="1006" w:name="_3.9_Costs"/>
      <w:bookmarkStart w:id="1007" w:name="B39"/>
      <w:bookmarkEnd w:id="1006"/>
      <w:bookmarkEnd w:id="1007"/>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08" w:name="_3.8.2_Reopening_cases"/>
      <w:bookmarkEnd w:id="1008"/>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w:t>
      </w:r>
      <w:r w:rsidRPr="006E3E5F">
        <w:rPr>
          <w:rFonts w:ascii="Arial" w:hAnsi="Arial" w:cs="Arial"/>
          <w:sz w:val="20"/>
          <w:szCs w:val="20"/>
        </w:rPr>
        <w:lastRenderedPageBreak/>
        <w:t>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243920B9" w14:textId="77777777" w:rsidR="00457498" w:rsidRPr="00836E86" w:rsidRDefault="00457498" w:rsidP="0047078B">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09" w:name="_3.9_Costs_1"/>
      <w:bookmarkStart w:id="1010" w:name="_Hlk149197444"/>
      <w:bookmarkEnd w:id="1009"/>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3C27E962" w14:textId="77777777" w:rsidR="00B21DA4" w:rsidRDefault="00B21DA4" w:rsidP="005022CC">
      <w:pPr>
        <w:keepNext/>
        <w:jc w:val="both"/>
        <w:rPr>
          <w:rFonts w:ascii="Arial" w:hAnsi="Arial" w:cs="Arial"/>
          <w:sz w:val="20"/>
        </w:rPr>
      </w:pPr>
    </w:p>
    <w:bookmarkEnd w:id="1010"/>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11"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11"/>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[16]</w:t>
      </w:r>
      <w:r>
        <w:rPr>
          <w:rFonts w:ascii="Arial" w:hAnsi="Arial" w:cs="Arial"/>
          <w:sz w:val="20"/>
          <w:szCs w:val="20"/>
        </w:rPr>
        <w:noBreakHyphen/>
      </w:r>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However, how that power is to be exercised is informed by section 24(2). Plainly, the legislature intended a manifestly different approach in relation to criminal proceedings, reflected by the well-established general practice in criminal proceedings that the Crown neither gives or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Default="00AB7801" w:rsidP="00213989">
      <w:pPr>
        <w:jc w:val="both"/>
        <w:textAlignment w:val="baseline"/>
        <w:rPr>
          <w:rFonts w:ascii="Arial" w:hAnsi="Arial" w:cs="Arial"/>
          <w:color w:val="000000"/>
          <w:sz w:val="20"/>
          <w:szCs w:val="20"/>
          <w:lang w:eastAsia="en-AU"/>
        </w:rPr>
      </w:pPr>
    </w:p>
    <w:p w14:paraId="44EA502D" w14:textId="7015CD30" w:rsidR="00BB66EC" w:rsidRDefault="00BB66EC"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BB66EC">
        <w:rPr>
          <w:rFonts w:ascii="Arial" w:hAnsi="Arial" w:cs="Arial"/>
          <w:i/>
          <w:iCs/>
          <w:color w:val="000000"/>
          <w:sz w:val="20"/>
          <w:szCs w:val="20"/>
          <w:lang w:eastAsia="en-AU"/>
        </w:rPr>
        <w:t>Akers v Victoria Police</w:t>
      </w:r>
      <w:r>
        <w:rPr>
          <w:rFonts w:ascii="Arial" w:hAnsi="Arial" w:cs="Arial"/>
          <w:color w:val="000000"/>
          <w:sz w:val="20"/>
          <w:szCs w:val="20"/>
          <w:lang w:eastAsia="en-AU"/>
        </w:rPr>
        <w:t xml:space="preserve"> [2025] VSCA 341 the applicant </w:t>
      </w:r>
      <w:r w:rsidR="009A3F05">
        <w:rPr>
          <w:rFonts w:ascii="Arial" w:hAnsi="Arial" w:cs="Arial"/>
          <w:color w:val="000000"/>
          <w:sz w:val="20"/>
          <w:szCs w:val="20"/>
          <w:lang w:eastAsia="en-AU"/>
        </w:rPr>
        <w:t>sought</w:t>
      </w:r>
      <w:r>
        <w:rPr>
          <w:rFonts w:ascii="Arial" w:hAnsi="Arial" w:cs="Arial"/>
          <w:color w:val="000000"/>
          <w:sz w:val="20"/>
          <w:szCs w:val="20"/>
          <w:lang w:eastAsia="en-AU"/>
        </w:rPr>
        <w:t xml:space="preserve"> leave to appeal against a</w:t>
      </w:r>
      <w:r w:rsidR="009A3F05">
        <w:rPr>
          <w:rFonts w:ascii="Arial" w:hAnsi="Arial" w:cs="Arial"/>
          <w:color w:val="000000"/>
          <w:sz w:val="20"/>
          <w:szCs w:val="20"/>
          <w:lang w:eastAsia="en-AU"/>
        </w:rPr>
        <w:t>n</w:t>
      </w:r>
      <w:r>
        <w:rPr>
          <w:rFonts w:ascii="Arial" w:hAnsi="Arial" w:cs="Arial"/>
          <w:color w:val="000000"/>
          <w:sz w:val="20"/>
          <w:szCs w:val="20"/>
          <w:lang w:eastAsia="en-AU"/>
        </w:rPr>
        <w:t xml:space="preserve"> order </w:t>
      </w:r>
      <w:r w:rsidR="009A3F05">
        <w:rPr>
          <w:rFonts w:ascii="Arial" w:hAnsi="Arial" w:cs="Arial"/>
          <w:color w:val="000000"/>
          <w:sz w:val="20"/>
          <w:szCs w:val="20"/>
          <w:lang w:eastAsia="en-AU"/>
        </w:rPr>
        <w:t>of</w:t>
      </w:r>
      <w:r>
        <w:rPr>
          <w:rFonts w:ascii="Arial" w:hAnsi="Arial" w:cs="Arial"/>
          <w:color w:val="000000"/>
          <w:sz w:val="20"/>
          <w:szCs w:val="20"/>
          <w:lang w:eastAsia="en-AU"/>
        </w:rPr>
        <w:t xml:space="preserve"> Daly </w:t>
      </w:r>
      <w:proofErr w:type="spellStart"/>
      <w:r>
        <w:rPr>
          <w:rFonts w:ascii="Arial" w:hAnsi="Arial" w:cs="Arial"/>
          <w:color w:val="000000"/>
          <w:sz w:val="20"/>
          <w:szCs w:val="20"/>
          <w:lang w:eastAsia="en-AU"/>
        </w:rPr>
        <w:t>AsJ</w:t>
      </w:r>
      <w:proofErr w:type="spellEnd"/>
      <w:r>
        <w:rPr>
          <w:rFonts w:ascii="Arial" w:hAnsi="Arial" w:cs="Arial"/>
          <w:color w:val="000000"/>
          <w:sz w:val="20"/>
          <w:szCs w:val="20"/>
          <w:lang w:eastAsia="en-AU"/>
        </w:rPr>
        <w:t xml:space="preserve"> </w:t>
      </w:r>
      <w:r w:rsidR="009A3F05">
        <w:rPr>
          <w:rFonts w:ascii="Arial" w:hAnsi="Arial" w:cs="Arial"/>
          <w:color w:val="000000"/>
          <w:sz w:val="20"/>
          <w:szCs w:val="20"/>
          <w:lang w:eastAsia="en-AU"/>
        </w:rPr>
        <w:t>requiring</w:t>
      </w:r>
      <w:r>
        <w:rPr>
          <w:rFonts w:ascii="Arial" w:hAnsi="Arial" w:cs="Arial"/>
          <w:color w:val="000000"/>
          <w:sz w:val="20"/>
          <w:szCs w:val="20"/>
          <w:lang w:eastAsia="en-AU"/>
        </w:rPr>
        <w:t xml:space="preserve"> him to pay 75% of the respondent’s costs. Beach JA dismissed the application, holding that the proposed appeal had no prospect of success. At [19]-[22] &amp; </w:t>
      </w:r>
      <w:r w:rsidR="009A3F05">
        <w:rPr>
          <w:rFonts w:ascii="Arial" w:hAnsi="Arial" w:cs="Arial"/>
          <w:color w:val="000000"/>
          <w:sz w:val="20"/>
          <w:szCs w:val="20"/>
          <w:lang w:eastAsia="en-AU"/>
        </w:rPr>
        <w:t>[26]-</w:t>
      </w:r>
      <w:r>
        <w:rPr>
          <w:rFonts w:ascii="Arial" w:hAnsi="Arial" w:cs="Arial"/>
          <w:color w:val="000000"/>
          <w:sz w:val="20"/>
          <w:szCs w:val="20"/>
          <w:lang w:eastAsia="en-AU"/>
        </w:rPr>
        <w:t>[27] his Honour said:</w:t>
      </w:r>
    </w:p>
    <w:p w14:paraId="3D579105" w14:textId="14046ACA"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rPr>
        <w:t>[19] “</w:t>
      </w:r>
      <w:r w:rsidRPr="00BB66EC">
        <w:rPr>
          <w:rFonts w:ascii="Arial" w:hAnsi="Arial" w:cs="Arial"/>
          <w:color w:val="000000"/>
          <w:sz w:val="20"/>
          <w:szCs w:val="20"/>
          <w:lang w:eastAsia="en-AU"/>
        </w:rPr>
        <w:t>This Court has repeatedly observed that appeals from orders as to costs are treated as exceptional and require this Court to exercise particular restraint</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Cargill Australia Ltd v Viterra Malt Pty Ltd</w:t>
      </w:r>
      <w:r w:rsidRPr="00BB66EC">
        <w:rPr>
          <w:rFonts w:ascii="Arial" w:hAnsi="Arial" w:cs="Arial"/>
          <w:color w:val="000000"/>
          <w:sz w:val="20"/>
          <w:szCs w:val="20"/>
          <w:lang w:eastAsia="en-AU"/>
        </w:rPr>
        <w:t xml:space="preserve"> [2023] VSCA 301, [63]; </w:t>
      </w:r>
      <w:r w:rsidRPr="00BB66EC">
        <w:rPr>
          <w:rFonts w:ascii="Arial" w:hAnsi="Arial" w:cs="Arial"/>
          <w:i/>
          <w:iCs/>
          <w:color w:val="000000"/>
          <w:sz w:val="20"/>
          <w:szCs w:val="20"/>
          <w:lang w:eastAsia="en-AU"/>
        </w:rPr>
        <w:t>Gayed v Yuan</w:t>
      </w:r>
      <w:r w:rsidRPr="00BB66EC">
        <w:rPr>
          <w:rFonts w:ascii="Arial" w:hAnsi="Arial" w:cs="Arial"/>
          <w:color w:val="000000"/>
          <w:sz w:val="20"/>
          <w:szCs w:val="20"/>
          <w:lang w:eastAsia="en-AU"/>
        </w:rPr>
        <w:t xml:space="preserve"> [2024] VSCA 85, [51]. Moreover, there is a strong presumption in favour of the correctness of an exercise of discretion on costs</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Li v So</w:t>
      </w:r>
      <w:r w:rsidRPr="00BB66EC">
        <w:rPr>
          <w:rFonts w:ascii="Arial" w:hAnsi="Arial" w:cs="Arial"/>
          <w:color w:val="000000"/>
          <w:sz w:val="20"/>
          <w:szCs w:val="20"/>
          <w:lang w:eastAsia="en-AU"/>
        </w:rPr>
        <w:t xml:space="preserve"> [2021] VSCA 32, [75]; </w:t>
      </w:r>
      <w:r w:rsidRPr="00BB66EC">
        <w:rPr>
          <w:rFonts w:ascii="Arial" w:hAnsi="Arial" w:cs="Arial"/>
          <w:i/>
          <w:iCs/>
          <w:color w:val="000000"/>
          <w:sz w:val="20"/>
          <w:szCs w:val="20"/>
          <w:lang w:eastAsia="en-AU"/>
        </w:rPr>
        <w:t xml:space="preserve">State of Victoria v </w:t>
      </w:r>
      <w:proofErr w:type="spellStart"/>
      <w:r w:rsidRPr="00BB66EC">
        <w:rPr>
          <w:rFonts w:ascii="Arial" w:hAnsi="Arial" w:cs="Arial"/>
          <w:i/>
          <w:iCs/>
          <w:color w:val="000000"/>
          <w:sz w:val="20"/>
          <w:szCs w:val="20"/>
          <w:lang w:eastAsia="en-AU"/>
        </w:rPr>
        <w:t>Villan</w:t>
      </w:r>
      <w:proofErr w:type="spellEnd"/>
      <w:r w:rsidRPr="00BB66EC">
        <w:rPr>
          <w:rFonts w:ascii="Arial" w:hAnsi="Arial" w:cs="Arial"/>
          <w:color w:val="000000"/>
          <w:sz w:val="20"/>
          <w:szCs w:val="20"/>
          <w:lang w:eastAsia="en-AU"/>
        </w:rPr>
        <w:t xml:space="preserve"> [2022] VSCA 106, [40]. The test is not whether this Court would have exercised the discretion in the same way as the associate judge, but whether there was a ground on which her Honour could reasonably have made the order in question</w:t>
      </w:r>
      <w:r>
        <w:rPr>
          <w:rFonts w:ascii="Arial" w:hAnsi="Arial" w:cs="Arial"/>
          <w:color w:val="000000"/>
          <w:sz w:val="20"/>
          <w:szCs w:val="20"/>
          <w:lang w:eastAsia="en-AU"/>
        </w:rPr>
        <w:t>: Ibid.</w:t>
      </w:r>
    </w:p>
    <w:p w14:paraId="15BD8671" w14:textId="4273AE0B"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[20] </w:t>
      </w:r>
      <w:r w:rsidRPr="00BB66EC">
        <w:rPr>
          <w:rFonts w:ascii="Arial" w:hAnsi="Arial" w:cs="Arial"/>
          <w:color w:val="000000"/>
          <w:sz w:val="20"/>
          <w:szCs w:val="20"/>
          <w:lang w:eastAsia="en-AU"/>
        </w:rPr>
        <w:t xml:space="preserve">That said, there is no basis upon which this Court could conclude that her Honour’s decision as to costs was affected by any error. The decision was a discretionary decision, governed by the principles in </w:t>
      </w:r>
      <w:r w:rsidRPr="00BB66EC">
        <w:rPr>
          <w:rFonts w:ascii="Arial" w:hAnsi="Arial" w:cs="Arial"/>
          <w:i/>
          <w:iCs/>
          <w:color w:val="000000"/>
          <w:sz w:val="20"/>
          <w:szCs w:val="20"/>
          <w:lang w:eastAsia="en-AU"/>
        </w:rPr>
        <w:t>House v The King</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(1936) 55 CLR 499, 505. In order to be successful in this Court, the applicant would have to establish that the associate judge acted on a wrong principle, or allowed extraneous or irrelevant matters to guide or affect her, or mistook the facts, or did not take into account some material consideration or that the result reached was unreasonable or plainly unjust</w:t>
      </w:r>
      <w:r>
        <w:rPr>
          <w:rFonts w:ascii="Arial" w:hAnsi="Arial" w:cs="Arial"/>
          <w:color w:val="000000"/>
          <w:sz w:val="20"/>
          <w:szCs w:val="20"/>
          <w:lang w:eastAsia="en-AU"/>
        </w:rPr>
        <w:t>: Ibid</w:t>
      </w:r>
      <w:r w:rsidRPr="00BB66EC">
        <w:rPr>
          <w:rFonts w:ascii="Arial" w:hAnsi="Arial" w:cs="Arial"/>
          <w:color w:val="000000"/>
          <w:sz w:val="20"/>
          <w:szCs w:val="20"/>
          <w:lang w:eastAsia="en-AU"/>
        </w:rPr>
        <w:t>.</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The material discloses that her Honour did not make any of these types of error.</w:t>
      </w:r>
    </w:p>
    <w:p w14:paraId="6B0D8CE4" w14:textId="77777777"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[21] </w:t>
      </w:r>
      <w:r w:rsidRPr="00BB66EC">
        <w:rPr>
          <w:rFonts w:ascii="Arial" w:hAnsi="Arial" w:cs="Arial"/>
          <w:color w:val="000000"/>
          <w:sz w:val="20"/>
          <w:szCs w:val="20"/>
          <w:lang w:eastAsia="en-AU"/>
        </w:rPr>
        <w:t xml:space="preserve">In the Trial Division, the applicant sought leave to appeal from orders made in VCAT on 12 proposed grounds. His application was entirely unsuccessful on those grounds. His amended notice of appeal was struck out in its entirety. The respondent was put to the trouble of defending meritless arguments. The only success the applicant enjoyed was on the basis of reasoning created and developed by the associate judge. The costs of the hearing, development and determination of the points raised by the associate judge could </w:t>
      </w:r>
      <w:r w:rsidRPr="00BB66EC">
        <w:rPr>
          <w:rFonts w:ascii="Arial" w:hAnsi="Arial" w:cs="Arial"/>
          <w:color w:val="000000"/>
          <w:sz w:val="20"/>
          <w:szCs w:val="20"/>
          <w:lang w:eastAsia="en-AU"/>
        </w:rPr>
        <w:lastRenderedPageBreak/>
        <w:t>only be a fraction of the total costs of the proceeding in the Trial Division, given the late stage at which those matters were first raised by her Honour.</w:t>
      </w:r>
    </w:p>
    <w:p w14:paraId="4D0A7B80" w14:textId="60EA412E"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w:t>
      </w:r>
      <w:r w:rsidRPr="00BB66EC">
        <w:rPr>
          <w:rFonts w:ascii="Arial" w:hAnsi="Arial" w:cs="Arial"/>
          <w:color w:val="000000"/>
          <w:sz w:val="20"/>
          <w:szCs w:val="20"/>
          <w:lang w:eastAsia="en-AU"/>
        </w:rPr>
        <w:t>22</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Far from being unreasonable or plainly unjust, her Honour’s costs order was generous to the applicant in that it only required him to pay 75 per cent of the respondent’s costs. Moreover, the fact that, if the associate judge’s resolution of the dispute between the parties had been achieved at VCAT, there would have been no order as to costs, does not in any way suggest that her Honour’s resolution of the costs issue in this case involved </w:t>
      </w:r>
      <w:r w:rsidRPr="00BB66EC">
        <w:rPr>
          <w:rFonts w:ascii="Arial" w:hAnsi="Arial" w:cs="Arial"/>
          <w:i/>
          <w:iCs/>
          <w:color w:val="000000"/>
          <w:sz w:val="20"/>
          <w:szCs w:val="20"/>
          <w:lang w:eastAsia="en-AU"/>
        </w:rPr>
        <w:t>House v The King</w:t>
      </w:r>
      <w:r w:rsidRPr="00BB66EC">
        <w:rPr>
          <w:rFonts w:ascii="Arial" w:hAnsi="Arial" w:cs="Arial"/>
          <w:color w:val="000000"/>
          <w:sz w:val="20"/>
          <w:szCs w:val="20"/>
          <w:lang w:eastAsia="en-AU"/>
        </w:rPr>
        <w:t xml:space="preserve"> error</w:t>
      </w:r>
      <w:r>
        <w:rPr>
          <w:rFonts w:ascii="Arial" w:hAnsi="Arial" w:cs="Arial"/>
          <w:color w:val="000000"/>
          <w:sz w:val="20"/>
          <w:szCs w:val="20"/>
          <w:lang w:eastAsia="en-AU"/>
        </w:rPr>
        <w:t>”</w:t>
      </w:r>
    </w:p>
    <w:p w14:paraId="7CC80C4A" w14:textId="4BCBB6CA" w:rsidR="009A3F05"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[2</w:t>
      </w:r>
      <w:r w:rsidR="009A3F05">
        <w:rPr>
          <w:rFonts w:ascii="Arial" w:hAnsi="Arial" w:cs="Arial"/>
          <w:color w:val="000000"/>
          <w:sz w:val="20"/>
          <w:szCs w:val="20"/>
          <w:lang w:eastAsia="en-AU"/>
        </w:rPr>
        <w:t>6</w:t>
      </w:r>
      <w:r>
        <w:rPr>
          <w:rFonts w:ascii="Arial" w:hAnsi="Arial" w:cs="Arial"/>
          <w:color w:val="000000"/>
          <w:sz w:val="20"/>
          <w:szCs w:val="20"/>
          <w:lang w:eastAsia="en-AU"/>
        </w:rPr>
        <w:t>] “</w:t>
      </w:r>
      <w:r w:rsidR="009A3F05" w:rsidRPr="00BB66EC">
        <w:rPr>
          <w:rFonts w:ascii="Arial" w:hAnsi="Arial" w:cs="Arial"/>
          <w:color w:val="000000"/>
          <w:sz w:val="20"/>
          <w:szCs w:val="20"/>
          <w:lang w:eastAsia="en-AU"/>
        </w:rPr>
        <w:t xml:space="preserve">To the extent that the respondent submitted that, because he was self-represented, some less adverse order as to costs should have been made against him, that submission must also be rejected. Nothing in the applicant’s personal circumstances, or the fact of his self-representation, made the associate judge’s order as to costs erroneous. Moreover, nothing in </w:t>
      </w:r>
      <w:r w:rsidR="009A3F05" w:rsidRPr="009A3F05">
        <w:rPr>
          <w:rFonts w:ascii="Arial" w:hAnsi="Arial" w:cs="Arial"/>
          <w:i/>
          <w:iCs/>
          <w:color w:val="000000"/>
          <w:sz w:val="20"/>
          <w:szCs w:val="20"/>
          <w:lang w:eastAsia="en-AU"/>
        </w:rPr>
        <w:t>Tomasevic v Travaglini</w:t>
      </w:r>
      <w:r w:rsidR="009A3F05">
        <w:rPr>
          <w:rFonts w:ascii="Arial" w:hAnsi="Arial" w:cs="Arial"/>
          <w:color w:val="000000"/>
          <w:sz w:val="20"/>
          <w:szCs w:val="20"/>
          <w:lang w:eastAsia="en-AU"/>
        </w:rPr>
        <w:t xml:space="preserve"> </w:t>
      </w:r>
      <w:r w:rsidR="009A3F05" w:rsidRPr="009A3F05">
        <w:rPr>
          <w:rFonts w:ascii="Arial" w:hAnsi="Arial" w:cs="Arial"/>
          <w:color w:val="000000"/>
          <w:sz w:val="20"/>
          <w:szCs w:val="20"/>
          <w:lang w:eastAsia="en-AU"/>
        </w:rPr>
        <w:t>(2007) 17 VR 100</w:t>
      </w:r>
      <w:r w:rsidR="009A3F05">
        <w:rPr>
          <w:rFonts w:ascii="Arial" w:hAnsi="Arial" w:cs="Arial"/>
          <w:color w:val="000000"/>
          <w:sz w:val="20"/>
          <w:szCs w:val="20"/>
          <w:lang w:eastAsia="en-AU"/>
        </w:rPr>
        <w:t xml:space="preserve"> </w:t>
      </w:r>
      <w:r w:rsidR="009A3F05" w:rsidRPr="00BB66EC">
        <w:rPr>
          <w:rFonts w:ascii="Arial" w:hAnsi="Arial" w:cs="Arial"/>
          <w:color w:val="000000"/>
          <w:sz w:val="20"/>
          <w:szCs w:val="20"/>
          <w:lang w:eastAsia="en-AU"/>
        </w:rPr>
        <w:t>or any of the other cases cited by the applicant assists him on this issue.</w:t>
      </w:r>
    </w:p>
    <w:p w14:paraId="19002543" w14:textId="5EDD818E" w:rsidR="00BB66EC" w:rsidRDefault="009A3F05" w:rsidP="00BB66EC">
      <w:pPr>
        <w:spacing w:before="60"/>
        <w:ind w:left="567" w:right="567"/>
        <w:jc w:val="both"/>
        <w:rPr>
          <w:rFonts w:ascii="Arial" w:hAnsi="Arial" w:cs="Arial"/>
          <w:color w:val="000000"/>
          <w:sz w:val="20"/>
        </w:rPr>
      </w:pPr>
      <w:r>
        <w:rPr>
          <w:rFonts w:ascii="Arial" w:hAnsi="Arial" w:cs="Arial"/>
          <w:color w:val="000000"/>
          <w:sz w:val="20"/>
          <w:szCs w:val="20"/>
          <w:lang w:eastAsia="en-AU"/>
        </w:rPr>
        <w:t>[</w:t>
      </w:r>
      <w:r w:rsidRPr="00BB66EC">
        <w:rPr>
          <w:rFonts w:ascii="Arial" w:hAnsi="Arial" w:cs="Arial"/>
          <w:color w:val="000000"/>
          <w:sz w:val="20"/>
          <w:szCs w:val="20"/>
          <w:lang w:eastAsia="en-AU"/>
        </w:rPr>
        <w:t>27</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Additionally, nothing in the respondent’s conduct of the proceeding in the Trial Division militated against the making of the costs order ultimately made by her Honour. To the contrary, the respondent’s conduct of the proceeding was eminently reasonable and perspicuously fair to the applicant. The applicant has not established the existence of any conduct on the part of the respondent which might disentitle it to an award of costs in its favour.</w:t>
      </w:r>
      <w:r>
        <w:rPr>
          <w:rFonts w:ascii="Arial" w:hAnsi="Arial" w:cs="Arial"/>
          <w:color w:val="000000"/>
          <w:sz w:val="20"/>
          <w:szCs w:val="20"/>
          <w:lang w:eastAsia="en-AU"/>
        </w:rPr>
        <w:t>”</w:t>
      </w:r>
    </w:p>
    <w:p w14:paraId="58449A6C" w14:textId="77777777" w:rsidR="00BB66EC" w:rsidRDefault="00BB66EC" w:rsidP="00213989">
      <w:pPr>
        <w:jc w:val="both"/>
        <w:textAlignment w:val="baseline"/>
        <w:rPr>
          <w:rFonts w:ascii="Arial" w:hAnsi="Arial" w:cs="Arial"/>
          <w:color w:val="000000"/>
          <w:sz w:val="20"/>
          <w:szCs w:val="20"/>
          <w:lang w:eastAsia="en-AU"/>
        </w:rPr>
      </w:pPr>
    </w:p>
    <w:p w14:paraId="44963388" w14:textId="202CC652"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proofErr w:type="spellStart"/>
      <w:r w:rsidR="005539BE" w:rsidRPr="00A82F40">
        <w:rPr>
          <w:rFonts w:ascii="Arial" w:hAnsi="Arial" w:cs="Arial"/>
          <w:i/>
          <w:iCs/>
          <w:color w:val="000000"/>
          <w:sz w:val="20"/>
          <w:szCs w:val="20"/>
          <w:lang w:eastAsia="en-AU"/>
        </w:rPr>
        <w:t>Magis</w:t>
      </w:r>
      <w:r w:rsidR="00E70549">
        <w:rPr>
          <w:rFonts w:ascii="Arial" w:hAnsi="Arial" w:cs="Arial"/>
          <w:i/>
          <w:iCs/>
          <w:color w:val="000000"/>
          <w:sz w:val="20"/>
          <w:szCs w:val="20"/>
          <w:lang w:eastAsia="en-AU"/>
        </w:rPr>
        <w:t>lankb</w:t>
      </w:r>
      <w:r w:rsidR="005539BE" w:rsidRPr="00A82F40">
        <w:rPr>
          <w:rFonts w:ascii="Arial" w:hAnsi="Arial" w:cs="Arial"/>
          <w:i/>
          <w:iCs/>
          <w:color w:val="000000"/>
          <w:sz w:val="20"/>
          <w:szCs w:val="20"/>
          <w:lang w:eastAsia="en-AU"/>
        </w:rPr>
        <w:t>trates</w:t>
      </w:r>
      <w:proofErr w:type="spellEnd"/>
      <w:r w:rsidR="005539BE" w:rsidRPr="00A82F40">
        <w:rPr>
          <w:rFonts w:ascii="Arial" w:hAnsi="Arial" w:cs="Arial"/>
          <w:i/>
          <w:iCs/>
          <w:color w:val="000000"/>
          <w:sz w:val="20"/>
          <w:szCs w:val="20"/>
          <w:lang w:eastAsia="en-AU"/>
        </w:rPr>
        <w:t>'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(4) A Court may, when fixing costs in a claim where there has been mixed success, take into account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However, in the present case I do not accept the applicant’s submission 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w:t>
      </w:r>
      <w:r w:rsidRPr="002B5121">
        <w:rPr>
          <w:rFonts w:ascii="Arial" w:hAnsi="Arial" w:cs="Arial"/>
          <w:sz w:val="20"/>
        </w:rPr>
        <w:lastRenderedPageBreak/>
        <w:t xml:space="preserve">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0702F882" w14:textId="222AB625" w:rsidR="006F4BC9" w:rsidRDefault="00176FC3" w:rsidP="00756C52">
      <w:pPr>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Maglio v Hino Motor Sales Australia 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 xml:space="preserve">Hoare v Amberlowe Pty Ltd </w:t>
      </w:r>
      <w:r w:rsidR="00AF51BD" w:rsidRPr="00AF51BD">
        <w:rPr>
          <w:rFonts w:ascii="Arial" w:hAnsi="Arial" w:cs="Arial"/>
          <w:i/>
          <w:iCs/>
          <w:sz w:val="20"/>
        </w:rPr>
        <w:lastRenderedPageBreak/>
        <w:t>&amp; Ors</w:t>
      </w:r>
      <w:r w:rsidR="00AF51BD" w:rsidRPr="00AF51BD">
        <w:rPr>
          <w:rFonts w:ascii="Arial" w:hAnsi="Arial" w:cs="Arial"/>
          <w:sz w:val="20"/>
        </w:rPr>
        <w:t xml:space="preserve"> [2025] VSC 425</w:t>
      </w:r>
      <w:r w:rsidR="00DA19F7">
        <w:rPr>
          <w:rFonts w:ascii="Arial" w:hAnsi="Arial" w:cs="Arial"/>
          <w:sz w:val="20"/>
        </w:rPr>
        <w:t xml:space="preserve">; </w:t>
      </w:r>
      <w:bookmarkStart w:id="1012"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p>
    <w:bookmarkEnd w:id="1012"/>
    <w:p w14:paraId="6CC36C2A" w14:textId="77777777" w:rsidR="00DA19F7" w:rsidRDefault="00DA19F7"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In exercising its discretion under subsection (1) in a criminal proceeding, the Children’s Court may take into account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1013" w:name="_Toc30652645"/>
      <w:bookmarkStart w:id="1014" w:name="_Toc30652743"/>
      <w:bookmarkStart w:id="1015" w:name="_Toc30654088"/>
      <w:bookmarkStart w:id="1016" w:name="_Toc30654439"/>
      <w:bookmarkStart w:id="1017" w:name="_Toc30655058"/>
      <w:bookmarkStart w:id="1018" w:name="_Toc30655315"/>
      <w:bookmarkStart w:id="1019" w:name="_Toc30656993"/>
      <w:bookmarkStart w:id="1020" w:name="_Toc30661742"/>
      <w:bookmarkStart w:id="1021" w:name="_Toc30666430"/>
      <w:bookmarkStart w:id="1022" w:name="_Toc30666660"/>
      <w:bookmarkStart w:id="1023" w:name="_Toc30667835"/>
      <w:bookmarkStart w:id="1024" w:name="_Toc30669213"/>
      <w:bookmarkStart w:id="1025" w:name="_Toc30671429"/>
      <w:bookmarkStart w:id="1026" w:name="_Toc30673956"/>
      <w:bookmarkStart w:id="1027" w:name="_Toc30691178"/>
      <w:bookmarkStart w:id="1028" w:name="_Toc30691549"/>
      <w:bookmarkStart w:id="1029" w:name="_Toc30691929"/>
      <w:bookmarkStart w:id="1030" w:name="_Toc30692688"/>
      <w:bookmarkStart w:id="1031" w:name="_Toc30693067"/>
      <w:bookmarkStart w:id="1032" w:name="_Toc30693445"/>
      <w:bookmarkStart w:id="1033" w:name="_Toc30693824"/>
      <w:bookmarkStart w:id="1034" w:name="_Toc30694205"/>
      <w:bookmarkStart w:id="1035" w:name="_Toc30698794"/>
      <w:bookmarkStart w:id="1036" w:name="_Toc30699172"/>
      <w:bookmarkStart w:id="1037" w:name="_Toc30699557"/>
      <w:bookmarkStart w:id="1038" w:name="_Toc30700712"/>
      <w:bookmarkStart w:id="1039" w:name="_Toc30701099"/>
      <w:bookmarkStart w:id="1040" w:name="_Toc30743708"/>
      <w:bookmarkStart w:id="1041" w:name="_Toc30754530"/>
      <w:bookmarkStart w:id="1042" w:name="_Toc30756970"/>
      <w:bookmarkStart w:id="1043" w:name="_Toc30757519"/>
      <w:bookmarkStart w:id="1044" w:name="_Toc30757919"/>
      <w:bookmarkStart w:id="1045" w:name="_Toc30762680"/>
      <w:bookmarkStart w:id="1046" w:name="_Toc30767334"/>
      <w:bookmarkStart w:id="1047"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48" w:name="_3.9.1_Criminal_Division"/>
      <w:bookmarkStart w:id="1049" w:name="B391"/>
      <w:bookmarkStart w:id="1050" w:name="_Toc58831512"/>
      <w:bookmarkEnd w:id="1048"/>
      <w:bookmarkEnd w:id="1049"/>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50"/>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t>At pp.542-3: “…[</w:t>
      </w:r>
      <w:r w:rsidRPr="003A5F36">
        <w:rPr>
          <w:rFonts w:ascii="Arial" w:hAnsi="Arial" w:cs="Arial"/>
          <w:sz w:val="20"/>
        </w:rPr>
        <w:t>I</w:t>
      </w:r>
      <w:r>
        <w:rPr>
          <w:rFonts w:ascii="Arial" w:hAnsi="Arial" w:cs="Arial"/>
          <w:sz w:val="20"/>
        </w:rPr>
        <w:t>]</w:t>
      </w:r>
      <w:r w:rsidRPr="003A5F36">
        <w:rPr>
          <w:rFonts w:ascii="Arial" w:hAnsi="Arial" w:cs="Arial"/>
          <w:sz w:val="20"/>
        </w:rPr>
        <w:t>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w:t>
      </w:r>
      <w:r w:rsidRPr="0021207A">
        <w:rPr>
          <w:rFonts w:ascii="Arial" w:hAnsi="Arial" w:cs="Arial"/>
          <w:sz w:val="20"/>
        </w:rPr>
        <w:lastRenderedPageBreak/>
        <w:t xml:space="preserve">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Default="0021207A" w:rsidP="0021207A">
      <w:pPr>
        <w:spacing w:before="60"/>
        <w:ind w:left="907" w:right="907"/>
        <w:jc w:val="both"/>
        <w:rPr>
          <w:rFonts w:ascii="Arial" w:hAnsi="Arial" w:cs="Arial"/>
          <w:iCs/>
          <w:sz w:val="20"/>
        </w:rPr>
      </w:pPr>
      <w:r>
        <w:rPr>
          <w:rFonts w:ascii="Arial" w:hAnsi="Arial" w:cs="Arial"/>
          <w:sz w:val="20"/>
        </w:rPr>
        <w:t>‘</w:t>
      </w:r>
      <w:r w:rsidRPr="0021207A">
        <w:rPr>
          <w:rFonts w:ascii="Arial" w:hAnsi="Arial" w:cs="Arial"/>
          <w:sz w:val="20"/>
        </w:rPr>
        <w:t>The section recognises that persons accused of criminal offences can be put to a great deal of expense in defending themselves. Unlike civil litigation, they cannot simply compromise the matter. Their liberty, reputation and pocket are, or may be, at risk</w:t>
      </w:r>
      <w:r>
        <w:rPr>
          <w:rFonts w:ascii="Arial" w:hAnsi="Arial" w:cs="Arial"/>
          <w:sz w:val="20"/>
        </w:rPr>
        <w:t>.’”</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Year" w:val="1995"/>
          <w:attr w:name="Day" w:val="21"/>
          <w:attr w:name="Month" w:val="8"/>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Year" w:val="1993"/>
          <w:attr w:name="Day" w:val="20"/>
          <w:attr w:name="Month" w:val="4"/>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Alexander v Renney</w:t>
            </w:r>
            <w:r>
              <w:rPr>
                <w:rFonts w:ascii="Arial" w:eastAsia="Arial Unicode MS" w:hAnsi="Arial" w:cs="Arial"/>
                <w:sz w:val="20"/>
              </w:rPr>
              <w:t xml:space="preserve">  (Batt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Year" w:val="2004"/>
                <w:attr w:name="Day" w:val="7"/>
                <w:attr w:name="Month" w:val="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w:t>
      </w:r>
      <w:r>
        <w:rPr>
          <w:rFonts w:ascii="Arial" w:eastAsia="Arial Unicode MS" w:hAnsi="Arial" w:cs="Arial"/>
          <w:sz w:val="20"/>
        </w:rPr>
        <w:lastRenderedPageBreak/>
        <w:t>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CJ  at 544, Toohey J at 565-566 and McHugh J at 569-570 was on, or primarily on, conduct  in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from  conduct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the 'supposed misconduct' was 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xml:space="preserve">,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w:t>
      </w:r>
      <w:r>
        <w:rPr>
          <w:rFonts w:ascii="Arial" w:eastAsia="Arial Unicode MS" w:hAnsi="Arial" w:cs="Arial"/>
          <w:sz w:val="20"/>
        </w:rPr>
        <w:lastRenderedPageBreak/>
        <w:t>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lastRenderedPageBreak/>
        <w:t xml:space="preserve">[17] For present purposes, it can be accepted that it is ‘extremely rare in cases of sexual assault to have independent and objective eye witness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eye witness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adnd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laid: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lastRenderedPageBreak/>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w:t>
            </w:r>
            <w:r w:rsidRPr="006179B0">
              <w:rPr>
                <w:rFonts w:ascii="Arial" w:hAnsi="Arial" w:cs="Arial"/>
                <w:color w:val="000000"/>
                <w:sz w:val="20"/>
              </w:rPr>
              <w:lastRenderedPageBreak/>
              <w:t xml:space="preserve">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51" w:name="_3.9.2_Criminal_Division"/>
      <w:bookmarkStart w:id="1052" w:name="B392"/>
      <w:bookmarkStart w:id="1053" w:name="_Toc30652646"/>
      <w:bookmarkStart w:id="1054" w:name="_Toc30652744"/>
      <w:bookmarkStart w:id="1055" w:name="_Toc30654089"/>
      <w:bookmarkStart w:id="1056" w:name="_Toc30654440"/>
      <w:bookmarkStart w:id="1057" w:name="_Toc30655059"/>
      <w:bookmarkStart w:id="1058" w:name="_Toc30655316"/>
      <w:bookmarkStart w:id="1059" w:name="_Toc30656994"/>
      <w:bookmarkStart w:id="1060" w:name="_Toc30661743"/>
      <w:bookmarkStart w:id="1061" w:name="_Toc30666431"/>
      <w:bookmarkStart w:id="1062" w:name="_Toc30666661"/>
      <w:bookmarkStart w:id="1063" w:name="_Toc30667836"/>
      <w:bookmarkStart w:id="1064" w:name="_Toc30669214"/>
      <w:bookmarkStart w:id="1065" w:name="_Toc30671430"/>
      <w:bookmarkStart w:id="1066" w:name="_Toc30673957"/>
      <w:bookmarkStart w:id="1067" w:name="_Toc30691179"/>
      <w:bookmarkStart w:id="1068" w:name="_Toc30691550"/>
      <w:bookmarkStart w:id="1069" w:name="_Toc30691930"/>
      <w:bookmarkStart w:id="1070" w:name="_Toc30692689"/>
      <w:bookmarkStart w:id="1071" w:name="_Toc30693068"/>
      <w:bookmarkStart w:id="1072" w:name="_Toc30693446"/>
      <w:bookmarkStart w:id="1073" w:name="_Toc30693825"/>
      <w:bookmarkStart w:id="1074" w:name="_Toc30694206"/>
      <w:bookmarkStart w:id="1075" w:name="_Toc30698795"/>
      <w:bookmarkStart w:id="1076" w:name="_Toc30699173"/>
      <w:bookmarkStart w:id="1077" w:name="_Toc30699558"/>
      <w:bookmarkStart w:id="1078" w:name="_Toc30700713"/>
      <w:bookmarkStart w:id="1079" w:name="_Toc30701100"/>
      <w:bookmarkStart w:id="1080" w:name="_Toc30743709"/>
      <w:bookmarkStart w:id="1081" w:name="_Toc30754531"/>
      <w:bookmarkStart w:id="1082" w:name="_Toc30756971"/>
      <w:bookmarkStart w:id="1083" w:name="_Toc30757520"/>
      <w:bookmarkStart w:id="1084" w:name="_Toc30757920"/>
      <w:bookmarkStart w:id="1085" w:name="_Toc30762681"/>
      <w:bookmarkStart w:id="1086" w:name="_Toc30767335"/>
      <w:bookmarkStart w:id="1087" w:name="_Toc34823351"/>
      <w:bookmarkStart w:id="1088" w:name="_Toc58831513"/>
      <w:bookmarkEnd w:id="1051"/>
      <w:bookmarkEnd w:id="1052"/>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089" w:name="_3.9.3_Family_Division"/>
      <w:bookmarkStart w:id="1090" w:name="B393"/>
      <w:bookmarkStart w:id="1091" w:name="_Toc30652647"/>
      <w:bookmarkStart w:id="1092" w:name="_Toc30652745"/>
      <w:bookmarkStart w:id="1093" w:name="_Toc30654090"/>
      <w:bookmarkStart w:id="1094" w:name="_Toc30654441"/>
      <w:bookmarkStart w:id="1095" w:name="_Toc30655060"/>
      <w:bookmarkStart w:id="1096" w:name="_Toc30655317"/>
      <w:bookmarkStart w:id="1097" w:name="_Toc30656995"/>
      <w:bookmarkStart w:id="1098" w:name="_Toc30661744"/>
      <w:bookmarkStart w:id="1099" w:name="_Toc30666432"/>
      <w:bookmarkStart w:id="1100" w:name="_Toc30666662"/>
      <w:bookmarkStart w:id="1101" w:name="_Toc30667837"/>
      <w:bookmarkStart w:id="1102" w:name="_Toc30669215"/>
      <w:bookmarkStart w:id="1103" w:name="_Toc30671431"/>
      <w:bookmarkStart w:id="1104" w:name="_Toc30673958"/>
      <w:bookmarkStart w:id="1105" w:name="_Toc30691180"/>
      <w:bookmarkStart w:id="1106" w:name="_Toc30691551"/>
      <w:bookmarkStart w:id="1107" w:name="_Toc30691931"/>
      <w:bookmarkStart w:id="1108" w:name="_Toc30692690"/>
      <w:bookmarkStart w:id="1109" w:name="_Toc30693069"/>
      <w:bookmarkStart w:id="1110" w:name="_Toc30693447"/>
      <w:bookmarkStart w:id="1111" w:name="_Toc30693826"/>
      <w:bookmarkStart w:id="1112" w:name="_Toc30694207"/>
      <w:bookmarkStart w:id="1113" w:name="_Toc30698796"/>
      <w:bookmarkStart w:id="1114" w:name="_Toc30699174"/>
      <w:bookmarkStart w:id="1115" w:name="_Toc30699559"/>
      <w:bookmarkStart w:id="1116" w:name="_Toc30700714"/>
      <w:bookmarkStart w:id="1117" w:name="_Toc30701101"/>
      <w:bookmarkStart w:id="1118" w:name="_Toc30743710"/>
      <w:bookmarkStart w:id="1119" w:name="_Toc30754532"/>
      <w:bookmarkStart w:id="1120" w:name="_Toc30756972"/>
      <w:bookmarkStart w:id="1121" w:name="_Toc30757521"/>
      <w:bookmarkStart w:id="1122" w:name="_Toc30757921"/>
      <w:bookmarkStart w:id="1123" w:name="_Toc30762682"/>
      <w:bookmarkStart w:id="1124" w:name="_Toc30767336"/>
      <w:bookmarkStart w:id="1125" w:name="_Toc34823352"/>
      <w:bookmarkStart w:id="1126" w:name="_Toc58831514"/>
      <w:bookmarkStart w:id="1127" w:name="_Hlk149197338"/>
      <w:bookmarkStart w:id="1128" w:name="_Hlk149197027"/>
      <w:bookmarkEnd w:id="1089"/>
      <w:bookmarkEnd w:id="1090"/>
      <w:r>
        <w:rPr>
          <w:rFonts w:ascii="Arial" w:hAnsi="Arial" w:cs="Arial"/>
          <w:b/>
          <w:bCs/>
          <w:sz w:val="20"/>
        </w:rPr>
        <w:lastRenderedPageBreak/>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rPr>
          <w:rFonts w:ascii="Arial" w:hAnsi="Arial" w:cs="Arial"/>
          <w:b/>
          <w:bCs/>
          <w:sz w:val="20"/>
        </w:rPr>
        <w:t xml:space="preserve"> (protection proceedings)</w:t>
      </w:r>
      <w:bookmarkEnd w:id="1119"/>
      <w:bookmarkEnd w:id="1120"/>
      <w:bookmarkEnd w:id="1121"/>
      <w:bookmarkEnd w:id="1122"/>
      <w:bookmarkEnd w:id="1123"/>
      <w:bookmarkEnd w:id="1124"/>
      <w:bookmarkEnd w:id="1125"/>
      <w:bookmarkEnd w:id="1126"/>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Year" w:val="1996"/>
          <w:attr w:name="Day" w:val="10"/>
          <w:attr w:name="Month" w:val="12"/>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taken into account or relevant considerations have not been taken into account.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w:t>
      </w:r>
      <w:r w:rsidRPr="006004E0">
        <w:rPr>
          <w:rFonts w:ascii="Arial" w:hAnsi="Arial" w:cs="Arial"/>
          <w:sz w:val="20"/>
        </w:rPr>
        <w:lastRenderedPageBreak/>
        <w:t xml:space="preserve">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rejected a 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 xml:space="preserve">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w:t>
      </w:r>
      <w:r w:rsidRPr="007B2B69">
        <w:rPr>
          <w:rFonts w:ascii="Arial" w:hAnsi="Arial" w:cs="Arial"/>
          <w:sz w:val="18"/>
          <w:szCs w:val="22"/>
        </w:rPr>
        <w:lastRenderedPageBreak/>
        <w:t>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29" w:name="_3.9.4_Family_Division"/>
      <w:bookmarkStart w:id="1130" w:name="B394"/>
      <w:bookmarkStart w:id="1131" w:name="_Toc30754533"/>
      <w:bookmarkStart w:id="1132" w:name="_Toc30756973"/>
      <w:bookmarkStart w:id="1133" w:name="_Toc30757522"/>
      <w:bookmarkStart w:id="1134" w:name="_Toc30757922"/>
      <w:bookmarkStart w:id="1135" w:name="_Toc30762683"/>
      <w:bookmarkStart w:id="1136" w:name="_Toc30767337"/>
      <w:bookmarkStart w:id="1137" w:name="_Toc34823353"/>
      <w:bookmarkStart w:id="1138" w:name="_Toc58831515"/>
      <w:bookmarkEnd w:id="1127"/>
      <w:bookmarkEnd w:id="1129"/>
      <w:bookmarkEnd w:id="1130"/>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31"/>
      <w:bookmarkEnd w:id="1132"/>
      <w:bookmarkEnd w:id="1133"/>
      <w:bookmarkEnd w:id="1134"/>
      <w:bookmarkEnd w:id="1135"/>
      <w:bookmarkEnd w:id="1136"/>
      <w:bookmarkEnd w:id="1137"/>
      <w:bookmarkEnd w:id="1138"/>
    </w:p>
    <w:p w14:paraId="2C053109" w14:textId="414895B3" w:rsidR="00D11291" w:rsidRDefault="00103848" w:rsidP="001B5152">
      <w:pPr>
        <w:jc w:val="both"/>
        <w:rPr>
          <w:rFonts w:ascii="Arial" w:hAnsi="Arial" w:cs="Arial"/>
          <w:sz w:val="20"/>
        </w:rPr>
      </w:pPr>
      <w:bookmarkStart w:id="1139" w:name="_Toc30608811"/>
      <w:bookmarkStart w:id="1140" w:name="_Toc30610025"/>
      <w:bookmarkStart w:id="1141" w:name="_Toc30610269"/>
      <w:bookmarkStart w:id="1142" w:name="_Toc30638423"/>
      <w:bookmarkStart w:id="1143" w:name="_Toc30644232"/>
      <w:bookmarkStart w:id="1144" w:name="_Toc30644635"/>
      <w:bookmarkStart w:id="1145" w:name="_Toc30645185"/>
      <w:bookmarkStart w:id="1146" w:name="_Toc30646396"/>
      <w:bookmarkStart w:id="1147" w:name="_Toc30646691"/>
      <w:bookmarkStart w:id="1148" w:name="_Toc30646802"/>
      <w:bookmarkStart w:id="1149" w:name="_Toc30648159"/>
      <w:bookmarkStart w:id="1150" w:name="_Toc30649057"/>
      <w:bookmarkStart w:id="1151" w:name="_Toc30649133"/>
      <w:bookmarkStart w:id="1152" w:name="_Toc30649394"/>
      <w:bookmarkStart w:id="1153" w:name="_Toc30649719"/>
      <w:bookmarkStart w:id="1154" w:name="_Toc30651659"/>
      <w:bookmarkStart w:id="1155" w:name="_Toc30652648"/>
      <w:bookmarkStart w:id="1156" w:name="_Toc30652746"/>
      <w:bookmarkStart w:id="1157" w:name="_Toc30654091"/>
      <w:bookmarkStart w:id="1158" w:name="_Toc30654442"/>
      <w:bookmarkStart w:id="1159" w:name="_Toc30655061"/>
      <w:bookmarkStart w:id="1160" w:name="_Toc30655318"/>
      <w:bookmarkStart w:id="1161" w:name="_Toc30656996"/>
      <w:bookmarkStart w:id="1162" w:name="_Toc30661745"/>
      <w:bookmarkStart w:id="1163" w:name="_Toc30666433"/>
      <w:bookmarkStart w:id="1164" w:name="_Toc30666663"/>
      <w:bookmarkStart w:id="1165" w:name="_Toc30667838"/>
      <w:bookmarkStart w:id="1166" w:name="_Toc30669216"/>
      <w:bookmarkStart w:id="1167" w:name="_Toc30671432"/>
      <w:bookmarkStart w:id="1168" w:name="_Toc30673959"/>
      <w:bookmarkStart w:id="1169" w:name="_Toc30691181"/>
      <w:bookmarkStart w:id="1170" w:name="_Toc30691552"/>
      <w:bookmarkStart w:id="1171" w:name="_Toc30691932"/>
      <w:bookmarkStart w:id="1172" w:name="_Toc30692691"/>
      <w:bookmarkStart w:id="1173" w:name="_Toc30693070"/>
      <w:bookmarkStart w:id="1174" w:name="_Toc30693448"/>
      <w:bookmarkStart w:id="1175" w:name="_Toc30693827"/>
      <w:bookmarkStart w:id="1176" w:name="_Toc30694208"/>
      <w:bookmarkStart w:id="1177" w:name="_Toc30698797"/>
      <w:bookmarkStart w:id="1178" w:name="_Toc30699175"/>
      <w:bookmarkStart w:id="1179" w:name="_Toc30699560"/>
      <w:bookmarkStart w:id="1180" w:name="_Toc30700715"/>
      <w:bookmarkStart w:id="1181" w:name="_Toc30701102"/>
      <w:bookmarkStart w:id="1182"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83" w:name="_3.9.5_Very_limited"/>
      <w:bookmarkStart w:id="1184" w:name="B395"/>
      <w:bookmarkEnd w:id="1128"/>
      <w:bookmarkEnd w:id="1183"/>
      <w:bookmarkEnd w:id="1184"/>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place">
        <w:smartTag w:uri="urn:schemas-microsoft-com:office:smarttags" w:element="City">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w:t>
      </w:r>
      <w:r>
        <w:rPr>
          <w:rFonts w:ascii="Arial" w:hAnsi="Arial" w:cs="Arial"/>
          <w:sz w:val="20"/>
        </w:rPr>
        <w:lastRenderedPageBreak/>
        <w:t xml:space="preserve">(2019)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actually incurred,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 xml:space="preserve">While the applicants as successful self-represented litigants cannot be compensated for their time and labour spent in preparation of their case or attending court, they are entitled to make </w:t>
      </w:r>
      <w:r w:rsidRPr="001D0708">
        <w:rPr>
          <w:rFonts w:ascii="Arial" w:hAnsi="Arial" w:cs="Arial"/>
          <w:sz w:val="20"/>
          <w:szCs w:val="20"/>
        </w:rPr>
        <w:lastRenderedPageBreak/>
        <w:t>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85" w:name="_3.9.6_Enforcement_of"/>
      <w:bookmarkStart w:id="1186" w:name="B396"/>
      <w:bookmarkEnd w:id="1185"/>
      <w:bookmarkEnd w:id="1186"/>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(1) ‘Order for costs’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87" w:name="_3.10_Appeals_-"/>
      <w:bookmarkStart w:id="1188" w:name="B310"/>
      <w:bookmarkStart w:id="1189" w:name="_3.9.7_Costs_against"/>
      <w:bookmarkEnd w:id="1187"/>
      <w:bookmarkEnd w:id="1188"/>
      <w:bookmarkEnd w:id="1189"/>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w:t>
      </w:r>
      <w:r w:rsidR="00F57477" w:rsidRPr="00F57477">
        <w:rPr>
          <w:rFonts w:ascii="Arial" w:hAnsi="Arial" w:cs="Arial"/>
          <w:sz w:val="20"/>
          <w:szCs w:val="20"/>
        </w:rPr>
        <w:lastRenderedPageBreak/>
        <w:t xml:space="preserve">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190" w:name="_3.9.8_The_Appeal"/>
      <w:bookmarkEnd w:id="1190"/>
      <w:r>
        <w:rPr>
          <w:rFonts w:ascii="Arial" w:hAnsi="Arial" w:cs="Arial"/>
          <w:b/>
          <w:bCs/>
          <w:sz w:val="20"/>
        </w:rPr>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for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lastRenderedPageBreak/>
        <w:t xml:space="preserve">Application by accused 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r>
        <w:rPr>
          <w:rFonts w:ascii="Arial" w:hAnsi="Arial" w:cs="Arial"/>
          <w:sz w:val="20"/>
          <w:szCs w:val="20"/>
        </w:rPr>
        <w:t xml:space="preserve">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191" w:name="_3.9.9_Costs_of"/>
      <w:bookmarkEnd w:id="1191"/>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an order for costs either in favour or against an intervener must also take into account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192" w:name="_3.9.10_Costs_in"/>
      <w:bookmarkEnd w:id="1192"/>
      <w:r>
        <w:rPr>
          <w:rFonts w:ascii="Arial" w:hAnsi="Arial" w:cs="Arial"/>
          <w:b/>
          <w:bCs/>
          <w:sz w:val="20"/>
        </w:rPr>
        <w:lastRenderedPageBreak/>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193"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193"/>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194" w:name="_3.10_Appeals/Reviews"/>
      <w:bookmarkEnd w:id="1194"/>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195" w:name="_3.10.1_Appeals_to"/>
    <w:bookmarkEnd w:id="1195"/>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0301251C" w:rsidR="00137B35" w:rsidRDefault="00137B35" w:rsidP="00137B35">
      <w:pPr>
        <w:jc w:val="both"/>
        <w:rPr>
          <w:rFonts w:ascii="Arial" w:hAnsi="Arial" w:cs="Arial"/>
          <w:sz w:val="20"/>
        </w:rPr>
      </w:pPr>
      <w:r>
        <w:rPr>
          <w:rFonts w:ascii="Arial" w:hAnsi="Arial" w:cs="Arial"/>
          <w:sz w:val="20"/>
        </w:rPr>
        <w:t xml:space="preserve">A party has the right to appeal to a higher court in certain circumstances if he or she is dissatisfied with the decision of either Division of the Children's Court [CCV].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6CE1FDF2"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w:t>
      </w:r>
      <w:r w:rsidR="00715438">
        <w:rPr>
          <w:rFonts w:ascii="Arial" w:hAnsi="Arial" w:cs="Arial"/>
          <w:sz w:val="20"/>
          <w:szCs w:val="20"/>
        </w:rPr>
        <w:t xml:space="preserve"> </w:t>
      </w:r>
      <w:r w:rsidRPr="0035269B">
        <w:rPr>
          <w:rFonts w:ascii="Arial" w:hAnsi="Arial" w:cs="Arial"/>
          <w:sz w:val="20"/>
          <w:szCs w:val="20"/>
        </w:rPr>
        <w:t xml:space="preserve">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lastRenderedPageBreak/>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196" w:name="_Hlk190855076"/>
      <w:bookmarkStart w:id="1197" w:name="_Hlk96596487"/>
    </w:p>
    <w:p w14:paraId="689F166B" w14:textId="40DA65C1" w:rsidR="00E70BC3" w:rsidRDefault="00E70BC3" w:rsidP="00692743">
      <w:pPr>
        <w:jc w:val="both"/>
        <w:rPr>
          <w:rFonts w:ascii="Arial" w:hAnsi="Arial" w:cs="Arial"/>
          <w:sz w:val="20"/>
        </w:rPr>
      </w:pPr>
      <w:r>
        <w:rPr>
          <w:rFonts w:ascii="Arial" w:hAnsi="Arial" w:cs="Arial"/>
          <w:sz w:val="20"/>
        </w:rPr>
        <w:t xml:space="preserve">In </w:t>
      </w:r>
      <w:r w:rsidRPr="00E70BC3">
        <w:rPr>
          <w:rFonts w:ascii="Arial" w:hAnsi="Arial" w:cs="Arial"/>
          <w:i/>
          <w:iCs/>
          <w:sz w:val="20"/>
        </w:rPr>
        <w:t>SL (a pseudonym) v Secretary DFFH &amp; Ors</w:t>
      </w:r>
      <w:r>
        <w:rPr>
          <w:rFonts w:ascii="Arial" w:hAnsi="Arial" w:cs="Arial"/>
          <w:sz w:val="20"/>
        </w:rPr>
        <w:t xml:space="preserve"> [2025] VSC 822 </w:t>
      </w:r>
      <w:r w:rsidR="00B22E47">
        <w:rPr>
          <w:rFonts w:ascii="Arial" w:hAnsi="Arial" w:cs="Arial"/>
          <w:sz w:val="20"/>
        </w:rPr>
        <w:t>the</w:t>
      </w:r>
      <w:r>
        <w:rPr>
          <w:rFonts w:ascii="Arial" w:hAnsi="Arial" w:cs="Arial"/>
          <w:sz w:val="20"/>
        </w:rPr>
        <w:t xml:space="preserve"> appellant mother SL had attended court </w:t>
      </w:r>
      <w:r w:rsidR="00EC7CFC">
        <w:rPr>
          <w:rFonts w:ascii="Arial" w:hAnsi="Arial" w:cs="Arial"/>
          <w:sz w:val="20"/>
        </w:rPr>
        <w:t xml:space="preserve">on 14/04/2025 </w:t>
      </w:r>
      <w:r>
        <w:rPr>
          <w:rFonts w:ascii="Arial" w:hAnsi="Arial" w:cs="Arial"/>
          <w:sz w:val="20"/>
        </w:rPr>
        <w:t xml:space="preserve">and had spoken briefly with her lawyer but left court before the matter was called on. When </w:t>
      </w:r>
      <w:r w:rsidR="00EC7CFC">
        <w:rPr>
          <w:rFonts w:ascii="Arial" w:hAnsi="Arial" w:cs="Arial"/>
          <w:sz w:val="20"/>
        </w:rPr>
        <w:t>it</w:t>
      </w:r>
      <w:r>
        <w:rPr>
          <w:rFonts w:ascii="Arial" w:hAnsi="Arial" w:cs="Arial"/>
          <w:sz w:val="20"/>
        </w:rPr>
        <w:t xml:space="preserve"> was called on, the mother’s lawyer advised the magistrate that she had been unable to take instructions other than to seek an adjournment. This adjournment application was not opposed by DFFH and neither the father nor the elder of the two children strictly opposed it. Ultimately the magistrate declined to grant the adjournment</w:t>
      </w:r>
      <w:r w:rsidR="00B22E47">
        <w:rPr>
          <w:rFonts w:ascii="Arial" w:hAnsi="Arial" w:cs="Arial"/>
          <w:sz w:val="20"/>
        </w:rPr>
        <w:t>, found the protection applications proved and made family preservation orders placing t</w:t>
      </w:r>
      <w:r w:rsidR="00EC7CFC">
        <w:rPr>
          <w:rFonts w:ascii="Arial" w:hAnsi="Arial" w:cs="Arial"/>
          <w:sz w:val="20"/>
        </w:rPr>
        <w:t>he</w:t>
      </w:r>
      <w:r w:rsidR="00B22E47">
        <w:rPr>
          <w:rFonts w:ascii="Arial" w:hAnsi="Arial" w:cs="Arial"/>
          <w:sz w:val="20"/>
        </w:rPr>
        <w:t xml:space="preserve"> children in the day-to-day care of their father for a period of 6 months.</w:t>
      </w:r>
    </w:p>
    <w:p w14:paraId="1C58C79D" w14:textId="7C4FC881" w:rsidR="00B22E47" w:rsidRDefault="00A657F2" w:rsidP="00B22E47">
      <w:pPr>
        <w:spacing w:before="120"/>
        <w:jc w:val="both"/>
        <w:rPr>
          <w:rFonts w:ascii="Arial" w:hAnsi="Arial" w:cs="Arial"/>
          <w:sz w:val="20"/>
        </w:rPr>
      </w:pPr>
      <w:r>
        <w:rPr>
          <w:rFonts w:ascii="Arial" w:hAnsi="Arial" w:cs="Arial"/>
          <w:sz w:val="20"/>
        </w:rPr>
        <w:t>The appellant filed a notice of appeal on 23/04/2025. Thereafter there were a number of interlocutory hearings in the Supreme Court until on 14/10/2025 the parties were unable to reach agreement in a directions hearing</w:t>
      </w:r>
      <w:r w:rsidR="00255423">
        <w:rPr>
          <w:rFonts w:ascii="Arial" w:hAnsi="Arial" w:cs="Arial"/>
          <w:sz w:val="20"/>
        </w:rPr>
        <w:t xml:space="preserve"> and the case was adjourned for hearing and determination of the appeal. However, </w:t>
      </w:r>
      <w:r w:rsidR="006D3E3C">
        <w:rPr>
          <w:rFonts w:ascii="Arial" w:hAnsi="Arial" w:cs="Arial"/>
          <w:sz w:val="20"/>
        </w:rPr>
        <w:t xml:space="preserve">the </w:t>
      </w:r>
      <w:r w:rsidR="00B22E47">
        <w:rPr>
          <w:rFonts w:ascii="Arial" w:hAnsi="Arial" w:cs="Arial"/>
          <w:sz w:val="20"/>
        </w:rPr>
        <w:t xml:space="preserve">family preservation orders expired on 23/10/2025 and thereafter there </w:t>
      </w:r>
      <w:r>
        <w:rPr>
          <w:rFonts w:ascii="Arial" w:hAnsi="Arial" w:cs="Arial"/>
          <w:sz w:val="20"/>
        </w:rPr>
        <w:t>ha</w:t>
      </w:r>
      <w:r w:rsidR="00EC7CFC">
        <w:rPr>
          <w:rFonts w:ascii="Arial" w:hAnsi="Arial" w:cs="Arial"/>
          <w:sz w:val="20"/>
        </w:rPr>
        <w:t xml:space="preserve">d </w:t>
      </w:r>
      <w:r w:rsidR="00B22E47">
        <w:rPr>
          <w:rFonts w:ascii="Arial" w:hAnsi="Arial" w:cs="Arial"/>
          <w:sz w:val="20"/>
        </w:rPr>
        <w:t xml:space="preserve">no longer </w:t>
      </w:r>
      <w:r w:rsidR="00EC7CFC">
        <w:rPr>
          <w:rFonts w:ascii="Arial" w:hAnsi="Arial" w:cs="Arial"/>
          <w:sz w:val="20"/>
        </w:rPr>
        <w:t xml:space="preserve">been </w:t>
      </w:r>
      <w:r w:rsidR="00B22E47">
        <w:rPr>
          <w:rFonts w:ascii="Arial" w:hAnsi="Arial" w:cs="Arial"/>
          <w:sz w:val="20"/>
        </w:rPr>
        <w:t xml:space="preserve">any legally operative order in relation to either of the children. On 27/11/2025 Gray J dismissed the appeal as </w:t>
      </w:r>
      <w:r w:rsidR="00255423">
        <w:rPr>
          <w:rFonts w:ascii="Arial" w:hAnsi="Arial" w:cs="Arial"/>
          <w:sz w:val="20"/>
        </w:rPr>
        <w:t xml:space="preserve">no longer </w:t>
      </w:r>
      <w:r w:rsidR="00B22E47">
        <w:rPr>
          <w:rFonts w:ascii="Arial" w:hAnsi="Arial" w:cs="Arial"/>
          <w:sz w:val="20"/>
        </w:rPr>
        <w:t>competent on the basis of dicta:</w:t>
      </w:r>
    </w:p>
    <w:p w14:paraId="1F2BF51A" w14:textId="3B09E554" w:rsidR="00B22E47" w:rsidRPr="00255423" w:rsidRDefault="00B22E47" w:rsidP="003E6EC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sidRPr="00255423">
        <w:rPr>
          <w:rFonts w:ascii="Arial" w:hAnsi="Arial" w:cs="Arial"/>
          <w:sz w:val="20"/>
          <w:szCs w:val="20"/>
        </w:rPr>
        <w:t xml:space="preserve">of the High Court in </w:t>
      </w:r>
      <w:r w:rsidRPr="00255423">
        <w:rPr>
          <w:rFonts w:ascii="Arial" w:hAnsi="Arial" w:cs="Arial"/>
          <w:i/>
          <w:iCs/>
          <w:sz w:val="20"/>
          <w:szCs w:val="20"/>
        </w:rPr>
        <w:t>AZC20 v Minister for Immigration, Citizenship, Migrant Services and Multicultural Affairs</w:t>
      </w:r>
      <w:r w:rsidRPr="00255423">
        <w:rPr>
          <w:rFonts w:ascii="Arial" w:hAnsi="Arial" w:cs="Arial"/>
          <w:sz w:val="20"/>
          <w:szCs w:val="20"/>
        </w:rPr>
        <w:t xml:space="preserve"> (2023) 278 CLR 512; [2023] HCA 26 at [34]</w:t>
      </w:r>
      <w:r w:rsidR="00255423" w:rsidRPr="00255423">
        <w:rPr>
          <w:rFonts w:ascii="Arial" w:hAnsi="Arial" w:cs="Arial"/>
          <w:sz w:val="20"/>
          <w:szCs w:val="20"/>
        </w:rPr>
        <w:t>-[35]</w:t>
      </w:r>
      <w:r w:rsidRPr="00255423">
        <w:rPr>
          <w:rFonts w:ascii="Arial" w:hAnsi="Arial" w:cs="Arial"/>
          <w:sz w:val="20"/>
          <w:szCs w:val="20"/>
        </w:rPr>
        <w:t xml:space="preserve"> that </w:t>
      </w:r>
      <w:r w:rsidR="00255423" w:rsidRPr="00255423">
        <w:rPr>
          <w:rFonts w:ascii="Arial" w:hAnsi="Arial" w:cs="Arial"/>
          <w:sz w:val="20"/>
          <w:szCs w:val="20"/>
        </w:rPr>
        <w:t xml:space="preserve">“an appeal is against orders, not against reasons for judgment” and that </w:t>
      </w:r>
      <w:r w:rsidR="00A657F2" w:rsidRPr="00255423">
        <w:rPr>
          <w:rFonts w:ascii="Arial" w:hAnsi="Arial" w:cs="Arial"/>
          <w:sz w:val="20"/>
          <w:szCs w:val="20"/>
        </w:rPr>
        <w:t>a</w:t>
      </w:r>
      <w:r w:rsidRPr="00255423">
        <w:rPr>
          <w:rFonts w:ascii="Arial" w:hAnsi="Arial" w:cs="Arial"/>
          <w:sz w:val="20"/>
          <w:szCs w:val="20"/>
        </w:rPr>
        <w:t xml:space="preserve"> </w:t>
      </w:r>
      <w:r w:rsidR="00A657F2" w:rsidRPr="00255423">
        <w:rPr>
          <w:rFonts w:ascii="Arial" w:hAnsi="Arial" w:cs="Arial"/>
          <w:sz w:val="20"/>
          <w:szCs w:val="20"/>
        </w:rPr>
        <w:t xml:space="preserve">live “controversy over some immediate right, duty or liability” </w:t>
      </w:r>
      <w:r w:rsidR="00255423" w:rsidRPr="00255423">
        <w:rPr>
          <w:rFonts w:ascii="Arial" w:hAnsi="Arial" w:cs="Arial"/>
          <w:sz w:val="20"/>
          <w:szCs w:val="20"/>
        </w:rPr>
        <w:t xml:space="preserve">was required </w:t>
      </w:r>
      <w:r w:rsidR="00A657F2" w:rsidRPr="00255423">
        <w:rPr>
          <w:rFonts w:ascii="Arial" w:hAnsi="Arial" w:cs="Arial"/>
          <w:sz w:val="20"/>
          <w:szCs w:val="20"/>
        </w:rPr>
        <w:t>to ground a “matter” on appeal; and</w:t>
      </w:r>
    </w:p>
    <w:p w14:paraId="0DAE0ADA" w14:textId="2236FB5C" w:rsidR="00B22E47" w:rsidRDefault="00A657F2" w:rsidP="00B22E4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of the Court of Appeal in </w:t>
      </w:r>
      <w:r w:rsidRPr="00A657F2">
        <w:rPr>
          <w:rFonts w:ascii="Arial" w:hAnsi="Arial" w:cs="Arial"/>
          <w:i/>
          <w:iCs/>
          <w:sz w:val="20"/>
          <w:szCs w:val="20"/>
        </w:rPr>
        <w:t>O’Bryan v Lindholm</w:t>
      </w:r>
      <w:r>
        <w:rPr>
          <w:rFonts w:ascii="Arial" w:hAnsi="Arial" w:cs="Arial"/>
          <w:sz w:val="20"/>
          <w:szCs w:val="20"/>
        </w:rPr>
        <w:t xml:space="preserve"> (2024) 74 VR 496; [2024] VSCA 130 at [93] </w:t>
      </w:r>
      <w:r w:rsidR="00255423">
        <w:rPr>
          <w:rFonts w:ascii="Arial" w:hAnsi="Arial" w:cs="Arial"/>
          <w:sz w:val="20"/>
          <w:szCs w:val="20"/>
        </w:rPr>
        <w:t xml:space="preserve">that applied the reasoning of the plurality in the </w:t>
      </w:r>
      <w:r w:rsidR="00255423" w:rsidRPr="00255423">
        <w:rPr>
          <w:rFonts w:ascii="Arial" w:hAnsi="Arial" w:cs="Arial"/>
          <w:i/>
          <w:iCs/>
          <w:sz w:val="20"/>
          <w:szCs w:val="20"/>
        </w:rPr>
        <w:t>AZC20 Case</w:t>
      </w:r>
      <w:r w:rsidR="00255423">
        <w:rPr>
          <w:rFonts w:ascii="Arial" w:hAnsi="Arial" w:cs="Arial"/>
          <w:sz w:val="20"/>
          <w:szCs w:val="20"/>
        </w:rPr>
        <w:t>.</w:t>
      </w:r>
    </w:p>
    <w:p w14:paraId="2F125094" w14:textId="67E90AEA" w:rsidR="00B22E47" w:rsidRDefault="00255423" w:rsidP="00255423">
      <w:pPr>
        <w:pStyle w:val="NormalWeb"/>
        <w:shd w:val="clear" w:color="auto" w:fill="FFFFFF"/>
        <w:spacing w:before="60" w:beforeAutospacing="0" w:after="0" w:afterAutospacing="0"/>
        <w:jc w:val="both"/>
        <w:rPr>
          <w:rFonts w:ascii="Arial" w:hAnsi="Arial" w:cs="Arial"/>
          <w:sz w:val="20"/>
          <w:szCs w:val="20"/>
        </w:rPr>
      </w:pPr>
      <w:r>
        <w:rPr>
          <w:rFonts w:ascii="Arial" w:hAnsi="Arial" w:cs="Arial"/>
          <w:sz w:val="20"/>
          <w:szCs w:val="20"/>
        </w:rPr>
        <w:t>Accordingly, Gray J concluded at [31] that:</w:t>
      </w:r>
    </w:p>
    <w:p w14:paraId="32138257" w14:textId="360C0503" w:rsidR="00255423" w:rsidRDefault="00255423" w:rsidP="00255423">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lastRenderedPageBreak/>
        <w:t>“Applied to this case, I consider that, absent a continuing effect of an order appealed from under s.329(1) of the CYFA, there is no remaining subject matter for the appeal to this Court under that section.”</w:t>
      </w:r>
    </w:p>
    <w:p w14:paraId="40D6F219" w14:textId="77777777" w:rsidR="00E70BC3" w:rsidRDefault="00E70BC3" w:rsidP="00692743">
      <w:pPr>
        <w:jc w:val="both"/>
        <w:rPr>
          <w:rFonts w:ascii="Arial" w:hAnsi="Arial" w:cs="Arial"/>
          <w:sz w:val="20"/>
        </w:rPr>
      </w:pPr>
    </w:p>
    <w:p w14:paraId="39E411D3" w14:textId="7D8CAB68" w:rsidR="00CC6128" w:rsidRDefault="00CC6128" w:rsidP="00CC6128">
      <w:pPr>
        <w:pBdr>
          <w:top w:val="thinThickThinSmallGap" w:sz="24" w:space="1" w:color="auto"/>
        </w:pBdr>
        <w:jc w:val="both"/>
        <w:rPr>
          <w:rFonts w:ascii="Arial" w:hAnsi="Arial" w:cs="Arial"/>
          <w:sz w:val="20"/>
        </w:rPr>
      </w:pPr>
    </w:p>
    <w:bookmarkEnd w:id="1196"/>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198"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198"/>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51007C3D"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E70549"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p w14:paraId="2EF98E49" w14:textId="77777777" w:rsidR="00E70549" w:rsidRDefault="00E70549" w:rsidP="00E70549">
      <w:pPr>
        <w:jc w:val="both"/>
        <w:rPr>
          <w:rFonts w:ascii="Arial" w:hAnsi="Arial" w:cs="Arial"/>
          <w:iCs/>
          <w:sz w:val="20"/>
        </w:rPr>
      </w:pPr>
    </w:p>
    <w:p w14:paraId="337FAC9D" w14:textId="77777777" w:rsidR="00E70549" w:rsidRPr="00BD3BA0" w:rsidRDefault="00E70549" w:rsidP="00E70549">
      <w:pPr>
        <w:jc w:val="center"/>
        <w:rPr>
          <w:rFonts w:ascii="Arial" w:hAnsi="Arial" w:cs="Arial"/>
          <w:b/>
          <w:bCs/>
          <w:sz w:val="22"/>
          <w:szCs w:val="28"/>
        </w:rPr>
      </w:pPr>
      <w:r w:rsidRPr="00BD3BA0">
        <w:rPr>
          <w:rFonts w:ascii="Arial" w:hAnsi="Arial" w:cs="Arial"/>
          <w:b/>
          <w:bCs/>
          <w:sz w:val="22"/>
          <w:szCs w:val="28"/>
        </w:rPr>
        <w:t>THE REST OF THIS PAGE IS BLANK</w:t>
      </w:r>
    </w:p>
    <w:p w14:paraId="440DD2D5" w14:textId="77777777" w:rsidR="00E70549" w:rsidRDefault="00E70549" w:rsidP="00E70549">
      <w:pPr>
        <w:jc w:val="both"/>
        <w:rPr>
          <w:rFonts w:ascii="Arial" w:hAnsi="Arial" w:cs="Arial"/>
          <w:sz w:val="20"/>
        </w:rPr>
      </w:pPr>
    </w:p>
    <w:bookmarkEnd w:id="1197"/>
    <w:p w14:paraId="746C5778" w14:textId="14B74842" w:rsidR="00BB66EC" w:rsidRDefault="00BB66EC">
      <w:pPr>
        <w:rPr>
          <w:rFonts w:ascii="Arial" w:hAnsi="Arial" w:cs="Arial"/>
          <w:sz w:val="20"/>
        </w:rPr>
      </w:pPr>
      <w:r>
        <w:rPr>
          <w:rFonts w:ascii="Arial" w:hAnsi="Arial" w:cs="Arial"/>
          <w:sz w:val="20"/>
        </w:rPr>
        <w:br w:type="page"/>
      </w:r>
    </w:p>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1D7D32C1"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2CA4FB08"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199" w:name="_Hlk89260004"/>
            <w:r>
              <w:rPr>
                <w:rFonts w:ascii="Arial" w:hAnsi="Arial" w:cs="Arial"/>
                <w:sz w:val="20"/>
              </w:rPr>
              <w:t xml:space="preserve">grant any relief or remedy in the nature of certiorari, mandamus, prohibition or quo warranto </w:t>
            </w:r>
            <w:bookmarkEnd w:id="1199"/>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BA42141"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35D5D966"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21987CDE"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200"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200"/>
            <w:r>
              <w:rPr>
                <w:rFonts w:ascii="Arial" w:hAnsi="Arial" w:cs="Arial"/>
                <w:iCs/>
                <w:sz w:val="20"/>
              </w:rPr>
              <w:t xml:space="preserve">relating to appeals against an order of the Family Division of the CCV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lastRenderedPageBreak/>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10A960AB" w14:textId="48EE46DA"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are</w:t>
      </w:r>
      <w:r w:rsidR="00366998" w:rsidRPr="00A31FFA">
        <w:rPr>
          <w:rFonts w:ascii="Arial" w:hAnsi="Arial" w:cs="Arial"/>
          <w:sz w:val="20"/>
        </w:rPr>
        <w:t>–</w:t>
      </w:r>
    </w:p>
    <w:p w14:paraId="4CEE32FF"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B91FE66" w14:textId="77777777" w:rsidR="00B21DA4" w:rsidRDefault="00B21DA4">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77777777"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r w:rsidRPr="00B04EE8">
        <w:rPr>
          <w:rFonts w:ascii="Arial" w:hAnsi="Arial" w:cs="Arial"/>
          <w:i/>
          <w:iCs/>
          <w:sz w:val="20"/>
        </w:rPr>
        <w:t>Binse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Courts approach such an application with caution, based on the public interest in the finality of legal proceedings, and the principle that a plea of guilty by an accused, in possession of all the relevant facts, is 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lastRenderedPageBreak/>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p w14:paraId="37CAFE1F" w14:textId="6481CD7D" w:rsidR="00394BF1" w:rsidRDefault="000708B6" w:rsidP="003C751E">
      <w:pPr>
        <w:jc w:val="both"/>
        <w:rPr>
          <w:rFonts w:ascii="Arial" w:hAnsi="Arial" w:cs="Arial"/>
          <w:sz w:val="20"/>
        </w:rPr>
      </w:pPr>
      <w:r>
        <w:rPr>
          <w:rFonts w:ascii="Arial" w:hAnsi="Arial" w:cs="Arial"/>
          <w:sz w:val="20"/>
        </w:rPr>
        <w:t xml:space="preserve">In </w:t>
      </w:r>
      <w:r w:rsidRPr="000708B6">
        <w:rPr>
          <w:rFonts w:ascii="Arial" w:hAnsi="Arial" w:cs="Arial"/>
          <w:i/>
          <w:iCs/>
          <w:sz w:val="20"/>
        </w:rPr>
        <w:t>Parker v DPP (</w:t>
      </w:r>
      <w:proofErr w:type="spellStart"/>
      <w:r w:rsidRPr="000708B6">
        <w:rPr>
          <w:rFonts w:ascii="Arial" w:hAnsi="Arial" w:cs="Arial"/>
          <w:i/>
          <w:iCs/>
          <w:sz w:val="20"/>
        </w:rPr>
        <w:t>Cth</w:t>
      </w:r>
      <w:proofErr w:type="spellEnd"/>
      <w:r w:rsidRPr="000708B6">
        <w:rPr>
          <w:rFonts w:ascii="Arial" w:hAnsi="Arial" w:cs="Arial"/>
          <w:i/>
          <w:iCs/>
          <w:sz w:val="20"/>
        </w:rPr>
        <w:t>)</w:t>
      </w:r>
      <w:r>
        <w:rPr>
          <w:rFonts w:ascii="Arial" w:hAnsi="Arial" w:cs="Arial"/>
          <w:sz w:val="20"/>
        </w:rPr>
        <w:t xml:space="preserve"> [2025] VSCA 316 the applicant had pleaded guilty to a charge of </w:t>
      </w:r>
      <w:r w:rsidRPr="000708B6">
        <w:rPr>
          <w:rFonts w:ascii="Arial" w:hAnsi="Arial" w:cs="Arial"/>
          <w:sz w:val="20"/>
        </w:rPr>
        <w:t xml:space="preserve">entering into </w:t>
      </w:r>
      <w:r w:rsidR="00394BF1">
        <w:rPr>
          <w:rFonts w:ascii="Arial" w:hAnsi="Arial" w:cs="Arial"/>
          <w:sz w:val="20"/>
        </w:rPr>
        <w:t xml:space="preserve">an </w:t>
      </w:r>
      <w:r w:rsidRPr="000708B6">
        <w:rPr>
          <w:rFonts w:ascii="Arial" w:hAnsi="Arial" w:cs="Arial"/>
          <w:sz w:val="20"/>
        </w:rPr>
        <w:t xml:space="preserve">agreement or transaction with intentions including preventing recovery of entitlements of employees in contravention of </w:t>
      </w:r>
      <w:r w:rsidRPr="000708B6">
        <w:rPr>
          <w:rFonts w:ascii="Arial" w:hAnsi="Arial" w:cs="Arial"/>
          <w:i/>
          <w:iCs/>
          <w:sz w:val="20"/>
        </w:rPr>
        <w:t>Corporations Act 2001</w:t>
      </w:r>
      <w:r w:rsidRPr="000708B6">
        <w:rPr>
          <w:rFonts w:ascii="Arial" w:hAnsi="Arial" w:cs="Arial"/>
          <w:sz w:val="20"/>
        </w:rPr>
        <w:t xml:space="preserve"> (</w:t>
      </w:r>
      <w:proofErr w:type="spellStart"/>
      <w:r w:rsidRPr="000708B6">
        <w:rPr>
          <w:rFonts w:ascii="Arial" w:hAnsi="Arial" w:cs="Arial"/>
          <w:sz w:val="20"/>
        </w:rPr>
        <w:t>Cth</w:t>
      </w:r>
      <w:proofErr w:type="spellEnd"/>
      <w:r w:rsidRPr="000708B6">
        <w:rPr>
          <w:rFonts w:ascii="Arial" w:hAnsi="Arial" w:cs="Arial"/>
          <w:sz w:val="20"/>
        </w:rPr>
        <w:t>) s 596</w:t>
      </w:r>
      <w:proofErr w:type="gramStart"/>
      <w:r w:rsidRPr="000708B6">
        <w:rPr>
          <w:rFonts w:ascii="Arial" w:hAnsi="Arial" w:cs="Arial"/>
          <w:sz w:val="20"/>
        </w:rPr>
        <w:t>AB(</w:t>
      </w:r>
      <w:proofErr w:type="gramEnd"/>
      <w:r w:rsidRPr="000708B6">
        <w:rPr>
          <w:rFonts w:ascii="Arial" w:hAnsi="Arial" w:cs="Arial"/>
          <w:sz w:val="20"/>
        </w:rPr>
        <w:t xml:space="preserve">1) </w:t>
      </w:r>
      <w:r>
        <w:rPr>
          <w:rFonts w:ascii="Arial" w:hAnsi="Arial" w:cs="Arial"/>
          <w:sz w:val="20"/>
        </w:rPr>
        <w:t xml:space="preserve">and had been sentenced to IMP2y6m with immediate release on a recognizance release order. </w:t>
      </w:r>
      <w:r w:rsidR="00394BF1">
        <w:rPr>
          <w:rFonts w:ascii="Arial" w:hAnsi="Arial" w:cs="Arial"/>
          <w:sz w:val="20"/>
        </w:rPr>
        <w:t>His</w:t>
      </w:r>
      <w:r>
        <w:rPr>
          <w:rFonts w:ascii="Arial" w:hAnsi="Arial" w:cs="Arial"/>
          <w:sz w:val="20"/>
        </w:rPr>
        <w:t xml:space="preserve"> a</w:t>
      </w:r>
      <w:r w:rsidRPr="000708B6">
        <w:rPr>
          <w:rFonts w:ascii="Arial" w:hAnsi="Arial" w:cs="Arial"/>
          <w:sz w:val="20"/>
        </w:rPr>
        <w:t xml:space="preserve">pplication for leave to appeal against conviction </w:t>
      </w:r>
      <w:r>
        <w:rPr>
          <w:rFonts w:ascii="Arial" w:hAnsi="Arial" w:cs="Arial"/>
          <w:sz w:val="20"/>
        </w:rPr>
        <w:t xml:space="preserve">was </w:t>
      </w:r>
      <w:r w:rsidRPr="000708B6">
        <w:rPr>
          <w:rFonts w:ascii="Arial" w:hAnsi="Arial" w:cs="Arial"/>
          <w:sz w:val="20"/>
        </w:rPr>
        <w:t xml:space="preserve">on </w:t>
      </w:r>
      <w:r>
        <w:rPr>
          <w:rFonts w:ascii="Arial" w:hAnsi="Arial" w:cs="Arial"/>
          <w:sz w:val="20"/>
        </w:rPr>
        <w:t xml:space="preserve">the </w:t>
      </w:r>
      <w:r w:rsidRPr="000708B6">
        <w:rPr>
          <w:rFonts w:ascii="Arial" w:hAnsi="Arial" w:cs="Arial"/>
          <w:sz w:val="20"/>
        </w:rPr>
        <w:t xml:space="preserve">basis that </w:t>
      </w:r>
      <w:r>
        <w:rPr>
          <w:rFonts w:ascii="Arial" w:hAnsi="Arial" w:cs="Arial"/>
          <w:sz w:val="20"/>
        </w:rPr>
        <w:t xml:space="preserve">he </w:t>
      </w:r>
      <w:r w:rsidRPr="000708B6">
        <w:rPr>
          <w:rFonts w:ascii="Arial" w:hAnsi="Arial" w:cs="Arial"/>
          <w:sz w:val="20"/>
        </w:rPr>
        <w:t>could not have been found guilty of offence charged</w:t>
      </w:r>
      <w:r w:rsidR="00394BF1">
        <w:rPr>
          <w:rFonts w:ascii="Arial" w:hAnsi="Arial" w:cs="Arial"/>
          <w:sz w:val="20"/>
        </w:rPr>
        <w:t xml:space="preserve"> because he believed that the employment entitlements were recoverable under the </w:t>
      </w:r>
      <w:r w:rsidR="00394BF1" w:rsidRPr="00394BF1">
        <w:rPr>
          <w:rFonts w:ascii="Arial" w:hAnsi="Arial" w:cs="Arial"/>
          <w:i/>
          <w:iCs/>
          <w:sz w:val="20"/>
        </w:rPr>
        <w:t>Fair Entitlements Guarantee Act 2012</w:t>
      </w:r>
      <w:r w:rsidR="00394BF1" w:rsidRPr="00394BF1">
        <w:rPr>
          <w:rFonts w:ascii="Arial" w:hAnsi="Arial" w:cs="Arial"/>
          <w:sz w:val="20"/>
        </w:rPr>
        <w:t xml:space="preserve"> (</w:t>
      </w:r>
      <w:proofErr w:type="spellStart"/>
      <w:r w:rsidR="00394BF1" w:rsidRPr="00394BF1">
        <w:rPr>
          <w:rFonts w:ascii="Arial" w:hAnsi="Arial" w:cs="Arial"/>
          <w:sz w:val="20"/>
        </w:rPr>
        <w:t>Cth</w:t>
      </w:r>
      <w:proofErr w:type="spellEnd"/>
      <w:r w:rsidR="00394BF1" w:rsidRPr="00394BF1">
        <w:rPr>
          <w:rFonts w:ascii="Arial" w:hAnsi="Arial" w:cs="Arial"/>
          <w:sz w:val="20"/>
        </w:rPr>
        <w:t>)</w:t>
      </w:r>
      <w:r w:rsidR="00394BF1">
        <w:rPr>
          <w:rFonts w:ascii="Arial" w:hAnsi="Arial" w:cs="Arial"/>
          <w:sz w:val="20"/>
        </w:rPr>
        <w:t>. The respondent conceded the appeal. At [11]-[1</w:t>
      </w:r>
      <w:r w:rsidR="00834A26">
        <w:rPr>
          <w:rFonts w:ascii="Arial" w:hAnsi="Arial" w:cs="Arial"/>
          <w:sz w:val="20"/>
        </w:rPr>
        <w:t>4</w:t>
      </w:r>
      <w:r w:rsidR="00394BF1">
        <w:rPr>
          <w:rFonts w:ascii="Arial" w:hAnsi="Arial" w:cs="Arial"/>
          <w:sz w:val="20"/>
        </w:rPr>
        <w:t>] McLeish &amp; Orr JA said:</w:t>
      </w:r>
    </w:p>
    <w:p w14:paraId="134E7145" w14:textId="5AB0D868" w:rsidR="00394BF1" w:rsidRDefault="00394BF1" w:rsidP="00394BF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[11] “This </w:t>
      </w:r>
      <w:r w:rsidRPr="00394BF1">
        <w:rPr>
          <w:rFonts w:ascii="Arial" w:hAnsi="Arial" w:cs="Arial"/>
          <w:sz w:val="20"/>
        </w:rPr>
        <w:t xml:space="preserve">Court in </w:t>
      </w:r>
      <w:r w:rsidRPr="00394BF1">
        <w:rPr>
          <w:rFonts w:ascii="Arial" w:hAnsi="Arial" w:cs="Arial"/>
          <w:i/>
          <w:iCs/>
          <w:sz w:val="20"/>
        </w:rPr>
        <w:t>Peters v The Queen [No 2</w:t>
      </w:r>
      <w:r w:rsidRPr="00394BF1">
        <w:rPr>
          <w:rFonts w:ascii="Arial" w:hAnsi="Arial" w:cs="Arial"/>
          <w:sz w:val="20"/>
        </w:rPr>
        <w:t>]</w:t>
      </w:r>
      <w:r>
        <w:rPr>
          <w:rFonts w:ascii="Arial" w:hAnsi="Arial" w:cs="Arial"/>
          <w:sz w:val="20"/>
        </w:rPr>
        <w:t xml:space="preserve"> </w:t>
      </w:r>
      <w:r w:rsidRPr="00394BF1">
        <w:rPr>
          <w:rFonts w:ascii="Arial" w:hAnsi="Arial" w:cs="Arial"/>
          <w:sz w:val="20"/>
        </w:rPr>
        <w:t>(2019) 60 VR 231 summarised the principles governing appeals against convictions following a plea of guilty as follows</w:t>
      </w:r>
      <w:r w:rsidR="00834A26">
        <w:rPr>
          <w:rFonts w:ascii="Arial" w:hAnsi="Arial" w:cs="Arial"/>
          <w:sz w:val="20"/>
        </w:rPr>
        <w:t xml:space="preserve"> at [38]-[40]</w:t>
      </w:r>
      <w:r w:rsidRPr="00394BF1">
        <w:rPr>
          <w:rFonts w:ascii="Arial" w:hAnsi="Arial" w:cs="Arial"/>
          <w:sz w:val="20"/>
        </w:rPr>
        <w:t>:</w:t>
      </w:r>
    </w:p>
    <w:p w14:paraId="7F5DE2DF"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Although the categories of miscarriage of justice are of course not closed, two kinds of situation have emerged repeatedly in the cases. As articulated by Avory J in </w:t>
      </w:r>
      <w:r w:rsidRPr="00394BF1">
        <w:rPr>
          <w:rFonts w:ascii="Arial" w:hAnsi="Arial" w:cs="Arial"/>
          <w:i/>
          <w:iCs/>
          <w:sz w:val="18"/>
          <w:szCs w:val="18"/>
        </w:rPr>
        <w:t>R v Forde</w:t>
      </w:r>
      <w:r w:rsidRPr="00394BF1">
        <w:rPr>
          <w:rFonts w:ascii="Arial" w:hAnsi="Arial" w:cs="Arial"/>
          <w:sz w:val="18"/>
          <w:szCs w:val="18"/>
        </w:rPr>
        <w:t>, they are, first, where the applicant did not appreciate the nature of the charge, or did not intend to admit that he was guilty of it, and secondly, where the applicant could not in law have been convicted of the offence charged on the facts alleged.</w:t>
      </w:r>
    </w:p>
    <w:p w14:paraId="4F166D46"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lastRenderedPageBreak/>
        <w:t xml:space="preserve"> … </w:t>
      </w:r>
    </w:p>
    <w:p w14:paraId="0848DCD6" w14:textId="4C74D82D" w:rsidR="00394BF1" w:rsidRPr="00834A26" w:rsidRDefault="00394BF1" w:rsidP="00834A26">
      <w:pPr>
        <w:pStyle w:val="NormalWeb"/>
        <w:shd w:val="clear" w:color="auto" w:fill="FFFFFF"/>
        <w:spacing w:before="60" w:beforeAutospacing="0" w:after="0" w:afterAutospacing="0"/>
        <w:ind w:left="907" w:right="907"/>
        <w:jc w:val="both"/>
        <w:rPr>
          <w:rFonts w:ascii="Arial" w:hAnsi="Arial" w:cs="Arial"/>
          <w:sz w:val="18"/>
          <w:szCs w:val="22"/>
        </w:rPr>
      </w:pPr>
      <w:r w:rsidRPr="00394BF1">
        <w:rPr>
          <w:rFonts w:ascii="Arial" w:hAnsi="Arial" w:cs="Arial"/>
          <w:sz w:val="18"/>
          <w:szCs w:val="18"/>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r w:rsidR="00834A26">
        <w:rPr>
          <w:rFonts w:ascii="Arial" w:hAnsi="Arial" w:cs="Arial"/>
          <w:sz w:val="18"/>
          <w:szCs w:val="18"/>
        </w:rPr>
        <w:t xml:space="preserve"> </w:t>
      </w:r>
      <w:r w:rsidR="00834A26" w:rsidRPr="00834A26">
        <w:rPr>
          <w:rFonts w:ascii="Arial" w:hAnsi="Arial" w:cs="Arial"/>
          <w:sz w:val="18"/>
          <w:szCs w:val="22"/>
        </w:rPr>
        <w:t>(citations omitted)</w:t>
      </w:r>
      <w:r w:rsidR="00834A26">
        <w:rPr>
          <w:rFonts w:ascii="Arial" w:hAnsi="Arial" w:cs="Arial"/>
          <w:sz w:val="18"/>
          <w:szCs w:val="22"/>
        </w:rPr>
        <w:t>: s</w:t>
      </w:r>
      <w:r w:rsidR="00834A26" w:rsidRPr="00834A26">
        <w:rPr>
          <w:rFonts w:ascii="Arial" w:hAnsi="Arial" w:cs="Arial"/>
          <w:sz w:val="18"/>
          <w:szCs w:val="22"/>
        </w:rPr>
        <w:t xml:space="preserve">ee also </w:t>
      </w:r>
      <w:r w:rsidR="00834A26" w:rsidRPr="00834A26">
        <w:rPr>
          <w:rFonts w:ascii="Arial" w:hAnsi="Arial" w:cs="Arial"/>
          <w:i/>
          <w:iCs/>
          <w:sz w:val="18"/>
          <w:szCs w:val="22"/>
        </w:rPr>
        <w:t>Mokbel v The King</w:t>
      </w:r>
      <w:r w:rsidR="00834A26" w:rsidRPr="00834A26">
        <w:rPr>
          <w:rFonts w:ascii="Arial" w:hAnsi="Arial" w:cs="Arial"/>
          <w:sz w:val="18"/>
          <w:szCs w:val="22"/>
        </w:rPr>
        <w:t xml:space="preserve"> [2025] VSCA 243 [594]</w:t>
      </w:r>
      <w:proofErr w:type="gramStart"/>
      <w:r w:rsidR="00834A26" w:rsidRPr="00834A26">
        <w:rPr>
          <w:rFonts w:ascii="Arial" w:hAnsi="Arial" w:cs="Arial"/>
          <w:sz w:val="18"/>
          <w:szCs w:val="22"/>
        </w:rPr>
        <w:t>–[</w:t>
      </w:r>
      <w:proofErr w:type="gramEnd"/>
      <w:r w:rsidR="00834A26" w:rsidRPr="00834A26">
        <w:rPr>
          <w:rFonts w:ascii="Arial" w:hAnsi="Arial" w:cs="Arial"/>
          <w:sz w:val="18"/>
          <w:szCs w:val="22"/>
        </w:rPr>
        <w:t xml:space="preserve">598]; </w:t>
      </w:r>
      <w:r w:rsidR="00834A26" w:rsidRPr="00834A26">
        <w:rPr>
          <w:rFonts w:ascii="Arial" w:hAnsi="Arial" w:cs="Arial"/>
          <w:i/>
          <w:iCs/>
          <w:sz w:val="18"/>
          <w:szCs w:val="22"/>
        </w:rPr>
        <w:t>Jamieson v The Queen</w:t>
      </w:r>
      <w:r w:rsidR="00834A26" w:rsidRPr="00834A26">
        <w:rPr>
          <w:rFonts w:ascii="Arial" w:hAnsi="Arial" w:cs="Arial"/>
          <w:sz w:val="18"/>
          <w:szCs w:val="22"/>
        </w:rPr>
        <w:t xml:space="preserve"> [2017] VSCA 140 [44(6)], [78]</w:t>
      </w:r>
      <w:proofErr w:type="gramStart"/>
      <w:r w:rsidR="00834A26" w:rsidRPr="00834A26">
        <w:rPr>
          <w:rFonts w:ascii="Arial" w:hAnsi="Arial" w:cs="Arial"/>
          <w:sz w:val="18"/>
          <w:szCs w:val="22"/>
        </w:rPr>
        <w:t>–[</w:t>
      </w:r>
      <w:proofErr w:type="gramEnd"/>
      <w:r w:rsidR="00834A26" w:rsidRPr="00834A26">
        <w:rPr>
          <w:rFonts w:ascii="Arial" w:hAnsi="Arial" w:cs="Arial"/>
          <w:sz w:val="18"/>
          <w:szCs w:val="22"/>
        </w:rPr>
        <w:t xml:space="preserve">88]; </w:t>
      </w:r>
      <w:r w:rsidR="00834A26" w:rsidRPr="00834A26">
        <w:rPr>
          <w:rFonts w:ascii="Arial" w:hAnsi="Arial" w:cs="Arial"/>
          <w:i/>
          <w:iCs/>
          <w:sz w:val="18"/>
          <w:szCs w:val="22"/>
        </w:rPr>
        <w:t>Monaghan v The King</w:t>
      </w:r>
      <w:r w:rsidR="00834A26" w:rsidRPr="00834A26">
        <w:rPr>
          <w:rFonts w:ascii="Arial" w:hAnsi="Arial" w:cs="Arial"/>
          <w:sz w:val="18"/>
          <w:szCs w:val="22"/>
        </w:rPr>
        <w:t xml:space="preserve"> [2022] VSCA 247 [24].</w:t>
      </w:r>
    </w:p>
    <w:p w14:paraId="03D3BE58" w14:textId="5E9DB9BF" w:rsidR="00834A26" w:rsidRDefault="00834A26" w:rsidP="00834A26">
      <w:pPr>
        <w:spacing w:before="60"/>
        <w:ind w:left="454" w:right="454"/>
        <w:jc w:val="both"/>
        <w:rPr>
          <w:rFonts w:ascii="Arial" w:hAnsi="Arial" w:cs="Arial"/>
          <w:sz w:val="20"/>
        </w:rPr>
      </w:pPr>
      <w:r>
        <w:rPr>
          <w:rFonts w:ascii="Arial" w:hAnsi="Arial" w:cs="Arial"/>
          <w:sz w:val="20"/>
        </w:rPr>
        <w:t xml:space="preserve">[12] </w:t>
      </w:r>
      <w:r w:rsidR="00394BF1" w:rsidRPr="00394BF1">
        <w:rPr>
          <w:rFonts w:ascii="Arial" w:hAnsi="Arial" w:cs="Arial"/>
          <w:sz w:val="20"/>
        </w:rPr>
        <w:t>In the second category described above, there is a miscarriage of justice because the prosecution case is insufficient at law to sustain a conviction on the relevant charge. In such a case the vice in the conviction is ‘fundamental’ in the sense in which that term</w:t>
      </w:r>
      <w:r>
        <w:rPr>
          <w:rFonts w:ascii="Arial" w:hAnsi="Arial" w:cs="Arial"/>
          <w:sz w:val="20"/>
        </w:rPr>
        <w:t xml:space="preserve"> </w:t>
      </w:r>
      <w:r w:rsidRPr="00834A26">
        <w:rPr>
          <w:rFonts w:ascii="Arial" w:hAnsi="Arial" w:cs="Arial"/>
          <w:sz w:val="20"/>
        </w:rPr>
        <w:t xml:space="preserve">is used in </w:t>
      </w:r>
      <w:r w:rsidRPr="00834A26">
        <w:rPr>
          <w:rFonts w:ascii="Arial" w:hAnsi="Arial" w:cs="Arial"/>
          <w:i/>
          <w:iCs/>
          <w:sz w:val="20"/>
        </w:rPr>
        <w:t>Karam v The King</w:t>
      </w:r>
      <w:r>
        <w:rPr>
          <w:rFonts w:ascii="Arial" w:hAnsi="Arial" w:cs="Arial"/>
          <w:sz w:val="20"/>
        </w:rPr>
        <w:t xml:space="preserve"> </w:t>
      </w:r>
      <w:r w:rsidRPr="00834A26">
        <w:rPr>
          <w:rFonts w:ascii="Arial" w:hAnsi="Arial" w:cs="Arial"/>
          <w:sz w:val="20"/>
        </w:rPr>
        <w:t>[2023] VSCA 318 [216]</w:t>
      </w:r>
      <w:r>
        <w:rPr>
          <w:rFonts w:ascii="Arial" w:hAnsi="Arial" w:cs="Arial"/>
          <w:sz w:val="20"/>
        </w:rPr>
        <w:t xml:space="preserve">, </w:t>
      </w:r>
      <w:r w:rsidRPr="00834A26">
        <w:rPr>
          <w:rFonts w:ascii="Arial" w:hAnsi="Arial" w:cs="Arial"/>
          <w:sz w:val="20"/>
        </w:rPr>
        <w:t>and the conviction must be set aside. It follows that, although the applicant filed an affidavit explaining the reasons for his plea of guilty, it is not necessary to have regard to that explanation.</w:t>
      </w:r>
    </w:p>
    <w:p w14:paraId="463007A8" w14:textId="77777777" w:rsidR="00834A26"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13</w:t>
      </w:r>
      <w:r>
        <w:rPr>
          <w:rFonts w:ascii="Arial" w:hAnsi="Arial" w:cs="Arial"/>
          <w:sz w:val="20"/>
        </w:rPr>
        <w:t>]</w:t>
      </w:r>
      <w:r w:rsidRPr="00834A26">
        <w:rPr>
          <w:rFonts w:ascii="Arial" w:hAnsi="Arial" w:cs="Arial"/>
          <w:sz w:val="20"/>
        </w:rPr>
        <w:t xml:space="preserve"> The Court’s answer to the reserved question demonstrates that the present case falls within the second category described in </w:t>
      </w:r>
      <w:r w:rsidRPr="00834A26">
        <w:rPr>
          <w:rFonts w:ascii="Arial" w:hAnsi="Arial" w:cs="Arial"/>
          <w:i/>
          <w:iCs/>
          <w:sz w:val="20"/>
        </w:rPr>
        <w:t>Peters [No 2]</w:t>
      </w:r>
      <w:r w:rsidRPr="00834A26">
        <w:rPr>
          <w:rFonts w:ascii="Arial" w:hAnsi="Arial" w:cs="Arial"/>
          <w:sz w:val="20"/>
        </w:rPr>
        <w:t xml:space="preserve">. Because the applicant believed that employee entitlements could be recovered by means of advances by the Commonwealth under the </w:t>
      </w:r>
      <w:r w:rsidRPr="00E77CBB">
        <w:rPr>
          <w:rFonts w:ascii="Arial" w:hAnsi="Arial" w:cs="Arial"/>
          <w:i/>
          <w:iCs/>
          <w:sz w:val="20"/>
        </w:rPr>
        <w:t>FEG Act</w:t>
      </w:r>
      <w:r w:rsidRPr="00834A26">
        <w:rPr>
          <w:rFonts w:ascii="Arial" w:hAnsi="Arial" w:cs="Arial"/>
          <w:sz w:val="20"/>
        </w:rPr>
        <w:t>, it was not open to find that the applicant intended to prevent the recovery of those entitlements for the purposes of s 596</w:t>
      </w:r>
      <w:proofErr w:type="gramStart"/>
      <w:r w:rsidRPr="00834A26">
        <w:rPr>
          <w:rFonts w:ascii="Arial" w:hAnsi="Arial" w:cs="Arial"/>
          <w:sz w:val="20"/>
        </w:rPr>
        <w:t>AB(</w:t>
      </w:r>
      <w:proofErr w:type="gramEnd"/>
      <w:r w:rsidRPr="00834A26">
        <w:rPr>
          <w:rFonts w:ascii="Arial" w:hAnsi="Arial" w:cs="Arial"/>
          <w:sz w:val="20"/>
        </w:rPr>
        <w:t>1). The respondent accepts that this is so.</w:t>
      </w:r>
    </w:p>
    <w:p w14:paraId="24B19384" w14:textId="1695B322" w:rsidR="00394BF1"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14</w:t>
      </w:r>
      <w:r>
        <w:rPr>
          <w:rFonts w:ascii="Arial" w:hAnsi="Arial" w:cs="Arial"/>
          <w:sz w:val="20"/>
        </w:rPr>
        <w:t>]</w:t>
      </w:r>
      <w:r w:rsidRPr="00834A26">
        <w:rPr>
          <w:rFonts w:ascii="Arial" w:hAnsi="Arial" w:cs="Arial"/>
          <w:sz w:val="20"/>
        </w:rPr>
        <w:t xml:space="preserve"> For these reasons, it was not legally open to convict the applicant on the facts alleged, notwithstanding his plea of guilty. Leave to appeal should therefore be granted, the appeal allowed and the conviction set aside.</w:t>
      </w:r>
      <w:r>
        <w:rPr>
          <w:rFonts w:ascii="Arial" w:hAnsi="Arial" w:cs="Arial"/>
          <w:sz w:val="20"/>
        </w:rPr>
        <w:t>”</w:t>
      </w:r>
    </w:p>
    <w:p w14:paraId="2B6CE675" w14:textId="14D9871F" w:rsidR="00834A26" w:rsidRDefault="00834A26" w:rsidP="00834A26">
      <w:pPr>
        <w:spacing w:before="60"/>
        <w:jc w:val="both"/>
        <w:rPr>
          <w:rFonts w:ascii="Arial" w:hAnsi="Arial" w:cs="Arial"/>
          <w:sz w:val="20"/>
        </w:rPr>
      </w:pPr>
      <w:r>
        <w:rPr>
          <w:rFonts w:ascii="Arial" w:hAnsi="Arial" w:cs="Arial"/>
          <w:sz w:val="20"/>
        </w:rPr>
        <w:t xml:space="preserve">At [15]-[21] their Honours discussed whether to order a </w:t>
      </w:r>
      <w:r w:rsidR="00AD77DD">
        <w:rPr>
          <w:rFonts w:ascii="Arial" w:hAnsi="Arial" w:cs="Arial"/>
          <w:sz w:val="20"/>
        </w:rPr>
        <w:t>trial or to enter an acquittal, ultimately holding that wa</w:t>
      </w:r>
      <w:r w:rsidR="00AD77DD" w:rsidRPr="00AD77DD">
        <w:rPr>
          <w:rFonts w:ascii="Arial" w:hAnsi="Arial" w:cs="Arial"/>
          <w:sz w:val="20"/>
        </w:rPr>
        <w:t xml:space="preserve">s in the interests of justice that </w:t>
      </w:r>
      <w:r w:rsidR="00BF1D10">
        <w:rPr>
          <w:rFonts w:ascii="Arial" w:hAnsi="Arial" w:cs="Arial"/>
          <w:sz w:val="20"/>
        </w:rPr>
        <w:t>t</w:t>
      </w:r>
      <w:r w:rsidR="00AD77DD" w:rsidRPr="00AD77DD">
        <w:rPr>
          <w:rFonts w:ascii="Arial" w:hAnsi="Arial" w:cs="Arial"/>
          <w:sz w:val="20"/>
        </w:rPr>
        <w:t xml:space="preserve">he </w:t>
      </w:r>
      <w:r w:rsidR="00BF1D10">
        <w:rPr>
          <w:rFonts w:ascii="Arial" w:hAnsi="Arial" w:cs="Arial"/>
          <w:sz w:val="20"/>
        </w:rPr>
        <w:t xml:space="preserve">applicant </w:t>
      </w:r>
      <w:r w:rsidR="00AD77DD" w:rsidRPr="00AD77DD">
        <w:rPr>
          <w:rFonts w:ascii="Arial" w:hAnsi="Arial" w:cs="Arial"/>
          <w:sz w:val="20"/>
        </w:rPr>
        <w:t>be acquitted</w:t>
      </w:r>
      <w:r w:rsidR="00AD77DD">
        <w:rPr>
          <w:rFonts w:ascii="Arial" w:hAnsi="Arial" w:cs="Arial"/>
          <w:sz w:val="20"/>
        </w:rPr>
        <w:t xml:space="preserve"> since the prospect of a new trial advancing a case against </w:t>
      </w:r>
      <w:r w:rsidR="00BF1D10">
        <w:rPr>
          <w:rFonts w:ascii="Arial" w:hAnsi="Arial" w:cs="Arial"/>
          <w:sz w:val="20"/>
        </w:rPr>
        <w:t xml:space="preserve">him </w:t>
      </w:r>
      <w:r w:rsidR="00AD77DD">
        <w:rPr>
          <w:rFonts w:ascii="Arial" w:hAnsi="Arial" w:cs="Arial"/>
          <w:sz w:val="20"/>
        </w:rPr>
        <w:t>reliant on fundamentally different material would be “strikingly unfair”.</w:t>
      </w:r>
    </w:p>
    <w:p w14:paraId="01679A9D" w14:textId="77777777" w:rsidR="000708B6" w:rsidRDefault="000708B6" w:rsidP="003C751E">
      <w:pPr>
        <w:jc w:val="both"/>
        <w:rPr>
          <w:rFonts w:ascii="Arial" w:hAnsi="Arial" w:cs="Arial"/>
          <w:sz w:val="20"/>
        </w:rPr>
      </w:pPr>
    </w:p>
    <w:p w14:paraId="28793CD4" w14:textId="1BAE43BF" w:rsidR="0086089D" w:rsidRDefault="0086089D" w:rsidP="003C751E">
      <w:pPr>
        <w:jc w:val="both"/>
        <w:rPr>
          <w:rFonts w:ascii="Arial" w:hAnsi="Arial" w:cs="Arial"/>
          <w:sz w:val="20"/>
        </w:rPr>
      </w:pPr>
      <w:r>
        <w:rPr>
          <w:rFonts w:ascii="Arial" w:hAnsi="Arial" w:cs="Arial"/>
          <w:sz w:val="20"/>
        </w:rPr>
        <w:t xml:space="preserve">In </w:t>
      </w:r>
      <w:r w:rsidRPr="0086089D">
        <w:rPr>
          <w:rFonts w:ascii="Arial" w:hAnsi="Arial" w:cs="Arial"/>
          <w:i/>
          <w:iCs/>
          <w:sz w:val="20"/>
        </w:rPr>
        <w:t>Dom</w:t>
      </w:r>
      <w:r>
        <w:rPr>
          <w:rFonts w:ascii="Arial" w:hAnsi="Arial" w:cs="Arial"/>
          <w:i/>
          <w:iCs/>
          <w:sz w:val="20"/>
        </w:rPr>
        <w:t>e</w:t>
      </w:r>
      <w:r w:rsidRPr="0086089D">
        <w:rPr>
          <w:rFonts w:ascii="Arial" w:hAnsi="Arial" w:cs="Arial"/>
          <w:i/>
          <w:iCs/>
          <w:sz w:val="20"/>
        </w:rPr>
        <w:t>nic Barbaro v The King</w:t>
      </w:r>
      <w:r>
        <w:rPr>
          <w:rFonts w:ascii="Arial" w:hAnsi="Arial" w:cs="Arial"/>
          <w:sz w:val="20"/>
        </w:rPr>
        <w:t xml:space="preserve"> [2025] VSCA 321 the applicant had been sentenced in 2008 to a term of imprisonment after pleading guilty to a charge of conspiracy to </w:t>
      </w:r>
      <w:proofErr w:type="spellStart"/>
      <w:r>
        <w:rPr>
          <w:rFonts w:ascii="Arial" w:hAnsi="Arial" w:cs="Arial"/>
          <w:sz w:val="20"/>
        </w:rPr>
        <w:t>traffick</w:t>
      </w:r>
      <w:proofErr w:type="spellEnd"/>
      <w:r>
        <w:rPr>
          <w:rFonts w:ascii="Arial" w:hAnsi="Arial" w:cs="Arial"/>
          <w:sz w:val="20"/>
        </w:rPr>
        <w:t xml:space="preserve"> in a commercial quantity of a drug of dependence used in the manufacture of methylamphetamine. His then barrister was a registered police informer who </w:t>
      </w:r>
      <w:r w:rsidR="0097011C">
        <w:rPr>
          <w:rFonts w:ascii="Arial" w:hAnsi="Arial" w:cs="Arial"/>
          <w:sz w:val="20"/>
        </w:rPr>
        <w:t xml:space="preserve">– </w:t>
      </w:r>
      <w:r>
        <w:rPr>
          <w:rFonts w:ascii="Arial" w:hAnsi="Arial" w:cs="Arial"/>
          <w:sz w:val="20"/>
        </w:rPr>
        <w:t xml:space="preserve">together with the police </w:t>
      </w:r>
      <w:r w:rsidR="0097011C">
        <w:rPr>
          <w:rFonts w:ascii="Arial" w:hAnsi="Arial" w:cs="Arial"/>
          <w:sz w:val="20"/>
        </w:rPr>
        <w:t xml:space="preserve">– </w:t>
      </w:r>
      <w:r>
        <w:rPr>
          <w:rFonts w:ascii="Arial" w:hAnsi="Arial" w:cs="Arial"/>
          <w:sz w:val="20"/>
        </w:rPr>
        <w:t xml:space="preserve">persuaded another client to provide evidence against the applicant which was important to the prosecution case against the applicant. The Crown conceded that there had been a substantial miscarriage of justice. Holding that there was insufficient evidence to justify a conviction on the conspiracy to </w:t>
      </w:r>
      <w:proofErr w:type="spellStart"/>
      <w:r>
        <w:rPr>
          <w:rFonts w:ascii="Arial" w:hAnsi="Arial" w:cs="Arial"/>
          <w:sz w:val="20"/>
        </w:rPr>
        <w:t>traffick</w:t>
      </w:r>
      <w:proofErr w:type="spellEnd"/>
      <w:r>
        <w:rPr>
          <w:rFonts w:ascii="Arial" w:hAnsi="Arial" w:cs="Arial"/>
          <w:sz w:val="20"/>
        </w:rPr>
        <w:t xml:space="preserve"> charge and that the applicant could not have been found guilty of ‘some other offence’, the Court of Appeal (Emerton P, Taylor JA &amp; Fox JJA) considered that it was not in the interests of justice to order a retrial, allowed the appeal and set aside the conviction.</w:t>
      </w:r>
    </w:p>
    <w:p w14:paraId="23B5635E" w14:textId="77777777" w:rsidR="0086089D" w:rsidRDefault="0086089D" w:rsidP="003C751E">
      <w:pPr>
        <w:jc w:val="both"/>
        <w:rPr>
          <w:rFonts w:ascii="Arial" w:hAnsi="Arial" w:cs="Arial"/>
          <w:sz w:val="20"/>
        </w:rPr>
      </w:pPr>
    </w:p>
    <w:p w14:paraId="36FE34FF" w14:textId="385D3DCC" w:rsidR="00F03BEA" w:rsidRDefault="00F03BEA" w:rsidP="003C751E">
      <w:pPr>
        <w:jc w:val="both"/>
        <w:rPr>
          <w:rFonts w:ascii="Arial" w:hAnsi="Arial" w:cs="Arial"/>
          <w:sz w:val="20"/>
        </w:rPr>
      </w:pPr>
      <w:r>
        <w:rPr>
          <w:rFonts w:ascii="Arial" w:hAnsi="Arial" w:cs="Arial"/>
          <w:sz w:val="20"/>
        </w:rPr>
        <w:t xml:space="preserve">For another instance of a substantial miscarriage of justice see </w:t>
      </w:r>
      <w:r w:rsidRPr="00F03BEA">
        <w:rPr>
          <w:rFonts w:ascii="Arial" w:hAnsi="Arial" w:cs="Arial"/>
          <w:i/>
          <w:iCs/>
          <w:sz w:val="20"/>
        </w:rPr>
        <w:t>Samantha Smith v The King</w:t>
      </w:r>
      <w:r>
        <w:rPr>
          <w:rFonts w:ascii="Arial" w:hAnsi="Arial" w:cs="Arial"/>
          <w:sz w:val="20"/>
        </w:rPr>
        <w:t xml:space="preserve"> [2025] VSCA 326.</w:t>
      </w:r>
    </w:p>
    <w:p w14:paraId="3AB65CF1" w14:textId="77777777" w:rsidR="00F03BEA" w:rsidRDefault="00F03BEA" w:rsidP="003C751E">
      <w:pPr>
        <w:jc w:val="both"/>
        <w:rPr>
          <w:rFonts w:ascii="Arial" w:hAnsi="Arial" w:cs="Arial"/>
          <w:sz w:val="20"/>
        </w:rPr>
      </w:pPr>
    </w:p>
    <w:p w14:paraId="0705E392" w14:textId="542E734B" w:rsidR="0053400E" w:rsidRDefault="0053400E" w:rsidP="003C751E">
      <w:pPr>
        <w:jc w:val="both"/>
        <w:rPr>
          <w:rFonts w:ascii="Arial" w:hAnsi="Arial" w:cs="Arial"/>
          <w:bCs/>
          <w:color w:val="000000"/>
          <w:sz w:val="20"/>
        </w:rPr>
      </w:pPr>
      <w:r>
        <w:rPr>
          <w:rFonts w:ascii="Arial" w:hAnsi="Arial" w:cs="Arial"/>
          <w:sz w:val="20"/>
        </w:rPr>
        <w:t xml:space="preserve">In </w:t>
      </w:r>
      <w:bookmarkStart w:id="1201" w:name="_Hlk217368519"/>
      <w:r w:rsidR="00131157" w:rsidRPr="00A673D6">
        <w:rPr>
          <w:rFonts w:ascii="Arial" w:hAnsi="Arial" w:cs="Arial"/>
          <w:bCs/>
          <w:i/>
          <w:iCs/>
          <w:color w:val="000000"/>
          <w:sz w:val="20"/>
        </w:rPr>
        <w:t xml:space="preserve">DPP v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v The King</w:t>
      </w:r>
      <w:r w:rsidR="00131157">
        <w:rPr>
          <w:rFonts w:ascii="Arial" w:hAnsi="Arial" w:cs="Arial"/>
          <w:bCs/>
          <w:color w:val="000000"/>
          <w:sz w:val="20"/>
        </w:rPr>
        <w:t xml:space="preserve"> </w:t>
      </w:r>
      <w:r w:rsidR="00131157" w:rsidRPr="00A673D6">
        <w:rPr>
          <w:rFonts w:ascii="Arial" w:hAnsi="Arial" w:cs="Arial"/>
          <w:bCs/>
          <w:color w:val="000000"/>
          <w:sz w:val="20"/>
        </w:rPr>
        <w:t xml:space="preserve">[2025] VSC 420 </w:t>
      </w:r>
      <w:bookmarkEnd w:id="1201"/>
      <w:r w:rsidR="00131157">
        <w:rPr>
          <w:rFonts w:ascii="Arial" w:hAnsi="Arial" w:cs="Arial"/>
          <w:bCs/>
          <w:color w:val="000000"/>
          <w:sz w:val="20"/>
        </w:rPr>
        <w:t xml:space="preserve">the DPP had appealed a sentence of IMP5m + CCO 2y imposed on the 46 year old applicant after a sentence indication hearing followed by a plea of guilty to one charge of aggravated burglary and </w:t>
      </w:r>
      <w:r w:rsidR="00131157" w:rsidRPr="00A673D6">
        <w:rPr>
          <w:rFonts w:ascii="Arial" w:hAnsi="Arial" w:cs="Arial"/>
          <w:bCs/>
          <w:color w:val="000000"/>
          <w:sz w:val="20"/>
        </w:rPr>
        <w:t>two charges of theft (including theft of motor vehicle) with co-offenders</w:t>
      </w:r>
      <w:r w:rsidR="00131157">
        <w:rPr>
          <w:rFonts w:ascii="Arial" w:hAnsi="Arial" w:cs="Arial"/>
          <w:bCs/>
          <w:color w:val="000000"/>
          <w:sz w:val="20"/>
        </w:rPr>
        <w:t xml:space="preserve">. The applicant applied for leave to appeal against conviction after he was informed by the Court of Appeal that he was at risk of an increase in sentence. For reasons detailed at [48]-[177] the Court of Appeal dismissed the applicant’s appeal, holding that his plea had been freely and voluntarily made, notwithstanding that the DPP had conceded </w:t>
      </w:r>
      <w:r w:rsidR="00BE1C2B">
        <w:rPr>
          <w:rFonts w:ascii="Arial" w:hAnsi="Arial" w:cs="Arial"/>
          <w:bCs/>
          <w:color w:val="000000"/>
          <w:sz w:val="20"/>
        </w:rPr>
        <w:t xml:space="preserve">– for the 3 reasons detailed at [163]-[165] – </w:t>
      </w:r>
      <w:r w:rsidR="00131157" w:rsidRPr="00131157">
        <w:rPr>
          <w:rFonts w:ascii="Arial" w:hAnsi="Arial" w:cs="Arial"/>
          <w:bCs/>
          <w:color w:val="000000"/>
          <w:sz w:val="20"/>
        </w:rPr>
        <w:t>that Mr</w:t>
      </w:r>
      <w:r w:rsidR="00BE1C2B">
        <w:rPr>
          <w:rFonts w:ascii="Arial" w:hAnsi="Arial" w:cs="Arial"/>
          <w:bCs/>
          <w:color w:val="000000"/>
          <w:sz w:val="20"/>
        </w:rPr>
        <w:t> </w:t>
      </w:r>
      <w:r w:rsidR="00131157" w:rsidRPr="00131157">
        <w:rPr>
          <w:rFonts w:ascii="Arial" w:hAnsi="Arial" w:cs="Arial"/>
          <w:bCs/>
          <w:color w:val="000000"/>
          <w:sz w:val="20"/>
        </w:rPr>
        <w:t xml:space="preserve">Gluyas’ conviction appeal ought </w:t>
      </w:r>
      <w:proofErr w:type="gramStart"/>
      <w:r w:rsidR="00131157" w:rsidRPr="00131157">
        <w:rPr>
          <w:rFonts w:ascii="Arial" w:hAnsi="Arial" w:cs="Arial"/>
          <w:bCs/>
          <w:color w:val="000000"/>
          <w:sz w:val="20"/>
        </w:rPr>
        <w:t>be</w:t>
      </w:r>
      <w:proofErr w:type="gramEnd"/>
      <w:r w:rsidR="00131157" w:rsidRPr="00131157">
        <w:rPr>
          <w:rFonts w:ascii="Arial" w:hAnsi="Arial" w:cs="Arial"/>
          <w:bCs/>
          <w:color w:val="000000"/>
          <w:sz w:val="20"/>
        </w:rPr>
        <w:t xml:space="preserve"> allowed and his convictions set aside. </w:t>
      </w:r>
      <w:r w:rsidR="00131157">
        <w:rPr>
          <w:rFonts w:ascii="Arial" w:hAnsi="Arial" w:cs="Arial"/>
          <w:bCs/>
          <w:color w:val="000000"/>
          <w:sz w:val="20"/>
        </w:rPr>
        <w:t>In summary Boyce &amp; Kidd JJA and J Forrest JA said at [175]-[176]:</w:t>
      </w:r>
    </w:p>
    <w:p w14:paraId="0CEE6FC0" w14:textId="52BE7EAB" w:rsidR="008E6612" w:rsidRDefault="00131157" w:rsidP="00131157">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008E6612" w:rsidRPr="008E6612">
        <w:rPr>
          <w:rFonts w:ascii="Arial" w:hAnsi="Arial" w:cs="Arial"/>
          <w:i/>
          <w:iCs/>
          <w:sz w:val="20"/>
        </w:rPr>
        <w:t>Guariglia v The Queen</w:t>
      </w:r>
      <w:r w:rsidR="008E6612" w:rsidRPr="008E6612">
        <w:rPr>
          <w:rFonts w:ascii="Arial" w:hAnsi="Arial" w:cs="Arial"/>
          <w:sz w:val="20"/>
        </w:rPr>
        <w:t xml:space="preserve"> (2010) 208 A Crim R 49</w:t>
      </w:r>
      <w:r w:rsidR="008E6612">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sidR="008E6612">
        <w:rPr>
          <w:rFonts w:ascii="Arial" w:hAnsi="Arial" w:cs="Arial"/>
          <w:i/>
          <w:iCs/>
          <w:sz w:val="20"/>
        </w:rPr>
        <w:t>R v G</w:t>
      </w:r>
      <w:r w:rsidRPr="00BE1C2B">
        <w:rPr>
          <w:rFonts w:ascii="Arial" w:hAnsi="Arial" w:cs="Arial"/>
          <w:i/>
          <w:iCs/>
          <w:sz w:val="20"/>
        </w:rPr>
        <w:t>oodyear</w:t>
      </w:r>
      <w:r w:rsidR="008E6612">
        <w:rPr>
          <w:rFonts w:ascii="Arial" w:hAnsi="Arial" w:cs="Arial"/>
          <w:sz w:val="20"/>
        </w:rPr>
        <w:t xml:space="preserve"> </w:t>
      </w:r>
      <w:r w:rsidR="008E6612" w:rsidRPr="008E6612">
        <w:rPr>
          <w:rFonts w:ascii="Arial" w:hAnsi="Arial" w:cs="Arial"/>
          <w:sz w:val="20"/>
        </w:rPr>
        <w:t>[2005] 1 WLR 2532</w:t>
      </w:r>
      <w:r w:rsidR="008E6612">
        <w:rPr>
          <w:rFonts w:ascii="Arial" w:hAnsi="Arial" w:cs="Arial"/>
          <w:sz w:val="20"/>
        </w:rPr>
        <w:t xml:space="preserve">. </w:t>
      </w:r>
      <w:r w:rsidR="008E6612" w:rsidRPr="008E6612">
        <w:rPr>
          <w:rFonts w:ascii="Arial" w:hAnsi="Arial" w:cs="Arial"/>
          <w:sz w:val="20"/>
        </w:rPr>
        <w:t>We were not taken to, nor has our research located any English decision where the simple giving of a ‘</w:t>
      </w:r>
      <w:r w:rsidR="008E6612" w:rsidRPr="008E6612">
        <w:rPr>
          <w:rFonts w:ascii="Arial" w:hAnsi="Arial" w:cs="Arial"/>
          <w:i/>
          <w:iCs/>
          <w:sz w:val="20"/>
        </w:rPr>
        <w:t>Goodyear</w:t>
      </w:r>
      <w:r w:rsidR="008E6612" w:rsidRPr="008E6612">
        <w:rPr>
          <w:rFonts w:ascii="Arial" w:hAnsi="Arial" w:cs="Arial"/>
          <w:sz w:val="20"/>
        </w:rPr>
        <w:t xml:space="preserve"> indication’ vested the sentenced person with a right, on appeal, to withdraw their plea. We note, however, </w:t>
      </w:r>
      <w:r w:rsidR="008E6612" w:rsidRPr="008E6612">
        <w:rPr>
          <w:rFonts w:ascii="Arial" w:hAnsi="Arial" w:cs="Arial"/>
          <w:sz w:val="20"/>
        </w:rPr>
        <w:lastRenderedPageBreak/>
        <w:t xml:space="preserve">that in </w:t>
      </w:r>
      <w:r w:rsidR="008E6612" w:rsidRPr="008E6612">
        <w:rPr>
          <w:rFonts w:ascii="Arial" w:hAnsi="Arial" w:cs="Arial"/>
          <w:i/>
          <w:iCs/>
          <w:sz w:val="20"/>
        </w:rPr>
        <w:t>Nightingale (Danny)</w:t>
      </w:r>
      <w:r w:rsidR="008E6612" w:rsidRPr="008E6612">
        <w:rPr>
          <w:rFonts w:ascii="Arial" w:hAnsi="Arial" w:cs="Arial"/>
          <w:sz w:val="20"/>
        </w:rPr>
        <w:t xml:space="preserve"> [2013] 2 Cr App R 7, an uninvited sentence indication that was given ‘out of the blue’ entitled the accused to a quashing of his conviction.</w:t>
      </w:r>
    </w:p>
    <w:p w14:paraId="4F7AA0D1" w14:textId="582FFF05" w:rsidR="00BE1C2B" w:rsidRDefault="00BE1C2B" w:rsidP="00BE1C2B">
      <w:pPr>
        <w:spacing w:before="60"/>
        <w:ind w:left="454" w:right="454"/>
        <w:jc w:val="both"/>
        <w:rPr>
          <w:rFonts w:ascii="Arial" w:hAnsi="Arial" w:cs="Arial"/>
          <w:sz w:val="20"/>
        </w:rPr>
      </w:pPr>
      <w:r>
        <w:rPr>
          <w:rFonts w:ascii="Arial" w:hAnsi="Arial" w:cs="Arial"/>
          <w:sz w:val="20"/>
        </w:rPr>
        <w:t>[</w:t>
      </w:r>
      <w:r w:rsidR="00131157" w:rsidRPr="00131157">
        <w:rPr>
          <w:rFonts w:ascii="Arial" w:hAnsi="Arial" w:cs="Arial"/>
          <w:sz w:val="20"/>
        </w:rPr>
        <w:t>176</w:t>
      </w:r>
      <w:r>
        <w:rPr>
          <w:rFonts w:ascii="Arial" w:hAnsi="Arial" w:cs="Arial"/>
          <w:sz w:val="20"/>
        </w:rPr>
        <w:t>]</w:t>
      </w:r>
      <w:r w:rsidR="00131157"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00131157" w:rsidRPr="00BE1C2B">
        <w:rPr>
          <w:rFonts w:ascii="Arial" w:hAnsi="Arial" w:cs="Arial"/>
          <w:i/>
          <w:iCs/>
          <w:sz w:val="20"/>
        </w:rPr>
        <w:t>Goodyear</w:t>
      </w:r>
      <w:r>
        <w:rPr>
          <w:rFonts w:ascii="Arial" w:hAnsi="Arial" w:cs="Arial"/>
          <w:sz w:val="20"/>
        </w:rPr>
        <w:t>.</w:t>
      </w:r>
      <w:r w:rsidR="00397C8A">
        <w:rPr>
          <w:rFonts w:ascii="Arial" w:hAnsi="Arial" w:cs="Arial"/>
          <w:sz w:val="20"/>
        </w:rPr>
        <w:t xml:space="preserve"> </w:t>
      </w:r>
      <w:r w:rsidR="008E6612" w:rsidRPr="008E6612">
        <w:rPr>
          <w:rFonts w:ascii="Arial" w:hAnsi="Arial" w:cs="Arial"/>
          <w:sz w:val="20"/>
        </w:rPr>
        <w:t>Our research has failed to discover a case where the fact of a reference by the Attorney-General to the Court of Appeal in England due to the leniency of a sentence imposed after the giving of a ‘Goodyear indication’ provided the sentenced person with a basis to a withdrawal of their plea of guilty on appeal.</w:t>
      </w:r>
      <w:r w:rsidR="00397C8A">
        <w:rPr>
          <w:rFonts w:ascii="Arial" w:hAnsi="Arial" w:cs="Arial"/>
          <w:sz w:val="20"/>
        </w:rPr>
        <w:t>”</w:t>
      </w:r>
    </w:p>
    <w:p w14:paraId="05715B69" w14:textId="77777777" w:rsidR="00131157" w:rsidRDefault="00131157" w:rsidP="003C751E">
      <w:pPr>
        <w:jc w:val="both"/>
        <w:rPr>
          <w:rFonts w:ascii="Arial" w:hAnsi="Arial" w:cs="Arial"/>
          <w:sz w:val="20"/>
        </w:rPr>
      </w:pPr>
    </w:p>
    <w:bookmarkStart w:id="1202" w:name="_3.10.2_Reviews_of"/>
    <w:bookmarkEnd w:id="1202"/>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rsidP="00834A26">
      <w:pPr>
        <w:pStyle w:val="ListParagraph"/>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03" w:name="_3.11_Case_stated"/>
      <w:bookmarkStart w:id="1204" w:name="B311"/>
      <w:bookmarkEnd w:id="1203"/>
      <w:bookmarkEnd w:id="1204"/>
    </w:p>
    <w:bookmarkStart w:id="1205" w:name="_3.10.3_Dismissal_of"/>
    <w:bookmarkEnd w:id="1205"/>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39ABDD7D" w14:textId="77777777" w:rsidR="00E25E37" w:rsidRDefault="00E25E37" w:rsidP="00E25E37">
      <w:pPr>
        <w:jc w:val="both"/>
        <w:rPr>
          <w:rFonts w:ascii="Arial" w:hAnsi="Arial" w:cs="Arial"/>
          <w:sz w:val="20"/>
        </w:rPr>
      </w:pPr>
    </w:p>
    <w:p w14:paraId="266C9A02" w14:textId="77777777" w:rsidR="00E25E37" w:rsidRPr="00BD3BA0" w:rsidRDefault="00E25E37" w:rsidP="00E25E37">
      <w:pPr>
        <w:jc w:val="center"/>
        <w:rPr>
          <w:rFonts w:ascii="Arial" w:hAnsi="Arial" w:cs="Arial"/>
          <w:b/>
          <w:bCs/>
          <w:sz w:val="22"/>
          <w:szCs w:val="28"/>
        </w:rPr>
      </w:pPr>
      <w:r w:rsidRPr="00BD3BA0">
        <w:rPr>
          <w:rFonts w:ascii="Arial" w:hAnsi="Arial" w:cs="Arial"/>
          <w:b/>
          <w:bCs/>
          <w:sz w:val="22"/>
          <w:szCs w:val="28"/>
        </w:rPr>
        <w:t>THE REST OF THIS PAGE IS BLANK</w:t>
      </w:r>
    </w:p>
    <w:p w14:paraId="4E9D55FB" w14:textId="77777777" w:rsidR="00791F8F" w:rsidRDefault="00791F8F" w:rsidP="00791F8F">
      <w:pPr>
        <w:jc w:val="both"/>
        <w:rPr>
          <w:rFonts w:ascii="Arial" w:hAnsi="Arial" w:cs="Arial"/>
          <w:sz w:val="20"/>
        </w:rPr>
      </w:pPr>
    </w:p>
    <w:p w14:paraId="1D2EB645" w14:textId="77777777" w:rsidR="00E25E37" w:rsidRDefault="00E25E37">
      <w:pPr>
        <w:rPr>
          <w:rFonts w:ascii="Arial" w:hAnsi="Arial" w:cs="Arial"/>
          <w:b/>
          <w:bCs/>
          <w:kern w:val="28"/>
          <w:szCs w:val="20"/>
          <w:lang w:val="en-GB"/>
        </w:rPr>
      </w:pPr>
      <w:r>
        <w:rPr>
          <w:rFonts w:ascii="Arial" w:hAnsi="Arial" w:cs="Arial"/>
          <w:b/>
          <w:bCs/>
        </w:rPr>
        <w:br w:type="page"/>
      </w:r>
    </w:p>
    <w:p w14:paraId="2C60FBD7" w14:textId="2F5CFBA5" w:rsidR="003C751E" w:rsidRDefault="003C751E" w:rsidP="003C751E">
      <w:pPr>
        <w:pStyle w:val="Heading2"/>
        <w:keepNext/>
        <w:keepLines/>
        <w:tabs>
          <w:tab w:val="left" w:pos="567"/>
        </w:tabs>
        <w:spacing w:line="240" w:lineRule="auto"/>
        <w:rPr>
          <w:rFonts w:ascii="Arial" w:hAnsi="Arial" w:cs="Arial"/>
          <w:b/>
          <w:bCs/>
        </w:rPr>
      </w:pPr>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proceed in a manner or make a determination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06"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07" w:name="_3.12_The_Children’s"/>
      <w:bookmarkEnd w:id="1207"/>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7777777"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77777777"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 xml:space="preserve">the CCV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 xml:space="preserve">MCV &amp; CCV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77777777"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 xml:space="preserve">the CCV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making a decision,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initiating or conducting an investigation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7777777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CCV and MCV</w:t>
      </w:r>
      <w:r w:rsidR="00C73A2A">
        <w:rPr>
          <w:rFonts w:ascii="Arial" w:hAnsi="Arial" w:cs="Arial"/>
          <w:sz w:val="20"/>
          <w:szCs w:val="20"/>
        </w:rPr>
        <w:t>.</w:t>
      </w:r>
    </w:p>
    <w:bookmarkEnd w:id="1206"/>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08" w:name="_3.13_Court’s_powers"/>
      <w:bookmarkStart w:id="1209" w:name="_3.13_Execution_of"/>
      <w:bookmarkEnd w:id="1208"/>
      <w:bookmarkEnd w:id="1209"/>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10"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11" w:name="_Toc514752900"/>
      <w:bookmarkEnd w:id="1210"/>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12" w:name="_Toc514752904"/>
      <w:bookmarkEnd w:id="1211"/>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6"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12"/>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13" w:name="_3.14_The_Child"/>
      <w:bookmarkEnd w:id="1213"/>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14"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15" w:name="_Hlk190866585"/>
      <w:bookmarkEnd w:id="1214"/>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15"/>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give proper consideration to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2E3CCE21" w14:textId="77777777" w:rsidR="00B05CA3" w:rsidRDefault="00B05CA3" w:rsidP="00677975">
      <w:pPr>
        <w:rPr>
          <w:rFonts w:ascii="Arial" w:hAnsi="Arial" w:cs="Arial"/>
          <w:sz w:val="20"/>
        </w:rPr>
      </w:pPr>
    </w:p>
    <w:p w14:paraId="66BA93A2" w14:textId="77777777" w:rsidR="001536F3" w:rsidRDefault="001536F3" w:rsidP="001536F3">
      <w:pPr>
        <w:jc w:val="center"/>
        <w:rPr>
          <w:rFonts w:ascii="Arial" w:hAnsi="Arial" w:cs="Arial"/>
        </w:rPr>
      </w:pPr>
      <w:r>
        <w:t>`</w:t>
      </w:r>
      <w:r>
        <w:rPr>
          <w:noProof/>
        </w:rPr>
        <w:drawing>
          <wp:inline distT="0" distB="0" distL="0" distR="0" wp14:anchorId="1EBE9E06" wp14:editId="11C0FC70">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p w14:paraId="6AC01A37" w14:textId="77777777" w:rsidR="001536F3" w:rsidRPr="00B7111B" w:rsidRDefault="001536F3" w:rsidP="00677975">
      <w:pPr>
        <w:rPr>
          <w:rFonts w:ascii="Arial" w:hAnsi="Arial" w:cs="Arial"/>
          <w:sz w:val="20"/>
        </w:rPr>
      </w:pPr>
    </w:p>
    <w:sectPr w:rsidR="001536F3" w:rsidRPr="00B7111B" w:rsidSect="00C37D0C">
      <w:headerReference w:type="even" r:id="rId58"/>
      <w:headerReference w:type="default" r:id="rId59"/>
      <w:footerReference w:type="even" r:id="rId60"/>
      <w:footerReference w:type="default" r:id="rId61"/>
      <w:headerReference w:type="first" r:id="rId62"/>
      <w:footerReference w:type="first" r:id="rId6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F4F7" w14:textId="77777777" w:rsidR="00124137" w:rsidRDefault="00124137">
      <w:r>
        <w:separator/>
      </w:r>
    </w:p>
  </w:endnote>
  <w:endnote w:type="continuationSeparator" w:id="0">
    <w:p w14:paraId="620DD41B" w14:textId="77777777" w:rsidR="00124137" w:rsidRDefault="0012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0C03" w14:textId="77777777" w:rsidR="004D39CD" w:rsidRDefault="004D3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7162A9C4"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86089D">
      <w:rPr>
        <w:rStyle w:val="PageNumber"/>
        <w:rFonts w:ascii="Arial" w:hAnsi="Arial" w:cs="Arial"/>
        <w:b/>
        <w:bCs/>
        <w:color w:val="000000"/>
        <w:sz w:val="16"/>
      </w:rPr>
      <w:t>0</w:t>
    </w:r>
    <w:r w:rsidR="004D39CD">
      <w:rPr>
        <w:rStyle w:val="PageNumber"/>
        <w:rFonts w:ascii="Arial" w:hAnsi="Arial" w:cs="Arial"/>
        <w:b/>
        <w:bCs/>
        <w:color w:val="000000"/>
        <w:sz w:val="16"/>
      </w:rPr>
      <w:t>6</w:t>
    </w:r>
    <w:r w:rsidR="00DF67CB">
      <w:rPr>
        <w:rStyle w:val="PageNumber"/>
        <w:rFonts w:ascii="Arial" w:hAnsi="Arial" w:cs="Arial"/>
        <w:b/>
        <w:bCs/>
        <w:color w:val="000000"/>
        <w:sz w:val="16"/>
      </w:rPr>
      <w:t xml:space="preserve"> January 2026</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DF2A" w14:textId="77777777" w:rsidR="004D39CD" w:rsidRDefault="004D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D177" w14:textId="77777777" w:rsidR="00124137" w:rsidRDefault="00124137">
      <w:r>
        <w:separator/>
      </w:r>
    </w:p>
  </w:footnote>
  <w:footnote w:type="continuationSeparator" w:id="0">
    <w:p w14:paraId="2D7443C2" w14:textId="77777777" w:rsidR="00124137" w:rsidRDefault="0012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89A2" w14:textId="77777777" w:rsidR="004D39CD" w:rsidRDefault="004D3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7352" w14:textId="77777777" w:rsidR="004D39CD" w:rsidRDefault="004D3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5585" w14:textId="77777777" w:rsidR="004D39CD" w:rsidRDefault="004D3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FCDE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1A12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EC09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5"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2"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5"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6"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8"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1924830"/>
    <w:multiLevelType w:val="hybridMultilevel"/>
    <w:tmpl w:val="20C8201A"/>
    <w:lvl w:ilvl="0" w:tplc="8E2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B414B25"/>
    <w:multiLevelType w:val="hybridMultilevel"/>
    <w:tmpl w:val="7B4CB410"/>
    <w:lvl w:ilvl="0" w:tplc="7B62D2BC">
      <w:start w:val="1"/>
      <w:numFmt w:val="decimal"/>
      <w:lvlText w:val="(%1)"/>
      <w:lvlJc w:val="left"/>
      <w:pPr>
        <w:ind w:left="818" w:hanging="458"/>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5"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3"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4"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47"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8"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AC27F4D"/>
    <w:multiLevelType w:val="hybridMultilevel"/>
    <w:tmpl w:val="215A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6"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1"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2" w15:restartNumberingAfterBreak="0">
    <w:nsid w:val="2F3A77DA"/>
    <w:multiLevelType w:val="hybridMultilevel"/>
    <w:tmpl w:val="3548866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4"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69"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0"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78"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0"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6"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87"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8"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9"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0"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1"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92"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4"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6"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7"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0"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5"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0"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3"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4"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8"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19"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8"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29"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0"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33"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35"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7"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0"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3"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7"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8"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52"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55"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6"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3"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4"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65" w15:restartNumberingAfterBreak="0">
    <w:nsid w:val="7A0B9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7"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8"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9"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0"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1"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2"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54"/>
  </w:num>
  <w:num w:numId="2" w16cid:durableId="565148479">
    <w:abstractNumId w:val="57"/>
  </w:num>
  <w:num w:numId="3" w16cid:durableId="734089563">
    <w:abstractNumId w:val="68"/>
  </w:num>
  <w:num w:numId="4" w16cid:durableId="295961182">
    <w:abstractNumId w:val="159"/>
  </w:num>
  <w:num w:numId="5" w16cid:durableId="1956671450">
    <w:abstractNumId w:val="107"/>
  </w:num>
  <w:num w:numId="6" w16cid:durableId="375131689">
    <w:abstractNumId w:val="45"/>
  </w:num>
  <w:num w:numId="7" w16cid:durableId="1461387659">
    <w:abstractNumId w:val="24"/>
  </w:num>
  <w:num w:numId="8" w16cid:durableId="1750467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11"/>
  </w:num>
  <w:num w:numId="10" w16cid:durableId="339505381">
    <w:abstractNumId w:val="156"/>
  </w:num>
  <w:num w:numId="11" w16cid:durableId="1635987078">
    <w:abstractNumId w:val="110"/>
  </w:num>
  <w:num w:numId="12" w16cid:durableId="1879972971">
    <w:abstractNumId w:val="37"/>
  </w:num>
  <w:num w:numId="13" w16cid:durableId="2097169926">
    <w:abstractNumId w:val="170"/>
  </w:num>
  <w:num w:numId="14" w16cid:durableId="1597321610">
    <w:abstractNumId w:val="7"/>
  </w:num>
  <w:num w:numId="15" w16cid:durableId="612514816">
    <w:abstractNumId w:val="25"/>
  </w:num>
  <w:num w:numId="16" w16cid:durableId="1544903481">
    <w:abstractNumId w:val="8"/>
  </w:num>
  <w:num w:numId="17" w16cid:durableId="662049190">
    <w:abstractNumId w:val="169"/>
  </w:num>
  <w:num w:numId="18" w16cid:durableId="1911886641">
    <w:abstractNumId w:val="19"/>
  </w:num>
  <w:num w:numId="19" w16cid:durableId="2099865530">
    <w:abstractNumId w:val="89"/>
  </w:num>
  <w:num w:numId="20" w16cid:durableId="305933984">
    <w:abstractNumId w:val="14"/>
  </w:num>
  <w:num w:numId="21" w16cid:durableId="395007215">
    <w:abstractNumId w:val="90"/>
  </w:num>
  <w:num w:numId="22" w16cid:durableId="1627001036">
    <w:abstractNumId w:val="127"/>
  </w:num>
  <w:num w:numId="23" w16cid:durableId="1541169070">
    <w:abstractNumId w:val="151"/>
  </w:num>
  <w:num w:numId="24" w16cid:durableId="1867670272">
    <w:abstractNumId w:val="36"/>
  </w:num>
  <w:num w:numId="25" w16cid:durableId="1104961416">
    <w:abstractNumId w:val="145"/>
  </w:num>
  <w:num w:numId="26" w16cid:durableId="875049460">
    <w:abstractNumId w:val="10"/>
  </w:num>
  <w:num w:numId="27" w16cid:durableId="1450199747">
    <w:abstractNumId w:val="155"/>
  </w:num>
  <w:num w:numId="28" w16cid:durableId="1363895009">
    <w:abstractNumId w:val="16"/>
  </w:num>
  <w:num w:numId="29" w16cid:durableId="131407357">
    <w:abstractNumId w:val="78"/>
  </w:num>
  <w:num w:numId="30" w16cid:durableId="1109818330">
    <w:abstractNumId w:val="79"/>
  </w:num>
  <w:num w:numId="31" w16cid:durableId="1304039603">
    <w:abstractNumId w:val="30"/>
  </w:num>
  <w:num w:numId="32" w16cid:durableId="105080445">
    <w:abstractNumId w:val="39"/>
  </w:num>
  <w:num w:numId="33" w16cid:durableId="1951545210">
    <w:abstractNumId w:val="104"/>
  </w:num>
  <w:num w:numId="34" w16cid:durableId="1513686477">
    <w:abstractNumId w:val="163"/>
  </w:num>
  <w:num w:numId="35" w16cid:durableId="782918561">
    <w:abstractNumId w:val="85"/>
  </w:num>
  <w:num w:numId="36" w16cid:durableId="1134712469">
    <w:abstractNumId w:val="55"/>
  </w:num>
  <w:num w:numId="37" w16cid:durableId="515777756">
    <w:abstractNumId w:val="146"/>
  </w:num>
  <w:num w:numId="38" w16cid:durableId="1242787461">
    <w:abstractNumId w:val="92"/>
  </w:num>
  <w:num w:numId="39" w16cid:durableId="804587307">
    <w:abstractNumId w:val="77"/>
  </w:num>
  <w:num w:numId="40" w16cid:durableId="302388527">
    <w:abstractNumId w:val="83"/>
  </w:num>
  <w:num w:numId="41" w16cid:durableId="1333921571">
    <w:abstractNumId w:val="158"/>
  </w:num>
  <w:num w:numId="42" w16cid:durableId="1012535862">
    <w:abstractNumId w:val="81"/>
  </w:num>
  <w:num w:numId="43" w16cid:durableId="321399952">
    <w:abstractNumId w:val="73"/>
  </w:num>
  <w:num w:numId="44" w16cid:durableId="791363909">
    <w:abstractNumId w:val="42"/>
  </w:num>
  <w:num w:numId="45" w16cid:durableId="1888956811">
    <w:abstractNumId w:val="99"/>
  </w:num>
  <w:num w:numId="46" w16cid:durableId="107354056">
    <w:abstractNumId w:val="5"/>
  </w:num>
  <w:num w:numId="47" w16cid:durableId="64958678">
    <w:abstractNumId w:val="134"/>
  </w:num>
  <w:num w:numId="48" w16cid:durableId="400637028">
    <w:abstractNumId w:val="17"/>
  </w:num>
  <w:num w:numId="49" w16cid:durableId="321589634">
    <w:abstractNumId w:val="13"/>
  </w:num>
  <w:num w:numId="50" w16cid:durableId="1543713457">
    <w:abstractNumId w:val="166"/>
  </w:num>
  <w:num w:numId="51" w16cid:durableId="962344558">
    <w:abstractNumId w:val="126"/>
  </w:num>
  <w:num w:numId="52" w16cid:durableId="1929345919">
    <w:abstractNumId w:val="53"/>
  </w:num>
  <w:num w:numId="53" w16cid:durableId="987397365">
    <w:abstractNumId w:val="116"/>
  </w:num>
  <w:num w:numId="54" w16cid:durableId="124660162">
    <w:abstractNumId w:val="117"/>
  </w:num>
  <w:num w:numId="55" w16cid:durableId="1679697315">
    <w:abstractNumId w:val="121"/>
  </w:num>
  <w:num w:numId="56" w16cid:durableId="496074002">
    <w:abstractNumId w:val="80"/>
  </w:num>
  <w:num w:numId="57" w16cid:durableId="1905094294">
    <w:abstractNumId w:val="148"/>
  </w:num>
  <w:num w:numId="58" w16cid:durableId="2061316609">
    <w:abstractNumId w:val="63"/>
  </w:num>
  <w:num w:numId="59" w16cid:durableId="1040399952">
    <w:abstractNumId w:val="119"/>
  </w:num>
  <w:num w:numId="60" w16cid:durableId="2031249511">
    <w:abstractNumId w:val="130"/>
  </w:num>
  <w:num w:numId="61" w16cid:durableId="626089121">
    <w:abstractNumId w:val="84"/>
  </w:num>
  <w:num w:numId="62" w16cid:durableId="56780148">
    <w:abstractNumId w:val="67"/>
  </w:num>
  <w:num w:numId="63" w16cid:durableId="1055928143">
    <w:abstractNumId w:val="72"/>
  </w:num>
  <w:num w:numId="64" w16cid:durableId="1523276807">
    <w:abstractNumId w:val="167"/>
  </w:num>
  <w:num w:numId="65" w16cid:durableId="297423213">
    <w:abstractNumId w:val="129"/>
  </w:num>
  <w:num w:numId="66" w16cid:durableId="1066612680">
    <w:abstractNumId w:val="136"/>
  </w:num>
  <w:num w:numId="67" w16cid:durableId="1488087089">
    <w:abstractNumId w:val="96"/>
  </w:num>
  <w:num w:numId="68" w16cid:durableId="166991224">
    <w:abstractNumId w:val="87"/>
  </w:num>
  <w:num w:numId="69" w16cid:durableId="1528175381">
    <w:abstractNumId w:val="172"/>
  </w:num>
  <w:num w:numId="70" w16cid:durableId="147748099">
    <w:abstractNumId w:val="123"/>
  </w:num>
  <w:num w:numId="71" w16cid:durableId="1983921348">
    <w:abstractNumId w:val="70"/>
  </w:num>
  <w:num w:numId="72" w16cid:durableId="1095446321">
    <w:abstractNumId w:val="32"/>
  </w:num>
  <w:num w:numId="73" w16cid:durableId="792554023">
    <w:abstractNumId w:val="102"/>
  </w:num>
  <w:num w:numId="74" w16cid:durableId="146478443">
    <w:abstractNumId w:val="137"/>
  </w:num>
  <w:num w:numId="75" w16cid:durableId="1897282059">
    <w:abstractNumId w:val="142"/>
  </w:num>
  <w:num w:numId="76" w16cid:durableId="589043726">
    <w:abstractNumId w:val="147"/>
  </w:num>
  <w:num w:numId="77" w16cid:durableId="132330904">
    <w:abstractNumId w:val="160"/>
  </w:num>
  <w:num w:numId="78" w16cid:durableId="1259290725">
    <w:abstractNumId w:val="105"/>
  </w:num>
  <w:num w:numId="79" w16cid:durableId="192616723">
    <w:abstractNumId w:val="50"/>
  </w:num>
  <w:num w:numId="80" w16cid:durableId="65732712">
    <w:abstractNumId w:val="103"/>
  </w:num>
  <w:num w:numId="81" w16cid:durableId="771241926">
    <w:abstractNumId w:val="95"/>
  </w:num>
  <w:num w:numId="82" w16cid:durableId="2009139626">
    <w:abstractNumId w:val="141"/>
  </w:num>
  <w:num w:numId="83" w16cid:durableId="1672440230">
    <w:abstractNumId w:val="20"/>
  </w:num>
  <w:num w:numId="84" w16cid:durableId="1138763731">
    <w:abstractNumId w:val="75"/>
  </w:num>
  <w:num w:numId="85" w16cid:durableId="704789167">
    <w:abstractNumId w:val="76"/>
  </w:num>
  <w:num w:numId="86" w16cid:durableId="44722775">
    <w:abstractNumId w:val="49"/>
  </w:num>
  <w:num w:numId="87" w16cid:durableId="749696539">
    <w:abstractNumId w:val="51"/>
  </w:num>
  <w:num w:numId="88" w16cid:durableId="1005863644">
    <w:abstractNumId w:val="69"/>
  </w:num>
  <w:num w:numId="89" w16cid:durableId="1947275008">
    <w:abstractNumId w:val="168"/>
  </w:num>
  <w:num w:numId="90" w16cid:durableId="628322409">
    <w:abstractNumId w:val="12"/>
  </w:num>
  <w:num w:numId="91" w16cid:durableId="2023167194">
    <w:abstractNumId w:val="100"/>
  </w:num>
  <w:num w:numId="92" w16cid:durableId="1973318938">
    <w:abstractNumId w:val="28"/>
  </w:num>
  <w:num w:numId="93" w16cid:durableId="1489133808">
    <w:abstractNumId w:val="108"/>
  </w:num>
  <w:num w:numId="94" w16cid:durableId="1075862651">
    <w:abstractNumId w:val="23"/>
  </w:num>
  <w:num w:numId="95" w16cid:durableId="2098937688">
    <w:abstractNumId w:val="60"/>
  </w:num>
  <w:num w:numId="96" w16cid:durableId="968558838">
    <w:abstractNumId w:val="133"/>
  </w:num>
  <w:num w:numId="97" w16cid:durableId="1964190162">
    <w:abstractNumId w:val="93"/>
  </w:num>
  <w:num w:numId="98" w16cid:durableId="2126607290">
    <w:abstractNumId w:val="138"/>
  </w:num>
  <w:num w:numId="99" w16cid:durableId="124659890">
    <w:abstractNumId w:val="47"/>
  </w:num>
  <w:num w:numId="100" w16cid:durableId="125513698">
    <w:abstractNumId w:val="139"/>
  </w:num>
  <w:num w:numId="101" w16cid:durableId="373575974">
    <w:abstractNumId w:val="113"/>
  </w:num>
  <w:num w:numId="102" w16cid:durableId="1457329956">
    <w:abstractNumId w:val="6"/>
  </w:num>
  <w:num w:numId="103" w16cid:durableId="1256476952">
    <w:abstractNumId w:val="106"/>
  </w:num>
  <w:num w:numId="104" w16cid:durableId="24527185">
    <w:abstractNumId w:val="64"/>
  </w:num>
  <w:num w:numId="105" w16cid:durableId="2094281104">
    <w:abstractNumId w:val="162"/>
  </w:num>
  <w:num w:numId="106" w16cid:durableId="1164778413">
    <w:abstractNumId w:val="112"/>
  </w:num>
  <w:num w:numId="107" w16cid:durableId="733510554">
    <w:abstractNumId w:val="11"/>
  </w:num>
  <w:num w:numId="108" w16cid:durableId="1667393598">
    <w:abstractNumId w:val="128"/>
  </w:num>
  <w:num w:numId="109" w16cid:durableId="1609854549">
    <w:abstractNumId w:val="86"/>
  </w:num>
  <w:num w:numId="110" w16cid:durableId="841624849">
    <w:abstractNumId w:val="140"/>
  </w:num>
  <w:num w:numId="111" w16cid:durableId="968365606">
    <w:abstractNumId w:val="152"/>
  </w:num>
  <w:num w:numId="112" w16cid:durableId="1801454312">
    <w:abstractNumId w:val="48"/>
  </w:num>
  <w:num w:numId="113" w16cid:durableId="553664009">
    <w:abstractNumId w:val="157"/>
  </w:num>
  <w:num w:numId="114" w16cid:durableId="1901492">
    <w:abstractNumId w:val="164"/>
  </w:num>
  <w:num w:numId="115" w16cid:durableId="392970761">
    <w:abstractNumId w:val="109"/>
  </w:num>
  <w:num w:numId="116" w16cid:durableId="361591996">
    <w:abstractNumId w:val="46"/>
  </w:num>
  <w:num w:numId="117" w16cid:durableId="1612590982">
    <w:abstractNumId w:val="29"/>
  </w:num>
  <w:num w:numId="118" w16cid:durableId="939025160">
    <w:abstractNumId w:val="132"/>
  </w:num>
  <w:num w:numId="119" w16cid:durableId="125320294">
    <w:abstractNumId w:val="118"/>
  </w:num>
  <w:num w:numId="120" w16cid:durableId="1907836501">
    <w:abstractNumId w:val="131"/>
  </w:num>
  <w:num w:numId="121" w16cid:durableId="911045753">
    <w:abstractNumId w:val="91"/>
  </w:num>
  <w:num w:numId="122" w16cid:durableId="1798641617">
    <w:abstractNumId w:val="15"/>
  </w:num>
  <w:num w:numId="123" w16cid:durableId="548884287">
    <w:abstractNumId w:val="4"/>
  </w:num>
  <w:num w:numId="124" w16cid:durableId="1180389216">
    <w:abstractNumId w:val="149"/>
  </w:num>
  <w:num w:numId="125" w16cid:durableId="1803844807">
    <w:abstractNumId w:val="44"/>
  </w:num>
  <w:num w:numId="126" w16cid:durableId="1058936860">
    <w:abstractNumId w:val="125"/>
  </w:num>
  <w:num w:numId="127" w16cid:durableId="343939854">
    <w:abstractNumId w:val="88"/>
  </w:num>
  <w:num w:numId="128" w16cid:durableId="887453599">
    <w:abstractNumId w:val="9"/>
  </w:num>
  <w:num w:numId="129" w16cid:durableId="74982375">
    <w:abstractNumId w:val="153"/>
  </w:num>
  <w:num w:numId="130" w16cid:durableId="595331535">
    <w:abstractNumId w:val="122"/>
  </w:num>
  <w:num w:numId="131" w16cid:durableId="336269277">
    <w:abstractNumId w:val="94"/>
  </w:num>
  <w:num w:numId="132" w16cid:durableId="1532376557">
    <w:abstractNumId w:val="171"/>
  </w:num>
  <w:num w:numId="133" w16cid:durableId="445933555">
    <w:abstractNumId w:val="35"/>
  </w:num>
  <w:num w:numId="134" w16cid:durableId="986013096">
    <w:abstractNumId w:val="59"/>
  </w:num>
  <w:num w:numId="135" w16cid:durableId="1323968914">
    <w:abstractNumId w:val="18"/>
  </w:num>
  <w:num w:numId="136" w16cid:durableId="1565801154">
    <w:abstractNumId w:val="120"/>
  </w:num>
  <w:num w:numId="137" w16cid:durableId="475799931">
    <w:abstractNumId w:val="71"/>
  </w:num>
  <w:num w:numId="138" w16cid:durableId="1222473811">
    <w:abstractNumId w:val="43"/>
  </w:num>
  <w:num w:numId="139" w16cid:durableId="1787196035">
    <w:abstractNumId w:val="115"/>
  </w:num>
  <w:num w:numId="140" w16cid:durableId="1591350109">
    <w:abstractNumId w:val="65"/>
  </w:num>
  <w:num w:numId="141" w16cid:durableId="1137842356">
    <w:abstractNumId w:val="124"/>
  </w:num>
  <w:num w:numId="142" w16cid:durableId="448626183">
    <w:abstractNumId w:val="54"/>
  </w:num>
  <w:num w:numId="143" w16cid:durableId="1255017307">
    <w:abstractNumId w:val="66"/>
  </w:num>
  <w:num w:numId="144" w16cid:durableId="1534417047">
    <w:abstractNumId w:val="61"/>
  </w:num>
  <w:num w:numId="145" w16cid:durableId="1784033171">
    <w:abstractNumId w:val="40"/>
  </w:num>
  <w:num w:numId="146" w16cid:durableId="940524919">
    <w:abstractNumId w:val="52"/>
  </w:num>
  <w:num w:numId="147" w16cid:durableId="2094350991">
    <w:abstractNumId w:val="74"/>
  </w:num>
  <w:num w:numId="148" w16cid:durableId="1843353444">
    <w:abstractNumId w:val="135"/>
  </w:num>
  <w:num w:numId="149" w16cid:durableId="1903904111">
    <w:abstractNumId w:val="150"/>
  </w:num>
  <w:num w:numId="150" w16cid:durableId="69694223">
    <w:abstractNumId w:val="114"/>
  </w:num>
  <w:num w:numId="151" w16cid:durableId="763233285">
    <w:abstractNumId w:val="97"/>
  </w:num>
  <w:num w:numId="152" w16cid:durableId="507983451">
    <w:abstractNumId w:val="33"/>
  </w:num>
  <w:num w:numId="153" w16cid:durableId="1846482759">
    <w:abstractNumId w:val="82"/>
  </w:num>
  <w:num w:numId="154" w16cid:durableId="1157183632">
    <w:abstractNumId w:val="38"/>
  </w:num>
  <w:num w:numId="155" w16cid:durableId="651445378">
    <w:abstractNumId w:val="56"/>
  </w:num>
  <w:num w:numId="156" w16cid:durableId="259149085">
    <w:abstractNumId w:val="58"/>
  </w:num>
  <w:num w:numId="157" w16cid:durableId="1943763862">
    <w:abstractNumId w:val="161"/>
  </w:num>
  <w:num w:numId="158" w16cid:durableId="526723432">
    <w:abstractNumId w:val="98"/>
  </w:num>
  <w:num w:numId="159" w16cid:durableId="750658802">
    <w:abstractNumId w:val="22"/>
  </w:num>
  <w:num w:numId="160" w16cid:durableId="17247113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44"/>
  </w:num>
  <w:num w:numId="162" w16cid:durableId="516847269">
    <w:abstractNumId w:val="143"/>
  </w:num>
  <w:num w:numId="163" w16cid:durableId="1182354662">
    <w:abstractNumId w:val="101"/>
  </w:num>
  <w:num w:numId="164" w16cid:durableId="1879126466">
    <w:abstractNumId w:val="41"/>
  </w:num>
  <w:num w:numId="165" w16cid:durableId="2058580077">
    <w:abstractNumId w:val="68"/>
    <w:lvlOverride w:ilvl="0">
      <w:startOverride w:val="1"/>
    </w:lvlOverride>
  </w:num>
  <w:num w:numId="166" w16cid:durableId="1387753027">
    <w:abstractNumId w:val="31"/>
  </w:num>
  <w:num w:numId="167" w16cid:durableId="47651189">
    <w:abstractNumId w:val="1"/>
  </w:num>
  <w:num w:numId="168" w16cid:durableId="1088037196">
    <w:abstractNumId w:val="165"/>
  </w:num>
  <w:num w:numId="169" w16cid:durableId="983588254">
    <w:abstractNumId w:val="26"/>
  </w:num>
  <w:num w:numId="170" w16cid:durableId="382679871">
    <w:abstractNumId w:val="34"/>
  </w:num>
  <w:num w:numId="171" w16cid:durableId="793182290">
    <w:abstractNumId w:val="2"/>
  </w:num>
  <w:num w:numId="172" w16cid:durableId="2107774682">
    <w:abstractNumId w:val="0"/>
  </w:num>
  <w:num w:numId="173" w16cid:durableId="962082503">
    <w:abstractNumId w:val="62"/>
  </w:num>
  <w:num w:numId="174" w16cid:durableId="1988973611">
    <w:abstractNumId w:val="27"/>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4E7"/>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07D7F"/>
    <w:rsid w:val="0001045F"/>
    <w:rsid w:val="000107B6"/>
    <w:rsid w:val="00010B64"/>
    <w:rsid w:val="00010EF6"/>
    <w:rsid w:val="000115EF"/>
    <w:rsid w:val="0001163B"/>
    <w:rsid w:val="00011663"/>
    <w:rsid w:val="00012E45"/>
    <w:rsid w:val="000136BC"/>
    <w:rsid w:val="00013912"/>
    <w:rsid w:val="00013A6A"/>
    <w:rsid w:val="00013F0C"/>
    <w:rsid w:val="00014336"/>
    <w:rsid w:val="00014457"/>
    <w:rsid w:val="0001482B"/>
    <w:rsid w:val="0001701E"/>
    <w:rsid w:val="00017266"/>
    <w:rsid w:val="000179F0"/>
    <w:rsid w:val="000201ED"/>
    <w:rsid w:val="00021517"/>
    <w:rsid w:val="000219F0"/>
    <w:rsid w:val="000225F8"/>
    <w:rsid w:val="000232AB"/>
    <w:rsid w:val="000234E3"/>
    <w:rsid w:val="00023C2C"/>
    <w:rsid w:val="00023DF2"/>
    <w:rsid w:val="000241B7"/>
    <w:rsid w:val="0002464F"/>
    <w:rsid w:val="00024EBC"/>
    <w:rsid w:val="00026065"/>
    <w:rsid w:val="000261CB"/>
    <w:rsid w:val="00026277"/>
    <w:rsid w:val="0002796D"/>
    <w:rsid w:val="00027ADD"/>
    <w:rsid w:val="00027D50"/>
    <w:rsid w:val="00030902"/>
    <w:rsid w:val="00030B8C"/>
    <w:rsid w:val="0003177E"/>
    <w:rsid w:val="0003295F"/>
    <w:rsid w:val="000331DE"/>
    <w:rsid w:val="000334B5"/>
    <w:rsid w:val="00033752"/>
    <w:rsid w:val="00034616"/>
    <w:rsid w:val="00034E28"/>
    <w:rsid w:val="00035B7F"/>
    <w:rsid w:val="000360BA"/>
    <w:rsid w:val="0003614B"/>
    <w:rsid w:val="00036A58"/>
    <w:rsid w:val="00036A81"/>
    <w:rsid w:val="00036D92"/>
    <w:rsid w:val="00037AB0"/>
    <w:rsid w:val="00037BB7"/>
    <w:rsid w:val="000402D2"/>
    <w:rsid w:val="00040365"/>
    <w:rsid w:val="0004070D"/>
    <w:rsid w:val="00040891"/>
    <w:rsid w:val="00040A58"/>
    <w:rsid w:val="00041079"/>
    <w:rsid w:val="00043275"/>
    <w:rsid w:val="00043500"/>
    <w:rsid w:val="0004378C"/>
    <w:rsid w:val="00045A09"/>
    <w:rsid w:val="00046CCA"/>
    <w:rsid w:val="00050826"/>
    <w:rsid w:val="00050A1B"/>
    <w:rsid w:val="0005114C"/>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F23"/>
    <w:rsid w:val="00056144"/>
    <w:rsid w:val="00056361"/>
    <w:rsid w:val="0005661C"/>
    <w:rsid w:val="00057181"/>
    <w:rsid w:val="000606E6"/>
    <w:rsid w:val="0006076E"/>
    <w:rsid w:val="00061852"/>
    <w:rsid w:val="00061C43"/>
    <w:rsid w:val="00061EA1"/>
    <w:rsid w:val="000628C4"/>
    <w:rsid w:val="00062E44"/>
    <w:rsid w:val="000631D5"/>
    <w:rsid w:val="00064D97"/>
    <w:rsid w:val="000652DD"/>
    <w:rsid w:val="00065668"/>
    <w:rsid w:val="00065DFE"/>
    <w:rsid w:val="00065EBE"/>
    <w:rsid w:val="000661BC"/>
    <w:rsid w:val="00066AA6"/>
    <w:rsid w:val="00066CC5"/>
    <w:rsid w:val="00067BE4"/>
    <w:rsid w:val="00067BEE"/>
    <w:rsid w:val="000705AB"/>
    <w:rsid w:val="0007078B"/>
    <w:rsid w:val="000708B6"/>
    <w:rsid w:val="0007135D"/>
    <w:rsid w:val="000713BB"/>
    <w:rsid w:val="0007241B"/>
    <w:rsid w:val="00072E03"/>
    <w:rsid w:val="0007304C"/>
    <w:rsid w:val="00073EAD"/>
    <w:rsid w:val="00074514"/>
    <w:rsid w:val="000750B8"/>
    <w:rsid w:val="00075351"/>
    <w:rsid w:val="00075798"/>
    <w:rsid w:val="0007599F"/>
    <w:rsid w:val="00076250"/>
    <w:rsid w:val="00076470"/>
    <w:rsid w:val="0007656A"/>
    <w:rsid w:val="00076C87"/>
    <w:rsid w:val="00076DBA"/>
    <w:rsid w:val="00077DAE"/>
    <w:rsid w:val="00077FAD"/>
    <w:rsid w:val="00080420"/>
    <w:rsid w:val="00080BC8"/>
    <w:rsid w:val="0008172C"/>
    <w:rsid w:val="00081C0C"/>
    <w:rsid w:val="00081F70"/>
    <w:rsid w:val="00082B4E"/>
    <w:rsid w:val="00082DB7"/>
    <w:rsid w:val="00083DD0"/>
    <w:rsid w:val="00084C26"/>
    <w:rsid w:val="00084D11"/>
    <w:rsid w:val="000867E8"/>
    <w:rsid w:val="0008741D"/>
    <w:rsid w:val="00087ADD"/>
    <w:rsid w:val="0009094E"/>
    <w:rsid w:val="00091307"/>
    <w:rsid w:val="000913D2"/>
    <w:rsid w:val="000916A7"/>
    <w:rsid w:val="00091804"/>
    <w:rsid w:val="00092030"/>
    <w:rsid w:val="000920EB"/>
    <w:rsid w:val="00092A5A"/>
    <w:rsid w:val="00093AD6"/>
    <w:rsid w:val="00093E02"/>
    <w:rsid w:val="000941AC"/>
    <w:rsid w:val="000953C6"/>
    <w:rsid w:val="00095577"/>
    <w:rsid w:val="00095855"/>
    <w:rsid w:val="00095896"/>
    <w:rsid w:val="000968EB"/>
    <w:rsid w:val="00097A80"/>
    <w:rsid w:val="000A0150"/>
    <w:rsid w:val="000A0358"/>
    <w:rsid w:val="000A12E1"/>
    <w:rsid w:val="000A17FD"/>
    <w:rsid w:val="000A18D6"/>
    <w:rsid w:val="000A2418"/>
    <w:rsid w:val="000A47C8"/>
    <w:rsid w:val="000A49B9"/>
    <w:rsid w:val="000A4B1E"/>
    <w:rsid w:val="000A5146"/>
    <w:rsid w:val="000A52DC"/>
    <w:rsid w:val="000A5496"/>
    <w:rsid w:val="000A5928"/>
    <w:rsid w:val="000A6838"/>
    <w:rsid w:val="000A6991"/>
    <w:rsid w:val="000A6F80"/>
    <w:rsid w:val="000A70A8"/>
    <w:rsid w:val="000A7BEB"/>
    <w:rsid w:val="000B1261"/>
    <w:rsid w:val="000B1F28"/>
    <w:rsid w:val="000B2322"/>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6196"/>
    <w:rsid w:val="000C6804"/>
    <w:rsid w:val="000C6815"/>
    <w:rsid w:val="000C6EB9"/>
    <w:rsid w:val="000C78BF"/>
    <w:rsid w:val="000C7B68"/>
    <w:rsid w:val="000C7ECE"/>
    <w:rsid w:val="000D0C94"/>
    <w:rsid w:val="000D124E"/>
    <w:rsid w:val="000D175A"/>
    <w:rsid w:val="000D1969"/>
    <w:rsid w:val="000D1B14"/>
    <w:rsid w:val="000D204D"/>
    <w:rsid w:val="000D352E"/>
    <w:rsid w:val="000D3BBE"/>
    <w:rsid w:val="000D3DBE"/>
    <w:rsid w:val="000D422E"/>
    <w:rsid w:val="000D5D61"/>
    <w:rsid w:val="000D64F2"/>
    <w:rsid w:val="000D6AB7"/>
    <w:rsid w:val="000D75A3"/>
    <w:rsid w:val="000E07C8"/>
    <w:rsid w:val="000E0A59"/>
    <w:rsid w:val="000E21E7"/>
    <w:rsid w:val="000E443D"/>
    <w:rsid w:val="000E4F95"/>
    <w:rsid w:val="000E5165"/>
    <w:rsid w:val="000E5532"/>
    <w:rsid w:val="000E62E2"/>
    <w:rsid w:val="000E6603"/>
    <w:rsid w:val="000E687D"/>
    <w:rsid w:val="000E7306"/>
    <w:rsid w:val="000E739B"/>
    <w:rsid w:val="000E7516"/>
    <w:rsid w:val="000E755D"/>
    <w:rsid w:val="000F0111"/>
    <w:rsid w:val="000F0503"/>
    <w:rsid w:val="000F0819"/>
    <w:rsid w:val="000F0825"/>
    <w:rsid w:val="000F0BE9"/>
    <w:rsid w:val="000F0E8B"/>
    <w:rsid w:val="000F1151"/>
    <w:rsid w:val="000F1757"/>
    <w:rsid w:val="000F17DA"/>
    <w:rsid w:val="000F231B"/>
    <w:rsid w:val="000F2367"/>
    <w:rsid w:val="000F2CE5"/>
    <w:rsid w:val="000F437C"/>
    <w:rsid w:val="000F4566"/>
    <w:rsid w:val="000F4600"/>
    <w:rsid w:val="000F47B2"/>
    <w:rsid w:val="000F5140"/>
    <w:rsid w:val="000F5EA5"/>
    <w:rsid w:val="000F61E4"/>
    <w:rsid w:val="000F629D"/>
    <w:rsid w:val="000F6855"/>
    <w:rsid w:val="000F68CD"/>
    <w:rsid w:val="000F6D07"/>
    <w:rsid w:val="000F6F09"/>
    <w:rsid w:val="001012C9"/>
    <w:rsid w:val="0010135F"/>
    <w:rsid w:val="00101B91"/>
    <w:rsid w:val="00103848"/>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DCA"/>
    <w:rsid w:val="00115F89"/>
    <w:rsid w:val="00116196"/>
    <w:rsid w:val="001165F1"/>
    <w:rsid w:val="00116645"/>
    <w:rsid w:val="0011696D"/>
    <w:rsid w:val="00117D3F"/>
    <w:rsid w:val="00120AA9"/>
    <w:rsid w:val="00121246"/>
    <w:rsid w:val="001216CB"/>
    <w:rsid w:val="001217FA"/>
    <w:rsid w:val="001218A5"/>
    <w:rsid w:val="001219C7"/>
    <w:rsid w:val="00122115"/>
    <w:rsid w:val="001222C4"/>
    <w:rsid w:val="001227DA"/>
    <w:rsid w:val="00122DC7"/>
    <w:rsid w:val="00123569"/>
    <w:rsid w:val="00123639"/>
    <w:rsid w:val="00123E31"/>
    <w:rsid w:val="00124137"/>
    <w:rsid w:val="001244F4"/>
    <w:rsid w:val="0012457E"/>
    <w:rsid w:val="00124BC2"/>
    <w:rsid w:val="00125BB7"/>
    <w:rsid w:val="00125C7E"/>
    <w:rsid w:val="00125CDE"/>
    <w:rsid w:val="00130028"/>
    <w:rsid w:val="0013005F"/>
    <w:rsid w:val="001301E8"/>
    <w:rsid w:val="0013025C"/>
    <w:rsid w:val="00130B75"/>
    <w:rsid w:val="00131157"/>
    <w:rsid w:val="001311B5"/>
    <w:rsid w:val="0013169A"/>
    <w:rsid w:val="0013172F"/>
    <w:rsid w:val="00132433"/>
    <w:rsid w:val="00132BA8"/>
    <w:rsid w:val="00132D91"/>
    <w:rsid w:val="001331AD"/>
    <w:rsid w:val="00133DDB"/>
    <w:rsid w:val="00134053"/>
    <w:rsid w:val="00134FB5"/>
    <w:rsid w:val="001357C7"/>
    <w:rsid w:val="00135FEB"/>
    <w:rsid w:val="001362FF"/>
    <w:rsid w:val="0013683D"/>
    <w:rsid w:val="00136AF4"/>
    <w:rsid w:val="00137B35"/>
    <w:rsid w:val="00137B74"/>
    <w:rsid w:val="00137CA1"/>
    <w:rsid w:val="00137E27"/>
    <w:rsid w:val="00140CF4"/>
    <w:rsid w:val="001417D5"/>
    <w:rsid w:val="00142190"/>
    <w:rsid w:val="00142501"/>
    <w:rsid w:val="0014279B"/>
    <w:rsid w:val="001428EC"/>
    <w:rsid w:val="00142BE8"/>
    <w:rsid w:val="00143355"/>
    <w:rsid w:val="001451D5"/>
    <w:rsid w:val="001456E1"/>
    <w:rsid w:val="0014585B"/>
    <w:rsid w:val="00145998"/>
    <w:rsid w:val="001463F7"/>
    <w:rsid w:val="001468DD"/>
    <w:rsid w:val="0014707F"/>
    <w:rsid w:val="001478D7"/>
    <w:rsid w:val="00147A7B"/>
    <w:rsid w:val="00147CF9"/>
    <w:rsid w:val="0015163D"/>
    <w:rsid w:val="00151B7F"/>
    <w:rsid w:val="001526BC"/>
    <w:rsid w:val="00152F96"/>
    <w:rsid w:val="001536F3"/>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3716"/>
    <w:rsid w:val="00164487"/>
    <w:rsid w:val="00164501"/>
    <w:rsid w:val="0016528E"/>
    <w:rsid w:val="00165700"/>
    <w:rsid w:val="0016581C"/>
    <w:rsid w:val="0016597E"/>
    <w:rsid w:val="00165BA9"/>
    <w:rsid w:val="001664F4"/>
    <w:rsid w:val="00166A93"/>
    <w:rsid w:val="00166BEC"/>
    <w:rsid w:val="0016748B"/>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2570"/>
    <w:rsid w:val="001830E4"/>
    <w:rsid w:val="00183219"/>
    <w:rsid w:val="00183750"/>
    <w:rsid w:val="00183A3D"/>
    <w:rsid w:val="00183A81"/>
    <w:rsid w:val="00185521"/>
    <w:rsid w:val="00185DB2"/>
    <w:rsid w:val="00186335"/>
    <w:rsid w:val="001866AC"/>
    <w:rsid w:val="00186BEF"/>
    <w:rsid w:val="00187C4A"/>
    <w:rsid w:val="00187EBB"/>
    <w:rsid w:val="00190B72"/>
    <w:rsid w:val="001916D0"/>
    <w:rsid w:val="00191D39"/>
    <w:rsid w:val="00192094"/>
    <w:rsid w:val="0019274F"/>
    <w:rsid w:val="00192DC4"/>
    <w:rsid w:val="00192DEC"/>
    <w:rsid w:val="0019386A"/>
    <w:rsid w:val="00193DD0"/>
    <w:rsid w:val="00194114"/>
    <w:rsid w:val="0019499F"/>
    <w:rsid w:val="00195961"/>
    <w:rsid w:val="00195E9F"/>
    <w:rsid w:val="00195F33"/>
    <w:rsid w:val="00195FE4"/>
    <w:rsid w:val="0019628D"/>
    <w:rsid w:val="001965F1"/>
    <w:rsid w:val="00196687"/>
    <w:rsid w:val="001974A4"/>
    <w:rsid w:val="00197F05"/>
    <w:rsid w:val="001A02EB"/>
    <w:rsid w:val="001A085A"/>
    <w:rsid w:val="001A10A8"/>
    <w:rsid w:val="001A1BF2"/>
    <w:rsid w:val="001A1DB0"/>
    <w:rsid w:val="001A272E"/>
    <w:rsid w:val="001A2A59"/>
    <w:rsid w:val="001A32B1"/>
    <w:rsid w:val="001A6F5D"/>
    <w:rsid w:val="001A7C0E"/>
    <w:rsid w:val="001B0974"/>
    <w:rsid w:val="001B1A4C"/>
    <w:rsid w:val="001B1B22"/>
    <w:rsid w:val="001B27B5"/>
    <w:rsid w:val="001B31CC"/>
    <w:rsid w:val="001B409F"/>
    <w:rsid w:val="001B417C"/>
    <w:rsid w:val="001B494D"/>
    <w:rsid w:val="001B5152"/>
    <w:rsid w:val="001B52E7"/>
    <w:rsid w:val="001B53EE"/>
    <w:rsid w:val="001B5605"/>
    <w:rsid w:val="001B5E53"/>
    <w:rsid w:val="001B615A"/>
    <w:rsid w:val="001B6181"/>
    <w:rsid w:val="001B6C9D"/>
    <w:rsid w:val="001B6F80"/>
    <w:rsid w:val="001B7502"/>
    <w:rsid w:val="001C04BC"/>
    <w:rsid w:val="001C057A"/>
    <w:rsid w:val="001C0754"/>
    <w:rsid w:val="001C076D"/>
    <w:rsid w:val="001C0801"/>
    <w:rsid w:val="001C0A81"/>
    <w:rsid w:val="001C1494"/>
    <w:rsid w:val="001C1A52"/>
    <w:rsid w:val="001C1A58"/>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425"/>
    <w:rsid w:val="001E1939"/>
    <w:rsid w:val="001E2974"/>
    <w:rsid w:val="001E3DF8"/>
    <w:rsid w:val="001E4091"/>
    <w:rsid w:val="001E5616"/>
    <w:rsid w:val="001E644D"/>
    <w:rsid w:val="001F07FA"/>
    <w:rsid w:val="001F1C85"/>
    <w:rsid w:val="001F20F0"/>
    <w:rsid w:val="001F38F6"/>
    <w:rsid w:val="001F471C"/>
    <w:rsid w:val="001F4A69"/>
    <w:rsid w:val="001F5308"/>
    <w:rsid w:val="001F5C49"/>
    <w:rsid w:val="001F6405"/>
    <w:rsid w:val="001F6C29"/>
    <w:rsid w:val="001F6DCB"/>
    <w:rsid w:val="00200C40"/>
    <w:rsid w:val="00201B53"/>
    <w:rsid w:val="00201D8E"/>
    <w:rsid w:val="0020286D"/>
    <w:rsid w:val="002028BD"/>
    <w:rsid w:val="002029D3"/>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6E6"/>
    <w:rsid w:val="00215CB5"/>
    <w:rsid w:val="00215ED7"/>
    <w:rsid w:val="00215EE6"/>
    <w:rsid w:val="00216E00"/>
    <w:rsid w:val="002176AF"/>
    <w:rsid w:val="0022031F"/>
    <w:rsid w:val="002208A5"/>
    <w:rsid w:val="00220EE2"/>
    <w:rsid w:val="00221222"/>
    <w:rsid w:val="002216EF"/>
    <w:rsid w:val="0022246F"/>
    <w:rsid w:val="00223160"/>
    <w:rsid w:val="002236D7"/>
    <w:rsid w:val="002237E5"/>
    <w:rsid w:val="00223C73"/>
    <w:rsid w:val="00223D77"/>
    <w:rsid w:val="0022435A"/>
    <w:rsid w:val="0022482A"/>
    <w:rsid w:val="0022664B"/>
    <w:rsid w:val="0022688E"/>
    <w:rsid w:val="002278A3"/>
    <w:rsid w:val="002279EF"/>
    <w:rsid w:val="002304A5"/>
    <w:rsid w:val="00230740"/>
    <w:rsid w:val="002307C4"/>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4269"/>
    <w:rsid w:val="00244F69"/>
    <w:rsid w:val="00245595"/>
    <w:rsid w:val="00245936"/>
    <w:rsid w:val="00245F15"/>
    <w:rsid w:val="00247019"/>
    <w:rsid w:val="00247079"/>
    <w:rsid w:val="00247D56"/>
    <w:rsid w:val="00251161"/>
    <w:rsid w:val="00251510"/>
    <w:rsid w:val="0025187C"/>
    <w:rsid w:val="00251B63"/>
    <w:rsid w:val="00251DC5"/>
    <w:rsid w:val="002523E5"/>
    <w:rsid w:val="002531BB"/>
    <w:rsid w:val="00253509"/>
    <w:rsid w:val="002535E9"/>
    <w:rsid w:val="00254A8B"/>
    <w:rsid w:val="00254C81"/>
    <w:rsid w:val="00254D99"/>
    <w:rsid w:val="00255423"/>
    <w:rsid w:val="00255E07"/>
    <w:rsid w:val="002566C3"/>
    <w:rsid w:val="00256ED0"/>
    <w:rsid w:val="0026091F"/>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72DD"/>
    <w:rsid w:val="00267FDA"/>
    <w:rsid w:val="002702CF"/>
    <w:rsid w:val="0027049C"/>
    <w:rsid w:val="00270925"/>
    <w:rsid w:val="0027275D"/>
    <w:rsid w:val="00273346"/>
    <w:rsid w:val="002739E9"/>
    <w:rsid w:val="002742FA"/>
    <w:rsid w:val="00275880"/>
    <w:rsid w:val="00275FE4"/>
    <w:rsid w:val="00276362"/>
    <w:rsid w:val="002765B8"/>
    <w:rsid w:val="00276813"/>
    <w:rsid w:val="002768B3"/>
    <w:rsid w:val="00276AE6"/>
    <w:rsid w:val="00277ADB"/>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A163C"/>
    <w:rsid w:val="002A3922"/>
    <w:rsid w:val="002A3CDF"/>
    <w:rsid w:val="002A4A1B"/>
    <w:rsid w:val="002A4DFE"/>
    <w:rsid w:val="002A4FAE"/>
    <w:rsid w:val="002A4FB2"/>
    <w:rsid w:val="002A57B5"/>
    <w:rsid w:val="002A5D74"/>
    <w:rsid w:val="002A6040"/>
    <w:rsid w:val="002A6B29"/>
    <w:rsid w:val="002A6D12"/>
    <w:rsid w:val="002A6DFB"/>
    <w:rsid w:val="002B0A3C"/>
    <w:rsid w:val="002B13FD"/>
    <w:rsid w:val="002B1590"/>
    <w:rsid w:val="002B1B43"/>
    <w:rsid w:val="002B29D9"/>
    <w:rsid w:val="002B3CAB"/>
    <w:rsid w:val="002B3F67"/>
    <w:rsid w:val="002B489D"/>
    <w:rsid w:val="002B5121"/>
    <w:rsid w:val="002B5741"/>
    <w:rsid w:val="002B5AD0"/>
    <w:rsid w:val="002B767D"/>
    <w:rsid w:val="002B76AE"/>
    <w:rsid w:val="002B7946"/>
    <w:rsid w:val="002B7FAB"/>
    <w:rsid w:val="002C016F"/>
    <w:rsid w:val="002C057B"/>
    <w:rsid w:val="002C0660"/>
    <w:rsid w:val="002C0A9F"/>
    <w:rsid w:val="002C2817"/>
    <w:rsid w:val="002C288E"/>
    <w:rsid w:val="002C28EF"/>
    <w:rsid w:val="002C2CA5"/>
    <w:rsid w:val="002C30B4"/>
    <w:rsid w:val="002C34CB"/>
    <w:rsid w:val="002C4432"/>
    <w:rsid w:val="002C49B7"/>
    <w:rsid w:val="002C4AC8"/>
    <w:rsid w:val="002C4F65"/>
    <w:rsid w:val="002C50BD"/>
    <w:rsid w:val="002C51BB"/>
    <w:rsid w:val="002C528F"/>
    <w:rsid w:val="002C5903"/>
    <w:rsid w:val="002C6A0B"/>
    <w:rsid w:val="002C6B95"/>
    <w:rsid w:val="002C7A51"/>
    <w:rsid w:val="002D0A0E"/>
    <w:rsid w:val="002D140D"/>
    <w:rsid w:val="002D1856"/>
    <w:rsid w:val="002D1BA6"/>
    <w:rsid w:val="002D216D"/>
    <w:rsid w:val="002D267E"/>
    <w:rsid w:val="002D2AD1"/>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3476"/>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3741"/>
    <w:rsid w:val="002F37B2"/>
    <w:rsid w:val="002F407F"/>
    <w:rsid w:val="002F439D"/>
    <w:rsid w:val="002F575D"/>
    <w:rsid w:val="002F57EB"/>
    <w:rsid w:val="002F5EE0"/>
    <w:rsid w:val="002F6061"/>
    <w:rsid w:val="002F664D"/>
    <w:rsid w:val="002F68AE"/>
    <w:rsid w:val="0030111F"/>
    <w:rsid w:val="00301624"/>
    <w:rsid w:val="00302F4D"/>
    <w:rsid w:val="00302F70"/>
    <w:rsid w:val="00303BED"/>
    <w:rsid w:val="00304349"/>
    <w:rsid w:val="00304850"/>
    <w:rsid w:val="00306886"/>
    <w:rsid w:val="00306C8D"/>
    <w:rsid w:val="0030769F"/>
    <w:rsid w:val="00307B1C"/>
    <w:rsid w:val="0031018E"/>
    <w:rsid w:val="00310394"/>
    <w:rsid w:val="00310AE1"/>
    <w:rsid w:val="003113DF"/>
    <w:rsid w:val="00312136"/>
    <w:rsid w:val="0031250B"/>
    <w:rsid w:val="00312B67"/>
    <w:rsid w:val="00317357"/>
    <w:rsid w:val="00317D40"/>
    <w:rsid w:val="00320021"/>
    <w:rsid w:val="00320575"/>
    <w:rsid w:val="003207C1"/>
    <w:rsid w:val="00320887"/>
    <w:rsid w:val="003208BC"/>
    <w:rsid w:val="00320AF5"/>
    <w:rsid w:val="00320BA9"/>
    <w:rsid w:val="00320CD4"/>
    <w:rsid w:val="0032133B"/>
    <w:rsid w:val="00321875"/>
    <w:rsid w:val="00321E2C"/>
    <w:rsid w:val="00321FE8"/>
    <w:rsid w:val="0032248F"/>
    <w:rsid w:val="00322A96"/>
    <w:rsid w:val="00322B0B"/>
    <w:rsid w:val="00322E63"/>
    <w:rsid w:val="00323243"/>
    <w:rsid w:val="003232A7"/>
    <w:rsid w:val="003234CC"/>
    <w:rsid w:val="00324327"/>
    <w:rsid w:val="00325CB8"/>
    <w:rsid w:val="00326300"/>
    <w:rsid w:val="00326821"/>
    <w:rsid w:val="00326ED0"/>
    <w:rsid w:val="00327B2A"/>
    <w:rsid w:val="00330558"/>
    <w:rsid w:val="00330A33"/>
    <w:rsid w:val="0033244E"/>
    <w:rsid w:val="00332F98"/>
    <w:rsid w:val="0033390E"/>
    <w:rsid w:val="003339B5"/>
    <w:rsid w:val="00333B7F"/>
    <w:rsid w:val="00333CE4"/>
    <w:rsid w:val="003343E2"/>
    <w:rsid w:val="0033471C"/>
    <w:rsid w:val="00334789"/>
    <w:rsid w:val="003356F2"/>
    <w:rsid w:val="003356F4"/>
    <w:rsid w:val="00335D82"/>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DC6"/>
    <w:rsid w:val="00347170"/>
    <w:rsid w:val="0034739F"/>
    <w:rsid w:val="00347572"/>
    <w:rsid w:val="0034762B"/>
    <w:rsid w:val="00347753"/>
    <w:rsid w:val="003478E0"/>
    <w:rsid w:val="00347A50"/>
    <w:rsid w:val="00350068"/>
    <w:rsid w:val="00351A45"/>
    <w:rsid w:val="00352003"/>
    <w:rsid w:val="00352572"/>
    <w:rsid w:val="0035269B"/>
    <w:rsid w:val="00353BEF"/>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0D51"/>
    <w:rsid w:val="0038105B"/>
    <w:rsid w:val="00382B52"/>
    <w:rsid w:val="00383570"/>
    <w:rsid w:val="003839DB"/>
    <w:rsid w:val="00383CE0"/>
    <w:rsid w:val="003855A7"/>
    <w:rsid w:val="003856B0"/>
    <w:rsid w:val="003874CD"/>
    <w:rsid w:val="00387C91"/>
    <w:rsid w:val="00390222"/>
    <w:rsid w:val="00390D54"/>
    <w:rsid w:val="003918CF"/>
    <w:rsid w:val="003921B9"/>
    <w:rsid w:val="0039305E"/>
    <w:rsid w:val="00394692"/>
    <w:rsid w:val="00394863"/>
    <w:rsid w:val="00394BF1"/>
    <w:rsid w:val="00395B17"/>
    <w:rsid w:val="003967DB"/>
    <w:rsid w:val="003968D4"/>
    <w:rsid w:val="003979FC"/>
    <w:rsid w:val="00397B47"/>
    <w:rsid w:val="00397C8A"/>
    <w:rsid w:val="00397E3F"/>
    <w:rsid w:val="003A0C37"/>
    <w:rsid w:val="003A0EED"/>
    <w:rsid w:val="003A15F8"/>
    <w:rsid w:val="003A171C"/>
    <w:rsid w:val="003A17A5"/>
    <w:rsid w:val="003A299A"/>
    <w:rsid w:val="003A34A6"/>
    <w:rsid w:val="003A39A9"/>
    <w:rsid w:val="003A3B9A"/>
    <w:rsid w:val="003A4185"/>
    <w:rsid w:val="003A5D77"/>
    <w:rsid w:val="003A5F36"/>
    <w:rsid w:val="003A60AE"/>
    <w:rsid w:val="003A633D"/>
    <w:rsid w:val="003A6434"/>
    <w:rsid w:val="003A66DA"/>
    <w:rsid w:val="003A6B6B"/>
    <w:rsid w:val="003A79CE"/>
    <w:rsid w:val="003B0602"/>
    <w:rsid w:val="003B12EF"/>
    <w:rsid w:val="003B1399"/>
    <w:rsid w:val="003B1EF0"/>
    <w:rsid w:val="003B275F"/>
    <w:rsid w:val="003B2977"/>
    <w:rsid w:val="003B3515"/>
    <w:rsid w:val="003B3AA1"/>
    <w:rsid w:val="003B3E91"/>
    <w:rsid w:val="003B52E6"/>
    <w:rsid w:val="003B578F"/>
    <w:rsid w:val="003B68A0"/>
    <w:rsid w:val="003B727D"/>
    <w:rsid w:val="003B74AF"/>
    <w:rsid w:val="003C1514"/>
    <w:rsid w:val="003C16E4"/>
    <w:rsid w:val="003C2346"/>
    <w:rsid w:val="003C267D"/>
    <w:rsid w:val="003C2DA9"/>
    <w:rsid w:val="003C3B46"/>
    <w:rsid w:val="003C4CF1"/>
    <w:rsid w:val="003C559F"/>
    <w:rsid w:val="003C5A0B"/>
    <w:rsid w:val="003C69DA"/>
    <w:rsid w:val="003C6FD1"/>
    <w:rsid w:val="003C751E"/>
    <w:rsid w:val="003D1974"/>
    <w:rsid w:val="003D25C5"/>
    <w:rsid w:val="003D36F6"/>
    <w:rsid w:val="003D3944"/>
    <w:rsid w:val="003D3F43"/>
    <w:rsid w:val="003D4884"/>
    <w:rsid w:val="003D524A"/>
    <w:rsid w:val="003D7031"/>
    <w:rsid w:val="003D7949"/>
    <w:rsid w:val="003D7DEC"/>
    <w:rsid w:val="003D7E6D"/>
    <w:rsid w:val="003E02B7"/>
    <w:rsid w:val="003E05F2"/>
    <w:rsid w:val="003E16D8"/>
    <w:rsid w:val="003E184D"/>
    <w:rsid w:val="003E2055"/>
    <w:rsid w:val="003E2745"/>
    <w:rsid w:val="003E39F7"/>
    <w:rsid w:val="003E4759"/>
    <w:rsid w:val="003E4770"/>
    <w:rsid w:val="003E58A2"/>
    <w:rsid w:val="003E58CE"/>
    <w:rsid w:val="003E6965"/>
    <w:rsid w:val="003E6EC7"/>
    <w:rsid w:val="003E72C0"/>
    <w:rsid w:val="003E7D71"/>
    <w:rsid w:val="003E7DEA"/>
    <w:rsid w:val="003E7E55"/>
    <w:rsid w:val="003F031E"/>
    <w:rsid w:val="003F03DA"/>
    <w:rsid w:val="003F0FF9"/>
    <w:rsid w:val="003F13A6"/>
    <w:rsid w:val="003F1896"/>
    <w:rsid w:val="003F4824"/>
    <w:rsid w:val="003F5C2C"/>
    <w:rsid w:val="003F685D"/>
    <w:rsid w:val="004000FE"/>
    <w:rsid w:val="00400FD1"/>
    <w:rsid w:val="00401844"/>
    <w:rsid w:val="004019DA"/>
    <w:rsid w:val="00401CB6"/>
    <w:rsid w:val="00402BC6"/>
    <w:rsid w:val="0040325A"/>
    <w:rsid w:val="0040353D"/>
    <w:rsid w:val="004039AA"/>
    <w:rsid w:val="0040411A"/>
    <w:rsid w:val="004045F7"/>
    <w:rsid w:val="00404D49"/>
    <w:rsid w:val="0040503D"/>
    <w:rsid w:val="0040623A"/>
    <w:rsid w:val="00406381"/>
    <w:rsid w:val="00406845"/>
    <w:rsid w:val="004078C3"/>
    <w:rsid w:val="00407EDF"/>
    <w:rsid w:val="004108DD"/>
    <w:rsid w:val="00410AFB"/>
    <w:rsid w:val="00411175"/>
    <w:rsid w:val="00411410"/>
    <w:rsid w:val="004121E4"/>
    <w:rsid w:val="004127B9"/>
    <w:rsid w:val="00412D5B"/>
    <w:rsid w:val="00413016"/>
    <w:rsid w:val="00413325"/>
    <w:rsid w:val="004138B2"/>
    <w:rsid w:val="0041421A"/>
    <w:rsid w:val="00414240"/>
    <w:rsid w:val="00414EEE"/>
    <w:rsid w:val="00416AFF"/>
    <w:rsid w:val="00416D08"/>
    <w:rsid w:val="00420048"/>
    <w:rsid w:val="00420B13"/>
    <w:rsid w:val="00420B1A"/>
    <w:rsid w:val="00420D6C"/>
    <w:rsid w:val="00420DC3"/>
    <w:rsid w:val="0042120A"/>
    <w:rsid w:val="00421364"/>
    <w:rsid w:val="00421AED"/>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405"/>
    <w:rsid w:val="00434DAA"/>
    <w:rsid w:val="00434FF4"/>
    <w:rsid w:val="00435549"/>
    <w:rsid w:val="00435772"/>
    <w:rsid w:val="00435CC5"/>
    <w:rsid w:val="00436D06"/>
    <w:rsid w:val="00436D8C"/>
    <w:rsid w:val="00437039"/>
    <w:rsid w:val="00437B96"/>
    <w:rsid w:val="00437BF2"/>
    <w:rsid w:val="00440B09"/>
    <w:rsid w:val="00440E22"/>
    <w:rsid w:val="00441D26"/>
    <w:rsid w:val="00443444"/>
    <w:rsid w:val="00443467"/>
    <w:rsid w:val="004434DB"/>
    <w:rsid w:val="00443E59"/>
    <w:rsid w:val="00443E7F"/>
    <w:rsid w:val="00444A4F"/>
    <w:rsid w:val="00444DE8"/>
    <w:rsid w:val="00446892"/>
    <w:rsid w:val="00446E2F"/>
    <w:rsid w:val="00447687"/>
    <w:rsid w:val="004478FC"/>
    <w:rsid w:val="00450454"/>
    <w:rsid w:val="004509F5"/>
    <w:rsid w:val="0045119E"/>
    <w:rsid w:val="00451422"/>
    <w:rsid w:val="00451A63"/>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11DE"/>
    <w:rsid w:val="004615DC"/>
    <w:rsid w:val="004618DC"/>
    <w:rsid w:val="00461E32"/>
    <w:rsid w:val="00462488"/>
    <w:rsid w:val="0046276F"/>
    <w:rsid w:val="00462F9B"/>
    <w:rsid w:val="00464863"/>
    <w:rsid w:val="0046503F"/>
    <w:rsid w:val="004650D0"/>
    <w:rsid w:val="004651AA"/>
    <w:rsid w:val="00465206"/>
    <w:rsid w:val="00466896"/>
    <w:rsid w:val="00467443"/>
    <w:rsid w:val="004675A0"/>
    <w:rsid w:val="004703FA"/>
    <w:rsid w:val="0047078B"/>
    <w:rsid w:val="0047194B"/>
    <w:rsid w:val="004723F3"/>
    <w:rsid w:val="00472A36"/>
    <w:rsid w:val="00472A52"/>
    <w:rsid w:val="00473DC8"/>
    <w:rsid w:val="00474223"/>
    <w:rsid w:val="00474886"/>
    <w:rsid w:val="004756F5"/>
    <w:rsid w:val="004767B4"/>
    <w:rsid w:val="00477335"/>
    <w:rsid w:val="0047783E"/>
    <w:rsid w:val="0048027E"/>
    <w:rsid w:val="004803EE"/>
    <w:rsid w:val="00480757"/>
    <w:rsid w:val="00481276"/>
    <w:rsid w:val="00482D33"/>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7048"/>
    <w:rsid w:val="004971CD"/>
    <w:rsid w:val="004973B0"/>
    <w:rsid w:val="0049791C"/>
    <w:rsid w:val="004A0842"/>
    <w:rsid w:val="004A14B5"/>
    <w:rsid w:val="004A14F1"/>
    <w:rsid w:val="004A1CE0"/>
    <w:rsid w:val="004A2800"/>
    <w:rsid w:val="004A2A38"/>
    <w:rsid w:val="004A3510"/>
    <w:rsid w:val="004A39B1"/>
    <w:rsid w:val="004A3CA5"/>
    <w:rsid w:val="004A41B9"/>
    <w:rsid w:val="004A50B3"/>
    <w:rsid w:val="004A588A"/>
    <w:rsid w:val="004A69B6"/>
    <w:rsid w:val="004A6A4A"/>
    <w:rsid w:val="004A6E11"/>
    <w:rsid w:val="004A78BC"/>
    <w:rsid w:val="004B0292"/>
    <w:rsid w:val="004B120D"/>
    <w:rsid w:val="004B180C"/>
    <w:rsid w:val="004B22F9"/>
    <w:rsid w:val="004B291E"/>
    <w:rsid w:val="004B366C"/>
    <w:rsid w:val="004B406E"/>
    <w:rsid w:val="004B4825"/>
    <w:rsid w:val="004B49E8"/>
    <w:rsid w:val="004B4C42"/>
    <w:rsid w:val="004B5277"/>
    <w:rsid w:val="004B6122"/>
    <w:rsid w:val="004B6419"/>
    <w:rsid w:val="004B641C"/>
    <w:rsid w:val="004B696B"/>
    <w:rsid w:val="004B6B8C"/>
    <w:rsid w:val="004C0561"/>
    <w:rsid w:val="004C09F7"/>
    <w:rsid w:val="004C1008"/>
    <w:rsid w:val="004C15FC"/>
    <w:rsid w:val="004C1632"/>
    <w:rsid w:val="004C2D7E"/>
    <w:rsid w:val="004C360E"/>
    <w:rsid w:val="004C3BEA"/>
    <w:rsid w:val="004C50DF"/>
    <w:rsid w:val="004C594D"/>
    <w:rsid w:val="004C6D1B"/>
    <w:rsid w:val="004C7702"/>
    <w:rsid w:val="004C7D62"/>
    <w:rsid w:val="004C7E7D"/>
    <w:rsid w:val="004D00FD"/>
    <w:rsid w:val="004D0577"/>
    <w:rsid w:val="004D1ED3"/>
    <w:rsid w:val="004D215B"/>
    <w:rsid w:val="004D279B"/>
    <w:rsid w:val="004D27E3"/>
    <w:rsid w:val="004D2B8C"/>
    <w:rsid w:val="004D3373"/>
    <w:rsid w:val="004D3636"/>
    <w:rsid w:val="004D37A2"/>
    <w:rsid w:val="004D39CD"/>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3146"/>
    <w:rsid w:val="004E32EA"/>
    <w:rsid w:val="004E3768"/>
    <w:rsid w:val="004E3CDB"/>
    <w:rsid w:val="004E3E32"/>
    <w:rsid w:val="004E4A11"/>
    <w:rsid w:val="004E4D03"/>
    <w:rsid w:val="004E60EF"/>
    <w:rsid w:val="004E6F29"/>
    <w:rsid w:val="004E7A72"/>
    <w:rsid w:val="004F0C55"/>
    <w:rsid w:val="004F16FC"/>
    <w:rsid w:val="004F1D2B"/>
    <w:rsid w:val="004F1D47"/>
    <w:rsid w:val="004F1EE7"/>
    <w:rsid w:val="004F2207"/>
    <w:rsid w:val="004F28C6"/>
    <w:rsid w:val="004F3C3A"/>
    <w:rsid w:val="004F4392"/>
    <w:rsid w:val="004F471A"/>
    <w:rsid w:val="004F48EC"/>
    <w:rsid w:val="004F4AAD"/>
    <w:rsid w:val="004F5588"/>
    <w:rsid w:val="004F7367"/>
    <w:rsid w:val="00500A1D"/>
    <w:rsid w:val="00501614"/>
    <w:rsid w:val="0050217E"/>
    <w:rsid w:val="005022CC"/>
    <w:rsid w:val="0050249F"/>
    <w:rsid w:val="00502675"/>
    <w:rsid w:val="00502D0C"/>
    <w:rsid w:val="00504A1C"/>
    <w:rsid w:val="00504A28"/>
    <w:rsid w:val="00505C19"/>
    <w:rsid w:val="00505E83"/>
    <w:rsid w:val="00506DE2"/>
    <w:rsid w:val="005073AA"/>
    <w:rsid w:val="005100FF"/>
    <w:rsid w:val="0051022B"/>
    <w:rsid w:val="00510529"/>
    <w:rsid w:val="00510572"/>
    <w:rsid w:val="00510BDE"/>
    <w:rsid w:val="005114B0"/>
    <w:rsid w:val="0051256C"/>
    <w:rsid w:val="005131F6"/>
    <w:rsid w:val="00513906"/>
    <w:rsid w:val="00514EE6"/>
    <w:rsid w:val="00515AAE"/>
    <w:rsid w:val="00515B4A"/>
    <w:rsid w:val="00516072"/>
    <w:rsid w:val="00516711"/>
    <w:rsid w:val="005174D6"/>
    <w:rsid w:val="00520380"/>
    <w:rsid w:val="0052149C"/>
    <w:rsid w:val="00522538"/>
    <w:rsid w:val="005226EC"/>
    <w:rsid w:val="00522914"/>
    <w:rsid w:val="00522B5B"/>
    <w:rsid w:val="00523E9C"/>
    <w:rsid w:val="005244F8"/>
    <w:rsid w:val="00524B1D"/>
    <w:rsid w:val="00525652"/>
    <w:rsid w:val="00525F28"/>
    <w:rsid w:val="0052646E"/>
    <w:rsid w:val="00527800"/>
    <w:rsid w:val="00527D6C"/>
    <w:rsid w:val="00530CB6"/>
    <w:rsid w:val="00530FF4"/>
    <w:rsid w:val="00532145"/>
    <w:rsid w:val="0053241A"/>
    <w:rsid w:val="0053266D"/>
    <w:rsid w:val="005327E8"/>
    <w:rsid w:val="00532A74"/>
    <w:rsid w:val="00532D7F"/>
    <w:rsid w:val="00532DB6"/>
    <w:rsid w:val="00533907"/>
    <w:rsid w:val="00533E88"/>
    <w:rsid w:val="0053400E"/>
    <w:rsid w:val="00534271"/>
    <w:rsid w:val="0053460A"/>
    <w:rsid w:val="00534680"/>
    <w:rsid w:val="00534D65"/>
    <w:rsid w:val="00535250"/>
    <w:rsid w:val="005366DD"/>
    <w:rsid w:val="00536892"/>
    <w:rsid w:val="005372C5"/>
    <w:rsid w:val="00537B10"/>
    <w:rsid w:val="00537BC7"/>
    <w:rsid w:val="00537CC1"/>
    <w:rsid w:val="00537E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4755A"/>
    <w:rsid w:val="0055165E"/>
    <w:rsid w:val="00551BE8"/>
    <w:rsid w:val="00551CB1"/>
    <w:rsid w:val="00551DD9"/>
    <w:rsid w:val="00552774"/>
    <w:rsid w:val="0055288A"/>
    <w:rsid w:val="005539BE"/>
    <w:rsid w:val="00553AB5"/>
    <w:rsid w:val="005542A4"/>
    <w:rsid w:val="005544D2"/>
    <w:rsid w:val="005547CC"/>
    <w:rsid w:val="005549E2"/>
    <w:rsid w:val="00554ED3"/>
    <w:rsid w:val="0055578F"/>
    <w:rsid w:val="00555F51"/>
    <w:rsid w:val="00556331"/>
    <w:rsid w:val="00556BDC"/>
    <w:rsid w:val="00556BEC"/>
    <w:rsid w:val="00556C02"/>
    <w:rsid w:val="005572AF"/>
    <w:rsid w:val="0056008F"/>
    <w:rsid w:val="005619F6"/>
    <w:rsid w:val="00561C6C"/>
    <w:rsid w:val="00561F79"/>
    <w:rsid w:val="005646C2"/>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1FF"/>
    <w:rsid w:val="00576C7D"/>
    <w:rsid w:val="00577432"/>
    <w:rsid w:val="00580F59"/>
    <w:rsid w:val="0058105B"/>
    <w:rsid w:val="0058166A"/>
    <w:rsid w:val="00581FD7"/>
    <w:rsid w:val="0058227C"/>
    <w:rsid w:val="00582465"/>
    <w:rsid w:val="00582AA3"/>
    <w:rsid w:val="00583908"/>
    <w:rsid w:val="0058391B"/>
    <w:rsid w:val="00583B5C"/>
    <w:rsid w:val="00584D48"/>
    <w:rsid w:val="00585686"/>
    <w:rsid w:val="00585A10"/>
    <w:rsid w:val="005866F0"/>
    <w:rsid w:val="0058675C"/>
    <w:rsid w:val="005875FB"/>
    <w:rsid w:val="00587727"/>
    <w:rsid w:val="00587894"/>
    <w:rsid w:val="00587B3F"/>
    <w:rsid w:val="005907F6"/>
    <w:rsid w:val="00590A7D"/>
    <w:rsid w:val="0059119D"/>
    <w:rsid w:val="00592325"/>
    <w:rsid w:val="005927BD"/>
    <w:rsid w:val="00592CF8"/>
    <w:rsid w:val="00593A96"/>
    <w:rsid w:val="00593D06"/>
    <w:rsid w:val="005942F2"/>
    <w:rsid w:val="00594498"/>
    <w:rsid w:val="0059511C"/>
    <w:rsid w:val="00595D01"/>
    <w:rsid w:val="00595D4C"/>
    <w:rsid w:val="00595FF5"/>
    <w:rsid w:val="005960F3"/>
    <w:rsid w:val="0059676A"/>
    <w:rsid w:val="00596999"/>
    <w:rsid w:val="00596FE2"/>
    <w:rsid w:val="005973A3"/>
    <w:rsid w:val="00597810"/>
    <w:rsid w:val="005A00C5"/>
    <w:rsid w:val="005A0688"/>
    <w:rsid w:val="005A09C4"/>
    <w:rsid w:val="005A0B8D"/>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F34"/>
    <w:rsid w:val="005B34E5"/>
    <w:rsid w:val="005B4ABC"/>
    <w:rsid w:val="005B4D0F"/>
    <w:rsid w:val="005B4DEF"/>
    <w:rsid w:val="005B56A4"/>
    <w:rsid w:val="005B6779"/>
    <w:rsid w:val="005C05B2"/>
    <w:rsid w:val="005C066A"/>
    <w:rsid w:val="005C0D0D"/>
    <w:rsid w:val="005C1A86"/>
    <w:rsid w:val="005C1DBA"/>
    <w:rsid w:val="005C24E6"/>
    <w:rsid w:val="005C385E"/>
    <w:rsid w:val="005C3DA0"/>
    <w:rsid w:val="005C4AB8"/>
    <w:rsid w:val="005C4CC4"/>
    <w:rsid w:val="005C5FE7"/>
    <w:rsid w:val="005C64E5"/>
    <w:rsid w:val="005C7620"/>
    <w:rsid w:val="005C77A8"/>
    <w:rsid w:val="005C7950"/>
    <w:rsid w:val="005C7DF2"/>
    <w:rsid w:val="005D0117"/>
    <w:rsid w:val="005D1CA1"/>
    <w:rsid w:val="005D279A"/>
    <w:rsid w:val="005D297C"/>
    <w:rsid w:val="005D29A5"/>
    <w:rsid w:val="005D4320"/>
    <w:rsid w:val="005D4DC5"/>
    <w:rsid w:val="005D53B5"/>
    <w:rsid w:val="005D582F"/>
    <w:rsid w:val="005D5AEE"/>
    <w:rsid w:val="005D6DF0"/>
    <w:rsid w:val="005D6EA1"/>
    <w:rsid w:val="005D724B"/>
    <w:rsid w:val="005D77F0"/>
    <w:rsid w:val="005E1242"/>
    <w:rsid w:val="005E1671"/>
    <w:rsid w:val="005E185B"/>
    <w:rsid w:val="005E2285"/>
    <w:rsid w:val="005E26CF"/>
    <w:rsid w:val="005E3379"/>
    <w:rsid w:val="005E39C3"/>
    <w:rsid w:val="005E4A71"/>
    <w:rsid w:val="005E5264"/>
    <w:rsid w:val="005E5575"/>
    <w:rsid w:val="005E55AB"/>
    <w:rsid w:val="005E5743"/>
    <w:rsid w:val="005E584D"/>
    <w:rsid w:val="005E5DBD"/>
    <w:rsid w:val="005E5FD2"/>
    <w:rsid w:val="005E6F10"/>
    <w:rsid w:val="005E78FA"/>
    <w:rsid w:val="005F0874"/>
    <w:rsid w:val="005F08ED"/>
    <w:rsid w:val="005F1CAA"/>
    <w:rsid w:val="005F20D1"/>
    <w:rsid w:val="005F211A"/>
    <w:rsid w:val="005F231E"/>
    <w:rsid w:val="005F285B"/>
    <w:rsid w:val="005F2F34"/>
    <w:rsid w:val="005F3737"/>
    <w:rsid w:val="005F446A"/>
    <w:rsid w:val="005F489A"/>
    <w:rsid w:val="005F4D4C"/>
    <w:rsid w:val="005F51B0"/>
    <w:rsid w:val="005F5739"/>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A93"/>
    <w:rsid w:val="006042EB"/>
    <w:rsid w:val="0060443B"/>
    <w:rsid w:val="00604632"/>
    <w:rsid w:val="006055C4"/>
    <w:rsid w:val="0060684A"/>
    <w:rsid w:val="00607388"/>
    <w:rsid w:val="00610405"/>
    <w:rsid w:val="00610450"/>
    <w:rsid w:val="00610737"/>
    <w:rsid w:val="00610C5F"/>
    <w:rsid w:val="00611F3E"/>
    <w:rsid w:val="00613344"/>
    <w:rsid w:val="00614172"/>
    <w:rsid w:val="006145DF"/>
    <w:rsid w:val="00614896"/>
    <w:rsid w:val="00614A56"/>
    <w:rsid w:val="00614EE8"/>
    <w:rsid w:val="006152D6"/>
    <w:rsid w:val="00615B58"/>
    <w:rsid w:val="00615BCC"/>
    <w:rsid w:val="00616690"/>
    <w:rsid w:val="00617801"/>
    <w:rsid w:val="006179B0"/>
    <w:rsid w:val="0062007A"/>
    <w:rsid w:val="006200EC"/>
    <w:rsid w:val="006206C8"/>
    <w:rsid w:val="0062091D"/>
    <w:rsid w:val="00620B3E"/>
    <w:rsid w:val="00620D09"/>
    <w:rsid w:val="00620D75"/>
    <w:rsid w:val="00622ADF"/>
    <w:rsid w:val="00622F7B"/>
    <w:rsid w:val="006238E8"/>
    <w:rsid w:val="006241E8"/>
    <w:rsid w:val="00624803"/>
    <w:rsid w:val="00625A0B"/>
    <w:rsid w:val="00625D04"/>
    <w:rsid w:val="00625FE6"/>
    <w:rsid w:val="00626134"/>
    <w:rsid w:val="00626B7C"/>
    <w:rsid w:val="00630179"/>
    <w:rsid w:val="00630923"/>
    <w:rsid w:val="00630DCD"/>
    <w:rsid w:val="0063109C"/>
    <w:rsid w:val="00631A8B"/>
    <w:rsid w:val="00631F5D"/>
    <w:rsid w:val="00633ADE"/>
    <w:rsid w:val="00633D74"/>
    <w:rsid w:val="00634227"/>
    <w:rsid w:val="00634286"/>
    <w:rsid w:val="00634500"/>
    <w:rsid w:val="0063574F"/>
    <w:rsid w:val="00635D47"/>
    <w:rsid w:val="00635EEC"/>
    <w:rsid w:val="0063616B"/>
    <w:rsid w:val="00636986"/>
    <w:rsid w:val="00637107"/>
    <w:rsid w:val="0063720A"/>
    <w:rsid w:val="00637F39"/>
    <w:rsid w:val="00641166"/>
    <w:rsid w:val="00641C60"/>
    <w:rsid w:val="006426B4"/>
    <w:rsid w:val="00643564"/>
    <w:rsid w:val="00643C18"/>
    <w:rsid w:val="006448EB"/>
    <w:rsid w:val="00644A0A"/>
    <w:rsid w:val="00645C80"/>
    <w:rsid w:val="0065074A"/>
    <w:rsid w:val="006512DF"/>
    <w:rsid w:val="00651374"/>
    <w:rsid w:val="00651711"/>
    <w:rsid w:val="00651A1A"/>
    <w:rsid w:val="00651D61"/>
    <w:rsid w:val="00652415"/>
    <w:rsid w:val="00653599"/>
    <w:rsid w:val="0065371A"/>
    <w:rsid w:val="00653A4C"/>
    <w:rsid w:val="00653C5B"/>
    <w:rsid w:val="006543AD"/>
    <w:rsid w:val="006544E2"/>
    <w:rsid w:val="00655CC8"/>
    <w:rsid w:val="00656542"/>
    <w:rsid w:val="006567E9"/>
    <w:rsid w:val="00657BE8"/>
    <w:rsid w:val="00657C22"/>
    <w:rsid w:val="00657D5F"/>
    <w:rsid w:val="00657ED2"/>
    <w:rsid w:val="00660230"/>
    <w:rsid w:val="00662432"/>
    <w:rsid w:val="0066245E"/>
    <w:rsid w:val="0066351D"/>
    <w:rsid w:val="00663B93"/>
    <w:rsid w:val="00665F5B"/>
    <w:rsid w:val="0066660A"/>
    <w:rsid w:val="006668EB"/>
    <w:rsid w:val="006669AD"/>
    <w:rsid w:val="00666A3F"/>
    <w:rsid w:val="00666DB4"/>
    <w:rsid w:val="00667853"/>
    <w:rsid w:val="00667D1D"/>
    <w:rsid w:val="006700EF"/>
    <w:rsid w:val="00670F64"/>
    <w:rsid w:val="00671EF0"/>
    <w:rsid w:val="006720CE"/>
    <w:rsid w:val="006728BA"/>
    <w:rsid w:val="00672C6F"/>
    <w:rsid w:val="006732AD"/>
    <w:rsid w:val="006732D3"/>
    <w:rsid w:val="00673861"/>
    <w:rsid w:val="0067468A"/>
    <w:rsid w:val="0067468B"/>
    <w:rsid w:val="006747D4"/>
    <w:rsid w:val="00674997"/>
    <w:rsid w:val="00674DA6"/>
    <w:rsid w:val="006754BF"/>
    <w:rsid w:val="00675999"/>
    <w:rsid w:val="00675A5C"/>
    <w:rsid w:val="00675F4B"/>
    <w:rsid w:val="00677106"/>
    <w:rsid w:val="00677975"/>
    <w:rsid w:val="00677A78"/>
    <w:rsid w:val="0068249A"/>
    <w:rsid w:val="0068314D"/>
    <w:rsid w:val="006834E4"/>
    <w:rsid w:val="00684E16"/>
    <w:rsid w:val="00685327"/>
    <w:rsid w:val="0068576A"/>
    <w:rsid w:val="00685B88"/>
    <w:rsid w:val="006861A9"/>
    <w:rsid w:val="00687573"/>
    <w:rsid w:val="00690B6B"/>
    <w:rsid w:val="00690E1C"/>
    <w:rsid w:val="00690F0C"/>
    <w:rsid w:val="006919FA"/>
    <w:rsid w:val="00691D29"/>
    <w:rsid w:val="00692743"/>
    <w:rsid w:val="00692896"/>
    <w:rsid w:val="00695238"/>
    <w:rsid w:val="0069648C"/>
    <w:rsid w:val="00697117"/>
    <w:rsid w:val="00697FB6"/>
    <w:rsid w:val="006A0225"/>
    <w:rsid w:val="006A0318"/>
    <w:rsid w:val="006A0F25"/>
    <w:rsid w:val="006A0F58"/>
    <w:rsid w:val="006A18A1"/>
    <w:rsid w:val="006A1FF6"/>
    <w:rsid w:val="006A31B8"/>
    <w:rsid w:val="006A3796"/>
    <w:rsid w:val="006A450C"/>
    <w:rsid w:val="006A48E1"/>
    <w:rsid w:val="006A4B50"/>
    <w:rsid w:val="006A4C81"/>
    <w:rsid w:val="006A4D5A"/>
    <w:rsid w:val="006A4D87"/>
    <w:rsid w:val="006A5C83"/>
    <w:rsid w:val="006A5D56"/>
    <w:rsid w:val="006A65AB"/>
    <w:rsid w:val="006A6BC3"/>
    <w:rsid w:val="006A6CF8"/>
    <w:rsid w:val="006A707F"/>
    <w:rsid w:val="006B0B79"/>
    <w:rsid w:val="006B0BC1"/>
    <w:rsid w:val="006B140A"/>
    <w:rsid w:val="006B1579"/>
    <w:rsid w:val="006B1805"/>
    <w:rsid w:val="006B184A"/>
    <w:rsid w:val="006B1B1F"/>
    <w:rsid w:val="006B1CD2"/>
    <w:rsid w:val="006B1D82"/>
    <w:rsid w:val="006B2259"/>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56CE"/>
    <w:rsid w:val="006C5771"/>
    <w:rsid w:val="006C5D99"/>
    <w:rsid w:val="006C5E0D"/>
    <w:rsid w:val="006C654A"/>
    <w:rsid w:val="006C6F79"/>
    <w:rsid w:val="006C7E55"/>
    <w:rsid w:val="006C7EDC"/>
    <w:rsid w:val="006D013C"/>
    <w:rsid w:val="006D01D1"/>
    <w:rsid w:val="006D150C"/>
    <w:rsid w:val="006D1D03"/>
    <w:rsid w:val="006D1EC8"/>
    <w:rsid w:val="006D2666"/>
    <w:rsid w:val="006D3226"/>
    <w:rsid w:val="006D335A"/>
    <w:rsid w:val="006D3686"/>
    <w:rsid w:val="006D3E3C"/>
    <w:rsid w:val="006D47B2"/>
    <w:rsid w:val="006D48BF"/>
    <w:rsid w:val="006D4E0D"/>
    <w:rsid w:val="006D4E83"/>
    <w:rsid w:val="006D4FDA"/>
    <w:rsid w:val="006D53EC"/>
    <w:rsid w:val="006D5687"/>
    <w:rsid w:val="006D679D"/>
    <w:rsid w:val="006D6DA8"/>
    <w:rsid w:val="006E0179"/>
    <w:rsid w:val="006E045C"/>
    <w:rsid w:val="006E07A0"/>
    <w:rsid w:val="006E101D"/>
    <w:rsid w:val="006E18F9"/>
    <w:rsid w:val="006E3EFF"/>
    <w:rsid w:val="006E4EBA"/>
    <w:rsid w:val="006E50FD"/>
    <w:rsid w:val="006E5C27"/>
    <w:rsid w:val="006E7362"/>
    <w:rsid w:val="006F089E"/>
    <w:rsid w:val="006F09F2"/>
    <w:rsid w:val="006F0EF3"/>
    <w:rsid w:val="006F11F6"/>
    <w:rsid w:val="006F13D4"/>
    <w:rsid w:val="006F15A6"/>
    <w:rsid w:val="006F2C6D"/>
    <w:rsid w:val="006F327E"/>
    <w:rsid w:val="006F42B1"/>
    <w:rsid w:val="006F437A"/>
    <w:rsid w:val="006F461C"/>
    <w:rsid w:val="006F4BC9"/>
    <w:rsid w:val="006F4F2A"/>
    <w:rsid w:val="006F61B6"/>
    <w:rsid w:val="006F74DC"/>
    <w:rsid w:val="007009EA"/>
    <w:rsid w:val="00701A60"/>
    <w:rsid w:val="00701F42"/>
    <w:rsid w:val="007021C7"/>
    <w:rsid w:val="00703F50"/>
    <w:rsid w:val="00704434"/>
    <w:rsid w:val="00704499"/>
    <w:rsid w:val="00704573"/>
    <w:rsid w:val="00704A0E"/>
    <w:rsid w:val="0070526C"/>
    <w:rsid w:val="007059BD"/>
    <w:rsid w:val="0070647E"/>
    <w:rsid w:val="00706544"/>
    <w:rsid w:val="00707868"/>
    <w:rsid w:val="00707E1B"/>
    <w:rsid w:val="0071156A"/>
    <w:rsid w:val="00711BA2"/>
    <w:rsid w:val="00712515"/>
    <w:rsid w:val="0071331D"/>
    <w:rsid w:val="00713895"/>
    <w:rsid w:val="00714278"/>
    <w:rsid w:val="0071427D"/>
    <w:rsid w:val="00714B01"/>
    <w:rsid w:val="00715257"/>
    <w:rsid w:val="00715438"/>
    <w:rsid w:val="00715AEF"/>
    <w:rsid w:val="00716457"/>
    <w:rsid w:val="0071787E"/>
    <w:rsid w:val="00720618"/>
    <w:rsid w:val="00720704"/>
    <w:rsid w:val="00720966"/>
    <w:rsid w:val="00720FCE"/>
    <w:rsid w:val="007214B6"/>
    <w:rsid w:val="00721C88"/>
    <w:rsid w:val="00721D7C"/>
    <w:rsid w:val="007227A8"/>
    <w:rsid w:val="00722C32"/>
    <w:rsid w:val="00722F42"/>
    <w:rsid w:val="00723E2E"/>
    <w:rsid w:val="00723F0C"/>
    <w:rsid w:val="00725095"/>
    <w:rsid w:val="00725634"/>
    <w:rsid w:val="00725925"/>
    <w:rsid w:val="007259CD"/>
    <w:rsid w:val="00725F31"/>
    <w:rsid w:val="00726AA6"/>
    <w:rsid w:val="0072700C"/>
    <w:rsid w:val="00727523"/>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5BE"/>
    <w:rsid w:val="00734FFF"/>
    <w:rsid w:val="007358BD"/>
    <w:rsid w:val="00735ADA"/>
    <w:rsid w:val="00736DBA"/>
    <w:rsid w:val="0073713C"/>
    <w:rsid w:val="007374B2"/>
    <w:rsid w:val="007375E5"/>
    <w:rsid w:val="007402FF"/>
    <w:rsid w:val="007407C2"/>
    <w:rsid w:val="0074095E"/>
    <w:rsid w:val="007413D5"/>
    <w:rsid w:val="007417A5"/>
    <w:rsid w:val="00741D02"/>
    <w:rsid w:val="00741D9E"/>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3A"/>
    <w:rsid w:val="00753D44"/>
    <w:rsid w:val="00754BD9"/>
    <w:rsid w:val="00755563"/>
    <w:rsid w:val="00756701"/>
    <w:rsid w:val="00756901"/>
    <w:rsid w:val="00756C52"/>
    <w:rsid w:val="007572D2"/>
    <w:rsid w:val="00757331"/>
    <w:rsid w:val="00757619"/>
    <w:rsid w:val="007577FA"/>
    <w:rsid w:val="007603AA"/>
    <w:rsid w:val="00760769"/>
    <w:rsid w:val="00760F63"/>
    <w:rsid w:val="007619D7"/>
    <w:rsid w:val="007624A7"/>
    <w:rsid w:val="007624CC"/>
    <w:rsid w:val="0076262B"/>
    <w:rsid w:val="007627E0"/>
    <w:rsid w:val="00764E0E"/>
    <w:rsid w:val="0076640B"/>
    <w:rsid w:val="00767033"/>
    <w:rsid w:val="007672DA"/>
    <w:rsid w:val="007675FA"/>
    <w:rsid w:val="00767629"/>
    <w:rsid w:val="00767AA0"/>
    <w:rsid w:val="00767D69"/>
    <w:rsid w:val="007709A9"/>
    <w:rsid w:val="007715F2"/>
    <w:rsid w:val="00771DA4"/>
    <w:rsid w:val="00772237"/>
    <w:rsid w:val="007730F3"/>
    <w:rsid w:val="0077310B"/>
    <w:rsid w:val="00775499"/>
    <w:rsid w:val="007756AC"/>
    <w:rsid w:val="00775924"/>
    <w:rsid w:val="007809A5"/>
    <w:rsid w:val="00781DFB"/>
    <w:rsid w:val="00782546"/>
    <w:rsid w:val="00782EE9"/>
    <w:rsid w:val="007849C4"/>
    <w:rsid w:val="0078587D"/>
    <w:rsid w:val="00786256"/>
    <w:rsid w:val="0078631D"/>
    <w:rsid w:val="00787056"/>
    <w:rsid w:val="007873C8"/>
    <w:rsid w:val="007875B5"/>
    <w:rsid w:val="00790822"/>
    <w:rsid w:val="00790EEA"/>
    <w:rsid w:val="0079118D"/>
    <w:rsid w:val="00791552"/>
    <w:rsid w:val="007915A3"/>
    <w:rsid w:val="007915B1"/>
    <w:rsid w:val="00791730"/>
    <w:rsid w:val="00791C8B"/>
    <w:rsid w:val="00791F8F"/>
    <w:rsid w:val="00792289"/>
    <w:rsid w:val="00793538"/>
    <w:rsid w:val="00794542"/>
    <w:rsid w:val="00794C42"/>
    <w:rsid w:val="0079534A"/>
    <w:rsid w:val="007961CE"/>
    <w:rsid w:val="00796306"/>
    <w:rsid w:val="007964B5"/>
    <w:rsid w:val="0079700E"/>
    <w:rsid w:val="00797376"/>
    <w:rsid w:val="0079759B"/>
    <w:rsid w:val="007A12D2"/>
    <w:rsid w:val="007A2B68"/>
    <w:rsid w:val="007A321D"/>
    <w:rsid w:val="007A3695"/>
    <w:rsid w:val="007A379E"/>
    <w:rsid w:val="007A4837"/>
    <w:rsid w:val="007A49E9"/>
    <w:rsid w:val="007A64B3"/>
    <w:rsid w:val="007A6C2B"/>
    <w:rsid w:val="007A6C86"/>
    <w:rsid w:val="007A7235"/>
    <w:rsid w:val="007B0655"/>
    <w:rsid w:val="007B0871"/>
    <w:rsid w:val="007B0D76"/>
    <w:rsid w:val="007B1842"/>
    <w:rsid w:val="007B201F"/>
    <w:rsid w:val="007B2122"/>
    <w:rsid w:val="007B22CD"/>
    <w:rsid w:val="007B2B69"/>
    <w:rsid w:val="007B2D24"/>
    <w:rsid w:val="007B38A2"/>
    <w:rsid w:val="007B441D"/>
    <w:rsid w:val="007B45EC"/>
    <w:rsid w:val="007B4850"/>
    <w:rsid w:val="007B4F28"/>
    <w:rsid w:val="007B51A0"/>
    <w:rsid w:val="007B5662"/>
    <w:rsid w:val="007B5842"/>
    <w:rsid w:val="007B5E23"/>
    <w:rsid w:val="007B6025"/>
    <w:rsid w:val="007B602B"/>
    <w:rsid w:val="007B7A14"/>
    <w:rsid w:val="007C0F54"/>
    <w:rsid w:val="007C10BC"/>
    <w:rsid w:val="007C1B3F"/>
    <w:rsid w:val="007C1C82"/>
    <w:rsid w:val="007C1F7D"/>
    <w:rsid w:val="007C2061"/>
    <w:rsid w:val="007C27F8"/>
    <w:rsid w:val="007C28D4"/>
    <w:rsid w:val="007C3B47"/>
    <w:rsid w:val="007C3C37"/>
    <w:rsid w:val="007C4486"/>
    <w:rsid w:val="007C4A9F"/>
    <w:rsid w:val="007C4C02"/>
    <w:rsid w:val="007C53E6"/>
    <w:rsid w:val="007C67E9"/>
    <w:rsid w:val="007C77A6"/>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3F2"/>
    <w:rsid w:val="007D7B43"/>
    <w:rsid w:val="007D7E1E"/>
    <w:rsid w:val="007E01BF"/>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C0"/>
    <w:rsid w:val="007F6791"/>
    <w:rsid w:val="007F6A97"/>
    <w:rsid w:val="007F72D9"/>
    <w:rsid w:val="007F7FD5"/>
    <w:rsid w:val="008004D3"/>
    <w:rsid w:val="0080151D"/>
    <w:rsid w:val="008015BB"/>
    <w:rsid w:val="008017AC"/>
    <w:rsid w:val="0080292F"/>
    <w:rsid w:val="0080350E"/>
    <w:rsid w:val="00803645"/>
    <w:rsid w:val="00803AFF"/>
    <w:rsid w:val="008045B0"/>
    <w:rsid w:val="008060F5"/>
    <w:rsid w:val="008072E4"/>
    <w:rsid w:val="008076AA"/>
    <w:rsid w:val="0080785C"/>
    <w:rsid w:val="00810B2F"/>
    <w:rsid w:val="008111C6"/>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7D0"/>
    <w:rsid w:val="008239EF"/>
    <w:rsid w:val="00826176"/>
    <w:rsid w:val="008266AA"/>
    <w:rsid w:val="008268C5"/>
    <w:rsid w:val="008276B9"/>
    <w:rsid w:val="0082781D"/>
    <w:rsid w:val="00827CB1"/>
    <w:rsid w:val="00827E45"/>
    <w:rsid w:val="00830595"/>
    <w:rsid w:val="008322D5"/>
    <w:rsid w:val="00832862"/>
    <w:rsid w:val="00833097"/>
    <w:rsid w:val="0083405D"/>
    <w:rsid w:val="00834407"/>
    <w:rsid w:val="008345B0"/>
    <w:rsid w:val="00834741"/>
    <w:rsid w:val="00834A26"/>
    <w:rsid w:val="00834ED7"/>
    <w:rsid w:val="008357AD"/>
    <w:rsid w:val="00835AF7"/>
    <w:rsid w:val="00836A07"/>
    <w:rsid w:val="00836BA6"/>
    <w:rsid w:val="00836E86"/>
    <w:rsid w:val="008372B3"/>
    <w:rsid w:val="008373EF"/>
    <w:rsid w:val="0084022D"/>
    <w:rsid w:val="00840CE7"/>
    <w:rsid w:val="00840F82"/>
    <w:rsid w:val="00841623"/>
    <w:rsid w:val="00841853"/>
    <w:rsid w:val="00841F71"/>
    <w:rsid w:val="0084296A"/>
    <w:rsid w:val="00842E90"/>
    <w:rsid w:val="00843765"/>
    <w:rsid w:val="00843C81"/>
    <w:rsid w:val="0084573E"/>
    <w:rsid w:val="00845E95"/>
    <w:rsid w:val="00846852"/>
    <w:rsid w:val="00847A99"/>
    <w:rsid w:val="00850058"/>
    <w:rsid w:val="008508CE"/>
    <w:rsid w:val="0085182F"/>
    <w:rsid w:val="00851AAB"/>
    <w:rsid w:val="00852729"/>
    <w:rsid w:val="00852DE6"/>
    <w:rsid w:val="00853002"/>
    <w:rsid w:val="008531B5"/>
    <w:rsid w:val="00853329"/>
    <w:rsid w:val="00853E66"/>
    <w:rsid w:val="00854172"/>
    <w:rsid w:val="00854181"/>
    <w:rsid w:val="00856FBC"/>
    <w:rsid w:val="00860003"/>
    <w:rsid w:val="008604FD"/>
    <w:rsid w:val="0086089D"/>
    <w:rsid w:val="00860E87"/>
    <w:rsid w:val="0086178A"/>
    <w:rsid w:val="00861A52"/>
    <w:rsid w:val="00861CF9"/>
    <w:rsid w:val="00861D03"/>
    <w:rsid w:val="00862239"/>
    <w:rsid w:val="008623D1"/>
    <w:rsid w:val="00863699"/>
    <w:rsid w:val="00863F5C"/>
    <w:rsid w:val="0086404C"/>
    <w:rsid w:val="00864915"/>
    <w:rsid w:val="00864A1F"/>
    <w:rsid w:val="0086609B"/>
    <w:rsid w:val="00867698"/>
    <w:rsid w:val="00867E29"/>
    <w:rsid w:val="008716F2"/>
    <w:rsid w:val="00871989"/>
    <w:rsid w:val="00871A33"/>
    <w:rsid w:val="00871FF3"/>
    <w:rsid w:val="00872620"/>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4005"/>
    <w:rsid w:val="00884063"/>
    <w:rsid w:val="00884E6E"/>
    <w:rsid w:val="00885FB5"/>
    <w:rsid w:val="0088638F"/>
    <w:rsid w:val="00886AA1"/>
    <w:rsid w:val="00886CA7"/>
    <w:rsid w:val="00887F25"/>
    <w:rsid w:val="00891897"/>
    <w:rsid w:val="008919A1"/>
    <w:rsid w:val="00891AAB"/>
    <w:rsid w:val="00891D02"/>
    <w:rsid w:val="00892896"/>
    <w:rsid w:val="00892D9B"/>
    <w:rsid w:val="00893059"/>
    <w:rsid w:val="00894037"/>
    <w:rsid w:val="00894B9A"/>
    <w:rsid w:val="008958A4"/>
    <w:rsid w:val="00895D24"/>
    <w:rsid w:val="00896C5F"/>
    <w:rsid w:val="00897844"/>
    <w:rsid w:val="008A004D"/>
    <w:rsid w:val="008A1522"/>
    <w:rsid w:val="008A15E5"/>
    <w:rsid w:val="008A191F"/>
    <w:rsid w:val="008A1AD2"/>
    <w:rsid w:val="008A225F"/>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E9A"/>
    <w:rsid w:val="008B4DA3"/>
    <w:rsid w:val="008B5104"/>
    <w:rsid w:val="008B57C5"/>
    <w:rsid w:val="008B5BC8"/>
    <w:rsid w:val="008B692E"/>
    <w:rsid w:val="008B7437"/>
    <w:rsid w:val="008B7CCD"/>
    <w:rsid w:val="008B7D36"/>
    <w:rsid w:val="008C01F3"/>
    <w:rsid w:val="008C2022"/>
    <w:rsid w:val="008C2DFD"/>
    <w:rsid w:val="008C3BC8"/>
    <w:rsid w:val="008C5578"/>
    <w:rsid w:val="008C5AC2"/>
    <w:rsid w:val="008C6255"/>
    <w:rsid w:val="008C6951"/>
    <w:rsid w:val="008C6C91"/>
    <w:rsid w:val="008C7C9C"/>
    <w:rsid w:val="008D13DC"/>
    <w:rsid w:val="008D14CC"/>
    <w:rsid w:val="008D1E43"/>
    <w:rsid w:val="008D2058"/>
    <w:rsid w:val="008D2843"/>
    <w:rsid w:val="008D2B51"/>
    <w:rsid w:val="008D41FA"/>
    <w:rsid w:val="008D42C0"/>
    <w:rsid w:val="008D4518"/>
    <w:rsid w:val="008D4572"/>
    <w:rsid w:val="008D48D0"/>
    <w:rsid w:val="008D4F7B"/>
    <w:rsid w:val="008D5CA2"/>
    <w:rsid w:val="008D67F8"/>
    <w:rsid w:val="008D680A"/>
    <w:rsid w:val="008E0519"/>
    <w:rsid w:val="008E29CE"/>
    <w:rsid w:val="008E2CB4"/>
    <w:rsid w:val="008E2E19"/>
    <w:rsid w:val="008E344D"/>
    <w:rsid w:val="008E48EF"/>
    <w:rsid w:val="008E4C3B"/>
    <w:rsid w:val="008E5682"/>
    <w:rsid w:val="008E56A1"/>
    <w:rsid w:val="008E5CB0"/>
    <w:rsid w:val="008E6612"/>
    <w:rsid w:val="008E7954"/>
    <w:rsid w:val="008F03B5"/>
    <w:rsid w:val="008F0A85"/>
    <w:rsid w:val="008F100D"/>
    <w:rsid w:val="008F12B0"/>
    <w:rsid w:val="008F16B4"/>
    <w:rsid w:val="008F22CE"/>
    <w:rsid w:val="008F2487"/>
    <w:rsid w:val="008F3C0E"/>
    <w:rsid w:val="008F4302"/>
    <w:rsid w:val="008F45AB"/>
    <w:rsid w:val="008F46C3"/>
    <w:rsid w:val="008F5F41"/>
    <w:rsid w:val="008F62A4"/>
    <w:rsid w:val="008F69CC"/>
    <w:rsid w:val="008F6E57"/>
    <w:rsid w:val="008F748C"/>
    <w:rsid w:val="008F781E"/>
    <w:rsid w:val="008F7DF6"/>
    <w:rsid w:val="0090015E"/>
    <w:rsid w:val="00900D64"/>
    <w:rsid w:val="00902967"/>
    <w:rsid w:val="009031C4"/>
    <w:rsid w:val="00903840"/>
    <w:rsid w:val="00903AF0"/>
    <w:rsid w:val="00903C6F"/>
    <w:rsid w:val="00904185"/>
    <w:rsid w:val="0090535E"/>
    <w:rsid w:val="00905F98"/>
    <w:rsid w:val="0090605F"/>
    <w:rsid w:val="009113FE"/>
    <w:rsid w:val="009118C8"/>
    <w:rsid w:val="00911EB4"/>
    <w:rsid w:val="009127A9"/>
    <w:rsid w:val="00912B49"/>
    <w:rsid w:val="00912E82"/>
    <w:rsid w:val="00913569"/>
    <w:rsid w:val="009139AF"/>
    <w:rsid w:val="00913EC2"/>
    <w:rsid w:val="009144D6"/>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21B"/>
    <w:rsid w:val="00930636"/>
    <w:rsid w:val="009309E3"/>
    <w:rsid w:val="00931243"/>
    <w:rsid w:val="00931E70"/>
    <w:rsid w:val="0093221A"/>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FDE"/>
    <w:rsid w:val="00947A14"/>
    <w:rsid w:val="00950258"/>
    <w:rsid w:val="00950462"/>
    <w:rsid w:val="0095053F"/>
    <w:rsid w:val="00950D52"/>
    <w:rsid w:val="00951DD0"/>
    <w:rsid w:val="00951F5C"/>
    <w:rsid w:val="009520E8"/>
    <w:rsid w:val="00953CFB"/>
    <w:rsid w:val="00954573"/>
    <w:rsid w:val="00954EF8"/>
    <w:rsid w:val="00955618"/>
    <w:rsid w:val="00956222"/>
    <w:rsid w:val="00956431"/>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11C"/>
    <w:rsid w:val="0097042B"/>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2197"/>
    <w:rsid w:val="00982CDE"/>
    <w:rsid w:val="009847AC"/>
    <w:rsid w:val="00985AAF"/>
    <w:rsid w:val="00986720"/>
    <w:rsid w:val="00987731"/>
    <w:rsid w:val="00987CA2"/>
    <w:rsid w:val="00987D17"/>
    <w:rsid w:val="00987DDD"/>
    <w:rsid w:val="009905D2"/>
    <w:rsid w:val="0099086D"/>
    <w:rsid w:val="00991338"/>
    <w:rsid w:val="00991602"/>
    <w:rsid w:val="00991965"/>
    <w:rsid w:val="00992180"/>
    <w:rsid w:val="00992804"/>
    <w:rsid w:val="0099353B"/>
    <w:rsid w:val="0099378C"/>
    <w:rsid w:val="00993D7E"/>
    <w:rsid w:val="009944E0"/>
    <w:rsid w:val="009951DE"/>
    <w:rsid w:val="00995698"/>
    <w:rsid w:val="00995729"/>
    <w:rsid w:val="009958BE"/>
    <w:rsid w:val="00996046"/>
    <w:rsid w:val="00996610"/>
    <w:rsid w:val="00996D35"/>
    <w:rsid w:val="00996E9D"/>
    <w:rsid w:val="0099731C"/>
    <w:rsid w:val="009973C1"/>
    <w:rsid w:val="009A1196"/>
    <w:rsid w:val="009A1E1F"/>
    <w:rsid w:val="009A2F63"/>
    <w:rsid w:val="009A38EB"/>
    <w:rsid w:val="009A3F05"/>
    <w:rsid w:val="009A5215"/>
    <w:rsid w:val="009A6082"/>
    <w:rsid w:val="009A67AD"/>
    <w:rsid w:val="009A6B9B"/>
    <w:rsid w:val="009A74D8"/>
    <w:rsid w:val="009B0A9D"/>
    <w:rsid w:val="009B1652"/>
    <w:rsid w:val="009B1CFB"/>
    <w:rsid w:val="009B2C8B"/>
    <w:rsid w:val="009B37E3"/>
    <w:rsid w:val="009B4431"/>
    <w:rsid w:val="009B4872"/>
    <w:rsid w:val="009B4F19"/>
    <w:rsid w:val="009B55C4"/>
    <w:rsid w:val="009B592C"/>
    <w:rsid w:val="009B65FA"/>
    <w:rsid w:val="009B6C10"/>
    <w:rsid w:val="009B774F"/>
    <w:rsid w:val="009B7E95"/>
    <w:rsid w:val="009C036F"/>
    <w:rsid w:val="009C0959"/>
    <w:rsid w:val="009C0A14"/>
    <w:rsid w:val="009C0B1E"/>
    <w:rsid w:val="009C1B40"/>
    <w:rsid w:val="009C30B3"/>
    <w:rsid w:val="009C37B7"/>
    <w:rsid w:val="009C4AE6"/>
    <w:rsid w:val="009C5B94"/>
    <w:rsid w:val="009C60AB"/>
    <w:rsid w:val="009C7C0E"/>
    <w:rsid w:val="009D08C7"/>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EF1"/>
    <w:rsid w:val="009D6463"/>
    <w:rsid w:val="009D7D3E"/>
    <w:rsid w:val="009E057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733E"/>
    <w:rsid w:val="009E7618"/>
    <w:rsid w:val="009F17D4"/>
    <w:rsid w:val="009F194F"/>
    <w:rsid w:val="009F22BE"/>
    <w:rsid w:val="009F23FD"/>
    <w:rsid w:val="009F25D4"/>
    <w:rsid w:val="009F312C"/>
    <w:rsid w:val="009F3B75"/>
    <w:rsid w:val="009F5615"/>
    <w:rsid w:val="009F5EAB"/>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D8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65E1"/>
    <w:rsid w:val="00A26BE4"/>
    <w:rsid w:val="00A27631"/>
    <w:rsid w:val="00A27B3F"/>
    <w:rsid w:val="00A27C2A"/>
    <w:rsid w:val="00A27C96"/>
    <w:rsid w:val="00A27F77"/>
    <w:rsid w:val="00A30552"/>
    <w:rsid w:val="00A305E3"/>
    <w:rsid w:val="00A309C7"/>
    <w:rsid w:val="00A30B50"/>
    <w:rsid w:val="00A318A3"/>
    <w:rsid w:val="00A31B6A"/>
    <w:rsid w:val="00A31BA1"/>
    <w:rsid w:val="00A31FFA"/>
    <w:rsid w:val="00A32688"/>
    <w:rsid w:val="00A32C0B"/>
    <w:rsid w:val="00A32EDE"/>
    <w:rsid w:val="00A32FE1"/>
    <w:rsid w:val="00A333DC"/>
    <w:rsid w:val="00A33764"/>
    <w:rsid w:val="00A33F2E"/>
    <w:rsid w:val="00A346AD"/>
    <w:rsid w:val="00A351FD"/>
    <w:rsid w:val="00A354CD"/>
    <w:rsid w:val="00A361E0"/>
    <w:rsid w:val="00A371AF"/>
    <w:rsid w:val="00A37447"/>
    <w:rsid w:val="00A378AE"/>
    <w:rsid w:val="00A37962"/>
    <w:rsid w:val="00A37C00"/>
    <w:rsid w:val="00A40115"/>
    <w:rsid w:val="00A4058D"/>
    <w:rsid w:val="00A4066A"/>
    <w:rsid w:val="00A40C64"/>
    <w:rsid w:val="00A41496"/>
    <w:rsid w:val="00A42C64"/>
    <w:rsid w:val="00A43452"/>
    <w:rsid w:val="00A43C40"/>
    <w:rsid w:val="00A44886"/>
    <w:rsid w:val="00A461BA"/>
    <w:rsid w:val="00A468AF"/>
    <w:rsid w:val="00A46B94"/>
    <w:rsid w:val="00A478E2"/>
    <w:rsid w:val="00A47C8A"/>
    <w:rsid w:val="00A47EA9"/>
    <w:rsid w:val="00A50B73"/>
    <w:rsid w:val="00A511D8"/>
    <w:rsid w:val="00A51A86"/>
    <w:rsid w:val="00A52540"/>
    <w:rsid w:val="00A5325D"/>
    <w:rsid w:val="00A559AD"/>
    <w:rsid w:val="00A56007"/>
    <w:rsid w:val="00A56260"/>
    <w:rsid w:val="00A56CE4"/>
    <w:rsid w:val="00A579DB"/>
    <w:rsid w:val="00A601C8"/>
    <w:rsid w:val="00A616AE"/>
    <w:rsid w:val="00A62630"/>
    <w:rsid w:val="00A62B38"/>
    <w:rsid w:val="00A62F37"/>
    <w:rsid w:val="00A63726"/>
    <w:rsid w:val="00A64642"/>
    <w:rsid w:val="00A6486E"/>
    <w:rsid w:val="00A657F2"/>
    <w:rsid w:val="00A66B3C"/>
    <w:rsid w:val="00A66B9D"/>
    <w:rsid w:val="00A671C5"/>
    <w:rsid w:val="00A67F6C"/>
    <w:rsid w:val="00A7083E"/>
    <w:rsid w:val="00A70980"/>
    <w:rsid w:val="00A70D0C"/>
    <w:rsid w:val="00A70F14"/>
    <w:rsid w:val="00A712B5"/>
    <w:rsid w:val="00A72279"/>
    <w:rsid w:val="00A7278B"/>
    <w:rsid w:val="00A72C44"/>
    <w:rsid w:val="00A7304A"/>
    <w:rsid w:val="00A73084"/>
    <w:rsid w:val="00A73E04"/>
    <w:rsid w:val="00A7529A"/>
    <w:rsid w:val="00A75E1C"/>
    <w:rsid w:val="00A7661E"/>
    <w:rsid w:val="00A76B36"/>
    <w:rsid w:val="00A773A8"/>
    <w:rsid w:val="00A77B0E"/>
    <w:rsid w:val="00A77FBB"/>
    <w:rsid w:val="00A80955"/>
    <w:rsid w:val="00A81791"/>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B20"/>
    <w:rsid w:val="00A90B2B"/>
    <w:rsid w:val="00A90B54"/>
    <w:rsid w:val="00A91272"/>
    <w:rsid w:val="00A917B3"/>
    <w:rsid w:val="00A91950"/>
    <w:rsid w:val="00A91C91"/>
    <w:rsid w:val="00A92EB4"/>
    <w:rsid w:val="00A9329C"/>
    <w:rsid w:val="00A935DD"/>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493"/>
    <w:rsid w:val="00AA5AC8"/>
    <w:rsid w:val="00AA6352"/>
    <w:rsid w:val="00AA6787"/>
    <w:rsid w:val="00AA7BCE"/>
    <w:rsid w:val="00AA7D97"/>
    <w:rsid w:val="00AB0679"/>
    <w:rsid w:val="00AB1633"/>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669"/>
    <w:rsid w:val="00AC2791"/>
    <w:rsid w:val="00AC328B"/>
    <w:rsid w:val="00AC38B7"/>
    <w:rsid w:val="00AC42A5"/>
    <w:rsid w:val="00AC4447"/>
    <w:rsid w:val="00AC4A02"/>
    <w:rsid w:val="00AC4DAE"/>
    <w:rsid w:val="00AC52FA"/>
    <w:rsid w:val="00AC5724"/>
    <w:rsid w:val="00AC5998"/>
    <w:rsid w:val="00AC5FDE"/>
    <w:rsid w:val="00AC611C"/>
    <w:rsid w:val="00AC659F"/>
    <w:rsid w:val="00AC65C4"/>
    <w:rsid w:val="00AC6BFB"/>
    <w:rsid w:val="00AC6CFE"/>
    <w:rsid w:val="00AC76C0"/>
    <w:rsid w:val="00AD06C0"/>
    <w:rsid w:val="00AD093A"/>
    <w:rsid w:val="00AD0A0A"/>
    <w:rsid w:val="00AD10B6"/>
    <w:rsid w:val="00AD1177"/>
    <w:rsid w:val="00AD11F4"/>
    <w:rsid w:val="00AD1396"/>
    <w:rsid w:val="00AD17E2"/>
    <w:rsid w:val="00AD2336"/>
    <w:rsid w:val="00AD360B"/>
    <w:rsid w:val="00AD587C"/>
    <w:rsid w:val="00AD5C78"/>
    <w:rsid w:val="00AD5D7C"/>
    <w:rsid w:val="00AD5FF5"/>
    <w:rsid w:val="00AD6FA7"/>
    <w:rsid w:val="00AD7327"/>
    <w:rsid w:val="00AD746F"/>
    <w:rsid w:val="00AD7480"/>
    <w:rsid w:val="00AD77DD"/>
    <w:rsid w:val="00AE0B9B"/>
    <w:rsid w:val="00AE1290"/>
    <w:rsid w:val="00AE14B6"/>
    <w:rsid w:val="00AE14CA"/>
    <w:rsid w:val="00AE2500"/>
    <w:rsid w:val="00AE252E"/>
    <w:rsid w:val="00AE31F8"/>
    <w:rsid w:val="00AE3E20"/>
    <w:rsid w:val="00AE4FA9"/>
    <w:rsid w:val="00AE5837"/>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4082"/>
    <w:rsid w:val="00B04DA9"/>
    <w:rsid w:val="00B04EE8"/>
    <w:rsid w:val="00B052BE"/>
    <w:rsid w:val="00B056CA"/>
    <w:rsid w:val="00B05CA3"/>
    <w:rsid w:val="00B07149"/>
    <w:rsid w:val="00B0734D"/>
    <w:rsid w:val="00B10CBA"/>
    <w:rsid w:val="00B1172A"/>
    <w:rsid w:val="00B11AAF"/>
    <w:rsid w:val="00B13110"/>
    <w:rsid w:val="00B13429"/>
    <w:rsid w:val="00B1381F"/>
    <w:rsid w:val="00B138B8"/>
    <w:rsid w:val="00B14E95"/>
    <w:rsid w:val="00B15617"/>
    <w:rsid w:val="00B15C64"/>
    <w:rsid w:val="00B1605A"/>
    <w:rsid w:val="00B1628F"/>
    <w:rsid w:val="00B169D3"/>
    <w:rsid w:val="00B16D86"/>
    <w:rsid w:val="00B17213"/>
    <w:rsid w:val="00B179DB"/>
    <w:rsid w:val="00B200A7"/>
    <w:rsid w:val="00B202B7"/>
    <w:rsid w:val="00B20376"/>
    <w:rsid w:val="00B218B9"/>
    <w:rsid w:val="00B21DA4"/>
    <w:rsid w:val="00B2226E"/>
    <w:rsid w:val="00B22E47"/>
    <w:rsid w:val="00B22FB4"/>
    <w:rsid w:val="00B2600C"/>
    <w:rsid w:val="00B267AB"/>
    <w:rsid w:val="00B27EDF"/>
    <w:rsid w:val="00B301FF"/>
    <w:rsid w:val="00B30940"/>
    <w:rsid w:val="00B311A4"/>
    <w:rsid w:val="00B330E1"/>
    <w:rsid w:val="00B339BE"/>
    <w:rsid w:val="00B341D8"/>
    <w:rsid w:val="00B3469C"/>
    <w:rsid w:val="00B35335"/>
    <w:rsid w:val="00B35583"/>
    <w:rsid w:val="00B35774"/>
    <w:rsid w:val="00B359EA"/>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865"/>
    <w:rsid w:val="00B46AE9"/>
    <w:rsid w:val="00B47413"/>
    <w:rsid w:val="00B47536"/>
    <w:rsid w:val="00B47736"/>
    <w:rsid w:val="00B478D8"/>
    <w:rsid w:val="00B47CAA"/>
    <w:rsid w:val="00B50194"/>
    <w:rsid w:val="00B50622"/>
    <w:rsid w:val="00B50A1D"/>
    <w:rsid w:val="00B50F06"/>
    <w:rsid w:val="00B5109F"/>
    <w:rsid w:val="00B510FC"/>
    <w:rsid w:val="00B51247"/>
    <w:rsid w:val="00B5168E"/>
    <w:rsid w:val="00B51AB7"/>
    <w:rsid w:val="00B51FB2"/>
    <w:rsid w:val="00B524A1"/>
    <w:rsid w:val="00B5253F"/>
    <w:rsid w:val="00B52F57"/>
    <w:rsid w:val="00B54214"/>
    <w:rsid w:val="00B5441A"/>
    <w:rsid w:val="00B54672"/>
    <w:rsid w:val="00B55976"/>
    <w:rsid w:val="00B57600"/>
    <w:rsid w:val="00B57B3B"/>
    <w:rsid w:val="00B60B78"/>
    <w:rsid w:val="00B61B1D"/>
    <w:rsid w:val="00B61E41"/>
    <w:rsid w:val="00B62342"/>
    <w:rsid w:val="00B62D24"/>
    <w:rsid w:val="00B63511"/>
    <w:rsid w:val="00B63A6B"/>
    <w:rsid w:val="00B64671"/>
    <w:rsid w:val="00B64AC7"/>
    <w:rsid w:val="00B65CA9"/>
    <w:rsid w:val="00B66B64"/>
    <w:rsid w:val="00B66F96"/>
    <w:rsid w:val="00B671BD"/>
    <w:rsid w:val="00B6728D"/>
    <w:rsid w:val="00B67DAE"/>
    <w:rsid w:val="00B70E33"/>
    <w:rsid w:val="00B70ED0"/>
    <w:rsid w:val="00B70FB8"/>
    <w:rsid w:val="00B70FF9"/>
    <w:rsid w:val="00B7111B"/>
    <w:rsid w:val="00B71E62"/>
    <w:rsid w:val="00B71F58"/>
    <w:rsid w:val="00B7234C"/>
    <w:rsid w:val="00B72851"/>
    <w:rsid w:val="00B7298C"/>
    <w:rsid w:val="00B72DD8"/>
    <w:rsid w:val="00B73B51"/>
    <w:rsid w:val="00B73D9F"/>
    <w:rsid w:val="00B746A0"/>
    <w:rsid w:val="00B7560B"/>
    <w:rsid w:val="00B757CB"/>
    <w:rsid w:val="00B77BA2"/>
    <w:rsid w:val="00B77C29"/>
    <w:rsid w:val="00B80003"/>
    <w:rsid w:val="00B8038A"/>
    <w:rsid w:val="00B8085D"/>
    <w:rsid w:val="00B811FD"/>
    <w:rsid w:val="00B815DA"/>
    <w:rsid w:val="00B818D2"/>
    <w:rsid w:val="00B8220E"/>
    <w:rsid w:val="00B82C7D"/>
    <w:rsid w:val="00B82D7C"/>
    <w:rsid w:val="00B83464"/>
    <w:rsid w:val="00B8366E"/>
    <w:rsid w:val="00B843BA"/>
    <w:rsid w:val="00B848A2"/>
    <w:rsid w:val="00B84D25"/>
    <w:rsid w:val="00B853D7"/>
    <w:rsid w:val="00B85A9E"/>
    <w:rsid w:val="00B85CFD"/>
    <w:rsid w:val="00B86237"/>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8E7"/>
    <w:rsid w:val="00BA2C61"/>
    <w:rsid w:val="00BA2E1A"/>
    <w:rsid w:val="00BA3845"/>
    <w:rsid w:val="00BA38D0"/>
    <w:rsid w:val="00BA55C5"/>
    <w:rsid w:val="00BA59DE"/>
    <w:rsid w:val="00BA5B6D"/>
    <w:rsid w:val="00BA63FA"/>
    <w:rsid w:val="00BA6866"/>
    <w:rsid w:val="00BA68A5"/>
    <w:rsid w:val="00BA6DC6"/>
    <w:rsid w:val="00BA7688"/>
    <w:rsid w:val="00BB08B4"/>
    <w:rsid w:val="00BB0A6A"/>
    <w:rsid w:val="00BB0CDA"/>
    <w:rsid w:val="00BB1C44"/>
    <w:rsid w:val="00BB2003"/>
    <w:rsid w:val="00BB2222"/>
    <w:rsid w:val="00BB2BE7"/>
    <w:rsid w:val="00BB3EA0"/>
    <w:rsid w:val="00BB4510"/>
    <w:rsid w:val="00BB4986"/>
    <w:rsid w:val="00BB4BAE"/>
    <w:rsid w:val="00BB4C36"/>
    <w:rsid w:val="00BB5CD7"/>
    <w:rsid w:val="00BB6106"/>
    <w:rsid w:val="00BB62AF"/>
    <w:rsid w:val="00BB66CE"/>
    <w:rsid w:val="00BB66EC"/>
    <w:rsid w:val="00BB6B41"/>
    <w:rsid w:val="00BB7D32"/>
    <w:rsid w:val="00BC0484"/>
    <w:rsid w:val="00BC1218"/>
    <w:rsid w:val="00BC1CA8"/>
    <w:rsid w:val="00BC1EDB"/>
    <w:rsid w:val="00BC2378"/>
    <w:rsid w:val="00BC2EC2"/>
    <w:rsid w:val="00BC2F88"/>
    <w:rsid w:val="00BC3571"/>
    <w:rsid w:val="00BC4144"/>
    <w:rsid w:val="00BC4399"/>
    <w:rsid w:val="00BC480F"/>
    <w:rsid w:val="00BC67EA"/>
    <w:rsid w:val="00BC7198"/>
    <w:rsid w:val="00BD0798"/>
    <w:rsid w:val="00BD0DC0"/>
    <w:rsid w:val="00BD150F"/>
    <w:rsid w:val="00BD1CF2"/>
    <w:rsid w:val="00BD1DCC"/>
    <w:rsid w:val="00BD2080"/>
    <w:rsid w:val="00BD2CEB"/>
    <w:rsid w:val="00BD304D"/>
    <w:rsid w:val="00BD3488"/>
    <w:rsid w:val="00BD356F"/>
    <w:rsid w:val="00BD3BA0"/>
    <w:rsid w:val="00BD4494"/>
    <w:rsid w:val="00BD4742"/>
    <w:rsid w:val="00BD4A44"/>
    <w:rsid w:val="00BD4F17"/>
    <w:rsid w:val="00BD5186"/>
    <w:rsid w:val="00BD58DE"/>
    <w:rsid w:val="00BD5912"/>
    <w:rsid w:val="00BD5D62"/>
    <w:rsid w:val="00BD62A1"/>
    <w:rsid w:val="00BD6C77"/>
    <w:rsid w:val="00BE0D3C"/>
    <w:rsid w:val="00BE122E"/>
    <w:rsid w:val="00BE15C0"/>
    <w:rsid w:val="00BE1886"/>
    <w:rsid w:val="00BE1A23"/>
    <w:rsid w:val="00BE1C2B"/>
    <w:rsid w:val="00BE2BA2"/>
    <w:rsid w:val="00BE37C9"/>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1D10"/>
    <w:rsid w:val="00BF21DA"/>
    <w:rsid w:val="00BF22E6"/>
    <w:rsid w:val="00BF35FF"/>
    <w:rsid w:val="00BF428E"/>
    <w:rsid w:val="00BF6688"/>
    <w:rsid w:val="00BF69A5"/>
    <w:rsid w:val="00BF7208"/>
    <w:rsid w:val="00BF7863"/>
    <w:rsid w:val="00BF7C8D"/>
    <w:rsid w:val="00C00850"/>
    <w:rsid w:val="00C00B4F"/>
    <w:rsid w:val="00C0172E"/>
    <w:rsid w:val="00C01E19"/>
    <w:rsid w:val="00C02FEC"/>
    <w:rsid w:val="00C03280"/>
    <w:rsid w:val="00C036FB"/>
    <w:rsid w:val="00C03B67"/>
    <w:rsid w:val="00C046C7"/>
    <w:rsid w:val="00C04DB4"/>
    <w:rsid w:val="00C067B4"/>
    <w:rsid w:val="00C07818"/>
    <w:rsid w:val="00C07C6F"/>
    <w:rsid w:val="00C1093A"/>
    <w:rsid w:val="00C112FB"/>
    <w:rsid w:val="00C11A19"/>
    <w:rsid w:val="00C12C41"/>
    <w:rsid w:val="00C12EDA"/>
    <w:rsid w:val="00C130C8"/>
    <w:rsid w:val="00C139C0"/>
    <w:rsid w:val="00C144CF"/>
    <w:rsid w:val="00C15156"/>
    <w:rsid w:val="00C15213"/>
    <w:rsid w:val="00C1540D"/>
    <w:rsid w:val="00C154A9"/>
    <w:rsid w:val="00C15FF0"/>
    <w:rsid w:val="00C16899"/>
    <w:rsid w:val="00C174E5"/>
    <w:rsid w:val="00C17780"/>
    <w:rsid w:val="00C179D6"/>
    <w:rsid w:val="00C17DB9"/>
    <w:rsid w:val="00C20C75"/>
    <w:rsid w:val="00C213EF"/>
    <w:rsid w:val="00C2153E"/>
    <w:rsid w:val="00C2180C"/>
    <w:rsid w:val="00C218CB"/>
    <w:rsid w:val="00C21CD2"/>
    <w:rsid w:val="00C21F1B"/>
    <w:rsid w:val="00C21FB5"/>
    <w:rsid w:val="00C22289"/>
    <w:rsid w:val="00C228D0"/>
    <w:rsid w:val="00C22AF6"/>
    <w:rsid w:val="00C22B3A"/>
    <w:rsid w:val="00C22B69"/>
    <w:rsid w:val="00C230CB"/>
    <w:rsid w:val="00C23413"/>
    <w:rsid w:val="00C236AA"/>
    <w:rsid w:val="00C23CEA"/>
    <w:rsid w:val="00C24383"/>
    <w:rsid w:val="00C24890"/>
    <w:rsid w:val="00C2496F"/>
    <w:rsid w:val="00C24A57"/>
    <w:rsid w:val="00C25083"/>
    <w:rsid w:val="00C253B3"/>
    <w:rsid w:val="00C25F9E"/>
    <w:rsid w:val="00C267FB"/>
    <w:rsid w:val="00C27297"/>
    <w:rsid w:val="00C2758B"/>
    <w:rsid w:val="00C277B3"/>
    <w:rsid w:val="00C27EEA"/>
    <w:rsid w:val="00C31266"/>
    <w:rsid w:val="00C31870"/>
    <w:rsid w:val="00C3189B"/>
    <w:rsid w:val="00C31AA5"/>
    <w:rsid w:val="00C33B4A"/>
    <w:rsid w:val="00C34490"/>
    <w:rsid w:val="00C34973"/>
    <w:rsid w:val="00C34A37"/>
    <w:rsid w:val="00C3512E"/>
    <w:rsid w:val="00C3516F"/>
    <w:rsid w:val="00C352F3"/>
    <w:rsid w:val="00C35645"/>
    <w:rsid w:val="00C35E7B"/>
    <w:rsid w:val="00C363FF"/>
    <w:rsid w:val="00C36721"/>
    <w:rsid w:val="00C36A84"/>
    <w:rsid w:val="00C37348"/>
    <w:rsid w:val="00C3735B"/>
    <w:rsid w:val="00C374EE"/>
    <w:rsid w:val="00C377BA"/>
    <w:rsid w:val="00C37B0D"/>
    <w:rsid w:val="00C37C39"/>
    <w:rsid w:val="00C37D0C"/>
    <w:rsid w:val="00C40894"/>
    <w:rsid w:val="00C41198"/>
    <w:rsid w:val="00C415D8"/>
    <w:rsid w:val="00C417D0"/>
    <w:rsid w:val="00C41908"/>
    <w:rsid w:val="00C41BC1"/>
    <w:rsid w:val="00C41C87"/>
    <w:rsid w:val="00C42902"/>
    <w:rsid w:val="00C42AD5"/>
    <w:rsid w:val="00C42DCD"/>
    <w:rsid w:val="00C43839"/>
    <w:rsid w:val="00C43FFB"/>
    <w:rsid w:val="00C44EFD"/>
    <w:rsid w:val="00C45CA7"/>
    <w:rsid w:val="00C46132"/>
    <w:rsid w:val="00C46F79"/>
    <w:rsid w:val="00C474B0"/>
    <w:rsid w:val="00C47771"/>
    <w:rsid w:val="00C47ABC"/>
    <w:rsid w:val="00C50E61"/>
    <w:rsid w:val="00C51072"/>
    <w:rsid w:val="00C517FF"/>
    <w:rsid w:val="00C51A4B"/>
    <w:rsid w:val="00C51AF4"/>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E7C"/>
    <w:rsid w:val="00C65F9B"/>
    <w:rsid w:val="00C65FE4"/>
    <w:rsid w:val="00C66C6C"/>
    <w:rsid w:val="00C678DA"/>
    <w:rsid w:val="00C67BFD"/>
    <w:rsid w:val="00C704E2"/>
    <w:rsid w:val="00C7057F"/>
    <w:rsid w:val="00C705DB"/>
    <w:rsid w:val="00C7180E"/>
    <w:rsid w:val="00C71C07"/>
    <w:rsid w:val="00C71E5D"/>
    <w:rsid w:val="00C72113"/>
    <w:rsid w:val="00C72186"/>
    <w:rsid w:val="00C72910"/>
    <w:rsid w:val="00C72AAE"/>
    <w:rsid w:val="00C736A7"/>
    <w:rsid w:val="00C737A1"/>
    <w:rsid w:val="00C73A2A"/>
    <w:rsid w:val="00C73EDB"/>
    <w:rsid w:val="00C7471A"/>
    <w:rsid w:val="00C74FEC"/>
    <w:rsid w:val="00C75A97"/>
    <w:rsid w:val="00C76067"/>
    <w:rsid w:val="00C77210"/>
    <w:rsid w:val="00C775B6"/>
    <w:rsid w:val="00C80296"/>
    <w:rsid w:val="00C80B82"/>
    <w:rsid w:val="00C80D87"/>
    <w:rsid w:val="00C80D8F"/>
    <w:rsid w:val="00C80ED6"/>
    <w:rsid w:val="00C812C2"/>
    <w:rsid w:val="00C814EE"/>
    <w:rsid w:val="00C83BC0"/>
    <w:rsid w:val="00C84356"/>
    <w:rsid w:val="00C848DA"/>
    <w:rsid w:val="00C84C37"/>
    <w:rsid w:val="00C84D54"/>
    <w:rsid w:val="00C8544F"/>
    <w:rsid w:val="00C87054"/>
    <w:rsid w:val="00C873BA"/>
    <w:rsid w:val="00C87467"/>
    <w:rsid w:val="00C87F05"/>
    <w:rsid w:val="00C90393"/>
    <w:rsid w:val="00C909ED"/>
    <w:rsid w:val="00C92294"/>
    <w:rsid w:val="00C92316"/>
    <w:rsid w:val="00C92A7A"/>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7F7"/>
    <w:rsid w:val="00CA2279"/>
    <w:rsid w:val="00CA3DED"/>
    <w:rsid w:val="00CA417D"/>
    <w:rsid w:val="00CA4345"/>
    <w:rsid w:val="00CA479E"/>
    <w:rsid w:val="00CA4B60"/>
    <w:rsid w:val="00CA5150"/>
    <w:rsid w:val="00CA5533"/>
    <w:rsid w:val="00CA55B0"/>
    <w:rsid w:val="00CA5DA6"/>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3C3"/>
    <w:rsid w:val="00CB7726"/>
    <w:rsid w:val="00CB7958"/>
    <w:rsid w:val="00CB7C17"/>
    <w:rsid w:val="00CB7CF4"/>
    <w:rsid w:val="00CC19BC"/>
    <w:rsid w:val="00CC1E69"/>
    <w:rsid w:val="00CC20CD"/>
    <w:rsid w:val="00CC2114"/>
    <w:rsid w:val="00CC2208"/>
    <w:rsid w:val="00CC2AF8"/>
    <w:rsid w:val="00CC53C2"/>
    <w:rsid w:val="00CC5446"/>
    <w:rsid w:val="00CC57A1"/>
    <w:rsid w:val="00CC5BDC"/>
    <w:rsid w:val="00CC5DCC"/>
    <w:rsid w:val="00CC6128"/>
    <w:rsid w:val="00CC635C"/>
    <w:rsid w:val="00CC65A4"/>
    <w:rsid w:val="00CC67BA"/>
    <w:rsid w:val="00CD014B"/>
    <w:rsid w:val="00CD2615"/>
    <w:rsid w:val="00CD277A"/>
    <w:rsid w:val="00CD2D09"/>
    <w:rsid w:val="00CD3072"/>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9DA"/>
    <w:rsid w:val="00CE1D5B"/>
    <w:rsid w:val="00CE251F"/>
    <w:rsid w:val="00CE2600"/>
    <w:rsid w:val="00CE33EC"/>
    <w:rsid w:val="00CE3457"/>
    <w:rsid w:val="00CE3D00"/>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6D8"/>
    <w:rsid w:val="00CF5EEF"/>
    <w:rsid w:val="00CF6AA6"/>
    <w:rsid w:val="00CF6AF8"/>
    <w:rsid w:val="00CF730C"/>
    <w:rsid w:val="00CF7561"/>
    <w:rsid w:val="00CF787A"/>
    <w:rsid w:val="00CF7950"/>
    <w:rsid w:val="00D00FA7"/>
    <w:rsid w:val="00D010E0"/>
    <w:rsid w:val="00D017E3"/>
    <w:rsid w:val="00D023FA"/>
    <w:rsid w:val="00D028AF"/>
    <w:rsid w:val="00D02B8A"/>
    <w:rsid w:val="00D02F88"/>
    <w:rsid w:val="00D0335C"/>
    <w:rsid w:val="00D04F26"/>
    <w:rsid w:val="00D04F4C"/>
    <w:rsid w:val="00D052F1"/>
    <w:rsid w:val="00D0546F"/>
    <w:rsid w:val="00D05B74"/>
    <w:rsid w:val="00D05C3F"/>
    <w:rsid w:val="00D06F3B"/>
    <w:rsid w:val="00D07FE9"/>
    <w:rsid w:val="00D109FE"/>
    <w:rsid w:val="00D11291"/>
    <w:rsid w:val="00D11911"/>
    <w:rsid w:val="00D12721"/>
    <w:rsid w:val="00D13481"/>
    <w:rsid w:val="00D13D00"/>
    <w:rsid w:val="00D13DE7"/>
    <w:rsid w:val="00D13FB8"/>
    <w:rsid w:val="00D14C7D"/>
    <w:rsid w:val="00D14D69"/>
    <w:rsid w:val="00D15730"/>
    <w:rsid w:val="00D15B45"/>
    <w:rsid w:val="00D15DB2"/>
    <w:rsid w:val="00D15E25"/>
    <w:rsid w:val="00D15EEE"/>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4B69"/>
    <w:rsid w:val="00D24DC6"/>
    <w:rsid w:val="00D2618A"/>
    <w:rsid w:val="00D2638F"/>
    <w:rsid w:val="00D27D03"/>
    <w:rsid w:val="00D307E9"/>
    <w:rsid w:val="00D30F0A"/>
    <w:rsid w:val="00D3168C"/>
    <w:rsid w:val="00D318E4"/>
    <w:rsid w:val="00D32006"/>
    <w:rsid w:val="00D32A2E"/>
    <w:rsid w:val="00D32C14"/>
    <w:rsid w:val="00D33AFE"/>
    <w:rsid w:val="00D3454C"/>
    <w:rsid w:val="00D34F4F"/>
    <w:rsid w:val="00D352C5"/>
    <w:rsid w:val="00D364D6"/>
    <w:rsid w:val="00D36A61"/>
    <w:rsid w:val="00D36D59"/>
    <w:rsid w:val="00D36ECA"/>
    <w:rsid w:val="00D372B7"/>
    <w:rsid w:val="00D405C3"/>
    <w:rsid w:val="00D40BB5"/>
    <w:rsid w:val="00D42B10"/>
    <w:rsid w:val="00D43114"/>
    <w:rsid w:val="00D435FF"/>
    <w:rsid w:val="00D45643"/>
    <w:rsid w:val="00D456A8"/>
    <w:rsid w:val="00D46D45"/>
    <w:rsid w:val="00D46F41"/>
    <w:rsid w:val="00D4771C"/>
    <w:rsid w:val="00D50803"/>
    <w:rsid w:val="00D508A8"/>
    <w:rsid w:val="00D50A3B"/>
    <w:rsid w:val="00D52A53"/>
    <w:rsid w:val="00D53D45"/>
    <w:rsid w:val="00D53EB8"/>
    <w:rsid w:val="00D5454F"/>
    <w:rsid w:val="00D5505F"/>
    <w:rsid w:val="00D5551F"/>
    <w:rsid w:val="00D55A2A"/>
    <w:rsid w:val="00D56874"/>
    <w:rsid w:val="00D57939"/>
    <w:rsid w:val="00D57E98"/>
    <w:rsid w:val="00D60337"/>
    <w:rsid w:val="00D604AC"/>
    <w:rsid w:val="00D60B6A"/>
    <w:rsid w:val="00D60FE0"/>
    <w:rsid w:val="00D6136A"/>
    <w:rsid w:val="00D61591"/>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1B"/>
    <w:rsid w:val="00D70241"/>
    <w:rsid w:val="00D70E56"/>
    <w:rsid w:val="00D70F64"/>
    <w:rsid w:val="00D7107B"/>
    <w:rsid w:val="00D7147E"/>
    <w:rsid w:val="00D71900"/>
    <w:rsid w:val="00D71A60"/>
    <w:rsid w:val="00D71B31"/>
    <w:rsid w:val="00D71DD7"/>
    <w:rsid w:val="00D721FF"/>
    <w:rsid w:val="00D72245"/>
    <w:rsid w:val="00D73175"/>
    <w:rsid w:val="00D731F7"/>
    <w:rsid w:val="00D73529"/>
    <w:rsid w:val="00D743B8"/>
    <w:rsid w:val="00D7496E"/>
    <w:rsid w:val="00D75146"/>
    <w:rsid w:val="00D75180"/>
    <w:rsid w:val="00D76666"/>
    <w:rsid w:val="00D76EF0"/>
    <w:rsid w:val="00D770DF"/>
    <w:rsid w:val="00D7719E"/>
    <w:rsid w:val="00D7725A"/>
    <w:rsid w:val="00D772BF"/>
    <w:rsid w:val="00D772F0"/>
    <w:rsid w:val="00D803F3"/>
    <w:rsid w:val="00D80649"/>
    <w:rsid w:val="00D8096B"/>
    <w:rsid w:val="00D81C79"/>
    <w:rsid w:val="00D826C4"/>
    <w:rsid w:val="00D835FD"/>
    <w:rsid w:val="00D83C7E"/>
    <w:rsid w:val="00D84FA7"/>
    <w:rsid w:val="00D858C8"/>
    <w:rsid w:val="00D8597F"/>
    <w:rsid w:val="00D85A73"/>
    <w:rsid w:val="00D87451"/>
    <w:rsid w:val="00D8775B"/>
    <w:rsid w:val="00D878BA"/>
    <w:rsid w:val="00D87938"/>
    <w:rsid w:val="00D8796D"/>
    <w:rsid w:val="00D879D5"/>
    <w:rsid w:val="00D87E5E"/>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5F2"/>
    <w:rsid w:val="00DA0CC8"/>
    <w:rsid w:val="00DA19F7"/>
    <w:rsid w:val="00DA23B0"/>
    <w:rsid w:val="00DA2B1A"/>
    <w:rsid w:val="00DA3018"/>
    <w:rsid w:val="00DA30A9"/>
    <w:rsid w:val="00DA33F9"/>
    <w:rsid w:val="00DA5788"/>
    <w:rsid w:val="00DA5B53"/>
    <w:rsid w:val="00DA5E75"/>
    <w:rsid w:val="00DA6ACF"/>
    <w:rsid w:val="00DA6AD3"/>
    <w:rsid w:val="00DA6F47"/>
    <w:rsid w:val="00DA75AF"/>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3494"/>
    <w:rsid w:val="00DD578D"/>
    <w:rsid w:val="00DD58D1"/>
    <w:rsid w:val="00DD5CCF"/>
    <w:rsid w:val="00DD62D8"/>
    <w:rsid w:val="00DD6F1E"/>
    <w:rsid w:val="00DD7439"/>
    <w:rsid w:val="00DD765C"/>
    <w:rsid w:val="00DD7DA0"/>
    <w:rsid w:val="00DE0813"/>
    <w:rsid w:val="00DE0CC3"/>
    <w:rsid w:val="00DE112D"/>
    <w:rsid w:val="00DE1336"/>
    <w:rsid w:val="00DE17BC"/>
    <w:rsid w:val="00DE27F9"/>
    <w:rsid w:val="00DE2F0C"/>
    <w:rsid w:val="00DE2F2E"/>
    <w:rsid w:val="00DE2FBF"/>
    <w:rsid w:val="00DE379A"/>
    <w:rsid w:val="00DE3DC2"/>
    <w:rsid w:val="00DE3F8C"/>
    <w:rsid w:val="00DE5A71"/>
    <w:rsid w:val="00DE5C7A"/>
    <w:rsid w:val="00DE5F36"/>
    <w:rsid w:val="00DE6298"/>
    <w:rsid w:val="00DE762A"/>
    <w:rsid w:val="00DE7665"/>
    <w:rsid w:val="00DE7B9B"/>
    <w:rsid w:val="00DF0630"/>
    <w:rsid w:val="00DF0C10"/>
    <w:rsid w:val="00DF0EB9"/>
    <w:rsid w:val="00DF2EF9"/>
    <w:rsid w:val="00DF32A2"/>
    <w:rsid w:val="00DF500B"/>
    <w:rsid w:val="00DF5439"/>
    <w:rsid w:val="00DF5715"/>
    <w:rsid w:val="00DF573A"/>
    <w:rsid w:val="00DF59E0"/>
    <w:rsid w:val="00DF6714"/>
    <w:rsid w:val="00DF67CB"/>
    <w:rsid w:val="00DF6842"/>
    <w:rsid w:val="00DF68EC"/>
    <w:rsid w:val="00DF6C40"/>
    <w:rsid w:val="00DF7B1C"/>
    <w:rsid w:val="00DF7BEA"/>
    <w:rsid w:val="00DF7DB2"/>
    <w:rsid w:val="00E0049A"/>
    <w:rsid w:val="00E00823"/>
    <w:rsid w:val="00E00B29"/>
    <w:rsid w:val="00E018F8"/>
    <w:rsid w:val="00E019B8"/>
    <w:rsid w:val="00E01B11"/>
    <w:rsid w:val="00E01E84"/>
    <w:rsid w:val="00E02460"/>
    <w:rsid w:val="00E02733"/>
    <w:rsid w:val="00E02832"/>
    <w:rsid w:val="00E03D48"/>
    <w:rsid w:val="00E04517"/>
    <w:rsid w:val="00E05CBC"/>
    <w:rsid w:val="00E06939"/>
    <w:rsid w:val="00E06B59"/>
    <w:rsid w:val="00E07077"/>
    <w:rsid w:val="00E07646"/>
    <w:rsid w:val="00E07800"/>
    <w:rsid w:val="00E07CD6"/>
    <w:rsid w:val="00E07F20"/>
    <w:rsid w:val="00E10332"/>
    <w:rsid w:val="00E10917"/>
    <w:rsid w:val="00E10C2E"/>
    <w:rsid w:val="00E10F98"/>
    <w:rsid w:val="00E12616"/>
    <w:rsid w:val="00E12660"/>
    <w:rsid w:val="00E1407F"/>
    <w:rsid w:val="00E15051"/>
    <w:rsid w:val="00E15762"/>
    <w:rsid w:val="00E1607C"/>
    <w:rsid w:val="00E16353"/>
    <w:rsid w:val="00E168EC"/>
    <w:rsid w:val="00E172D0"/>
    <w:rsid w:val="00E1780B"/>
    <w:rsid w:val="00E17B1E"/>
    <w:rsid w:val="00E17FCA"/>
    <w:rsid w:val="00E20D2B"/>
    <w:rsid w:val="00E21BF1"/>
    <w:rsid w:val="00E2215C"/>
    <w:rsid w:val="00E23C5D"/>
    <w:rsid w:val="00E23DE2"/>
    <w:rsid w:val="00E254B0"/>
    <w:rsid w:val="00E2556B"/>
    <w:rsid w:val="00E25A51"/>
    <w:rsid w:val="00E25E37"/>
    <w:rsid w:val="00E25FE9"/>
    <w:rsid w:val="00E260FC"/>
    <w:rsid w:val="00E26644"/>
    <w:rsid w:val="00E2711C"/>
    <w:rsid w:val="00E2760C"/>
    <w:rsid w:val="00E31386"/>
    <w:rsid w:val="00E3289B"/>
    <w:rsid w:val="00E32EC1"/>
    <w:rsid w:val="00E33705"/>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D25"/>
    <w:rsid w:val="00E5549E"/>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7F"/>
    <w:rsid w:val="00E70549"/>
    <w:rsid w:val="00E70BC3"/>
    <w:rsid w:val="00E71DB3"/>
    <w:rsid w:val="00E721A0"/>
    <w:rsid w:val="00E73744"/>
    <w:rsid w:val="00E747C8"/>
    <w:rsid w:val="00E74C2D"/>
    <w:rsid w:val="00E74E79"/>
    <w:rsid w:val="00E755E8"/>
    <w:rsid w:val="00E767A6"/>
    <w:rsid w:val="00E76932"/>
    <w:rsid w:val="00E774A9"/>
    <w:rsid w:val="00E77713"/>
    <w:rsid w:val="00E77CBB"/>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2D1A"/>
    <w:rsid w:val="00EA3478"/>
    <w:rsid w:val="00EA4636"/>
    <w:rsid w:val="00EA47F8"/>
    <w:rsid w:val="00EA4A23"/>
    <w:rsid w:val="00EA4E42"/>
    <w:rsid w:val="00EA5041"/>
    <w:rsid w:val="00EA69EE"/>
    <w:rsid w:val="00EA6A51"/>
    <w:rsid w:val="00EA734F"/>
    <w:rsid w:val="00EA77AD"/>
    <w:rsid w:val="00EB0728"/>
    <w:rsid w:val="00EB0889"/>
    <w:rsid w:val="00EB0D09"/>
    <w:rsid w:val="00EB17DB"/>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C7CFC"/>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2D2"/>
    <w:rsid w:val="00EE547E"/>
    <w:rsid w:val="00EE56DC"/>
    <w:rsid w:val="00EE5B6C"/>
    <w:rsid w:val="00EE604E"/>
    <w:rsid w:val="00EE61E8"/>
    <w:rsid w:val="00EE6CBF"/>
    <w:rsid w:val="00EE6E63"/>
    <w:rsid w:val="00EE6EDF"/>
    <w:rsid w:val="00EE74C2"/>
    <w:rsid w:val="00EE754E"/>
    <w:rsid w:val="00EE7F79"/>
    <w:rsid w:val="00EF14C2"/>
    <w:rsid w:val="00EF2047"/>
    <w:rsid w:val="00EF2FCA"/>
    <w:rsid w:val="00EF3049"/>
    <w:rsid w:val="00EF4065"/>
    <w:rsid w:val="00EF40D0"/>
    <w:rsid w:val="00EF556B"/>
    <w:rsid w:val="00EF5BC9"/>
    <w:rsid w:val="00EF638E"/>
    <w:rsid w:val="00EF6C82"/>
    <w:rsid w:val="00EF706C"/>
    <w:rsid w:val="00EF7328"/>
    <w:rsid w:val="00F00025"/>
    <w:rsid w:val="00F018D1"/>
    <w:rsid w:val="00F01A26"/>
    <w:rsid w:val="00F01DD5"/>
    <w:rsid w:val="00F0215A"/>
    <w:rsid w:val="00F021BF"/>
    <w:rsid w:val="00F02C8A"/>
    <w:rsid w:val="00F03BEA"/>
    <w:rsid w:val="00F04508"/>
    <w:rsid w:val="00F04B99"/>
    <w:rsid w:val="00F05534"/>
    <w:rsid w:val="00F062A8"/>
    <w:rsid w:val="00F0651E"/>
    <w:rsid w:val="00F07694"/>
    <w:rsid w:val="00F07E13"/>
    <w:rsid w:val="00F10B98"/>
    <w:rsid w:val="00F10D61"/>
    <w:rsid w:val="00F10DC3"/>
    <w:rsid w:val="00F10F6C"/>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A79"/>
    <w:rsid w:val="00F23D02"/>
    <w:rsid w:val="00F23EBA"/>
    <w:rsid w:val="00F244AE"/>
    <w:rsid w:val="00F25B8B"/>
    <w:rsid w:val="00F25FA2"/>
    <w:rsid w:val="00F263FB"/>
    <w:rsid w:val="00F26DDA"/>
    <w:rsid w:val="00F30790"/>
    <w:rsid w:val="00F30B76"/>
    <w:rsid w:val="00F30C3E"/>
    <w:rsid w:val="00F31122"/>
    <w:rsid w:val="00F31286"/>
    <w:rsid w:val="00F31417"/>
    <w:rsid w:val="00F31B8B"/>
    <w:rsid w:val="00F31C76"/>
    <w:rsid w:val="00F322ED"/>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2529"/>
    <w:rsid w:val="00F43F9C"/>
    <w:rsid w:val="00F44513"/>
    <w:rsid w:val="00F44596"/>
    <w:rsid w:val="00F447F9"/>
    <w:rsid w:val="00F44997"/>
    <w:rsid w:val="00F44A6B"/>
    <w:rsid w:val="00F45F3F"/>
    <w:rsid w:val="00F46FEB"/>
    <w:rsid w:val="00F50CEE"/>
    <w:rsid w:val="00F51EE0"/>
    <w:rsid w:val="00F5217A"/>
    <w:rsid w:val="00F5229C"/>
    <w:rsid w:val="00F5255C"/>
    <w:rsid w:val="00F527DA"/>
    <w:rsid w:val="00F5305E"/>
    <w:rsid w:val="00F54375"/>
    <w:rsid w:val="00F54A2D"/>
    <w:rsid w:val="00F54DB6"/>
    <w:rsid w:val="00F55704"/>
    <w:rsid w:val="00F559F9"/>
    <w:rsid w:val="00F567D1"/>
    <w:rsid w:val="00F56D91"/>
    <w:rsid w:val="00F57477"/>
    <w:rsid w:val="00F603C4"/>
    <w:rsid w:val="00F607C2"/>
    <w:rsid w:val="00F609C5"/>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730A1"/>
    <w:rsid w:val="00F73ED3"/>
    <w:rsid w:val="00F74381"/>
    <w:rsid w:val="00F74906"/>
    <w:rsid w:val="00F74B02"/>
    <w:rsid w:val="00F75602"/>
    <w:rsid w:val="00F75630"/>
    <w:rsid w:val="00F75A31"/>
    <w:rsid w:val="00F75E61"/>
    <w:rsid w:val="00F75E94"/>
    <w:rsid w:val="00F764CD"/>
    <w:rsid w:val="00F76DC6"/>
    <w:rsid w:val="00F76E58"/>
    <w:rsid w:val="00F80835"/>
    <w:rsid w:val="00F80F06"/>
    <w:rsid w:val="00F8119A"/>
    <w:rsid w:val="00F8133F"/>
    <w:rsid w:val="00F81B96"/>
    <w:rsid w:val="00F82554"/>
    <w:rsid w:val="00F83143"/>
    <w:rsid w:val="00F84993"/>
    <w:rsid w:val="00F85775"/>
    <w:rsid w:val="00F87038"/>
    <w:rsid w:val="00F87669"/>
    <w:rsid w:val="00F87730"/>
    <w:rsid w:val="00F902DC"/>
    <w:rsid w:val="00F90479"/>
    <w:rsid w:val="00F9111D"/>
    <w:rsid w:val="00F91707"/>
    <w:rsid w:val="00F91ABD"/>
    <w:rsid w:val="00F923A6"/>
    <w:rsid w:val="00F92FDC"/>
    <w:rsid w:val="00F9358C"/>
    <w:rsid w:val="00F942F2"/>
    <w:rsid w:val="00F94EEB"/>
    <w:rsid w:val="00F94EFE"/>
    <w:rsid w:val="00F95F7C"/>
    <w:rsid w:val="00FA0F18"/>
    <w:rsid w:val="00FA14F6"/>
    <w:rsid w:val="00FA1676"/>
    <w:rsid w:val="00FA16DC"/>
    <w:rsid w:val="00FA2043"/>
    <w:rsid w:val="00FA3DF2"/>
    <w:rsid w:val="00FA49B5"/>
    <w:rsid w:val="00FA6322"/>
    <w:rsid w:val="00FA68C9"/>
    <w:rsid w:val="00FA71D1"/>
    <w:rsid w:val="00FA7609"/>
    <w:rsid w:val="00FA798E"/>
    <w:rsid w:val="00FA7DB6"/>
    <w:rsid w:val="00FB036B"/>
    <w:rsid w:val="00FB0B20"/>
    <w:rsid w:val="00FB1267"/>
    <w:rsid w:val="00FB1630"/>
    <w:rsid w:val="00FB1B56"/>
    <w:rsid w:val="00FB2166"/>
    <w:rsid w:val="00FB31EB"/>
    <w:rsid w:val="00FB3781"/>
    <w:rsid w:val="00FB37E4"/>
    <w:rsid w:val="00FB5E49"/>
    <w:rsid w:val="00FB6197"/>
    <w:rsid w:val="00FC0676"/>
    <w:rsid w:val="00FC18CA"/>
    <w:rsid w:val="00FC18E3"/>
    <w:rsid w:val="00FC20E6"/>
    <w:rsid w:val="00FC21CC"/>
    <w:rsid w:val="00FC2F43"/>
    <w:rsid w:val="00FC3FDE"/>
    <w:rsid w:val="00FC47FD"/>
    <w:rsid w:val="00FC49A0"/>
    <w:rsid w:val="00FC5079"/>
    <w:rsid w:val="00FC556C"/>
    <w:rsid w:val="00FC55B7"/>
    <w:rsid w:val="00FC57FC"/>
    <w:rsid w:val="00FC5F64"/>
    <w:rsid w:val="00FC6E39"/>
    <w:rsid w:val="00FD00C9"/>
    <w:rsid w:val="00FD05F8"/>
    <w:rsid w:val="00FD174D"/>
    <w:rsid w:val="00FD1E38"/>
    <w:rsid w:val="00FD1FAC"/>
    <w:rsid w:val="00FD40B5"/>
    <w:rsid w:val="00FD456D"/>
    <w:rsid w:val="00FD4C33"/>
    <w:rsid w:val="00FD54E6"/>
    <w:rsid w:val="00FD5828"/>
    <w:rsid w:val="00FD5F44"/>
    <w:rsid w:val="00FD75DE"/>
    <w:rsid w:val="00FD79D9"/>
    <w:rsid w:val="00FE0691"/>
    <w:rsid w:val="00FE09C0"/>
    <w:rsid w:val="00FE0AC1"/>
    <w:rsid w:val="00FE10D4"/>
    <w:rsid w:val="00FE13E6"/>
    <w:rsid w:val="00FE17AC"/>
    <w:rsid w:val="00FE237F"/>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7AB"/>
    <w:rsid w:val="00FF4EE4"/>
    <w:rsid w:val="00FF5107"/>
    <w:rsid w:val="00FF5575"/>
    <w:rsid w:val="00FF5A69"/>
    <w:rsid w:val="00FF604F"/>
    <w:rsid w:val="00FF66A9"/>
    <w:rsid w:val="00FF672E"/>
    <w:rsid w:val="00FF6915"/>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DD747CC"/>
  <w15:docId w15:val="{9656D01C-CA4B-4660-81C7-9EE3FE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uiPriority w:val="9"/>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26" Type="http://schemas.openxmlformats.org/officeDocument/2006/relationships/hyperlink" Target="https://jade.io/article/602136" TargetMode="External"/><Relationship Id="rId39" Type="http://schemas.openxmlformats.org/officeDocument/2006/relationships/hyperlink" Target="https://jade.io/article/75762" TargetMode="External"/><Relationship Id="rId21" Type="http://schemas.openxmlformats.org/officeDocument/2006/relationships/hyperlink" Target="https://jade.io/article/67250/section/140269" TargetMode="External"/><Relationship Id="rId34" Type="http://schemas.openxmlformats.org/officeDocument/2006/relationships/hyperlink" Target="https://jade.io/article/214796/section/6610"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 TargetMode="External"/><Relationship Id="rId50" Type="http://schemas.openxmlformats.org/officeDocument/2006/relationships/hyperlink" Target="https://jade.io/article/800857" TargetMode="External"/><Relationship Id="rId55" Type="http://schemas.openxmlformats.org/officeDocument/2006/relationships/hyperlink" Target="http://www.austlii.edu.au/cgi-bin/viewdoc/au/legis/vic/consol_act/cpa2009188/"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ade.io/article/119721" TargetMode="External"/><Relationship Id="rId20" Type="http://schemas.openxmlformats.org/officeDocument/2006/relationships/hyperlink" Target="https://jade.io/article/67250/section/140363" TargetMode="External"/><Relationship Id="rId29" Type="http://schemas.openxmlformats.org/officeDocument/2006/relationships/hyperlink" Target="https://jade.io/article/281699"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s412.html"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judicialcollege.vic.edu.au/resources/pocket-evidence-law" TargetMode="External"/><Relationship Id="rId53" Type="http://schemas.openxmlformats.org/officeDocument/2006/relationships/hyperlink" Target="https://www.courtsofnz.govt.nz/cases/par-v-sj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122435/section/215" TargetMode="External"/><Relationship Id="rId57" Type="http://schemas.openxmlformats.org/officeDocument/2006/relationships/image" Target="media/image1.wmf"/><Relationship Id="rId61" Type="http://schemas.openxmlformats.org/officeDocument/2006/relationships/footer" Target="footer2.xml"/><Relationship Id="rId10" Type="http://schemas.openxmlformats.org/officeDocument/2006/relationships/hyperlink" Target="https://jade.io/article/141882" TargetMode="External"/><Relationship Id="rId19" Type="http://schemas.openxmlformats.org/officeDocument/2006/relationships/hyperlink" Target="https://jade.io/article/67250" TargetMode="External"/><Relationship Id="rId31" Type="http://schemas.openxmlformats.org/officeDocument/2006/relationships/hyperlink" Target="https://jade.io/article/264351" TargetMode="External"/><Relationship Id="rId44" Type="http://schemas.openxmlformats.org/officeDocument/2006/relationships/hyperlink" Target="https://www.supremecourt.vic.gov.au/forms-fees-and-services/forms-templates-and-guidelines/guideline-responsible-use-of-ai-in-litigation" TargetMode="External"/><Relationship Id="rId52" Type="http://schemas.openxmlformats.org/officeDocument/2006/relationships/hyperlink" Target="https://www.judiciary.uk/wp-content/uploads/2025/02/Writing-to-Children--A-Judges-Toolkit-V1.7-1.pdf"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ade.io/citation/3082428"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64" Type="http://schemas.openxmlformats.org/officeDocument/2006/relationships/fontTable" Target="fontTable.xm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jade.io/article/800857/section/2615" TargetMode="External"/><Relationship Id="rId3" Type="http://schemas.openxmlformats.org/officeDocument/2006/relationships/styles" Target="styl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www.austlii.edu.au/cgi-bin/viewdoc/au/cases/vic/VCC/2025/592.html"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208</Pages>
  <Words>163356</Words>
  <Characters>798812</Characters>
  <Application>Microsoft Office Word</Application>
  <DocSecurity>0</DocSecurity>
  <Lines>12481</Lines>
  <Paragraphs>3788</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958380</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2025-08-18T01:05:00Z</cp:lastPrinted>
  <dcterms:created xsi:type="dcterms:W3CDTF">2026-01-05T21:22:00Z</dcterms:created>
  <dcterms:modified xsi:type="dcterms:W3CDTF">2026-01-05T21:22:00Z</dcterms:modified>
</cp:coreProperties>
</file>