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35DD5E73"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5DF12E70"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3A41C8F9"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1_Sections_356(3)," w:history="1">
        <w:r w:rsidRPr="00E25B40">
          <w:rPr>
            <w:rStyle w:val="Hyperlink"/>
            <w:rFonts w:ascii="Arial" w:hAnsi="Arial" w:cs="Arial"/>
            <w:b/>
            <w:bCs/>
            <w:color w:val="0000FF"/>
            <w:sz w:val="20"/>
            <w:u w:val="none"/>
          </w:rPr>
          <w:t>10.1.1</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356(3), 356(4) &amp; 356A of the CYFA</w:t>
        </w:r>
      </w:hyperlink>
    </w:p>
    <w:p w14:paraId="08C7D5D2"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2_Serious_youth" w:history="1">
        <w:r w:rsidRPr="00E25B40">
          <w:rPr>
            <w:rStyle w:val="Hyperlink"/>
            <w:rFonts w:ascii="Arial" w:hAnsi="Arial" w:cs="Arial"/>
            <w:b/>
            <w:bCs/>
            <w:color w:val="0000FF"/>
            <w:sz w:val="20"/>
            <w:u w:val="none"/>
          </w:rPr>
          <w:t>10.1.2</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356(6), 356(7) &amp; 356(8) of the CYFA</w:t>
        </w:r>
      </w:hyperlink>
    </w:p>
    <w:p w14:paraId="75629933" w14:textId="77777777" w:rsidR="000B23AE" w:rsidRPr="00E25B40" w:rsidRDefault="000B23AE" w:rsidP="001C3BD4">
      <w:pPr>
        <w:pBdr>
          <w:top w:val="single" w:sz="4" w:space="1" w:color="auto"/>
          <w:left w:val="single" w:sz="4" w:space="4" w:color="auto"/>
          <w:bottom w:val="single" w:sz="4" w:space="1" w:color="auto"/>
          <w:right w:val="single" w:sz="4" w:space="4" w:color="auto"/>
        </w:pBdr>
      </w:pPr>
      <w:r w:rsidRPr="00E25B40">
        <w:tab/>
      </w:r>
      <w:hyperlink w:anchor="_10.1.3_Summary_of" w:history="1">
        <w:r w:rsidRPr="00E25B40">
          <w:rPr>
            <w:rStyle w:val="Hyperlink"/>
            <w:rFonts w:ascii="Arial" w:hAnsi="Arial" w:cs="Arial"/>
            <w:b/>
            <w:bCs/>
            <w:color w:val="0000FF"/>
            <w:sz w:val="20"/>
            <w:u w:val="none"/>
          </w:rPr>
          <w:t>10.1.3</w:t>
        </w:r>
        <w:r w:rsidRPr="00E25B40">
          <w:rPr>
            <w:rStyle w:val="Hyperlink"/>
            <w:rFonts w:ascii="Arial" w:hAnsi="Arial" w:cs="Arial"/>
            <w:b/>
            <w:bCs/>
            <w:color w:val="0000FF"/>
            <w:sz w:val="20"/>
            <w:u w:val="none"/>
          </w:rPr>
          <w:tab/>
          <w:t>Summary of uplift provisions via committal – Section 356 of the CYFA</w:t>
        </w:r>
      </w:hyperlink>
    </w:p>
    <w:bookmarkStart w:id="20" w:name="_10.1.3_Summary_of_1"/>
    <w:bookmarkEnd w:id="20"/>
    <w:p w14:paraId="629C3768" w14:textId="77777777"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Pr="00E25B40">
        <w:instrText xml:space="preserve"> HYPERLINK  \l "_10.1.4_Whether_Uplift" </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 Category A &amp; Category B serious youth offences</w:t>
      </w:r>
      <w:r w:rsidRPr="00E25B40">
        <w:fldChar w:fldCharType="end"/>
      </w:r>
    </w:p>
    <w:p w14:paraId="1E06709E" w14:textId="0C4BF90C"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A61C65">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p>
    <w:bookmarkStart w:id="21" w:name="_10.1.6_Transfer_back"/>
    <w:bookmarkEnd w:id="21"/>
    <w:p w14:paraId="781B1D16" w14:textId="77777777"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063D41" w:rsidRPr="00E25B40">
        <w:rPr>
          <w:rStyle w:val="Hyperlink"/>
          <w:rFonts w:ascii="Arial" w:hAnsi="Arial" w:cs="Arial"/>
          <w:b/>
          <w:bCs/>
          <w:color w:val="0000FF"/>
          <w:sz w:val="20"/>
          <w:u w:val="none"/>
        </w:rPr>
        <w:t>Transfer back from Supreme or County Court to Children’s Court</w:t>
      </w:r>
    </w:p>
    <w:p w14:paraId="1C942F1A" w14:textId="28058C28"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of a 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77777777"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7B015D" w:rsidRPr="00E25B40">
          <w:rPr>
            <w:rStyle w:val="Hyperlink"/>
            <w:rFonts w:ascii="Arial" w:hAnsi="Arial" w:cs="Arial"/>
            <w:b/>
            <w:bCs/>
            <w:color w:val="0000FF"/>
            <w:sz w:val="20"/>
            <w:u w:val="none"/>
          </w:rPr>
          <w:t>s</w:t>
        </w:r>
      </w:hyperlink>
    </w:p>
    <w:p w14:paraId="561D80E5" w14:textId="33F3F014"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Natur</w:t>
        </w:r>
        <w:r w:rsidR="00634DDC">
          <w:rPr>
            <w:rStyle w:val="Hyperlink"/>
            <w:rFonts w:ascii="Arial" w:hAnsi="Arial" w:cs="Arial"/>
            <w:b/>
            <w:bCs/>
            <w:color w:val="0000FF"/>
            <w:sz w:val="20"/>
            <w:u w:val="none"/>
          </w:rPr>
          <w:t>e of committal proceeding</w:t>
        </w:r>
      </w:hyperlink>
    </w:p>
    <w:p w14:paraId="44E6C09C" w14:textId="77777777"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10.2.3</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procedure</w:t>
        </w:r>
      </w:hyperlink>
    </w:p>
    <w:p w14:paraId="6377FE55" w14:textId="77777777" w:rsidR="00821A45" w:rsidRPr="00E25B40" w:rsidRDefault="007B015D" w:rsidP="001C3BD4">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10.2.4</w:t>
        </w:r>
        <w:r w:rsidR="00821A45" w:rsidRPr="00E25B40">
          <w:rPr>
            <w:rStyle w:val="Hyperlink"/>
            <w:rFonts w:ascii="Arial" w:hAnsi="Arial" w:cs="Arial"/>
            <w:b/>
            <w:bCs/>
            <w:color w:val="0000FF"/>
            <w:sz w:val="20"/>
            <w:u w:val="none"/>
          </w:rPr>
          <w:tab/>
        </w:r>
        <w:r w:rsidR="00F1390F" w:rsidRPr="00E25B40">
          <w:rPr>
            <w:rStyle w:val="Hyperlink"/>
            <w:rFonts w:ascii="Arial" w:hAnsi="Arial" w:cs="Arial"/>
            <w:b/>
            <w:bCs/>
            <w:color w:val="0000FF"/>
            <w:sz w:val="20"/>
            <w:u w:val="none"/>
          </w:rPr>
          <w:t>Joi</w:t>
        </w:r>
        <w:r w:rsidR="00821A45" w:rsidRPr="00E25B40">
          <w:rPr>
            <w:rStyle w:val="Hyperlink"/>
            <w:rFonts w:ascii="Arial" w:hAnsi="Arial" w:cs="Arial"/>
            <w:b/>
            <w:bCs/>
            <w:color w:val="0000FF"/>
            <w:sz w:val="20"/>
            <w:u w:val="none"/>
          </w:rPr>
          <w:t xml:space="preserve">nt committal </w:t>
        </w:r>
        <w:r w:rsidR="00F1390F" w:rsidRPr="00E25B40">
          <w:rPr>
            <w:rStyle w:val="Hyperlink"/>
            <w:rFonts w:ascii="Arial" w:hAnsi="Arial" w:cs="Arial"/>
            <w:b/>
            <w:bCs/>
            <w:color w:val="0000FF"/>
            <w:sz w:val="20"/>
            <w:u w:val="none"/>
          </w:rPr>
          <w:t xml:space="preserve">proceedings </w:t>
        </w:r>
        <w:r w:rsidR="00821A45" w:rsidRPr="00E25B40">
          <w:rPr>
            <w:rStyle w:val="Hyperlink"/>
            <w:rFonts w:ascii="Arial" w:hAnsi="Arial" w:cs="Arial"/>
            <w:b/>
            <w:bCs/>
            <w:color w:val="0000FF"/>
            <w:sz w:val="20"/>
            <w:u w:val="none"/>
          </w:rPr>
          <w:t>for adult and child co-accused</w:t>
        </w:r>
      </w:hyperlink>
    </w:p>
    <w:p w14:paraId="0D64DEAB" w14:textId="2C5411C6"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 – Test for committing for trial</w:t>
        </w:r>
      </w:hyperlink>
    </w:p>
    <w:p w14:paraId="71BF0D27" w14:textId="77777777" w:rsidR="0039721E" w:rsidRPr="00E25B40" w:rsidRDefault="0039721E" w:rsidP="0039721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5D2BA1" w:rsidRPr="00E25B40">
        <w:rPr>
          <w:rFonts w:ascii="Arial" w:hAnsi="Arial" w:cs="Arial"/>
          <w:b/>
          <w:bCs/>
          <w:color w:val="0000FF"/>
          <w:sz w:val="20"/>
        </w:rPr>
        <w:fldChar w:fldCharType="begin"/>
      </w:r>
      <w:r w:rsidR="005D2BA1" w:rsidRPr="00E25B40">
        <w:rPr>
          <w:rFonts w:ascii="Arial" w:hAnsi="Arial" w:cs="Arial"/>
          <w:b/>
          <w:bCs/>
          <w:color w:val="0000FF"/>
          <w:sz w:val="20"/>
        </w:rPr>
        <w:instrText xml:space="preserve"> HYPERLINK  \l "_10.2.6_Effect_of" </w:instrText>
      </w:r>
      <w:r w:rsidR="005D2BA1" w:rsidRPr="00E25B40">
        <w:rPr>
          <w:rFonts w:ascii="Arial" w:hAnsi="Arial" w:cs="Arial"/>
          <w:b/>
          <w:bCs/>
          <w:color w:val="0000FF"/>
          <w:sz w:val="20"/>
        </w:rPr>
      </w:r>
      <w:r w:rsidR="005D2BA1"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10.2.</w:t>
      </w:r>
      <w:r w:rsidR="007162E2"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Effect of discharge after committal</w:t>
      </w:r>
    </w:p>
    <w:p w14:paraId="49687280" w14:textId="1EE4472C" w:rsidR="00D7335E" w:rsidRDefault="005D2BA1">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end"/>
      </w:r>
      <w:r w:rsidR="007B015D" w:rsidRPr="00E25B40">
        <w:rPr>
          <w:rFonts w:ascii="Arial" w:hAnsi="Arial" w:cs="Arial"/>
          <w:b/>
          <w:bCs/>
          <w:color w:val="0000FF"/>
          <w:sz w:val="20"/>
        </w:rPr>
        <w:tab/>
      </w:r>
      <w:hyperlink w:anchor="_10.2.7_Taking_evidence" w:history="1">
        <w:r w:rsidR="007B015D" w:rsidRPr="00E25B40">
          <w:rPr>
            <w:rStyle w:val="Hyperlink"/>
            <w:rFonts w:ascii="Arial" w:hAnsi="Arial" w:cs="Arial"/>
            <w:b/>
            <w:bCs/>
            <w:color w:val="0000FF"/>
            <w:sz w:val="20"/>
            <w:u w:val="none"/>
          </w:rPr>
          <w:t>10.2.</w:t>
        </w:r>
        <w:r w:rsidR="007162E2" w:rsidRPr="00E25B40">
          <w:rPr>
            <w:rStyle w:val="Hyperlink"/>
            <w:rFonts w:ascii="Arial" w:hAnsi="Arial" w:cs="Arial"/>
            <w:b/>
            <w:bCs/>
            <w:color w:val="0000FF"/>
            <w:sz w:val="20"/>
            <w:u w:val="none"/>
          </w:rPr>
          <w:t>7</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49A4D239" w14:textId="12C01656" w:rsidR="00634DDC" w:rsidRPr="009E1DB0" w:rsidRDefault="00634DDC" w:rsidP="00634DDC">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10.2.8</w:t>
        </w:r>
        <w:r w:rsidRPr="009E1DB0">
          <w:rPr>
            <w:rStyle w:val="Hyperlink"/>
            <w:rFonts w:ascii="Arial" w:hAnsi="Arial" w:cs="Arial"/>
            <w:b/>
            <w:bCs/>
            <w:color w:val="0000FF"/>
            <w:sz w:val="20"/>
            <w:u w:val="none"/>
          </w:rPr>
          <w:tab/>
          <w:t>Fast</w:t>
        </w:r>
        <w:r w:rsidR="00451308">
          <w:rPr>
            <w:rStyle w:val="Hyperlink"/>
            <w:rFonts w:ascii="Arial" w:hAnsi="Arial" w:cs="Arial"/>
            <w:b/>
            <w:bCs/>
            <w:color w:val="0000FF"/>
            <w:sz w:val="20"/>
            <w:u w:val="none"/>
          </w:rPr>
          <w:t>-</w:t>
        </w:r>
        <w:r w:rsidRPr="009E1DB0">
          <w:rPr>
            <w:rStyle w:val="Hyperlink"/>
            <w:rFonts w:ascii="Arial" w:hAnsi="Arial" w:cs="Arial"/>
            <w:b/>
            <w:bCs/>
            <w:color w:val="0000FF"/>
            <w:sz w:val="20"/>
            <w:u w:val="none"/>
          </w:rPr>
          <w:t xml:space="preserve">tracking of homicide </w:t>
        </w:r>
        <w:r w:rsidR="001A4B0E">
          <w:rPr>
            <w:rStyle w:val="Hyperlink"/>
            <w:rFonts w:ascii="Arial" w:hAnsi="Arial" w:cs="Arial"/>
            <w:b/>
            <w:bCs/>
            <w:color w:val="0000FF"/>
            <w:sz w:val="20"/>
            <w:u w:val="none"/>
          </w:rPr>
          <w:t>m</w:t>
        </w:r>
        <w:r w:rsidR="00451308">
          <w:rPr>
            <w:rStyle w:val="Hyperlink"/>
            <w:rFonts w:ascii="Arial" w:hAnsi="Arial" w:cs="Arial"/>
            <w:b/>
            <w:bCs/>
            <w:color w:val="0000FF"/>
            <w:sz w:val="20"/>
            <w:u w:val="none"/>
          </w:rPr>
          <w:t>a</w:t>
        </w:r>
        <w:r w:rsidR="001A4B0E">
          <w:rPr>
            <w:rStyle w:val="Hyperlink"/>
            <w:rFonts w:ascii="Arial" w:hAnsi="Arial" w:cs="Arial"/>
            <w:b/>
            <w:bCs/>
            <w:color w:val="0000FF"/>
            <w:sz w:val="20"/>
            <w:u w:val="none"/>
          </w:rPr>
          <w:t>tt</w:t>
        </w:r>
        <w:r w:rsidR="00451308">
          <w:rPr>
            <w:rStyle w:val="Hyperlink"/>
            <w:rFonts w:ascii="Arial" w:hAnsi="Arial" w:cs="Arial"/>
            <w:b/>
            <w:bCs/>
            <w:color w:val="0000FF"/>
            <w:sz w:val="20"/>
            <w:u w:val="none"/>
          </w:rPr>
          <w:t>e</w:t>
        </w:r>
        <w:r w:rsidR="001A4B0E">
          <w:rPr>
            <w:rStyle w:val="Hyperlink"/>
            <w:rFonts w:ascii="Arial" w:hAnsi="Arial" w:cs="Arial"/>
            <w:b/>
            <w:bCs/>
            <w:color w:val="0000FF"/>
            <w:sz w:val="20"/>
            <w:u w:val="none"/>
          </w:rPr>
          <w:t>r</w:t>
        </w:r>
        <w:r w:rsidRPr="009E1DB0">
          <w:rPr>
            <w:rStyle w:val="Hyperlink"/>
            <w:rFonts w:ascii="Arial" w:hAnsi="Arial" w:cs="Arial"/>
            <w:b/>
            <w:bCs/>
            <w:color w:val="0000FF"/>
            <w:sz w:val="20"/>
            <w:u w:val="none"/>
          </w:rPr>
          <w:t>s to the Supreme Court</w:t>
        </w:r>
      </w:hyperlink>
    </w:p>
    <w:p w14:paraId="368B34F5" w14:textId="35BD1240"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Non-compliance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A</w:t>
      </w:r>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Pre-conditions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 xml:space="preserve">Section 522A(1)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522A(2)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r>
        <w:rPr>
          <w:rFonts w:ascii="Arial" w:hAnsi="Arial" w:cs="Arial"/>
          <w:sz w:val="20"/>
        </w:rPr>
        <w:t>However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Sifris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viewed, but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 xml:space="preserve">[P]rosecuting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decided to re-examine. Common sense was jettisoned. This was an unnecessary and hazardous course. The prosecutor responded to defence counsel’s mild suggestion that the complainant was ‘making up’ his evidence, and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Default="00FF0BB4" w:rsidP="00FF0BB4">
      <w:pPr>
        <w:jc w:val="both"/>
        <w:rPr>
          <w:rFonts w:ascii="Arial" w:hAnsi="Arial" w:cs="Arial"/>
          <w:sz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Indeed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Default="0093352C" w:rsidP="00FF0BB4">
      <w:pPr>
        <w:jc w:val="both"/>
        <w:rPr>
          <w:rFonts w:ascii="Arial" w:hAnsi="Arial" w:cs="Arial"/>
          <w:sz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border controlled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 </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Default="00FF0BB4" w:rsidP="00FF0BB4">
      <w:pPr>
        <w:rPr>
          <w:rFonts w:ascii="Arial" w:hAnsi="Arial" w:cs="Arial"/>
          <w:sz w:val="20"/>
          <w:szCs w:val="20"/>
        </w:rPr>
      </w:pPr>
    </w:p>
    <w:p w14:paraId="7290AB1D" w14:textId="5748C1E1"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Pr>
          <w:rFonts w:ascii="Arial" w:hAnsi="Arial" w:cs="Arial"/>
          <w:sz w:val="20"/>
          <w:szCs w:val="20"/>
        </w:rPr>
        <w:t>.</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r w:rsidRPr="005C5E3E">
        <w:rPr>
          <w:rFonts w:ascii="Arial" w:hAnsi="Arial" w:cs="Arial"/>
          <w:b/>
          <w:bCs/>
          <w:sz w:val="20"/>
          <w:szCs w:val="16"/>
        </w:rPr>
        <w:lastRenderedPageBreak/>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applicant, and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so, and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70283C6E" w14:textId="0E48D13D" w:rsidR="00ED017F" w:rsidRDefault="00ED017F" w:rsidP="00ED017F">
      <w:pPr>
        <w:pStyle w:val="Heading2"/>
        <w:tabs>
          <w:tab w:val="left" w:pos="567"/>
        </w:tabs>
        <w:spacing w:line="240" w:lineRule="auto"/>
        <w:rPr>
          <w:rFonts w:ascii="Arial" w:hAnsi="Arial" w:cs="Arial"/>
          <w:b/>
          <w:bCs/>
        </w:rPr>
      </w:pPr>
      <w:bookmarkStart w:id="48" w:name="_10.1_Indictable_offences"/>
      <w:bookmarkEnd w:id="48"/>
      <w:r>
        <w:rPr>
          <w:rFonts w:ascii="Arial" w:hAnsi="Arial" w:cs="Arial"/>
          <w:b/>
          <w:bCs/>
        </w:rPr>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w:t>
      </w:r>
      <w:r w:rsidR="00C27389">
        <w:rPr>
          <w:rFonts w:ascii="Arial" w:hAnsi="Arial" w:cs="Arial"/>
          <w:color w:val="000000"/>
          <w:sz w:val="20"/>
        </w:rPr>
        <w:lastRenderedPageBreak/>
        <w:t xml:space="preserve">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Children, Youth and Families Act 2005 (‘CYFA’) and also a ‘young offender’ as defined under </w:t>
      </w:r>
      <w:r>
        <w:rPr>
          <w:rFonts w:ascii="Arial" w:hAnsi="Arial" w:cs="Arial"/>
          <w:sz w:val="20"/>
          <w:szCs w:val="20"/>
        </w:rPr>
        <w:t xml:space="preserve">s.3(1) of </w:t>
      </w:r>
      <w:r w:rsidRPr="00691A66">
        <w:rPr>
          <w:rFonts w:ascii="Arial" w:hAnsi="Arial" w:cs="Arial"/>
          <w:sz w:val="20"/>
          <w:szCs w:val="20"/>
        </w:rPr>
        <w:t>the Sentencing Act 1991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exist</w:t>
      </w:r>
      <w:r w:rsidR="00E637A9">
        <w:rPr>
          <w:rFonts w:ascii="Arial" w:hAnsi="Arial" w:cs="Arial"/>
          <w:sz w:val="20"/>
          <w:szCs w:val="20"/>
        </w:rPr>
        <w:t>: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5C9F14D7" w14:textId="48E3EED7" w:rsidR="00407B99"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r w:rsidR="00407B99">
        <w:rPr>
          <w:rFonts w:ascii="Arial" w:hAnsi="Arial" w:cs="Arial"/>
          <w:sz w:val="20"/>
        </w:rPr>
        <w:t xml:space="preserve">  </w:t>
      </w:r>
      <w:r w:rsidR="006E4C1D">
        <w:rPr>
          <w:rFonts w:ascii="Arial" w:hAnsi="Arial" w:cs="Arial"/>
          <w:sz w:val="20"/>
        </w:rPr>
        <w:t xml:space="preserve">However, </w:t>
      </w:r>
      <w:r w:rsidR="00407B99">
        <w:rPr>
          <w:rFonts w:ascii="Arial" w:hAnsi="Arial" w:cs="Arial"/>
          <w:sz w:val="20"/>
        </w:rPr>
        <w:t xml:space="preserve">significant amendments </w:t>
      </w:r>
      <w:r w:rsidR="00931C00">
        <w:rPr>
          <w:rFonts w:ascii="Arial" w:hAnsi="Arial" w:cs="Arial"/>
          <w:sz w:val="20"/>
        </w:rPr>
        <w:t>were</w:t>
      </w:r>
      <w:r w:rsidR="00407B99">
        <w:rPr>
          <w:rFonts w:ascii="Arial" w:hAnsi="Arial" w:cs="Arial"/>
          <w:sz w:val="20"/>
        </w:rPr>
        <w:t xml:space="preserve"> made </w:t>
      </w:r>
      <w:r w:rsidR="00931C00">
        <w:rPr>
          <w:rFonts w:ascii="Arial" w:hAnsi="Arial" w:cs="Arial"/>
          <w:sz w:val="20"/>
        </w:rPr>
        <w:t xml:space="preserve">to s.356(6) of the CYFA by Act No. 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over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r w:rsidR="005E3696">
        <w:rPr>
          <w:rFonts w:ascii="Arial" w:hAnsi="Arial" w:cs="Arial"/>
          <w:color w:val="000000"/>
          <w:sz w:val="20"/>
        </w:rPr>
        <w:t>16 &amp; 17 year olds</w:t>
      </w:r>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5DEF63BB" w14:textId="77777777" w:rsidR="00407B99" w:rsidRDefault="00407B99">
      <w:pPr>
        <w:jc w:val="both"/>
        <w:rPr>
          <w:rFonts w:ascii="Arial" w:hAnsi="Arial" w:cs="Arial"/>
          <w:sz w:val="20"/>
        </w:rPr>
      </w:pPr>
    </w:p>
    <w:p w14:paraId="43D1DECA" w14:textId="77777777" w:rsidR="004F74C3" w:rsidRPr="005C5E3E" w:rsidRDefault="004F74C3" w:rsidP="005C5E3E">
      <w:pPr>
        <w:pStyle w:val="Heading3"/>
        <w:spacing w:line="240" w:lineRule="auto"/>
        <w:rPr>
          <w:rFonts w:ascii="Arial" w:hAnsi="Arial" w:cs="Arial"/>
          <w:b/>
          <w:bCs/>
          <w:sz w:val="20"/>
          <w:szCs w:val="16"/>
        </w:rPr>
      </w:pPr>
      <w:bookmarkStart w:id="49" w:name="_10.1.1_Sections_356(3),"/>
      <w:bookmarkEnd w:id="49"/>
      <w:r w:rsidRPr="005C5E3E">
        <w:rPr>
          <w:rFonts w:ascii="Arial" w:hAnsi="Arial" w:cs="Arial"/>
          <w:b/>
          <w:bCs/>
          <w:sz w:val="20"/>
          <w:szCs w:val="16"/>
        </w:rPr>
        <w:t>10.1.1</w:t>
      </w:r>
      <w:r w:rsidRPr="005C5E3E">
        <w:rPr>
          <w:rFonts w:ascii="Arial" w:hAnsi="Arial" w:cs="Arial"/>
          <w:b/>
          <w:bCs/>
          <w:sz w:val="20"/>
          <w:szCs w:val="16"/>
        </w:rPr>
        <w:tab/>
        <w:t>Sections 356(3)</w:t>
      </w:r>
      <w:r w:rsidR="00BF48A7" w:rsidRPr="005C5E3E">
        <w:rPr>
          <w:rFonts w:ascii="Arial" w:hAnsi="Arial" w:cs="Arial"/>
          <w:b/>
          <w:bCs/>
          <w:sz w:val="20"/>
          <w:szCs w:val="16"/>
        </w:rPr>
        <w:t xml:space="preserve">, </w:t>
      </w:r>
      <w:r w:rsidRPr="005C5E3E">
        <w:rPr>
          <w:rFonts w:ascii="Arial" w:hAnsi="Arial" w:cs="Arial"/>
          <w:b/>
          <w:bCs/>
          <w:sz w:val="20"/>
          <w:szCs w:val="16"/>
        </w:rPr>
        <w:t>356(4)</w:t>
      </w:r>
      <w:r w:rsidR="00BF48A7" w:rsidRPr="005C5E3E">
        <w:rPr>
          <w:rFonts w:ascii="Arial" w:hAnsi="Arial" w:cs="Arial"/>
          <w:b/>
          <w:bCs/>
          <w:sz w:val="20"/>
          <w:szCs w:val="16"/>
        </w:rPr>
        <w:t xml:space="preserve"> &amp; 356A of the CYFA</w:t>
      </w:r>
    </w:p>
    <w:p w14:paraId="655CCDC3" w14:textId="77777777" w:rsidR="00D7335E" w:rsidRDefault="00D7335E" w:rsidP="004F74C3">
      <w:pPr>
        <w:spacing w:before="120"/>
        <w:jc w:val="both"/>
        <w:rPr>
          <w:rFonts w:ascii="Arial" w:hAnsi="Arial" w:cs="Arial"/>
          <w:sz w:val="20"/>
        </w:rPr>
      </w:pPr>
      <w:r>
        <w:rPr>
          <w:rFonts w:ascii="Arial" w:hAnsi="Arial" w:cs="Arial"/>
          <w:sz w:val="20"/>
        </w:rPr>
        <w:t>Under s</w:t>
      </w:r>
      <w:r w:rsidR="00617FC3">
        <w:rPr>
          <w:rFonts w:ascii="Arial" w:hAnsi="Arial" w:cs="Arial"/>
          <w:sz w:val="20"/>
        </w:rPr>
        <w:t>s</w:t>
      </w:r>
      <w:r>
        <w:rPr>
          <w:rFonts w:ascii="Arial" w:hAnsi="Arial" w:cs="Arial"/>
          <w:sz w:val="20"/>
        </w:rPr>
        <w:t>.</w:t>
      </w:r>
      <w:r w:rsidR="00617FC3">
        <w:rPr>
          <w:rFonts w:ascii="Arial" w:hAnsi="Arial" w:cs="Arial"/>
          <w:sz w:val="20"/>
        </w:rPr>
        <w:t>356</w:t>
      </w:r>
      <w:r>
        <w:rPr>
          <w:rFonts w:ascii="Arial" w:hAnsi="Arial" w:cs="Arial"/>
          <w:sz w:val="20"/>
        </w:rPr>
        <w:t xml:space="preserve">(3) </w:t>
      </w:r>
      <w:r w:rsidR="00617FC3">
        <w:rPr>
          <w:rFonts w:ascii="Arial" w:hAnsi="Arial" w:cs="Arial"/>
          <w:sz w:val="20"/>
        </w:rPr>
        <w:t xml:space="preserve">&amp; 356(4) </w:t>
      </w:r>
      <w:r>
        <w:rPr>
          <w:rFonts w:ascii="Arial" w:hAnsi="Arial" w:cs="Arial"/>
          <w:sz w:val="20"/>
        </w:rPr>
        <w:t xml:space="preserve">of the </w:t>
      </w:r>
      <w:r w:rsidR="007579A7">
        <w:rPr>
          <w:rFonts w:ascii="Arial" w:hAnsi="Arial" w:cs="Arial"/>
          <w:iCs/>
          <w:color w:val="000000"/>
          <w:sz w:val="20"/>
        </w:rPr>
        <w:t>CYFA</w:t>
      </w:r>
      <w:r>
        <w:rPr>
          <w:rFonts w:ascii="Arial" w:hAnsi="Arial" w:cs="Arial"/>
          <w:color w:val="000000"/>
          <w:sz w:val="20"/>
        </w:rPr>
        <w:t xml:space="preserve">, </w:t>
      </w:r>
      <w:r>
        <w:rPr>
          <w:rFonts w:ascii="Arial" w:hAnsi="Arial" w:cs="Arial"/>
          <w:sz w:val="20"/>
        </w:rPr>
        <w:t xml:space="preserve">the Court must hear and determine summarily any charge for an indictable offence </w:t>
      </w:r>
      <w:r w:rsidRPr="00BC5206">
        <w:rPr>
          <w:rFonts w:ascii="Arial" w:hAnsi="Arial" w:cs="Arial"/>
          <w:sz w:val="20"/>
          <w:shd w:val="clear" w:color="auto" w:fill="EAEAEA"/>
        </w:rPr>
        <w:t xml:space="preserve">other than one of the </w:t>
      </w:r>
      <w:r w:rsidR="00F63F5B">
        <w:rPr>
          <w:rFonts w:ascii="Arial" w:hAnsi="Arial" w:cs="Arial"/>
          <w:sz w:val="20"/>
          <w:shd w:val="clear" w:color="auto" w:fill="EAEAEA"/>
        </w:rPr>
        <w:t>seven</w:t>
      </w:r>
      <w:r w:rsidRPr="00BC5206">
        <w:rPr>
          <w:rFonts w:ascii="Arial" w:hAnsi="Arial" w:cs="Arial"/>
          <w:sz w:val="20"/>
          <w:shd w:val="clear" w:color="auto" w:fill="EAEAEA"/>
        </w:rPr>
        <w:t xml:space="preserve"> death offences </w:t>
      </w:r>
      <w:r w:rsidR="00617FC3" w:rsidRPr="00BC5206">
        <w:rPr>
          <w:rFonts w:ascii="Arial" w:hAnsi="Arial" w:cs="Arial"/>
          <w:sz w:val="20"/>
          <w:shd w:val="clear" w:color="auto" w:fill="EAEAEA"/>
        </w:rPr>
        <w:t xml:space="preserve">(murder, attempted murder, manslaughter, </w:t>
      </w:r>
      <w:r w:rsidR="00526B7F" w:rsidRPr="00BC5206">
        <w:rPr>
          <w:rFonts w:ascii="Arial" w:hAnsi="Arial" w:cs="Arial"/>
          <w:sz w:val="20"/>
          <w:shd w:val="clear" w:color="auto" w:fill="EAEAEA"/>
        </w:rPr>
        <w:t xml:space="preserve">child homicide, </w:t>
      </w:r>
      <w:r w:rsidR="00F63F5B">
        <w:rPr>
          <w:rFonts w:ascii="Arial" w:hAnsi="Arial" w:cs="Arial"/>
          <w:sz w:val="20"/>
          <w:shd w:val="clear" w:color="auto" w:fill="EAEAEA"/>
        </w:rPr>
        <w:t xml:space="preserve">homicide by firearm, </w:t>
      </w:r>
      <w:r w:rsidR="00617FC3" w:rsidRPr="00BC5206">
        <w:rPr>
          <w:rFonts w:ascii="Arial" w:hAnsi="Arial" w:cs="Arial"/>
          <w:sz w:val="20"/>
          <w:shd w:val="clear" w:color="auto" w:fill="EAEAEA"/>
        </w:rPr>
        <w:t>arson causing death, culpable driving causing death)</w:t>
      </w:r>
      <w:r w:rsidR="00617FC3">
        <w:rPr>
          <w:rFonts w:ascii="Arial" w:hAnsi="Arial" w:cs="Arial"/>
          <w:sz w:val="20"/>
        </w:rPr>
        <w:t xml:space="preserve"> </w:t>
      </w:r>
      <w:r>
        <w:rPr>
          <w:rFonts w:ascii="Arial" w:hAnsi="Arial" w:cs="Arial"/>
          <w:sz w:val="20"/>
        </w:rPr>
        <w:t>unless:</w:t>
      </w:r>
    </w:p>
    <w:p w14:paraId="344E9EA3" w14:textId="77777777" w:rsidR="00617FC3" w:rsidRDefault="00D7335E" w:rsidP="00ED4766">
      <w:pPr>
        <w:ind w:left="454" w:hanging="454"/>
        <w:jc w:val="both"/>
        <w:rPr>
          <w:rFonts w:ascii="Arial" w:hAnsi="Arial" w:cs="Arial"/>
          <w:sz w:val="20"/>
        </w:rPr>
      </w:pPr>
      <w:r>
        <w:rPr>
          <w:rFonts w:ascii="Arial" w:hAnsi="Arial" w:cs="Arial"/>
          <w:sz w:val="20"/>
        </w:rPr>
        <w:t>(a)</w:t>
      </w:r>
      <w:r>
        <w:rPr>
          <w:rFonts w:ascii="Arial" w:hAnsi="Arial" w:cs="Arial"/>
          <w:sz w:val="20"/>
        </w:rPr>
        <w:tab/>
      </w:r>
      <w:r w:rsidR="00617FC3">
        <w:rPr>
          <w:rFonts w:ascii="Arial" w:hAnsi="Arial" w:cs="Arial"/>
          <w:sz w:val="20"/>
        </w:rPr>
        <w:t>before the hearing of any evidence the child objects or</w:t>
      </w:r>
      <w:r w:rsidR="00157F2E">
        <w:rPr>
          <w:rFonts w:ascii="Arial" w:hAnsi="Arial" w:cs="Arial"/>
          <w:sz w:val="20"/>
        </w:rPr>
        <w:t>,</w:t>
      </w:r>
      <w:r w:rsidR="00617FC3">
        <w:rPr>
          <w:rFonts w:ascii="Arial" w:hAnsi="Arial" w:cs="Arial"/>
          <w:sz w:val="20"/>
        </w:rPr>
        <w:t xml:space="preserve"> if the child is under the age of 15 and is not legally represented</w:t>
      </w:r>
      <w:r w:rsidR="00157F2E">
        <w:rPr>
          <w:rFonts w:ascii="Arial" w:hAnsi="Arial" w:cs="Arial"/>
          <w:sz w:val="20"/>
        </w:rPr>
        <w:t>,</w:t>
      </w:r>
      <w:r w:rsidR="00617FC3">
        <w:rPr>
          <w:rFonts w:ascii="Arial" w:hAnsi="Arial" w:cs="Arial"/>
          <w:sz w:val="20"/>
        </w:rPr>
        <w:t xml:space="preserve"> a parent objects on the child’s behalf; or</w:t>
      </w:r>
    </w:p>
    <w:p w14:paraId="4728A32A" w14:textId="77777777" w:rsidR="007579A7" w:rsidRDefault="007579A7" w:rsidP="00A35615">
      <w:pPr>
        <w:ind w:left="454" w:hanging="454"/>
        <w:jc w:val="both"/>
        <w:rPr>
          <w:rFonts w:ascii="Arial" w:hAnsi="Arial" w:cs="Arial"/>
          <w:sz w:val="20"/>
        </w:rPr>
      </w:pPr>
      <w:r>
        <w:rPr>
          <w:rFonts w:ascii="Arial" w:hAnsi="Arial" w:cs="Arial"/>
          <w:sz w:val="20"/>
        </w:rPr>
        <w:t>(ab)</w:t>
      </w:r>
      <w:r>
        <w:rPr>
          <w:rFonts w:ascii="Arial" w:hAnsi="Arial" w:cs="Arial"/>
          <w:sz w:val="20"/>
        </w:rPr>
        <w:tab/>
        <w:t>s</w:t>
      </w:r>
      <w:r w:rsidR="00144475">
        <w:rPr>
          <w:rFonts w:ascii="Arial" w:hAnsi="Arial" w:cs="Arial"/>
          <w:sz w:val="20"/>
        </w:rPr>
        <w:t xml:space="preserve">ection </w:t>
      </w:r>
      <w:r>
        <w:rPr>
          <w:rFonts w:ascii="Arial" w:hAnsi="Arial" w:cs="Arial"/>
          <w:sz w:val="20"/>
        </w:rPr>
        <w:t>356(6) applies; or</w:t>
      </w:r>
    </w:p>
    <w:p w14:paraId="7D0854D3" w14:textId="77777777" w:rsidR="00617FC3" w:rsidRDefault="00D7335E" w:rsidP="00A35615">
      <w:pPr>
        <w:ind w:left="454" w:hanging="454"/>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r w:rsidR="00617FC3">
        <w:rPr>
          <w:rFonts w:ascii="Arial" w:hAnsi="Arial" w:cs="Arial"/>
          <w:sz w:val="20"/>
        </w:rPr>
        <w:t>.</w:t>
      </w:r>
    </w:p>
    <w:p w14:paraId="43AB294C" w14:textId="77777777" w:rsidR="00984BFD" w:rsidRDefault="00984BFD" w:rsidP="00984BFD">
      <w:pPr>
        <w:jc w:val="both"/>
        <w:rPr>
          <w:rFonts w:ascii="Arial" w:hAnsi="Arial" w:cs="Arial"/>
          <w:sz w:val="20"/>
        </w:rPr>
      </w:pPr>
      <w:r>
        <w:rPr>
          <w:rFonts w:ascii="Arial" w:hAnsi="Arial" w:cs="Arial"/>
          <w:sz w:val="20"/>
        </w:rPr>
        <w:t xml:space="preserve">It is virtually unprecedented for a child or parent to object to a summary hearing.  Prior to the introduction of s.356(6), it had been quite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23FE0C4B" w14:textId="77777777" w:rsidR="00C06AC3" w:rsidRDefault="00BC5206" w:rsidP="004F74C3">
      <w:pPr>
        <w:jc w:val="both"/>
        <w:rPr>
          <w:rFonts w:ascii="Arial" w:hAnsi="Arial" w:cs="Arial"/>
          <w:sz w:val="20"/>
        </w:rPr>
      </w:pPr>
      <w:r>
        <w:rPr>
          <w:rFonts w:ascii="Arial" w:hAnsi="Arial" w:cs="Arial"/>
          <w:sz w:val="20"/>
        </w:rPr>
        <w:t xml:space="preserve">Section </w:t>
      </w:r>
      <w:r w:rsidR="00C06AC3">
        <w:rPr>
          <w:rFonts w:ascii="Arial" w:hAnsi="Arial" w:cs="Arial"/>
          <w:sz w:val="20"/>
        </w:rPr>
        <w:t xml:space="preserve">356A(1) </w:t>
      </w:r>
      <w:r>
        <w:rPr>
          <w:rFonts w:ascii="Arial" w:hAnsi="Arial" w:cs="Arial"/>
          <w:sz w:val="20"/>
        </w:rPr>
        <w:t xml:space="preserve">– introduced on 26/02/2018 – </w:t>
      </w:r>
      <w:r w:rsidR="00C06AC3">
        <w:rPr>
          <w:rFonts w:ascii="Arial" w:hAnsi="Arial" w:cs="Arial"/>
          <w:sz w:val="20"/>
        </w:rPr>
        <w:t>provides</w:t>
      </w:r>
      <w:r>
        <w:rPr>
          <w:rFonts w:ascii="Arial" w:hAnsi="Arial" w:cs="Arial"/>
          <w:sz w:val="20"/>
        </w:rPr>
        <w:t xml:space="preserve"> </w:t>
      </w:r>
      <w:r w:rsidR="00C06AC3">
        <w:rPr>
          <w:rFonts w:ascii="Arial" w:hAnsi="Arial" w:cs="Arial"/>
          <w:sz w:val="20"/>
        </w:rPr>
        <w:t>that for the purposes of s.356(3)(b) exceptional circumstances exist if the Court considers that the sentencing options available under the CYFA are inadequate to respond to the child’s offending.  In determining whether the sentencing options are inadequate s.3</w:t>
      </w:r>
      <w:r w:rsidR="00E77728">
        <w:rPr>
          <w:rFonts w:ascii="Arial" w:hAnsi="Arial" w:cs="Arial"/>
          <w:sz w:val="20"/>
        </w:rPr>
        <w:t>56</w:t>
      </w:r>
      <w:r w:rsidR="00C06AC3">
        <w:rPr>
          <w:rFonts w:ascii="Arial" w:hAnsi="Arial" w:cs="Arial"/>
          <w:sz w:val="20"/>
        </w:rPr>
        <w:t>A(2) requires the Court to have regard to-</w:t>
      </w:r>
    </w:p>
    <w:p w14:paraId="642A5D34" w14:textId="77777777" w:rsidR="00C06AC3" w:rsidRDefault="00C06AC3" w:rsidP="00C06AC3">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8468A6D" w14:textId="77777777" w:rsidR="00C06AC3" w:rsidRDefault="00C06AC3" w:rsidP="00C06AC3">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5395F13" w14:textId="77777777" w:rsidR="00C06AC3" w:rsidRDefault="00C06AC3" w:rsidP="00C06AC3">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15012FD3" w14:textId="77777777" w:rsidR="00C06AC3" w:rsidRDefault="00C06AC3" w:rsidP="00C06AC3">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699475E9" w14:textId="77777777" w:rsidR="00C06AC3" w:rsidRDefault="00C06AC3" w:rsidP="00C06AC3">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7F7C57B0" w14:textId="77777777" w:rsidR="00C06AC3" w:rsidRDefault="00C06AC3" w:rsidP="00C06AC3">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603CF84A" w14:textId="77777777" w:rsidR="004F74C3" w:rsidRDefault="004F74C3" w:rsidP="004F74C3">
      <w:pPr>
        <w:jc w:val="both"/>
        <w:rPr>
          <w:rFonts w:ascii="Arial" w:hAnsi="Arial" w:cs="Arial"/>
          <w:sz w:val="20"/>
        </w:rPr>
      </w:pPr>
    </w:p>
    <w:p w14:paraId="1E0E2ABE" w14:textId="7DD8FE2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in 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0B0563">
        <w:rPr>
          <w:rFonts w:ascii="Arial" w:hAnsi="Arial" w:cs="Arial"/>
          <w:sz w:val="20"/>
        </w:rPr>
        <w:t xml:space="preserve">and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 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 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lastRenderedPageBreak/>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544AB6F3"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noted the requirement that consent to jurisdiction must be “informed consent”, saying at [45]-[48]:</w:t>
      </w:r>
    </w:p>
    <w:p w14:paraId="7C370B61" w14:textId="3E509E4B"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 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73305CE0"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Having regard to the material placed before me, and in particular to Dr 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 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 Peers’s evidence that, once she became aware that the Magistrates’ Court’s jurisdiction depended on her consent to the charges being heard and determined summarily, she did not thereafter consent to that occurring.</w:t>
      </w:r>
    </w:p>
    <w:p w14:paraId="057A3101" w14:textId="6DBF82F0"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I have formed these views not just because of what Dr Peers has sworn in her affidavit (on which she was not cross-examined), but also because of the broader context in which the appearances in the Magstrates’ Court took place.  Dr 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 Peers provided an informed consent to the Magistrates’ Court’s determining the charges summarily but has now changed her mind or has forgotten that she did so.</w:t>
      </w:r>
    </w:p>
    <w:p w14:paraId="57160A3A" w14:textId="39830739"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[48] </w:t>
      </w:r>
      <w:r w:rsidRPr="003C5782">
        <w:rPr>
          <w:rFonts w:ascii="Arial" w:hAnsi="Arial" w:cs="Arial"/>
          <w:sz w:val="20"/>
          <w:szCs w:val="20"/>
        </w:rPr>
        <w:t xml:space="preserve">I make no criticism of the Magistrate.  Dr Peers is an educated person and the Magistrate likely had no reason to make more enquiries of Dr Peers than she did, even though Dr Peers was not legally represented.  But, as noted above, the question is not whether the Magistrate was wrong to form the view on the material before her that Dr Peers consented, but whether, on the material before me including the affidavit that was not before the Magistrate, Dr 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4133A57" w14:textId="77777777" w:rsidR="000B16A7" w:rsidRDefault="000B16A7" w:rsidP="004F74C3">
      <w:pPr>
        <w:jc w:val="both"/>
        <w:rPr>
          <w:rFonts w:ascii="Arial" w:hAnsi="Arial" w:cs="Arial"/>
          <w:sz w:val="20"/>
        </w:rPr>
      </w:pPr>
    </w:p>
    <w:p w14:paraId="6ABDD2CF" w14:textId="77777777" w:rsidR="000F325B" w:rsidRDefault="000F325B" w:rsidP="000F325B">
      <w:pPr>
        <w:jc w:val="both"/>
        <w:rPr>
          <w:rFonts w:ascii="Arial" w:hAnsi="Arial" w:cs="Arial"/>
          <w:sz w:val="20"/>
        </w:rPr>
      </w:pPr>
      <w:r>
        <w:rPr>
          <w:rFonts w:ascii="Arial" w:hAnsi="Arial" w:cs="Arial"/>
          <w:sz w:val="20"/>
        </w:rPr>
        <w:lastRenderedPageBreak/>
        <w:t xml:space="preserve">There is another significant difference between s.356 of the CYFA which deals with proceedings in the Children’s Court and ss.29 &amp; 30 of the </w:t>
      </w:r>
      <w:r w:rsidR="001D7376">
        <w:rPr>
          <w:rFonts w:ascii="Arial" w:hAnsi="Arial" w:cs="Arial"/>
          <w:sz w:val="20"/>
        </w:rPr>
        <w:t>CPA</w:t>
      </w:r>
      <w:r>
        <w:rPr>
          <w:rFonts w:ascii="Arial" w:hAnsi="Arial" w:cs="Arial"/>
          <w:sz w:val="20"/>
        </w:rPr>
        <w:t xml:space="preserve"> which deal with proceedings in the Magistrates’ Court.  Section 356(3)(b) of the CYFA empowers the Children’s Court to refuse to hear and determine summarily any charge for an indictable offence for which it has jurisdiction if </w:t>
      </w:r>
      <w:r w:rsidRPr="00DD02B6">
        <w:rPr>
          <w:rFonts w:ascii="Arial" w:hAnsi="Arial" w:cs="Arial"/>
          <w:b/>
          <w:sz w:val="20"/>
          <w:u w:val="single"/>
        </w:rPr>
        <w:t>at any stage</w:t>
      </w:r>
      <w:r>
        <w:rPr>
          <w:rFonts w:ascii="Arial" w:hAnsi="Arial" w:cs="Arial"/>
          <w:sz w:val="20"/>
        </w:rPr>
        <w:t xml:space="preserve"> the Court considers that the charge is unsuitable by reason of exceptional circumstances to be determined summarily.  The power of a Magistrate to refuse to hear and determine an indictable </w:t>
      </w:r>
      <w:r w:rsidRPr="00491118">
        <w:rPr>
          <w:rFonts w:ascii="Arial" w:hAnsi="Arial" w:cs="Arial"/>
          <w:sz w:val="20"/>
          <w:szCs w:val="20"/>
        </w:rPr>
        <w:t xml:space="preserve">offence summarily </w:t>
      </w:r>
      <w:r>
        <w:rPr>
          <w:rFonts w:ascii="Arial" w:hAnsi="Arial" w:cs="Arial"/>
          <w:sz w:val="20"/>
          <w:szCs w:val="20"/>
        </w:rPr>
        <w:t xml:space="preserve">in the Magistrates’ Court </w:t>
      </w:r>
      <w:r w:rsidRPr="00491118">
        <w:rPr>
          <w:rFonts w:ascii="Arial" w:hAnsi="Arial" w:cs="Arial"/>
          <w:sz w:val="20"/>
          <w:szCs w:val="20"/>
        </w:rPr>
        <w:t xml:space="preserve">is much more restricted.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involving an adult accused for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 xml:space="preserve">summary contest.  However, on the morning of the second day, that Magistrate </w:t>
      </w:r>
      <w:r>
        <w:rPr>
          <w:rFonts w:ascii="Arial" w:hAnsi="Arial" w:cs="Arial"/>
          <w:sz w:val="20"/>
          <w:szCs w:val="20"/>
        </w:rPr>
        <w:t>discontinued</w:t>
      </w:r>
      <w:r w:rsidRPr="00886936">
        <w:rPr>
          <w:rFonts w:ascii="Arial" w:hAnsi="Arial" w:cs="Arial"/>
          <w:sz w:val="20"/>
          <w:szCs w:val="20"/>
        </w:rPr>
        <w:t xml:space="preserve"> the summary hearing and </w:t>
      </w:r>
      <w:r>
        <w:rPr>
          <w:rFonts w:ascii="Arial" w:hAnsi="Arial" w:cs="Arial"/>
          <w:sz w:val="20"/>
          <w:szCs w:val="20"/>
        </w:rPr>
        <w:t xml:space="preserve">remanded the accused to </w:t>
      </w:r>
      <w:smartTag w:uri="urn:schemas-microsoft-com:office:smarttags" w:element="place">
        <w:smartTag w:uri="urn:schemas-microsoft-com:office:smarttags" w:element="City">
          <w:r>
            <w:rPr>
              <w:rFonts w:ascii="Arial" w:hAnsi="Arial" w:cs="Arial"/>
              <w:sz w:val="20"/>
              <w:szCs w:val="20"/>
            </w:rPr>
            <w:t>Melbourne</w:t>
          </w:r>
        </w:smartTag>
      </w:smartTag>
      <w:r>
        <w:rPr>
          <w:rFonts w:ascii="Arial" w:hAnsi="Arial" w:cs="Arial"/>
          <w:sz w:val="20"/>
          <w:szCs w:val="20"/>
        </w:rPr>
        <w:t xml:space="preserve"> for a filing hearing as a preliminary to a committal hearing.  On the hearing of an o</w:t>
      </w:r>
      <w:r>
        <w:rPr>
          <w:rFonts w:ascii="Arial" w:hAnsi="Arial" w:cs="Arial"/>
          <w:sz w:val="20"/>
        </w:rPr>
        <w:t>riginating motion, McDonald J held that the Magistrate had erred in law, stating at [47]:</w:t>
      </w:r>
    </w:p>
    <w:p w14:paraId="0F4D510E" w14:textId="77777777" w:rsidR="000F325B" w:rsidRPr="00213DB3" w:rsidRDefault="000F325B" w:rsidP="007C40FB">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242B313F" w14:textId="77777777" w:rsidR="000F325B" w:rsidRDefault="000F325B" w:rsidP="000F325B">
      <w:pPr>
        <w:jc w:val="both"/>
        <w:rPr>
          <w:rFonts w:ascii="Arial" w:hAnsi="Arial" w:cs="Arial"/>
          <w:sz w:val="20"/>
        </w:rPr>
      </w:pPr>
    </w:p>
    <w:p w14:paraId="280D0957" w14:textId="77777777" w:rsidR="005C5E3E" w:rsidRPr="005C5E3E" w:rsidRDefault="004F74C3" w:rsidP="005C5E3E">
      <w:pPr>
        <w:pStyle w:val="Heading3"/>
        <w:spacing w:line="240" w:lineRule="auto"/>
        <w:rPr>
          <w:rFonts w:ascii="Arial" w:hAnsi="Arial" w:cs="Arial"/>
          <w:b/>
          <w:bCs/>
          <w:sz w:val="20"/>
          <w:szCs w:val="16"/>
        </w:rPr>
      </w:pPr>
      <w:bookmarkStart w:id="50" w:name="_10.1.2_Serious_youth"/>
      <w:bookmarkEnd w:id="50"/>
      <w:r>
        <w:rPr>
          <w:rFonts w:ascii="Arial" w:hAnsi="Arial" w:cs="Arial"/>
          <w:b/>
          <w:bCs/>
          <w:sz w:val="20"/>
        </w:rPr>
        <w:t>10.1.2</w:t>
      </w:r>
      <w:r>
        <w:rPr>
          <w:rFonts w:ascii="Arial" w:hAnsi="Arial" w:cs="Arial"/>
          <w:b/>
          <w:bCs/>
          <w:sz w:val="20"/>
        </w:rPr>
        <w:tab/>
        <w:t>S</w:t>
      </w:r>
      <w:r w:rsidR="008D4E02">
        <w:rPr>
          <w:rFonts w:ascii="Arial" w:hAnsi="Arial" w:cs="Arial"/>
          <w:b/>
          <w:bCs/>
          <w:sz w:val="20"/>
        </w:rPr>
        <w:t>erious youth offences – ss.</w:t>
      </w:r>
      <w:r>
        <w:rPr>
          <w:rFonts w:ascii="Arial" w:hAnsi="Arial" w:cs="Arial"/>
          <w:b/>
          <w:bCs/>
          <w:sz w:val="20"/>
        </w:rPr>
        <w:t>356(6)</w:t>
      </w:r>
      <w:r w:rsidR="00BF48A7">
        <w:rPr>
          <w:rFonts w:ascii="Arial" w:hAnsi="Arial" w:cs="Arial"/>
          <w:b/>
          <w:bCs/>
          <w:sz w:val="20"/>
        </w:rPr>
        <w:t>, 356(7) &amp; 356(8) of the CYFA</w:t>
      </w:r>
    </w:p>
    <w:p w14:paraId="172C2513" w14:textId="77777777" w:rsidR="004268A0" w:rsidRDefault="004268A0" w:rsidP="004268A0">
      <w:pPr>
        <w:spacing w:before="120"/>
        <w:jc w:val="both"/>
        <w:rPr>
          <w:rFonts w:ascii="Arial" w:hAnsi="Arial" w:cs="Arial"/>
          <w:sz w:val="20"/>
        </w:rPr>
      </w:pPr>
      <w:r>
        <w:rPr>
          <w:rFonts w:ascii="Arial" w:hAnsi="Arial" w:cs="Arial"/>
          <w:sz w:val="20"/>
        </w:rPr>
        <w:t>The following new definitions were included in CYFA/s.3(1) as and from 05/04/2018 and the specific terrorism offences were amended as and from 08/08/2018:</w:t>
      </w:r>
    </w:p>
    <w:p w14:paraId="139714E9" w14:textId="77777777" w:rsidR="007579A7" w:rsidRDefault="00A35615">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2609DB4E" w14:textId="77777777" w:rsidR="001B13A5" w:rsidRDefault="001B13A5" w:rsidP="004268A0">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 xml:space="preserve">Murder, attempted murder, manslaughter, child homicide, </w:t>
      </w:r>
      <w:r w:rsidR="00F63F5B">
        <w:rPr>
          <w:rFonts w:ascii="Arial" w:hAnsi="Arial" w:cs="Arial"/>
          <w:sz w:val="20"/>
        </w:rPr>
        <w:t xml:space="preserve">homicide by firearm, </w:t>
      </w:r>
      <w:r>
        <w:rPr>
          <w:rFonts w:ascii="Arial" w:hAnsi="Arial" w:cs="Arial"/>
          <w:sz w:val="20"/>
        </w:rPr>
        <w:t>arson causing death (</w:t>
      </w:r>
      <w:r w:rsidRPr="00AB4308">
        <w:rPr>
          <w:rFonts w:ascii="Arial" w:hAnsi="Arial" w:cs="Arial"/>
          <w:i/>
          <w:iCs/>
          <w:sz w:val="20"/>
        </w:rPr>
        <w:t>Crimes Act</w:t>
      </w:r>
      <w:r w:rsidR="00C4156C" w:rsidRPr="00AB4308">
        <w:rPr>
          <w:rFonts w:ascii="Arial" w:hAnsi="Arial" w:cs="Arial"/>
          <w:i/>
          <w:iCs/>
          <w:sz w:val="20"/>
        </w:rPr>
        <w:t xml:space="preserve"> 1958</w:t>
      </w:r>
      <w:r>
        <w:rPr>
          <w:rFonts w:ascii="Arial" w:hAnsi="Arial" w:cs="Arial"/>
          <w:sz w:val="20"/>
        </w:rPr>
        <w:t>/</w:t>
      </w:r>
      <w:r w:rsidR="004268A0">
        <w:rPr>
          <w:rFonts w:ascii="Arial" w:hAnsi="Arial" w:cs="Arial"/>
          <w:sz w:val="20"/>
        </w:rPr>
        <w:t xml:space="preserve"> </w:t>
      </w:r>
      <w:r>
        <w:rPr>
          <w:rFonts w:ascii="Arial" w:hAnsi="Arial" w:cs="Arial"/>
          <w:sz w:val="20"/>
        </w:rPr>
        <w:t>s.197A), culpable driving causing death (</w:t>
      </w:r>
      <w:r w:rsidRPr="00C4156C">
        <w:rPr>
          <w:rFonts w:ascii="Arial" w:hAnsi="Arial" w:cs="Arial"/>
          <w:i/>
          <w:iCs/>
          <w:sz w:val="20"/>
        </w:rPr>
        <w:t>Crimes Act</w:t>
      </w:r>
      <w:r w:rsidR="00C4156C" w:rsidRPr="00C4156C">
        <w:rPr>
          <w:rFonts w:ascii="Arial" w:hAnsi="Arial" w:cs="Arial"/>
          <w:i/>
          <w:iCs/>
          <w:sz w:val="20"/>
        </w:rPr>
        <w:t xml:space="preserve"> 1958</w:t>
      </w:r>
      <w:r>
        <w:rPr>
          <w:rFonts w:ascii="Arial" w:hAnsi="Arial" w:cs="Arial"/>
          <w:sz w:val="20"/>
        </w:rPr>
        <w:t>/s.318)</w:t>
      </w:r>
    </w:p>
    <w:p w14:paraId="632EFCB3"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s.15A)</w:t>
      </w:r>
    </w:p>
    <w:p w14:paraId="1CA1562A"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s.77B)</w:t>
      </w:r>
    </w:p>
    <w:p w14:paraId="74735BC0"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s.79A)</w:t>
      </w:r>
    </w:p>
    <w:p w14:paraId="0893D46E" w14:textId="77777777" w:rsidR="004268A0" w:rsidRDefault="00321B0C">
      <w:pPr>
        <w:pStyle w:val="ListParagraph"/>
        <w:numPr>
          <w:ilvl w:val="0"/>
          <w:numId w:val="69"/>
        </w:numPr>
        <w:ind w:left="714" w:hanging="357"/>
        <w:jc w:val="both"/>
        <w:rPr>
          <w:rFonts w:ascii="Arial" w:hAnsi="Arial" w:cs="Arial"/>
          <w:sz w:val="20"/>
        </w:rPr>
      </w:pPr>
      <w:r>
        <w:rPr>
          <w:rFonts w:ascii="Arial" w:hAnsi="Arial" w:cs="Arial"/>
          <w:sz w:val="20"/>
        </w:rPr>
        <w:t>One or more of v</w:t>
      </w:r>
      <w:r w:rsidR="004268A0">
        <w:rPr>
          <w:rFonts w:ascii="Arial" w:hAnsi="Arial" w:cs="Arial"/>
          <w:sz w:val="20"/>
        </w:rPr>
        <w:t>arious t</w:t>
      </w:r>
      <w:r w:rsidR="001B13A5">
        <w:rPr>
          <w:rFonts w:ascii="Arial" w:hAnsi="Arial" w:cs="Arial"/>
          <w:sz w:val="20"/>
        </w:rPr>
        <w:t>errorism offences (</w:t>
      </w:r>
      <w:r w:rsidR="001B13A5" w:rsidRPr="00C4156C">
        <w:rPr>
          <w:rFonts w:ascii="Arial" w:hAnsi="Arial" w:cs="Arial"/>
          <w:i/>
          <w:iCs/>
          <w:sz w:val="20"/>
        </w:rPr>
        <w:t>Terrorism (Community Protection) Act 2003</w:t>
      </w:r>
      <w:r w:rsidR="001931B6">
        <w:rPr>
          <w:rFonts w:ascii="Arial" w:hAnsi="Arial" w:cs="Arial"/>
          <w:sz w:val="20"/>
        </w:rPr>
        <w:t xml:space="preserve"> (Vic)</w:t>
      </w:r>
      <w:r w:rsidR="001B13A5">
        <w:rPr>
          <w:rFonts w:ascii="Arial" w:hAnsi="Arial" w:cs="Arial"/>
          <w:sz w:val="20"/>
        </w:rPr>
        <w:t>/s.4B</w:t>
      </w:r>
      <w:bookmarkStart w:id="51" w:name="_Hlk15984120"/>
      <w:r w:rsidR="001B13A5">
        <w:rPr>
          <w:rFonts w:ascii="Arial" w:hAnsi="Arial" w:cs="Arial"/>
          <w:sz w:val="20"/>
        </w:rPr>
        <w:t>;</w:t>
      </w:r>
      <w:bookmarkEnd w:id="51"/>
      <w:r w:rsidR="001B13A5">
        <w:rPr>
          <w:rFonts w:ascii="Arial" w:hAnsi="Arial" w:cs="Arial"/>
          <w:sz w:val="20"/>
        </w:rPr>
        <w:t xml:space="preserve"> </w:t>
      </w:r>
      <w:r w:rsidR="001B13A5" w:rsidRPr="00C4156C">
        <w:rPr>
          <w:rFonts w:ascii="Arial" w:hAnsi="Arial" w:cs="Arial"/>
          <w:i/>
          <w:iCs/>
          <w:sz w:val="20"/>
        </w:rPr>
        <w:t>Criminal Code</w:t>
      </w:r>
      <w:r w:rsidR="001B13A5">
        <w:rPr>
          <w:rFonts w:ascii="Arial" w:hAnsi="Arial" w:cs="Arial"/>
          <w:sz w:val="20"/>
        </w:rPr>
        <w:t xml:space="preserve"> (Cth)/offence in Chapter 4, Division 72, Subdivision A; </w:t>
      </w:r>
      <w:r w:rsidR="001B13A5" w:rsidRPr="00C4156C">
        <w:rPr>
          <w:rFonts w:ascii="Arial" w:hAnsi="Arial" w:cs="Arial"/>
          <w:i/>
          <w:iCs/>
          <w:sz w:val="20"/>
        </w:rPr>
        <w:t>Criminal Code</w:t>
      </w:r>
      <w:r w:rsidR="001B13A5">
        <w:rPr>
          <w:rFonts w:ascii="Arial" w:hAnsi="Arial" w:cs="Arial"/>
          <w:sz w:val="20"/>
        </w:rPr>
        <w:t xml:space="preserve"> (Cth)/offence in Part 5.3 or Part 5.5; offence in </w:t>
      </w:r>
      <w:r w:rsidR="001B13A5" w:rsidRPr="00C4156C">
        <w:rPr>
          <w:rFonts w:ascii="Arial" w:hAnsi="Arial" w:cs="Arial"/>
          <w:i/>
          <w:iCs/>
          <w:sz w:val="20"/>
          <w:szCs w:val="20"/>
        </w:rPr>
        <w:t>Crimes (Foreign Incursions and Recruitment) Act 1978</w:t>
      </w:r>
      <w:r w:rsidR="001B13A5" w:rsidRPr="004F065C">
        <w:rPr>
          <w:rFonts w:ascii="Arial" w:hAnsi="Arial" w:cs="Arial"/>
          <w:sz w:val="20"/>
          <w:szCs w:val="20"/>
        </w:rPr>
        <w:t xml:space="preserve"> </w:t>
      </w:r>
      <w:r w:rsidR="001B13A5">
        <w:rPr>
          <w:rFonts w:ascii="Arial" w:hAnsi="Arial" w:cs="Arial"/>
          <w:sz w:val="20"/>
          <w:szCs w:val="20"/>
        </w:rPr>
        <w:t xml:space="preserve">(Cth) </w:t>
      </w:r>
      <w:r w:rsidR="001B13A5" w:rsidRPr="004F065C">
        <w:rPr>
          <w:rFonts w:ascii="Arial" w:hAnsi="Arial" w:cs="Arial"/>
          <w:sz w:val="20"/>
          <w:szCs w:val="20"/>
        </w:rPr>
        <w:t>as in force before its repeal</w:t>
      </w:r>
      <w:r w:rsidR="001B13A5">
        <w:rPr>
          <w:rFonts w:ascii="Arial" w:hAnsi="Arial" w:cs="Arial"/>
          <w:sz w:val="20"/>
          <w:szCs w:val="20"/>
        </w:rPr>
        <w:t>).</w:t>
      </w:r>
    </w:p>
    <w:p w14:paraId="2A494738" w14:textId="77777777" w:rsidR="001B13A5" w:rsidRDefault="001B13A5" w:rsidP="004268A0">
      <w:pPr>
        <w:jc w:val="both"/>
        <w:rPr>
          <w:rFonts w:ascii="Arial" w:hAnsi="Arial" w:cs="Arial"/>
          <w:sz w:val="20"/>
        </w:rPr>
      </w:pPr>
    </w:p>
    <w:p w14:paraId="583DFF37" w14:textId="77777777" w:rsidR="00C06AC3" w:rsidRDefault="00C06AC3">
      <w:pPr>
        <w:keepNext/>
        <w:keepLines/>
        <w:numPr>
          <w:ilvl w:val="0"/>
          <w:numId w:val="58"/>
        </w:numPr>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w:t>
      </w:r>
      <w:r w:rsidR="00C4156C">
        <w:rPr>
          <w:rFonts w:ascii="Arial" w:hAnsi="Arial" w:cs="Arial"/>
          <w:sz w:val="20"/>
        </w:rPr>
        <w:t xml:space="preserve"> in the </w:t>
      </w:r>
      <w:r w:rsidR="00C4156C" w:rsidRPr="00C4156C">
        <w:rPr>
          <w:rFonts w:ascii="Arial" w:hAnsi="Arial" w:cs="Arial"/>
          <w:i/>
          <w:iCs/>
          <w:sz w:val="20"/>
        </w:rPr>
        <w:t>Crimes Act 1958</w:t>
      </w:r>
      <w:r>
        <w:rPr>
          <w:rFonts w:ascii="Arial" w:hAnsi="Arial" w:cs="Arial"/>
          <w:sz w:val="20"/>
        </w:rPr>
        <w:t>-</w:t>
      </w:r>
    </w:p>
    <w:p w14:paraId="5D74D2F2"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65CD7251"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(s.38)</w:t>
      </w:r>
    </w:p>
    <w:p w14:paraId="15A7768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547BD2F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2D5A36F6"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78FB494A" w14:textId="77777777" w:rsidR="001B13A5" w:rsidRPr="00846611" w:rsidRDefault="001B13A5">
      <w:pPr>
        <w:jc w:val="both"/>
        <w:rPr>
          <w:rFonts w:ascii="Arial" w:hAnsi="Arial" w:cs="Arial"/>
          <w:sz w:val="18"/>
          <w:szCs w:val="22"/>
        </w:rPr>
      </w:pPr>
    </w:p>
    <w:p w14:paraId="5B37987D" w14:textId="6BA68BBD" w:rsidR="00C06AC3" w:rsidRDefault="00AB1E11" w:rsidP="006448A4">
      <w:pPr>
        <w:jc w:val="both"/>
        <w:rPr>
          <w:rFonts w:ascii="Arial" w:hAnsi="Arial" w:cs="Arial"/>
          <w:sz w:val="20"/>
        </w:rPr>
      </w:pPr>
      <w:r>
        <w:rPr>
          <w:rFonts w:ascii="Arial" w:hAnsi="Arial" w:cs="Arial"/>
          <w:sz w:val="20"/>
        </w:rPr>
        <w:t>CYFA/s.3</w:t>
      </w:r>
      <w:r w:rsidR="00ED4766">
        <w:rPr>
          <w:rFonts w:ascii="Arial" w:hAnsi="Arial" w:cs="Arial"/>
          <w:sz w:val="20"/>
        </w:rPr>
        <w:t xml:space="preserve">56(6) introduces a presumption of uplift to a higher court when a child is charged with a </w:t>
      </w:r>
      <w:r w:rsidR="00ED4766" w:rsidRPr="000E0433">
        <w:rPr>
          <w:rFonts w:ascii="Arial" w:hAnsi="Arial" w:cs="Arial"/>
          <w:b/>
          <w:sz w:val="20"/>
        </w:rPr>
        <w:t>Category A serious youth offence</w:t>
      </w:r>
      <w:r w:rsidR="00ED4766">
        <w:rPr>
          <w:rFonts w:ascii="Arial" w:hAnsi="Arial" w:cs="Arial"/>
          <w:sz w:val="20"/>
        </w:rPr>
        <w:t xml:space="preserve"> (other than one of the </w:t>
      </w:r>
      <w:r w:rsidR="00073109">
        <w:rPr>
          <w:rFonts w:ascii="Arial" w:hAnsi="Arial" w:cs="Arial"/>
          <w:sz w:val="20"/>
        </w:rPr>
        <w:t>seven</w:t>
      </w:r>
      <w:r w:rsidR="00ED4766">
        <w:rPr>
          <w:rFonts w:ascii="Arial" w:hAnsi="Arial" w:cs="Arial"/>
          <w:sz w:val="20"/>
        </w:rPr>
        <w:t xml:space="preserve"> death offences</w:t>
      </w:r>
      <w:r w:rsidR="00105B6A">
        <w:rPr>
          <w:rFonts w:ascii="Arial" w:hAnsi="Arial" w:cs="Arial"/>
          <w:sz w:val="20"/>
        </w:rPr>
        <w:t xml:space="preserve"> for which uplift is mandatory</w:t>
      </w:r>
      <w:r w:rsidR="00ED4766">
        <w:rPr>
          <w:rFonts w:ascii="Arial" w:hAnsi="Arial" w:cs="Arial"/>
          <w:sz w:val="20"/>
        </w:rPr>
        <w:t xml:space="preserve">) </w:t>
      </w:r>
      <w:r w:rsidR="00E406BA">
        <w:rPr>
          <w:rFonts w:ascii="Arial" w:hAnsi="Arial" w:cs="Arial"/>
          <w:b/>
          <w:sz w:val="20"/>
        </w:rPr>
        <w:t xml:space="preserve">allegedly </w:t>
      </w:r>
      <w:r w:rsidR="00ED4766" w:rsidRPr="000E0433">
        <w:rPr>
          <w:rFonts w:ascii="Arial" w:hAnsi="Arial" w:cs="Arial"/>
          <w:b/>
          <w:sz w:val="20"/>
        </w:rPr>
        <w:t xml:space="preserve">committed </w:t>
      </w:r>
      <w:r w:rsidR="008F679C">
        <w:rPr>
          <w:rFonts w:ascii="Arial" w:hAnsi="Arial" w:cs="Arial"/>
          <w:b/>
          <w:sz w:val="20"/>
        </w:rPr>
        <w:t>when</w:t>
      </w:r>
      <w:r w:rsidR="005C2BF3">
        <w:rPr>
          <w:rFonts w:ascii="Arial" w:hAnsi="Arial" w:cs="Arial"/>
          <w:b/>
          <w:sz w:val="20"/>
        </w:rPr>
        <w:t xml:space="preserve"> </w:t>
      </w:r>
      <w:r w:rsidR="00ED4766" w:rsidRPr="000E0433">
        <w:rPr>
          <w:rFonts w:ascii="Arial" w:hAnsi="Arial" w:cs="Arial"/>
          <w:b/>
          <w:sz w:val="20"/>
        </w:rPr>
        <w:t>the child was aged 16 years or over</w:t>
      </w:r>
      <w:r w:rsidR="00E406BA">
        <w:rPr>
          <w:rFonts w:ascii="Arial" w:hAnsi="Arial" w:cs="Arial"/>
          <w:b/>
          <w:sz w:val="20"/>
        </w:rPr>
        <w:t xml:space="preserve"> where the relevant offending is alleged to have been committed on or after 05/04/2018. </w:t>
      </w:r>
      <w:r w:rsidR="005C2BF3">
        <w:rPr>
          <w:rFonts w:ascii="Arial" w:hAnsi="Arial" w:cs="Arial"/>
          <w:sz w:val="20"/>
        </w:rPr>
        <w:t>T</w:t>
      </w:r>
      <w:r w:rsidR="00ED4766">
        <w:rPr>
          <w:rFonts w:ascii="Arial" w:hAnsi="Arial" w:cs="Arial"/>
          <w:sz w:val="20"/>
        </w:rPr>
        <w:t xml:space="preserve">he Court must not hear and determine </w:t>
      </w:r>
      <w:r w:rsidR="005C2BF3">
        <w:rPr>
          <w:rFonts w:ascii="Arial" w:hAnsi="Arial" w:cs="Arial"/>
          <w:sz w:val="20"/>
        </w:rPr>
        <w:t>such</w:t>
      </w:r>
      <w:r w:rsidR="00ED4766">
        <w:rPr>
          <w:rFonts w:ascii="Arial" w:hAnsi="Arial" w:cs="Arial"/>
          <w:sz w:val="20"/>
        </w:rPr>
        <w:t xml:space="preserve"> charge summarily unless-</w:t>
      </w:r>
    </w:p>
    <w:p w14:paraId="7EE1CFF1" w14:textId="77777777" w:rsidR="00C06AC3" w:rsidRDefault="00ED4766" w:rsidP="00ED4766">
      <w:pPr>
        <w:ind w:left="454"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7F35D44" w14:textId="77777777" w:rsidR="00ED4766" w:rsidRDefault="00ED4766" w:rsidP="00ED4766">
      <w:pPr>
        <w:ind w:left="454"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0E4DD857" w14:textId="77777777" w:rsidR="00BF48A7" w:rsidRDefault="00ED4766" w:rsidP="00ED4766">
      <w:pPr>
        <w:ind w:left="454" w:hanging="454"/>
        <w:jc w:val="both"/>
        <w:rPr>
          <w:rFonts w:ascii="Arial" w:hAnsi="Arial" w:cs="Arial"/>
          <w:sz w:val="20"/>
        </w:rPr>
      </w:pPr>
      <w:r>
        <w:rPr>
          <w:rFonts w:ascii="Arial" w:hAnsi="Arial" w:cs="Arial"/>
          <w:sz w:val="20"/>
        </w:rPr>
        <w:t>(c)</w:t>
      </w:r>
      <w:r>
        <w:rPr>
          <w:rFonts w:ascii="Arial" w:hAnsi="Arial" w:cs="Arial"/>
          <w:sz w:val="20"/>
        </w:rPr>
        <w:tab/>
      </w:r>
      <w:r w:rsidR="00BF48A7">
        <w:rPr>
          <w:rFonts w:ascii="Arial" w:hAnsi="Arial" w:cs="Arial"/>
          <w:sz w:val="20"/>
        </w:rPr>
        <w:t>any of the following applies-</w:t>
      </w:r>
    </w:p>
    <w:p w14:paraId="5B7144E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t>it is in the interests of the victim(s) to do so; or</w:t>
      </w:r>
    </w:p>
    <w:p w14:paraId="236CBD0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t>the accused is particularly vulnerable because of cognitive impairment or mental illness; or</w:t>
      </w:r>
    </w:p>
    <w:p w14:paraId="1D9C024B" w14:textId="77777777" w:rsidR="00BF48A7" w:rsidRDefault="00BF48A7">
      <w:pPr>
        <w:numPr>
          <w:ilvl w:val="0"/>
          <w:numId w:val="67"/>
        </w:numPr>
        <w:tabs>
          <w:tab w:val="left" w:pos="964"/>
        </w:tabs>
        <w:ind w:left="958" w:hanging="510"/>
        <w:jc w:val="both"/>
        <w:rPr>
          <w:rFonts w:ascii="Arial" w:hAnsi="Arial" w:cs="Arial"/>
          <w:sz w:val="20"/>
        </w:rPr>
      </w:pPr>
      <w:r>
        <w:rPr>
          <w:rFonts w:ascii="Arial" w:hAnsi="Arial" w:cs="Arial"/>
          <w:sz w:val="20"/>
        </w:rPr>
        <w:t>there is a substantial and compelling reason to do so (bearing in mind that the intention of Parliament is that a charge for a Category A serious youth offence should not normally be heard and determined summarily: s.356(7)).</w:t>
      </w:r>
    </w:p>
    <w:p w14:paraId="0510C7CC" w14:textId="77777777" w:rsidR="00F86EF4" w:rsidRPr="00846611" w:rsidRDefault="00F86EF4" w:rsidP="00ED4766">
      <w:pPr>
        <w:ind w:left="454" w:hanging="454"/>
        <w:jc w:val="both"/>
        <w:rPr>
          <w:rFonts w:ascii="Arial" w:hAnsi="Arial" w:cs="Arial"/>
          <w:sz w:val="18"/>
          <w:szCs w:val="22"/>
        </w:rPr>
      </w:pPr>
    </w:p>
    <w:p w14:paraId="6FCD9AB3" w14:textId="77777777" w:rsidR="00C06AC3" w:rsidRPr="000E0433" w:rsidRDefault="00AB1E11">
      <w:pPr>
        <w:jc w:val="both"/>
        <w:rPr>
          <w:rFonts w:ascii="Arial" w:hAnsi="Arial" w:cs="Arial"/>
          <w:b/>
          <w:sz w:val="20"/>
        </w:rPr>
      </w:pPr>
      <w:r>
        <w:rPr>
          <w:rFonts w:ascii="Arial" w:hAnsi="Arial" w:cs="Arial"/>
          <w:sz w:val="20"/>
        </w:rPr>
        <w:t>CYFA/s.</w:t>
      </w:r>
      <w:r w:rsidR="000E0433">
        <w:rPr>
          <w:rFonts w:ascii="Arial" w:hAnsi="Arial" w:cs="Arial"/>
          <w:sz w:val="20"/>
        </w:rPr>
        <w:t xml:space="preserve">356(8) requires the Court to consider whether the charge should not be heard and determined summarily when a child is charged with a </w:t>
      </w:r>
      <w:r w:rsidR="000E0433" w:rsidRPr="000E0433">
        <w:rPr>
          <w:rFonts w:ascii="Arial" w:hAnsi="Arial" w:cs="Arial"/>
          <w:b/>
          <w:sz w:val="20"/>
        </w:rPr>
        <w:t xml:space="preserve">Category </w:t>
      </w:r>
      <w:r w:rsidR="000E0433">
        <w:rPr>
          <w:rFonts w:ascii="Arial" w:hAnsi="Arial" w:cs="Arial"/>
          <w:b/>
          <w:sz w:val="20"/>
        </w:rPr>
        <w:t>B</w:t>
      </w:r>
      <w:r w:rsidR="000E0433" w:rsidRPr="000E0433">
        <w:rPr>
          <w:rFonts w:ascii="Arial" w:hAnsi="Arial" w:cs="Arial"/>
          <w:b/>
          <w:sz w:val="20"/>
        </w:rPr>
        <w:t xml:space="preserve"> serious youth offence</w:t>
      </w:r>
      <w:r w:rsidR="000E0433">
        <w:rPr>
          <w:rFonts w:ascii="Arial" w:hAnsi="Arial" w:cs="Arial"/>
          <w:sz w:val="20"/>
        </w:rPr>
        <w:t xml:space="preserve"> </w:t>
      </w:r>
      <w:r w:rsidR="000E0433" w:rsidRPr="000E0433">
        <w:rPr>
          <w:rFonts w:ascii="Arial" w:hAnsi="Arial" w:cs="Arial"/>
          <w:b/>
          <w:sz w:val="20"/>
        </w:rPr>
        <w:t>alleged</w:t>
      </w:r>
      <w:r w:rsidR="00E406BA">
        <w:rPr>
          <w:rFonts w:ascii="Arial" w:hAnsi="Arial" w:cs="Arial"/>
          <w:b/>
          <w:sz w:val="20"/>
        </w:rPr>
        <w:t>ly</w:t>
      </w:r>
      <w:r w:rsidR="000E0433" w:rsidRPr="000E0433">
        <w:rPr>
          <w:rFonts w:ascii="Arial" w:hAnsi="Arial" w:cs="Arial"/>
          <w:b/>
          <w:sz w:val="20"/>
        </w:rPr>
        <w:t xml:space="preserve"> committed </w:t>
      </w:r>
      <w:r w:rsidR="00E406BA">
        <w:rPr>
          <w:rFonts w:ascii="Arial" w:hAnsi="Arial" w:cs="Arial"/>
          <w:b/>
          <w:sz w:val="20"/>
        </w:rPr>
        <w:lastRenderedPageBreak/>
        <w:t xml:space="preserve">when the child was aged 16 years or over where the relevant offending is alleged to have been committed </w:t>
      </w:r>
      <w:r w:rsidR="005C2BF3">
        <w:rPr>
          <w:rFonts w:ascii="Arial" w:hAnsi="Arial" w:cs="Arial"/>
          <w:b/>
          <w:sz w:val="20"/>
        </w:rPr>
        <w:t>on or after 05/04/2018</w:t>
      </w:r>
      <w:r w:rsidR="000E0433" w:rsidRPr="000E0433">
        <w:rPr>
          <w:rFonts w:ascii="Arial" w:hAnsi="Arial" w:cs="Arial"/>
          <w:b/>
          <w:sz w:val="20"/>
        </w:rPr>
        <w:t>.</w:t>
      </w:r>
    </w:p>
    <w:p w14:paraId="3DB4AAB5" w14:textId="77777777" w:rsidR="00C06AC3" w:rsidRPr="00846611" w:rsidRDefault="00C06AC3">
      <w:pPr>
        <w:jc w:val="both"/>
        <w:rPr>
          <w:rFonts w:ascii="Arial" w:hAnsi="Arial" w:cs="Arial"/>
          <w:sz w:val="18"/>
          <w:szCs w:val="22"/>
        </w:rPr>
      </w:pPr>
    </w:p>
    <w:p w14:paraId="5705A7F6" w14:textId="77777777" w:rsidR="00E77728" w:rsidRDefault="00E77728">
      <w:pPr>
        <w:jc w:val="both"/>
        <w:rPr>
          <w:rFonts w:ascii="Arial" w:hAnsi="Arial" w:cs="Arial"/>
          <w:sz w:val="20"/>
        </w:rPr>
      </w:pPr>
      <w:r>
        <w:rPr>
          <w:rFonts w:ascii="Arial" w:hAnsi="Arial" w:cs="Arial"/>
          <w:sz w:val="20"/>
        </w:rPr>
        <w:t>Practice Direction No.2 of 2018 sets out directions in relation to the listing, procedure and venue for charges falling within s.356(6) [Category A serious youth offence committed by child aged 16+] and s.356(8) [Category B serious youth offence committed by child aged 16+].</w:t>
      </w:r>
    </w:p>
    <w:p w14:paraId="0F0969C7" w14:textId="77777777" w:rsidR="001D6DA9" w:rsidRPr="00846611" w:rsidRDefault="001D6DA9" w:rsidP="001D6DA9">
      <w:pPr>
        <w:jc w:val="both"/>
        <w:rPr>
          <w:rFonts w:ascii="Arial" w:hAnsi="Arial" w:cs="Arial"/>
          <w:sz w:val="18"/>
          <w:szCs w:val="22"/>
        </w:rPr>
      </w:pPr>
    </w:p>
    <w:p w14:paraId="772BAFDC" w14:textId="77777777" w:rsidR="005C5E3E" w:rsidRPr="005C5E3E" w:rsidRDefault="001D6DA9" w:rsidP="00013081">
      <w:pPr>
        <w:pStyle w:val="Heading3"/>
        <w:keepNext/>
        <w:keepLines/>
        <w:widowControl/>
        <w:spacing w:after="120" w:line="240" w:lineRule="auto"/>
        <w:rPr>
          <w:rFonts w:ascii="Arial" w:hAnsi="Arial" w:cs="Arial"/>
          <w:b/>
          <w:bCs/>
          <w:sz w:val="20"/>
          <w:szCs w:val="16"/>
        </w:rPr>
      </w:pPr>
      <w:bookmarkStart w:id="52" w:name="_10.1.3_Summary_of"/>
      <w:bookmarkEnd w:id="52"/>
      <w:r>
        <w:rPr>
          <w:rFonts w:ascii="Arial" w:hAnsi="Arial" w:cs="Arial"/>
          <w:b/>
          <w:bCs/>
          <w:sz w:val="20"/>
        </w:rPr>
        <w:t>10.1.3</w:t>
      </w:r>
      <w:r>
        <w:rPr>
          <w:rFonts w:ascii="Arial" w:hAnsi="Arial" w:cs="Arial"/>
          <w:b/>
          <w:bCs/>
          <w:sz w:val="20"/>
        </w:rPr>
        <w:tab/>
        <w:t xml:space="preserve">Summary of uplift </w:t>
      </w:r>
      <w:r w:rsidR="00AE1B5D">
        <w:rPr>
          <w:rFonts w:ascii="Arial" w:hAnsi="Arial" w:cs="Arial"/>
          <w:b/>
          <w:bCs/>
          <w:sz w:val="20"/>
        </w:rPr>
        <w:t xml:space="preserve">(via committal) </w:t>
      </w:r>
      <w:r>
        <w:rPr>
          <w:rFonts w:ascii="Arial" w:hAnsi="Arial" w:cs="Arial"/>
          <w:b/>
          <w:bCs/>
          <w:sz w:val="20"/>
        </w:rPr>
        <w:t>provisions – Section 356 of the CYFA</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F03A9B" w:rsidRPr="004F7528" w14:paraId="2F8E590B" w14:textId="77777777" w:rsidTr="00F03A9B">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4F7528">
              <w:rPr>
                <w:rFonts w:ascii="Arial" w:hAnsi="Arial" w:cs="Arial"/>
                <w:sz w:val="20"/>
              </w:rPr>
              <w:t>Mandatory uplift to higher court – Child aged 1</w:t>
            </w:r>
            <w:r w:rsidR="0022082D">
              <w:rPr>
                <w:rFonts w:ascii="Arial" w:hAnsi="Arial" w:cs="Arial"/>
                <w:sz w:val="20"/>
              </w:rPr>
              <w:t>2</w:t>
            </w:r>
            <w:r w:rsidR="00F03A9B" w:rsidRPr="004F7528">
              <w:rPr>
                <w:rFonts w:ascii="Arial" w:hAnsi="Arial" w:cs="Arial"/>
                <w:sz w:val="20"/>
              </w:rPr>
              <w:t xml:space="preserve"> to 17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shd w:val="clear" w:color="auto" w:fill="EAEAEA"/>
          </w:tcPr>
          <w:p w14:paraId="30E03344" w14:textId="58EA9AD6" w:rsidR="00F03A9B" w:rsidRPr="004F7528" w:rsidRDefault="00F03A9B">
            <w:pPr>
              <w:numPr>
                <w:ilvl w:val="0"/>
                <w:numId w:val="58"/>
              </w:numPr>
              <w:spacing w:before="40"/>
              <w:ind w:left="357" w:hanging="357"/>
              <w:jc w:val="both"/>
              <w:rPr>
                <w:rFonts w:ascii="Arial" w:hAnsi="Arial" w:cs="Arial"/>
                <w:sz w:val="20"/>
              </w:rPr>
            </w:pPr>
            <w:r w:rsidRPr="004F7528">
              <w:rPr>
                <w:rFonts w:ascii="Arial" w:hAnsi="Arial" w:cs="Arial"/>
                <w:sz w:val="20"/>
              </w:rPr>
              <w:t>Murder</w:t>
            </w:r>
          </w:p>
          <w:p w14:paraId="241B86FB"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Attempted murder</w:t>
            </w:r>
          </w:p>
          <w:p w14:paraId="4F16056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Manslaughter</w:t>
            </w:r>
          </w:p>
          <w:p w14:paraId="2811D113" w14:textId="77777777" w:rsidR="00F03A9B" w:rsidRDefault="00F03A9B">
            <w:pPr>
              <w:numPr>
                <w:ilvl w:val="0"/>
                <w:numId w:val="58"/>
              </w:numPr>
              <w:ind w:left="357" w:hanging="357"/>
              <w:jc w:val="both"/>
              <w:rPr>
                <w:rFonts w:ascii="Arial" w:hAnsi="Arial" w:cs="Arial"/>
                <w:sz w:val="20"/>
              </w:rPr>
            </w:pPr>
            <w:r w:rsidRPr="004F7528">
              <w:rPr>
                <w:rFonts w:ascii="Arial" w:hAnsi="Arial" w:cs="Arial"/>
                <w:sz w:val="20"/>
              </w:rPr>
              <w:t>Child homicide</w:t>
            </w:r>
          </w:p>
          <w:p w14:paraId="60BACC38" w14:textId="59704233" w:rsidR="00F03A9B" w:rsidRDefault="00F03A9B">
            <w:pPr>
              <w:numPr>
                <w:ilvl w:val="0"/>
                <w:numId w:val="58"/>
              </w:numPr>
              <w:spacing w:after="4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shd w:val="clear" w:color="auto" w:fill="EAEAEA"/>
          </w:tcPr>
          <w:p w14:paraId="0AAE6F2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Arson causing death</w:t>
            </w:r>
          </w:p>
          <w:p w14:paraId="60EAECE1" w14:textId="77777777" w:rsidR="00F03A9B" w:rsidRPr="004F7528" w:rsidRDefault="00F03A9B">
            <w:pPr>
              <w:numPr>
                <w:ilvl w:val="0"/>
                <w:numId w:val="58"/>
              </w:numPr>
              <w:spacing w:after="40"/>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38D4741B" w:rsidR="00BC5206"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57216" behindDoc="0" locked="0" layoutInCell="1" allowOverlap="1" wp14:anchorId="07164E25" wp14:editId="7AA57708">
                      <wp:simplePos x="0" y="0"/>
                      <wp:positionH relativeFrom="column">
                        <wp:posOffset>1315720</wp:posOffset>
                      </wp:positionH>
                      <wp:positionV relativeFrom="paragraph">
                        <wp:posOffset>454660</wp:posOffset>
                      </wp:positionV>
                      <wp:extent cx="1511935" cy="360045"/>
                      <wp:effectExtent l="0" t="0" r="0" b="1905"/>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60045"/>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3.6pt;margin-top:35.8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4F7528">
              <w:rPr>
                <w:rFonts w:ascii="Arial" w:hAnsi="Arial" w:cs="Arial"/>
                <w:sz w:val="20"/>
              </w:rPr>
              <w:t>Presumption of uplift to higher court</w:t>
            </w:r>
            <w:r w:rsidR="00782759" w:rsidRPr="004F7528">
              <w:rPr>
                <w:rFonts w:ascii="Arial" w:hAnsi="Arial" w:cs="Arial"/>
                <w:sz w:val="20"/>
              </w:rPr>
              <w:t xml:space="preserve"> – Child alleged to have committed a </w:t>
            </w:r>
            <w:r w:rsidR="00782759" w:rsidRPr="001010FA">
              <w:rPr>
                <w:rFonts w:ascii="Arial" w:hAnsi="Arial" w:cs="Arial"/>
                <w:b/>
                <w:sz w:val="20"/>
              </w:rPr>
              <w:t xml:space="preserve">Category A serious </w:t>
            </w:r>
            <w:r w:rsidR="001010FA" w:rsidRPr="001010FA">
              <w:rPr>
                <w:rFonts w:ascii="Arial" w:hAnsi="Arial" w:cs="Arial"/>
                <w:b/>
                <w:sz w:val="20"/>
              </w:rPr>
              <w:t xml:space="preserve">youth </w:t>
            </w:r>
            <w:r w:rsidR="00782759" w:rsidRPr="001010FA">
              <w:rPr>
                <w:rFonts w:ascii="Arial" w:hAnsi="Arial" w:cs="Arial"/>
                <w:b/>
                <w:sz w:val="20"/>
              </w:rPr>
              <w:t>offence when aged 16 years or over</w:t>
            </w:r>
            <w:r w:rsidR="00782759" w:rsidRPr="004F7528">
              <w:rPr>
                <w:rFonts w:ascii="Arial" w:hAnsi="Arial" w:cs="Arial"/>
                <w:sz w:val="20"/>
              </w:rPr>
              <w:t xml:space="preserv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pPr>
              <w:numPr>
                <w:ilvl w:val="0"/>
                <w:numId w:val="59"/>
              </w:numPr>
              <w:spacing w:before="4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77777777" w:rsidR="00782759" w:rsidRPr="004F7528" w:rsidRDefault="00321B0C">
            <w:pPr>
              <w:numPr>
                <w:ilvl w:val="0"/>
                <w:numId w:val="59"/>
              </w:numPr>
              <w:spacing w:after="40"/>
              <w:ind w:left="357" w:hanging="357"/>
              <w:jc w:val="both"/>
              <w:rPr>
                <w:rFonts w:ascii="Arial" w:hAnsi="Arial" w:cs="Arial"/>
                <w:sz w:val="20"/>
              </w:rPr>
            </w:pPr>
            <w:r>
              <w:rPr>
                <w:rFonts w:ascii="Arial" w:hAnsi="Arial" w:cs="Arial"/>
                <w:sz w:val="20"/>
              </w:rPr>
              <w:t>One or more of various</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sidR="00782759" w:rsidRPr="004F7528">
              <w:rPr>
                <w:rFonts w:ascii="Arial" w:hAnsi="Arial" w:cs="Arial"/>
                <w:sz w:val="20"/>
              </w:rPr>
              <w:t xml:space="preserve"> 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175425FC" w:rsidR="00BC5206" w:rsidRPr="004F7528" w:rsidRDefault="00634DDC" w:rsidP="001010FA">
            <w:pPr>
              <w:spacing w:before="40"/>
              <w:jc w:val="both"/>
              <w:rPr>
                <w:rFonts w:ascii="Arial" w:hAnsi="Arial" w:cs="Arial"/>
                <w:sz w:val="20"/>
              </w:rPr>
            </w:pPr>
            <w:r>
              <w:rPr>
                <w:noProof/>
              </w:rPr>
              <mc:AlternateContent>
                <mc:Choice Requires="wps">
                  <w:drawing>
                    <wp:anchor distT="45720" distB="45720" distL="114300" distR="114300" simplePos="0" relativeHeight="251658240" behindDoc="0" locked="0" layoutInCell="1" allowOverlap="1" wp14:anchorId="5CD277A8" wp14:editId="27DAFE22">
                      <wp:simplePos x="0" y="0"/>
                      <wp:positionH relativeFrom="column">
                        <wp:posOffset>1306195</wp:posOffset>
                      </wp:positionH>
                      <wp:positionV relativeFrom="paragraph">
                        <wp:posOffset>592455</wp:posOffset>
                      </wp:positionV>
                      <wp:extent cx="1513205" cy="363855"/>
                      <wp:effectExtent l="0" t="0" r="0" b="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85pt;margin-top:46.65pt;width:119.1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Pr>
                <w:rFonts w:ascii="Arial" w:hAnsi="Arial" w:cs="Arial"/>
                <w:sz w:val="20"/>
              </w:rPr>
              <w:t>Court must consider appropriateness of u</w:t>
            </w:r>
            <w:r w:rsidR="005717AF" w:rsidRPr="004F7528">
              <w:rPr>
                <w:rFonts w:ascii="Arial" w:hAnsi="Arial" w:cs="Arial"/>
                <w:sz w:val="20"/>
              </w:rPr>
              <w:t xml:space="preserve">plift to higher court </w:t>
            </w:r>
            <w:r w:rsidR="008235C6" w:rsidRPr="004F7528">
              <w:rPr>
                <w:rFonts w:ascii="Arial" w:hAnsi="Arial" w:cs="Arial"/>
                <w:sz w:val="20"/>
              </w:rPr>
              <w:t xml:space="preserve">– Child alleged to have committed a </w:t>
            </w:r>
            <w:r w:rsidR="008235C6" w:rsidRPr="001010FA">
              <w:rPr>
                <w:rFonts w:ascii="Arial" w:hAnsi="Arial" w:cs="Arial"/>
                <w:b/>
                <w:sz w:val="20"/>
              </w:rPr>
              <w:t xml:space="preserve">Category B serious </w:t>
            </w:r>
            <w:r w:rsidR="001010FA" w:rsidRPr="001010FA">
              <w:rPr>
                <w:rFonts w:ascii="Arial" w:hAnsi="Arial" w:cs="Arial"/>
                <w:b/>
                <w:sz w:val="20"/>
              </w:rPr>
              <w:t xml:space="preserve">youth </w:t>
            </w:r>
            <w:r w:rsidR="008235C6" w:rsidRPr="001010FA">
              <w:rPr>
                <w:rFonts w:ascii="Arial" w:hAnsi="Arial" w:cs="Arial"/>
                <w:b/>
                <w:sz w:val="20"/>
              </w:rPr>
              <w:t>offence when aged 16 years or over</w:t>
            </w:r>
            <w:r w:rsidR="00374E62" w:rsidRPr="004F7528">
              <w:rPr>
                <w:rFonts w:ascii="Arial" w:hAnsi="Arial" w:cs="Arial"/>
                <w:sz w:val="20"/>
              </w:rPr>
              <w:t xml:space="preserve"> –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pPr>
              <w:numPr>
                <w:ilvl w:val="0"/>
                <w:numId w:val="59"/>
              </w:numPr>
              <w:spacing w:before="4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pPr>
              <w:numPr>
                <w:ilvl w:val="0"/>
                <w:numId w:val="59"/>
              </w:numPr>
              <w:spacing w:after="4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Pr>
                <w:rFonts w:ascii="Arial" w:hAnsi="Arial" w:cs="Arial"/>
                <w:sz w:val="20"/>
              </w:rPr>
              <w:t>Court may order u</w:t>
            </w:r>
            <w:r w:rsidR="008235C6" w:rsidRPr="004F7528">
              <w:rPr>
                <w:rFonts w:ascii="Arial" w:hAnsi="Arial" w:cs="Arial"/>
                <w:sz w:val="20"/>
              </w:rPr>
              <w:t>plift to higher court if exceptional circumstances exist – Child age</w:t>
            </w:r>
            <w:r w:rsidR="004B6302" w:rsidRPr="004F7528">
              <w:rPr>
                <w:rFonts w:ascii="Arial" w:hAnsi="Arial" w:cs="Arial"/>
                <w:sz w:val="20"/>
              </w:rPr>
              <w:t>d 1</w:t>
            </w:r>
            <w:r w:rsidR="0022082D">
              <w:rPr>
                <w:rFonts w:ascii="Arial" w:hAnsi="Arial" w:cs="Arial"/>
                <w:sz w:val="20"/>
              </w:rPr>
              <w:t>2</w:t>
            </w:r>
            <w:r w:rsidR="004B6302" w:rsidRPr="004F7528">
              <w:rPr>
                <w:rFonts w:ascii="Arial" w:hAnsi="Arial" w:cs="Arial"/>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77777777" w:rsidR="008235C6" w:rsidRPr="004F7528" w:rsidRDefault="008235C6" w:rsidP="004F7528">
            <w:pPr>
              <w:spacing w:before="40"/>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008D884D" w14:textId="77777777" w:rsidR="00931C00" w:rsidRPr="00917DB1" w:rsidRDefault="00931C00" w:rsidP="005C5E3E">
      <w:pPr>
        <w:pStyle w:val="Heading3"/>
        <w:keepNext/>
        <w:keepLines/>
        <w:widowControl/>
        <w:spacing w:after="120" w:line="240" w:lineRule="auto"/>
        <w:rPr>
          <w:rFonts w:ascii="Arial" w:hAnsi="Arial" w:cs="Arial"/>
          <w:b/>
          <w:bCs/>
          <w:sz w:val="20"/>
        </w:rPr>
      </w:pPr>
      <w:bookmarkStart w:id="53" w:name="_10.1.4_Whether_Uplift"/>
      <w:bookmarkEnd w:id="53"/>
      <w:r w:rsidRPr="00917DB1">
        <w:rPr>
          <w:rFonts w:ascii="Arial" w:hAnsi="Arial" w:cs="Arial"/>
          <w:b/>
          <w:bCs/>
          <w:sz w:val="20"/>
        </w:rPr>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C34B39">
        <w:rPr>
          <w:rFonts w:ascii="Arial" w:hAnsi="Arial" w:cs="Arial"/>
          <w:b/>
          <w:bCs/>
          <w:sz w:val="20"/>
        </w:rPr>
        <w:t xml:space="preserve"> </w:t>
      </w:r>
      <w:r w:rsidR="00917DB1" w:rsidRPr="00917DB1">
        <w:rPr>
          <w:rFonts w:ascii="Arial" w:hAnsi="Arial" w:cs="Arial"/>
          <w:b/>
          <w:bCs/>
          <w:sz w:val="20"/>
        </w:rPr>
        <w:t>Category A &amp; Category B serious youth offences</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54" w:name="_Hlk15981349"/>
      <w:r w:rsidR="00233EAA">
        <w:rPr>
          <w:rFonts w:ascii="Arial" w:hAnsi="Arial" w:cs="Arial"/>
          <w:b/>
          <w:sz w:val="20"/>
          <w:shd w:val="clear" w:color="auto" w:fill="000000"/>
        </w:rPr>
        <w:sym w:font="Wingdings" w:char="F0DD"/>
      </w:r>
      <w:bookmarkEnd w:id="54"/>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V</w:t>
      </w:r>
      <w:r w:rsidR="00242699">
        <w:rPr>
          <w:rFonts w:ascii="Arial" w:hAnsi="Arial" w:cs="Arial"/>
          <w:sz w:val="20"/>
        </w:rPr>
        <w:t>ChC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12 month youth supervision order and that he had a significant criminal history – including for offences of aggravated carjacking with 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lastRenderedPageBreak/>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 xml:space="preserve">Sentencing Act </w:t>
      </w:r>
      <w:r w:rsidR="003B38F7" w:rsidRPr="003B38F7">
        <w:rPr>
          <w:rFonts w:ascii="Arial" w:hAnsi="Arial" w:cs="Arial"/>
          <w:i/>
          <w:sz w:val="20"/>
          <w:szCs w:val="20"/>
        </w:rPr>
        <w:lastRenderedPageBreak/>
        <w:t>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VChC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reported on the Children’s Court website: [2021] VChC 1; [2019] VChC 7; [2019] VChC 2; [2018] VChC 7.</w:t>
      </w:r>
    </w:p>
    <w:p w14:paraId="0B1FEEDC" w14:textId="77777777" w:rsidR="00B71B1D" w:rsidRDefault="00B71B1D" w:rsidP="00327C30">
      <w:pPr>
        <w:ind w:left="357" w:hanging="357"/>
        <w:jc w:val="both"/>
        <w:rPr>
          <w:rFonts w:ascii="Arial" w:hAnsi="Arial" w:cs="Arial"/>
          <w:sz w:val="20"/>
        </w:rPr>
      </w:pPr>
    </w:p>
    <w:p w14:paraId="2B592A1E" w14:textId="77777777" w:rsidR="002277A2" w:rsidRPr="00CC7A4B" w:rsidRDefault="002277A2" w:rsidP="00B63533">
      <w:pPr>
        <w:pStyle w:val="Heading3"/>
        <w:keepNext/>
        <w:keepLines/>
        <w:widowControl/>
        <w:spacing w:after="120" w:line="240" w:lineRule="auto"/>
        <w:rPr>
          <w:rFonts w:ascii="Arial" w:hAnsi="Arial" w:cs="Arial"/>
          <w:b/>
          <w:bCs/>
          <w:sz w:val="20"/>
          <w:szCs w:val="16"/>
        </w:rPr>
      </w:pPr>
      <w:bookmarkStart w:id="55" w:name="_10.1.5_Whether_Uplift"/>
      <w:bookmarkEnd w:id="55"/>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 xml:space="preserve">On its face it is not absolutely clear whether CYFA/s.356A(1)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VChC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VChC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circumstances’</w:t>
      </w:r>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w:t>
      </w:r>
      <w:r>
        <w:rPr>
          <w:rFonts w:ascii="Arial" w:hAnsi="Arial" w:cs="Arial"/>
          <w:sz w:val="20"/>
        </w:rPr>
        <w:lastRenderedPageBreak/>
        <w:t>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Whether there are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Cummins J stated that it "is apparent from the scheme, terms and nature of the provisions of the CYPA", in particular ss. 1, 3, 16, 18, 134, 139 &amp; 276, that "the Children's Court ought give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taken into account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Children's Protection and Young Offenders Act 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take into account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On the other hand, I take into account the [</w:t>
      </w:r>
      <w:r w:rsidR="00A44CB7">
        <w:rPr>
          <w:rFonts w:ascii="Arial" w:hAnsi="Arial" w:cs="Arial"/>
          <w:sz w:val="20"/>
        </w:rPr>
        <w:t>accused</w:t>
      </w:r>
      <w:r>
        <w:rPr>
          <w:rFonts w:ascii="Arial" w:hAnsi="Arial" w:cs="Arial"/>
          <w:sz w:val="20"/>
        </w:rPr>
        <w:t>'s] age relative to the categorization of 'child' as defined by the Act and the circumstances of her statements to the various investigating officers, where her step by step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 xml:space="preserve">'s appeal and returned the </w:t>
      </w:r>
      <w:r>
        <w:rPr>
          <w:rFonts w:ascii="Arial" w:hAnsi="Arial" w:cs="Arial"/>
          <w:sz w:val="20"/>
        </w:rPr>
        <w:lastRenderedPageBreak/>
        <w:t>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was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VChC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stab wound to the middle of the back, a large laceration to his left upper arm and large lacerations to both upper legs.  All three lacerations were to the bone, and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lastRenderedPageBreak/>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w:t>
      </w:r>
      <w:r w:rsidR="00EB579B">
        <w:rPr>
          <w:rFonts w:ascii="Arial" w:hAnsi="Arial" w:cs="Arial"/>
          <w:sz w:val="20"/>
        </w:rPr>
        <w:lastRenderedPageBreak/>
        <w:t xml:space="preserve">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(Cth) and the </w:t>
      </w:r>
      <w:r w:rsidR="00714F5F" w:rsidRPr="0010068D">
        <w:rPr>
          <w:rFonts w:ascii="Arial" w:hAnsi="Arial" w:cs="Arial"/>
          <w:i/>
          <w:iCs/>
          <w:color w:val="000000"/>
          <w:sz w:val="20"/>
        </w:rPr>
        <w:t>Crimes Act 1914</w:t>
      </w:r>
      <w:r w:rsidR="00714F5F">
        <w:rPr>
          <w:rFonts w:ascii="Arial" w:hAnsi="Arial" w:cs="Arial"/>
          <w:color w:val="000000"/>
          <w:sz w:val="20"/>
        </w:rPr>
        <w:t xml:space="preserve"> (Cth).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eg.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eg.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r>
        <w:rPr>
          <w:rFonts w:ascii="Arial" w:hAnsi="Arial" w:cs="Arial"/>
          <w:color w:val="000000"/>
          <w:sz w:val="20"/>
        </w:rPr>
        <w:t xml:space="preserve">eg.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eg.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The nature of the evidence to be called by either party may render a matter unsuitable for summary determination, eg:</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eg.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eg.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(absent militating antecedents) exceptional circumstances will only be demonstrated in ‘top of the range’ offending.  A 13 year old charged with a ‘top of the range’ intentionally causing injury offence will almost certainly be able to be sentenced within Children’s Court sentencing constraints.  A 17 year old charged with a ‘top of the range’ intentionally causing serious injury offence may well not be able to be sentenced 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lastRenderedPageBreak/>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[2018] VChC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47 year old man with a pre-existing diagnosis of dementia who was not known to either JA or his 15 year old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should the charges be found proved, and not limited to the maximum jurisdictional limit of this Court. Other sentencing considerations, including the age of the accused, his cognitive functioning and prospects of rehabilitation, will also remain relevant and can be taken into account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[41]</w:t>
      </w:r>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VChC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lastRenderedPageBreak/>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VChC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r w:rsidRPr="007F4477">
        <w:rPr>
          <w:rFonts w:ascii="Arial" w:hAnsi="Arial" w:cs="Arial"/>
          <w:b/>
          <w:bCs/>
          <w:i/>
          <w:iCs/>
          <w:sz w:val="20"/>
          <w:szCs w:val="20"/>
        </w:rPr>
        <w:t>Vicpol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D (a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Ultimately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hospital he was in cardiac arrest and was receiving CPR.  A doctor who examined the victim on his arrival at hospital opined: “[T]his was an extremely serious and life threatening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w:t>
      </w:r>
      <w:r>
        <w:rPr>
          <w:rFonts w:ascii="Arial" w:hAnsi="Arial" w:cs="Arial"/>
          <w:sz w:val="20"/>
        </w:rPr>
        <w:lastRenderedPageBreak/>
        <w:t>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take into account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VChC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case 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I do not accept that the unusual nature of the charges requires them to be dealt with by a superior court. Whilst no child has been charged with these particular offences, I agree 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lastRenderedPageBreak/>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VChC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VChC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VChC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VChC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VChC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56" w:name="_Toc30691449"/>
      <w:bookmarkStart w:id="57" w:name="_Toc30691828"/>
      <w:bookmarkStart w:id="58" w:name="_Toc30692208"/>
      <w:bookmarkStart w:id="59" w:name="_Toc30692966"/>
      <w:bookmarkStart w:id="60" w:name="_Toc30693345"/>
      <w:bookmarkStart w:id="61" w:name="_Toc30693723"/>
      <w:bookmarkStart w:id="62" w:name="_Toc30694101"/>
      <w:bookmarkStart w:id="63" w:name="_Toc30694481"/>
      <w:bookmarkStart w:id="64" w:name="_Toc30699071"/>
      <w:bookmarkStart w:id="65" w:name="_Toc30699456"/>
      <w:bookmarkStart w:id="66" w:name="_Toc30699841"/>
      <w:bookmarkStart w:id="67" w:name="_Toc30700996"/>
      <w:bookmarkStart w:id="68" w:name="_Toc30701383"/>
      <w:bookmarkStart w:id="69" w:name="_Toc30743988"/>
      <w:bookmarkStart w:id="70" w:name="_Toc30754811"/>
      <w:bookmarkStart w:id="71" w:name="_Toc30757267"/>
      <w:bookmarkStart w:id="72" w:name="_Toc30757815"/>
      <w:bookmarkStart w:id="73" w:name="_Toc30758215"/>
      <w:bookmarkStart w:id="74" w:name="_Toc30762976"/>
      <w:bookmarkStart w:id="75" w:name="_Toc30767630"/>
      <w:bookmarkStart w:id="76" w:name="_Toc34823648"/>
    </w:p>
    <w:p w14:paraId="3E9966AC" w14:textId="77777777" w:rsidR="00063D41" w:rsidRDefault="00063D41" w:rsidP="00063D41">
      <w:pPr>
        <w:pStyle w:val="Heading3"/>
        <w:keepNext/>
        <w:keepLines/>
        <w:widowControl/>
        <w:spacing w:after="120" w:line="240" w:lineRule="auto"/>
        <w:rPr>
          <w:rFonts w:ascii="Arial" w:hAnsi="Arial" w:cs="Arial"/>
          <w:b/>
          <w:bCs/>
          <w:sz w:val="20"/>
        </w:rPr>
      </w:pPr>
      <w:bookmarkStart w:id="77" w:name="_10.1.6_Transfer_back_1"/>
      <w:bookmarkEnd w:id="77"/>
      <w:r>
        <w:rPr>
          <w:rFonts w:ascii="Arial" w:hAnsi="Arial" w:cs="Arial"/>
          <w:b/>
          <w:bCs/>
          <w:sz w:val="20"/>
        </w:rPr>
        <w:t>10.1.6</w:t>
      </w:r>
      <w:r>
        <w:rPr>
          <w:rFonts w:ascii="Arial" w:hAnsi="Arial" w:cs="Arial"/>
          <w:b/>
          <w:bCs/>
          <w:sz w:val="20"/>
        </w:rPr>
        <w:tab/>
        <w:t>Transfer back from Supreme or County Court to Children’s Court</w:t>
      </w:r>
    </w:p>
    <w:p w14:paraId="1E04A1D0" w14:textId="44F73B9C"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w:t>
      </w:r>
      <w:r w:rsidR="004468BB" w:rsidRPr="00CC7A4B">
        <w:rPr>
          <w:rFonts w:ascii="Arial" w:hAnsi="Arial" w:cs="Arial"/>
          <w:sz w:val="20"/>
          <w:szCs w:val="20"/>
        </w:rPr>
        <w:t>s</w:t>
      </w:r>
      <w:r w:rsidR="001F7216" w:rsidRPr="00CC7A4B">
        <w:rPr>
          <w:rFonts w:ascii="Arial" w:hAnsi="Arial" w:cs="Arial"/>
          <w:sz w:val="20"/>
          <w:szCs w:val="20"/>
        </w:rPr>
        <w:t xml:space="preserve"> 168A(1) </w:t>
      </w:r>
      <w:r w:rsidR="004468BB" w:rsidRPr="00CC7A4B">
        <w:rPr>
          <w:rFonts w:ascii="Arial" w:hAnsi="Arial" w:cs="Arial"/>
          <w:sz w:val="20"/>
          <w:szCs w:val="20"/>
        </w:rPr>
        <w:t xml:space="preserve">&amp; 168A(2) </w:t>
      </w:r>
      <w:r w:rsidR="001F7216" w:rsidRPr="00CC7A4B">
        <w:rPr>
          <w:rFonts w:ascii="Arial" w:hAnsi="Arial" w:cs="Arial"/>
          <w:sz w:val="20"/>
          <w:szCs w:val="20"/>
        </w:rPr>
        <w:t>provide that despite s.168(2), the court may under s.168(1) transfer a charge in respect of an accused who is a child to the Children’s Court if-</w:t>
      </w:r>
    </w:p>
    <w:p w14:paraId="32C06D6C" w14:textId="77777777" w:rsidR="009B0EE1" w:rsidRPr="00CC7A4B" w:rsidRDefault="001F7216">
      <w:pPr>
        <w:numPr>
          <w:ilvl w:val="0"/>
          <w:numId w:val="65"/>
        </w:numPr>
        <w:tabs>
          <w:tab w:val="left" w:pos="357"/>
        </w:tabs>
        <w:ind w:left="357" w:hanging="357"/>
        <w:jc w:val="both"/>
        <w:rPr>
          <w:rFonts w:ascii="Arial" w:hAnsi="Arial" w:cs="Arial"/>
          <w:color w:val="000000"/>
          <w:sz w:val="20"/>
          <w:szCs w:val="20"/>
        </w:rPr>
      </w:pPr>
      <w:r w:rsidRPr="00CC7A4B">
        <w:rPr>
          <w:rFonts w:ascii="Arial" w:hAnsi="Arial" w:cs="Arial"/>
          <w:color w:val="000000"/>
          <w:sz w:val="20"/>
          <w:szCs w:val="20"/>
        </w:rPr>
        <w:t xml:space="preserve">the charge is for a Category A serious youth offence committed when the child was aged 16 years or over, other than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sidRPr="00CC7A4B">
        <w:rPr>
          <w:rFonts w:ascii="Arial" w:hAnsi="Arial" w:cs="Arial"/>
          <w:color w:val="000000"/>
          <w:sz w:val="20"/>
          <w:szCs w:val="20"/>
        </w:rPr>
        <w:t>; and</w:t>
      </w:r>
    </w:p>
    <w:p w14:paraId="1B329F4E"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Children’s Court has refused to hear and determine the charge summarily;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court is satisfied that the sentencing options available to the Children’s Court under the CYFA are adequate to respond to the child’s offending; and</w:t>
      </w:r>
    </w:p>
    <w:p w14:paraId="6C6AA678"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 notwithstanding the intention of Parliament that a charge for a Category A serious youth offence should not normally be heard and determined summarily.</w:t>
      </w:r>
    </w:p>
    <w:p w14:paraId="3A2B16CF" w14:textId="77777777" w:rsidR="009B0EE1" w:rsidRPr="00F97E14" w:rsidRDefault="009B0EE1"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VChC 7.  </w:t>
      </w:r>
      <w:r w:rsidRPr="00F97E14">
        <w:rPr>
          <w:rFonts w:ascii="Arial" w:hAnsi="Arial" w:cs="Arial"/>
          <w:color w:val="000000"/>
          <w:sz w:val="20"/>
        </w:rPr>
        <w:lastRenderedPageBreak/>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So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r w:rsidR="00526AD4" w:rsidRPr="00F97E14">
        <w:rPr>
          <w:rFonts w:ascii="Arial" w:hAnsi="Arial" w:cs="Arial"/>
          <w:i/>
          <w:color w:val="000000"/>
          <w:sz w:val="20"/>
          <w:szCs w:val="20"/>
        </w:rPr>
        <w:t xml:space="preserve">Baini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sub-s.(3)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The prosecution are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 xml:space="preserve">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w:t>
      </w:r>
      <w:r w:rsidRPr="00F97E14">
        <w:rPr>
          <w:rFonts w:ascii="Arial" w:hAnsi="Arial" w:cs="Arial"/>
          <w:color w:val="000000"/>
          <w:sz w:val="20"/>
          <w:szCs w:val="20"/>
        </w:rPr>
        <w:lastRenderedPageBreak/>
        <w:t>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F97E14" w:rsidRDefault="001D7376" w:rsidP="001D7376">
      <w:pPr>
        <w:jc w:val="both"/>
        <w:rPr>
          <w:rFonts w:ascii="Arial" w:hAnsi="Arial" w:cs="Arial"/>
          <w:color w:val="000000"/>
          <w:sz w:val="20"/>
        </w:rPr>
      </w:pPr>
    </w:p>
    <w:p w14:paraId="0512B408" w14:textId="77777777" w:rsidR="00A17C5C" w:rsidRPr="00F97E14" w:rsidRDefault="003D0042" w:rsidP="006C7B2F">
      <w:pPr>
        <w:keepNext/>
        <w:keepLines/>
        <w:jc w:val="both"/>
        <w:rPr>
          <w:rFonts w:ascii="Arial" w:hAnsi="Arial" w:cs="Arial"/>
          <w:color w:val="000000"/>
          <w:sz w:val="20"/>
        </w:rPr>
      </w:pPr>
      <w:r w:rsidRPr="00F97E14">
        <w:rPr>
          <w:rFonts w:ascii="Arial" w:hAnsi="Arial" w:cs="Arial"/>
          <w:color w:val="000000"/>
          <w:sz w:val="20"/>
        </w:rPr>
        <w:t xml:space="preserve">Nevertheless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Default="00692142" w:rsidP="00692142">
      <w:pPr>
        <w:pStyle w:val="Heading2"/>
        <w:tabs>
          <w:tab w:val="left" w:pos="567"/>
        </w:tabs>
        <w:spacing w:line="240" w:lineRule="auto"/>
        <w:rPr>
          <w:rFonts w:ascii="Arial" w:hAnsi="Arial" w:cs="Arial"/>
          <w:sz w:val="18"/>
          <w:szCs w:val="18"/>
        </w:rPr>
      </w:pPr>
    </w:p>
    <w:p w14:paraId="3FB576A3" w14:textId="3ADD37C2" w:rsidR="00DA6D5E" w:rsidRPr="001C3BD4" w:rsidRDefault="00A25EB6" w:rsidP="001C3BD4">
      <w:pPr>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78" w:name="Heading73"/>
      <w:bookmarkEnd w:id="78"/>
    </w:p>
    <w:p w14:paraId="1C3362AB" w14:textId="6C77E5A6" w:rsidR="004A6074" w:rsidRDefault="004A6074" w:rsidP="004A6074">
      <w:pPr>
        <w:pStyle w:val="Heading3"/>
        <w:keepNext/>
        <w:keepLines/>
        <w:widowControl/>
        <w:spacing w:after="120" w:line="240" w:lineRule="auto"/>
        <w:rPr>
          <w:rFonts w:ascii="Arial" w:hAnsi="Arial" w:cs="Arial"/>
          <w:b/>
          <w:bCs/>
          <w:sz w:val="20"/>
        </w:rPr>
      </w:pPr>
      <w:bookmarkStart w:id="79" w:name="_10.1.7_Transfer_of"/>
      <w:bookmarkEnd w:id="79"/>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lastRenderedPageBreak/>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The applicant contends that police charges 23 and 47 were not properly before the sentencing court. Each was an indictable and not a summary offence. Neither were included on the plea indictment. Instead they were erroneously included within the notice of related summary offences. As a result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406ABB91" w14:textId="77777777" w:rsidR="00DE120A" w:rsidRPr="0095662A" w:rsidRDefault="00DE120A" w:rsidP="00DE120A">
      <w:pPr>
        <w:jc w:val="center"/>
        <w:rPr>
          <w:rFonts w:ascii="Arial" w:hAnsi="Arial" w:cs="Arial"/>
          <w:sz w:val="22"/>
          <w:szCs w:val="36"/>
        </w:rPr>
      </w:pPr>
      <w:r w:rsidRPr="0095662A">
        <w:rPr>
          <w:rFonts w:ascii="Arial" w:hAnsi="Arial" w:cs="Arial"/>
          <w:b/>
          <w:bCs/>
          <w:sz w:val="22"/>
          <w:szCs w:val="28"/>
        </w:rPr>
        <w:t>THE REST OF THIS PAGE IS BLANK</w:t>
      </w:r>
    </w:p>
    <w:p w14:paraId="59AA73DB" w14:textId="77777777" w:rsidR="00DE120A" w:rsidRPr="00920BCD"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0" w:name="_10.2_Committal_proceedings"/>
      <w:bookmarkEnd w:id="80"/>
      <w:r w:rsidR="00D7335E" w:rsidRPr="001C3BD4">
        <w:rPr>
          <w:rFonts w:ascii="Arial" w:hAnsi="Arial" w:cs="Arial"/>
          <w:b/>
          <w:bCs/>
        </w:rPr>
        <w:lastRenderedPageBreak/>
        <w:t>10.2</w:t>
      </w:r>
      <w:r w:rsidR="00D7335E" w:rsidRPr="001C3BD4">
        <w:rPr>
          <w:rFonts w:ascii="Arial" w:hAnsi="Arial" w:cs="Arial"/>
          <w:b/>
          <w:bCs/>
        </w:rPr>
        <w:tab/>
        <w:t>Committal proceedings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A7B4FEB" w14:textId="77777777" w:rsidR="00D7335E" w:rsidRPr="008D7208" w:rsidRDefault="00D7335E" w:rsidP="003C4F17">
      <w:pPr>
        <w:keepNext/>
        <w:keepLines/>
        <w:jc w:val="both"/>
        <w:rPr>
          <w:rFonts w:ascii="Arial" w:hAnsi="Arial" w:cs="Arial"/>
          <w:sz w:val="20"/>
        </w:rPr>
      </w:pPr>
    </w:p>
    <w:p w14:paraId="0AB379E1" w14:textId="7354AEF3" w:rsidR="00EA1F3D"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an indictable offence summarily,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 by the accused being committed to stand trial</w:t>
      </w:r>
      <w:r w:rsidR="005672ED">
        <w:rPr>
          <w:rFonts w:ascii="Arial" w:hAnsi="Arial" w:cs="Arial"/>
          <w:sz w:val="20"/>
        </w:rPr>
        <w:t xml:space="preserve"> or by the DPP filing a direct indictment</w:t>
      </w:r>
      <w:r w:rsidR="0034119C">
        <w:rPr>
          <w:rFonts w:ascii="Arial" w:hAnsi="Arial" w:cs="Arial"/>
          <w:sz w:val="20"/>
        </w:rPr>
        <w:t>.</w:t>
      </w:r>
      <w:r w:rsidR="005672ED">
        <w:rPr>
          <w:rFonts w:ascii="Arial" w:hAnsi="Arial" w:cs="Arial"/>
          <w:sz w:val="20"/>
        </w:rPr>
        <w:t xml:space="preserve">  </w:t>
      </w:r>
      <w:r w:rsidR="00113C3C">
        <w:rPr>
          <w:rFonts w:ascii="Arial" w:hAnsi="Arial" w:cs="Arial"/>
          <w:sz w:val="20"/>
        </w:rPr>
        <w:t xml:space="preserve">See s.96 of the </w:t>
      </w:r>
      <w:r w:rsidR="00113C3C" w:rsidRPr="00382273">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29684E86"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 and provides 2 alternative outcomes, namely the Court may either:</w:t>
      </w:r>
    </w:p>
    <w:p w14:paraId="5CD186E0" w14:textId="77777777"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A44CB7">
        <w:rPr>
          <w:rFonts w:ascii="Arial" w:hAnsi="Arial" w:cs="Arial"/>
          <w:sz w:val="20"/>
        </w:rPr>
        <w:t>accused</w:t>
      </w:r>
      <w:r>
        <w:rPr>
          <w:rFonts w:ascii="Arial" w:hAnsi="Arial" w:cs="Arial"/>
          <w:sz w:val="20"/>
        </w:rPr>
        <w:t xml:space="preserve"> be tried in the County Court or the Supreme Court and order that the </w:t>
      </w:r>
      <w:r w:rsidR="00A44CB7">
        <w:rPr>
          <w:rFonts w:ascii="Arial" w:hAnsi="Arial" w:cs="Arial"/>
          <w:sz w:val="20"/>
        </w:rPr>
        <w:t>accused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 or attempted murder 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 see s.36A </w:t>
      </w:r>
      <w:r w:rsidRPr="00E25B40">
        <w:rPr>
          <w:rFonts w:ascii="Arial" w:hAnsi="Arial" w:cs="Arial"/>
          <w:i/>
          <w:iCs/>
          <w:sz w:val="20"/>
        </w:rPr>
        <w:t>County Court Act</w:t>
      </w:r>
      <w:r>
        <w:rPr>
          <w:rFonts w:ascii="Arial" w:hAnsi="Arial" w:cs="Arial"/>
          <w:sz w:val="20"/>
        </w:rPr>
        <w:t>]; or</w:t>
      </w:r>
    </w:p>
    <w:p w14:paraId="6D301D7C" w14:textId="77777777"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t xml:space="preserve">discharge the </w:t>
      </w:r>
      <w:r w:rsidR="00A44CB7">
        <w:rPr>
          <w:rFonts w:ascii="Arial" w:hAnsi="Arial" w:cs="Arial"/>
          <w:sz w:val="20"/>
        </w:rPr>
        <w:t>accused</w:t>
      </w:r>
      <w:r>
        <w:rPr>
          <w:rFonts w:ascii="Arial" w:hAnsi="Arial" w:cs="Arial"/>
          <w:sz w:val="20"/>
        </w:rPr>
        <w:t>.</w:t>
      </w:r>
    </w:p>
    <w:p w14:paraId="69E7FD47" w14:textId="77777777" w:rsidR="00D7335E" w:rsidRDefault="00D7335E">
      <w:pPr>
        <w:jc w:val="both"/>
        <w:rPr>
          <w:rFonts w:ascii="Arial" w:hAnsi="Arial" w:cs="Arial"/>
          <w:sz w:val="20"/>
        </w:rPr>
      </w:pPr>
    </w:p>
    <w:p w14:paraId="03EC87E7" w14:textId="77777777" w:rsidR="00D7335E" w:rsidRDefault="00D7335E">
      <w:pPr>
        <w:pStyle w:val="Heading3"/>
        <w:keepNext/>
        <w:spacing w:after="80" w:line="240" w:lineRule="auto"/>
        <w:rPr>
          <w:rFonts w:ascii="Arial" w:hAnsi="Arial" w:cs="Arial"/>
          <w:b/>
          <w:bCs/>
          <w:sz w:val="20"/>
        </w:rPr>
      </w:pPr>
      <w:bookmarkStart w:id="81" w:name="_10.2.1_Purposes"/>
      <w:bookmarkEnd w:id="81"/>
      <w:r>
        <w:rPr>
          <w:rFonts w:ascii="Arial" w:hAnsi="Arial" w:cs="Arial"/>
          <w:b/>
          <w:bCs/>
          <w:sz w:val="20"/>
        </w:rPr>
        <w:t>10.2.1</w:t>
      </w:r>
      <w:r>
        <w:rPr>
          <w:rFonts w:ascii="Arial" w:hAnsi="Arial" w:cs="Arial"/>
          <w:b/>
          <w:bCs/>
          <w:sz w:val="20"/>
        </w:rPr>
        <w:tab/>
        <w:t>Purpose</w:t>
      </w:r>
      <w:r w:rsidR="007B015D">
        <w:rPr>
          <w:rFonts w:ascii="Arial" w:hAnsi="Arial" w:cs="Arial"/>
          <w:b/>
          <w:bCs/>
          <w:sz w:val="20"/>
        </w:rPr>
        <w:t>s</w:t>
      </w:r>
    </w:p>
    <w:p w14:paraId="24266D1B" w14:textId="77777777" w:rsidR="00D7335E" w:rsidRDefault="00D7335E">
      <w:pPr>
        <w:jc w:val="both"/>
        <w:rPr>
          <w:rFonts w:ascii="Arial" w:hAnsi="Arial" w:cs="Arial"/>
          <w:sz w:val="20"/>
        </w:rPr>
      </w:pPr>
      <w:r>
        <w:rPr>
          <w:rFonts w:ascii="Arial" w:hAnsi="Arial" w:cs="Arial"/>
          <w:sz w:val="20"/>
        </w:rPr>
        <w:t xml:space="preserve">The primary purpose of a committal proceeding </w:t>
      </w:r>
      <w:r w:rsidR="007B015D">
        <w:rPr>
          <w:rFonts w:ascii="Arial" w:hAnsi="Arial" w:cs="Arial"/>
          <w:sz w:val="20"/>
        </w:rPr>
        <w:t>has long been</w:t>
      </w:r>
      <w:r>
        <w:rPr>
          <w:rFonts w:ascii="Arial" w:hAnsi="Arial" w:cs="Arial"/>
          <w:sz w:val="20"/>
        </w:rPr>
        <w:t xml:space="preserve"> to ensure that no person is required to stand trial unless a </w:t>
      </w:r>
      <w:r>
        <w:rPr>
          <w:rFonts w:ascii="Arial" w:hAnsi="Arial" w:cs="Arial"/>
          <w:i/>
          <w:iCs/>
          <w:sz w:val="20"/>
        </w:rPr>
        <w:t>prima facie</w:t>
      </w:r>
      <w:r>
        <w:rPr>
          <w:rFonts w:ascii="Arial" w:hAnsi="Arial" w:cs="Arial"/>
          <w:sz w:val="20"/>
        </w:rPr>
        <w:t xml:space="preserve"> case is made out.  In </w:t>
      </w:r>
      <w:r>
        <w:rPr>
          <w:rFonts w:ascii="Arial" w:hAnsi="Arial" w:cs="Arial"/>
          <w:i/>
          <w:iCs/>
          <w:sz w:val="20"/>
        </w:rPr>
        <w:t>Barton v The Queen</w:t>
      </w:r>
      <w:r>
        <w:rPr>
          <w:rFonts w:ascii="Arial" w:hAnsi="Arial" w:cs="Arial"/>
          <w:sz w:val="20"/>
        </w:rPr>
        <w:t xml:space="preserve"> (1980) 147 CLR 75 Gibbs ACJ &amp; Mason J (with whom Aickin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77777777"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The accused made an oral application for a stay of the trial pending the hearing and determination of a committal proceeding.  Gillard J granted a stay.  At [54] His Honour said:</w:t>
      </w:r>
    </w:p>
    <w:p w14:paraId="037409A7" w14:textId="77777777"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7777777"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73703F">
        <w:rPr>
          <w:rFonts w:ascii="Arial" w:hAnsi="Arial" w:cs="Arial"/>
          <w:sz w:val="20"/>
        </w:rPr>
        <w:t xml:space="preserve">now </w:t>
      </w:r>
      <w:r w:rsidR="00FF75DE">
        <w:rPr>
          <w:rFonts w:ascii="Arial" w:hAnsi="Arial" w:cs="Arial"/>
          <w:sz w:val="20"/>
        </w:rPr>
        <w:t>defines the purposes of a committal proceeding as follows:</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lastRenderedPageBreak/>
        <w:t>(v)</w:t>
      </w:r>
      <w:r>
        <w:rPr>
          <w:rFonts w:ascii="Arial" w:hAnsi="Arial" w:cs="Arial"/>
          <w:sz w:val="20"/>
        </w:rPr>
        <w:tab/>
        <w:t>enabling the issues in contention to be adequately defined.</w:t>
      </w:r>
    </w:p>
    <w:p w14:paraId="360D740C" w14:textId="77777777" w:rsidR="0039721E" w:rsidRDefault="00F55179">
      <w:pPr>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said that s.97 CYFA “reflects legislative confirmation of the purposes of a committal as developed at common law.”</w:t>
      </w:r>
    </w:p>
    <w:p w14:paraId="3D29D331" w14:textId="77777777" w:rsidR="00201765" w:rsidRPr="00F55179" w:rsidRDefault="00201765">
      <w:pPr>
        <w:jc w:val="both"/>
        <w:rPr>
          <w:rFonts w:ascii="Arial" w:hAnsi="Arial" w:cs="Arial"/>
          <w:sz w:val="20"/>
          <w:szCs w:val="32"/>
        </w:rPr>
      </w:pPr>
    </w:p>
    <w:p w14:paraId="0897C8AF" w14:textId="77777777" w:rsidR="00D7335E" w:rsidRDefault="00D7335E">
      <w:pPr>
        <w:pStyle w:val="Heading3"/>
        <w:keepNext/>
        <w:spacing w:after="80" w:line="240" w:lineRule="auto"/>
        <w:rPr>
          <w:rFonts w:ascii="Arial" w:hAnsi="Arial" w:cs="Arial"/>
          <w:b/>
          <w:bCs/>
          <w:sz w:val="20"/>
        </w:rPr>
      </w:pPr>
      <w:bookmarkStart w:id="82" w:name="_10.2.2_Nature_of"/>
      <w:bookmarkEnd w:id="82"/>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committal proceeding</w:t>
      </w:r>
    </w:p>
    <w:p w14:paraId="41FA98CC" w14:textId="77777777" w:rsidR="00D7335E" w:rsidRDefault="00D7335E">
      <w:pPr>
        <w:jc w:val="both"/>
        <w:rPr>
          <w:rFonts w:ascii="Arial" w:hAnsi="Arial" w:cs="Arial"/>
          <w:sz w:val="20"/>
        </w:rPr>
      </w:pPr>
      <w:r>
        <w:rPr>
          <w:rFonts w:ascii="Arial" w:hAnsi="Arial" w:cs="Arial"/>
          <w:sz w:val="20"/>
        </w:rPr>
        <w:t>A committal proceeding may be described as a judicially conducted administrative proceeding.  In</w:t>
      </w:r>
      <w:r w:rsidR="0008628C">
        <w:rPr>
          <w:rFonts w:ascii="Arial" w:hAnsi="Arial" w:cs="Arial"/>
          <w:sz w:val="20"/>
        </w:rPr>
        <w:t>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as "executive in its nature".  In </w:t>
      </w:r>
      <w:r>
        <w:rPr>
          <w:rFonts w:ascii="Arial" w:hAnsi="Arial" w:cs="Arial"/>
          <w:i/>
          <w:iCs/>
          <w:sz w:val="20"/>
        </w:rPr>
        <w:t xml:space="preserve">Potter v Tural and the Magistrates' Court of </w:t>
      </w:r>
      <w:smartTag w:uri="urn:schemas-microsoft-com:office:smarttags" w:element="State">
        <w:smartTag w:uri="urn:schemas-microsoft-com:office:smarttags" w:element="place">
          <w:r>
            <w:rPr>
              <w:rFonts w:ascii="Arial" w:hAnsi="Arial" w:cs="Arial"/>
              <w:i/>
              <w:iCs/>
              <w:sz w:val="20"/>
            </w:rPr>
            <w:t>Victoria</w:t>
          </w:r>
        </w:smartTag>
      </w:smartTag>
      <w:r>
        <w:rPr>
          <w:rFonts w:ascii="Arial" w:hAnsi="Arial" w:cs="Arial"/>
          <w:sz w:val="20"/>
        </w:rPr>
        <w:t xml:space="preserve"> [2000] VSCA 227, Batt J categorised such an order as "ministerial and not judicial".  </w:t>
      </w:r>
      <w:r w:rsidR="00D2564A">
        <w:rPr>
          <w:rFonts w:ascii="Arial" w:hAnsi="Arial" w:cs="Arial"/>
          <w:sz w:val="20"/>
        </w:rPr>
        <w:t xml:space="preserve">See also </w:t>
      </w:r>
      <w:r w:rsidR="00D2564A" w:rsidRPr="00D2564A">
        <w:rPr>
          <w:rFonts w:ascii="Arial" w:hAnsi="Arial" w:cs="Arial"/>
          <w:i/>
          <w:sz w:val="20"/>
        </w:rPr>
        <w:t>Phelan v Allen</w:t>
      </w:r>
      <w:r w:rsidR="00D2564A">
        <w:rPr>
          <w:rFonts w:ascii="Arial" w:hAnsi="Arial" w:cs="Arial"/>
          <w:sz w:val="20"/>
        </w:rPr>
        <w:t xml:space="preserve"> [1970] VR 219; </w:t>
      </w:r>
      <w:r w:rsidR="00D2564A" w:rsidRPr="00D2564A">
        <w:rPr>
          <w:rFonts w:ascii="Arial" w:hAnsi="Arial" w:cs="Arial"/>
          <w:i/>
          <w:sz w:val="20"/>
        </w:rPr>
        <w:t>Mokbel v DPP (Vic) &amp; Ors</w:t>
      </w:r>
      <w:r w:rsidR="00D2564A">
        <w:rPr>
          <w:rFonts w:ascii="Arial" w:hAnsi="Arial" w:cs="Arial"/>
          <w:sz w:val="20"/>
        </w:rPr>
        <w:t xml:space="preserve"> [2008] VSC 433 at [27] per Kaye J.  </w:t>
      </w:r>
      <w:r w:rsidR="0008628C">
        <w:rPr>
          <w:rFonts w:ascii="Arial" w:hAnsi="Arial" w:cs="Arial"/>
          <w:sz w:val="20"/>
        </w:rPr>
        <w:t>In </w:t>
      </w:r>
      <w:r w:rsidR="0008628C" w:rsidRPr="0008628C">
        <w:rPr>
          <w:rFonts w:ascii="Arial" w:hAnsi="Arial" w:cs="Arial"/>
          <w:i/>
          <w:iCs/>
          <w:sz w:val="20"/>
        </w:rPr>
        <w:t>Williams v Hand and Anor</w:t>
      </w:r>
      <w:r w:rsidR="0008628C">
        <w:rPr>
          <w:rFonts w:ascii="Arial" w:hAnsi="Arial" w:cs="Arial"/>
          <w:sz w:val="20"/>
        </w:rPr>
        <w:t xml:space="preserve"> [2014] VSC 527 at [57] McDonald J listed some fundamental practical differences between a committal proceeding and a summary hearing of indictable offences.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7777777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85010D" w:rsidRDefault="007162E2" w:rsidP="007162E2">
      <w:pPr>
        <w:jc w:val="both"/>
        <w:rPr>
          <w:rFonts w:ascii="Arial" w:hAnsi="Arial" w:cs="Arial"/>
          <w:sz w:val="12"/>
          <w:szCs w:val="22"/>
        </w:rPr>
      </w:pPr>
    </w:p>
    <w:p w14:paraId="7F22F6FD" w14:textId="77777777" w:rsidR="008B3618" w:rsidRDefault="008B3618" w:rsidP="007162E2">
      <w:pPr>
        <w:jc w:val="both"/>
        <w:rPr>
          <w:rFonts w:ascii="Arial" w:hAnsi="Arial" w:cs="Arial"/>
          <w:sz w:val="20"/>
        </w:rPr>
      </w:pPr>
      <w:r>
        <w:rPr>
          <w:rFonts w:ascii="Arial" w:hAnsi="Arial" w:cs="Arial"/>
          <w:sz w:val="20"/>
        </w:rPr>
        <w:t xml:space="preserve">Section 155 of the </w:t>
      </w:r>
      <w:r w:rsidR="0088456E">
        <w:rPr>
          <w:rFonts w:ascii="Arial" w:hAnsi="Arial" w:cs="Arial"/>
          <w:sz w:val="20"/>
        </w:rPr>
        <w:t>CPA states that nothing in the CPA alters the nature of a committal proceeding from that existing immediately before the commencement of s.155.</w:t>
      </w:r>
    </w:p>
    <w:p w14:paraId="7B6A49C2" w14:textId="77777777" w:rsidR="008B3618" w:rsidRPr="00AD2716" w:rsidRDefault="008B3618" w:rsidP="007162E2">
      <w:pPr>
        <w:jc w:val="both"/>
        <w:rPr>
          <w:rFonts w:ascii="Arial" w:hAnsi="Arial" w:cs="Arial"/>
          <w:sz w:val="14"/>
        </w:rPr>
      </w:pPr>
    </w:p>
    <w:p w14:paraId="379C8F70" w14:textId="77777777" w:rsidR="007162E2" w:rsidRDefault="007162E2" w:rsidP="007162E2">
      <w:pPr>
        <w:pStyle w:val="Heading3"/>
        <w:keepNext/>
        <w:spacing w:after="80" w:line="240" w:lineRule="auto"/>
        <w:rPr>
          <w:rFonts w:ascii="Arial" w:hAnsi="Arial" w:cs="Arial"/>
          <w:b/>
          <w:bCs/>
          <w:sz w:val="20"/>
        </w:rPr>
      </w:pPr>
      <w:bookmarkStart w:id="83" w:name="_10.2.3_Hearings,_case"/>
      <w:bookmarkEnd w:id="83"/>
      <w:r>
        <w:rPr>
          <w:rFonts w:ascii="Arial" w:hAnsi="Arial" w:cs="Arial"/>
          <w:b/>
          <w:bCs/>
          <w:sz w:val="20"/>
        </w:rPr>
        <w:t>10.2.3</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6E7C62">
        <w:rPr>
          <w:rFonts w:ascii="Arial" w:hAnsi="Arial" w:cs="Arial"/>
          <w:b/>
          <w:bCs/>
          <w:sz w:val="20"/>
        </w:rPr>
        <w:t>, case direction</w:t>
      </w:r>
      <w:r>
        <w:rPr>
          <w:rFonts w:ascii="Arial" w:hAnsi="Arial" w:cs="Arial"/>
          <w:b/>
          <w:bCs/>
          <w:sz w:val="20"/>
        </w:rPr>
        <w:t xml:space="preserve"> and procedure</w:t>
      </w:r>
    </w:p>
    <w:p w14:paraId="0C378E30" w14:textId="77777777" w:rsidR="005E0AE9" w:rsidRDefault="005E0AE9" w:rsidP="007162E2">
      <w:pPr>
        <w:jc w:val="both"/>
        <w:rPr>
          <w:rFonts w:ascii="Arial" w:hAnsi="Arial" w:cs="Arial"/>
          <w:sz w:val="20"/>
        </w:rPr>
      </w:pPr>
      <w:r>
        <w:rPr>
          <w:rFonts w:ascii="Arial" w:hAnsi="Arial" w:cs="Arial"/>
          <w:sz w:val="20"/>
        </w:rPr>
        <w:t xml:space="preserve">Section 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  Read in conjunction with s.528(2) of the CYFA, these hearing types and the associated procedures are also applicable in the Children’s Court:</w:t>
      </w:r>
    </w:p>
    <w:p w14:paraId="4A567A63" w14:textId="77777777" w:rsidR="007162E2" w:rsidRDefault="007162E2" w:rsidP="00FE529F">
      <w:pPr>
        <w:spacing w:before="40"/>
        <w:ind w:left="357" w:hanging="357"/>
        <w:jc w:val="both"/>
        <w:rPr>
          <w:rFonts w:ascii="Arial" w:hAnsi="Arial" w:cs="Arial"/>
          <w:sz w:val="20"/>
        </w:rPr>
      </w:pPr>
      <w:r>
        <w:rPr>
          <w:rFonts w:ascii="Arial" w:hAnsi="Arial" w:cs="Arial"/>
          <w:sz w:val="20"/>
        </w:rPr>
        <w:t>(a)</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77777777" w:rsidR="007162E2" w:rsidRDefault="005A3041" w:rsidP="00FE529F">
      <w:pPr>
        <w:spacing w:before="40"/>
        <w:ind w:left="357" w:hanging="357"/>
        <w:jc w:val="both"/>
        <w:rPr>
          <w:rFonts w:ascii="Arial" w:hAnsi="Arial" w:cs="Arial"/>
          <w:sz w:val="20"/>
        </w:rPr>
      </w:pPr>
      <w:r>
        <w:rPr>
          <w:rFonts w:ascii="Arial" w:hAnsi="Arial" w:cs="Arial"/>
          <w:sz w:val="20"/>
        </w:rPr>
        <w:t>(b)</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77777777" w:rsidR="007162E2" w:rsidRPr="0085010D" w:rsidRDefault="005A3041" w:rsidP="00FE529F">
      <w:pPr>
        <w:spacing w:before="40"/>
        <w:ind w:left="357" w:hanging="357"/>
        <w:jc w:val="both"/>
        <w:rPr>
          <w:rFonts w:ascii="Arial" w:hAnsi="Arial" w:cs="Arial"/>
          <w:sz w:val="20"/>
          <w:szCs w:val="20"/>
        </w:rPr>
      </w:pPr>
      <w:r>
        <w:rPr>
          <w:rFonts w:ascii="Arial" w:hAnsi="Arial" w:cs="Arial"/>
          <w:sz w:val="20"/>
        </w:rPr>
        <w:t>(c)</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77777777" w:rsidR="007162E2" w:rsidRDefault="007162E2" w:rsidP="00FE529F">
      <w:pPr>
        <w:spacing w:before="40"/>
        <w:ind w:left="357" w:hanging="357"/>
        <w:jc w:val="both"/>
        <w:rPr>
          <w:rFonts w:ascii="Arial" w:hAnsi="Arial" w:cs="Arial"/>
          <w:sz w:val="20"/>
        </w:rPr>
      </w:pPr>
      <w:r>
        <w:rPr>
          <w:rFonts w:ascii="Arial" w:hAnsi="Arial" w:cs="Arial"/>
          <w:sz w:val="20"/>
        </w:rPr>
        <w:t>(d)</w:t>
      </w:r>
      <w:r>
        <w:rPr>
          <w:rFonts w:ascii="Arial" w:hAnsi="Arial" w:cs="Arial"/>
          <w:sz w:val="20"/>
        </w:rPr>
        <w:tab/>
      </w:r>
      <w:r w:rsidR="0088456E" w:rsidRPr="0088456E">
        <w:rPr>
          <w:rFonts w:ascii="Arial" w:hAnsi="Arial" w:cs="Arial"/>
          <w:b/>
          <w:sz w:val="20"/>
          <w:u w:val="single"/>
        </w:rPr>
        <w:t>Committal mention hearing</w:t>
      </w:r>
      <w:r w:rsidR="005E0AE9">
        <w:rPr>
          <w:rFonts w:ascii="Arial" w:hAnsi="Arial" w:cs="Arial"/>
          <w:sz w:val="20"/>
        </w:rPr>
        <w:t xml:space="preserve"> [ss.125-126]: </w:t>
      </w:r>
      <w:r w:rsidR="004A3166">
        <w:rPr>
          <w:rFonts w:ascii="Arial" w:hAnsi="Arial" w:cs="Arial"/>
          <w:sz w:val="20"/>
        </w:rPr>
        <w:t>The Court may</w:t>
      </w:r>
      <w:r w:rsidR="00AF37D7">
        <w:rPr>
          <w:rFonts w:ascii="Arial" w:hAnsi="Arial" w:cs="Arial"/>
          <w:sz w:val="20"/>
        </w:rPr>
        <w:t>-</w:t>
      </w:r>
    </w:p>
    <w:p w14:paraId="3042A9E6" w14:textId="77777777" w:rsidR="004A3166" w:rsidRDefault="004A3166" w:rsidP="004A3166">
      <w:pPr>
        <w:ind w:left="357" w:hanging="357"/>
        <w:jc w:val="both"/>
        <w:rPr>
          <w:rFonts w:ascii="Arial" w:hAnsi="Arial" w:cs="Arial"/>
          <w:sz w:val="20"/>
        </w:rPr>
      </w:pPr>
      <w:r>
        <w:rPr>
          <w:rFonts w:ascii="Arial" w:hAnsi="Arial" w:cs="Arial"/>
          <w:sz w:val="20"/>
        </w:rPr>
        <w:tab/>
        <w:t>(i)</w:t>
      </w:r>
      <w:r>
        <w:rPr>
          <w:rFonts w:ascii="Arial" w:hAnsi="Arial" w:cs="Arial"/>
          <w:sz w:val="20"/>
        </w:rPr>
        <w:tab/>
        <w:t>immediately determine the committal proceeding;</w:t>
      </w:r>
    </w:p>
    <w:p w14:paraId="087C9714" w14:textId="77777777" w:rsidR="004A3166" w:rsidRDefault="004A3166" w:rsidP="004A3166">
      <w:pPr>
        <w:ind w:left="357" w:hanging="357"/>
        <w:jc w:val="both"/>
        <w:rPr>
          <w:rFonts w:ascii="Arial" w:hAnsi="Arial" w:cs="Arial"/>
          <w:sz w:val="20"/>
        </w:rPr>
      </w:pPr>
      <w:r>
        <w:rPr>
          <w:rFonts w:ascii="Arial" w:hAnsi="Arial" w:cs="Arial"/>
          <w:sz w:val="20"/>
        </w:rPr>
        <w:tab/>
        <w:t>(ii)</w:t>
      </w:r>
      <w:r>
        <w:rPr>
          <w:rFonts w:ascii="Arial" w:hAnsi="Arial" w:cs="Arial"/>
          <w:sz w:val="20"/>
        </w:rPr>
        <w:tab/>
        <w:t>offer a summary hearing or determine an application for a summary hearing;</w:t>
      </w:r>
    </w:p>
    <w:p w14:paraId="2EBC886C" w14:textId="77777777" w:rsidR="004A3166" w:rsidRDefault="004A3166" w:rsidP="004268E4">
      <w:pPr>
        <w:ind w:left="720" w:hanging="363"/>
        <w:jc w:val="both"/>
        <w:rPr>
          <w:rFonts w:ascii="Arial" w:hAnsi="Arial" w:cs="Arial"/>
          <w:sz w:val="20"/>
        </w:rPr>
      </w:pPr>
      <w:r>
        <w:rPr>
          <w:rFonts w:ascii="Arial" w:hAnsi="Arial" w:cs="Arial"/>
          <w:sz w:val="20"/>
        </w:rPr>
        <w:t>(iii)</w:t>
      </w:r>
      <w:r>
        <w:rPr>
          <w:rFonts w:ascii="Arial" w:hAnsi="Arial" w:cs="Arial"/>
          <w:sz w:val="20"/>
        </w:rPr>
        <w:tab/>
        <w:t>hear and determine an application for leave to cross-examine a witness, as to which see s.</w:t>
      </w:r>
      <w:r w:rsidR="004268E4">
        <w:rPr>
          <w:rFonts w:ascii="Arial" w:hAnsi="Arial" w:cs="Arial"/>
          <w:sz w:val="20"/>
        </w:rPr>
        <w:t>124;</w:t>
      </w:r>
    </w:p>
    <w:p w14:paraId="11CA6CE1" w14:textId="77777777" w:rsidR="004A3166" w:rsidRDefault="004A3166" w:rsidP="004A3166">
      <w:pPr>
        <w:ind w:left="357" w:hanging="357"/>
        <w:jc w:val="both"/>
        <w:rPr>
          <w:rFonts w:ascii="Arial" w:hAnsi="Arial" w:cs="Arial"/>
          <w:sz w:val="20"/>
        </w:rPr>
      </w:pPr>
      <w:r>
        <w:rPr>
          <w:rFonts w:ascii="Arial" w:hAnsi="Arial" w:cs="Arial"/>
          <w:sz w:val="20"/>
        </w:rPr>
        <w:tab/>
        <w:t>(iv)</w:t>
      </w:r>
      <w:r>
        <w:rPr>
          <w:rFonts w:ascii="Arial" w:hAnsi="Arial" w:cs="Arial"/>
          <w:sz w:val="20"/>
        </w:rPr>
        <w:tab/>
        <w:t>fix a date for a committal hearing;</w:t>
      </w:r>
    </w:p>
    <w:p w14:paraId="1DBFBED2" w14:textId="77777777" w:rsidR="004A3166" w:rsidRDefault="004A3166" w:rsidP="004A3166">
      <w:pPr>
        <w:ind w:left="357" w:hanging="357"/>
        <w:jc w:val="both"/>
        <w:rPr>
          <w:rFonts w:ascii="Arial" w:hAnsi="Arial" w:cs="Arial"/>
          <w:sz w:val="20"/>
        </w:rPr>
      </w:pPr>
      <w:r>
        <w:rPr>
          <w:rFonts w:ascii="Arial" w:hAnsi="Arial" w:cs="Arial"/>
          <w:sz w:val="20"/>
        </w:rPr>
        <w:tab/>
        <w:t>(v)</w:t>
      </w:r>
      <w:r>
        <w:rPr>
          <w:rFonts w:ascii="Arial" w:hAnsi="Arial" w:cs="Arial"/>
          <w:sz w:val="20"/>
        </w:rPr>
        <w:tab/>
        <w:t>hear and determine any objection to disclosure of material</w:t>
      </w:r>
      <w:r w:rsidR="004268E4">
        <w:rPr>
          <w:rFonts w:ascii="Arial" w:hAnsi="Arial" w:cs="Arial"/>
          <w:sz w:val="20"/>
        </w:rPr>
        <w:t>;</w:t>
      </w:r>
    </w:p>
    <w:p w14:paraId="600831EA" w14:textId="77777777" w:rsidR="004A3166" w:rsidRDefault="004A3166" w:rsidP="004A3166">
      <w:pPr>
        <w:ind w:left="357" w:hanging="357"/>
        <w:jc w:val="both"/>
        <w:rPr>
          <w:rFonts w:ascii="Arial" w:hAnsi="Arial" w:cs="Arial"/>
          <w:sz w:val="20"/>
        </w:rPr>
      </w:pPr>
      <w:r>
        <w:rPr>
          <w:rFonts w:ascii="Arial" w:hAnsi="Arial" w:cs="Arial"/>
          <w:sz w:val="20"/>
        </w:rPr>
        <w:tab/>
        <w:t>(vi)</w:t>
      </w:r>
      <w:r>
        <w:rPr>
          <w:rFonts w:ascii="Arial" w:hAnsi="Arial" w:cs="Arial"/>
          <w:sz w:val="20"/>
        </w:rPr>
        <w:tab/>
        <w:t>fix another date for a committal mention hearing;</w:t>
      </w:r>
    </w:p>
    <w:p w14:paraId="356FBD9E" w14:textId="77777777" w:rsidR="004A3166" w:rsidRDefault="004A3166" w:rsidP="004A3166">
      <w:pPr>
        <w:ind w:left="357" w:hanging="357"/>
        <w:jc w:val="both"/>
        <w:rPr>
          <w:rFonts w:ascii="Arial" w:hAnsi="Arial" w:cs="Arial"/>
          <w:sz w:val="20"/>
        </w:rPr>
      </w:pPr>
      <w:r>
        <w:rPr>
          <w:rFonts w:ascii="Arial" w:hAnsi="Arial" w:cs="Arial"/>
          <w:sz w:val="20"/>
        </w:rPr>
        <w:tab/>
        <w:t>(vii)</w:t>
      </w:r>
      <w:r>
        <w:rPr>
          <w:rFonts w:ascii="Arial" w:hAnsi="Arial" w:cs="Arial"/>
          <w:sz w:val="20"/>
        </w:rPr>
        <w:tab/>
        <w:t>make any other order or give any direction that the court considers appropriate.</w:t>
      </w:r>
    </w:p>
    <w:p w14:paraId="1ACA278C" w14:textId="77777777" w:rsidR="007162E2" w:rsidRDefault="007162E2" w:rsidP="00FE529F">
      <w:pPr>
        <w:spacing w:before="40"/>
        <w:ind w:left="357" w:hanging="357"/>
        <w:jc w:val="both"/>
        <w:rPr>
          <w:rFonts w:ascii="Arial" w:hAnsi="Arial" w:cs="Arial"/>
          <w:sz w:val="20"/>
        </w:rPr>
      </w:pPr>
      <w:r>
        <w:rPr>
          <w:rFonts w:ascii="Arial" w:hAnsi="Arial" w:cs="Arial"/>
          <w:sz w:val="20"/>
        </w:rPr>
        <w:t>(e)</w:t>
      </w:r>
      <w:r>
        <w:rPr>
          <w:rFonts w:ascii="Arial" w:hAnsi="Arial" w:cs="Arial"/>
          <w:sz w:val="20"/>
        </w:rPr>
        <w:tab/>
      </w:r>
      <w:r w:rsidR="0088456E" w:rsidRPr="0088456E">
        <w:rPr>
          <w:rFonts w:ascii="Arial" w:hAnsi="Arial" w:cs="Arial"/>
          <w:b/>
          <w:sz w:val="20"/>
          <w:u w:val="single"/>
        </w:rPr>
        <w:t>Committal case conference</w:t>
      </w:r>
      <w:r w:rsidR="004A3166" w:rsidRPr="004A3166">
        <w:rPr>
          <w:rFonts w:ascii="Arial" w:hAnsi="Arial" w:cs="Arial"/>
          <w:sz w:val="20"/>
        </w:rPr>
        <w:t xml:space="preserve"> [s.127]</w:t>
      </w:r>
      <w:r w:rsidR="0088456E">
        <w:rPr>
          <w:rFonts w:ascii="Arial" w:hAnsi="Arial" w:cs="Arial"/>
          <w:sz w:val="20"/>
        </w:rPr>
        <w:t xml:space="preserve">: </w:t>
      </w:r>
      <w:r w:rsidR="004A3166">
        <w:rPr>
          <w:rFonts w:ascii="Arial" w:hAnsi="Arial" w:cs="Arial"/>
          <w:sz w:val="20"/>
        </w:rPr>
        <w:t xml:space="preserve">A committal case conference, conducted by a judicial officer, should be conducted on the date of the committal mention hearing wherever practicable. </w:t>
      </w:r>
      <w:r w:rsidR="009A4B05" w:rsidRPr="009A4B05">
        <w:rPr>
          <w:rFonts w:ascii="Arial" w:hAnsi="Arial" w:cs="Arial"/>
          <w:sz w:val="20"/>
          <w:szCs w:val="20"/>
        </w:rPr>
        <w:t xml:space="preserve">Its purpose is to </w:t>
      </w:r>
      <w:r w:rsidR="009A4B05" w:rsidRPr="009A4B05">
        <w:rPr>
          <w:rFonts w:ascii="Arial" w:hAnsi="Arial" w:cs="Arial"/>
          <w:iCs/>
          <w:sz w:val="20"/>
          <w:szCs w:val="20"/>
        </w:rPr>
        <w:t>assist the effective management of the committal proceeding and timely resolution of issues</w:t>
      </w:r>
      <w:r w:rsidR="009A4B05">
        <w:rPr>
          <w:rFonts w:ascii="Arial" w:hAnsi="Arial" w:cs="Arial"/>
          <w:iCs/>
          <w:sz w:val="20"/>
          <w:szCs w:val="20"/>
        </w:rPr>
        <w:t>: see Rule 2.06L(2) CCV Rules.</w:t>
      </w:r>
      <w:r w:rsidR="004A3166" w:rsidRPr="009A4B05">
        <w:rPr>
          <w:rFonts w:ascii="Arial" w:hAnsi="Arial" w:cs="Arial"/>
          <w:sz w:val="20"/>
          <w:szCs w:val="20"/>
        </w:rPr>
        <w:t xml:space="preserve"> The contents of a conference </w:t>
      </w:r>
      <w:r w:rsidR="004A3166">
        <w:rPr>
          <w:rFonts w:ascii="Arial" w:hAnsi="Arial" w:cs="Arial"/>
          <w:sz w:val="20"/>
        </w:rPr>
        <w:t xml:space="preserve">are </w:t>
      </w:r>
      <w:r w:rsidR="009A4B05">
        <w:rPr>
          <w:rFonts w:ascii="Arial" w:hAnsi="Arial" w:cs="Arial"/>
          <w:sz w:val="20"/>
        </w:rPr>
        <w:t xml:space="preserve">generally </w:t>
      </w:r>
      <w:r w:rsidR="004A3166">
        <w:rPr>
          <w:rFonts w:ascii="Arial" w:hAnsi="Arial" w:cs="Arial"/>
          <w:sz w:val="20"/>
        </w:rPr>
        <w:t>privileged unless all parties to the conference agree otherwise.</w:t>
      </w:r>
    </w:p>
    <w:p w14:paraId="585BF4D5" w14:textId="77777777" w:rsidR="007162E2" w:rsidRDefault="007162E2" w:rsidP="00991CDF">
      <w:pPr>
        <w:spacing w:before="40"/>
        <w:ind w:left="357" w:hanging="357"/>
        <w:jc w:val="both"/>
        <w:rPr>
          <w:rFonts w:ascii="Arial" w:hAnsi="Arial" w:cs="Arial"/>
          <w:sz w:val="20"/>
        </w:rPr>
      </w:pPr>
      <w:r>
        <w:rPr>
          <w:rFonts w:ascii="Arial" w:hAnsi="Arial" w:cs="Arial"/>
          <w:sz w:val="20"/>
        </w:rPr>
        <w:t>(f)</w:t>
      </w:r>
      <w:r>
        <w:rPr>
          <w:rFonts w:ascii="Arial" w:hAnsi="Arial" w:cs="Arial"/>
          <w:sz w:val="20"/>
        </w:rPr>
        <w:tab/>
      </w:r>
      <w:r w:rsidR="0088456E" w:rsidRPr="0088456E">
        <w:rPr>
          <w:rFonts w:ascii="Arial" w:hAnsi="Arial" w:cs="Arial"/>
          <w:b/>
          <w:sz w:val="20"/>
          <w:u w:val="single"/>
        </w:rPr>
        <w:t>Commital hearing</w:t>
      </w:r>
      <w:r w:rsidR="004A3166">
        <w:rPr>
          <w:rFonts w:ascii="Arial" w:hAnsi="Arial" w:cs="Arial"/>
          <w:sz w:val="20"/>
        </w:rPr>
        <w:t xml:space="preserve"> [ss.128-144]</w:t>
      </w:r>
      <w:r w:rsidR="0088456E">
        <w:rPr>
          <w:rFonts w:ascii="Arial" w:hAnsi="Arial" w:cs="Arial"/>
          <w:sz w:val="20"/>
        </w:rPr>
        <w:t xml:space="preserve">: </w:t>
      </w:r>
      <w:r w:rsidR="0096405A">
        <w:rPr>
          <w:rFonts w:ascii="Arial" w:hAnsi="Arial" w:cs="Arial"/>
          <w:sz w:val="20"/>
        </w:rPr>
        <w:t>The Court</w:t>
      </w:r>
      <w:r w:rsidR="00AF37D7">
        <w:rPr>
          <w:rFonts w:ascii="Arial" w:hAnsi="Arial" w:cs="Arial"/>
          <w:sz w:val="20"/>
        </w:rPr>
        <w:t>-</w:t>
      </w:r>
    </w:p>
    <w:p w14:paraId="5ACC7A73" w14:textId="77777777" w:rsidR="0096405A" w:rsidRDefault="0096405A" w:rsidP="0096405A">
      <w:pPr>
        <w:ind w:left="357" w:hanging="357"/>
        <w:jc w:val="both"/>
        <w:rPr>
          <w:rFonts w:ascii="Arial" w:hAnsi="Arial" w:cs="Arial"/>
          <w:sz w:val="20"/>
        </w:rPr>
      </w:pPr>
      <w:r>
        <w:rPr>
          <w:rFonts w:ascii="Arial" w:hAnsi="Arial" w:cs="Arial"/>
          <w:sz w:val="20"/>
        </w:rPr>
        <w:tab/>
        <w:t>(i)</w:t>
      </w:r>
      <w:r>
        <w:rPr>
          <w:rFonts w:ascii="Arial" w:hAnsi="Arial" w:cs="Arial"/>
          <w:sz w:val="20"/>
        </w:rPr>
        <w:tab/>
        <w:t>may offer a summary hearing or determine an application for a summary hearing;</w:t>
      </w:r>
    </w:p>
    <w:p w14:paraId="71827D45" w14:textId="77777777" w:rsidR="0096405A" w:rsidRDefault="0096405A" w:rsidP="0096405A">
      <w:pPr>
        <w:ind w:left="357" w:hanging="357"/>
        <w:jc w:val="both"/>
        <w:rPr>
          <w:rFonts w:ascii="Arial" w:hAnsi="Arial" w:cs="Arial"/>
          <w:sz w:val="20"/>
        </w:rPr>
      </w:pPr>
      <w:r>
        <w:rPr>
          <w:rFonts w:ascii="Arial" w:hAnsi="Arial" w:cs="Arial"/>
          <w:sz w:val="20"/>
        </w:rPr>
        <w:tab/>
        <w:t>(ii)</w:t>
      </w:r>
      <w:r>
        <w:rPr>
          <w:rFonts w:ascii="Arial" w:hAnsi="Arial" w:cs="Arial"/>
          <w:sz w:val="20"/>
        </w:rPr>
        <w:tab/>
        <w:t>may hear evidence in accordance with s.130;</w:t>
      </w:r>
    </w:p>
    <w:p w14:paraId="360CA4B2" w14:textId="77777777" w:rsidR="0096405A" w:rsidRDefault="0096405A" w:rsidP="00AF37D7">
      <w:pPr>
        <w:ind w:left="720" w:hanging="363"/>
        <w:jc w:val="both"/>
        <w:rPr>
          <w:rFonts w:ascii="Arial" w:hAnsi="Arial" w:cs="Arial"/>
          <w:sz w:val="20"/>
        </w:rPr>
      </w:pPr>
      <w:r>
        <w:rPr>
          <w:rFonts w:ascii="Arial" w:hAnsi="Arial" w:cs="Arial"/>
          <w:sz w:val="20"/>
        </w:rPr>
        <w:lastRenderedPageBreak/>
        <w:t>(iii)</w:t>
      </w:r>
      <w:r>
        <w:rPr>
          <w:rFonts w:ascii="Arial" w:hAnsi="Arial" w:cs="Arial"/>
          <w:sz w:val="20"/>
        </w:rPr>
        <w:tab/>
        <w:t>if the committal hearing proceeds, must determine, in accordance with s.141, whether there is evidence of suffic</w:t>
      </w:r>
      <w:r w:rsidR="00AF37D7">
        <w:rPr>
          <w:rFonts w:ascii="Arial" w:hAnsi="Arial" w:cs="Arial"/>
          <w:sz w:val="20"/>
        </w:rPr>
        <w:t>ie</w:t>
      </w:r>
      <w:r>
        <w:rPr>
          <w:rFonts w:ascii="Arial" w:hAnsi="Arial" w:cs="Arial"/>
          <w:sz w:val="20"/>
        </w:rPr>
        <w:t xml:space="preserve">nt weight to support a conviction; </w:t>
      </w:r>
    </w:p>
    <w:p w14:paraId="1E171868" w14:textId="77777777" w:rsidR="0096405A" w:rsidRDefault="0096405A" w:rsidP="0096405A">
      <w:pPr>
        <w:ind w:left="357" w:hanging="357"/>
        <w:jc w:val="both"/>
        <w:rPr>
          <w:rFonts w:ascii="Arial" w:hAnsi="Arial" w:cs="Arial"/>
          <w:sz w:val="20"/>
        </w:rPr>
      </w:pPr>
      <w:r>
        <w:rPr>
          <w:rFonts w:ascii="Arial" w:hAnsi="Arial" w:cs="Arial"/>
          <w:sz w:val="20"/>
        </w:rPr>
        <w:tab/>
        <w:t>(iv)</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77101C27" w14:textId="77777777" w:rsidR="007162E2" w:rsidRPr="00F62D57" w:rsidRDefault="007162E2" w:rsidP="0008023B">
      <w:pPr>
        <w:ind w:left="357" w:hanging="357"/>
        <w:jc w:val="both"/>
        <w:rPr>
          <w:rFonts w:ascii="Arial" w:hAnsi="Arial" w:cs="Arial"/>
          <w:sz w:val="18"/>
        </w:rPr>
      </w:pPr>
    </w:p>
    <w:p w14:paraId="40150439" w14:textId="77777777" w:rsidR="007162E2" w:rsidRDefault="007162E2" w:rsidP="0008023B">
      <w:pPr>
        <w:jc w:val="both"/>
        <w:rPr>
          <w:rFonts w:ascii="Arial" w:hAnsi="Arial" w:cs="Arial"/>
          <w:sz w:val="20"/>
        </w:rPr>
      </w:pPr>
      <w:r>
        <w:rPr>
          <w:rFonts w:ascii="Arial" w:hAnsi="Arial" w:cs="Arial"/>
          <w:sz w:val="20"/>
        </w:rPr>
        <w:t>Section 100</w:t>
      </w:r>
      <w:r w:rsidR="0088456E">
        <w:rPr>
          <w:rFonts w:ascii="Arial" w:hAnsi="Arial" w:cs="Arial"/>
          <w:sz w:val="20"/>
        </w:rPr>
        <w:t>(2) of the CPA requires the accused to attend all hearings in the committal proceeding unless excused under s.135 or s.330.</w:t>
      </w:r>
    </w:p>
    <w:p w14:paraId="014FC285" w14:textId="77777777" w:rsidR="0008023B" w:rsidRPr="00F62D57" w:rsidRDefault="0008023B" w:rsidP="0008023B">
      <w:pPr>
        <w:jc w:val="both"/>
        <w:rPr>
          <w:rFonts w:ascii="Arial" w:hAnsi="Arial" w:cs="Arial"/>
          <w:sz w:val="18"/>
        </w:rPr>
      </w:pPr>
    </w:p>
    <w:p w14:paraId="6BE62A8D" w14:textId="77777777" w:rsidR="004A0CA9" w:rsidRDefault="00D7335E" w:rsidP="000802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(Cth)</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43DCCF7B" w14:textId="77777777" w:rsidR="00812B40"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r w:rsidR="00611384">
        <w:rPr>
          <w:rFonts w:ascii="Arial" w:hAnsi="Arial" w:cs="Arial"/>
          <w:sz w:val="20"/>
        </w:rPr>
        <w:t xml:space="preserve">  </w:t>
      </w:r>
      <w:r w:rsidR="00812B40">
        <w:rPr>
          <w:rFonts w:ascii="Arial" w:hAnsi="Arial" w:cs="Arial"/>
          <w:sz w:val="20"/>
        </w:rPr>
        <w:t>Sections 118-1</w:t>
      </w:r>
      <w:r w:rsidR="00445A0A">
        <w:rPr>
          <w:rFonts w:ascii="Arial" w:hAnsi="Arial" w:cs="Arial"/>
          <w:sz w:val="20"/>
        </w:rPr>
        <w:t>19</w:t>
      </w:r>
      <w:r w:rsidR="00812B40">
        <w:rPr>
          <w:rFonts w:ascii="Arial" w:hAnsi="Arial" w:cs="Arial"/>
          <w:sz w:val="20"/>
        </w:rPr>
        <w:t xml:space="preserve"> relate to a case direction notice and contents thereof.  This includes</w:t>
      </w:r>
      <w:r w:rsidR="006E7C62">
        <w:rPr>
          <w:rFonts w:ascii="Arial" w:hAnsi="Arial" w:cs="Arial"/>
          <w:sz w:val="20"/>
        </w:rPr>
        <w:t>,</w:t>
      </w:r>
      <w:r w:rsidR="00812B40">
        <w:rPr>
          <w:rFonts w:ascii="Arial" w:hAnsi="Arial" w:cs="Arial"/>
          <w:sz w:val="20"/>
        </w:rPr>
        <w:t xml:space="preserve"> in paragraphs (c) &amp; (d) of s.119</w:t>
      </w:r>
      <w:r w:rsidR="006E7C62">
        <w:rPr>
          <w:rFonts w:ascii="Arial" w:hAnsi="Arial" w:cs="Arial"/>
          <w:sz w:val="20"/>
        </w:rPr>
        <w:t>,</w:t>
      </w:r>
      <w:r w:rsidR="00812B40">
        <w:rPr>
          <w:rFonts w:ascii="Arial" w:hAnsi="Arial" w:cs="Arial"/>
          <w:sz w:val="20"/>
        </w:rPr>
        <w:t xml:space="preserve"> </w:t>
      </w:r>
      <w:r w:rsidR="006E7C62">
        <w:rPr>
          <w:rFonts w:ascii="Arial" w:hAnsi="Arial" w:cs="Arial"/>
          <w:sz w:val="20"/>
        </w:rPr>
        <w:t>a</w:t>
      </w:r>
      <w:r w:rsidR="00812B40">
        <w:rPr>
          <w:rFonts w:ascii="Arial" w:hAnsi="Arial" w:cs="Arial"/>
          <w:sz w:val="20"/>
        </w:rPr>
        <w:t xml:space="preserve"> statement of the names of any witnesses that the accused intends to seek leave to cross-examine and</w:t>
      </w:r>
      <w:r w:rsidR="006E7C62">
        <w:rPr>
          <w:rFonts w:ascii="Arial" w:hAnsi="Arial" w:cs="Arial"/>
          <w:sz w:val="20"/>
        </w:rPr>
        <w:t>,</w:t>
      </w:r>
      <w:r w:rsidR="00812B40">
        <w:rPr>
          <w:rFonts w:ascii="Arial" w:hAnsi="Arial" w:cs="Arial"/>
          <w:sz w:val="20"/>
        </w:rPr>
        <w:t xml:space="preserve"> if the informant opposes leave being granted to cross-examine a specified witness, a statement of-</w:t>
      </w:r>
    </w:p>
    <w:p w14:paraId="09107E99" w14:textId="77777777" w:rsidR="00812B40" w:rsidRDefault="00812B40">
      <w:pPr>
        <w:numPr>
          <w:ilvl w:val="0"/>
          <w:numId w:val="17"/>
        </w:numPr>
        <w:tabs>
          <w:tab w:val="clear" w:pos="1077"/>
        </w:tabs>
        <w:ind w:left="357" w:hanging="357"/>
        <w:jc w:val="both"/>
        <w:rPr>
          <w:rFonts w:ascii="Arial" w:hAnsi="Arial" w:cs="Arial"/>
          <w:sz w:val="20"/>
        </w:rPr>
      </w:pPr>
      <w:r>
        <w:rPr>
          <w:rFonts w:ascii="Arial" w:hAnsi="Arial" w:cs="Arial"/>
          <w:sz w:val="20"/>
        </w:rPr>
        <w:t>any issue identified by the accused to which the proposed questioning relates and any reason provided by the accused as to why the evidence of the witness is relevant to that issue;</w:t>
      </w:r>
    </w:p>
    <w:p w14:paraId="58D5700C" w14:textId="77777777" w:rsidR="00812B40" w:rsidRDefault="00812B40">
      <w:pPr>
        <w:numPr>
          <w:ilvl w:val="0"/>
          <w:numId w:val="17"/>
        </w:numPr>
        <w:tabs>
          <w:tab w:val="clear" w:pos="1077"/>
        </w:tabs>
        <w:ind w:left="357" w:hanging="357"/>
        <w:jc w:val="both"/>
        <w:rPr>
          <w:rFonts w:ascii="Arial" w:hAnsi="Arial" w:cs="Arial"/>
          <w:sz w:val="20"/>
        </w:rPr>
      </w:pPr>
      <w:r>
        <w:rPr>
          <w:rFonts w:ascii="Arial" w:hAnsi="Arial" w:cs="Arial"/>
          <w:sz w:val="20"/>
        </w:rPr>
        <w:t>why cross-examination of the witness on that issue is justified; and</w:t>
      </w:r>
    </w:p>
    <w:p w14:paraId="0F386C9B" w14:textId="77777777" w:rsidR="00812B40" w:rsidRDefault="00812B40">
      <w:pPr>
        <w:numPr>
          <w:ilvl w:val="0"/>
          <w:numId w:val="17"/>
        </w:numPr>
        <w:tabs>
          <w:tab w:val="clear" w:pos="1077"/>
        </w:tabs>
        <w:ind w:left="357" w:hanging="357"/>
        <w:jc w:val="both"/>
        <w:rPr>
          <w:rFonts w:ascii="Arial" w:hAnsi="Arial" w:cs="Arial"/>
          <w:sz w:val="20"/>
        </w:rPr>
      </w:pPr>
      <w:r>
        <w:rPr>
          <w:rFonts w:ascii="Arial" w:hAnsi="Arial" w:cs="Arial"/>
          <w:sz w:val="20"/>
        </w:rPr>
        <w:t>why the inform</w:t>
      </w:r>
      <w:r w:rsidR="00445A0A">
        <w:rPr>
          <w:rFonts w:ascii="Arial" w:hAnsi="Arial" w:cs="Arial"/>
          <w:sz w:val="20"/>
        </w:rPr>
        <w:t>ant opposes leave being granted.</w:t>
      </w:r>
    </w:p>
    <w:p w14:paraId="02AB2D89" w14:textId="77777777" w:rsidR="00651B31" w:rsidRDefault="00651B31" w:rsidP="0008023B">
      <w:pPr>
        <w:jc w:val="both"/>
        <w:rPr>
          <w:rFonts w:ascii="Arial" w:hAnsi="Arial" w:cs="Arial"/>
          <w:sz w:val="20"/>
        </w:rPr>
      </w:pPr>
    </w:p>
    <w:p w14:paraId="7BFE8F39" w14:textId="77777777"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p>
    <w:p w14:paraId="6FC96F39" w14:textId="77777777" w:rsidR="00FE529F" w:rsidRDefault="00FE529F" w:rsidP="0008023B">
      <w:pPr>
        <w:jc w:val="both"/>
        <w:rPr>
          <w:rFonts w:ascii="Arial" w:hAnsi="Arial" w:cs="Arial"/>
          <w:sz w:val="20"/>
        </w:rPr>
      </w:pPr>
    </w:p>
    <w:p w14:paraId="1DBCD5AB" w14:textId="77777777" w:rsidR="00445A0A" w:rsidRDefault="00445A0A" w:rsidP="0008023B">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 proceeding</w:t>
      </w:r>
      <w:r>
        <w:rPr>
          <w:rFonts w:ascii="Arial" w:hAnsi="Arial" w:cs="Arial"/>
          <w:sz w:val="20"/>
        </w:rPr>
        <w:t>-</w:t>
      </w:r>
    </w:p>
    <w:p w14:paraId="705DD39D" w14:textId="77777777" w:rsidR="00445A0A" w:rsidRDefault="00445A0A">
      <w:pPr>
        <w:numPr>
          <w:ilvl w:val="0"/>
          <w:numId w:val="18"/>
        </w:numPr>
        <w:tabs>
          <w:tab w:val="clear" w:pos="720"/>
        </w:tabs>
        <w:ind w:left="357" w:hanging="357"/>
        <w:jc w:val="both"/>
        <w:rPr>
          <w:rFonts w:ascii="Arial" w:hAnsi="Arial" w:cs="Arial"/>
          <w:sz w:val="20"/>
        </w:rPr>
      </w:pPr>
      <w:r>
        <w:rPr>
          <w:rFonts w:ascii="Arial" w:hAnsi="Arial" w:cs="Arial"/>
          <w:sz w:val="20"/>
        </w:rPr>
        <w:t>that relates (wholly or partly) to a charge for a sexual offence</w:t>
      </w:r>
      <w:r w:rsidR="00FE529F">
        <w:rPr>
          <w:rFonts w:ascii="Arial" w:hAnsi="Arial" w:cs="Arial"/>
          <w:sz w:val="20"/>
        </w:rPr>
        <w:t xml:space="preserve"> if one or more of the complainants in the proceeding is a child or a person with a cognitive impairment</w:t>
      </w:r>
      <w:r>
        <w:rPr>
          <w:rFonts w:ascii="Arial" w:hAnsi="Arial" w:cs="Arial"/>
          <w:sz w:val="20"/>
        </w:rPr>
        <w:t>; and</w:t>
      </w:r>
    </w:p>
    <w:p w14:paraId="5A8C2DB6" w14:textId="77777777" w:rsidR="00812B40" w:rsidRDefault="00445A0A">
      <w:pPr>
        <w:numPr>
          <w:ilvl w:val="0"/>
          <w:numId w:val="18"/>
        </w:numPr>
        <w:tabs>
          <w:tab w:val="clear" w:pos="720"/>
        </w:tabs>
        <w:ind w:left="357" w:hanging="357"/>
        <w:jc w:val="both"/>
        <w:rPr>
          <w:rFonts w:ascii="Arial" w:hAnsi="Arial" w:cs="Arial"/>
          <w:sz w:val="20"/>
        </w:rPr>
      </w:pPr>
      <w:r>
        <w:rPr>
          <w:rFonts w:ascii="Arial" w:hAnsi="Arial" w:cs="Arial"/>
          <w:sz w:val="20"/>
        </w:rPr>
        <w:t>when the criminal proceeding commenced</w:t>
      </w:r>
      <w:r w:rsidR="00FE529F">
        <w:rPr>
          <w:rFonts w:ascii="Arial" w:hAnsi="Arial" w:cs="Arial"/>
          <w:sz w:val="20"/>
        </w:rPr>
        <w:t>, any complainant in relation to a charge for a sexual offence was a child or a person with a cognitive impairment.</w:t>
      </w:r>
    </w:p>
    <w:p w14:paraId="4EC28CBD" w14:textId="77777777" w:rsidR="00FE529F" w:rsidRDefault="00FE529F" w:rsidP="0008023B">
      <w:pPr>
        <w:jc w:val="both"/>
        <w:rPr>
          <w:rFonts w:ascii="Arial" w:hAnsi="Arial" w:cs="Arial"/>
          <w:sz w:val="20"/>
        </w:rPr>
      </w:pPr>
    </w:p>
    <w:p w14:paraId="189DFE89" w14:textId="7A13B7AB" w:rsidR="00723697" w:rsidRPr="000231F7" w:rsidRDefault="00723697" w:rsidP="0008023B">
      <w:pPr>
        <w:jc w:val="both"/>
        <w:rPr>
          <w:rFonts w:ascii="Arial" w:hAnsi="Arial" w:cs="Arial"/>
          <w:i/>
          <w:iCs/>
          <w:sz w:val="16"/>
          <w:szCs w:val="20"/>
        </w:rPr>
      </w:pPr>
      <w:r>
        <w:rPr>
          <w:rFonts w:ascii="Arial" w:hAnsi="Arial" w:cs="Arial"/>
          <w:sz w:val="20"/>
        </w:rPr>
        <w:t>Section 124(1) provides that any other witness cannot be cross-examined without leave being granted.  Section 124(3) sets out the two pre-requirements for the granting of leave.  Six matters to which the court must have regard in determining whether cross-examination is justified are listed in s.124(4).  Nine additional matters that must be considered where the proposed witness is under 18 years of age are listed in s.124(5).</w:t>
      </w:r>
      <w:r w:rsidR="000231F7">
        <w:rPr>
          <w:rFonts w:ascii="Arial" w:hAnsi="Arial" w:cs="Arial"/>
          <w:sz w:val="20"/>
        </w:rPr>
        <w:t xml:space="preserve">  For a discussion of s.124 and the requirement of procedural fairness see </w:t>
      </w:r>
      <w:bookmarkStart w:id="84" w:name="_Hlk118890951"/>
      <w:r w:rsidR="000231F7" w:rsidRPr="000231F7">
        <w:rPr>
          <w:rFonts w:ascii="Arial" w:hAnsi="Arial" w:cs="Arial"/>
          <w:i/>
          <w:iCs/>
          <w:sz w:val="20"/>
          <w:szCs w:val="20"/>
        </w:rPr>
        <w:t>The Crown in Right of the State of Victoria (Department of Health) v Magistrates’ Court of Victoria</w:t>
      </w:r>
      <w:r w:rsidR="000231F7">
        <w:rPr>
          <w:rFonts w:ascii="Arial" w:hAnsi="Arial" w:cs="Arial"/>
          <w:i/>
          <w:iCs/>
          <w:sz w:val="20"/>
          <w:szCs w:val="20"/>
        </w:rPr>
        <w:t xml:space="preserve"> </w:t>
      </w:r>
      <w:r w:rsidR="000231F7" w:rsidRPr="000231F7">
        <w:rPr>
          <w:rFonts w:ascii="Arial" w:hAnsi="Arial" w:cs="Arial"/>
          <w:sz w:val="20"/>
          <w:szCs w:val="20"/>
        </w:rPr>
        <w:t>[2022] VSC 630.</w:t>
      </w:r>
      <w:bookmarkEnd w:id="84"/>
    </w:p>
    <w:p w14:paraId="003A9960" w14:textId="77777777" w:rsidR="00677772" w:rsidRDefault="00677772" w:rsidP="0008023B">
      <w:pPr>
        <w:jc w:val="both"/>
        <w:rPr>
          <w:rFonts w:ascii="Arial" w:hAnsi="Arial" w:cs="Arial"/>
          <w:sz w:val="20"/>
        </w:rPr>
      </w:pPr>
    </w:p>
    <w:p w14:paraId="631AB5EA" w14:textId="6D6ABCEE" w:rsidR="00723697" w:rsidRDefault="00723697" w:rsidP="0008023B">
      <w:pPr>
        <w:jc w:val="both"/>
        <w:rPr>
          <w:rFonts w:ascii="Arial" w:hAnsi="Arial" w:cs="Arial"/>
          <w:sz w:val="20"/>
        </w:rPr>
      </w:pPr>
      <w:r>
        <w:rPr>
          <w:rFonts w:ascii="Arial" w:hAnsi="Arial" w:cs="Arial"/>
          <w:sz w:val="20"/>
        </w:rPr>
        <w:t>Sections 129-1</w:t>
      </w:r>
      <w:r w:rsidR="00DB26A2">
        <w:rPr>
          <w:rFonts w:ascii="Arial" w:hAnsi="Arial" w:cs="Arial"/>
          <w:sz w:val="20"/>
        </w:rPr>
        <w:t>40</w:t>
      </w:r>
      <w:r>
        <w:rPr>
          <w:rFonts w:ascii="Arial" w:hAnsi="Arial" w:cs="Arial"/>
          <w:sz w:val="20"/>
        </w:rPr>
        <w:t xml:space="preserve"> </w:t>
      </w:r>
      <w:r w:rsidR="00DB26A2">
        <w:rPr>
          <w:rFonts w:ascii="Arial" w:hAnsi="Arial" w:cs="Arial"/>
          <w:sz w:val="20"/>
        </w:rPr>
        <w:t xml:space="preserve">of the CPA </w:t>
      </w:r>
      <w:r>
        <w:rPr>
          <w:rFonts w:ascii="Arial" w:hAnsi="Arial" w:cs="Arial"/>
          <w:sz w:val="20"/>
        </w:rPr>
        <w:t>regulate procedure in a co</w:t>
      </w:r>
      <w:r w:rsidR="00DB26A2">
        <w:rPr>
          <w:rFonts w:ascii="Arial" w:hAnsi="Arial" w:cs="Arial"/>
          <w:sz w:val="20"/>
        </w:rPr>
        <w:t>mmittal hearing.  These include-</w:t>
      </w:r>
    </w:p>
    <w:p w14:paraId="12C1BB23" w14:textId="77777777" w:rsidR="00DB26A2" w:rsidRDefault="00DB26A2">
      <w:pPr>
        <w:numPr>
          <w:ilvl w:val="0"/>
          <w:numId w:val="16"/>
        </w:numPr>
        <w:tabs>
          <w:tab w:val="clear" w:pos="930"/>
        </w:tabs>
        <w:ind w:left="357" w:hanging="357"/>
        <w:jc w:val="both"/>
        <w:rPr>
          <w:rFonts w:ascii="Arial" w:hAnsi="Arial" w:cs="Arial"/>
          <w:sz w:val="20"/>
        </w:rPr>
      </w:pPr>
      <w:r>
        <w:rPr>
          <w:rFonts w:ascii="Arial" w:hAnsi="Arial" w:cs="Arial"/>
          <w:sz w:val="20"/>
        </w:rPr>
        <w:t>[ss.130 &amp; 132] evidence-in-chief and cross-examination of a witness;</w:t>
      </w:r>
    </w:p>
    <w:p w14:paraId="2D34E982" w14:textId="77777777" w:rsidR="00DB26A2" w:rsidRDefault="00DB26A2">
      <w:pPr>
        <w:numPr>
          <w:ilvl w:val="0"/>
          <w:numId w:val="16"/>
        </w:numPr>
        <w:tabs>
          <w:tab w:val="clear" w:pos="930"/>
        </w:tabs>
        <w:ind w:left="357" w:hanging="357"/>
        <w:jc w:val="both"/>
        <w:rPr>
          <w:rFonts w:ascii="Arial" w:hAnsi="Arial" w:cs="Arial"/>
          <w:sz w:val="20"/>
        </w:rPr>
      </w:pPr>
      <w:r>
        <w:rPr>
          <w:rFonts w:ascii="Arial" w:hAnsi="Arial" w:cs="Arial"/>
          <w:sz w:val="20"/>
        </w:rPr>
        <w:t xml:space="preserve">[s.131]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61EEF81E" w14:textId="77777777" w:rsidR="00DB26A2" w:rsidRDefault="00DB26A2">
      <w:pPr>
        <w:numPr>
          <w:ilvl w:val="0"/>
          <w:numId w:val="16"/>
        </w:numPr>
        <w:tabs>
          <w:tab w:val="clear" w:pos="930"/>
        </w:tabs>
        <w:ind w:left="357" w:hanging="357"/>
        <w:jc w:val="both"/>
        <w:rPr>
          <w:rFonts w:ascii="Arial" w:hAnsi="Arial" w:cs="Arial"/>
          <w:sz w:val="20"/>
        </w:rPr>
      </w:pPr>
      <w:r>
        <w:rPr>
          <w:rFonts w:ascii="Arial" w:hAnsi="Arial" w:cs="Arial"/>
          <w:sz w:val="20"/>
        </w:rPr>
        <w:t>[s.133] a restriction on the persons who may be present in court during evidence of a complainant in a proceeding that relates (wholly or partly) to a charge for a sexual offence;</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439E5FE0" w14:textId="77777777" w:rsidR="00201765" w:rsidRDefault="00201765" w:rsidP="0008023B">
      <w:pPr>
        <w:jc w:val="both"/>
        <w:rPr>
          <w:rFonts w:ascii="Arial" w:hAnsi="Arial" w:cs="Arial"/>
          <w:sz w:val="20"/>
        </w:rPr>
      </w:pPr>
    </w:p>
    <w:p w14:paraId="2DD0EA3F" w14:textId="77777777" w:rsidR="00821A45" w:rsidRDefault="00821A45" w:rsidP="00821A45">
      <w:pPr>
        <w:pStyle w:val="Heading3"/>
        <w:keepNext/>
        <w:spacing w:after="80" w:line="240" w:lineRule="auto"/>
        <w:rPr>
          <w:rFonts w:ascii="Arial" w:hAnsi="Arial" w:cs="Arial"/>
          <w:b/>
          <w:bCs/>
          <w:sz w:val="20"/>
        </w:rPr>
      </w:pPr>
      <w:bookmarkStart w:id="85" w:name="_10.2.4_Joint_committal"/>
      <w:bookmarkEnd w:id="85"/>
      <w:r>
        <w:rPr>
          <w:rFonts w:ascii="Arial" w:hAnsi="Arial" w:cs="Arial"/>
          <w:b/>
          <w:bCs/>
          <w:sz w:val="20"/>
        </w:rPr>
        <w:t>10.2.</w:t>
      </w:r>
      <w:r w:rsidR="007B015D">
        <w:rPr>
          <w:rFonts w:ascii="Arial" w:hAnsi="Arial" w:cs="Arial"/>
          <w:b/>
          <w:bCs/>
          <w:sz w:val="20"/>
        </w:rPr>
        <w:t>4</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77777777"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have </w:t>
      </w:r>
      <w:r w:rsidR="001D3BF2">
        <w:rPr>
          <w:rFonts w:ascii="Arial" w:hAnsi="Arial" w:cs="Arial"/>
          <w:sz w:val="20"/>
        </w:rPr>
        <w:t xml:space="preserve">sometimes </w:t>
      </w:r>
      <w:r w:rsidR="00F1390F">
        <w:rPr>
          <w:rFonts w:ascii="Arial" w:hAnsi="Arial" w:cs="Arial"/>
          <w:sz w:val="20"/>
        </w:rPr>
        <w:t>been conducted in cases where:</w:t>
      </w:r>
    </w:p>
    <w:p w14:paraId="083344DB" w14:textId="77777777" w:rsidR="00F1390F" w:rsidRDefault="00F1390F" w:rsidP="00A300D0">
      <w:pPr>
        <w:numPr>
          <w:ilvl w:val="0"/>
          <w:numId w:val="89"/>
        </w:numPr>
        <w:jc w:val="both"/>
        <w:rPr>
          <w:rFonts w:ascii="Arial" w:hAnsi="Arial" w:cs="Arial"/>
          <w:sz w:val="20"/>
        </w:rPr>
      </w:pPr>
      <w:r>
        <w:rPr>
          <w:rFonts w:ascii="Arial" w:hAnsi="Arial" w:cs="Arial"/>
          <w:sz w:val="20"/>
        </w:rPr>
        <w:t>there is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77777777" w:rsidR="00F1390F" w:rsidRDefault="00F1390F" w:rsidP="00A300D0">
      <w:pPr>
        <w:numPr>
          <w:ilvl w:val="0"/>
          <w:numId w:val="89"/>
        </w:numPr>
        <w:jc w:val="both"/>
        <w:rPr>
          <w:rFonts w:ascii="Arial" w:hAnsi="Arial" w:cs="Arial"/>
          <w:sz w:val="20"/>
        </w:rPr>
      </w:pPr>
      <w:r>
        <w:rPr>
          <w:rFonts w:ascii="Arial" w:hAnsi="Arial" w:cs="Arial"/>
          <w:sz w:val="20"/>
        </w:rPr>
        <w:lastRenderedPageBreak/>
        <w:t xml:space="preserve">the charges the subject of the committal have included at least one of the </w:t>
      </w:r>
      <w:r w:rsidR="00F63F5B">
        <w:rPr>
          <w:rFonts w:ascii="Arial" w:hAnsi="Arial" w:cs="Arial"/>
          <w:sz w:val="20"/>
        </w:rPr>
        <w:t>seven</w:t>
      </w:r>
      <w:r>
        <w:rPr>
          <w:rFonts w:ascii="Arial" w:hAnsi="Arial" w:cs="Arial"/>
          <w:sz w:val="20"/>
        </w:rPr>
        <w:t xml:space="preserve"> death offences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77777777"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a legislative basis in </w:t>
      </w:r>
      <w:r w:rsidR="00AE1107">
        <w:rPr>
          <w:rFonts w:ascii="Arial" w:hAnsi="Arial" w:cs="Arial"/>
          <w:sz w:val="20"/>
        </w:rPr>
        <w:t xml:space="preserve">new </w:t>
      </w:r>
      <w:r w:rsidR="00C073D7">
        <w:rPr>
          <w:rFonts w:ascii="Arial" w:hAnsi="Arial" w:cs="Arial"/>
          <w:sz w:val="20"/>
        </w:rPr>
        <w:t>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AE1107">
        <w:rPr>
          <w:rFonts w:ascii="Arial" w:hAnsi="Arial" w:cs="Arial"/>
          <w:sz w:val="20"/>
        </w:rPr>
        <w:t>S</w:t>
      </w:r>
      <w:r w:rsidR="00C073D7">
        <w:rPr>
          <w:rFonts w:ascii="Arial" w:hAnsi="Arial" w:cs="Arial"/>
          <w:sz w:val="20"/>
        </w:rPr>
        <w:t xml:space="preserve">ection </w:t>
      </w:r>
      <w:r w:rsidR="00AE1107">
        <w:rPr>
          <w:rFonts w:ascii="Arial" w:hAnsi="Arial" w:cs="Arial"/>
          <w:sz w:val="20"/>
        </w:rPr>
        <w:t xml:space="preserve">516A(1)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s.516(c) may be exercised concurrently with the jurisdiction of the Magistrates’ Court to conduct a committal proceeding if-</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52AF0F69"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p>
    <w:p w14:paraId="20EF1F50" w14:textId="77777777" w:rsidR="00AE1107" w:rsidRDefault="00AE1107" w:rsidP="00817251">
      <w:pPr>
        <w:ind w:left="714" w:hanging="357"/>
        <w:jc w:val="both"/>
        <w:rPr>
          <w:rFonts w:ascii="Arial" w:hAnsi="Arial" w:cs="Arial"/>
          <w:sz w:val="20"/>
        </w:rPr>
      </w:pPr>
      <w:r>
        <w:rPr>
          <w:rFonts w:ascii="Arial" w:hAnsi="Arial" w:cs="Arial"/>
          <w:sz w:val="20"/>
        </w:rPr>
        <w:t>(i)</w:t>
      </w:r>
      <w:r>
        <w:rPr>
          <w:rFonts w:ascii="Arial" w:hAnsi="Arial" w:cs="Arial"/>
          <w:sz w:val="20"/>
        </w:rPr>
        <w:tab/>
        <w:t>is of or over the age of 15 years at the time the criminal proceeding against the child for the offence is committed; and</w:t>
      </w:r>
    </w:p>
    <w:p w14:paraId="109116AF" w14:textId="77777777" w:rsidR="00AE1107" w:rsidRDefault="00AE1107" w:rsidP="00817251">
      <w:pPr>
        <w:ind w:left="714" w:hanging="357"/>
        <w:jc w:val="both"/>
        <w:rPr>
          <w:rFonts w:ascii="Arial" w:hAnsi="Arial" w:cs="Arial"/>
          <w:sz w:val="20"/>
        </w:rPr>
      </w:pPr>
      <w:r>
        <w:rPr>
          <w:rFonts w:ascii="Arial" w:hAnsi="Arial" w:cs="Arial"/>
          <w:sz w:val="20"/>
        </w:rPr>
        <w:t>(ii)</w:t>
      </w:r>
      <w:r>
        <w:rPr>
          <w:rFonts w:ascii="Arial" w:hAnsi="Arial" w:cs="Arial"/>
          <w:sz w:val="20"/>
        </w:rPr>
        <w:tab/>
        <w:t xml:space="preserve">is charged with one of the </w:t>
      </w:r>
      <w:r w:rsidR="00073109">
        <w:rPr>
          <w:rFonts w:ascii="Arial" w:hAnsi="Arial" w:cs="Arial"/>
          <w:sz w:val="20"/>
        </w:rPr>
        <w:t>seven</w:t>
      </w:r>
      <w:r>
        <w:rPr>
          <w:rFonts w:ascii="Arial" w:hAnsi="Arial" w:cs="Arial"/>
          <w:sz w:val="20"/>
        </w:rPr>
        <w:t xml:space="preserve"> death offences;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4866A4F2" w14:textId="5FB384E5" w:rsidR="00C073D7" w:rsidRDefault="00AE1107" w:rsidP="00AE1107">
      <w:pPr>
        <w:jc w:val="both"/>
        <w:rPr>
          <w:rFonts w:ascii="Arial" w:hAnsi="Arial" w:cs="Arial"/>
          <w:sz w:val="20"/>
        </w:rPr>
      </w:pPr>
      <w:r>
        <w:rPr>
          <w:rFonts w:ascii="Arial" w:hAnsi="Arial" w:cs="Arial"/>
          <w:sz w:val="20"/>
        </w:rPr>
        <w:t xml:space="preserve">Section 516A(2)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 xml:space="preserve">ommittal.  Section 516A(3)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516A(5) appears to contemplate the Children’s Court making an order for joint committal proceedings prior to the Magistrate</w:t>
      </w:r>
      <w:r w:rsidR="00D21213">
        <w:rPr>
          <w:rFonts w:ascii="Arial" w:hAnsi="Arial" w:cs="Arial"/>
          <w:sz w:val="20"/>
        </w:rPr>
        <w:t xml:space="preserve">s’ Court.  Section 516A(6)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0B90F92B" w14:textId="77777777" w:rsidR="005E22A6" w:rsidRDefault="005E22A6" w:rsidP="005E22A6">
      <w:pPr>
        <w:jc w:val="both"/>
        <w:rPr>
          <w:rFonts w:ascii="Arial" w:hAnsi="Arial" w:cs="Arial"/>
          <w:sz w:val="20"/>
        </w:rPr>
      </w:pPr>
    </w:p>
    <w:p w14:paraId="53B38AA9" w14:textId="77777777" w:rsidR="005E22A6" w:rsidRPr="009831B9" w:rsidRDefault="005E22A6" w:rsidP="005E22A6">
      <w:pPr>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29DB5D66" w14:textId="77777777" w:rsidR="006B677C" w:rsidRDefault="006B677C" w:rsidP="006B677C">
      <w:pPr>
        <w:jc w:val="both"/>
        <w:rPr>
          <w:rFonts w:ascii="Arial" w:hAnsi="Arial" w:cs="Arial"/>
          <w:sz w:val="20"/>
        </w:rPr>
      </w:pPr>
    </w:p>
    <w:p w14:paraId="5F9ACA06" w14:textId="77777777" w:rsidR="006B677C" w:rsidRDefault="006B677C" w:rsidP="00EE5B90">
      <w:pPr>
        <w:pStyle w:val="Heading3"/>
        <w:spacing w:line="240" w:lineRule="auto"/>
        <w:rPr>
          <w:rFonts w:ascii="Arial" w:hAnsi="Arial" w:cs="Arial"/>
          <w:b/>
          <w:bCs/>
          <w:sz w:val="20"/>
        </w:rPr>
      </w:pPr>
      <w:bookmarkStart w:id="86" w:name="_10.2.5_Determination_of"/>
      <w:bookmarkEnd w:id="86"/>
      <w:r>
        <w:rPr>
          <w:rFonts w:ascii="Arial" w:hAnsi="Arial" w:cs="Arial"/>
          <w:b/>
          <w:bCs/>
          <w:sz w:val="20"/>
        </w:rPr>
        <w:t>10.2.5</w:t>
      </w:r>
      <w:r>
        <w:rPr>
          <w:rFonts w:ascii="Arial" w:hAnsi="Arial" w:cs="Arial"/>
          <w:b/>
          <w:bCs/>
          <w:sz w:val="20"/>
        </w:rPr>
        <w:tab/>
        <w:t>Determination of committal proceeding</w:t>
      </w:r>
      <w:r w:rsidR="00B264F7">
        <w:rPr>
          <w:rFonts w:ascii="Arial" w:hAnsi="Arial" w:cs="Arial"/>
          <w:b/>
          <w:bCs/>
          <w:sz w:val="20"/>
        </w:rPr>
        <w:t xml:space="preserve"> – Test for committing for trial</w:t>
      </w:r>
    </w:p>
    <w:p w14:paraId="50453C51" w14:textId="77777777" w:rsidR="00EE5B90" w:rsidRDefault="00EE5B90" w:rsidP="00EE5B90">
      <w:pPr>
        <w:jc w:val="both"/>
        <w:rPr>
          <w:rFonts w:ascii="Arial" w:hAnsi="Arial" w:cs="Arial"/>
          <w:sz w:val="20"/>
        </w:rPr>
      </w:pPr>
    </w:p>
    <w:p w14:paraId="0B27DE19" w14:textId="77777777" w:rsidR="00EE5B90" w:rsidRDefault="00EE5B90" w:rsidP="00EE5B90">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 the court considers that the accused understands the nature and consequences of the election, the court must commit the accused for trial.  In the case of an election for trial, the court is not required to determine whether the evidence is of sufficient weight to support a conviction although of course that may be a relevant issue in deciding whether the accused understands the nature and consequences of an election.</w:t>
      </w:r>
    </w:p>
    <w:p w14:paraId="1380236D" w14:textId="77777777" w:rsidR="00EE5B90" w:rsidRDefault="00EE5B90" w:rsidP="00EE5B90">
      <w:pPr>
        <w:jc w:val="both"/>
        <w:rPr>
          <w:rFonts w:ascii="Arial" w:hAnsi="Arial" w:cs="Arial"/>
          <w:sz w:val="20"/>
        </w:rPr>
      </w:pPr>
    </w:p>
    <w:p w14:paraId="35DBC4DF" w14:textId="77777777" w:rsidR="00B264F7" w:rsidRDefault="006B677C" w:rsidP="006B677C">
      <w:pPr>
        <w:jc w:val="both"/>
        <w:rPr>
          <w:rFonts w:ascii="Arial" w:hAnsi="Arial" w:cs="Arial"/>
          <w:sz w:val="20"/>
        </w:rPr>
      </w:pPr>
      <w:r w:rsidRPr="006B677C">
        <w:rPr>
          <w:rFonts w:ascii="Arial" w:hAnsi="Arial" w:cs="Arial"/>
          <w:b/>
          <w:sz w:val="20"/>
          <w:u w:val="single"/>
        </w:rPr>
        <w:t>Where hand-up brief used</w:t>
      </w:r>
      <w:r>
        <w:rPr>
          <w:rFonts w:ascii="Arial" w:hAnsi="Arial" w:cs="Arial"/>
          <w:sz w:val="20"/>
        </w:rPr>
        <w:t xml:space="preserve"> [s.141]: </w:t>
      </w:r>
      <w:r w:rsidR="00B264F7">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p>
    <w:p w14:paraId="4B1C624C" w14:textId="77777777" w:rsidR="00B264F7" w:rsidRDefault="00B264F7" w:rsidP="00B264F7">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1AF3DBCC" w14:textId="77777777" w:rsidR="00B264F7" w:rsidRDefault="00B264F7" w:rsidP="00B264F7">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1843E0F3" w14:textId="77777777" w:rsidR="006B677C" w:rsidRDefault="006B677C" w:rsidP="006B677C">
      <w:pPr>
        <w:jc w:val="both"/>
        <w:rPr>
          <w:rFonts w:ascii="Arial" w:hAnsi="Arial" w:cs="Arial"/>
          <w:sz w:val="20"/>
        </w:rPr>
      </w:pPr>
    </w:p>
    <w:p w14:paraId="7F199AD2" w14:textId="77777777" w:rsidR="006B677C" w:rsidRDefault="006B677C" w:rsidP="006B677C">
      <w:pPr>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 </w:t>
      </w:r>
      <w:r w:rsidR="00B264F7">
        <w:rPr>
          <w:rFonts w:ascii="Arial" w:hAnsi="Arial" w:cs="Arial"/>
          <w:sz w:val="20"/>
        </w:rPr>
        <w:t>At the committal mention hearing the court must ask how the accused pleads to the charge to which the committal proceeding relates.  If the accused does not plead guilty to the charge</w:t>
      </w:r>
      <w:r w:rsidR="00EE5B90">
        <w:rPr>
          <w:rFonts w:ascii="Arial" w:hAnsi="Arial" w:cs="Arial"/>
          <w:sz w:val="20"/>
        </w:rPr>
        <w:t>,</w:t>
      </w:r>
      <w:r w:rsidR="00B264F7">
        <w:rPr>
          <w:rFonts w:ascii="Arial" w:hAnsi="Arial" w:cs="Arial"/>
          <w:sz w:val="20"/>
        </w:rPr>
        <w:t xml:space="preserve"> the court must direct the informant to prepare and serve a hand-up brief.</w:t>
      </w:r>
    </w:p>
    <w:p w14:paraId="1455749C" w14:textId="77777777" w:rsidR="006B677C" w:rsidRDefault="006B677C" w:rsidP="006B677C">
      <w:pPr>
        <w:jc w:val="both"/>
        <w:rPr>
          <w:rFonts w:ascii="Arial" w:hAnsi="Arial" w:cs="Arial"/>
          <w:sz w:val="20"/>
        </w:rPr>
      </w:pPr>
    </w:p>
    <w:p w14:paraId="2D674423" w14:textId="77777777" w:rsidR="0073703F" w:rsidRDefault="0073703F" w:rsidP="0073703F">
      <w:pPr>
        <w:jc w:val="both"/>
        <w:rPr>
          <w:rFonts w:ascii="Arial" w:hAnsi="Arial" w:cs="Arial"/>
          <w:sz w:val="20"/>
        </w:rPr>
      </w:pPr>
      <w:r w:rsidRPr="0073703F">
        <w:rPr>
          <w:rFonts w:ascii="Arial" w:hAnsi="Arial" w:cs="Arial"/>
          <w:b/>
          <w:sz w:val="20"/>
          <w:u w:val="single"/>
        </w:rPr>
        <w:t>Test for committing for trial</w:t>
      </w:r>
      <w:r>
        <w:rPr>
          <w:rFonts w:ascii="Arial" w:hAnsi="Arial" w:cs="Arial"/>
          <w:sz w:val="20"/>
        </w:rPr>
        <w:t xml:space="preserve"> [ss.141(4)(b), 141(4)(c) or 142(1)(b)]: The test as to whether an accused is to be committed for trial on:</w:t>
      </w:r>
    </w:p>
    <w:p w14:paraId="6DADC6C8" w14:textId="77777777" w:rsidR="0073703F" w:rsidRDefault="0073703F" w:rsidP="0073703F">
      <w:pPr>
        <w:numPr>
          <w:ilvl w:val="0"/>
          <w:numId w:val="1"/>
        </w:numPr>
        <w:jc w:val="both"/>
        <w:rPr>
          <w:rFonts w:ascii="Arial" w:hAnsi="Arial" w:cs="Arial"/>
          <w:sz w:val="20"/>
        </w:rPr>
      </w:pPr>
      <w:r>
        <w:rPr>
          <w:rFonts w:ascii="Arial" w:hAnsi="Arial" w:cs="Arial"/>
          <w:sz w:val="20"/>
        </w:rPr>
        <w:t>the indictable offence with which he or she has been charged; or</w:t>
      </w:r>
    </w:p>
    <w:p w14:paraId="3EAFDF37" w14:textId="77777777" w:rsidR="0073703F" w:rsidRDefault="0073703F" w:rsidP="0073703F">
      <w:pPr>
        <w:numPr>
          <w:ilvl w:val="0"/>
          <w:numId w:val="1"/>
        </w:numPr>
        <w:jc w:val="both"/>
        <w:rPr>
          <w:rFonts w:ascii="Arial" w:hAnsi="Arial" w:cs="Arial"/>
          <w:sz w:val="20"/>
        </w:rPr>
      </w:pPr>
      <w:r>
        <w:rPr>
          <w:rFonts w:ascii="Arial" w:hAnsi="Arial" w:cs="Arial"/>
          <w:sz w:val="20"/>
        </w:rPr>
        <w:t>some other indictable offence-</w:t>
      </w:r>
    </w:p>
    <w:p w14:paraId="7C1324DB" w14:textId="77777777" w:rsidR="0073703F" w:rsidRDefault="0073703F" w:rsidP="0073703F">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must be discharged.</w:t>
      </w:r>
    </w:p>
    <w:p w14:paraId="0579EAA3" w14:textId="77777777" w:rsidR="0073703F" w:rsidRDefault="0073703F" w:rsidP="0073703F">
      <w:pPr>
        <w:jc w:val="both"/>
        <w:rPr>
          <w:rFonts w:ascii="Arial" w:hAnsi="Arial" w:cs="Arial"/>
          <w:sz w:val="20"/>
        </w:rPr>
      </w:pPr>
    </w:p>
    <w:p w14:paraId="312B131B" w14:textId="77777777" w:rsidR="0073703F" w:rsidRDefault="0073703F" w:rsidP="0073703F">
      <w:pPr>
        <w:jc w:val="both"/>
        <w:rPr>
          <w:rFonts w:ascii="Arial" w:hAnsi="Arial" w:cs="Arial"/>
          <w:sz w:val="20"/>
        </w:rPr>
      </w:pPr>
      <w:r>
        <w:rPr>
          <w:rFonts w:ascii="Arial" w:hAnsi="Arial" w:cs="Arial"/>
          <w:sz w:val="20"/>
        </w:rPr>
        <w:lastRenderedPageBreak/>
        <w:t xml:space="preserve">In </w:t>
      </w:r>
      <w:r>
        <w:rPr>
          <w:rFonts w:ascii="Arial" w:hAnsi="Arial" w:cs="Arial"/>
          <w:i/>
          <w:iCs/>
          <w:sz w:val="20"/>
        </w:rPr>
        <w:t>Thorpe v Abbotto</w:t>
      </w:r>
      <w:r>
        <w:rPr>
          <w:rFonts w:ascii="Arial" w:hAnsi="Arial" w:cs="Arial"/>
          <w:sz w:val="20"/>
        </w:rPr>
        <w:t xml:space="preserve"> (1992) 106 ALR 239 at 245 Lockhart J, applying dicta from the judgment of Wilcox 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address">
        <w:smartTag w:uri="urn:schemas-microsoft-com:office:smarttags" w:element="Street">
          <w:r>
            <w:rPr>
              <w:rFonts w:ascii="Arial" w:hAnsi="Arial" w:cs="Arial"/>
              <w:sz w:val="20"/>
            </w:rPr>
            <w:t>Full Court</w:t>
          </w:r>
        </w:smartTag>
      </w:smartTag>
      <w:r>
        <w:rPr>
          <w:rFonts w:ascii="Arial" w:hAnsi="Arial" w:cs="Arial"/>
          <w:sz w:val="20"/>
        </w:rPr>
        <w:t xml:space="preserve"> on appeal in that case (1989) 87 ALR 699, explained the test as follows:</w:t>
      </w:r>
    </w:p>
    <w:p w14:paraId="5C88CCDF" w14:textId="77777777" w:rsidR="0073703F" w:rsidRDefault="0073703F" w:rsidP="00201765">
      <w:pPr>
        <w:keepNext/>
        <w:keepLines/>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material before him, one consistent with guilt and the other with </w:t>
      </w:r>
      <w:r w:rsidR="00EB2031" w:rsidRPr="00786886">
        <w:rPr>
          <w:rFonts w:ascii="Arial" w:hAnsi="Arial" w:cs="Arial"/>
          <w:color w:val="000000"/>
          <w:sz w:val="20"/>
        </w:rPr>
        <w:t>innocence</w:t>
      </w:r>
      <w:r w:rsidRPr="00786886">
        <w:rPr>
          <w:rFonts w:ascii="Arial" w:hAnsi="Arial" w:cs="Arial"/>
          <w:color w:val="000000"/>
          <w:sz w:val="20"/>
        </w:rPr>
        <w:t>, is not</w:t>
      </w:r>
      <w:r>
        <w:rPr>
          <w:rFonts w:ascii="Arial" w:hAnsi="Arial" w:cs="Arial"/>
          <w:sz w:val="20"/>
        </w:rPr>
        <w:t xml:space="preserve"> necessarily bound to discharge the defendant.</w:t>
      </w:r>
    </w:p>
    <w:p w14:paraId="07286D98" w14:textId="77777777" w:rsidR="0073703F" w:rsidRDefault="0073703F" w:rsidP="0073703F">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350106E2" w14:textId="77777777" w:rsidR="0073703F" w:rsidRDefault="0073703F" w:rsidP="0073703F">
      <w:pPr>
        <w:jc w:val="both"/>
        <w:rPr>
          <w:rFonts w:ascii="Arial" w:hAnsi="Arial" w:cs="Arial"/>
          <w:sz w:val="20"/>
        </w:rPr>
      </w:pPr>
    </w:p>
    <w:p w14:paraId="0371DB74" w14:textId="77777777" w:rsidR="0073703F" w:rsidRDefault="0073703F" w:rsidP="0073703F">
      <w:pPr>
        <w:jc w:val="both"/>
        <w:rPr>
          <w:rFonts w:ascii="Arial" w:hAnsi="Arial" w:cs="Arial"/>
          <w:sz w:val="20"/>
        </w:rPr>
      </w:pPr>
      <w:r>
        <w:rPr>
          <w:rFonts w:ascii="Arial" w:hAnsi="Arial" w:cs="Arial"/>
          <w:sz w:val="20"/>
        </w:rPr>
        <w:t xml:space="preserve">In </w:t>
      </w:r>
      <w:bookmarkStart w:id="87"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87"/>
    </w:p>
    <w:p w14:paraId="41FCB254" w14:textId="77777777" w:rsidR="006B677C" w:rsidRDefault="006B677C" w:rsidP="006B677C">
      <w:pPr>
        <w:jc w:val="both"/>
        <w:rPr>
          <w:rFonts w:ascii="Arial" w:hAnsi="Arial" w:cs="Arial"/>
          <w:sz w:val="20"/>
        </w:rPr>
      </w:pPr>
    </w:p>
    <w:p w14:paraId="16521B68" w14:textId="77777777" w:rsidR="006B677C" w:rsidRDefault="00227D26" w:rsidP="006B677C">
      <w:pPr>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w:t>
      </w:r>
      <w:r w:rsidR="00A0120F">
        <w:rPr>
          <w:rFonts w:ascii="Arial" w:hAnsi="Arial" w:cs="Arial"/>
          <w:sz w:val="20"/>
        </w:rPr>
        <w:t xml:space="preserve">Before committing an accused for trial, s.144(1) requires the court, </w:t>
      </w:r>
      <w:r>
        <w:rPr>
          <w:rFonts w:ascii="Arial" w:hAnsi="Arial" w:cs="Arial"/>
          <w:sz w:val="20"/>
        </w:rPr>
        <w:t>in the manner prescribed by rules of court</w:t>
      </w:r>
      <w:r w:rsidR="00A0120F">
        <w:rPr>
          <w:rFonts w:ascii="Arial" w:hAnsi="Arial" w:cs="Arial"/>
          <w:sz w:val="20"/>
        </w:rPr>
        <w:t>, to</w:t>
      </w:r>
      <w:r>
        <w:rPr>
          <w:rFonts w:ascii="Arial" w:hAnsi="Arial" w:cs="Arial"/>
          <w:sz w:val="20"/>
        </w:rPr>
        <w:t>-</w:t>
      </w:r>
    </w:p>
    <w:p w14:paraId="66F224EB" w14:textId="77777777" w:rsidR="006B677C" w:rsidRDefault="00227D26">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727F37CA" w14:textId="77777777" w:rsidR="00227D26" w:rsidRDefault="00227D26">
      <w:pPr>
        <w:numPr>
          <w:ilvl w:val="1"/>
          <w:numId w:val="17"/>
        </w:numPr>
        <w:tabs>
          <w:tab w:val="clear" w:pos="1797"/>
        </w:tabs>
        <w:ind w:left="357" w:hanging="357"/>
        <w:jc w:val="both"/>
        <w:rPr>
          <w:rFonts w:ascii="Arial" w:hAnsi="Arial" w:cs="Arial"/>
          <w:sz w:val="20"/>
        </w:rPr>
      </w:pPr>
      <w:r>
        <w:rPr>
          <w:rFonts w:ascii="Arial" w:hAnsi="Arial" w:cs="Arial"/>
          <w:sz w:val="20"/>
        </w:rPr>
        <w:t>inform the accused that the sentencing court may take into account a plea of guilty and the stage in the proceeding at which the plea or an intention to plead guilty was indicated.</w:t>
      </w:r>
    </w:p>
    <w:p w14:paraId="158C3A38" w14:textId="72B2F219" w:rsidR="006B677C" w:rsidRDefault="006B677C" w:rsidP="006B677C">
      <w:pPr>
        <w:jc w:val="both"/>
        <w:rPr>
          <w:rFonts w:ascii="Arial" w:hAnsi="Arial" w:cs="Arial"/>
          <w:sz w:val="20"/>
        </w:rPr>
      </w:pPr>
    </w:p>
    <w:p w14:paraId="55FE9D72" w14:textId="34D98E94" w:rsidR="00C0633B" w:rsidRPr="00C0633B" w:rsidRDefault="00C0633B" w:rsidP="006B677C">
      <w:pPr>
        <w:jc w:val="both"/>
        <w:rPr>
          <w:rFonts w:ascii="Arial" w:hAnsi="Arial" w:cs="Arial"/>
          <w:sz w:val="20"/>
          <w:szCs w:val="20"/>
        </w:rPr>
      </w:pPr>
      <w:r w:rsidRPr="00C0633B">
        <w:rPr>
          <w:rFonts w:ascii="Arial" w:hAnsi="Arial" w:cs="Arial"/>
          <w:sz w:val="20"/>
          <w:szCs w:val="20"/>
        </w:rPr>
        <w:t xml:space="preserve">Rule 67 of the </w:t>
      </w:r>
      <w:r w:rsidRPr="00C0633B">
        <w:rPr>
          <w:rFonts w:ascii="Arial" w:hAnsi="Arial" w:cs="Arial"/>
          <w:i/>
          <w:iCs/>
          <w:sz w:val="20"/>
          <w:szCs w:val="20"/>
        </w:rPr>
        <w:t>Magistrates’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144(2)(b)(iii) of the CPA, the Court may inform the accused by using the manner of caution set out in Form 39</w:t>
      </w:r>
      <w:r>
        <w:rPr>
          <w:rFonts w:ascii="Arial" w:hAnsi="Arial" w:cs="Arial"/>
          <w:sz w:val="20"/>
          <w:szCs w:val="20"/>
        </w:rPr>
        <w:t xml:space="preserve"> which is as follows:</w:t>
      </w:r>
    </w:p>
    <w:p w14:paraId="5FAC0EDB" w14:textId="6C84A9AC" w:rsidR="00C0633B" w:rsidRPr="00C0633B" w:rsidRDefault="00C0633B" w:rsidP="00C0633B">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f you plead guilty to all of the charges or some of the charges today or at any time before or during your trial, the sentencing judge may take into account whether you pleaded guilty and the stage in the proceedings at which you pleaded guilty or indicated an intention to plead guilty.</w:t>
      </w:r>
    </w:p>
    <w:p w14:paraId="66C2CA2A" w14:textId="77777777" w:rsidR="00C0633B" w:rsidRPr="00C0633B" w:rsidRDefault="00C0633B" w:rsidP="00C0633B">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4D8A5A83" w14:textId="386E1941" w:rsidR="00C0633B" w:rsidRDefault="00C0633B" w:rsidP="00C0633B">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72CBB07F" w14:textId="0299C565" w:rsidR="00C0633B" w:rsidRDefault="00C0633B" w:rsidP="00C0633B">
      <w:pPr>
        <w:spacing w:before="60"/>
        <w:ind w:left="567" w:right="567"/>
        <w:jc w:val="both"/>
        <w:rPr>
          <w:rFonts w:ascii="Arial" w:hAnsi="Arial" w:cs="Arial"/>
          <w:sz w:val="20"/>
        </w:rPr>
      </w:pPr>
      <w:r>
        <w:rPr>
          <w:rFonts w:ascii="Arial" w:hAnsi="Arial" w:cs="Arial"/>
          <w:sz w:val="20"/>
          <w:szCs w:val="20"/>
        </w:rPr>
        <w:t>Do you plead guilty or not guilty?”</w:t>
      </w:r>
    </w:p>
    <w:p w14:paraId="08C6E157" w14:textId="35338F1B" w:rsidR="00C0633B" w:rsidRDefault="00C0633B" w:rsidP="006B677C">
      <w:pPr>
        <w:jc w:val="both"/>
        <w:rPr>
          <w:rFonts w:ascii="Arial" w:hAnsi="Arial" w:cs="Arial"/>
          <w:sz w:val="20"/>
        </w:rPr>
      </w:pPr>
    </w:p>
    <w:p w14:paraId="3FA2374F" w14:textId="77777777" w:rsidR="006B677C" w:rsidRDefault="00227D26" w:rsidP="006B677C">
      <w:pPr>
        <w:jc w:val="both"/>
        <w:rPr>
          <w:rFonts w:ascii="Arial" w:hAnsi="Arial" w:cs="Arial"/>
          <w:sz w:val="20"/>
        </w:rPr>
      </w:pPr>
      <w:r>
        <w:rPr>
          <w:rFonts w:ascii="Arial" w:hAnsi="Arial" w:cs="Arial"/>
          <w:sz w:val="20"/>
        </w:rPr>
        <w:t xml:space="preserve">On </w:t>
      </w:r>
      <w:r w:rsidR="0089381C">
        <w:rPr>
          <w:rFonts w:ascii="Arial" w:hAnsi="Arial" w:cs="Arial"/>
          <w:sz w:val="20"/>
        </w:rPr>
        <w:t xml:space="preserve">committing an accused for trial, </w:t>
      </w:r>
      <w:r w:rsidR="00A0120F">
        <w:rPr>
          <w:rFonts w:ascii="Arial" w:hAnsi="Arial" w:cs="Arial"/>
          <w:sz w:val="20"/>
        </w:rPr>
        <w:t xml:space="preserve">s.144(2) requires </w:t>
      </w:r>
      <w:r w:rsidR="0089381C">
        <w:rPr>
          <w:rFonts w:ascii="Arial" w:hAnsi="Arial" w:cs="Arial"/>
          <w:sz w:val="20"/>
        </w:rPr>
        <w:t xml:space="preserve">the court </w:t>
      </w:r>
      <w:r w:rsidR="00A0120F">
        <w:rPr>
          <w:rFonts w:ascii="Arial" w:hAnsi="Arial" w:cs="Arial"/>
          <w:sz w:val="20"/>
        </w:rPr>
        <w:t>to</w:t>
      </w:r>
      <w:r w:rsidR="0089381C">
        <w:rPr>
          <w:rFonts w:ascii="Arial" w:hAnsi="Arial" w:cs="Arial"/>
          <w:sz w:val="20"/>
        </w:rPr>
        <w:t>-</w:t>
      </w:r>
    </w:p>
    <w:p w14:paraId="4D3097AF" w14:textId="77777777" w:rsidR="006B677C" w:rsidRDefault="0089381C">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5C37E113" w14:textId="77777777" w:rsidR="0089381C" w:rsidRDefault="0089381C">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66C28133" w14:textId="77777777" w:rsidR="006B677C" w:rsidRDefault="0089381C" w:rsidP="0089381C">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4EE35F90" w14:textId="77777777" w:rsidR="0089381C" w:rsidRDefault="0089381C" w:rsidP="0089381C">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03D5EF95" w14:textId="77777777" w:rsidR="0089381C" w:rsidRDefault="0089381C" w:rsidP="0089381C">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4154D98E" w14:textId="77777777" w:rsidR="0089381C" w:rsidRDefault="0089381C">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6F2AFFCA" w14:textId="77777777" w:rsidR="0089381C" w:rsidRDefault="0089381C">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5FA3D51A" w14:textId="12E07755" w:rsidR="006B677C" w:rsidRDefault="006B677C" w:rsidP="0039721E">
      <w:pPr>
        <w:jc w:val="both"/>
        <w:rPr>
          <w:rFonts w:ascii="Arial" w:hAnsi="Arial" w:cs="Arial"/>
          <w:sz w:val="20"/>
        </w:rPr>
      </w:pPr>
    </w:p>
    <w:p w14:paraId="0EAF793C" w14:textId="186A1A33" w:rsidR="00C0633B" w:rsidRPr="00C0633B" w:rsidRDefault="00C0633B" w:rsidP="00C0633B">
      <w:pPr>
        <w:jc w:val="both"/>
        <w:rPr>
          <w:rFonts w:ascii="Arial" w:hAnsi="Arial" w:cs="Arial"/>
          <w:sz w:val="20"/>
          <w:szCs w:val="20"/>
        </w:rPr>
      </w:pPr>
      <w:r w:rsidRPr="00C0633B">
        <w:rPr>
          <w:rFonts w:ascii="Arial" w:hAnsi="Arial" w:cs="Arial"/>
          <w:sz w:val="20"/>
          <w:szCs w:val="20"/>
        </w:rPr>
        <w:t>Rule 6</w:t>
      </w:r>
      <w:r>
        <w:rPr>
          <w:rFonts w:ascii="Arial" w:hAnsi="Arial" w:cs="Arial"/>
          <w:sz w:val="20"/>
          <w:szCs w:val="20"/>
        </w:rPr>
        <w:t>8</w:t>
      </w:r>
      <w:r w:rsidRPr="00C0633B">
        <w:rPr>
          <w:rFonts w:ascii="Arial" w:hAnsi="Arial" w:cs="Arial"/>
          <w:sz w:val="20"/>
          <w:szCs w:val="20"/>
        </w:rPr>
        <w:t xml:space="preserve"> of the </w:t>
      </w:r>
      <w:r w:rsidRPr="00C0633B">
        <w:rPr>
          <w:rFonts w:ascii="Arial" w:hAnsi="Arial" w:cs="Arial"/>
          <w:i/>
          <w:iCs/>
          <w:sz w:val="20"/>
          <w:szCs w:val="20"/>
        </w:rPr>
        <w:t>Magistrates’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sidR="00026853">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026853">
        <w:rPr>
          <w:rFonts w:ascii="Arial" w:hAnsi="Arial" w:cs="Arial"/>
          <w:sz w:val="20"/>
          <w:szCs w:val="20"/>
        </w:rPr>
        <w:t>40</w:t>
      </w:r>
      <w:r>
        <w:rPr>
          <w:rFonts w:ascii="Arial" w:hAnsi="Arial" w:cs="Arial"/>
          <w:sz w:val="20"/>
          <w:szCs w:val="20"/>
        </w:rPr>
        <w:t xml:space="preserve"> which is as follows:</w:t>
      </w:r>
    </w:p>
    <w:p w14:paraId="7CCA9B7B" w14:textId="6AE6351B" w:rsidR="00C0633B" w:rsidRDefault="00C0633B" w:rsidP="00683922">
      <w:pPr>
        <w:pStyle w:val="HTMLPreformatted"/>
        <w:spacing w:before="60"/>
        <w:ind w:left="567" w:right="567"/>
        <w:jc w:val="both"/>
        <w:rPr>
          <w:rFonts w:ascii="Arial" w:hAnsi="Arial" w:cs="Arial"/>
        </w:rPr>
      </w:pPr>
      <w:r>
        <w:rPr>
          <w:rFonts w:ascii="Arial" w:hAnsi="Arial" w:cs="Arial"/>
        </w:rPr>
        <w:t>“</w:t>
      </w:r>
      <w:r w:rsidR="00026853" w:rsidRPr="00026853">
        <w:rPr>
          <w:rFonts w:ascii="Arial" w:hAnsi="Arial" w:cs="Arial"/>
        </w:rPr>
        <w:t>I caution you that your right to call evidence at trial in support of an alibi is restricted.</w:t>
      </w:r>
    </w:p>
    <w:p w14:paraId="1C90369C" w14:textId="531B4FC1" w:rsidR="00026853" w:rsidRDefault="00026853" w:rsidP="00683922">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59CF8F5B" w14:textId="188A43EC" w:rsidR="00026853" w:rsidRDefault="00026853" w:rsidP="00683922">
      <w:pPr>
        <w:pStyle w:val="HTMLPreformatted"/>
        <w:spacing w:before="60"/>
        <w:ind w:left="567" w:right="567"/>
        <w:jc w:val="both"/>
        <w:rPr>
          <w:rFonts w:ascii="Arial" w:hAnsi="Arial" w:cs="Arial"/>
        </w:rPr>
      </w:pPr>
      <w:r w:rsidRPr="00026853">
        <w:rPr>
          <w:rFonts w:ascii="Arial" w:hAnsi="Arial" w:cs="Arial"/>
        </w:rPr>
        <w:t>The notice must contain–</w:t>
      </w:r>
    </w:p>
    <w:p w14:paraId="0B5C8643" w14:textId="7C824699"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2CDB5BF0" w14:textId="7EE2E744"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61CF1217" w14:textId="55F5CDE9"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51E9578F" w14:textId="1B024E23"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427C4F4F" w14:textId="17B1BC22" w:rsidR="00026853" w:rsidRPr="00C0633B" w:rsidRDefault="00026853" w:rsidP="00683922">
      <w:pPr>
        <w:pStyle w:val="HTMLPreformatted"/>
        <w:ind w:left="567" w:right="567"/>
        <w:jc w:val="both"/>
        <w:rPr>
          <w:rFonts w:ascii="Arial" w:hAnsi="Arial" w:cs="Arial"/>
        </w:rPr>
      </w:pPr>
      <w:r>
        <w:rPr>
          <w:rFonts w:ascii="Arial" w:hAnsi="Arial" w:cs="Arial"/>
        </w:rPr>
        <w:t>in support of your alibi.”</w:t>
      </w:r>
    </w:p>
    <w:p w14:paraId="484EADD4" w14:textId="124F0FCF" w:rsidR="00C0633B" w:rsidRDefault="00C0633B" w:rsidP="00026853">
      <w:pPr>
        <w:jc w:val="both"/>
        <w:rPr>
          <w:rFonts w:ascii="Arial" w:hAnsi="Arial" w:cs="Arial"/>
          <w:sz w:val="20"/>
        </w:rPr>
      </w:pPr>
    </w:p>
    <w:p w14:paraId="2B3335DE" w14:textId="77777777" w:rsidR="00A0120F" w:rsidRDefault="00A0120F" w:rsidP="0039721E">
      <w:pPr>
        <w:jc w:val="both"/>
        <w:rPr>
          <w:rFonts w:ascii="Arial" w:hAnsi="Arial" w:cs="Arial"/>
          <w:sz w:val="20"/>
        </w:rPr>
      </w:pPr>
      <w:r>
        <w:rPr>
          <w:rFonts w:ascii="Arial" w:hAnsi="Arial" w:cs="Arial"/>
          <w:sz w:val="20"/>
        </w:rPr>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66A63CF2" w14:textId="77777777" w:rsidR="00A0120F" w:rsidRDefault="00A0120F" w:rsidP="0039721E">
      <w:pPr>
        <w:jc w:val="both"/>
        <w:rPr>
          <w:rFonts w:ascii="Arial" w:hAnsi="Arial" w:cs="Arial"/>
          <w:sz w:val="20"/>
        </w:rPr>
      </w:pPr>
    </w:p>
    <w:p w14:paraId="127CEBB4" w14:textId="77777777" w:rsidR="00E212EE" w:rsidRPr="00E035CF" w:rsidRDefault="00E212EE" w:rsidP="0039721E">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w:t>
      </w:r>
      <w:r w:rsidR="004D68B2" w:rsidRPr="00E035CF">
        <w:rPr>
          <w:rFonts w:ascii="Arial" w:hAnsi="Arial" w:cs="Arial"/>
          <w:color w:val="000000"/>
          <w:sz w:val="20"/>
          <w:szCs w:val="20"/>
        </w:rPr>
        <w:t xml:space="preserve">accused has no entitlement to </w:t>
      </w:r>
      <w:r w:rsidRPr="00E035CF">
        <w:rPr>
          <w:rFonts w:ascii="Arial" w:hAnsi="Arial" w:cs="Arial"/>
          <w:color w:val="000000"/>
          <w:sz w:val="20"/>
          <w:szCs w:val="20"/>
        </w:rPr>
        <w:t xml:space="preserve">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w:t>
      </w:r>
      <w:r w:rsidR="004D68B2" w:rsidRPr="00E035CF">
        <w:rPr>
          <w:rFonts w:ascii="Arial" w:hAnsi="Arial" w:cs="Arial"/>
          <w:color w:val="000000"/>
          <w:sz w:val="20"/>
          <w:szCs w:val="20"/>
        </w:rPr>
        <w:t xml:space="preserve">also </w:t>
      </w:r>
      <w:r w:rsidRPr="00E035CF">
        <w:rPr>
          <w:rFonts w:ascii="Arial" w:hAnsi="Arial" w:cs="Arial"/>
          <w:color w:val="000000"/>
          <w:sz w:val="20"/>
          <w:szCs w:val="20"/>
        </w:rPr>
        <w:t xml:space="preserve">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5D6B1F6C" w14:textId="77777777" w:rsidR="00E212EE" w:rsidRDefault="00E212EE" w:rsidP="0039721E">
      <w:pPr>
        <w:jc w:val="both"/>
        <w:rPr>
          <w:rFonts w:ascii="Arial" w:hAnsi="Arial" w:cs="Arial"/>
          <w:sz w:val="20"/>
        </w:rPr>
      </w:pPr>
    </w:p>
    <w:p w14:paraId="71A15390" w14:textId="77777777" w:rsidR="0039721E" w:rsidRDefault="0039721E" w:rsidP="0039721E">
      <w:pPr>
        <w:pStyle w:val="Heading3"/>
        <w:keepNext/>
        <w:spacing w:after="80" w:line="240" w:lineRule="auto"/>
        <w:rPr>
          <w:rFonts w:ascii="Arial" w:hAnsi="Arial" w:cs="Arial"/>
          <w:b/>
          <w:bCs/>
          <w:sz w:val="20"/>
        </w:rPr>
      </w:pPr>
      <w:bookmarkStart w:id="88" w:name="_10.2.6_Effect_of"/>
      <w:bookmarkEnd w:id="88"/>
      <w:r>
        <w:rPr>
          <w:rFonts w:ascii="Arial" w:hAnsi="Arial" w:cs="Arial"/>
          <w:b/>
          <w:bCs/>
          <w:sz w:val="20"/>
        </w:rPr>
        <w:t>10.2.</w:t>
      </w:r>
      <w:r w:rsidR="0008023B">
        <w:rPr>
          <w:rFonts w:ascii="Arial" w:hAnsi="Arial" w:cs="Arial"/>
          <w:b/>
          <w:bCs/>
          <w:sz w:val="20"/>
        </w:rPr>
        <w:t>6</w:t>
      </w:r>
      <w:r>
        <w:rPr>
          <w:rFonts w:ascii="Arial" w:hAnsi="Arial" w:cs="Arial"/>
          <w:b/>
          <w:bCs/>
          <w:sz w:val="20"/>
        </w:rPr>
        <w:tab/>
        <w:t>Effect of discharge after committal</w:t>
      </w:r>
    </w:p>
    <w:p w14:paraId="550FB9A4" w14:textId="77777777" w:rsidR="0039721E" w:rsidRDefault="0039721E" w:rsidP="0039721E">
      <w:pPr>
        <w:jc w:val="both"/>
        <w:rPr>
          <w:rFonts w:ascii="Arial" w:hAnsi="Arial" w:cs="Arial"/>
          <w:sz w:val="20"/>
        </w:rPr>
      </w:pPr>
      <w:r>
        <w:rPr>
          <w:rFonts w:ascii="Arial" w:hAnsi="Arial" w:cs="Arial"/>
          <w:sz w:val="20"/>
        </w:rPr>
        <w:t xml:space="preserve">Discharge does not mean dismissal of the charge.  A committal does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does not apply.  The Director of Public Prosecutions may sign a presentment in respect of a charge and serve a Notice of Trial on the accused notwithstanding that the accused was discharged at committal.  Conversely, the DPP may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applies equally to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14:paraId="5751AC02" w14:textId="77777777" w:rsidR="0039721E" w:rsidRDefault="0039721E" w:rsidP="00201765">
      <w:pPr>
        <w:spacing w:before="60"/>
        <w:ind w:left="567" w:right="567"/>
        <w:jc w:val="both"/>
        <w:rPr>
          <w:rFonts w:ascii="Arial" w:hAnsi="Arial" w:cs="Arial"/>
          <w:sz w:val="20"/>
        </w:rPr>
      </w:pPr>
      <w:r>
        <w:rPr>
          <w:rFonts w:ascii="Arial" w:hAnsi="Arial" w:cs="Arial"/>
          <w:sz w:val="20"/>
        </w:rPr>
        <w:t xml:space="preserve">"Committal for trial does not in </w:t>
      </w:r>
      <w:smartTag w:uri="urn:schemas-microsoft-com:office:smarttags" w:element="State">
        <w:r>
          <w:rPr>
            <w:rFonts w:ascii="Arial" w:hAnsi="Arial" w:cs="Arial"/>
            <w:sz w:val="20"/>
          </w:rPr>
          <w:t>New South Wales</w:t>
        </w:r>
      </w:smartTag>
      <w:r>
        <w:rPr>
          <w:rFonts w:ascii="Arial" w:hAnsi="Arial" w:cs="Arial"/>
          <w:sz w:val="20"/>
        </w:rPr>
        <w:t xml:space="preserve"> determine, as it now effectively does in the </w:t>
      </w:r>
      <w:smartTag w:uri="urn:schemas-microsoft-com:office:smarttags" w:element="country-region">
        <w:smartTag w:uri="urn:schemas-microsoft-com:office:smarttags" w:element="place">
          <w:r>
            <w:rPr>
              <w:rFonts w:ascii="Arial" w:hAnsi="Arial" w:cs="Arial"/>
              <w:sz w:val="20"/>
            </w:rPr>
            <w:t>United Kingdom</w:t>
          </w:r>
        </w:smartTag>
      </w:smartTag>
      <w:r>
        <w:rPr>
          <w:rFonts w:ascii="Arial" w:hAnsi="Arial" w:cs="Arial"/>
          <w:sz w:val="20"/>
        </w:rPr>
        <w:t>, whether a person charged with an offence shall be indicted.  He will, of course, ordinarily stand trial if committed, although not necessarily so, and a person discharged may nevertheless be indicted.  The powers of a magistrate in committal proceedings are thus, strictly speaking, still confined to determining whether the person charged shall be discharged, committed to prison to await trial or admitted to bail and does not involve the exercise of a judicial function.</w:t>
      </w:r>
    </w:p>
    <w:p w14:paraId="7340A3FD" w14:textId="77777777" w:rsidR="0039721E" w:rsidRDefault="0039721E" w:rsidP="0039721E">
      <w:pPr>
        <w:spacing w:before="60"/>
        <w:ind w:left="567" w:right="567"/>
        <w:jc w:val="both"/>
        <w:rPr>
          <w:rFonts w:ascii="Arial" w:hAnsi="Arial" w:cs="Arial"/>
          <w:sz w:val="20"/>
        </w:rPr>
      </w:pPr>
      <w:r>
        <w:rPr>
          <w:rFonts w:ascii="Arial" w:hAnsi="Arial" w:cs="Arial"/>
          <w:sz w:val="20"/>
        </w:rPr>
        <w:t>The importance of a committal in the criminal process should not, however, be underrated.  It enables the person charged to hear the evidence against him and to cross-examine the prosecution witnesses.  It enables him to put forward his defence if he wishes to do so.  It serves to marshal the evidence in deposition form.  And, notwithstanding that it is not binding, the decision of a magistrate that a person should or should not stand trial has in practice considerable force so that the preliminary hearing operates to effectively to filter out those prosecutions which, because there is insufficient evidence, should not be pursued."</w:t>
      </w:r>
    </w:p>
    <w:p w14:paraId="11E003E5" w14:textId="77777777" w:rsidR="00D7335E" w:rsidRDefault="00D7335E">
      <w:pPr>
        <w:jc w:val="both"/>
        <w:rPr>
          <w:rFonts w:ascii="Arial" w:hAnsi="Arial" w:cs="Arial"/>
          <w:sz w:val="20"/>
        </w:rPr>
      </w:pPr>
    </w:p>
    <w:p w14:paraId="5A0219B8" w14:textId="77777777" w:rsidR="00D7335E" w:rsidRDefault="00D7335E">
      <w:pPr>
        <w:pStyle w:val="Heading3"/>
        <w:keepNext/>
        <w:spacing w:after="80" w:line="240" w:lineRule="auto"/>
        <w:rPr>
          <w:rFonts w:ascii="Arial" w:hAnsi="Arial" w:cs="Arial"/>
          <w:b/>
          <w:bCs/>
          <w:sz w:val="20"/>
        </w:rPr>
      </w:pPr>
      <w:bookmarkStart w:id="89" w:name="_10.2.7_Taking_evidence"/>
      <w:bookmarkEnd w:id="89"/>
      <w:r>
        <w:rPr>
          <w:rFonts w:ascii="Arial" w:hAnsi="Arial" w:cs="Arial"/>
          <w:b/>
          <w:bCs/>
          <w:sz w:val="20"/>
        </w:rPr>
        <w:t>10.2.</w:t>
      </w:r>
      <w:r w:rsidR="0008023B">
        <w:rPr>
          <w:rFonts w:ascii="Arial" w:hAnsi="Arial" w:cs="Arial"/>
          <w:b/>
          <w:bCs/>
          <w:sz w:val="20"/>
        </w:rPr>
        <w:t>7</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65BAA2E0" w:rsidR="00D7335E" w:rsidRDefault="00D7335E">
      <w:pPr>
        <w:jc w:val="both"/>
        <w:rPr>
          <w:rFonts w:ascii="Arial" w:hAnsi="Arial" w:cs="Arial"/>
          <w:sz w:val="20"/>
        </w:rPr>
      </w:pPr>
      <w:r>
        <w:rPr>
          <w:rFonts w:ascii="Arial" w:hAnsi="Arial" w:cs="Arial"/>
          <w:sz w:val="20"/>
        </w:rPr>
        <w:t xml:space="preserve">Subsequent to the decision in </w:t>
      </w:r>
      <w:bookmarkStart w:id="90" w:name="_Hlk208571760"/>
      <w:r>
        <w:rPr>
          <w:rFonts w:ascii="Arial" w:hAnsi="Arial" w:cs="Arial"/>
          <w:i/>
          <w:iCs/>
          <w:sz w:val="20"/>
        </w:rPr>
        <w:t>R v Basha</w:t>
      </w:r>
      <w:r>
        <w:rPr>
          <w:rFonts w:ascii="Arial" w:hAnsi="Arial" w:cs="Arial"/>
          <w:sz w:val="20"/>
        </w:rPr>
        <w:t xml:space="preserve"> (1989) 39 A Crim R 337</w:t>
      </w:r>
      <w:bookmarkEnd w:id="90"/>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10.2.8</w:t>
      </w:r>
      <w:r w:rsidR="001B36C7">
        <w:rPr>
          <w:rFonts w:ascii="Arial" w:hAnsi="Arial" w:cs="Arial"/>
          <w:sz w:val="20"/>
        </w:rPr>
        <w:t xml:space="preserve"> below</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proceeding, but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since, and is known as a Basha inquiry.  The practice was referred to with approval in </w:t>
      </w:r>
      <w:r>
        <w:rPr>
          <w:rFonts w:ascii="Arial" w:hAnsi="Arial" w:cs="Arial"/>
          <w:i/>
          <w:sz w:val="20"/>
        </w:rPr>
        <w:t xml:space="preserve">DPP v Denysenko and Ors </w:t>
      </w:r>
      <w:r>
        <w:rPr>
          <w:rFonts w:ascii="Arial" w:hAnsi="Arial" w:cs="Arial"/>
          <w:iCs/>
          <w:sz w:val="20"/>
        </w:rPr>
        <w:t>[1998] 1 VR 312 at 316-7.</w:t>
      </w:r>
      <w:r>
        <w:rPr>
          <w:rFonts w:ascii="Arial" w:hAnsi="Arial" w:cs="Arial"/>
          <w:sz w:val="20"/>
        </w:rPr>
        <w:t xml:space="preserve">  Indeed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 xml:space="preserve">[41]…It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09EBFFC6"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24FD93C4" w14:textId="77777777" w:rsidR="005D2AB8" w:rsidRDefault="005D2AB8" w:rsidP="005D2AB8">
      <w:pPr>
        <w:jc w:val="both"/>
        <w:rPr>
          <w:rFonts w:ascii="Arial" w:hAnsi="Arial" w:cs="Arial"/>
          <w:sz w:val="20"/>
        </w:rPr>
      </w:pPr>
      <w:bookmarkStart w:id="91" w:name="_Toc30691450"/>
      <w:bookmarkStart w:id="92" w:name="_Toc30691829"/>
      <w:bookmarkStart w:id="93" w:name="_Toc30692209"/>
      <w:bookmarkStart w:id="94" w:name="_Toc30692967"/>
      <w:bookmarkStart w:id="95" w:name="_Toc30693346"/>
      <w:bookmarkStart w:id="96" w:name="_Toc30693724"/>
      <w:bookmarkStart w:id="97" w:name="_Toc30694102"/>
      <w:bookmarkStart w:id="98" w:name="_Toc30694482"/>
      <w:bookmarkStart w:id="99" w:name="_Toc30699072"/>
      <w:bookmarkStart w:id="100" w:name="_Toc30699457"/>
      <w:bookmarkStart w:id="101" w:name="_Toc30699842"/>
      <w:bookmarkStart w:id="102" w:name="_Toc30700997"/>
      <w:bookmarkStart w:id="103" w:name="_Toc30701384"/>
      <w:bookmarkStart w:id="104" w:name="_Toc30743989"/>
      <w:bookmarkStart w:id="105" w:name="_Toc30754812"/>
      <w:bookmarkStart w:id="106" w:name="_Toc30757268"/>
      <w:bookmarkStart w:id="107" w:name="_Toc30757816"/>
      <w:bookmarkStart w:id="108" w:name="_Toc30758216"/>
      <w:bookmarkStart w:id="109" w:name="_Toc30762977"/>
      <w:bookmarkStart w:id="110" w:name="_Toc30767631"/>
      <w:bookmarkStart w:id="111" w:name="_Toc34823649"/>
    </w:p>
    <w:p w14:paraId="6B4E7B94" w14:textId="1A29998A" w:rsidR="00634DDC" w:rsidRPr="005C5E3E" w:rsidRDefault="008A267A" w:rsidP="008A267A">
      <w:pPr>
        <w:pStyle w:val="Heading3"/>
        <w:spacing w:line="240" w:lineRule="auto"/>
        <w:rPr>
          <w:rFonts w:ascii="Arial" w:hAnsi="Arial" w:cs="Arial"/>
          <w:b/>
          <w:bCs/>
          <w:sz w:val="20"/>
          <w:szCs w:val="16"/>
        </w:rPr>
      </w:pPr>
      <w:bookmarkStart w:id="112" w:name="_Fast_tracking_of"/>
      <w:bookmarkStart w:id="113" w:name="_10.2.8_Fast_tracking"/>
      <w:bookmarkEnd w:id="112"/>
      <w:bookmarkEnd w:id="113"/>
      <w:r>
        <w:rPr>
          <w:rFonts w:ascii="Arial" w:hAnsi="Arial" w:cs="Arial"/>
          <w:b/>
          <w:bCs/>
          <w:sz w:val="20"/>
          <w:szCs w:val="16"/>
        </w:rPr>
        <w:t>10.2.8</w:t>
      </w:r>
      <w:r>
        <w:rPr>
          <w:rFonts w:ascii="Arial" w:hAnsi="Arial" w:cs="Arial"/>
          <w:b/>
          <w:bCs/>
          <w:sz w:val="20"/>
          <w:szCs w:val="16"/>
        </w:rPr>
        <w:tab/>
      </w:r>
      <w:r w:rsidR="00634DDC">
        <w:rPr>
          <w:rFonts w:ascii="Arial" w:hAnsi="Arial" w:cs="Arial"/>
          <w:b/>
          <w:bCs/>
          <w:sz w:val="20"/>
          <w:szCs w:val="16"/>
        </w:rPr>
        <w:t>Fast</w:t>
      </w:r>
      <w:r w:rsidR="00451308">
        <w:rPr>
          <w:rFonts w:ascii="Arial" w:hAnsi="Arial" w:cs="Arial"/>
          <w:b/>
          <w:bCs/>
          <w:sz w:val="20"/>
          <w:szCs w:val="16"/>
        </w:rPr>
        <w:t>-t</w:t>
      </w:r>
      <w:r w:rsidR="00634DDC">
        <w:rPr>
          <w:rFonts w:ascii="Arial" w:hAnsi="Arial" w:cs="Arial"/>
          <w:b/>
          <w:bCs/>
          <w:sz w:val="20"/>
          <w:szCs w:val="16"/>
        </w:rPr>
        <w:t xml:space="preserve">racking of homicide </w:t>
      </w:r>
      <w:r w:rsidR="001A4B0E">
        <w:rPr>
          <w:rFonts w:ascii="Arial" w:hAnsi="Arial" w:cs="Arial"/>
          <w:b/>
          <w:bCs/>
          <w:sz w:val="20"/>
          <w:szCs w:val="16"/>
        </w:rPr>
        <w:t>matter</w:t>
      </w:r>
      <w:r w:rsidR="00634DDC">
        <w:rPr>
          <w:rFonts w:ascii="Arial" w:hAnsi="Arial" w:cs="Arial"/>
          <w:b/>
          <w:bCs/>
          <w:sz w:val="20"/>
          <w:szCs w:val="16"/>
        </w:rPr>
        <w:t>s to the Supreme Court</w:t>
      </w:r>
    </w:p>
    <w:p w14:paraId="590757B8" w14:textId="0723F30A" w:rsidR="00D20C86" w:rsidRDefault="00D20C86" w:rsidP="00D20C86">
      <w:pPr>
        <w:jc w:val="both"/>
        <w:rPr>
          <w:rFonts w:ascii="Arial" w:hAnsi="Arial" w:cs="Arial"/>
          <w:sz w:val="20"/>
        </w:rPr>
      </w:pPr>
    </w:p>
    <w:p w14:paraId="092F80B5" w14:textId="42DB1359" w:rsidR="005D2AB8" w:rsidRDefault="00451308" w:rsidP="00D20C86">
      <w:pPr>
        <w:jc w:val="both"/>
        <w:rPr>
          <w:rFonts w:ascii="Arial" w:hAnsi="Arial" w:cs="Arial"/>
          <w:sz w:val="20"/>
        </w:rPr>
      </w:pPr>
      <w:r>
        <w:rPr>
          <w:rFonts w:ascii="Arial" w:hAnsi="Arial" w:cs="Arial"/>
          <w:sz w:val="20"/>
        </w:rPr>
        <w:t xml:space="preserve">Ordinarily, murder and manslaughter charges against an accused undergo a committal process in the Children’s Court </w:t>
      </w:r>
      <w:r w:rsidR="005527BA">
        <w:rPr>
          <w:rFonts w:ascii="Arial" w:hAnsi="Arial" w:cs="Arial"/>
          <w:sz w:val="20"/>
        </w:rPr>
        <w:t xml:space="preserve">or the Magistrates’ Court (as the case may be) </w:t>
      </w:r>
      <w:r>
        <w:rPr>
          <w:rFonts w:ascii="Arial" w:hAnsi="Arial" w:cs="Arial"/>
          <w:sz w:val="20"/>
        </w:rPr>
        <w:t>before the accused is committed to stand trial in the Supreme Court</w:t>
      </w:r>
      <w:r w:rsidR="001A4B0E">
        <w:rPr>
          <w:rFonts w:ascii="Arial" w:hAnsi="Arial" w:cs="Arial"/>
          <w:sz w:val="20"/>
        </w:rPr>
        <w:t xml:space="preserve"> or is discharged</w:t>
      </w:r>
      <w:r>
        <w:rPr>
          <w:rFonts w:ascii="Arial" w:hAnsi="Arial" w:cs="Arial"/>
          <w:sz w:val="20"/>
        </w:rPr>
        <w:t>.</w:t>
      </w:r>
    </w:p>
    <w:p w14:paraId="6A5EA036" w14:textId="4B3516A0" w:rsidR="00451308" w:rsidRDefault="00451308" w:rsidP="00D20C86">
      <w:pPr>
        <w:jc w:val="both"/>
        <w:rPr>
          <w:rFonts w:ascii="Arial" w:hAnsi="Arial" w:cs="Arial"/>
          <w:sz w:val="20"/>
        </w:rPr>
      </w:pPr>
    </w:p>
    <w:p w14:paraId="4EB1DE40" w14:textId="101EE601" w:rsidR="00451308" w:rsidRDefault="00451308" w:rsidP="00D20C86">
      <w:pPr>
        <w:jc w:val="both"/>
        <w:rPr>
          <w:rFonts w:ascii="Arial" w:hAnsi="Arial" w:cs="Arial"/>
          <w:sz w:val="20"/>
        </w:rPr>
      </w:pPr>
      <w:r>
        <w:rPr>
          <w:rFonts w:ascii="Arial" w:hAnsi="Arial" w:cs="Arial"/>
          <w:sz w:val="20"/>
        </w:rPr>
        <w:t>In response to the COVID-19 pandemic, the Supreme Court introduced a fast-track committal process:</w:t>
      </w:r>
    </w:p>
    <w:p w14:paraId="3E39A16E" w14:textId="2CE1AC2F" w:rsidR="00451308" w:rsidRDefault="00451308">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w:t>
      </w:r>
      <w:r w:rsidR="00416930">
        <w:rPr>
          <w:rFonts w:ascii="Arial" w:hAnsi="Arial" w:cs="Arial"/>
          <w:sz w:val="20"/>
        </w:rPr>
        <w:t xml:space="preserve"> and the Magistrates’ Court</w:t>
      </w:r>
      <w:r>
        <w:rPr>
          <w:rFonts w:ascii="Arial" w:hAnsi="Arial" w:cs="Arial"/>
          <w:sz w:val="20"/>
        </w:rPr>
        <w:t>;</w:t>
      </w:r>
    </w:p>
    <w:p w14:paraId="10F4EA11" w14:textId="1D3AF611" w:rsidR="00451308" w:rsidRDefault="00451308">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79FE9C60" w14:textId="0CEFB77D" w:rsidR="00451308" w:rsidRDefault="00451308">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50573C45" w14:textId="77777777" w:rsidR="00451308" w:rsidRPr="00451308" w:rsidRDefault="00451308" w:rsidP="00451308">
      <w:pPr>
        <w:jc w:val="both"/>
        <w:rPr>
          <w:rFonts w:ascii="Arial" w:hAnsi="Arial" w:cs="Arial"/>
          <w:sz w:val="20"/>
        </w:rPr>
      </w:pPr>
    </w:p>
    <w:p w14:paraId="5696483F" w14:textId="173237F7" w:rsidR="00451308" w:rsidRDefault="00451308" w:rsidP="00D20C86">
      <w:pPr>
        <w:jc w:val="both"/>
        <w:rPr>
          <w:rFonts w:ascii="Arial" w:hAnsi="Arial" w:cs="Arial"/>
          <w:sz w:val="20"/>
        </w:rPr>
      </w:pPr>
      <w:r>
        <w:rPr>
          <w:rFonts w:ascii="Arial" w:hAnsi="Arial" w:cs="Arial"/>
          <w:sz w:val="20"/>
        </w:rPr>
        <w:t xml:space="preserve">A </w:t>
      </w:r>
      <w:r w:rsidR="001A4B0E">
        <w:rPr>
          <w:rFonts w:ascii="Arial" w:hAnsi="Arial" w:cs="Arial"/>
          <w:sz w:val="20"/>
        </w:rPr>
        <w:t>matter</w:t>
      </w:r>
      <w:r>
        <w:rPr>
          <w:rFonts w:ascii="Arial" w:hAnsi="Arial" w:cs="Arial"/>
          <w:sz w:val="20"/>
        </w:rPr>
        <w:t xml:space="preserve"> may be fast-tracked if:</w:t>
      </w:r>
    </w:p>
    <w:p w14:paraId="53857CE8" w14:textId="1E46FB93" w:rsidR="00451308" w:rsidRDefault="00451308">
      <w:pPr>
        <w:pStyle w:val="ListParagraph"/>
        <w:numPr>
          <w:ilvl w:val="0"/>
          <w:numId w:val="92"/>
        </w:numPr>
        <w:ind w:left="357" w:hanging="357"/>
        <w:jc w:val="both"/>
        <w:rPr>
          <w:rFonts w:ascii="Arial" w:hAnsi="Arial" w:cs="Arial"/>
          <w:sz w:val="20"/>
        </w:rPr>
      </w:pPr>
      <w:r>
        <w:rPr>
          <w:rFonts w:ascii="Arial" w:hAnsi="Arial" w:cs="Arial"/>
          <w:sz w:val="20"/>
        </w:rPr>
        <w:t>the accused is charged with murder, manslaughter, attempted murder, conspiracy to murder or incitement to murder;</w:t>
      </w:r>
    </w:p>
    <w:p w14:paraId="242DFA4A" w14:textId="70444B43" w:rsidR="00416930" w:rsidRDefault="00416930">
      <w:pPr>
        <w:pStyle w:val="ListParagraph"/>
        <w:numPr>
          <w:ilvl w:val="0"/>
          <w:numId w:val="92"/>
        </w:numPr>
        <w:ind w:left="357" w:hanging="357"/>
        <w:jc w:val="both"/>
        <w:rPr>
          <w:rFonts w:ascii="Arial" w:hAnsi="Arial" w:cs="Arial"/>
          <w:sz w:val="20"/>
        </w:rPr>
      </w:pPr>
      <w:r>
        <w:rPr>
          <w:rFonts w:ascii="Arial" w:hAnsi="Arial" w:cs="Arial"/>
          <w:sz w:val="20"/>
        </w:rPr>
        <w:t>the hand-up brief has been served;</w:t>
      </w:r>
    </w:p>
    <w:p w14:paraId="2A81C3AA" w14:textId="2834365A" w:rsidR="00451308" w:rsidRDefault="00451308">
      <w:pPr>
        <w:pStyle w:val="ListParagraph"/>
        <w:numPr>
          <w:ilvl w:val="0"/>
          <w:numId w:val="92"/>
        </w:numPr>
        <w:ind w:left="357" w:hanging="357"/>
        <w:jc w:val="both"/>
        <w:rPr>
          <w:rFonts w:ascii="Arial" w:hAnsi="Arial" w:cs="Arial"/>
          <w:sz w:val="20"/>
        </w:rPr>
      </w:pPr>
      <w:r>
        <w:rPr>
          <w:rFonts w:ascii="Arial" w:hAnsi="Arial" w:cs="Arial"/>
          <w:sz w:val="20"/>
        </w:rPr>
        <w:t>the accused elects to stand trial, pursuant to s.143 CPA; and</w:t>
      </w:r>
    </w:p>
    <w:p w14:paraId="50E55F9E" w14:textId="200D4E8D" w:rsidR="00451308" w:rsidRDefault="00451308">
      <w:pPr>
        <w:pStyle w:val="ListParagraph"/>
        <w:numPr>
          <w:ilvl w:val="0"/>
          <w:numId w:val="92"/>
        </w:numPr>
        <w:ind w:left="357" w:hanging="357"/>
        <w:jc w:val="both"/>
        <w:rPr>
          <w:rFonts w:ascii="Arial" w:hAnsi="Arial" w:cs="Arial"/>
          <w:sz w:val="20"/>
        </w:rPr>
      </w:pPr>
      <w:r>
        <w:rPr>
          <w:rFonts w:ascii="Arial" w:hAnsi="Arial" w:cs="Arial"/>
          <w:sz w:val="20"/>
        </w:rPr>
        <w:t xml:space="preserve">in prosecutions involving two or more co-accused, all co-accused have consented to fast-track their </w:t>
      </w:r>
      <w:r w:rsidR="001A4B0E">
        <w:rPr>
          <w:rFonts w:ascii="Arial" w:hAnsi="Arial" w:cs="Arial"/>
          <w:sz w:val="20"/>
        </w:rPr>
        <w:t>matter</w:t>
      </w:r>
      <w:r>
        <w:rPr>
          <w:rFonts w:ascii="Arial" w:hAnsi="Arial" w:cs="Arial"/>
          <w:sz w:val="20"/>
        </w:rPr>
        <w:t>s to the Supreme Court at the same time.</w:t>
      </w:r>
    </w:p>
    <w:p w14:paraId="51FEFF31" w14:textId="77777777" w:rsidR="00451308" w:rsidRDefault="00451308" w:rsidP="00451308">
      <w:pPr>
        <w:jc w:val="both"/>
        <w:rPr>
          <w:rFonts w:ascii="Arial" w:hAnsi="Arial" w:cs="Arial"/>
          <w:sz w:val="20"/>
        </w:rPr>
      </w:pPr>
    </w:p>
    <w:p w14:paraId="4C678DD1" w14:textId="7B4ED56E" w:rsidR="00451308" w:rsidRDefault="00451308" w:rsidP="00D20C86">
      <w:pPr>
        <w:jc w:val="both"/>
        <w:rPr>
          <w:rFonts w:ascii="Arial" w:hAnsi="Arial" w:cs="Arial"/>
          <w:sz w:val="20"/>
        </w:rPr>
      </w:pPr>
      <w:r>
        <w:rPr>
          <w:rFonts w:ascii="Arial" w:hAnsi="Arial" w:cs="Arial"/>
          <w:sz w:val="20"/>
        </w:rPr>
        <w:t xml:space="preserve">Once fast-tracked to the Supreme Court, the </w:t>
      </w:r>
      <w:r w:rsidR="001A4B0E">
        <w:rPr>
          <w:rFonts w:ascii="Arial" w:hAnsi="Arial" w:cs="Arial"/>
          <w:sz w:val="20"/>
        </w:rPr>
        <w:t>matter</w:t>
      </w:r>
      <w:r>
        <w:rPr>
          <w:rFonts w:ascii="Arial" w:hAnsi="Arial" w:cs="Arial"/>
          <w:sz w:val="20"/>
        </w:rPr>
        <w:t xml:space="preserve"> is managed by a judicial registrar.</w:t>
      </w:r>
      <w:r w:rsidR="001A4B0E">
        <w:rPr>
          <w:rFonts w:ascii="Arial" w:hAnsi="Arial" w:cs="Arial"/>
          <w:sz w:val="20"/>
        </w:rPr>
        <w:t xml:space="preserve">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0459E845" w14:textId="08304B5A" w:rsidR="00451308" w:rsidRDefault="00451308" w:rsidP="00D20C86">
      <w:pPr>
        <w:jc w:val="both"/>
        <w:rPr>
          <w:rFonts w:ascii="Arial" w:hAnsi="Arial" w:cs="Arial"/>
          <w:sz w:val="20"/>
        </w:rPr>
      </w:pPr>
    </w:p>
    <w:p w14:paraId="20C4C53F" w14:textId="5EFEB4F1" w:rsidR="001A4B0E" w:rsidRDefault="001A4B0E" w:rsidP="00D20C86">
      <w:pPr>
        <w:jc w:val="both"/>
        <w:rPr>
          <w:rFonts w:ascii="Arial" w:hAnsi="Arial" w:cs="Arial"/>
          <w:sz w:val="20"/>
        </w:rPr>
      </w:pPr>
      <w:r>
        <w:rPr>
          <w:rFonts w:ascii="Arial" w:hAnsi="Arial" w:cs="Arial"/>
          <w:sz w:val="20"/>
        </w:rPr>
        <w:t xml:space="preserve">An eligible matter can be fast-tracked from any venue of the Children’s Court </w:t>
      </w:r>
      <w:r w:rsidR="005527BA">
        <w:rPr>
          <w:rFonts w:ascii="Arial" w:hAnsi="Arial" w:cs="Arial"/>
          <w:sz w:val="20"/>
        </w:rPr>
        <w:t xml:space="preserve">or the Magistrates’ Court </w:t>
      </w:r>
      <w:r>
        <w:rPr>
          <w:rFonts w:ascii="Arial" w:hAnsi="Arial" w:cs="Arial"/>
          <w:sz w:val="20"/>
        </w:rPr>
        <w:t>in Victoria.</w:t>
      </w:r>
      <w:r w:rsidR="005527BA">
        <w:rPr>
          <w:rFonts w:ascii="Arial" w:hAnsi="Arial" w:cs="Arial"/>
          <w:sz w:val="20"/>
        </w:rPr>
        <w:t xml:space="preserve">  </w:t>
      </w:r>
      <w:r>
        <w:rPr>
          <w:rFonts w:ascii="Arial" w:hAnsi="Arial" w:cs="Arial"/>
          <w:sz w:val="20"/>
        </w:rPr>
        <w:t>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63DD40A4" w14:textId="77777777" w:rsidR="001A4B0E" w:rsidRPr="001A4B0E" w:rsidRDefault="001A4B0E">
      <w:pPr>
        <w:rPr>
          <w:rFonts w:ascii="Arial" w:hAnsi="Arial" w:cs="Arial"/>
          <w:sz w:val="20"/>
        </w:rPr>
      </w:pPr>
      <w:bookmarkStart w:id="114" w:name="_Committal_and_‘uplift’"/>
      <w:bookmarkEnd w:id="114"/>
    </w:p>
    <w:p w14:paraId="34DC7D39" w14:textId="0A5A3097" w:rsidR="00634DDC" w:rsidRPr="00634DDC" w:rsidRDefault="008A267A" w:rsidP="008A267A">
      <w:pPr>
        <w:pStyle w:val="Heading3"/>
        <w:spacing w:line="240" w:lineRule="auto"/>
        <w:rPr>
          <w:rFonts w:ascii="Arial" w:hAnsi="Arial" w:cs="Arial"/>
          <w:b/>
          <w:bCs/>
          <w:sz w:val="20"/>
          <w:szCs w:val="16"/>
        </w:rPr>
      </w:pPr>
      <w:bookmarkStart w:id="115" w:name="_10.2.9_Committal_and"/>
      <w:bookmarkEnd w:id="115"/>
      <w:r>
        <w:rPr>
          <w:rFonts w:ascii="Arial" w:hAnsi="Arial" w:cs="Arial"/>
          <w:b/>
          <w:bCs/>
          <w:sz w:val="20"/>
        </w:rPr>
        <w:t>10.2.9</w:t>
      </w:r>
      <w:r>
        <w:rPr>
          <w:rFonts w:ascii="Arial" w:hAnsi="Arial" w:cs="Arial"/>
          <w:b/>
          <w:bCs/>
          <w:sz w:val="20"/>
        </w:rPr>
        <w:tab/>
      </w:r>
      <w:r w:rsidR="00D20C86">
        <w:rPr>
          <w:rFonts w:ascii="Arial" w:hAnsi="Arial" w:cs="Arial"/>
          <w:b/>
          <w:bCs/>
          <w:sz w:val="20"/>
        </w:rPr>
        <w:t>Committal and ‘uplift’ statistics</w:t>
      </w:r>
    </w:p>
    <w:p w14:paraId="234E8F48" w14:textId="77777777" w:rsidR="00634DDC" w:rsidRPr="00634DDC" w:rsidRDefault="00634DDC" w:rsidP="00634DDC">
      <w:pPr>
        <w:rPr>
          <w:rFonts w:ascii="Arial" w:hAnsi="Arial" w:cs="Arial"/>
          <w:sz w:val="20"/>
          <w:szCs w:val="20"/>
        </w:rPr>
      </w:pP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54AED0BC" w14:textId="77777777" w:rsidR="00604042" w:rsidRDefault="00604042" w:rsidP="00604042">
      <w:pPr>
        <w:rPr>
          <w:sz w:val="18"/>
          <w:szCs w:val="18"/>
        </w:rPr>
      </w:pPr>
    </w:p>
    <w:p w14:paraId="11A99088" w14:textId="77777777" w:rsidR="00BF122D" w:rsidRDefault="00BF122D" w:rsidP="00604042">
      <w:pPr>
        <w:rPr>
          <w:sz w:val="18"/>
          <w:szCs w:val="18"/>
        </w:rPr>
      </w:pPr>
    </w:p>
    <w:p w14:paraId="348ECE3B" w14:textId="60984BE2" w:rsidR="00D20C86" w:rsidRDefault="00D20C86" w:rsidP="00D20C86">
      <w:pPr>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p w14:paraId="23B7C8A7" w14:textId="77777777" w:rsidR="00604042" w:rsidRPr="00301A91" w:rsidRDefault="00604042" w:rsidP="00604042">
      <w:pPr>
        <w:rPr>
          <w:rFonts w:ascii="Arial" w:hAnsi="Arial" w:cs="Arial"/>
          <w:sz w:val="18"/>
          <w:szCs w:val="18"/>
        </w:rPr>
      </w:pP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Import market quantity border controlled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Possess comm quantity border controlled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2D31F43F" w14:textId="2205CC99" w:rsidR="00DC0B3F" w:rsidRPr="006E4816" w:rsidRDefault="00DC0B3F" w:rsidP="001D3D77">
      <w:pPr>
        <w:tabs>
          <w:tab w:val="left" w:pos="284"/>
        </w:tabs>
        <w:jc w:val="both"/>
        <w:rPr>
          <w:rFonts w:ascii="Arial" w:hAnsi="Arial" w:cs="Arial"/>
          <w:sz w:val="20"/>
          <w:szCs w:val="20"/>
        </w:rPr>
      </w:pPr>
    </w:p>
    <w:p w14:paraId="5F110ABC" w14:textId="7B20416A" w:rsidR="00440183" w:rsidRPr="00440183" w:rsidRDefault="00440183" w:rsidP="00C3329A">
      <w:pPr>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r w:rsidRPr="00440183">
        <w:rPr>
          <w:rFonts w:ascii="Arial" w:hAnsi="Arial" w:cs="Arial"/>
          <w:sz w:val="20"/>
          <w:szCs w:val="20"/>
        </w:rPr>
        <w:t>Courtlink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In the 3 year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AA was placed on a youth supervision order on charges of home invasion and theft of motor vehicle;</w:t>
      </w:r>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16"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83681F">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83681F">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83681F">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83681F">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83681F">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83681F">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83681F">
            <w:pPr>
              <w:jc w:val="center"/>
              <w:rPr>
                <w:b/>
                <w:bCs/>
                <w:sz w:val="20"/>
                <w:szCs w:val="20"/>
              </w:rPr>
            </w:pPr>
            <w:r>
              <w:rPr>
                <w:rFonts w:ascii="MS Gothic" w:eastAsia="MS Gothic" w:hAnsi="MS Gothic" w:hint="eastAsia"/>
                <w:b/>
                <w:bCs/>
                <w:sz w:val="20"/>
                <w:szCs w:val="20"/>
              </w:rPr>
              <w:t>③</w:t>
            </w:r>
          </w:p>
        </w:tc>
        <w:tc>
          <w:tcPr>
            <w:tcW w:w="1984" w:type="dxa"/>
          </w:tcPr>
          <w:p w14:paraId="3A07BD3D" w14:textId="77777777" w:rsidR="00F22E46" w:rsidRPr="00622A59" w:rsidRDefault="00F22E46" w:rsidP="0083681F">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83681F">
            <w:pPr>
              <w:jc w:val="center"/>
              <w:rPr>
                <w:b/>
                <w:bCs/>
                <w:sz w:val="20"/>
                <w:szCs w:val="20"/>
              </w:rPr>
            </w:pPr>
            <w:r>
              <w:rPr>
                <w:b/>
                <w:bCs/>
                <w:sz w:val="20"/>
                <w:szCs w:val="20"/>
              </w:rPr>
              <w:t>Murder</w:t>
            </w:r>
          </w:p>
        </w:tc>
        <w:tc>
          <w:tcPr>
            <w:tcW w:w="1758" w:type="dxa"/>
          </w:tcPr>
          <w:p w14:paraId="7DC52EE7" w14:textId="77777777" w:rsidR="00F22E46" w:rsidRPr="00622A59" w:rsidRDefault="00F22E46" w:rsidP="0083681F">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83681F">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83681F">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83681F">
            <w:pPr>
              <w:jc w:val="center"/>
              <w:rPr>
                <w:rFonts w:ascii="MS Gothic" w:eastAsia="MS Gothic" w:hAnsi="MS Gothic"/>
                <w:b/>
                <w:bCs/>
                <w:sz w:val="20"/>
                <w:szCs w:val="20"/>
              </w:rPr>
            </w:pPr>
          </w:p>
        </w:tc>
        <w:tc>
          <w:tcPr>
            <w:tcW w:w="1984" w:type="dxa"/>
            <w:vMerge/>
          </w:tcPr>
          <w:p w14:paraId="449EB69A" w14:textId="77777777" w:rsidR="003B1103" w:rsidRDefault="003B1103" w:rsidP="0083681F">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83681F">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83681F">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83681F">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83681F">
            <w:pPr>
              <w:jc w:val="center"/>
              <w:rPr>
                <w:b/>
                <w:bCs/>
                <w:sz w:val="20"/>
                <w:szCs w:val="20"/>
              </w:rPr>
            </w:pPr>
            <w:r>
              <w:rPr>
                <w:b/>
                <w:bCs/>
                <w:sz w:val="20"/>
                <w:szCs w:val="20"/>
              </w:rPr>
              <w:t>Murder</w:t>
            </w:r>
          </w:p>
        </w:tc>
        <w:tc>
          <w:tcPr>
            <w:tcW w:w="1758" w:type="dxa"/>
          </w:tcPr>
          <w:p w14:paraId="7DF524E1" w14:textId="1F187B1B" w:rsidR="00DD099D" w:rsidRPr="00622A59" w:rsidRDefault="0005140C" w:rsidP="0083681F">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83681F">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83681F">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83681F">
            <w:pPr>
              <w:jc w:val="center"/>
              <w:rPr>
                <w:b/>
                <w:bCs/>
                <w:sz w:val="20"/>
                <w:szCs w:val="20"/>
              </w:rPr>
            </w:pPr>
            <w:r>
              <w:rPr>
                <w:b/>
                <w:bCs/>
                <w:sz w:val="20"/>
                <w:szCs w:val="20"/>
              </w:rPr>
              <w:t>Murder</w:t>
            </w:r>
          </w:p>
        </w:tc>
        <w:tc>
          <w:tcPr>
            <w:tcW w:w="1758" w:type="dxa"/>
          </w:tcPr>
          <w:p w14:paraId="4C0824AB" w14:textId="5FA06F73" w:rsidR="00DD099D" w:rsidRPr="00622A59" w:rsidRDefault="0005140C" w:rsidP="0083681F">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83681F">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83681F">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83681F">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1B042B">
        <w:trPr>
          <w:gridAfter w:val="1"/>
          <w:wAfter w:w="18" w:type="dxa"/>
          <w:jc w:val="center"/>
        </w:trPr>
        <w:tc>
          <w:tcPr>
            <w:tcW w:w="7991" w:type="dxa"/>
            <w:gridSpan w:val="4"/>
            <w:shd w:val="clear" w:color="auto" w:fill="000000" w:themeFill="text1"/>
          </w:tcPr>
          <w:p w14:paraId="7BAF9D03" w14:textId="34D15C2C" w:rsidR="00C3329A" w:rsidRDefault="00C3329A" w:rsidP="001B042B">
            <w:pPr>
              <w:jc w:val="center"/>
              <w:rPr>
                <w:b/>
                <w:bCs/>
              </w:rPr>
            </w:pPr>
            <w:r>
              <w:rPr>
                <w:b/>
                <w:bCs/>
              </w:rPr>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1B042B">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1B042B">
            <w:pPr>
              <w:jc w:val="center"/>
              <w:rPr>
                <w:b/>
                <w:bCs/>
              </w:rPr>
            </w:pPr>
            <w:r>
              <w:rPr>
                <w:b/>
                <w:bCs/>
              </w:rPr>
              <w:t>DATE OF COMMITTAL ORDER</w:t>
            </w:r>
          </w:p>
        </w:tc>
        <w:tc>
          <w:tcPr>
            <w:tcW w:w="2485" w:type="dxa"/>
            <w:shd w:val="clear" w:color="auto" w:fill="DDDDDD"/>
          </w:tcPr>
          <w:p w14:paraId="38080C36" w14:textId="77777777" w:rsidR="00C3329A" w:rsidRPr="0075267B" w:rsidRDefault="00C3329A" w:rsidP="001B042B">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1B042B">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1B042B">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1B042B">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1B042B">
            <w:pPr>
              <w:jc w:val="center"/>
              <w:rPr>
                <w:b/>
                <w:bCs/>
                <w:sz w:val="20"/>
                <w:szCs w:val="20"/>
              </w:rPr>
            </w:pPr>
            <w:r>
              <w:rPr>
                <w:b/>
                <w:bCs/>
                <w:sz w:val="20"/>
                <w:szCs w:val="20"/>
              </w:rPr>
              <w:t>Affray</w:t>
            </w:r>
          </w:p>
        </w:tc>
        <w:tc>
          <w:tcPr>
            <w:tcW w:w="1776" w:type="dxa"/>
          </w:tcPr>
          <w:p w14:paraId="126444FF" w14:textId="77777777" w:rsidR="00C3329A" w:rsidRDefault="00C3329A" w:rsidP="001B042B">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1B042B">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1B042B">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1B042B">
            <w:pPr>
              <w:jc w:val="center"/>
              <w:rPr>
                <w:b/>
                <w:bCs/>
                <w:sz w:val="20"/>
                <w:szCs w:val="20"/>
              </w:rPr>
            </w:pPr>
            <w:r>
              <w:rPr>
                <w:b/>
                <w:bCs/>
                <w:sz w:val="20"/>
                <w:szCs w:val="20"/>
              </w:rPr>
              <w:t>Murder</w:t>
            </w:r>
          </w:p>
        </w:tc>
        <w:tc>
          <w:tcPr>
            <w:tcW w:w="1776" w:type="dxa"/>
          </w:tcPr>
          <w:p w14:paraId="3ACBA230" w14:textId="42F42BF6" w:rsidR="00C3329A" w:rsidRPr="00622A59" w:rsidRDefault="00C3329A" w:rsidP="001B042B">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1B042B">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1B042B">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1B042B">
            <w:pPr>
              <w:jc w:val="center"/>
              <w:rPr>
                <w:b/>
                <w:bCs/>
                <w:sz w:val="20"/>
                <w:szCs w:val="20"/>
              </w:rPr>
            </w:pPr>
            <w:r>
              <w:rPr>
                <w:b/>
                <w:bCs/>
                <w:sz w:val="20"/>
                <w:szCs w:val="20"/>
              </w:rPr>
              <w:t>Murder</w:t>
            </w:r>
          </w:p>
        </w:tc>
        <w:tc>
          <w:tcPr>
            <w:tcW w:w="1776" w:type="dxa"/>
          </w:tcPr>
          <w:p w14:paraId="4B8F9504" w14:textId="1037F0C8" w:rsidR="00C3329A" w:rsidRPr="00622A59" w:rsidRDefault="00C3329A" w:rsidP="001B042B">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1B042B">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1B042B">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1B042B">
            <w:pPr>
              <w:jc w:val="center"/>
              <w:rPr>
                <w:b/>
                <w:bCs/>
                <w:sz w:val="20"/>
                <w:szCs w:val="20"/>
              </w:rPr>
            </w:pPr>
            <w:r>
              <w:rPr>
                <w:b/>
                <w:bCs/>
                <w:sz w:val="20"/>
                <w:szCs w:val="20"/>
              </w:rPr>
              <w:t>Murder</w:t>
            </w:r>
          </w:p>
        </w:tc>
        <w:tc>
          <w:tcPr>
            <w:tcW w:w="1776" w:type="dxa"/>
          </w:tcPr>
          <w:p w14:paraId="64E2E776" w14:textId="1C3918AD" w:rsidR="00C3329A" w:rsidRPr="00622A59" w:rsidRDefault="00C3329A" w:rsidP="001B042B">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1B042B">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1B042B">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1B042B">
            <w:pPr>
              <w:jc w:val="center"/>
              <w:rPr>
                <w:b/>
                <w:bCs/>
                <w:sz w:val="20"/>
                <w:szCs w:val="20"/>
              </w:rPr>
            </w:pPr>
            <w:r>
              <w:rPr>
                <w:b/>
                <w:bCs/>
                <w:sz w:val="20"/>
                <w:szCs w:val="20"/>
              </w:rPr>
              <w:t>Murder</w:t>
            </w:r>
          </w:p>
        </w:tc>
        <w:tc>
          <w:tcPr>
            <w:tcW w:w="1776" w:type="dxa"/>
          </w:tcPr>
          <w:p w14:paraId="5ADF2CBC" w14:textId="77777777" w:rsidR="00C3329A" w:rsidRPr="00622A59" w:rsidRDefault="00C3329A" w:rsidP="001B042B">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1B042B">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1B042B">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1B042B">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1B042B">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1B042B">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1B042B">
            <w:pPr>
              <w:jc w:val="center"/>
              <w:rPr>
                <w:b/>
                <w:bCs/>
                <w:sz w:val="20"/>
                <w:szCs w:val="20"/>
              </w:rPr>
            </w:pPr>
            <w:r>
              <w:rPr>
                <w:b/>
                <w:bCs/>
                <w:sz w:val="20"/>
                <w:szCs w:val="20"/>
              </w:rPr>
              <w:t>Affray</w:t>
            </w:r>
          </w:p>
        </w:tc>
        <w:tc>
          <w:tcPr>
            <w:tcW w:w="1776" w:type="dxa"/>
          </w:tcPr>
          <w:p w14:paraId="56D0958D" w14:textId="24C36BF8" w:rsidR="00C3329A" w:rsidRDefault="00C3329A" w:rsidP="001B042B">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1B042B">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1B042B">
            <w:pPr>
              <w:jc w:val="center"/>
              <w:rPr>
                <w:b/>
                <w:bCs/>
                <w:sz w:val="20"/>
                <w:szCs w:val="20"/>
              </w:rPr>
            </w:pPr>
            <w:r>
              <w:rPr>
                <w:b/>
                <w:bCs/>
                <w:sz w:val="20"/>
                <w:szCs w:val="20"/>
              </w:rPr>
              <w:t>Murder</w:t>
            </w:r>
          </w:p>
        </w:tc>
        <w:tc>
          <w:tcPr>
            <w:tcW w:w="1776" w:type="dxa"/>
          </w:tcPr>
          <w:p w14:paraId="40D6D37B" w14:textId="6293D869" w:rsidR="00C3329A" w:rsidRDefault="00C3329A" w:rsidP="001B042B">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1B042B">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1B042B">
            <w:pPr>
              <w:jc w:val="center"/>
              <w:rPr>
                <w:b/>
                <w:bCs/>
                <w:sz w:val="20"/>
                <w:szCs w:val="20"/>
              </w:rPr>
            </w:pPr>
            <w:r>
              <w:rPr>
                <w:b/>
                <w:bCs/>
                <w:sz w:val="20"/>
                <w:szCs w:val="20"/>
              </w:rPr>
              <w:t>Murder</w:t>
            </w:r>
          </w:p>
        </w:tc>
        <w:tc>
          <w:tcPr>
            <w:tcW w:w="1776" w:type="dxa"/>
          </w:tcPr>
          <w:p w14:paraId="6468C5A7" w14:textId="5CE20C77" w:rsidR="00C3329A" w:rsidRDefault="00C3329A" w:rsidP="001B042B">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1B042B">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1B042B">
            <w:pPr>
              <w:jc w:val="center"/>
              <w:rPr>
                <w:b/>
                <w:bCs/>
                <w:sz w:val="20"/>
                <w:szCs w:val="20"/>
              </w:rPr>
            </w:pPr>
            <w:r>
              <w:rPr>
                <w:b/>
                <w:bCs/>
                <w:sz w:val="20"/>
                <w:szCs w:val="20"/>
              </w:rPr>
              <w:t>Dangerous driving death</w:t>
            </w:r>
          </w:p>
        </w:tc>
        <w:tc>
          <w:tcPr>
            <w:tcW w:w="1776" w:type="dxa"/>
          </w:tcPr>
          <w:p w14:paraId="33BBD064" w14:textId="670518DB" w:rsidR="00C3329A" w:rsidRDefault="00C3329A" w:rsidP="001B042B">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1B042B">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1B042B">
            <w:pPr>
              <w:jc w:val="center"/>
              <w:rPr>
                <w:b/>
                <w:bCs/>
                <w:sz w:val="20"/>
                <w:szCs w:val="20"/>
              </w:rPr>
            </w:pPr>
            <w:r>
              <w:rPr>
                <w:b/>
                <w:bCs/>
                <w:sz w:val="20"/>
                <w:szCs w:val="20"/>
              </w:rPr>
              <w:t>Aggravated burglary</w:t>
            </w:r>
          </w:p>
        </w:tc>
        <w:tc>
          <w:tcPr>
            <w:tcW w:w="1776" w:type="dxa"/>
          </w:tcPr>
          <w:p w14:paraId="5138CA75" w14:textId="209C2843" w:rsidR="00C3329A" w:rsidRDefault="00C3329A" w:rsidP="001B042B">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1B042B">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1B042B">
            <w:pPr>
              <w:jc w:val="center"/>
              <w:rPr>
                <w:b/>
                <w:bCs/>
                <w:sz w:val="20"/>
                <w:szCs w:val="20"/>
              </w:rPr>
            </w:pPr>
            <w:r>
              <w:rPr>
                <w:b/>
                <w:bCs/>
                <w:sz w:val="20"/>
                <w:szCs w:val="20"/>
              </w:rPr>
              <w:t>Murder</w:t>
            </w:r>
          </w:p>
        </w:tc>
        <w:tc>
          <w:tcPr>
            <w:tcW w:w="1776" w:type="dxa"/>
          </w:tcPr>
          <w:p w14:paraId="07E818C1" w14:textId="21C1624A" w:rsidR="00C3329A" w:rsidRDefault="00C3329A" w:rsidP="001B042B">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1B042B">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1B042B">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1B042B">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p w14:paraId="22F82D7F" w14:textId="25E54339" w:rsidR="00BF122D"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 xml:space="preserve">made by the Children’s Court statewide in 2022/23 </w:t>
      </w:r>
      <w:r>
        <w:rPr>
          <w:rFonts w:ascii="Arial" w:hAnsi="Arial" w:cs="Arial"/>
          <w:sz w:val="20"/>
          <w:szCs w:val="20"/>
        </w:rPr>
        <w:t xml:space="preserve">for the 16 young persons who were committed for trial arising from </w:t>
      </w:r>
      <w:r w:rsidR="0075267B">
        <w:rPr>
          <w:rFonts w:ascii="Arial" w:hAnsi="Arial" w:cs="Arial"/>
          <w:sz w:val="20"/>
          <w:szCs w:val="20"/>
        </w:rPr>
        <w:t>6</w:t>
      </w:r>
      <w:r>
        <w:rPr>
          <w:rFonts w:ascii="Arial" w:hAnsi="Arial" w:cs="Arial"/>
          <w:sz w:val="20"/>
          <w:szCs w:val="20"/>
        </w:rPr>
        <w:t xml:space="preserve"> separate incidents and lists the major charge on which each young person was committed.</w:t>
      </w:r>
      <w:r w:rsidR="00AE509E">
        <w:rPr>
          <w:rFonts w:ascii="Arial" w:hAnsi="Arial" w:cs="Arial"/>
          <w:sz w:val="20"/>
          <w:szCs w:val="20"/>
        </w:rPr>
        <w:t xml:space="preserve"> It does the same for the committal orders made by the Children’s Court statewide in 2023/24 for the 16 young persons who were committed for trial arising from 12 separate incidents.</w:t>
      </w:r>
    </w:p>
    <w:p w14:paraId="6D14361C" w14:textId="77777777" w:rsidR="00BF122D" w:rsidRDefault="00BF122D" w:rsidP="00D20C86">
      <w:pPr>
        <w:rPr>
          <w:rFonts w:ascii="Arial" w:hAnsi="Arial" w:cs="Arial"/>
          <w:sz w:val="20"/>
          <w:szCs w:val="20"/>
        </w:rPr>
      </w:pPr>
    </w:p>
    <w:bookmarkEnd w:id="116"/>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17" w:name="_10.3_Criminal_Division"/>
      <w:bookmarkEnd w:id="117"/>
      <w:r>
        <w:rPr>
          <w:rFonts w:ascii="Arial" w:hAnsi="Arial" w:cs="Arial"/>
          <w:b/>
          <w:bCs/>
        </w:rPr>
        <w:t>10.3</w:t>
      </w:r>
      <w:r>
        <w:rPr>
          <w:rFonts w:ascii="Arial" w:hAnsi="Arial" w:cs="Arial"/>
          <w:b/>
          <w:bCs/>
        </w:rPr>
        <w:tab/>
        <w:t>Criminal Division summary proceedings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18" w:name="_10.3.1_Jurisdiction"/>
      <w:bookmarkStart w:id="119" w:name="_Toc30743990"/>
      <w:bookmarkStart w:id="120" w:name="_Toc30754813"/>
      <w:bookmarkStart w:id="121" w:name="_Toc30757269"/>
      <w:bookmarkStart w:id="122" w:name="_Toc30757817"/>
      <w:bookmarkStart w:id="123" w:name="_Toc30758217"/>
      <w:bookmarkStart w:id="124" w:name="_Toc30762978"/>
      <w:bookmarkStart w:id="125" w:name="_Toc30767632"/>
      <w:bookmarkStart w:id="126" w:name="_Toc34823650"/>
      <w:bookmarkEnd w:id="118"/>
      <w:r>
        <w:rPr>
          <w:rFonts w:ascii="Arial" w:hAnsi="Arial" w:cs="Arial"/>
          <w:b/>
          <w:bCs/>
          <w:sz w:val="20"/>
        </w:rPr>
        <w:t>10.3.1</w:t>
      </w:r>
      <w:r>
        <w:rPr>
          <w:rFonts w:ascii="Arial" w:hAnsi="Arial" w:cs="Arial"/>
          <w:b/>
          <w:bCs/>
          <w:sz w:val="20"/>
        </w:rPr>
        <w:tab/>
        <w:t>Jurisdiction</w:t>
      </w:r>
      <w:bookmarkEnd w:id="119"/>
      <w:bookmarkEnd w:id="120"/>
      <w:bookmarkEnd w:id="121"/>
      <w:bookmarkEnd w:id="122"/>
      <w:bookmarkEnd w:id="123"/>
      <w:bookmarkEnd w:id="124"/>
      <w:bookmarkEnd w:id="125"/>
      <w:bookmarkEnd w:id="126"/>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29"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">
                <v:line id="Line 84" o:spid="_x0000_s1030"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1"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2"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3"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4"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5"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6"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37"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38"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39"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0"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v:textbox>
                    </v:shape>
                    <v:line id="Line 95" o:spid="_x0000_s1041"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2"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3"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4"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5"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6"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47"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48"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49"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0"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1"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2"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3"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4"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5"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6"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57"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58"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59"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0"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1"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2"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3"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4"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5"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6"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67"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H0zywo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0CB403A9"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6B7AA02"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27" w:name="_10.3.2_Transfer_of"/>
      <w:bookmarkEnd w:id="127"/>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28" w:name="_10.3.2_Hearings"/>
      <w:bookmarkStart w:id="129" w:name="_Toc30743991"/>
      <w:bookmarkStart w:id="130" w:name="_Toc30754814"/>
      <w:bookmarkStart w:id="131" w:name="_Toc30757270"/>
      <w:bookmarkStart w:id="132" w:name="_Toc30757818"/>
      <w:bookmarkStart w:id="133" w:name="_Toc30758218"/>
      <w:bookmarkStart w:id="134" w:name="_Toc30762979"/>
      <w:bookmarkStart w:id="135" w:name="_Toc30767633"/>
      <w:bookmarkStart w:id="136" w:name="_Toc34823651"/>
      <w:bookmarkEnd w:id="128"/>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29"/>
      <w:bookmarkEnd w:id="130"/>
      <w:bookmarkEnd w:id="131"/>
      <w:bookmarkEnd w:id="132"/>
      <w:bookmarkEnd w:id="133"/>
      <w:bookmarkEnd w:id="134"/>
      <w:bookmarkEnd w:id="135"/>
      <w:bookmarkEnd w:id="136"/>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37" w:name="_10.3.2.1_Mention"/>
      <w:bookmarkEnd w:id="137"/>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38" w:name="_10.3.2.2_Diversion"/>
      <w:bookmarkEnd w:id="138"/>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39" w:name="_10.3.2.3_Summary_case"/>
      <w:bookmarkEnd w:id="139"/>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40" w:name="_10.3.2.3_Contest_mention"/>
      <w:bookmarkEnd w:id="140"/>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"A contest mention hearing is designed to crystallize the issues, narrow the issues if possible, ascertain the likely plea, and if appropriate to give some indication of a likely 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r>
        <w:rPr>
          <w:rFonts w:ascii="Arial" w:hAnsi="Arial" w:cs="Arial"/>
          <w:sz w:val="20"/>
        </w:rPr>
        <w:t>Winneke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to enable an informal mediation to be conducted by a magistrate with the aim of enabling the case to be resolved without a fully contested hearing;  this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41" w:name="_10.3.2.4_Contested_hearing"/>
      <w:bookmarkEnd w:id="141"/>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42" w:name="_10.3.3.5A_Contested_hearing"/>
      <w:bookmarkEnd w:id="142"/>
      <w:r>
        <w:rPr>
          <w:rFonts w:ascii="Arial" w:hAnsi="Arial" w:cs="Arial"/>
          <w:b/>
          <w:bCs/>
          <w:sz w:val="20"/>
        </w:rPr>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C778A1">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C778A1">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C778A1">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C778A1">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C778A1">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C778A1">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C778A1">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C778A1">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C778A1">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C778A1">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C778A1">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C778A1">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C778A1">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C778A1">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C778A1">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C778A1">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C778A1">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C778A1">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C778A1">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C778A1">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C778A1">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C778A1">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C778A1">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C778A1">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C778A1">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C778A1">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C778A1">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C778A1">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C778A1">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C778A1">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1401FD">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1401FD">
            <w:pPr>
              <w:jc w:val="both"/>
              <w:rPr>
                <w:rFonts w:ascii="Arial" w:hAnsi="Arial" w:cs="Arial"/>
                <w:sz w:val="20"/>
              </w:rPr>
            </w:pPr>
            <w:r>
              <w:rPr>
                <w:rFonts w:ascii="Arial" w:hAnsi="Arial" w:cs="Arial"/>
                <w:sz w:val="20"/>
              </w:rPr>
              <w:t xml:space="preserve">Evidential burden on accused for exception, exemption, proviso, excuse or qualification to suggest a reasonable possibility of the existence of facts that, if they existed, would establish the exception etc.  </w:t>
            </w:r>
          </w:p>
          <w:p w14:paraId="297C97BD" w14:textId="77777777" w:rsidR="00E8437A" w:rsidRDefault="00E8437A" w:rsidP="001401FD">
            <w:pPr>
              <w:jc w:val="both"/>
              <w:rPr>
                <w:rFonts w:ascii="Arial" w:hAnsi="Arial" w:cs="Arial"/>
                <w:sz w:val="20"/>
              </w:rPr>
            </w:pPr>
            <w:r w:rsidRPr="003B0481">
              <w:rPr>
                <w:rFonts w:ascii="Arial" w:hAnsi="Arial" w:cs="Arial"/>
                <w:noProof/>
                <w:sz w:val="20"/>
              </w:rPr>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68"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43"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43"/>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44" w:name="_10.3.3.5B_Contested_hearing"/>
      <w:bookmarkStart w:id="145" w:name="_Hlk155616675"/>
      <w:bookmarkEnd w:id="144"/>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45"/>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46"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r w:rsidR="00C07E8F" w:rsidRPr="00DF797A">
        <w:rPr>
          <w:rFonts w:ascii="Arial" w:hAnsi="Arial" w:cs="Arial"/>
          <w:b/>
          <w:bCs/>
          <w:i/>
          <w:iCs/>
          <w:sz w:val="20"/>
        </w:rPr>
        <w:t>mens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r w:rsidR="00852046" w:rsidRPr="00DF797A">
        <w:rPr>
          <w:rFonts w:ascii="Arial" w:hAnsi="Arial" w:cs="Arial"/>
          <w:b/>
          <w:bCs/>
          <w:i/>
          <w:iCs/>
          <w:sz w:val="20"/>
        </w:rPr>
        <w:t>mens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47"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r w:rsidRPr="00AD1221">
        <w:rPr>
          <w:rFonts w:ascii="Arial" w:hAnsi="Arial" w:cs="Arial"/>
          <w:b/>
          <w:bCs/>
          <w:i/>
          <w:iCs/>
          <w:sz w:val="20"/>
          <w:szCs w:val="20"/>
        </w:rPr>
        <w:t>mens rea</w:t>
      </w:r>
      <w:r>
        <w:rPr>
          <w:rFonts w:ascii="Arial" w:hAnsi="Arial" w:cs="Arial"/>
          <w:sz w:val="20"/>
          <w:szCs w:val="20"/>
        </w:rPr>
        <w:t xml:space="preserve"> is not required is colloquially described as a ‘strict liability offence’. In </w:t>
      </w:r>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 xml:space="preserve">rina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review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to the ‘presumption that mens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r w:rsidRPr="008F18A3">
        <w:rPr>
          <w:rFonts w:ascii="Arial" w:hAnsi="Arial" w:cs="Arial"/>
          <w:i/>
          <w:iCs/>
          <w:sz w:val="20"/>
          <w:szCs w:val="20"/>
        </w:rPr>
        <w:t>Sherras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r w:rsidRPr="00644ADD">
        <w:rPr>
          <w:rFonts w:ascii="Arial" w:hAnsi="Arial" w:cs="Arial"/>
          <w:i/>
          <w:iCs/>
          <w:sz w:val="20"/>
          <w:szCs w:val="20"/>
        </w:rPr>
        <w:t>He Kaw Teh</w:t>
      </w:r>
      <w:r>
        <w:rPr>
          <w:rFonts w:ascii="Arial" w:hAnsi="Arial" w:cs="Arial"/>
          <w:sz w:val="20"/>
          <w:szCs w:val="20"/>
        </w:rPr>
        <w:t xml:space="preserve"> set out above that in this case, the judge correctly identified the following factors as relevant to determining whether the presumption of </w:t>
      </w:r>
      <w:r w:rsidR="00C61C35">
        <w:rPr>
          <w:rFonts w:ascii="Arial" w:hAnsi="Arial" w:cs="Arial"/>
          <w:sz w:val="20"/>
          <w:szCs w:val="20"/>
        </w:rPr>
        <w:t>mens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mens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46"/>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48" w:name="_Hlk170307097"/>
      <w:r w:rsidR="00F6160A" w:rsidRPr="00F6160A">
        <w:rPr>
          <w:rFonts w:ascii="Arial" w:hAnsi="Arial" w:cs="Arial"/>
          <w:i/>
          <w:iCs/>
          <w:color w:val="000000"/>
          <w:sz w:val="20"/>
          <w:szCs w:val="20"/>
        </w:rPr>
        <w:t>Giurina v McIlroy &amp; Anor</w:t>
      </w:r>
      <w:r w:rsidR="00F6160A">
        <w:rPr>
          <w:rFonts w:ascii="Arial" w:hAnsi="Arial" w:cs="Arial"/>
          <w:color w:val="000000"/>
          <w:sz w:val="20"/>
          <w:szCs w:val="20"/>
        </w:rPr>
        <w:t xml:space="preserve"> [2024] VSCA 139 the Court of Appeal (Niall &amp; Lyons JJA) said at [50]:</w:t>
      </w:r>
      <w:bookmarkEnd w:id="148"/>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DPP v Roder</w:t>
      </w:r>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47"/>
    <w:p w14:paraId="3AA81459" w14:textId="77777777" w:rsidR="00862C33" w:rsidRDefault="00862C33" w:rsidP="00862C33">
      <w:pPr>
        <w:jc w:val="both"/>
        <w:rPr>
          <w:rFonts w:ascii="Arial" w:hAnsi="Arial" w:cs="Arial"/>
          <w:color w:val="000000"/>
          <w:sz w:val="20"/>
          <w:szCs w:val="20"/>
        </w:rPr>
      </w:pPr>
      <w:r>
        <w:rPr>
          <w:rFonts w:ascii="Arial" w:hAnsi="Arial" w:cs="Arial"/>
          <w:sz w:val="20"/>
        </w:rPr>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16 year old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Zelling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[46]</w:t>
      </w:r>
      <w:r w:rsidR="00D94E75">
        <w:rPr>
          <w:rFonts w:ascii="Arial" w:hAnsi="Arial" w:cs="Arial"/>
          <w:sz w:val="20"/>
          <w:szCs w:val="20"/>
        </w:rPr>
        <w:noBreakHyphen/>
      </w:r>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R v Klamo</w:t>
      </w:r>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witness may be 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2F212EC1" w14:textId="6F0FB2B8" w:rsidR="00666439" w:rsidRPr="005C5A38" w:rsidRDefault="004D0222" w:rsidP="00302C9E">
      <w:pPr>
        <w:jc w:val="both"/>
        <w:rPr>
          <w:rFonts w:ascii="Arial" w:hAnsi="Arial" w:cs="Arial"/>
          <w:sz w:val="20"/>
          <w:szCs w:val="20"/>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r w:rsidR="00B52F17">
        <w:rPr>
          <w:rFonts w:ascii="Arial" w:hAnsi="Arial" w:cs="Arial"/>
          <w:i/>
          <w:iCs/>
          <w:sz w:val="20"/>
          <w:szCs w:val="20"/>
        </w:rPr>
        <w:t xml:space="preserve">Baini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r w:rsidR="00302C9E" w:rsidRPr="00CD59D5">
        <w:rPr>
          <w:rFonts w:ascii="Arial" w:hAnsi="Arial" w:cs="Arial"/>
          <w:i/>
          <w:iCs/>
          <w:sz w:val="20"/>
          <w:szCs w:val="20"/>
        </w:rPr>
        <w:t>Spurritt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49" w:name="_Hlk111442496"/>
      <w:r w:rsidR="00302C9E" w:rsidRPr="007A7A3D">
        <w:rPr>
          <w:rFonts w:ascii="Arial" w:hAnsi="Arial" w:cs="Arial"/>
          <w:i/>
          <w:iCs/>
          <w:color w:val="000000"/>
          <w:sz w:val="20"/>
          <w:szCs w:val="20"/>
        </w:rPr>
        <w:t>Palliyaguruge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50"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r w:rsidR="00DD6AB2" w:rsidRPr="007A7A3D">
        <w:rPr>
          <w:rFonts w:ascii="Arial" w:hAnsi="Arial" w:cs="Arial"/>
          <w:i/>
          <w:iCs/>
          <w:color w:val="000000"/>
          <w:sz w:val="20"/>
          <w:szCs w:val="20"/>
        </w:rPr>
        <w:t>Marrogi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49"/>
      <w:bookmarkEnd w:id="150"/>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51"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r w:rsidR="00B11F11" w:rsidRPr="00B11F11">
        <w:rPr>
          <w:rFonts w:ascii="Arial" w:hAnsi="Arial" w:cs="Arial"/>
          <w:i/>
          <w:iCs/>
          <w:sz w:val="20"/>
          <w:szCs w:val="20"/>
        </w:rPr>
        <w:t>Matthams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r w:rsidR="006111EB" w:rsidRPr="006111EB">
        <w:rPr>
          <w:rFonts w:ascii="Arial" w:hAnsi="Arial" w:cs="Arial"/>
          <w:i/>
          <w:iCs/>
          <w:sz w:val="20"/>
          <w:szCs w:val="20"/>
        </w:rPr>
        <w:t>Moharaminia v The King</w:t>
      </w:r>
      <w:r w:rsidR="006111EB">
        <w:rPr>
          <w:rFonts w:ascii="Arial" w:hAnsi="Arial" w:cs="Arial"/>
          <w:sz w:val="20"/>
          <w:szCs w:val="20"/>
        </w:rPr>
        <w:t xml:space="preserve"> [2025] VSCA 159 at [79]-[90]</w:t>
      </w:r>
      <w:r w:rsidR="005C5A38" w:rsidRPr="005C5A38">
        <w:rPr>
          <w:rFonts w:ascii="Arial" w:hAnsi="Arial" w:cs="Arial"/>
          <w:sz w:val="20"/>
          <w:szCs w:val="20"/>
        </w:rPr>
        <w:t>.</w:t>
      </w:r>
      <w:bookmarkEnd w:id="151"/>
    </w:p>
    <w:p w14:paraId="1C66CAD7" w14:textId="77777777" w:rsidR="006111EB" w:rsidRDefault="006111EB" w:rsidP="00302C9E">
      <w:pPr>
        <w:jc w:val="both"/>
        <w:rPr>
          <w:rFonts w:ascii="Arial" w:hAnsi="Arial" w:cs="Arial"/>
          <w:color w:val="000000"/>
          <w:sz w:val="20"/>
          <w:szCs w:val="20"/>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52" w:name="_10.3.3.5C_Contested_hearing"/>
      <w:bookmarkStart w:id="153" w:name="_Hlk164835213"/>
      <w:bookmarkStart w:id="154" w:name="_Hlk202246320"/>
      <w:bookmarkEnd w:id="152"/>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53"/>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54"/>
    </w:p>
    <w:p w14:paraId="54425B53" w14:textId="79849C30" w:rsidR="00724416" w:rsidRDefault="00724416" w:rsidP="00D94E75">
      <w:pPr>
        <w:keepNext/>
        <w:keepLines/>
        <w:jc w:val="both"/>
        <w:rPr>
          <w:rFonts w:ascii="Arial" w:hAnsi="Arial" w:cs="Arial"/>
          <w:sz w:val="20"/>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Default="00C232D3" w:rsidP="00EA23A7">
      <w:pPr>
        <w:jc w:val="both"/>
        <w:rPr>
          <w:rFonts w:ascii="Arial" w:hAnsi="Arial" w:cs="Arial"/>
          <w:sz w:val="20"/>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Default="00DB083D" w:rsidP="00EA23A7">
      <w:pPr>
        <w:jc w:val="both"/>
        <w:rPr>
          <w:rFonts w:ascii="Arial" w:hAnsi="Arial" w:cs="Arial"/>
          <w:sz w:val="20"/>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JDA.  These prohibitions also extend to magistrates, limiting them from adopting 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 xml:space="preserve">As and from 11/10/2023 ss.47A &amp; 54H(5)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r w:rsidRPr="0067504C">
        <w:rPr>
          <w:rFonts w:ascii="Arial" w:hAnsi="Arial" w:cs="Arial"/>
          <w:i/>
          <w:iCs/>
          <w:sz w:val="20"/>
          <w:szCs w:val="20"/>
        </w:rPr>
        <w:t>Makeham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The onus of proof is on the prosecution and the accused comes to this Court with the presumption of innocence in his favour. The accused is regarded as innocent unless and until the prosecution has proved his guilt beyond reasonable doubt. In order to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(Bray CJ, Mitchell and Zelling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draw</w:t>
      </w:r>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[46]</w:t>
      </w:r>
      <w:r>
        <w:rPr>
          <w:rFonts w:ascii="Arial" w:hAnsi="Arial" w:cs="Arial"/>
          <w:sz w:val="20"/>
          <w:szCs w:val="20"/>
        </w:rPr>
        <w:noBreakHyphen/>
      </w:r>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In order to decide what the facts are in this case, I must assess the credibility and reliability of the witnesses who gave evidence. It is for me to decide whether a witness’ 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R v 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R v Klamo</w:t>
      </w:r>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r w:rsidR="005337A0" w:rsidRPr="00310E54">
        <w:rPr>
          <w:rFonts w:ascii="Arial" w:hAnsi="Arial" w:cs="Arial"/>
          <w:i/>
          <w:iCs/>
          <w:sz w:val="20"/>
          <w:szCs w:val="20"/>
        </w:rPr>
        <w:t>Tambakakis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r w:rsidRPr="00D07A38">
        <w:rPr>
          <w:rFonts w:ascii="Arial" w:hAnsi="Arial" w:cs="Arial"/>
          <w:i/>
          <w:iCs/>
          <w:color w:val="000000"/>
          <w:sz w:val="20"/>
          <w:szCs w:val="20"/>
        </w:rPr>
        <w:t>Mocenigo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(Cth)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r w:rsidRPr="009A17FC">
        <w:rPr>
          <w:rFonts w:ascii="Arial" w:hAnsi="Arial" w:cs="Arial"/>
          <w:i/>
          <w:iCs/>
          <w:color w:val="000000"/>
          <w:sz w:val="20"/>
          <w:szCs w:val="20"/>
        </w:rPr>
        <w:t xml:space="preserve">Farshchi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(Cth).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(Cth); rather, it simply provides an explanation for that standard of proof. Further, </w:t>
      </w:r>
      <w:r w:rsidRPr="009A17FC">
        <w:rPr>
          <w:rFonts w:ascii="Arial" w:hAnsi="Arial" w:cs="Arial"/>
          <w:i/>
          <w:iCs/>
          <w:color w:val="000000"/>
          <w:sz w:val="20"/>
          <w:szCs w:val="20"/>
        </w:rPr>
        <w:t>Farshchi</w:t>
      </w:r>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r w:rsidRPr="009A17FC">
        <w:rPr>
          <w:rFonts w:ascii="Arial" w:hAnsi="Arial" w:cs="Arial"/>
          <w:i/>
          <w:iCs/>
          <w:color w:val="000000"/>
          <w:sz w:val="20"/>
          <w:szCs w:val="20"/>
        </w:rPr>
        <w:t>Farshchi</w:t>
      </w:r>
      <w:r w:rsidRPr="009A17FC">
        <w:rPr>
          <w:rFonts w:ascii="Arial" w:hAnsi="Arial" w:cs="Arial"/>
          <w:color w:val="000000"/>
          <w:sz w:val="20"/>
          <w:szCs w:val="20"/>
        </w:rPr>
        <w:t xml:space="preserve"> was plainly wrong, or that there were compelling reasons to depart from it. We are therefore bound to apply </w:t>
      </w:r>
      <w:r w:rsidRPr="00A55B58">
        <w:rPr>
          <w:rFonts w:ascii="Arial" w:hAnsi="Arial" w:cs="Arial"/>
          <w:i/>
          <w:iCs/>
          <w:color w:val="000000"/>
          <w:sz w:val="20"/>
          <w:szCs w:val="20"/>
        </w:rPr>
        <w:t>Farshchi</w:t>
      </w:r>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r w:rsidRPr="00A55B58">
        <w:rPr>
          <w:rFonts w:ascii="Arial" w:hAnsi="Arial" w:cs="Arial"/>
          <w:i/>
          <w:iCs/>
          <w:color w:val="000000"/>
          <w:sz w:val="20"/>
          <w:szCs w:val="20"/>
        </w:rPr>
        <w:t>Farshchi</w:t>
      </w:r>
      <w:r>
        <w:rPr>
          <w:rFonts w:ascii="Arial" w:hAnsi="Arial" w:cs="Arial"/>
          <w:color w:val="000000"/>
          <w:sz w:val="20"/>
          <w:szCs w:val="20"/>
        </w:rPr>
        <w:t xml:space="preserve"> [2025] HCA Disp 41].</w:t>
      </w:r>
    </w:p>
    <w:p w14:paraId="2B86822A" w14:textId="77777777" w:rsidR="008B18C1" w:rsidRDefault="008B18C1"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[71]</w:t>
      </w:r>
      <w:r w:rsidR="00535178">
        <w:rPr>
          <w:rFonts w:ascii="Arial" w:hAnsi="Arial" w:cs="Arial"/>
          <w:color w:val="000000"/>
          <w:sz w:val="20"/>
          <w:szCs w:val="20"/>
        </w:rPr>
        <w:noBreakHyphen/>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DPP v Roder</w:t>
      </w:r>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r w:rsidRPr="00F6160A">
        <w:rPr>
          <w:rFonts w:ascii="Arial" w:hAnsi="Arial" w:cs="Arial"/>
          <w:i/>
          <w:iCs/>
          <w:color w:val="000000"/>
          <w:sz w:val="20"/>
          <w:szCs w:val="20"/>
        </w:rPr>
        <w:t>Giurina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55"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55"/>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7E43C104" w:rsidR="001E3540" w:rsidRPr="001E3540" w:rsidRDefault="0000108C">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Farshchi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Special leave to appeal granted by the High Court: [2025] HCA Disp 41];</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56" w:name="_10.3.3.5D_Contested_hearing"/>
      <w:bookmarkStart w:id="157" w:name="_10.3.3.5D_Contested_hearing_1"/>
      <w:bookmarkEnd w:id="156"/>
      <w:bookmarkEnd w:id="157"/>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58"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58"/>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Ugle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Seccull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E45EE9">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39DEB2F0" w14:textId="77777777" w:rsidR="009B00B6" w:rsidRP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59" w:name="_10.3.3.5D_Contested_hearing_2"/>
      <w:bookmarkEnd w:id="159"/>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422A(1)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3669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60"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60"/>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61"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61"/>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r w:rsidRPr="009139A3">
        <w:rPr>
          <w:rFonts w:ascii="Arial" w:hAnsi="Arial" w:cs="Arial"/>
          <w:i/>
          <w:iCs/>
          <w:sz w:val="20"/>
          <w:szCs w:val="20"/>
        </w:rPr>
        <w:t>Mareangareu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r w:rsidRPr="009139A3">
        <w:rPr>
          <w:rFonts w:ascii="Arial" w:hAnsi="Arial" w:cs="Arial"/>
          <w:i/>
          <w:iCs/>
          <w:sz w:val="20"/>
          <w:szCs w:val="20"/>
        </w:rPr>
        <w:t>Mareangareu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R v Perdikoyiannis</w:t>
      </w:r>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r w:rsidRPr="00B004FD">
        <w:rPr>
          <w:rFonts w:ascii="Arial" w:hAnsi="Arial" w:cs="Arial"/>
          <w:i/>
          <w:iCs/>
          <w:sz w:val="20"/>
          <w:szCs w:val="20"/>
        </w:rPr>
        <w:t>Mareangareu</w:t>
      </w:r>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r w:rsidRPr="00B004FD">
        <w:rPr>
          <w:rFonts w:ascii="Arial" w:hAnsi="Arial" w:cs="Arial"/>
          <w:i/>
          <w:iCs/>
          <w:sz w:val="20"/>
          <w:szCs w:val="20"/>
        </w:rPr>
        <w:t>Mareangareu</w:t>
      </w:r>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the proper course is to look at the words of the indictment and to apply the red 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62" w:name="_10.3.3.5E_Contested_hearing"/>
      <w:bookmarkEnd w:id="162"/>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Accordingly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63" w:name="_10.3.3_‘No-case’_procedure"/>
      <w:bookmarkStart w:id="164" w:name="_Toc73162082"/>
      <w:bookmarkEnd w:id="163"/>
      <w:r>
        <w:rPr>
          <w:rFonts w:ascii="Arial" w:hAnsi="Arial" w:cs="Arial"/>
          <w:b/>
          <w:bCs/>
          <w:sz w:val="20"/>
        </w:rPr>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stands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Gaudron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R v Mocenigo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of the traditional jury function": (1990) 171 CLR 207 at 215 per Deane, Dawson, Toohey, Gaudron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Gaudron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The test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(Tadgell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R v Faure &amp; Goussis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T.Forrest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R v Benbrika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65" w:name="_10.3.5_Sentence_indication"/>
      <w:bookmarkEnd w:id="164"/>
      <w:bookmarkEnd w:id="165"/>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7A319519"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address">
        <w:smartTag w:uri="urn:schemas-microsoft-com:office:smarttags" w:element="Street">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FE4F82">
      <w:pPr>
        <w:keepNext/>
        <w:keepLines/>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a Magistrates’ Court gives a sentence indication under s.60 and the accused pleads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An application for a sentence indication and the determination of the application are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7777777"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However one practical difficulty with sentence indications in the Children’s Court is that ss.410(1)(e) &amp; 412(1)(e) of the CYFA require a 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Pr="0000665E" w:rsidRDefault="00D85489"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77777777"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months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66" w:name="_10.3.5_No_summary"/>
      <w:bookmarkStart w:id="167" w:name="_10.3.5_Summary_case"/>
      <w:bookmarkEnd w:id="166"/>
      <w:bookmarkEnd w:id="167"/>
    </w:p>
    <w:p w14:paraId="047653A4" w14:textId="333041F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We have been informed that this is the first time that the Director has appealed against a sentence which was imposed following the acceptance 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take into account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two year old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3 year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make a decision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R v Minhinnick</w:t>
      </w:r>
      <w:r>
        <w:rPr>
          <w:rFonts w:ascii="Arial" w:hAnsi="Arial" w:cs="Arial"/>
          <w:sz w:val="20"/>
          <w:szCs w:val="20"/>
        </w:rPr>
        <w:t xml:space="preserve"> [2023] VSC 736, in the course of sentencing the 22 year old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takes into account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68" w:name="_10.3.6_Plea_agreements"/>
      <w:bookmarkEnd w:id="168"/>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purpose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Court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69" w:name="_10.3.7_Withdrawal_of"/>
      <w:bookmarkEnd w:id="169"/>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City">
        <w:smartTag w:uri="urn:schemas-microsoft-com:office:smarttags" w:element="place">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R v Middap</w:t>
      </w:r>
      <w:r w:rsidRPr="0000665E">
        <w:rPr>
          <w:rFonts w:ascii="Arial" w:hAnsi="Arial" w:cs="Arial"/>
          <w:color w:val="000000"/>
          <w:sz w:val="20"/>
          <w:szCs w:val="20"/>
        </w:rPr>
        <w:t xml:space="preserve"> (1989) 43 A Crim R 362, 364 (‘</w:t>
      </w:r>
      <w:r w:rsidRPr="0000665E">
        <w:rPr>
          <w:rFonts w:ascii="Arial" w:hAnsi="Arial" w:cs="Arial"/>
          <w:i/>
          <w:color w:val="000000"/>
          <w:sz w:val="20"/>
          <w:szCs w:val="20"/>
        </w:rPr>
        <w:t>Middap</w:t>
      </w:r>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r w:rsidRPr="0000665E">
        <w:rPr>
          <w:rFonts w:ascii="Arial" w:hAnsi="Arial" w:cs="Arial"/>
          <w:i/>
          <w:color w:val="000000"/>
          <w:sz w:val="20"/>
          <w:szCs w:val="20"/>
        </w:rPr>
        <w:t>Middap</w:t>
      </w:r>
      <w:r w:rsidRPr="0000665E">
        <w:rPr>
          <w:rFonts w:ascii="Arial" w:hAnsi="Arial" w:cs="Arial"/>
          <w:color w:val="000000"/>
          <w:sz w:val="20"/>
          <w:szCs w:val="20"/>
        </w:rPr>
        <w:t>, the expression used is ‘would’.  Counsel for Mokbel also used “would”</w:t>
      </w:r>
      <w:r w:rsidR="00383AD4" w:rsidRPr="0000665E">
        <w:rPr>
          <w:rFonts w:ascii="Arial" w:hAnsi="Arial" w:cs="Arial"/>
          <w:color w:val="000000"/>
          <w:sz w:val="20"/>
          <w:szCs w:val="20"/>
        </w:rPr>
        <w:t>…</w:t>
      </w:r>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R v Kouroumalos</w:t>
      </w:r>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R v Marchando</w:t>
      </w:r>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r w:rsidR="00F83B65" w:rsidRPr="0000665E">
        <w:rPr>
          <w:rFonts w:ascii="Arial" w:hAnsi="Arial" w:cs="Arial"/>
          <w:i/>
          <w:color w:val="000000"/>
          <w:sz w:val="20"/>
          <w:szCs w:val="20"/>
        </w:rPr>
        <w:t>Middap</w:t>
      </w:r>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70" w:name="_10.3.8_Duplicity,_Uncertainty"/>
      <w:bookmarkEnd w:id="170"/>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“[40]  As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Trotter  </w:t>
      </w:r>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[41]  In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 xml:space="preserve">[42]  In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Again there was no duplicity in the charge; the ambiguity arose out of the evidence.  But in the course of the judgment the Court also said (7 A Crim R at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r>
        <w:rPr>
          <w:rFonts w:ascii="Arial" w:hAnsi="Arial" w:cs="Arial"/>
          <w:sz w:val="20"/>
        </w:rPr>
        <w:t xml:space="preserve">However a charge will not be duplicitous if it refers to one prohibited act having certain characteristics as opposed to more than one such act.  See for instance </w:t>
      </w:r>
      <w:r>
        <w:rPr>
          <w:rFonts w:ascii="Arial" w:hAnsi="Arial" w:cs="Arial"/>
          <w:i/>
          <w:iCs/>
          <w:sz w:val="20"/>
        </w:rPr>
        <w:t>R v Ginies</w:t>
      </w:r>
      <w:r>
        <w:rPr>
          <w:rFonts w:ascii="Arial" w:hAnsi="Arial" w:cs="Arial"/>
          <w:sz w:val="20"/>
        </w:rPr>
        <w:t xml:space="preserve"> [1972] VR 349 at 400 per Winneke CJ, Little &amp; Barber JJ.  The distinction was pointed out by Bray CJ in </w:t>
      </w:r>
      <w:r>
        <w:rPr>
          <w:rFonts w:ascii="Arial" w:hAnsi="Arial" w:cs="Arial"/>
          <w:i/>
          <w:iCs/>
          <w:sz w:val="20"/>
        </w:rPr>
        <w:t>Romeyko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r w:rsidR="00702EE8">
        <w:rPr>
          <w:rFonts w:ascii="Arial" w:hAnsi="Arial" w:cs="Arial"/>
          <w:sz w:val="20"/>
        </w:rPr>
        <w:t>90</w:t>
      </w:r>
      <w:r>
        <w:rPr>
          <w:rFonts w:ascii="Arial" w:hAnsi="Arial" w:cs="Arial"/>
          <w:sz w:val="20"/>
        </w:rPr>
        <w:t>]</w:t>
      </w:r>
      <w:r w:rsidR="0061011E">
        <w:rPr>
          <w:rFonts w:ascii="Arial" w:hAnsi="Arial" w:cs="Arial"/>
          <w:sz w:val="20"/>
        </w:rPr>
        <w:noBreakHyphen/>
      </w:r>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eg.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‘ensure that the accused knows the “particular act, matter or thing alleged as the 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a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Perhaps an indication of the considerable difficulty of the task to be found is in the fact that, in many of the leadings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This is not a case where the evidence of the first instance was notional rather than actual: see eg.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There was therefore no requirement for any further details which objectively distinguished the first instance from the other sleep penetrations. As Redlich JA said in PPP at [46], ‘the particulars of the offence as being the ‘first occasion’ will generally be 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[125] Charge 6 was thus founded upon a single act of penetration. It was sufficiently clear that this was the ‘particular act, matter or thing alleged as the foundation’ of this charge. On the ‘first occasion’ particularisation approach, te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71" w:name="_10.3.9_“Representative”_counts"/>
      <w:bookmarkEnd w:id="171"/>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taking into account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“Not only does the fact that a count is agreed to be representative preclude its being said in mitigation that the offence was isolated, it affirmatively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Winneke P (with whom Charles &amp; Buchanan JJA agreed) approved and applied the above dicta, noting at [8]:  “These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DPP v Mulia</w:t>
      </w:r>
      <w:r w:rsidR="001B1DB2">
        <w:rPr>
          <w:rFonts w:ascii="Arial" w:hAnsi="Arial" w:cs="Arial"/>
          <w:i/>
          <w:sz w:val="20"/>
        </w:rPr>
        <w:t>i</w:t>
      </w:r>
      <w:r w:rsidR="003D62C8" w:rsidRPr="003D62C8">
        <w:rPr>
          <w:rFonts w:ascii="Arial" w:hAnsi="Arial" w:cs="Arial"/>
          <w:i/>
          <w:sz w:val="20"/>
        </w:rPr>
        <w:t>na</w:t>
      </w:r>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t xml:space="preserve">[1999] 1 VR 706”.  However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(d) and (daa).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and unanimity.  Accordingly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count…[R]olled-up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R v Coukoulis</w:t>
      </w:r>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judge, but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that, in circumstances where offences are charged as a "rolled up" count, the count does not qualify as a continuing criminal enterprise offence by virtue only of the rolled up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72" w:name="_Toc30691451"/>
      <w:bookmarkStart w:id="173" w:name="_Toc30691830"/>
      <w:bookmarkStart w:id="174" w:name="_Toc30692210"/>
      <w:bookmarkStart w:id="175" w:name="_Toc30692968"/>
      <w:bookmarkStart w:id="176" w:name="_Toc30693347"/>
      <w:bookmarkStart w:id="177" w:name="_Toc30693725"/>
      <w:bookmarkStart w:id="178" w:name="_Toc30694103"/>
      <w:bookmarkStart w:id="179" w:name="_Toc30694483"/>
      <w:bookmarkStart w:id="180" w:name="_Toc30699073"/>
      <w:bookmarkStart w:id="181" w:name="_Toc30699458"/>
      <w:bookmarkStart w:id="182" w:name="_Toc30699843"/>
      <w:bookmarkStart w:id="183" w:name="_Toc30700998"/>
      <w:bookmarkStart w:id="184" w:name="_Toc30701385"/>
      <w:bookmarkStart w:id="185" w:name="_Toc30743992"/>
      <w:bookmarkStart w:id="186" w:name="_Toc30754815"/>
      <w:bookmarkStart w:id="187" w:name="_Toc30757271"/>
      <w:bookmarkStart w:id="188" w:name="_Toc30757819"/>
      <w:bookmarkStart w:id="189" w:name="_Toc30758219"/>
      <w:bookmarkStart w:id="190" w:name="_Toc30762980"/>
      <w:bookmarkStart w:id="191" w:name="_Toc30767634"/>
      <w:bookmarkStart w:id="192"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factual circumstances in which the offence was committed.  [See] </w:t>
      </w:r>
      <w:r w:rsidRPr="00494F3E">
        <w:rPr>
          <w:rFonts w:ascii="Arial" w:hAnsi="Arial" w:cs="Arial"/>
          <w:i/>
          <w:sz w:val="20"/>
        </w:rPr>
        <w:t>R v Giretti</w:t>
      </w:r>
      <w:r>
        <w:rPr>
          <w:rFonts w:ascii="Arial" w:hAnsi="Arial" w:cs="Arial"/>
          <w:sz w:val="20"/>
        </w:rPr>
        <w:t xml:space="preserve"> (1986) 24 A Crim R 112, 118 per Crockett J…A charge of this kind is of course, to be distinguished from a “rolled up count”.  A rolled up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t xml:space="preserve">For a general discussion of “rolled up” as opposed to “representative” charges see </w:t>
      </w:r>
      <w:r w:rsidRPr="00C37F2B">
        <w:rPr>
          <w:rFonts w:ascii="Arial" w:hAnsi="Arial" w:cs="Arial"/>
          <w:bCs/>
          <w:i/>
          <w:iCs/>
          <w:color w:val="000000"/>
          <w:sz w:val="20"/>
          <w:szCs w:val="20"/>
        </w:rPr>
        <w:t>DPP v Za Lian &amp; Hlawnceu</w:t>
      </w:r>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r w:rsidR="00960A4F" w:rsidRPr="00960A4F">
        <w:rPr>
          <w:rFonts w:ascii="Arial" w:hAnsi="Arial" w:cs="Arial"/>
          <w:bCs/>
          <w:i/>
          <w:iCs/>
          <w:color w:val="000000"/>
          <w:sz w:val="20"/>
          <w:szCs w:val="20"/>
        </w:rPr>
        <w:t>Stanczewski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DPP v Lapatis; DPP v Stakic</w:t>
      </w:r>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193" w:name="_10.3.10_Right_to"/>
      <w:bookmarkEnd w:id="193"/>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194"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194"/>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R v Benbrika and ors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592;  </w:t>
      </w:r>
      <w:r w:rsidR="00CD2188" w:rsidRPr="00CD2188">
        <w:rPr>
          <w:rFonts w:ascii="Arial" w:eastAsia="Book Antiqua" w:hAnsi="Arial" w:cs="Arial"/>
          <w:i/>
          <w:sz w:val="20"/>
          <w:szCs w:val="20"/>
        </w:rPr>
        <w:t xml:space="preserve">Dupas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The following propositions may, I think, be drawn from the judgment of Osborn JA (with whom Redlich JA and Sifris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(Gaudron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77-8  (Gaudron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“[S]uch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Philippine Airlines v Goldair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Yuill v Spedley Securities Ltd (in liq)</w:t>
      </w:r>
      <w:r w:rsidR="00E02E3D" w:rsidRPr="00E02E3D">
        <w:rPr>
          <w:rFonts w:ascii="Arial" w:hAnsi="Arial" w:cs="Arial"/>
          <w:sz w:val="20"/>
        </w:rPr>
        <w:t xml:space="preserve"> (1992) 8 ACSR 272; </w:t>
      </w:r>
      <w:r w:rsidR="00E02E3D" w:rsidRPr="00E02E3D">
        <w:rPr>
          <w:rFonts w:ascii="Arial" w:eastAsia="Book Antiqua" w:hAnsi="Arial" w:cs="Arial"/>
          <w:i/>
          <w:sz w:val="20"/>
        </w:rPr>
        <w:t>DPP (Cth)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Qd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R v Tuteru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DPP v Tuteru</w:t>
      </w:r>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195"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195"/>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The term ‘abuse of process’, in a criminal context, includes not only bringing a prosecution for an improper purpose or 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Strickland (a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His Honour took</w:t>
      </w:r>
      <w:r w:rsidR="001514B5">
        <w:rPr>
          <w:rFonts w:ascii="Arial" w:hAnsi="Arial" w:cs="Arial"/>
          <w:sz w:val="20"/>
          <w:szCs w:val="16"/>
        </w:rPr>
        <w:t xml:space="preserve"> into account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DPP v Tuteru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[31] There is nothing from which it could be concluded that the prosecution’s decision not to include sexual assault charges on the indictment was underpinned by any improper purpose, or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Having viewed all of the video footage, we have concluded that it simply was not open to the judge to find that the charges against the respondents are foredoomed to fail, or that a 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Five complainants were students at the 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196" w:name="_10.3.11_Abuse_of"/>
      <w:bookmarkEnd w:id="196"/>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2 year old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Instead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R v Lorkin</w:t>
      </w:r>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[1991] 1 Qd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197" w:name="_10.3.12_Joinder_or"/>
      <w:bookmarkEnd w:id="197"/>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The prima facie rule is that where more than one accused are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R v Demirok</w:t>
      </w:r>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R v Demirok</w:t>
      </w:r>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he matters that favour of a joint trial are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11B621D7"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slavery based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R v Demirok</w:t>
      </w:r>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198"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198"/>
      <w:r w:rsidR="00372C90" w:rsidRPr="000A6D12">
        <w:rPr>
          <w:rFonts w:ascii="Arial" w:hAnsi="Arial" w:cs="Arial"/>
          <w:sz w:val="20"/>
          <w:szCs w:val="20"/>
        </w:rPr>
        <w:t xml:space="preserve"> 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199"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199"/>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0" w:name="_Toc4663795"/>
      <w:r w:rsidRPr="000B6A21">
        <w:rPr>
          <w:rFonts w:ascii="Arial" w:hAnsi="Arial" w:cs="Arial"/>
          <w:sz w:val="20"/>
        </w:rPr>
        <w:t>57</w:t>
      </w:r>
      <w:r w:rsidRPr="000B6A21">
        <w:rPr>
          <w:rFonts w:ascii="Arial" w:hAnsi="Arial" w:cs="Arial"/>
          <w:sz w:val="20"/>
        </w:rPr>
        <w:tab/>
        <w:t>Joint hearing of charges on separate charge-sheets</w:t>
      </w:r>
      <w:bookmarkEnd w:id="200"/>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1" w:name="_Toc4663796"/>
      <w:r w:rsidRPr="000B6A21">
        <w:rPr>
          <w:rFonts w:ascii="Arial" w:hAnsi="Arial" w:cs="Arial"/>
          <w:sz w:val="20"/>
        </w:rPr>
        <w:t>58</w:t>
      </w:r>
      <w:r w:rsidRPr="000B6A21">
        <w:rPr>
          <w:rFonts w:ascii="Arial" w:hAnsi="Arial" w:cs="Arial"/>
          <w:sz w:val="20"/>
        </w:rPr>
        <w:tab/>
        <w:t>Order for separate hearing</w:t>
      </w:r>
      <w:bookmarkEnd w:id="201"/>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2" w:name="_Toc4664328"/>
      <w:r w:rsidRPr="000B6A21">
        <w:rPr>
          <w:rFonts w:ascii="Arial" w:hAnsi="Arial" w:cs="Arial"/>
          <w:sz w:val="20"/>
        </w:rPr>
        <w:t>5</w:t>
      </w:r>
      <w:r w:rsidRPr="000B6A21">
        <w:rPr>
          <w:rFonts w:ascii="Arial" w:hAnsi="Arial" w:cs="Arial"/>
          <w:sz w:val="20"/>
        </w:rPr>
        <w:tab/>
        <w:t>Joinder of charges</w:t>
      </w:r>
      <w:bookmarkEnd w:id="202"/>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v Renzella</w:t>
      </w:r>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Qd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Qd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R v Demirok</w:t>
      </w:r>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Demirok</w:t>
      </w:r>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Sutton 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VSC 882 the accused was presented on a joint indictment that charged him in relation to two separate criminal events: event 1 involved a home invasion and infliction of life threatening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take into account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R v Demirok</w:t>
      </w:r>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16.</w:t>
      </w:r>
      <w:r w:rsidRPr="000B6A21">
        <w:rPr>
          <w:rFonts w:ascii="Arial" w:hAnsi="Arial" w:cs="Arial"/>
          <w:sz w:val="20"/>
          <w:szCs w:val="20"/>
        </w:rPr>
        <w:tab/>
      </w:r>
      <w:r w:rsidRPr="000B6A21">
        <w:rPr>
          <w:rFonts w:ascii="Arial" w:hAnsi="Arial" w:cs="Arial"/>
          <w:b/>
          <w:bCs/>
          <w:sz w:val="20"/>
          <w:szCs w:val="20"/>
        </w:rPr>
        <w:t>The general rule in favour of joint trials will be displaced where this course will deny an accused a fair trial</w:t>
      </w:r>
      <w:r w:rsidRPr="000B6A21">
        <w:rPr>
          <w:rFonts w:ascii="Arial" w:hAnsi="Arial" w:cs="Arial"/>
          <w:sz w:val="20"/>
          <w:szCs w:val="20"/>
        </w:rPr>
        <w:t xml:space="preserve">: </w:t>
      </w:r>
      <w:r w:rsidRPr="000B6A21">
        <w:rPr>
          <w:rFonts w:ascii="Arial" w:hAnsi="Arial" w:cs="Arial"/>
          <w:i/>
          <w:iCs/>
          <w:sz w:val="20"/>
          <w:szCs w:val="20"/>
        </w:rPr>
        <w:t>R v Oliver</w:t>
      </w:r>
      <w:r w:rsidRPr="000B6A21">
        <w:rPr>
          <w:rFonts w:ascii="Arial" w:hAnsi="Arial" w:cs="Arial"/>
          <w:sz w:val="20"/>
          <w:szCs w:val="20"/>
        </w:rPr>
        <w:t xml:space="preserve">; </w:t>
      </w:r>
      <w:r w:rsidRPr="000B6A21">
        <w:rPr>
          <w:rFonts w:ascii="Arial" w:hAnsi="Arial" w:cs="Arial"/>
          <w:i/>
          <w:iCs/>
          <w:sz w:val="20"/>
          <w:szCs w:val="20"/>
        </w:rPr>
        <w:t>R v Patsalis</w:t>
      </w:r>
      <w:r w:rsidRPr="000B6A21">
        <w:rPr>
          <w:rFonts w:ascii="Arial" w:hAnsi="Arial" w:cs="Arial"/>
          <w:sz w:val="20"/>
          <w:szCs w:val="20"/>
        </w:rPr>
        <w:t xml:space="preserve"> [1999] NSWSC 649; </w:t>
      </w:r>
      <w:r w:rsidRPr="000B6A21">
        <w:rPr>
          <w:rFonts w:ascii="Arial" w:hAnsi="Arial" w:cs="Arial"/>
          <w:i/>
          <w:iCs/>
          <w:sz w:val="20"/>
          <w:szCs w:val="20"/>
        </w:rPr>
        <w:t>R v Cox &amp; Ors</w:t>
      </w:r>
      <w:r w:rsidRPr="000B6A21">
        <w:rPr>
          <w:rFonts w:ascii="Arial" w:hAnsi="Arial" w:cs="Arial"/>
          <w:sz w:val="20"/>
          <w:szCs w:val="20"/>
        </w:rPr>
        <w:t xml:space="preserve"> [2005] VSC 255.</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R v Ignjatic</w:t>
      </w:r>
      <w:r w:rsidRPr="000B6A21">
        <w:rPr>
          <w:rFonts w:ascii="Arial" w:hAnsi="Arial" w:cs="Arial"/>
          <w:sz w:val="20"/>
          <w:szCs w:val="20"/>
        </w:rPr>
        <w:t xml:space="preserve"> (unreported, NSWCCA, 06/07/1993), </w:t>
      </w:r>
      <w:r w:rsidRPr="000B6A21">
        <w:rPr>
          <w:rFonts w:ascii="Arial" w:hAnsi="Arial" w:cs="Arial"/>
          <w:i/>
          <w:iCs/>
          <w:sz w:val="20"/>
          <w:szCs w:val="20"/>
        </w:rPr>
        <w:t>R v Patsalis</w:t>
      </w:r>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Grondkowski</w:t>
      </w:r>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03" w:name="_10.3.13_Transfer_of"/>
      <w:bookmarkStart w:id="204" w:name="_10.4_Doli_incapax"/>
      <w:bookmarkEnd w:id="203"/>
      <w:bookmarkEnd w:id="204"/>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t>10.4</w:t>
      </w:r>
      <w:r>
        <w:rPr>
          <w:rFonts w:ascii="Arial" w:hAnsi="Arial" w:cs="Arial"/>
          <w:b/>
          <w:bCs/>
          <w:i/>
          <w:iCs/>
        </w:rPr>
        <w:tab/>
        <w:t>Doli incapax</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place">
        <w:smartTag w:uri="urn:schemas-microsoft-com:office:smarttags" w:element="City">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05" w:name="_10.4.1_The_principle"/>
      <w:bookmarkStart w:id="206" w:name="_Toc54454700"/>
      <w:bookmarkStart w:id="207" w:name="_Toc54544606"/>
      <w:bookmarkStart w:id="208" w:name="_Toc54634645"/>
      <w:bookmarkStart w:id="209" w:name="_Hlk111623801"/>
      <w:bookmarkEnd w:id="205"/>
      <w:r>
        <w:rPr>
          <w:rFonts w:ascii="Arial" w:hAnsi="Arial" w:cs="Arial"/>
          <w:b/>
          <w:bCs/>
          <w:sz w:val="20"/>
        </w:rPr>
        <w:t>10.4.1</w:t>
      </w:r>
      <w:r>
        <w:rPr>
          <w:rFonts w:ascii="Arial" w:hAnsi="Arial" w:cs="Arial"/>
          <w:b/>
          <w:bCs/>
          <w:sz w:val="20"/>
        </w:rPr>
        <w:tab/>
      </w:r>
      <w:bookmarkEnd w:id="206"/>
      <w:bookmarkEnd w:id="207"/>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08"/>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r>
        <w:rPr>
          <w:rFonts w:ascii="Arial" w:hAnsi="Arial" w:cs="Arial"/>
          <w:i/>
          <w:iCs/>
          <w:sz w:val="20"/>
        </w:rPr>
        <w:t>mens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09"/>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10" w:name="_10.4.2_Earlier_Australian"/>
      <w:bookmarkStart w:id="211" w:name="_Toc54454701"/>
      <w:bookmarkStart w:id="212" w:name="_Toc54544607"/>
      <w:bookmarkStart w:id="213" w:name="_Toc54634646"/>
      <w:bookmarkEnd w:id="210"/>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11"/>
      <w:bookmarkEnd w:id="212"/>
      <w:r>
        <w:rPr>
          <w:rFonts w:ascii="Arial" w:hAnsi="Arial" w:cs="Arial"/>
          <w:b/>
          <w:bCs/>
          <w:sz w:val="20"/>
        </w:rPr>
        <w:t>ies</w:t>
      </w:r>
      <w:bookmarkEnd w:id="213"/>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12 year old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mens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J M v Runeckles</w:t>
      </w:r>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r>
        <w:rPr>
          <w:rFonts w:ascii="Arial" w:hAnsi="Arial" w:cs="Arial"/>
          <w:i/>
          <w:iCs/>
          <w:sz w:val="20"/>
        </w:rPr>
        <w:t>Runeckles</w:t>
      </w:r>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r>
        <w:rPr>
          <w:rFonts w:ascii="Arial" w:hAnsi="Arial" w:cs="Arial"/>
          <w:i/>
          <w:iCs/>
          <w:sz w:val="20"/>
        </w:rPr>
        <w:t>mens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Qd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14" w:name="_10.4.3_Demise_of"/>
      <w:bookmarkStart w:id="215" w:name="_Toc54544608"/>
      <w:bookmarkStart w:id="216" w:name="_Toc54634647"/>
      <w:bookmarkEnd w:id="214"/>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15"/>
      <w:bookmarkEnd w:id="216"/>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motor cycle in a private driveway.  C ran away but was caught and arrested.  The motor cycle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motor cycle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address">
        <w:smartTag w:uri="urn:schemas-microsoft-com:office:smarttags" w:element="Street">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where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Tullichettle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17" w:name="_10.4.4_History_of"/>
      <w:bookmarkStart w:id="218" w:name="_Toc54544609"/>
      <w:bookmarkStart w:id="219" w:name="_Toc54634648"/>
      <w:bookmarkEnd w:id="217"/>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18"/>
      <w:bookmarkEnd w:id="219"/>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rape  All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r>
        <w:rPr>
          <w:rFonts w:ascii="Arial" w:hAnsi="Arial" w:cs="Arial"/>
          <w:i/>
          <w:iCs/>
          <w:sz w:val="20"/>
        </w:rPr>
        <w:t>mens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"proof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"the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t xml:space="preserve">[70] "The principle of age incapacity – traditionally expressed as a presumption – is part of the common law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not be pardoned.  The Eyre of Kent stated that 'an infant under the age of seven years, though he be convicted of felony, shall go free of judgment because he knoweth not of good and evil': (1313-4) S.S. Vol.24, 109.  In 1338 the Year Book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Spigurnel it was found that an infant within age killed his companion, and then concealed himself, and thereupon he was hanged; for he said that by the concealment he could discern between good and evil, </w:t>
      </w:r>
      <w:r>
        <w:rPr>
          <w:rFonts w:ascii="Arial" w:hAnsi="Arial" w:cs="Arial"/>
          <w:i/>
          <w:iCs/>
          <w:sz w:val="20"/>
        </w:rPr>
        <w:t>quia malitia supplet aetatem</w:t>
      </w:r>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It was not until as late as 1588 that a clear age below which liability did not apply was fixed.  Lambard's Eirenarcha when first published in 1581 did not state an age.  However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…an infant under the age of twelve years, unless it may be by some evident token appear, that he had understanding of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fourteen-line;  his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child;  others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take into account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(Cth) and s.7.2 of the </w:t>
      </w:r>
      <w:r>
        <w:rPr>
          <w:rFonts w:ascii="Arial" w:hAnsi="Arial" w:cs="Arial"/>
          <w:i/>
          <w:iCs/>
          <w:sz w:val="20"/>
        </w:rPr>
        <w:t>Criminal Code</w:t>
      </w:r>
      <w:r>
        <w:rPr>
          <w:rFonts w:ascii="Arial" w:hAnsi="Arial" w:cs="Arial"/>
          <w:sz w:val="20"/>
        </w:rPr>
        <w:t xml:space="preserve"> (Cth).  Sections 4N(2) and 7.2(2) correctly state the common 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as an 11-13 year old child were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20" w:name="_10.4.5_The_principle"/>
      <w:bookmarkEnd w:id="220"/>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r w:rsidRPr="009E16B6">
        <w:rPr>
          <w:rFonts w:ascii="Arial" w:hAnsi="Arial" w:cs="Arial"/>
          <w:i/>
          <w:sz w:val="20"/>
        </w:rPr>
        <w:t>mens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The trial judge was satisfied that the circumstances surrounding the commission of the offence charged in count two proved beyond reasonable doubt 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mens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F v Padwick</w:t>
      </w:r>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said “if you wanna come out, you gotta let me do this to ya”.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said “don’t say nothin’”.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]he appellant is presumed in law to be incapable of bearing criminal responsibility for his acts.  The onus was upon the prosecution to adduce evidence to rebut that presumption to the criminal standard.  T</w:t>
      </w:r>
      <w:r>
        <w:rPr>
          <w:rFonts w:ascii="Arial" w:hAnsi="Arial" w:cs="Arial"/>
          <w:sz w:val="20"/>
        </w:rPr>
        <w:t>he trial judge found the appellant was of ‘very low intelligence’ and possessed a lesser appreciation of the seriousness of his conduct. The prosecution did not adduce any evidence 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21"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21"/>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is that a child under 14 years of age is not sufficiently intellectually and morally developed to appreciate the difference between right and wrong, and therefore lacks the capacity for mens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years of age at the time of this first incident. Whilst it was not suggested that this evidence, and the other evidence the 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R v Nieterink</w:t>
      </w:r>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16 year old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[68]</w:t>
      </w:r>
      <w:r w:rsidRPr="00B469B8">
        <w:rPr>
          <w:rFonts w:ascii="Arial" w:hAnsi="Arial" w:cs="Arial"/>
          <w:sz w:val="20"/>
          <w:szCs w:val="20"/>
        </w:rPr>
        <w:noBreakHyphen/>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treatment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Lennings and Lennings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(eg,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’s opinion relied on a number of assumptions, in particular that PM was cognitively intact, that he was capable of experiential learning, and that his moral development was such that he had an understanding and knowledge of conventional morality and the capacity to choose to reject 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22" w:name="Heading1756"/>
      <w:bookmarkEnd w:id="222"/>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23" w:name="_Toc146090596"/>
      <w:bookmarkStart w:id="224" w:name="Heading1765"/>
      <w:bookmarkEnd w:id="223"/>
      <w:bookmarkEnd w:id="224"/>
    </w:p>
    <w:p w14:paraId="0B67026C" w14:textId="4CAF04E0" w:rsidR="00C45B0A" w:rsidRDefault="00C45B0A" w:rsidP="005F68BF">
      <w:pPr>
        <w:pStyle w:val="Heading3"/>
        <w:keepNext/>
        <w:spacing w:after="120" w:line="240" w:lineRule="auto"/>
        <w:rPr>
          <w:rFonts w:ascii="Arial" w:hAnsi="Arial" w:cs="Arial"/>
          <w:b/>
          <w:bCs/>
          <w:sz w:val="20"/>
        </w:rPr>
      </w:pPr>
      <w:bookmarkStart w:id="225" w:name="_10.4.6_The_statutory"/>
      <w:bookmarkEnd w:id="225"/>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s.37(1)(ab)];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s.41(ba)];</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s.53A(2)(c)(ia)];</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s.110(ba)];</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s.117(1)(ab)].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26" w:name="_10.5_Effect_of"/>
      <w:bookmarkEnd w:id="226"/>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27" w:name="_10.5.1_Mandatory_adjournment"/>
      <w:bookmarkEnd w:id="227"/>
      <w:r w:rsidRPr="00AB0A8E">
        <w:rPr>
          <w:rFonts w:ascii="Arial" w:hAnsi="Arial" w:cs="Arial"/>
          <w:b/>
          <w:sz w:val="20"/>
        </w:rPr>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 xml:space="preserve">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s.249(2)(ba)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 xml:space="preserve">354A(1) &amp; </w:t>
      </w:r>
      <w:r>
        <w:rPr>
          <w:rFonts w:ascii="Arial" w:hAnsi="Arial" w:cs="Arial"/>
          <w:color w:val="000000"/>
          <w:sz w:val="20"/>
        </w:rPr>
        <w:t>354A</w:t>
      </w:r>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28" w:name="_10.5.2_Hearing_of"/>
      <w:bookmarkEnd w:id="228"/>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VChC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be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354A(</w:t>
      </w:r>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354A(</w:t>
      </w:r>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29" w:name="_10.5.3_Privilege_against"/>
      <w:bookmarkEnd w:id="229"/>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30" w:name="_10.6_Unfitness_to"/>
      <w:bookmarkEnd w:id="230"/>
      <w:r w:rsidRPr="00920BCD">
        <w:rPr>
          <w:rFonts w:ascii="Arial" w:hAnsi="Arial" w:cs="Arial"/>
          <w:b/>
          <w:bCs/>
        </w:rPr>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77777777" w:rsidR="000C2A35" w:rsidRDefault="00CF53CA" w:rsidP="000C2A35">
      <w:pPr>
        <w:pStyle w:val="Heading3"/>
        <w:keepNext/>
        <w:spacing w:after="80" w:line="240" w:lineRule="auto"/>
        <w:ind w:left="284" w:hanging="284"/>
        <w:rPr>
          <w:rFonts w:ascii="Arial" w:hAnsi="Arial" w:cs="Arial"/>
          <w:b/>
          <w:bCs/>
          <w:sz w:val="20"/>
        </w:rPr>
      </w:pPr>
      <w:bookmarkStart w:id="231" w:name="_A_BACKGROUND_"/>
      <w:bookmarkEnd w:id="231"/>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Pr="00CF53CA" w:rsidRDefault="00CF53CA" w:rsidP="000C2A35">
      <w:pPr>
        <w:ind w:left="284"/>
        <w:jc w:val="both"/>
        <w:rPr>
          <w:rFonts w:ascii="Arial" w:hAnsi="Arial" w:cs="Arial"/>
          <w:sz w:val="20"/>
          <w:szCs w:val="20"/>
        </w:rPr>
      </w:pPr>
    </w:p>
    <w:p w14:paraId="7176193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  See [2010]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77777777"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9166EB">
        <w:rPr>
          <w:rFonts w:ascii="Arial" w:hAnsi="Arial" w:cs="Arial"/>
          <w:sz w:val="20"/>
          <w:szCs w:val="20"/>
        </w:rPr>
        <w:t> </w:t>
      </w:r>
      <w:r w:rsidR="00CF53CA" w:rsidRPr="00CF53CA">
        <w:rPr>
          <w:rFonts w:ascii="Arial" w:hAnsi="Arial" w:cs="Arial"/>
          <w:i/>
          <w:color w:val="000000"/>
          <w:sz w:val="20"/>
          <w:szCs w:val="20"/>
        </w:rPr>
        <w:t xml:space="preserve">CL (a minor) v Tim Lee and Ors </w:t>
      </w:r>
      <w:r w:rsidR="00CF53CA" w:rsidRPr="00CF53CA">
        <w:rPr>
          <w:rFonts w:ascii="Arial" w:hAnsi="Arial" w:cs="Arial"/>
          <w:color w:val="000000"/>
          <w:sz w:val="20"/>
          <w:szCs w:val="20"/>
        </w:rPr>
        <w:t>[2010] VSC 517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32" w:name="_B_AMENDMENTS_TO"/>
      <w:bookmarkEnd w:id="232"/>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AMENDMENTS TO THE CMIA</w:t>
      </w:r>
      <w:r w:rsidRPr="00CF53CA">
        <w:rPr>
          <w:rFonts w:ascii="Arial" w:hAnsi="Arial" w:cs="Arial"/>
          <w:color w:val="000000"/>
          <w:sz w:val="20"/>
        </w:rPr>
        <w:t xml:space="preserve">  In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33" w:name="_C_APPLICATION_OF"/>
      <w:bookmarkEnd w:id="233"/>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(2)</w:t>
      </w:r>
      <w:r w:rsidRPr="00172CD6">
        <w:rPr>
          <w:rFonts w:ascii="Arial" w:hAnsi="Arial" w:cs="Arial"/>
          <w:color w:val="000000"/>
          <w:sz w:val="20"/>
          <w:szCs w:val="22"/>
        </w:rPr>
        <w:tab/>
        <w:t xml:space="preserve">The defence of mental impairment as provided for in s.38ZA of the CMIA and the presumption in s.38ZB(1)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34" w:name="_D_CONSTITUTION_OF"/>
      <w:bookmarkEnd w:id="234"/>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COURT|CMIA-s.38I(1)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35" w:name="_E_WHEN_IS"/>
      <w:bookmarkEnd w:id="235"/>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WHEN IS A CHILD UNFIT TO BE TRIED?|</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38K(1)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counsel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505CB7E3" w14:textId="77777777" w:rsidR="00A75871" w:rsidRDefault="00A75871" w:rsidP="00CF53CA">
      <w:pPr>
        <w:tabs>
          <w:tab w:val="left" w:pos="284"/>
        </w:tabs>
        <w:spacing w:line="240" w:lineRule="exact"/>
        <w:jc w:val="both"/>
        <w:rPr>
          <w:rFonts w:ascii="Arial" w:hAnsi="Arial" w:cs="Arial"/>
          <w:color w:val="000000"/>
          <w:sz w:val="20"/>
        </w:rPr>
      </w:pPr>
    </w:p>
    <w:p w14:paraId="10075BEE" w14:textId="77777777"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accused, profoundly deaf since birth, had also been assessed with ADHD, autism, mild cerebral palsy and a global intellectual delay with a full scale IQ of 50 which f</w:t>
      </w:r>
      <w:r w:rsidRPr="00766610">
        <w:rPr>
          <w:rFonts w:ascii="Arial" w:hAnsi="Arial" w:cs="Arial"/>
          <w:sz w:val="20"/>
          <w:szCs w:val="20"/>
        </w:rPr>
        <w:t>alls within the extremely low range. KR is non-verbal and communicates through sign, although he is not Auslan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36"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36"/>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Panduaruangi, 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R v Dellamarta</w:t>
      </w:r>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s.7(4)…[T]he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[40]</w:t>
      </w:r>
      <w:r w:rsidR="00D977C5">
        <w:rPr>
          <w:rFonts w:ascii="Arial" w:hAnsi="Arial" w:cs="Arial"/>
          <w:sz w:val="20"/>
          <w:szCs w:val="20"/>
        </w:rPr>
        <w:t>…</w:t>
      </w:r>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The Queen v Ngatayi</w:t>
      </w:r>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If the accused is able to understand the evidence, and to instruct his [or her] counsel as to the facts of the case, no unfairness or injustice will generally be occasioned by the fact that the accused does not know, and cannot understand, the law. With the assistance of counsel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that the minimum requirements that an accused must be able to follow the evidence and respond rationally to the charge does not require that an accused must be able to understand how his or her intention may be inferred from the evidence. 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r w:rsidR="00DE3EB9" w:rsidRPr="00DE3EB9">
        <w:rPr>
          <w:rFonts w:ascii="Arial" w:hAnsi="Arial" w:cs="Arial"/>
          <w:i/>
          <w:iCs/>
          <w:color w:val="000000"/>
          <w:sz w:val="20"/>
        </w:rPr>
        <w:t>Dellamarta’s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37" w:name="_F_PRESUMPTIONS,_STANDARD"/>
      <w:bookmarkEnd w:id="237"/>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38" w:name="_G_QUESTION_OF"/>
      <w:bookmarkEnd w:id="238"/>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77777777" w:rsidR="00CF53CA" w:rsidRPr="00360462" w:rsidRDefault="00CF53CA" w:rsidP="00CF53CA">
      <w:pPr>
        <w:tabs>
          <w:tab w:val="left" w:pos="284"/>
        </w:tabs>
        <w:spacing w:line="240" w:lineRule="exact"/>
        <w:jc w:val="both"/>
        <w:rPr>
          <w:rFonts w:ascii="Arial" w:hAnsi="Arial" w:cs="Arial"/>
          <w:color w:val="000000"/>
          <w:sz w:val="20"/>
        </w:rPr>
      </w:pPr>
    </w:p>
    <w:p w14:paraId="5468FB6E" w14:textId="77777777" w:rsidR="00CF53CA" w:rsidRPr="00360462" w:rsidRDefault="00CF53CA" w:rsidP="006770D4">
      <w:pPr>
        <w:tabs>
          <w:tab w:val="left" w:pos="284"/>
        </w:tabs>
        <w:spacing w:line="240" w:lineRule="exact"/>
        <w:jc w:val="both"/>
        <w:rPr>
          <w:rFonts w:ascii="Arial" w:hAnsi="Arial" w:cs="Arial"/>
          <w:color w:val="000000"/>
          <w:sz w:val="20"/>
        </w:rPr>
      </w:pPr>
      <w:r w:rsidRPr="00360462">
        <w:rPr>
          <w:rFonts w:ascii="Arial" w:hAnsi="Arial" w:cs="Arial"/>
          <w:color w:val="000000"/>
          <w:sz w:val="20"/>
        </w:rPr>
        <w:tab/>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39" w:name="_H_INVESTIGATION_OF"/>
      <w:bookmarkEnd w:id="239"/>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40" w:name="_I_ORDERS_PENDING"/>
      <w:bookmarkEnd w:id="240"/>
      <w:r>
        <w:rPr>
          <w:rFonts w:ascii="Arial" w:hAnsi="Arial" w:cs="Arial"/>
          <w:b/>
          <w:color w:val="FFFFFF"/>
          <w:sz w:val="22"/>
          <w:shd w:val="clear" w:color="auto" w:fill="000000"/>
        </w:rPr>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BAIL, REMAND ETC</w:t>
      </w:r>
      <w:r w:rsidRPr="00360462">
        <w:rPr>
          <w:rFonts w:ascii="Arial" w:hAnsi="Arial" w:cs="Arial"/>
          <w:sz w:val="20"/>
          <w:szCs w:val="20"/>
        </w:rPr>
        <w:t xml:space="preserve">  Pending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 xml:space="preserve">to remand the child in custody if no practical alternative [CMIA/s.38J(1) but note that a s.47 certificate is required per CMIA/s.38J(2)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CHILDREN’S COURT CLINIC ETC</w:t>
      </w:r>
      <w:r>
        <w:rPr>
          <w:rFonts w:ascii="Arial" w:hAnsi="Arial" w:cs="Arial"/>
        </w:rPr>
        <w:t xml:space="preserve">  </w:t>
      </w:r>
      <w:r w:rsidRPr="00360462">
        <w:rPr>
          <w:rFonts w:ascii="Arial" w:hAnsi="Arial" w:cs="Arial"/>
          <w:sz w:val="20"/>
          <w:szCs w:val="20"/>
        </w:rPr>
        <w:t>Section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child undergo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41" w:name="_J_PROCEDURE_ON"/>
      <w:bookmarkEnd w:id="241"/>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38Q(1)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Madafferi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r w:rsidRPr="00B65F49">
        <w:rPr>
          <w:rFonts w:ascii="Arial" w:hAnsi="Arial" w:cs="Arial"/>
          <w:i/>
          <w:sz w:val="20"/>
          <w:szCs w:val="20"/>
        </w:rPr>
        <w:t>Kesavarajah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Camurtay</w:t>
      </w:r>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r w:rsidR="00C21D6B" w:rsidRPr="00AE13D0">
        <w:rPr>
          <w:rFonts w:ascii="Arial" w:hAnsi="Arial" w:cs="Arial"/>
          <w:i/>
          <w:iCs/>
          <w:color w:val="000000"/>
          <w:sz w:val="20"/>
        </w:rPr>
        <w:t>Madafferi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R v Yuot</w:t>
      </w:r>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DPP v Yuot</w:t>
      </w:r>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42" w:name="_K_WHAT_HAPPENS"/>
      <w:bookmarkEnd w:id="242"/>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WHAT HAPPENS AFTER AN INVESTIGATION INTO FITNESS?|</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-s.38R(1)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-s.38R(2)</w:t>
      </w:r>
      <w:r w:rsidRPr="00360462">
        <w:rPr>
          <w:rFonts w:ascii="Arial" w:hAnsi="Arial" w:cs="Arial"/>
          <w:color w:val="000000"/>
          <w:sz w:val="20"/>
        </w:rPr>
        <w:t xml:space="preserve">  </w:t>
      </w:r>
      <w:r w:rsidR="006770D4">
        <w:rPr>
          <w:rFonts w:ascii="Arial" w:hAnsi="Arial" w:cs="Arial"/>
          <w:color w:val="000000"/>
          <w:sz w:val="20"/>
        </w:rPr>
        <w:t>The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[CMIA/s.38J(1) but note that a s.47 certificate is required per CMIA/s.38J(2)];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application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-s.38T</w:t>
      </w:r>
      <w:r w:rsidRPr="00360462">
        <w:rPr>
          <w:rFonts w:ascii="Arial" w:hAnsi="Arial" w:cs="Arial"/>
          <w:color w:val="000000"/>
          <w:sz w:val="20"/>
        </w:rPr>
        <w:t xml:space="preserve">  The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s.38R(3)</w:t>
      </w:r>
      <w:r w:rsidRPr="0057148E">
        <w:rPr>
          <w:rFonts w:ascii="Arial" w:hAnsi="Arial" w:cs="Arial"/>
          <w:color w:val="000000"/>
          <w:sz w:val="18"/>
        </w:rPr>
        <w:t xml:space="preserve">  </w:t>
      </w:r>
      <w:r w:rsidRPr="008E111B">
        <w:rPr>
          <w:rFonts w:ascii="Arial" w:hAnsi="Arial" w:cs="Arial"/>
          <w:color w:val="000000"/>
          <w:sz w:val="20"/>
        </w:rPr>
        <w:t>The court must hold a special hearing as soon as possible and in any event within 3 months and may bail/remand or make any other appropriate order for the safe custody of the child.</w:t>
      </w:r>
    </w:p>
    <w:p w14:paraId="41BF37AE" w14:textId="40A5B38B"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he three adult accused were charged with murder.  The deceased was allegedly pushed off a balcony and fell to his death.  All three accused and the deceased were deaf.  Two of the 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43" w:name="_L_SPECIAL_HEARING"/>
      <w:bookmarkEnd w:id="243"/>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-s.38V</w:t>
      </w:r>
      <w:r w:rsidRPr="008E111B">
        <w:rPr>
          <w:rFonts w:ascii="Arial" w:hAnsi="Arial" w:cs="Arial"/>
          <w:sz w:val="20"/>
          <w:szCs w:val="20"/>
        </w:rPr>
        <w:t xml:space="preserve">  The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w:t>
      </w:r>
      <w:r w:rsidRPr="008E111B">
        <w:rPr>
          <w:rFonts w:ascii="Arial" w:hAnsi="Arial" w:cs="Arial"/>
          <w:sz w:val="20"/>
        </w:rPr>
        <w:t xml:space="preserve">  A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-s.38X</w:t>
      </w:r>
      <w:r w:rsidRPr="008E111B">
        <w:rPr>
          <w:rFonts w:ascii="Arial" w:hAnsi="Arial" w:cs="Arial"/>
          <w:sz w:val="20"/>
        </w:rPr>
        <w:t xml:space="preserve">  The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VChC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SUPERVISION|CMIA-s.38Y(5)</w:t>
      </w:r>
      <w:r w:rsidRPr="008E111B">
        <w:rPr>
          <w:rFonts w:ascii="Arial" w:hAnsi="Arial" w:cs="Arial"/>
          <w:color w:val="000000"/>
          <w:sz w:val="20"/>
        </w:rPr>
        <w:t xml:space="preserve">  The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UNCONDITIONALLY|CMIA-s.38Y(6)</w:t>
      </w:r>
      <w:r w:rsidRPr="008E111B">
        <w:rPr>
          <w:rFonts w:ascii="Arial" w:hAnsi="Arial" w:cs="Arial"/>
          <w:color w:val="000000"/>
          <w:sz w:val="20"/>
        </w:rPr>
        <w:t xml:space="preserve">  The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043B20">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Embling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44" w:name="_M_DEFENCE_OF"/>
      <w:bookmarkEnd w:id="244"/>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-s.38ZA(1)</w:t>
      </w:r>
      <w:r w:rsidRPr="008E111B">
        <w:rPr>
          <w:rFonts w:ascii="Arial" w:hAnsi="Arial" w:cs="Arial"/>
          <w:sz w:val="20"/>
        </w:rPr>
        <w:t xml:space="preserve">  The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R v Sebalj</w:t>
      </w:r>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3C52EA54" w14:textId="60A5DC92" w:rsidR="000B63A8" w:rsidRDefault="005A6DC8" w:rsidP="00AB1B85">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DPP v Taleski</w:t>
      </w:r>
      <w:r>
        <w:rPr>
          <w:rFonts w:ascii="Arial" w:hAnsi="Arial" w:cs="Arial"/>
          <w:color w:val="000000"/>
          <w:sz w:val="20"/>
        </w:rPr>
        <w:t xml:space="preserve"> [2007] VSC 183 in which Cavanough J adopted the reasoning in </w:t>
      </w:r>
      <w:r w:rsidRPr="005A6DC8">
        <w:rPr>
          <w:rFonts w:ascii="Arial" w:hAnsi="Arial" w:cs="Arial"/>
          <w:i/>
          <w:color w:val="000000"/>
          <w:sz w:val="20"/>
        </w:rPr>
        <w:t>Sebalj</w:t>
      </w:r>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impairment, murder).</w:t>
      </w:r>
    </w:p>
    <w:p w14:paraId="4654CBFC" w14:textId="22AB7D7F"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38ZC(1)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38ZA(1)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r w:rsidR="00322B0E" w:rsidRPr="00322B0E">
        <w:rPr>
          <w:rFonts w:ascii="Arial" w:hAnsi="Arial" w:cs="Arial"/>
          <w:i/>
          <w:iCs/>
          <w:sz w:val="20"/>
          <w:szCs w:val="22"/>
        </w:rPr>
        <w:t>mens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r w:rsidR="0093792D">
        <w:rPr>
          <w:rFonts w:ascii="Arial" w:hAnsi="Arial" w:cs="Arial"/>
          <w:sz w:val="20"/>
          <w:szCs w:val="20"/>
        </w:rPr>
        <w:t>21 year old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first place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R v Tarantello</w:t>
      </w:r>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r w:rsidR="0018366F">
        <w:rPr>
          <w:rFonts w:ascii="Arial" w:hAnsi="Arial" w:cs="Arial"/>
          <w:sz w:val="20"/>
          <w:szCs w:val="20"/>
        </w:rPr>
        <w:t xml:space="preserve">16 year old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Minani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r w:rsidRPr="00C6733B">
        <w:rPr>
          <w:rFonts w:ascii="Arial" w:hAnsi="Arial" w:cs="Arial"/>
          <w:i/>
          <w:iCs/>
          <w:sz w:val="20"/>
          <w:szCs w:val="20"/>
        </w:rPr>
        <w:t>mens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-s.38ZA(2),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-s.38ZA(2)</w:t>
      </w:r>
      <w:r w:rsidRPr="00F05ECF">
        <w:rPr>
          <w:rFonts w:ascii="Arial" w:hAnsi="Arial" w:cs="Arial"/>
          <w:color w:val="000000"/>
          <w:sz w:val="20"/>
        </w:rPr>
        <w:t xml:space="preserve">  </w:t>
      </w:r>
      <w:r w:rsidRPr="00F05ECF">
        <w:rPr>
          <w:rFonts w:ascii="Arial" w:hAnsi="Arial" w:cs="Arial"/>
          <w:sz w:val="20"/>
        </w:rPr>
        <w:t xml:space="preserve">If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-s.5A(3)</w:t>
      </w:r>
      <w:r w:rsidRPr="00F05ECF">
        <w:rPr>
          <w:rFonts w:ascii="Arial" w:hAnsi="Arial" w:cs="Arial"/>
          <w:color w:val="000000"/>
          <w:sz w:val="20"/>
        </w:rPr>
        <w:t xml:space="preserve">  The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-s.38ZD(1)</w:t>
      </w:r>
      <w:r w:rsidRPr="00F05ECF">
        <w:rPr>
          <w:rFonts w:ascii="Arial" w:hAnsi="Arial" w:cs="Arial"/>
          <w:color w:val="000000"/>
          <w:sz w:val="20"/>
          <w:szCs w:val="20"/>
        </w:rPr>
        <w:t xml:space="preserve">  If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SUPERVISION|CMIA-s.38ZD(2)</w:t>
      </w:r>
      <w:r w:rsidRPr="00F05ECF">
        <w:rPr>
          <w:rFonts w:ascii="Arial" w:hAnsi="Arial" w:cs="Arial"/>
          <w:color w:val="000000"/>
          <w:sz w:val="20"/>
        </w:rPr>
        <w:t xml:space="preserve">  [Same wording as CMIA-s.38Y(5)]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at [13]-[14], Judge Chambers declared that KR was liable to supervision, having accepted that such a declaration was necessary having regard to the above criteria in s.38</w:t>
      </w:r>
      <w:r w:rsidR="005A4691">
        <w:rPr>
          <w:rFonts w:ascii="Arial" w:hAnsi="Arial" w:cs="Arial"/>
          <w:sz w:val="20"/>
          <w:szCs w:val="20"/>
        </w:rPr>
        <w:t>Z</w:t>
      </w:r>
      <w:r>
        <w:rPr>
          <w:rFonts w:ascii="Arial" w:hAnsi="Arial" w:cs="Arial"/>
          <w:sz w:val="20"/>
          <w:szCs w:val="20"/>
        </w:rPr>
        <w:t>D(2).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UNCONDITIONALLY|CMIA-s.38ZD(3)</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[Same wording as CMIA-s.38Y(6)] The court must not order a child to be released 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45" w:name="_N_DISPOSITION_OF"/>
      <w:bookmarkEnd w:id="245"/>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-s.38ZH</w:t>
      </w:r>
      <w:r w:rsidRPr="00E10380">
        <w:rPr>
          <w:rFonts w:ascii="Arial" w:hAnsi="Arial" w:cs="Arial"/>
          <w:sz w:val="20"/>
        </w:rPr>
        <w:t xml:space="preserve">  If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protection of the child or the community.</w:t>
      </w:r>
      <w:r w:rsidR="0059687C">
        <w:rPr>
          <w:rFonts w:ascii="Arial" w:hAnsi="Arial" w:cs="Arial"/>
          <w:color w:val="000000"/>
          <w:sz w:val="20"/>
        </w:rPr>
        <w:t xml:space="preserve">  The court has no power to include conditions on a custodial supervision order,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w:t>
      </w:r>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However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[s.38ZH(4)].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247CA4EF" w14:textId="7C319FF2" w:rsidR="001916D0" w:rsidRDefault="001916D0" w:rsidP="001916D0">
      <w:pPr>
        <w:spacing w:before="60"/>
        <w:ind w:left="284"/>
        <w:jc w:val="both"/>
        <w:rPr>
          <w:rFonts w:ascii="Arial" w:hAnsi="Arial" w:cs="Arial"/>
          <w:sz w:val="20"/>
          <w:szCs w:val="20"/>
        </w:rPr>
      </w:pPr>
      <w:r>
        <w:rPr>
          <w:rFonts w:ascii="Arial" w:hAnsi="Arial" w:cs="Arial"/>
          <w:sz w:val="20"/>
          <w:szCs w:val="20"/>
        </w:rPr>
        <w:t xml:space="preserve">See </w:t>
      </w: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p>
    <w:p w14:paraId="08B1B515" w14:textId="77777777" w:rsidR="001916D0" w:rsidRPr="00F05ECF" w:rsidRDefault="001916D0"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46" w:name="_O_REPORTS_AS"/>
      <w:bookmarkEnd w:id="246"/>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47" w:name="_P_CERTIFICATE_OF"/>
      <w:bookmarkEnd w:id="247"/>
      <w:r>
        <w:rPr>
          <w:rFonts w:ascii="Arial" w:hAnsi="Arial" w:cs="Arial"/>
          <w:b/>
          <w:color w:val="FFFFFF"/>
          <w:sz w:val="22"/>
          <w:shd w:val="clear" w:color="auto" w:fill="000000"/>
        </w:rPr>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[s.47(1)(ab)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The court has been advised that this will simply state that there is a remand bed available.  What happens if there is not has not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48" w:name="_Q_VARIATION,_REVOCATION,"/>
      <w:bookmarkEnd w:id="248"/>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pPr>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38ZP</w:t>
      </w:r>
      <w:r w:rsidRPr="00F05ECF">
        <w:rPr>
          <w:rFonts w:ascii="Arial" w:hAnsi="Arial" w:cs="Arial"/>
          <w:color w:val="000000"/>
          <w:sz w:val="20"/>
          <w:szCs w:val="20"/>
        </w:rPr>
        <w:t xml:space="preserve">  The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[ss.38ZO(1) + 38ZO(2)]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38ZO(3)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Taking into account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t xml:space="preserve">In </w:t>
      </w:r>
      <w:bookmarkStart w:id="249"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49"/>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60 year old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r w:rsidRPr="004A61D9">
        <w:rPr>
          <w:rFonts w:ascii="Arial" w:hAnsi="Arial" w:cs="Arial"/>
          <w:i/>
          <w:iCs/>
          <w:sz w:val="20"/>
          <w:szCs w:val="20"/>
        </w:rPr>
        <w:t>Briginshaw v Briginshaw</w:t>
      </w:r>
      <w:r w:rsidR="004A61D9">
        <w:rPr>
          <w:rFonts w:ascii="Arial" w:hAnsi="Arial" w:cs="Arial"/>
          <w:sz w:val="20"/>
          <w:szCs w:val="20"/>
        </w:rPr>
        <w:t xml:space="preserve"> Ibid at [74] &amp; [89] citing (1938) 60 CLR 336.”</w:t>
      </w:r>
    </w:p>
    <w:p w14:paraId="78659927" w14:textId="6C85E80F"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50"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51"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51"/>
    </w:p>
    <w:bookmarkEnd w:id="250"/>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75 year old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[95] that the risk posed by Mr Stefanovic “is so minimal to the extent that it is almost non-existent in any realistic sense.  Accordingly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3D25A7D6"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Re Kozarov</w:t>
      </w:r>
      <w:r w:rsidR="00F9126E">
        <w:rPr>
          <w:rFonts w:ascii="Arial" w:hAnsi="Arial" w:cs="Arial"/>
          <w:color w:val="000000"/>
          <w:sz w:val="20"/>
          <w:szCs w:val="20"/>
        </w:rPr>
        <w:t xml:space="preserve"> [2025] VSC 439</w:t>
      </w:r>
      <w:r w:rsidR="00EE58C1">
        <w:rPr>
          <w:rFonts w:ascii="Arial" w:hAnsi="Arial" w:cs="Arial"/>
          <w:color w:val="000000"/>
          <w:sz w:val="20"/>
          <w:szCs w:val="20"/>
        </w:rPr>
        <w:t>.</w:t>
      </w:r>
    </w:p>
    <w:p w14:paraId="5781FDF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52" w:name="_R_NON-COMPLIANCE_WITH"/>
      <w:bookmarkEnd w:id="252"/>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State">
        <w:smartTag w:uri="urn:schemas-microsoft-com:office:smarttags" w:element="plac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53" w:name="_S_AGE_JURISDICTION|CMIA-s.38ZG"/>
      <w:bookmarkEnd w:id="253"/>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54" w:name="_T_PRINCIPLES_ON"/>
      <w:bookmarkEnd w:id="254"/>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55" w:name="_U_MATTERS_TO"/>
      <w:bookmarkEnd w:id="255"/>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r w:rsidR="00557790" w:rsidRPr="00557790">
        <w:rPr>
          <w:rFonts w:ascii="Arial" w:hAnsi="Arial" w:cs="Arial"/>
          <w:i/>
          <w:sz w:val="20"/>
        </w:rPr>
        <w:t>Norbis v Norbis</w:t>
      </w:r>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In the Marriage of D A and C A Benedich</w:t>
      </w:r>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others’.  This serves to emphasise that the focus is upon the extent of the chance, risk or peril of some harm materialising.  If the harm or injury which is likely to result if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56" w:name="_V_APPEALS|CMIA-Part_5A"/>
      <w:bookmarkEnd w:id="256"/>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57" w:name="_V_SUPPRESSION_ORDER|CMIA-s.75"/>
      <w:bookmarkEnd w:id="257"/>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“It was clear that the public interest fell in favour of releasing RD from the non-custodial supervision order and for the suppression order…made on 3 December 2014 by the 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7B75A8">
      <w:pPr>
        <w:keepNext/>
        <w:keepLines/>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58" w:name="_10.7_Court_diversion"/>
      <w:bookmarkEnd w:id="258"/>
      <w:r>
        <w:rPr>
          <w:rFonts w:ascii="Arial" w:hAnsi="Arial" w:cs="Arial"/>
          <w:b/>
          <w:bCs/>
        </w:rPr>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59" w:name="_A_OFFENCES_FOR"/>
      <w:bookmarkEnd w:id="259"/>
      <w:r w:rsidRPr="00AD22D9">
        <w:rPr>
          <w:rFonts w:ascii="Arial" w:hAnsi="Arial" w:cs="Arial"/>
          <w:b/>
          <w:color w:val="FFFFFF"/>
          <w:sz w:val="22"/>
          <w:shd w:val="clear" w:color="auto" w:fill="000000"/>
        </w:rPr>
        <w:t>A</w:t>
      </w:r>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60" w:name="_B_PURPOSES_OF"/>
      <w:bookmarkEnd w:id="260"/>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low risk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61" w:name="_C_PRE-CONDITIONS_FOR"/>
      <w:bookmarkEnd w:id="261"/>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356D(2)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62" w:name="_D_ADJOURNMENT_TO"/>
      <w:bookmarkEnd w:id="262"/>
      <w:r>
        <w:rPr>
          <w:rFonts w:ascii="Arial" w:hAnsi="Arial" w:cs="Arial"/>
          <w:b/>
          <w:color w:val="FFFFFF"/>
          <w:sz w:val="22"/>
          <w:shd w:val="clear" w:color="auto" w:fill="000000"/>
        </w:rPr>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r w:rsidR="00556471">
        <w:rPr>
          <w:rFonts w:ascii="Arial" w:hAnsi="Arial" w:cs="Arial"/>
          <w:sz w:val="20"/>
        </w:rPr>
        <w:t>D</w:t>
      </w:r>
      <w:r>
        <w:rPr>
          <w:rFonts w:ascii="Arial" w:hAnsi="Arial" w:cs="Arial"/>
          <w:sz w:val="20"/>
        </w:rPr>
        <w:t>(</w:t>
      </w:r>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63" w:name="_E_MATTERS_TO"/>
      <w:bookmarkEnd w:id="263"/>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356G(1)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achievable by the child and measureable;</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64" w:name="_F_THE_CHILDREN’S"/>
      <w:bookmarkEnd w:id="264"/>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provided assistance to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65" w:name="_G_EXTENSION_OF"/>
      <w:bookmarkEnd w:id="265"/>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66" w:name="_H_CONCLUSION_OF"/>
      <w:bookmarkEnd w:id="266"/>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356I(1)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 xml:space="preserve">Section 356I(2) provides that if a child does not complete a diversion program to the satisfaction of the Court and the child is subsequently found guilty of the charge, the Court must take into account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67" w:name="_K_STATISTICS"/>
      <w:bookmarkStart w:id="268" w:name="_I_DIVERSION_STATISTICS"/>
      <w:bookmarkEnd w:id="267"/>
      <w:bookmarkEnd w:id="268"/>
      <w:r>
        <w:rPr>
          <w:rFonts w:ascii="Arial" w:hAnsi="Arial" w:cs="Arial"/>
          <w:b/>
          <w:color w:val="FFFFFF"/>
          <w:sz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E11735">
        <w:tc>
          <w:tcPr>
            <w:tcW w:w="9179" w:type="dxa"/>
            <w:gridSpan w:val="2"/>
            <w:shd w:val="clear" w:color="auto" w:fill="000000"/>
          </w:tcPr>
          <w:p w14:paraId="795C2348" w14:textId="77777777" w:rsidR="00CC4BE9" w:rsidRPr="00EC24DC" w:rsidRDefault="00CC4BE9" w:rsidP="00E11735">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E11735">
        <w:tc>
          <w:tcPr>
            <w:tcW w:w="1242" w:type="dxa"/>
            <w:shd w:val="clear" w:color="auto" w:fill="000000"/>
          </w:tcPr>
          <w:p w14:paraId="66767D57" w14:textId="77777777" w:rsidR="00CC4BE9" w:rsidRPr="002F0C63" w:rsidRDefault="00CC4BE9" w:rsidP="00E11735">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E11735">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E11735">
        <w:tc>
          <w:tcPr>
            <w:tcW w:w="1242" w:type="dxa"/>
            <w:shd w:val="clear" w:color="auto" w:fill="000000"/>
          </w:tcPr>
          <w:p w14:paraId="32D69840" w14:textId="77777777" w:rsidR="00CC4BE9" w:rsidRPr="002F0C63" w:rsidRDefault="00CC4BE9" w:rsidP="00E11735">
            <w:pPr>
              <w:spacing w:before="40"/>
              <w:jc w:val="center"/>
              <w:rPr>
                <w:rFonts w:ascii="Arial" w:hAnsi="Arial" w:cs="Arial"/>
                <w:b/>
                <w:bCs/>
                <w:sz w:val="22"/>
                <w:szCs w:val="22"/>
              </w:rPr>
            </w:pPr>
            <w:r w:rsidRPr="002F0C63">
              <w:rPr>
                <w:rFonts w:ascii="Arial" w:hAnsi="Arial" w:cs="Arial"/>
                <w:b/>
                <w:bCs/>
                <w:sz w:val="22"/>
                <w:szCs w:val="22"/>
              </w:rPr>
              <w:t>2018</w:t>
            </w:r>
            <w:r>
              <w:rPr>
                <w:rFonts w:ascii="Arial" w:hAnsi="Arial" w:cs="Arial"/>
                <w:b/>
                <w:bCs/>
                <w:sz w:val="22"/>
                <w:szCs w:val="22"/>
              </w:rPr>
              <w:t>/19</w:t>
            </w:r>
          </w:p>
        </w:tc>
        <w:tc>
          <w:tcPr>
            <w:tcW w:w="7937" w:type="dxa"/>
            <w:shd w:val="clear" w:color="auto" w:fill="DDDDDD"/>
          </w:tcPr>
          <w:p w14:paraId="6D9BAA49" w14:textId="77777777" w:rsidR="00CC4BE9" w:rsidRPr="002F0C63" w:rsidRDefault="00CC4BE9" w:rsidP="00E11735">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 total of 88% were born in Australia and of these 12% identified as Aboriginal or Torres Strait Islander or both.</w:t>
            </w:r>
          </w:p>
        </w:tc>
      </w:tr>
      <w:tr w:rsidR="00CC4BE9" w:rsidRPr="002F0C63" w14:paraId="5A6BE529" w14:textId="77777777" w:rsidTr="00E11735">
        <w:tc>
          <w:tcPr>
            <w:tcW w:w="1242" w:type="dxa"/>
            <w:shd w:val="clear" w:color="auto" w:fill="000000"/>
          </w:tcPr>
          <w:p w14:paraId="5071E955" w14:textId="77777777" w:rsidR="00CC4BE9" w:rsidRPr="002F0C63" w:rsidRDefault="00CC4BE9" w:rsidP="00E11735">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77777777" w:rsidR="00CC4BE9" w:rsidRPr="002F0C63" w:rsidRDefault="00CC4BE9" w:rsidP="00E11735">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77777777" w:rsidR="00CC4BE9" w:rsidRPr="00D247BF" w:rsidRDefault="00CC4BE9" w:rsidP="00E11735">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77777777" w:rsidR="00CC4BE9" w:rsidRPr="00E7147E" w:rsidRDefault="00CC4BE9" w:rsidP="00E11735">
            <w:pPr>
              <w:spacing w:before="40" w:after="40"/>
              <w:jc w:val="center"/>
              <w:rPr>
                <w:rFonts w:ascii="Arial" w:hAnsi="Arial" w:cs="Arial"/>
                <w:b/>
                <w:bCs/>
                <w:sz w:val="20"/>
                <w:szCs w:val="20"/>
              </w:rPr>
            </w:pPr>
            <w:r>
              <w:rPr>
                <w:rFonts w:ascii="Arial" w:hAnsi="Arial" w:cs="Arial"/>
                <w:b/>
                <w:bCs/>
                <w:sz w:val="20"/>
                <w:szCs w:val="20"/>
              </w:rPr>
              <w:t>N/A</w:t>
            </w:r>
          </w:p>
        </w:tc>
      </w:tr>
      <w:tr w:rsidR="00CC4BE9" w:rsidRPr="002908DC" w14:paraId="3BFCC925"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77777777" w:rsidR="00CC4BE9" w:rsidRPr="00F46B9E" w:rsidRDefault="00CC4BE9" w:rsidP="00E11735">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69" w:name="_Hlk148944254"/>
            <w:r w:rsidRPr="00F46B9E">
              <w:rPr>
                <w:rFonts w:ascii="Arial" w:hAnsi="Arial" w:cs="Arial"/>
                <w:sz w:val="20"/>
                <w:szCs w:val="20"/>
              </w:rPr>
              <w:t xml:space="preserve">Excluding uncompleted diversions, 98% of diversion plans were successfully completed.  </w:t>
            </w:r>
            <w:bookmarkEnd w:id="269"/>
            <w:r w:rsidRPr="00F46B9E">
              <w:rPr>
                <w:rFonts w:ascii="Arial" w:hAnsi="Arial" w:cs="Arial"/>
                <w:sz w:val="20"/>
                <w:szCs w:val="20"/>
              </w:rPr>
              <w:t>By comparison there were 886 cases in which sentencing orders were made.</w:t>
            </w:r>
          </w:p>
        </w:tc>
      </w:tr>
      <w:tr w:rsidR="00CC4BE9" w:rsidRPr="002908DC" w14:paraId="1E54720E"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5B8F2A3E" w14:textId="77777777" w:rsidR="00CC4BE9" w:rsidRPr="00E7147E" w:rsidRDefault="00CC4BE9" w:rsidP="00E11735">
            <w:pPr>
              <w:spacing w:before="40" w:after="40"/>
              <w:jc w:val="both"/>
              <w:rPr>
                <w:rFonts w:ascii="Arial" w:hAnsi="Arial" w:cs="Arial"/>
                <w:b/>
                <w:bCs/>
                <w:sz w:val="20"/>
                <w:szCs w:val="20"/>
              </w:rPr>
            </w:pPr>
            <w:r w:rsidRPr="00F46B9E">
              <w:rPr>
                <w:rFonts w:ascii="Arial" w:hAnsi="Arial" w:cs="Arial"/>
                <w:b/>
                <w:bCs/>
                <w:sz w:val="20"/>
                <w:szCs w:val="20"/>
              </w:rPr>
              <w:t>1215 diversions</w:t>
            </w:r>
            <w:r>
              <w:rPr>
                <w:rFonts w:ascii="Arial" w:hAnsi="Arial" w:cs="Arial"/>
                <w:b/>
                <w:bCs/>
                <w:sz w:val="20"/>
                <w:szCs w:val="20"/>
              </w:rPr>
              <w:t xml:space="preserve"> were ordered. Excluding uncompleted diversions</w:t>
            </w:r>
            <w:r w:rsidRPr="00F46B9E">
              <w:rPr>
                <w:rFonts w:ascii="Arial" w:hAnsi="Arial" w:cs="Arial"/>
                <w:b/>
                <w:bCs/>
                <w:sz w:val="20"/>
                <w:szCs w:val="20"/>
              </w:rPr>
              <w:t xml:space="preserve">, 98% </w:t>
            </w:r>
            <w:r>
              <w:rPr>
                <w:rFonts w:ascii="Arial" w:hAnsi="Arial" w:cs="Arial"/>
                <w:b/>
                <w:bCs/>
                <w:sz w:val="20"/>
                <w:szCs w:val="20"/>
              </w:rPr>
              <w:t>of the diversion plans were successfully completed. By comparison there were 803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295"/>
        <w:gridCol w:w="2295"/>
        <w:gridCol w:w="2295"/>
      </w:tblGrid>
      <w:tr w:rsidR="003725A5" w:rsidRPr="002F0C63" w14:paraId="20BB1877" w14:textId="77777777" w:rsidTr="00CE2EA1">
        <w:tc>
          <w:tcPr>
            <w:tcW w:w="9179" w:type="dxa"/>
            <w:gridSpan w:val="4"/>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70" w:name="_J_SECRETARY_HAS"/>
            <w:bookmarkEnd w:id="270"/>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2F0C63" w14:paraId="7B15A8B6" w14:textId="77777777" w:rsidTr="00C57C9F">
        <w:tc>
          <w:tcPr>
            <w:tcW w:w="4589" w:type="dxa"/>
            <w:gridSpan w:val="2"/>
            <w:shd w:val="clear" w:color="auto" w:fill="DDDDDD"/>
          </w:tcPr>
          <w:p w14:paraId="257E6D27" w14:textId="06F5B00F" w:rsidR="00C57C9F" w:rsidRDefault="00C57C9F" w:rsidP="00CE2EA1">
            <w:pPr>
              <w:spacing w:before="40" w:after="40"/>
              <w:jc w:val="center"/>
              <w:rPr>
                <w:rFonts w:ascii="Arial" w:hAnsi="Arial" w:cs="Arial"/>
                <w:b/>
                <w:bCs/>
                <w:sz w:val="20"/>
                <w:szCs w:val="20"/>
              </w:rPr>
            </w:pPr>
            <w:r>
              <w:rPr>
                <w:rFonts w:ascii="Arial" w:hAnsi="Arial" w:cs="Arial"/>
                <w:b/>
                <w:bCs/>
                <w:sz w:val="20"/>
                <w:szCs w:val="20"/>
              </w:rPr>
              <w:t>DEMOGRAPHIC CHARACTERISTICS</w:t>
            </w:r>
          </w:p>
        </w:tc>
        <w:tc>
          <w:tcPr>
            <w:tcW w:w="4590" w:type="dxa"/>
            <w:gridSpan w:val="2"/>
            <w:shd w:val="clear" w:color="auto" w:fill="DDDDDD"/>
          </w:tcPr>
          <w:p w14:paraId="12023E1D" w14:textId="02410AEA" w:rsidR="00C57C9F" w:rsidRDefault="00C57C9F" w:rsidP="00CE2EA1">
            <w:pPr>
              <w:spacing w:before="40" w:after="40"/>
              <w:jc w:val="center"/>
              <w:rPr>
                <w:rFonts w:ascii="Arial" w:hAnsi="Arial" w:cs="Arial"/>
                <w:b/>
                <w:bCs/>
                <w:sz w:val="20"/>
                <w:szCs w:val="20"/>
              </w:rPr>
            </w:pPr>
            <w:r>
              <w:rPr>
                <w:rFonts w:ascii="Arial" w:hAnsi="Arial" w:cs="Arial"/>
                <w:b/>
                <w:bCs/>
                <w:sz w:val="20"/>
                <w:szCs w:val="20"/>
              </w:rPr>
              <w:t>UNIQUE PARTICIPANTS</w:t>
            </w:r>
          </w:p>
        </w:tc>
      </w:tr>
      <w:tr w:rsidR="003725A5" w:rsidRPr="002F0C63" w14:paraId="29D6417E" w14:textId="77777777" w:rsidTr="00CE2EA1">
        <w:tc>
          <w:tcPr>
            <w:tcW w:w="2294" w:type="dxa"/>
          </w:tcPr>
          <w:p w14:paraId="7831B1C1" w14:textId="77777777" w:rsidR="003725A5" w:rsidRDefault="003725A5" w:rsidP="00CE2EA1">
            <w:pPr>
              <w:spacing w:before="40" w:after="40"/>
              <w:jc w:val="center"/>
              <w:rPr>
                <w:rFonts w:ascii="Arial" w:hAnsi="Arial" w:cs="Arial"/>
                <w:b/>
                <w:bCs/>
                <w:sz w:val="20"/>
                <w:szCs w:val="20"/>
              </w:rPr>
            </w:pPr>
          </w:p>
        </w:tc>
        <w:tc>
          <w:tcPr>
            <w:tcW w:w="2295" w:type="dxa"/>
          </w:tcPr>
          <w:p w14:paraId="257D2995" w14:textId="77777777" w:rsidR="003725A5" w:rsidRDefault="003725A5" w:rsidP="00CE2EA1">
            <w:pPr>
              <w:spacing w:before="40" w:after="40"/>
              <w:jc w:val="center"/>
              <w:rPr>
                <w:rFonts w:ascii="Arial" w:hAnsi="Arial" w:cs="Arial"/>
                <w:b/>
                <w:bCs/>
                <w:sz w:val="20"/>
                <w:szCs w:val="20"/>
              </w:rPr>
            </w:pPr>
          </w:p>
        </w:tc>
        <w:tc>
          <w:tcPr>
            <w:tcW w:w="2295" w:type="dxa"/>
          </w:tcPr>
          <w:p w14:paraId="4DB10555" w14:textId="29B3381B" w:rsidR="003725A5" w:rsidRDefault="00C57C9F" w:rsidP="00CE2EA1">
            <w:pPr>
              <w:spacing w:before="40" w:after="40"/>
              <w:jc w:val="center"/>
              <w:rPr>
                <w:rFonts w:ascii="Arial" w:hAnsi="Arial" w:cs="Arial"/>
                <w:b/>
                <w:bCs/>
                <w:sz w:val="20"/>
                <w:szCs w:val="20"/>
              </w:rPr>
            </w:pPr>
            <w:r>
              <w:rPr>
                <w:rFonts w:ascii="Arial" w:hAnsi="Arial" w:cs="Arial"/>
                <w:b/>
                <w:bCs/>
                <w:sz w:val="20"/>
                <w:szCs w:val="20"/>
              </w:rPr>
              <w:t>n</w:t>
            </w:r>
          </w:p>
        </w:tc>
        <w:tc>
          <w:tcPr>
            <w:tcW w:w="2295" w:type="dxa"/>
          </w:tcPr>
          <w:p w14:paraId="1B265D4E" w14:textId="5B7C358E" w:rsidR="003725A5" w:rsidRDefault="00C57C9F" w:rsidP="00CE2EA1">
            <w:pPr>
              <w:spacing w:before="40" w:after="40"/>
              <w:jc w:val="center"/>
              <w:rPr>
                <w:rFonts w:ascii="Arial" w:hAnsi="Arial" w:cs="Arial"/>
                <w:b/>
                <w:bCs/>
                <w:sz w:val="20"/>
                <w:szCs w:val="20"/>
              </w:rPr>
            </w:pPr>
            <w:r>
              <w:rPr>
                <w:rFonts w:ascii="Arial" w:hAnsi="Arial" w:cs="Arial"/>
                <w:b/>
                <w:bCs/>
                <w:sz w:val="20"/>
                <w:szCs w:val="20"/>
              </w:rPr>
              <w:t>%</w:t>
            </w:r>
          </w:p>
        </w:tc>
      </w:tr>
      <w:tr w:rsidR="00C57C9F" w:rsidRPr="002F0C63" w14:paraId="483634F3" w14:textId="77777777" w:rsidTr="00C57C9F">
        <w:tc>
          <w:tcPr>
            <w:tcW w:w="4589" w:type="dxa"/>
            <w:gridSpan w:val="2"/>
            <w:shd w:val="clear" w:color="auto" w:fill="DDDDDD"/>
          </w:tcPr>
          <w:p w14:paraId="00959331" w14:textId="76D10E34" w:rsidR="00C57C9F" w:rsidRDefault="00C57C9F" w:rsidP="00CE2EA1">
            <w:pPr>
              <w:spacing w:before="40" w:after="40"/>
              <w:jc w:val="center"/>
              <w:rPr>
                <w:rFonts w:ascii="Arial" w:hAnsi="Arial" w:cs="Arial"/>
                <w:b/>
                <w:bCs/>
                <w:sz w:val="20"/>
                <w:szCs w:val="20"/>
              </w:rPr>
            </w:pPr>
            <w:r>
              <w:rPr>
                <w:rFonts w:ascii="Arial" w:hAnsi="Arial" w:cs="Arial"/>
                <w:b/>
                <w:bCs/>
                <w:sz w:val="20"/>
                <w:szCs w:val="20"/>
              </w:rPr>
              <w:t>GENDER</w:t>
            </w:r>
          </w:p>
        </w:tc>
        <w:tc>
          <w:tcPr>
            <w:tcW w:w="2295" w:type="dxa"/>
            <w:shd w:val="clear" w:color="auto" w:fill="DDDDDD"/>
          </w:tcPr>
          <w:p w14:paraId="053C7940" w14:textId="77777777" w:rsidR="00C57C9F" w:rsidRDefault="00C57C9F" w:rsidP="00CE2EA1">
            <w:pPr>
              <w:spacing w:before="40" w:after="40"/>
              <w:jc w:val="center"/>
              <w:rPr>
                <w:rFonts w:ascii="Arial" w:hAnsi="Arial" w:cs="Arial"/>
                <w:b/>
                <w:bCs/>
                <w:sz w:val="20"/>
                <w:szCs w:val="20"/>
              </w:rPr>
            </w:pPr>
          </w:p>
        </w:tc>
        <w:tc>
          <w:tcPr>
            <w:tcW w:w="2295" w:type="dxa"/>
            <w:shd w:val="clear" w:color="auto" w:fill="DDDDDD"/>
          </w:tcPr>
          <w:p w14:paraId="7C04336F" w14:textId="77777777" w:rsidR="00C57C9F" w:rsidRDefault="00C57C9F" w:rsidP="00CE2EA1">
            <w:pPr>
              <w:spacing w:before="40" w:after="40"/>
              <w:jc w:val="center"/>
              <w:rPr>
                <w:rFonts w:ascii="Arial" w:hAnsi="Arial" w:cs="Arial"/>
                <w:b/>
                <w:bCs/>
                <w:sz w:val="20"/>
                <w:szCs w:val="20"/>
              </w:rPr>
            </w:pPr>
          </w:p>
        </w:tc>
      </w:tr>
      <w:tr w:rsidR="00C57C9F" w:rsidRPr="002F0C63" w14:paraId="564ABB76" w14:textId="77777777" w:rsidTr="00CE2EA1">
        <w:tc>
          <w:tcPr>
            <w:tcW w:w="4589" w:type="dxa"/>
            <w:gridSpan w:val="2"/>
          </w:tcPr>
          <w:p w14:paraId="6F88DCC6" w14:textId="1E56A4CE" w:rsidR="00C57C9F" w:rsidRDefault="00C57C9F" w:rsidP="00CE2EA1">
            <w:pPr>
              <w:spacing w:before="40" w:after="40"/>
              <w:jc w:val="center"/>
              <w:rPr>
                <w:rFonts w:ascii="Arial" w:hAnsi="Arial" w:cs="Arial"/>
                <w:b/>
                <w:bCs/>
                <w:sz w:val="20"/>
                <w:szCs w:val="20"/>
              </w:rPr>
            </w:pPr>
            <w:r>
              <w:rPr>
                <w:rFonts w:ascii="Arial" w:hAnsi="Arial" w:cs="Arial"/>
                <w:b/>
                <w:bCs/>
                <w:sz w:val="20"/>
                <w:szCs w:val="20"/>
              </w:rPr>
              <w:t>Female</w:t>
            </w:r>
          </w:p>
        </w:tc>
        <w:tc>
          <w:tcPr>
            <w:tcW w:w="2295" w:type="dxa"/>
          </w:tcPr>
          <w:p w14:paraId="708A8253" w14:textId="2A099D95" w:rsidR="00C57C9F" w:rsidRDefault="00C57C9F" w:rsidP="00CE2EA1">
            <w:pPr>
              <w:spacing w:before="40" w:after="40"/>
              <w:jc w:val="center"/>
              <w:rPr>
                <w:rFonts w:ascii="Arial" w:hAnsi="Arial" w:cs="Arial"/>
                <w:b/>
                <w:bCs/>
                <w:sz w:val="20"/>
                <w:szCs w:val="20"/>
              </w:rPr>
            </w:pPr>
            <w:r>
              <w:rPr>
                <w:rFonts w:ascii="Arial" w:hAnsi="Arial" w:cs="Arial"/>
                <w:b/>
                <w:bCs/>
                <w:sz w:val="20"/>
                <w:szCs w:val="20"/>
              </w:rPr>
              <w:t>1,210</w:t>
            </w:r>
          </w:p>
        </w:tc>
        <w:tc>
          <w:tcPr>
            <w:tcW w:w="2295" w:type="dxa"/>
          </w:tcPr>
          <w:p w14:paraId="0CB6A7A9" w14:textId="433408B6" w:rsidR="00C57C9F" w:rsidRDefault="00C57C9F" w:rsidP="00CE2EA1">
            <w:pPr>
              <w:spacing w:before="40" w:after="40"/>
              <w:jc w:val="center"/>
              <w:rPr>
                <w:rFonts w:ascii="Arial" w:hAnsi="Arial" w:cs="Arial"/>
                <w:b/>
                <w:bCs/>
                <w:sz w:val="20"/>
                <w:szCs w:val="20"/>
              </w:rPr>
            </w:pPr>
            <w:r>
              <w:rPr>
                <w:rFonts w:ascii="Arial" w:hAnsi="Arial" w:cs="Arial"/>
                <w:b/>
                <w:bCs/>
                <w:sz w:val="20"/>
                <w:szCs w:val="20"/>
              </w:rPr>
              <w:t>28.9</w:t>
            </w:r>
          </w:p>
        </w:tc>
      </w:tr>
      <w:tr w:rsidR="00C57C9F" w:rsidRPr="002F0C63" w14:paraId="4AEED36A" w14:textId="77777777" w:rsidTr="00CE2EA1">
        <w:tc>
          <w:tcPr>
            <w:tcW w:w="4589" w:type="dxa"/>
            <w:gridSpan w:val="2"/>
          </w:tcPr>
          <w:p w14:paraId="70DEAACA" w14:textId="1F1BA4AE" w:rsidR="00C57C9F" w:rsidRDefault="00C57C9F" w:rsidP="00CE2EA1">
            <w:pPr>
              <w:spacing w:before="40" w:after="40"/>
              <w:jc w:val="center"/>
              <w:rPr>
                <w:rFonts w:ascii="Arial" w:hAnsi="Arial" w:cs="Arial"/>
                <w:b/>
                <w:bCs/>
                <w:sz w:val="20"/>
                <w:szCs w:val="20"/>
              </w:rPr>
            </w:pPr>
            <w:r>
              <w:rPr>
                <w:rFonts w:ascii="Arial" w:hAnsi="Arial" w:cs="Arial"/>
                <w:b/>
                <w:bCs/>
                <w:sz w:val="20"/>
                <w:szCs w:val="20"/>
              </w:rPr>
              <w:t>Male</w:t>
            </w:r>
          </w:p>
        </w:tc>
        <w:tc>
          <w:tcPr>
            <w:tcW w:w="2295" w:type="dxa"/>
          </w:tcPr>
          <w:p w14:paraId="294B0BDC" w14:textId="33EBB60B" w:rsidR="00C57C9F" w:rsidRDefault="00C57C9F" w:rsidP="00CE2EA1">
            <w:pPr>
              <w:spacing w:before="40" w:after="40"/>
              <w:jc w:val="center"/>
              <w:rPr>
                <w:rFonts w:ascii="Arial" w:hAnsi="Arial" w:cs="Arial"/>
                <w:b/>
                <w:bCs/>
                <w:sz w:val="20"/>
                <w:szCs w:val="20"/>
              </w:rPr>
            </w:pPr>
            <w:r>
              <w:rPr>
                <w:rFonts w:ascii="Arial" w:hAnsi="Arial" w:cs="Arial"/>
                <w:b/>
                <w:bCs/>
                <w:sz w:val="20"/>
                <w:szCs w:val="20"/>
              </w:rPr>
              <w:t>2,977</w:t>
            </w:r>
          </w:p>
        </w:tc>
        <w:tc>
          <w:tcPr>
            <w:tcW w:w="2295" w:type="dxa"/>
          </w:tcPr>
          <w:p w14:paraId="3F12AFCB" w14:textId="38975AFE" w:rsidR="00C57C9F" w:rsidRDefault="00C57C9F" w:rsidP="00CE2EA1">
            <w:pPr>
              <w:spacing w:before="40" w:after="40"/>
              <w:jc w:val="center"/>
              <w:rPr>
                <w:rFonts w:ascii="Arial" w:hAnsi="Arial" w:cs="Arial"/>
                <w:b/>
                <w:bCs/>
                <w:sz w:val="20"/>
                <w:szCs w:val="20"/>
              </w:rPr>
            </w:pPr>
            <w:r>
              <w:rPr>
                <w:rFonts w:ascii="Arial" w:hAnsi="Arial" w:cs="Arial"/>
                <w:b/>
                <w:bCs/>
                <w:sz w:val="20"/>
                <w:szCs w:val="20"/>
              </w:rPr>
              <w:t>71.1</w:t>
            </w:r>
          </w:p>
        </w:tc>
      </w:tr>
      <w:tr w:rsidR="00C57C9F" w:rsidRPr="002F0C63" w14:paraId="100DE8FD" w14:textId="77777777" w:rsidTr="00C57C9F">
        <w:tc>
          <w:tcPr>
            <w:tcW w:w="4589" w:type="dxa"/>
            <w:gridSpan w:val="2"/>
            <w:shd w:val="clear" w:color="auto" w:fill="DDDDDD"/>
          </w:tcPr>
          <w:p w14:paraId="6E76443C" w14:textId="22EC07AA" w:rsidR="00C57C9F" w:rsidRDefault="00C57C9F" w:rsidP="00CE2EA1">
            <w:pPr>
              <w:spacing w:before="40" w:after="40"/>
              <w:jc w:val="center"/>
              <w:rPr>
                <w:rFonts w:ascii="Arial" w:hAnsi="Arial" w:cs="Arial"/>
                <w:b/>
                <w:bCs/>
                <w:sz w:val="20"/>
                <w:szCs w:val="20"/>
              </w:rPr>
            </w:pPr>
            <w:r>
              <w:rPr>
                <w:rFonts w:ascii="Arial" w:hAnsi="Arial" w:cs="Arial"/>
                <w:b/>
                <w:bCs/>
                <w:sz w:val="20"/>
                <w:szCs w:val="20"/>
              </w:rPr>
              <w:t>ETHNIC GROUP</w:t>
            </w:r>
          </w:p>
        </w:tc>
        <w:tc>
          <w:tcPr>
            <w:tcW w:w="2295" w:type="dxa"/>
            <w:shd w:val="clear" w:color="auto" w:fill="DDDDDD"/>
          </w:tcPr>
          <w:p w14:paraId="4A24A004" w14:textId="77777777" w:rsidR="00C57C9F" w:rsidRDefault="00C57C9F" w:rsidP="00CE2EA1">
            <w:pPr>
              <w:spacing w:before="40" w:after="40"/>
              <w:jc w:val="center"/>
              <w:rPr>
                <w:rFonts w:ascii="Arial" w:hAnsi="Arial" w:cs="Arial"/>
                <w:b/>
                <w:bCs/>
                <w:sz w:val="20"/>
                <w:szCs w:val="20"/>
              </w:rPr>
            </w:pPr>
          </w:p>
        </w:tc>
        <w:tc>
          <w:tcPr>
            <w:tcW w:w="2295" w:type="dxa"/>
            <w:shd w:val="clear" w:color="auto" w:fill="DDDDDD"/>
          </w:tcPr>
          <w:p w14:paraId="7A1B9AC8" w14:textId="77777777" w:rsidR="00C57C9F" w:rsidRDefault="00C57C9F" w:rsidP="00CE2EA1">
            <w:pPr>
              <w:spacing w:before="40" w:after="40"/>
              <w:jc w:val="center"/>
              <w:rPr>
                <w:rFonts w:ascii="Arial" w:hAnsi="Arial" w:cs="Arial"/>
                <w:b/>
                <w:bCs/>
                <w:sz w:val="20"/>
                <w:szCs w:val="20"/>
              </w:rPr>
            </w:pPr>
          </w:p>
        </w:tc>
      </w:tr>
      <w:tr w:rsidR="00C57C9F" w:rsidRPr="002F0C63" w14:paraId="6A2BA374" w14:textId="77777777" w:rsidTr="00CE2EA1">
        <w:tc>
          <w:tcPr>
            <w:tcW w:w="4589" w:type="dxa"/>
            <w:gridSpan w:val="2"/>
          </w:tcPr>
          <w:p w14:paraId="30B8769B" w14:textId="4C8E440A" w:rsidR="00C57C9F" w:rsidRDefault="00C57C9F" w:rsidP="00C57C9F">
            <w:pPr>
              <w:spacing w:before="40" w:after="40"/>
              <w:jc w:val="center"/>
              <w:rPr>
                <w:rFonts w:ascii="Arial" w:hAnsi="Arial" w:cs="Arial"/>
                <w:b/>
                <w:bCs/>
                <w:sz w:val="20"/>
                <w:szCs w:val="20"/>
              </w:rPr>
            </w:pPr>
            <w:r>
              <w:rPr>
                <w:rFonts w:ascii="Arial" w:hAnsi="Arial" w:cs="Arial"/>
                <w:b/>
                <w:bCs/>
                <w:sz w:val="20"/>
                <w:szCs w:val="20"/>
              </w:rPr>
              <w:t>Australian (non-Aboriginal)</w:t>
            </w:r>
          </w:p>
        </w:tc>
        <w:tc>
          <w:tcPr>
            <w:tcW w:w="2295" w:type="dxa"/>
          </w:tcPr>
          <w:p w14:paraId="2FAAEC28" w14:textId="60103FCF" w:rsidR="00C57C9F" w:rsidRDefault="00C57C9F" w:rsidP="00CE2EA1">
            <w:pPr>
              <w:spacing w:before="40" w:after="40"/>
              <w:jc w:val="center"/>
              <w:rPr>
                <w:rFonts w:ascii="Arial" w:hAnsi="Arial" w:cs="Arial"/>
                <w:b/>
                <w:bCs/>
                <w:sz w:val="20"/>
                <w:szCs w:val="20"/>
              </w:rPr>
            </w:pPr>
            <w:r>
              <w:rPr>
                <w:rFonts w:ascii="Arial" w:hAnsi="Arial" w:cs="Arial"/>
                <w:b/>
                <w:bCs/>
                <w:sz w:val="20"/>
                <w:szCs w:val="20"/>
              </w:rPr>
              <w:t>1,393</w:t>
            </w:r>
          </w:p>
        </w:tc>
        <w:tc>
          <w:tcPr>
            <w:tcW w:w="2295" w:type="dxa"/>
          </w:tcPr>
          <w:p w14:paraId="4B3277D2" w14:textId="04607DC1" w:rsidR="00C57C9F" w:rsidRDefault="00C57C9F" w:rsidP="00CE2EA1">
            <w:pPr>
              <w:spacing w:before="40" w:after="40"/>
              <w:jc w:val="center"/>
              <w:rPr>
                <w:rFonts w:ascii="Arial" w:hAnsi="Arial" w:cs="Arial"/>
                <w:b/>
                <w:bCs/>
                <w:sz w:val="20"/>
                <w:szCs w:val="20"/>
              </w:rPr>
            </w:pPr>
            <w:r>
              <w:rPr>
                <w:rFonts w:ascii="Arial" w:hAnsi="Arial" w:cs="Arial"/>
                <w:b/>
                <w:bCs/>
                <w:sz w:val="20"/>
                <w:szCs w:val="20"/>
              </w:rPr>
              <w:t>33.3</w:t>
            </w:r>
          </w:p>
        </w:tc>
      </w:tr>
      <w:tr w:rsidR="00C57C9F" w:rsidRPr="002F0C63" w14:paraId="20FC1954" w14:textId="77777777" w:rsidTr="00CE2EA1">
        <w:tc>
          <w:tcPr>
            <w:tcW w:w="4589" w:type="dxa"/>
            <w:gridSpan w:val="2"/>
          </w:tcPr>
          <w:p w14:paraId="2BBC1B6A" w14:textId="3BA7459A" w:rsidR="00C57C9F" w:rsidRDefault="00C57C9F" w:rsidP="00C57C9F">
            <w:pPr>
              <w:spacing w:before="40" w:after="40"/>
              <w:jc w:val="center"/>
              <w:rPr>
                <w:rFonts w:ascii="Arial" w:hAnsi="Arial" w:cs="Arial"/>
                <w:b/>
                <w:bCs/>
                <w:sz w:val="20"/>
                <w:szCs w:val="20"/>
              </w:rPr>
            </w:pPr>
            <w:r>
              <w:rPr>
                <w:rFonts w:ascii="Arial" w:hAnsi="Arial" w:cs="Arial"/>
                <w:b/>
                <w:bCs/>
                <w:sz w:val="20"/>
                <w:szCs w:val="20"/>
              </w:rPr>
              <w:t>Aboriginal</w:t>
            </w:r>
          </w:p>
        </w:tc>
        <w:tc>
          <w:tcPr>
            <w:tcW w:w="2295" w:type="dxa"/>
          </w:tcPr>
          <w:p w14:paraId="6A7482BA" w14:textId="5CBFB3BB" w:rsidR="00C57C9F" w:rsidRDefault="00C57C9F" w:rsidP="00CE2EA1">
            <w:pPr>
              <w:spacing w:before="40" w:after="40"/>
              <w:jc w:val="center"/>
              <w:rPr>
                <w:rFonts w:ascii="Arial" w:hAnsi="Arial" w:cs="Arial"/>
                <w:b/>
                <w:bCs/>
                <w:sz w:val="20"/>
                <w:szCs w:val="20"/>
              </w:rPr>
            </w:pPr>
            <w:r>
              <w:rPr>
                <w:rFonts w:ascii="Arial" w:hAnsi="Arial" w:cs="Arial"/>
                <w:b/>
                <w:bCs/>
                <w:sz w:val="20"/>
                <w:szCs w:val="20"/>
              </w:rPr>
              <w:t>510</w:t>
            </w:r>
          </w:p>
        </w:tc>
        <w:tc>
          <w:tcPr>
            <w:tcW w:w="2295" w:type="dxa"/>
          </w:tcPr>
          <w:p w14:paraId="12C815E1" w14:textId="30FE2748" w:rsidR="00C57C9F" w:rsidRDefault="00C57C9F" w:rsidP="00CE2EA1">
            <w:pPr>
              <w:spacing w:before="40" w:after="40"/>
              <w:jc w:val="center"/>
              <w:rPr>
                <w:rFonts w:ascii="Arial" w:hAnsi="Arial" w:cs="Arial"/>
                <w:b/>
                <w:bCs/>
                <w:sz w:val="20"/>
                <w:szCs w:val="20"/>
              </w:rPr>
            </w:pPr>
            <w:r>
              <w:rPr>
                <w:rFonts w:ascii="Arial" w:hAnsi="Arial" w:cs="Arial"/>
                <w:b/>
                <w:bCs/>
                <w:sz w:val="20"/>
                <w:szCs w:val="20"/>
              </w:rPr>
              <w:t>12.2</w:t>
            </w:r>
          </w:p>
        </w:tc>
      </w:tr>
      <w:tr w:rsidR="00C57C9F" w:rsidRPr="002F0C63" w14:paraId="051D8AB7" w14:textId="77777777" w:rsidTr="00CE2EA1">
        <w:tc>
          <w:tcPr>
            <w:tcW w:w="4589" w:type="dxa"/>
            <w:gridSpan w:val="2"/>
          </w:tcPr>
          <w:p w14:paraId="4957B92D" w14:textId="1A3EE1C8" w:rsidR="00C57C9F" w:rsidRDefault="00C57C9F" w:rsidP="00C57C9F">
            <w:pPr>
              <w:spacing w:before="40" w:after="40"/>
              <w:jc w:val="center"/>
              <w:rPr>
                <w:rFonts w:ascii="Arial" w:hAnsi="Arial" w:cs="Arial"/>
                <w:b/>
                <w:bCs/>
                <w:sz w:val="20"/>
                <w:szCs w:val="20"/>
              </w:rPr>
            </w:pPr>
            <w:r>
              <w:rPr>
                <w:rFonts w:ascii="Arial" w:hAnsi="Arial" w:cs="Arial"/>
                <w:b/>
                <w:bCs/>
                <w:sz w:val="20"/>
                <w:szCs w:val="20"/>
              </w:rPr>
              <w:t>Pacific Islander</w:t>
            </w:r>
          </w:p>
        </w:tc>
        <w:tc>
          <w:tcPr>
            <w:tcW w:w="2295" w:type="dxa"/>
          </w:tcPr>
          <w:p w14:paraId="4567DCD9" w14:textId="6A4F8830" w:rsidR="00C57C9F" w:rsidRDefault="00C57C9F" w:rsidP="00CE2EA1">
            <w:pPr>
              <w:spacing w:before="40" w:after="40"/>
              <w:jc w:val="center"/>
              <w:rPr>
                <w:rFonts w:ascii="Arial" w:hAnsi="Arial" w:cs="Arial"/>
                <w:b/>
                <w:bCs/>
                <w:sz w:val="20"/>
                <w:szCs w:val="20"/>
              </w:rPr>
            </w:pPr>
            <w:r>
              <w:rPr>
                <w:rFonts w:ascii="Arial" w:hAnsi="Arial" w:cs="Arial"/>
                <w:b/>
                <w:bCs/>
                <w:sz w:val="20"/>
                <w:szCs w:val="20"/>
              </w:rPr>
              <w:t>144</w:t>
            </w:r>
          </w:p>
        </w:tc>
        <w:tc>
          <w:tcPr>
            <w:tcW w:w="2295" w:type="dxa"/>
          </w:tcPr>
          <w:p w14:paraId="3C904115" w14:textId="47FC42B2" w:rsidR="00C57C9F" w:rsidRDefault="00C57C9F" w:rsidP="00CE2EA1">
            <w:pPr>
              <w:spacing w:before="40" w:after="40"/>
              <w:jc w:val="center"/>
              <w:rPr>
                <w:rFonts w:ascii="Arial" w:hAnsi="Arial" w:cs="Arial"/>
                <w:b/>
                <w:bCs/>
                <w:sz w:val="20"/>
                <w:szCs w:val="20"/>
              </w:rPr>
            </w:pPr>
            <w:r>
              <w:rPr>
                <w:rFonts w:ascii="Arial" w:hAnsi="Arial" w:cs="Arial"/>
                <w:b/>
                <w:bCs/>
                <w:sz w:val="20"/>
                <w:szCs w:val="20"/>
              </w:rPr>
              <w:t>3.4</w:t>
            </w:r>
          </w:p>
        </w:tc>
      </w:tr>
      <w:tr w:rsidR="00C57C9F" w:rsidRPr="002F0C63" w14:paraId="5F23F479" w14:textId="77777777" w:rsidTr="00CE2EA1">
        <w:tc>
          <w:tcPr>
            <w:tcW w:w="4589" w:type="dxa"/>
            <w:gridSpan w:val="2"/>
          </w:tcPr>
          <w:p w14:paraId="1F8DF238" w14:textId="6407CD89" w:rsidR="00C57C9F" w:rsidRDefault="00C57C9F" w:rsidP="00C57C9F">
            <w:pPr>
              <w:spacing w:before="40" w:after="40"/>
              <w:jc w:val="center"/>
              <w:rPr>
                <w:rFonts w:ascii="Arial" w:hAnsi="Arial" w:cs="Arial"/>
                <w:b/>
                <w:bCs/>
                <w:sz w:val="20"/>
                <w:szCs w:val="20"/>
              </w:rPr>
            </w:pPr>
            <w:r>
              <w:rPr>
                <w:rFonts w:ascii="Arial" w:hAnsi="Arial" w:cs="Arial"/>
                <w:b/>
                <w:bCs/>
                <w:sz w:val="20"/>
                <w:szCs w:val="20"/>
              </w:rPr>
              <w:t>African Sudanese/South Sudanese</w:t>
            </w:r>
          </w:p>
        </w:tc>
        <w:tc>
          <w:tcPr>
            <w:tcW w:w="2295" w:type="dxa"/>
          </w:tcPr>
          <w:p w14:paraId="2391FF46" w14:textId="16A87489" w:rsidR="00C57C9F" w:rsidRDefault="00C57C9F" w:rsidP="00CE2EA1">
            <w:pPr>
              <w:spacing w:before="40" w:after="40"/>
              <w:jc w:val="center"/>
              <w:rPr>
                <w:rFonts w:ascii="Arial" w:hAnsi="Arial" w:cs="Arial"/>
                <w:b/>
                <w:bCs/>
                <w:sz w:val="20"/>
                <w:szCs w:val="20"/>
              </w:rPr>
            </w:pPr>
            <w:r>
              <w:rPr>
                <w:rFonts w:ascii="Arial" w:hAnsi="Arial" w:cs="Arial"/>
                <w:b/>
                <w:bCs/>
                <w:sz w:val="20"/>
                <w:szCs w:val="20"/>
              </w:rPr>
              <w:t>131</w:t>
            </w:r>
          </w:p>
        </w:tc>
        <w:tc>
          <w:tcPr>
            <w:tcW w:w="2295" w:type="dxa"/>
          </w:tcPr>
          <w:p w14:paraId="32FAEB5C" w14:textId="22236B1F" w:rsidR="00C57C9F" w:rsidRDefault="00C57C9F" w:rsidP="00CE2EA1">
            <w:pPr>
              <w:spacing w:before="40" w:after="40"/>
              <w:jc w:val="center"/>
              <w:rPr>
                <w:rFonts w:ascii="Arial" w:hAnsi="Arial" w:cs="Arial"/>
                <w:b/>
                <w:bCs/>
                <w:sz w:val="20"/>
                <w:szCs w:val="20"/>
              </w:rPr>
            </w:pPr>
            <w:r>
              <w:rPr>
                <w:rFonts w:ascii="Arial" w:hAnsi="Arial" w:cs="Arial"/>
                <w:b/>
                <w:bCs/>
                <w:sz w:val="20"/>
                <w:szCs w:val="20"/>
              </w:rPr>
              <w:t>3.1</w:t>
            </w:r>
          </w:p>
        </w:tc>
      </w:tr>
      <w:tr w:rsidR="00C57C9F" w:rsidRPr="002F0C63" w14:paraId="266EAF13" w14:textId="77777777" w:rsidTr="00CE2EA1">
        <w:tc>
          <w:tcPr>
            <w:tcW w:w="4589" w:type="dxa"/>
            <w:gridSpan w:val="2"/>
          </w:tcPr>
          <w:p w14:paraId="37E85BF7" w14:textId="54162746" w:rsidR="00C57C9F" w:rsidRDefault="00C57C9F" w:rsidP="00C57C9F">
            <w:pPr>
              <w:spacing w:before="40" w:after="40"/>
              <w:jc w:val="center"/>
              <w:rPr>
                <w:rFonts w:ascii="Arial" w:hAnsi="Arial" w:cs="Arial"/>
                <w:b/>
                <w:bCs/>
                <w:sz w:val="20"/>
                <w:szCs w:val="20"/>
              </w:rPr>
            </w:pPr>
            <w:r>
              <w:rPr>
                <w:rFonts w:ascii="Arial" w:hAnsi="Arial" w:cs="Arial"/>
                <w:b/>
                <w:bCs/>
                <w:sz w:val="20"/>
                <w:szCs w:val="20"/>
              </w:rPr>
              <w:t>African Other</w:t>
            </w:r>
          </w:p>
        </w:tc>
        <w:tc>
          <w:tcPr>
            <w:tcW w:w="2295" w:type="dxa"/>
          </w:tcPr>
          <w:p w14:paraId="681CF675" w14:textId="658581E3" w:rsidR="00C57C9F" w:rsidRDefault="00C57C9F" w:rsidP="00CE2EA1">
            <w:pPr>
              <w:spacing w:before="40" w:after="40"/>
              <w:jc w:val="center"/>
              <w:rPr>
                <w:rFonts w:ascii="Arial" w:hAnsi="Arial" w:cs="Arial"/>
                <w:b/>
                <w:bCs/>
                <w:sz w:val="20"/>
                <w:szCs w:val="20"/>
              </w:rPr>
            </w:pPr>
            <w:r>
              <w:rPr>
                <w:rFonts w:ascii="Arial" w:hAnsi="Arial" w:cs="Arial"/>
                <w:b/>
                <w:bCs/>
                <w:sz w:val="20"/>
                <w:szCs w:val="20"/>
              </w:rPr>
              <w:t>77</w:t>
            </w:r>
          </w:p>
        </w:tc>
        <w:tc>
          <w:tcPr>
            <w:tcW w:w="2295" w:type="dxa"/>
          </w:tcPr>
          <w:p w14:paraId="3A27DDA4" w14:textId="585B1BC1" w:rsidR="00C57C9F" w:rsidRDefault="00C57C9F" w:rsidP="00CE2EA1">
            <w:pPr>
              <w:spacing w:before="40" w:after="40"/>
              <w:jc w:val="center"/>
              <w:rPr>
                <w:rFonts w:ascii="Arial" w:hAnsi="Arial" w:cs="Arial"/>
                <w:b/>
                <w:bCs/>
                <w:sz w:val="20"/>
                <w:szCs w:val="20"/>
              </w:rPr>
            </w:pPr>
            <w:r>
              <w:rPr>
                <w:rFonts w:ascii="Arial" w:hAnsi="Arial" w:cs="Arial"/>
                <w:b/>
                <w:bCs/>
                <w:sz w:val="20"/>
                <w:szCs w:val="20"/>
              </w:rPr>
              <w:t>1.8</w:t>
            </w:r>
          </w:p>
        </w:tc>
      </w:tr>
      <w:tr w:rsidR="00C57C9F" w:rsidRPr="002F0C63" w14:paraId="4E70CE16" w14:textId="77777777" w:rsidTr="00CE2EA1">
        <w:tc>
          <w:tcPr>
            <w:tcW w:w="4589" w:type="dxa"/>
            <w:gridSpan w:val="2"/>
          </w:tcPr>
          <w:p w14:paraId="0D6CB6C4" w14:textId="1891256E" w:rsidR="00C57C9F" w:rsidRDefault="00C57C9F" w:rsidP="00C57C9F">
            <w:pPr>
              <w:spacing w:before="40" w:after="40"/>
              <w:jc w:val="center"/>
              <w:rPr>
                <w:rFonts w:ascii="Arial" w:hAnsi="Arial" w:cs="Arial"/>
                <w:b/>
                <w:bCs/>
                <w:sz w:val="20"/>
                <w:szCs w:val="20"/>
              </w:rPr>
            </w:pPr>
            <w:r>
              <w:rPr>
                <w:rFonts w:ascii="Arial" w:hAnsi="Arial" w:cs="Arial"/>
                <w:b/>
                <w:bCs/>
                <w:sz w:val="20"/>
                <w:szCs w:val="20"/>
              </w:rPr>
              <w:t>Middle Eastern</w:t>
            </w:r>
          </w:p>
        </w:tc>
        <w:tc>
          <w:tcPr>
            <w:tcW w:w="2295" w:type="dxa"/>
          </w:tcPr>
          <w:p w14:paraId="1EAC3720" w14:textId="05025FCF" w:rsidR="00C57C9F" w:rsidRDefault="00C57C9F" w:rsidP="00CE2EA1">
            <w:pPr>
              <w:spacing w:before="40" w:after="40"/>
              <w:jc w:val="center"/>
              <w:rPr>
                <w:rFonts w:ascii="Arial" w:hAnsi="Arial" w:cs="Arial"/>
                <w:b/>
                <w:bCs/>
                <w:sz w:val="20"/>
                <w:szCs w:val="20"/>
              </w:rPr>
            </w:pPr>
            <w:r>
              <w:rPr>
                <w:rFonts w:ascii="Arial" w:hAnsi="Arial" w:cs="Arial"/>
                <w:b/>
                <w:bCs/>
                <w:sz w:val="20"/>
                <w:szCs w:val="20"/>
              </w:rPr>
              <w:t>130</w:t>
            </w:r>
          </w:p>
        </w:tc>
        <w:tc>
          <w:tcPr>
            <w:tcW w:w="2295" w:type="dxa"/>
          </w:tcPr>
          <w:p w14:paraId="4FCB89C3" w14:textId="7C3E4A94" w:rsidR="00C57C9F" w:rsidRDefault="00C57C9F" w:rsidP="00CE2EA1">
            <w:pPr>
              <w:spacing w:before="40" w:after="40"/>
              <w:jc w:val="center"/>
              <w:rPr>
                <w:rFonts w:ascii="Arial" w:hAnsi="Arial" w:cs="Arial"/>
                <w:b/>
                <w:bCs/>
                <w:sz w:val="20"/>
                <w:szCs w:val="20"/>
              </w:rPr>
            </w:pPr>
            <w:r>
              <w:rPr>
                <w:rFonts w:ascii="Arial" w:hAnsi="Arial" w:cs="Arial"/>
                <w:b/>
                <w:bCs/>
                <w:sz w:val="20"/>
                <w:szCs w:val="20"/>
              </w:rPr>
              <w:t>3.1</w:t>
            </w:r>
          </w:p>
        </w:tc>
      </w:tr>
      <w:tr w:rsidR="00C57C9F" w:rsidRPr="002F0C63" w14:paraId="48EA1A99" w14:textId="77777777" w:rsidTr="00CE2EA1">
        <w:tc>
          <w:tcPr>
            <w:tcW w:w="4589" w:type="dxa"/>
            <w:gridSpan w:val="2"/>
          </w:tcPr>
          <w:p w14:paraId="5D8FB685" w14:textId="04F64300" w:rsidR="00C57C9F" w:rsidRDefault="00C57C9F" w:rsidP="00C57C9F">
            <w:pPr>
              <w:spacing w:before="40" w:after="40"/>
              <w:jc w:val="center"/>
              <w:rPr>
                <w:rFonts w:ascii="Arial" w:hAnsi="Arial" w:cs="Arial"/>
                <w:b/>
                <w:bCs/>
                <w:sz w:val="20"/>
                <w:szCs w:val="20"/>
              </w:rPr>
            </w:pPr>
            <w:r>
              <w:rPr>
                <w:rFonts w:ascii="Arial" w:hAnsi="Arial" w:cs="Arial"/>
                <w:b/>
                <w:bCs/>
                <w:sz w:val="20"/>
                <w:szCs w:val="20"/>
              </w:rPr>
              <w:t>Asian</w:t>
            </w:r>
          </w:p>
        </w:tc>
        <w:tc>
          <w:tcPr>
            <w:tcW w:w="2295" w:type="dxa"/>
          </w:tcPr>
          <w:p w14:paraId="6D59F510" w14:textId="3C4DAA1A" w:rsidR="00C57C9F" w:rsidRDefault="00C57C9F" w:rsidP="00C57C9F">
            <w:pPr>
              <w:spacing w:before="40" w:after="40"/>
              <w:jc w:val="center"/>
              <w:rPr>
                <w:rFonts w:ascii="Arial" w:hAnsi="Arial" w:cs="Arial"/>
                <w:b/>
                <w:bCs/>
                <w:sz w:val="20"/>
                <w:szCs w:val="20"/>
              </w:rPr>
            </w:pPr>
            <w:r>
              <w:rPr>
                <w:rFonts w:ascii="Arial" w:hAnsi="Arial" w:cs="Arial"/>
                <w:b/>
                <w:bCs/>
                <w:sz w:val="20"/>
                <w:szCs w:val="20"/>
              </w:rPr>
              <w:t>94</w:t>
            </w:r>
          </w:p>
        </w:tc>
        <w:tc>
          <w:tcPr>
            <w:tcW w:w="2295" w:type="dxa"/>
          </w:tcPr>
          <w:p w14:paraId="2F1B6478" w14:textId="4344D274" w:rsidR="00C57C9F" w:rsidRDefault="00C57C9F" w:rsidP="00C57C9F">
            <w:pPr>
              <w:spacing w:before="40" w:after="40"/>
              <w:jc w:val="center"/>
              <w:rPr>
                <w:rFonts w:ascii="Arial" w:hAnsi="Arial" w:cs="Arial"/>
                <w:b/>
                <w:bCs/>
                <w:sz w:val="20"/>
                <w:szCs w:val="20"/>
              </w:rPr>
            </w:pPr>
            <w:r>
              <w:rPr>
                <w:rFonts w:ascii="Arial" w:hAnsi="Arial" w:cs="Arial"/>
                <w:b/>
                <w:bCs/>
                <w:sz w:val="20"/>
                <w:szCs w:val="20"/>
              </w:rPr>
              <w:t>2.2</w:t>
            </w:r>
          </w:p>
        </w:tc>
      </w:tr>
      <w:tr w:rsidR="00C57C9F" w:rsidRPr="002F0C63" w14:paraId="6E1D9DF9" w14:textId="77777777" w:rsidTr="00CE2EA1">
        <w:tc>
          <w:tcPr>
            <w:tcW w:w="4589" w:type="dxa"/>
            <w:gridSpan w:val="2"/>
          </w:tcPr>
          <w:p w14:paraId="725C46FE" w14:textId="7C717896" w:rsidR="00C57C9F" w:rsidRDefault="00C57C9F" w:rsidP="00C57C9F">
            <w:pPr>
              <w:spacing w:before="40" w:after="40"/>
              <w:jc w:val="center"/>
              <w:rPr>
                <w:rFonts w:ascii="Arial" w:hAnsi="Arial" w:cs="Arial"/>
                <w:b/>
                <w:bCs/>
                <w:sz w:val="20"/>
                <w:szCs w:val="20"/>
              </w:rPr>
            </w:pPr>
            <w:r>
              <w:rPr>
                <w:rFonts w:ascii="Arial" w:hAnsi="Arial" w:cs="Arial"/>
                <w:b/>
                <w:bCs/>
                <w:sz w:val="20"/>
                <w:szCs w:val="20"/>
              </w:rPr>
              <w:t>Other</w:t>
            </w:r>
          </w:p>
        </w:tc>
        <w:tc>
          <w:tcPr>
            <w:tcW w:w="2295" w:type="dxa"/>
          </w:tcPr>
          <w:p w14:paraId="591C82F8" w14:textId="2AA82717" w:rsidR="00C57C9F" w:rsidRDefault="00C57C9F" w:rsidP="00C57C9F">
            <w:pPr>
              <w:spacing w:before="40" w:after="40"/>
              <w:jc w:val="center"/>
              <w:rPr>
                <w:rFonts w:ascii="Arial" w:hAnsi="Arial" w:cs="Arial"/>
                <w:b/>
                <w:bCs/>
                <w:sz w:val="20"/>
                <w:szCs w:val="20"/>
              </w:rPr>
            </w:pPr>
            <w:r>
              <w:rPr>
                <w:rFonts w:ascii="Arial" w:hAnsi="Arial" w:cs="Arial"/>
                <w:b/>
                <w:bCs/>
                <w:sz w:val="20"/>
                <w:szCs w:val="20"/>
              </w:rPr>
              <w:t>153</w:t>
            </w:r>
          </w:p>
        </w:tc>
        <w:tc>
          <w:tcPr>
            <w:tcW w:w="2295" w:type="dxa"/>
          </w:tcPr>
          <w:p w14:paraId="35D9584F" w14:textId="65E6C633" w:rsidR="00C57C9F" w:rsidRDefault="00C57C9F" w:rsidP="00C57C9F">
            <w:pPr>
              <w:spacing w:before="40" w:after="40"/>
              <w:jc w:val="center"/>
              <w:rPr>
                <w:rFonts w:ascii="Arial" w:hAnsi="Arial" w:cs="Arial"/>
                <w:b/>
                <w:bCs/>
                <w:sz w:val="20"/>
                <w:szCs w:val="20"/>
              </w:rPr>
            </w:pPr>
            <w:r>
              <w:rPr>
                <w:rFonts w:ascii="Arial" w:hAnsi="Arial" w:cs="Arial"/>
                <w:b/>
                <w:bCs/>
                <w:sz w:val="20"/>
                <w:szCs w:val="20"/>
              </w:rPr>
              <w:t>3.7</w:t>
            </w:r>
          </w:p>
        </w:tc>
      </w:tr>
      <w:tr w:rsidR="00C57C9F" w:rsidRPr="002F0C63" w14:paraId="58B9E47E" w14:textId="77777777" w:rsidTr="00CE2EA1">
        <w:tc>
          <w:tcPr>
            <w:tcW w:w="4589" w:type="dxa"/>
            <w:gridSpan w:val="2"/>
          </w:tcPr>
          <w:p w14:paraId="2FB57ADF" w14:textId="55B12F92" w:rsidR="00C57C9F" w:rsidRDefault="00C57C9F" w:rsidP="00C57C9F">
            <w:pPr>
              <w:spacing w:before="40" w:after="40"/>
              <w:jc w:val="center"/>
              <w:rPr>
                <w:rFonts w:ascii="Arial" w:hAnsi="Arial" w:cs="Arial"/>
                <w:b/>
                <w:bCs/>
                <w:sz w:val="20"/>
                <w:szCs w:val="20"/>
              </w:rPr>
            </w:pPr>
            <w:r>
              <w:rPr>
                <w:rFonts w:ascii="Arial" w:hAnsi="Arial" w:cs="Arial"/>
                <w:b/>
                <w:bCs/>
                <w:sz w:val="20"/>
                <w:szCs w:val="20"/>
              </w:rPr>
              <w:t>Not known</w:t>
            </w:r>
          </w:p>
        </w:tc>
        <w:tc>
          <w:tcPr>
            <w:tcW w:w="2295" w:type="dxa"/>
          </w:tcPr>
          <w:p w14:paraId="60377B20" w14:textId="046B1307" w:rsidR="00C57C9F" w:rsidRDefault="00C57C9F" w:rsidP="00C57C9F">
            <w:pPr>
              <w:spacing w:before="40" w:after="40"/>
              <w:jc w:val="center"/>
              <w:rPr>
                <w:rFonts w:ascii="Arial" w:hAnsi="Arial" w:cs="Arial"/>
                <w:b/>
                <w:bCs/>
                <w:sz w:val="20"/>
                <w:szCs w:val="20"/>
              </w:rPr>
            </w:pPr>
            <w:r>
              <w:rPr>
                <w:rFonts w:ascii="Arial" w:hAnsi="Arial" w:cs="Arial"/>
                <w:b/>
                <w:bCs/>
                <w:sz w:val="20"/>
                <w:szCs w:val="20"/>
              </w:rPr>
              <w:t>1,555</w:t>
            </w:r>
          </w:p>
        </w:tc>
        <w:tc>
          <w:tcPr>
            <w:tcW w:w="2295" w:type="dxa"/>
          </w:tcPr>
          <w:p w14:paraId="4B7B6AB8" w14:textId="11781244" w:rsidR="00C57C9F" w:rsidRDefault="00C57C9F" w:rsidP="00C57C9F">
            <w:pPr>
              <w:spacing w:before="40" w:after="40"/>
              <w:jc w:val="center"/>
              <w:rPr>
                <w:rFonts w:ascii="Arial" w:hAnsi="Arial" w:cs="Arial"/>
                <w:b/>
                <w:bCs/>
                <w:sz w:val="20"/>
                <w:szCs w:val="20"/>
              </w:rPr>
            </w:pPr>
            <w:r>
              <w:rPr>
                <w:rFonts w:ascii="Arial" w:hAnsi="Arial" w:cs="Arial"/>
                <w:b/>
                <w:bCs/>
                <w:sz w:val="20"/>
                <w:szCs w:val="20"/>
              </w:rPr>
              <w:t>37.1</w:t>
            </w:r>
          </w:p>
        </w:tc>
      </w:tr>
      <w:tr w:rsidR="00C57C9F" w:rsidRPr="002F0C63" w14:paraId="572C8F74" w14:textId="77777777" w:rsidTr="00C57C9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Default="00C57C9F" w:rsidP="00CE2EA1">
            <w:pPr>
              <w:spacing w:before="40" w:after="40"/>
              <w:jc w:val="center"/>
              <w:rPr>
                <w:rFonts w:ascii="Arial" w:hAnsi="Arial" w:cs="Arial"/>
                <w:b/>
                <w:bCs/>
                <w:sz w:val="20"/>
                <w:szCs w:val="20"/>
              </w:rPr>
            </w:pPr>
            <w:r>
              <w:rPr>
                <w:rFonts w:ascii="Arial" w:hAnsi="Arial" w:cs="Arial"/>
                <w:b/>
                <w:bCs/>
                <w:sz w:val="20"/>
                <w:szCs w:val="20"/>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Default="00C57C9F" w:rsidP="00CE2EA1">
            <w:pPr>
              <w:spacing w:before="40" w:after="40"/>
              <w:jc w:val="center"/>
              <w:rPr>
                <w:rFonts w:ascii="Arial" w:hAnsi="Arial" w:cs="Arial"/>
                <w:b/>
                <w:bCs/>
                <w:sz w:val="20"/>
                <w:szCs w:val="20"/>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Default="00C57C9F" w:rsidP="00CE2EA1">
            <w:pPr>
              <w:spacing w:before="40" w:after="40"/>
              <w:jc w:val="center"/>
              <w:rPr>
                <w:rFonts w:ascii="Arial" w:hAnsi="Arial" w:cs="Arial"/>
                <w:b/>
                <w:bCs/>
                <w:sz w:val="20"/>
                <w:szCs w:val="20"/>
              </w:rPr>
            </w:pPr>
          </w:p>
        </w:tc>
      </w:tr>
      <w:tr w:rsidR="00C57C9F" w:rsidRPr="002F0C63" w14:paraId="4F935888" w14:textId="77777777" w:rsidTr="00C57C9F">
        <w:tc>
          <w:tcPr>
            <w:tcW w:w="4589" w:type="dxa"/>
            <w:gridSpan w:val="2"/>
            <w:tcBorders>
              <w:top w:val="single" w:sz="4" w:space="0" w:color="auto"/>
              <w:left w:val="single" w:sz="4" w:space="0" w:color="auto"/>
              <w:bottom w:val="single" w:sz="4" w:space="0" w:color="auto"/>
              <w:right w:val="single" w:sz="4" w:space="0" w:color="auto"/>
            </w:tcBorders>
          </w:tcPr>
          <w:p w14:paraId="63883892" w14:textId="39090971" w:rsidR="00C57C9F" w:rsidRDefault="00632555" w:rsidP="00CE2EA1">
            <w:pPr>
              <w:spacing w:before="40" w:after="40"/>
              <w:jc w:val="center"/>
              <w:rPr>
                <w:rFonts w:ascii="Arial" w:hAnsi="Arial" w:cs="Arial"/>
                <w:b/>
                <w:bCs/>
                <w:sz w:val="20"/>
                <w:szCs w:val="20"/>
              </w:rPr>
            </w:pPr>
            <w:r>
              <w:rPr>
                <w:rFonts w:ascii="Arial" w:hAnsi="Arial" w:cs="Arial"/>
                <w:b/>
                <w:bCs/>
                <w:sz w:val="20"/>
                <w:szCs w:val="20"/>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Default="00632555" w:rsidP="00CE2EA1">
            <w:pPr>
              <w:spacing w:before="40" w:after="40"/>
              <w:jc w:val="center"/>
              <w:rPr>
                <w:rFonts w:ascii="Arial" w:hAnsi="Arial" w:cs="Arial"/>
                <w:b/>
                <w:bCs/>
                <w:sz w:val="20"/>
                <w:szCs w:val="20"/>
              </w:rPr>
            </w:pPr>
            <w:r>
              <w:rPr>
                <w:rFonts w:ascii="Arial" w:hAnsi="Arial" w:cs="Arial"/>
                <w:b/>
                <w:bCs/>
                <w:sz w:val="20"/>
                <w:szCs w:val="20"/>
              </w:rPr>
              <w:t>207</w:t>
            </w:r>
          </w:p>
        </w:tc>
        <w:tc>
          <w:tcPr>
            <w:tcW w:w="2295" w:type="dxa"/>
            <w:tcBorders>
              <w:top w:val="single" w:sz="4" w:space="0" w:color="auto"/>
              <w:left w:val="single" w:sz="4" w:space="0" w:color="auto"/>
              <w:bottom w:val="single" w:sz="4" w:space="0" w:color="auto"/>
              <w:right w:val="single" w:sz="4" w:space="0" w:color="auto"/>
            </w:tcBorders>
          </w:tcPr>
          <w:p w14:paraId="1DEAB0F5" w14:textId="0CB3D45F" w:rsidR="00C57C9F" w:rsidRDefault="00632555" w:rsidP="00CE2EA1">
            <w:pPr>
              <w:spacing w:before="40" w:after="40"/>
              <w:jc w:val="center"/>
              <w:rPr>
                <w:rFonts w:ascii="Arial" w:hAnsi="Arial" w:cs="Arial"/>
                <w:b/>
                <w:bCs/>
                <w:sz w:val="20"/>
                <w:szCs w:val="20"/>
              </w:rPr>
            </w:pPr>
            <w:r>
              <w:rPr>
                <w:rFonts w:ascii="Arial" w:hAnsi="Arial" w:cs="Arial"/>
                <w:b/>
                <w:bCs/>
                <w:sz w:val="20"/>
                <w:szCs w:val="20"/>
              </w:rPr>
              <w:t>3.9</w:t>
            </w:r>
          </w:p>
        </w:tc>
      </w:tr>
      <w:tr w:rsidR="00C57C9F" w:rsidRPr="002F0C63" w14:paraId="4992CA86" w14:textId="77777777" w:rsidTr="00C57C9F">
        <w:tc>
          <w:tcPr>
            <w:tcW w:w="4589" w:type="dxa"/>
            <w:gridSpan w:val="2"/>
            <w:tcBorders>
              <w:top w:val="single" w:sz="4" w:space="0" w:color="auto"/>
              <w:left w:val="single" w:sz="4" w:space="0" w:color="auto"/>
              <w:bottom w:val="single" w:sz="4" w:space="0" w:color="auto"/>
              <w:right w:val="single" w:sz="4" w:space="0" w:color="auto"/>
            </w:tcBorders>
          </w:tcPr>
          <w:p w14:paraId="62B835B7" w14:textId="59E39BC2" w:rsidR="00C57C9F" w:rsidRDefault="00632555" w:rsidP="00CE2EA1">
            <w:pPr>
              <w:spacing w:before="40" w:after="40"/>
              <w:jc w:val="center"/>
              <w:rPr>
                <w:rFonts w:ascii="Arial" w:hAnsi="Arial" w:cs="Arial"/>
                <w:b/>
                <w:bCs/>
                <w:sz w:val="20"/>
                <w:szCs w:val="20"/>
              </w:rPr>
            </w:pPr>
            <w:r>
              <w:rPr>
                <w:rFonts w:ascii="Arial" w:hAnsi="Arial" w:cs="Arial"/>
                <w:b/>
                <w:bCs/>
                <w:sz w:val="20"/>
                <w:szCs w:val="20"/>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Default="00632555" w:rsidP="00CE2EA1">
            <w:pPr>
              <w:spacing w:before="40" w:after="40"/>
              <w:jc w:val="center"/>
              <w:rPr>
                <w:rFonts w:ascii="Arial" w:hAnsi="Arial" w:cs="Arial"/>
                <w:b/>
                <w:bCs/>
                <w:sz w:val="20"/>
                <w:szCs w:val="20"/>
              </w:rPr>
            </w:pPr>
            <w:r>
              <w:rPr>
                <w:rFonts w:ascii="Arial" w:hAnsi="Arial" w:cs="Arial"/>
                <w:b/>
                <w:bCs/>
                <w:sz w:val="20"/>
                <w:szCs w:val="20"/>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2581E6E7" w:rsidR="00C57C9F" w:rsidRDefault="00632555" w:rsidP="00CE2EA1">
            <w:pPr>
              <w:spacing w:before="40" w:after="40"/>
              <w:jc w:val="center"/>
              <w:rPr>
                <w:rFonts w:ascii="Arial" w:hAnsi="Arial" w:cs="Arial"/>
                <w:b/>
                <w:bCs/>
                <w:sz w:val="20"/>
                <w:szCs w:val="20"/>
              </w:rPr>
            </w:pPr>
            <w:r>
              <w:rPr>
                <w:rFonts w:ascii="Arial" w:hAnsi="Arial" w:cs="Arial"/>
                <w:b/>
                <w:bCs/>
                <w:sz w:val="20"/>
                <w:szCs w:val="20"/>
              </w:rPr>
              <w:t>80.8</w:t>
            </w:r>
          </w:p>
        </w:tc>
      </w:tr>
      <w:tr w:rsidR="00C57C9F" w:rsidRPr="002F0C63" w14:paraId="2E621D0A" w14:textId="77777777" w:rsidTr="00C57C9F">
        <w:tc>
          <w:tcPr>
            <w:tcW w:w="4589" w:type="dxa"/>
            <w:gridSpan w:val="2"/>
            <w:tcBorders>
              <w:top w:val="single" w:sz="4" w:space="0" w:color="auto"/>
              <w:left w:val="single" w:sz="4" w:space="0" w:color="auto"/>
              <w:bottom w:val="single" w:sz="4" w:space="0" w:color="auto"/>
              <w:right w:val="single" w:sz="4" w:space="0" w:color="auto"/>
            </w:tcBorders>
          </w:tcPr>
          <w:p w14:paraId="1F704150" w14:textId="3725F778" w:rsidR="00C57C9F" w:rsidRDefault="00632555" w:rsidP="00CE2EA1">
            <w:pPr>
              <w:spacing w:before="40" w:after="40"/>
              <w:jc w:val="center"/>
              <w:rPr>
                <w:rFonts w:ascii="Arial" w:hAnsi="Arial" w:cs="Arial"/>
                <w:b/>
                <w:bCs/>
                <w:sz w:val="20"/>
                <w:szCs w:val="20"/>
              </w:rPr>
            </w:pPr>
            <w:r>
              <w:rPr>
                <w:rFonts w:ascii="Arial" w:hAnsi="Arial" w:cs="Arial"/>
                <w:b/>
                <w:bCs/>
                <w:sz w:val="20"/>
                <w:szCs w:val="20"/>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Default="00632555" w:rsidP="00CE2EA1">
            <w:pPr>
              <w:spacing w:before="40" w:after="40"/>
              <w:jc w:val="center"/>
              <w:rPr>
                <w:rFonts w:ascii="Arial" w:hAnsi="Arial" w:cs="Arial"/>
                <w:b/>
                <w:bCs/>
                <w:sz w:val="20"/>
                <w:szCs w:val="20"/>
              </w:rPr>
            </w:pPr>
            <w:r>
              <w:rPr>
                <w:rFonts w:ascii="Arial" w:hAnsi="Arial" w:cs="Arial"/>
                <w:b/>
                <w:bCs/>
                <w:sz w:val="20"/>
                <w:szCs w:val="20"/>
              </w:rPr>
              <w:t>596</w:t>
            </w:r>
          </w:p>
        </w:tc>
        <w:tc>
          <w:tcPr>
            <w:tcW w:w="2295" w:type="dxa"/>
            <w:tcBorders>
              <w:top w:val="single" w:sz="4" w:space="0" w:color="auto"/>
              <w:left w:val="single" w:sz="4" w:space="0" w:color="auto"/>
              <w:bottom w:val="single" w:sz="4" w:space="0" w:color="auto"/>
              <w:right w:val="single" w:sz="4" w:space="0" w:color="auto"/>
            </w:tcBorders>
          </w:tcPr>
          <w:p w14:paraId="2ADAFE7F" w14:textId="697E43D0" w:rsidR="00C57C9F" w:rsidRDefault="00632555" w:rsidP="00CE2EA1">
            <w:pPr>
              <w:spacing w:before="40" w:after="40"/>
              <w:jc w:val="center"/>
              <w:rPr>
                <w:rFonts w:ascii="Arial" w:hAnsi="Arial" w:cs="Arial"/>
                <w:b/>
                <w:bCs/>
                <w:sz w:val="20"/>
                <w:szCs w:val="20"/>
              </w:rPr>
            </w:pPr>
            <w:r>
              <w:rPr>
                <w:rFonts w:ascii="Arial" w:hAnsi="Arial" w:cs="Arial"/>
                <w:b/>
                <w:bCs/>
                <w:sz w:val="20"/>
                <w:szCs w:val="20"/>
              </w:rPr>
              <w:t>14.2</w:t>
            </w:r>
          </w:p>
        </w:tc>
      </w:tr>
      <w:tr w:rsidR="0019111F" w:rsidRPr="002F0C63" w14:paraId="5B2B632A"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Default="0019111F" w:rsidP="00CE2EA1">
            <w:pPr>
              <w:spacing w:before="40" w:after="40"/>
              <w:jc w:val="center"/>
              <w:rPr>
                <w:rFonts w:ascii="Arial" w:hAnsi="Arial" w:cs="Arial"/>
                <w:b/>
                <w:bCs/>
                <w:sz w:val="20"/>
                <w:szCs w:val="20"/>
              </w:rPr>
            </w:pPr>
            <w:r>
              <w:rPr>
                <w:rFonts w:ascii="Arial" w:hAnsi="Arial" w:cs="Arial"/>
                <w:b/>
                <w:bCs/>
                <w:sz w:val="20"/>
                <w:szCs w:val="20"/>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Default="0019111F" w:rsidP="0019111F">
            <w:pPr>
              <w:spacing w:before="40" w:after="40"/>
              <w:jc w:val="center"/>
              <w:rPr>
                <w:rFonts w:ascii="Arial" w:hAnsi="Arial" w:cs="Arial"/>
                <w:b/>
                <w:bCs/>
                <w:sz w:val="20"/>
                <w:szCs w:val="20"/>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Default="0019111F" w:rsidP="00CE2EA1">
            <w:pPr>
              <w:spacing w:before="40" w:after="40"/>
              <w:jc w:val="center"/>
              <w:rPr>
                <w:rFonts w:ascii="Arial" w:hAnsi="Arial" w:cs="Arial"/>
                <w:b/>
                <w:bCs/>
                <w:sz w:val="20"/>
                <w:szCs w:val="20"/>
              </w:rPr>
            </w:pPr>
          </w:p>
        </w:tc>
      </w:tr>
      <w:tr w:rsidR="0019111F" w:rsidRPr="002F0C63" w14:paraId="2D3055C0" w14:textId="77777777" w:rsidTr="0019111F">
        <w:tc>
          <w:tcPr>
            <w:tcW w:w="4589" w:type="dxa"/>
            <w:gridSpan w:val="2"/>
            <w:tcBorders>
              <w:top w:val="single" w:sz="4" w:space="0" w:color="auto"/>
              <w:left w:val="single" w:sz="4" w:space="0" w:color="auto"/>
              <w:bottom w:val="single" w:sz="4" w:space="0" w:color="auto"/>
              <w:right w:val="single" w:sz="4" w:space="0" w:color="auto"/>
            </w:tcBorders>
          </w:tcPr>
          <w:p w14:paraId="2A881847" w14:textId="02940383" w:rsidR="0019111F" w:rsidRDefault="0019111F" w:rsidP="00CE2EA1">
            <w:pPr>
              <w:spacing w:before="40" w:after="40"/>
              <w:jc w:val="center"/>
              <w:rPr>
                <w:rFonts w:ascii="Arial" w:hAnsi="Arial" w:cs="Arial"/>
                <w:b/>
                <w:bCs/>
                <w:sz w:val="20"/>
                <w:szCs w:val="20"/>
              </w:rPr>
            </w:pPr>
            <w:r>
              <w:rPr>
                <w:rFonts w:ascii="Arial" w:hAnsi="Arial" w:cs="Arial"/>
                <w:b/>
                <w:bCs/>
                <w:sz w:val="20"/>
                <w:szCs w:val="20"/>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Default="0019111F" w:rsidP="00CE2EA1">
            <w:pPr>
              <w:spacing w:before="40" w:after="40"/>
              <w:jc w:val="center"/>
              <w:rPr>
                <w:rFonts w:ascii="Arial" w:hAnsi="Arial" w:cs="Arial"/>
                <w:b/>
                <w:bCs/>
                <w:sz w:val="20"/>
                <w:szCs w:val="20"/>
              </w:rPr>
            </w:pPr>
            <w:r>
              <w:rPr>
                <w:rFonts w:ascii="Arial" w:hAnsi="Arial" w:cs="Arial"/>
                <w:b/>
                <w:bCs/>
                <w:sz w:val="20"/>
                <w:szCs w:val="20"/>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0AF1402E" w:rsidR="0019111F" w:rsidRDefault="0019111F" w:rsidP="00CE2EA1">
            <w:pPr>
              <w:spacing w:before="40" w:after="40"/>
              <w:jc w:val="center"/>
              <w:rPr>
                <w:rFonts w:ascii="Arial" w:hAnsi="Arial" w:cs="Arial"/>
                <w:b/>
                <w:bCs/>
                <w:sz w:val="20"/>
                <w:szCs w:val="20"/>
              </w:rPr>
            </w:pPr>
            <w:r>
              <w:rPr>
                <w:rFonts w:ascii="Arial" w:hAnsi="Arial" w:cs="Arial"/>
                <w:b/>
                <w:bCs/>
                <w:sz w:val="20"/>
                <w:szCs w:val="20"/>
              </w:rPr>
              <w:t>83.7</w:t>
            </w:r>
          </w:p>
        </w:tc>
      </w:tr>
      <w:tr w:rsidR="0019111F" w:rsidRPr="002F0C63" w14:paraId="7126BF60" w14:textId="77777777" w:rsidTr="0019111F">
        <w:tc>
          <w:tcPr>
            <w:tcW w:w="4589" w:type="dxa"/>
            <w:gridSpan w:val="2"/>
            <w:tcBorders>
              <w:top w:val="single" w:sz="4" w:space="0" w:color="auto"/>
              <w:left w:val="single" w:sz="4" w:space="0" w:color="auto"/>
              <w:bottom w:val="single" w:sz="4" w:space="0" w:color="auto"/>
              <w:right w:val="single" w:sz="4" w:space="0" w:color="auto"/>
            </w:tcBorders>
          </w:tcPr>
          <w:p w14:paraId="3256664A" w14:textId="252096C6" w:rsidR="0019111F" w:rsidRDefault="0019111F" w:rsidP="00CE2EA1">
            <w:pPr>
              <w:spacing w:before="40" w:after="40"/>
              <w:jc w:val="center"/>
              <w:rPr>
                <w:rFonts w:ascii="Arial" w:hAnsi="Arial" w:cs="Arial"/>
                <w:b/>
                <w:bCs/>
                <w:sz w:val="20"/>
                <w:szCs w:val="20"/>
              </w:rPr>
            </w:pPr>
            <w:r>
              <w:rPr>
                <w:rFonts w:ascii="Arial" w:hAnsi="Arial" w:cs="Arial"/>
                <w:b/>
                <w:bCs/>
                <w:sz w:val="20"/>
                <w:szCs w:val="20"/>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Default="0019111F" w:rsidP="00CE2EA1">
            <w:pPr>
              <w:spacing w:before="40" w:after="40"/>
              <w:jc w:val="center"/>
              <w:rPr>
                <w:rFonts w:ascii="Arial" w:hAnsi="Arial" w:cs="Arial"/>
                <w:b/>
                <w:bCs/>
                <w:sz w:val="20"/>
                <w:szCs w:val="20"/>
              </w:rPr>
            </w:pPr>
            <w:r>
              <w:rPr>
                <w:rFonts w:ascii="Arial" w:hAnsi="Arial" w:cs="Arial"/>
                <w:b/>
                <w:bCs/>
                <w:sz w:val="20"/>
                <w:szCs w:val="20"/>
              </w:rPr>
              <w:t>681</w:t>
            </w:r>
          </w:p>
        </w:tc>
        <w:tc>
          <w:tcPr>
            <w:tcW w:w="2295" w:type="dxa"/>
            <w:tcBorders>
              <w:top w:val="single" w:sz="4" w:space="0" w:color="auto"/>
              <w:left w:val="single" w:sz="4" w:space="0" w:color="auto"/>
              <w:bottom w:val="single" w:sz="4" w:space="0" w:color="auto"/>
              <w:right w:val="single" w:sz="4" w:space="0" w:color="auto"/>
            </w:tcBorders>
          </w:tcPr>
          <w:p w14:paraId="69CCCECF" w14:textId="70AA3883" w:rsidR="0019111F" w:rsidRDefault="0019111F" w:rsidP="00CE2EA1">
            <w:pPr>
              <w:spacing w:before="40" w:after="40"/>
              <w:jc w:val="center"/>
              <w:rPr>
                <w:rFonts w:ascii="Arial" w:hAnsi="Arial" w:cs="Arial"/>
                <w:b/>
                <w:bCs/>
                <w:sz w:val="20"/>
                <w:szCs w:val="20"/>
              </w:rPr>
            </w:pPr>
            <w:r>
              <w:rPr>
                <w:rFonts w:ascii="Arial" w:hAnsi="Arial" w:cs="Arial"/>
                <w:b/>
                <w:bCs/>
                <w:sz w:val="20"/>
                <w:szCs w:val="20"/>
              </w:rPr>
              <w:t>16.3</w:t>
            </w:r>
          </w:p>
        </w:tc>
      </w:tr>
      <w:tr w:rsidR="0019111F" w:rsidRPr="002F0C63" w14:paraId="3CBC1ABB"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7688C074" w14:textId="41F9A709" w:rsidR="0019111F" w:rsidRDefault="0019111F" w:rsidP="00CE2EA1">
            <w:pPr>
              <w:spacing w:before="40" w:after="40"/>
              <w:jc w:val="center"/>
              <w:rPr>
                <w:rFonts w:ascii="Arial" w:hAnsi="Arial" w:cs="Arial"/>
                <w:b/>
                <w:bCs/>
                <w:sz w:val="20"/>
                <w:szCs w:val="20"/>
              </w:rPr>
            </w:pPr>
            <w:r>
              <w:rPr>
                <w:rFonts w:ascii="Arial" w:hAnsi="Arial" w:cs="Arial"/>
                <w:b/>
                <w:bCs/>
                <w:sz w:val="20"/>
                <w:szCs w:val="20"/>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74C28A2" w14:textId="2A6E5E97" w:rsidR="0019111F" w:rsidRDefault="0019111F" w:rsidP="00CE2EA1">
            <w:pPr>
              <w:spacing w:before="40" w:after="40"/>
              <w:jc w:val="center"/>
              <w:rPr>
                <w:rFonts w:ascii="Arial" w:hAnsi="Arial" w:cs="Arial"/>
                <w:b/>
                <w:bCs/>
                <w:sz w:val="20"/>
                <w:szCs w:val="20"/>
              </w:rPr>
            </w:pPr>
            <w:r>
              <w:rPr>
                <w:rFonts w:ascii="Arial" w:hAnsi="Arial" w:cs="Arial"/>
                <w:b/>
                <w:bCs/>
                <w:sz w:val="20"/>
                <w:szCs w:val="20"/>
              </w:rPr>
              <w:t>4,187</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3FBFD0DA" w14:textId="7135CC43" w:rsidR="0019111F" w:rsidRDefault="0019111F" w:rsidP="00CE2EA1">
            <w:pPr>
              <w:spacing w:before="40" w:after="40"/>
              <w:jc w:val="center"/>
              <w:rPr>
                <w:rFonts w:ascii="Arial" w:hAnsi="Arial" w:cs="Arial"/>
                <w:b/>
                <w:bCs/>
                <w:sz w:val="20"/>
                <w:szCs w:val="20"/>
              </w:rPr>
            </w:pPr>
            <w:r>
              <w:rPr>
                <w:rFonts w:ascii="Arial" w:hAnsi="Arial" w:cs="Arial"/>
                <w:b/>
                <w:bCs/>
                <w:sz w:val="20"/>
                <w:szCs w:val="20"/>
              </w:rPr>
              <w:t>100.0</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71" w:name="_L_STATUTORY_REVIEW"/>
      <w:bookmarkEnd w:id="271"/>
      <w:r>
        <w:rPr>
          <w:rFonts w:ascii="Arial" w:hAnsi="Arial" w:cs="Arial"/>
          <w:b/>
          <w:color w:val="FFFFFF"/>
          <w:sz w:val="22"/>
          <w:shd w:val="clear" w:color="auto" w:fill="000000"/>
        </w:rPr>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77777777"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‘[p]revention, diversion, and early intervention are the most effective and fiscally responsible ways of reducing youth crime’.</w:t>
      </w:r>
      <w:r>
        <w:rPr>
          <w:rFonts w:ascii="Arial" w:hAnsi="Arial" w:cs="Arial"/>
          <w:sz w:val="20"/>
          <w:szCs w:val="20"/>
        </w:rPr>
        <w:t xml:space="preserve">  T</w:t>
      </w:r>
      <w:r w:rsidRPr="00960B50">
        <w:rPr>
          <w:rFonts w:ascii="Arial" w:hAnsi="Arial" w:cs="Arial"/>
          <w:sz w:val="20"/>
          <w:szCs w:val="20"/>
        </w:rPr>
        <w:t xml:space="preserve">aking into account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oung people in contact with the justice system often have multiple and complex needs that require time to address effectively. Evidence of reoffending among CCYD participants does not necessarily indicate CCYD was not successful. CCYD can put in place a 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Further consultation should explore options including, but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72" w:name="_10.8_The_“ROPES”"/>
      <w:bookmarkEnd w:id="272"/>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73" w:name="_10.8.1_The_program"/>
      <w:bookmarkEnd w:id="273"/>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74" w:name="_10.8.2_The_target"/>
      <w:bookmarkEnd w:id="274"/>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City">
        <w:smartTag w:uri="urn:schemas-microsoft-com:office:smarttags" w:element="place">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75" w:name="_10.8.3_The_aims"/>
      <w:bookmarkEnd w:id="275"/>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76" w:name="_10.8.4_The_content"/>
      <w:bookmarkEnd w:id="276"/>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Low Rock Climbing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High Rock Climbing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anti social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77" w:name="_10.8.5_The_consequence"/>
      <w:bookmarkEnd w:id="277"/>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At the conclusion of the course the young participants are encouraged to contact their respective police members for any matter they may need advice or assistance with in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sectPr w:rsidR="00D7335E" w:rsidSect="004F3C2B">
      <w:footerReference w:type="default" r:id="rId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D259" w14:textId="77777777" w:rsidR="00113BBC" w:rsidRDefault="00113BBC">
      <w:r>
        <w:separator/>
      </w:r>
    </w:p>
  </w:endnote>
  <w:endnote w:type="continuationSeparator" w:id="0">
    <w:p w14:paraId="7FFD9439" w14:textId="77777777" w:rsidR="00113BBC" w:rsidRDefault="0011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10F37A36" w:rsidR="00CB5B87" w:rsidRDefault="00CB5B87">
    <w:pPr>
      <w:pStyle w:val="Footer"/>
    </w:pPr>
    <w:r>
      <w:rPr>
        <w:rStyle w:val="PageNumber"/>
        <w:rFonts w:ascii="Arial" w:hAnsi="Arial" w:cs="Arial"/>
        <w:b/>
        <w:bCs/>
        <w:sz w:val="16"/>
      </w:rPr>
      <w:t xml:space="preserve">Last updated </w:t>
    </w:r>
    <w:r w:rsidR="00184BB7">
      <w:rPr>
        <w:rStyle w:val="PageNumber"/>
        <w:rFonts w:ascii="Arial" w:hAnsi="Arial" w:cs="Arial"/>
        <w:b/>
        <w:bCs/>
        <w:sz w:val="16"/>
      </w:rPr>
      <w:t>27 Nov</w:t>
    </w:r>
    <w:r w:rsidR="00A759AE">
      <w:rPr>
        <w:rStyle w:val="PageNumber"/>
        <w:rFonts w:ascii="Arial" w:hAnsi="Arial" w:cs="Arial"/>
        <w:b/>
        <w:bCs/>
        <w:sz w:val="16"/>
      </w:rPr>
      <w:t>ember</w:t>
    </w:r>
    <w:r w:rsidR="002408A1">
      <w:rPr>
        <w:rStyle w:val="PageNumber"/>
        <w:rFonts w:ascii="Arial" w:hAnsi="Arial" w:cs="Arial"/>
        <w:b/>
        <w:bCs/>
        <w:sz w:val="16"/>
      </w:rPr>
      <w:t xml:space="preserve"> 2025</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307B" w14:textId="77777777" w:rsidR="00113BBC" w:rsidRDefault="00113BBC">
      <w:r>
        <w:separator/>
      </w:r>
    </w:p>
  </w:footnote>
  <w:footnote w:type="continuationSeparator" w:id="0">
    <w:p w14:paraId="15400B07" w14:textId="77777777" w:rsidR="00113BBC" w:rsidRDefault="00113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A12BAC"/>
    <w:multiLevelType w:val="hybridMultilevel"/>
    <w:tmpl w:val="19C26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9"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2"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4"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4"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5"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0"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3"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45"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8"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51"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53"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4"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5"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56"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58" w15:restartNumberingAfterBreak="0">
    <w:nsid w:val="40925CA3"/>
    <w:multiLevelType w:val="hybridMultilevel"/>
    <w:tmpl w:val="903CF122"/>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6"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8"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9"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70"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1"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72"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7"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69D0E3D"/>
    <w:multiLevelType w:val="hybridMultilevel"/>
    <w:tmpl w:val="F434023E"/>
    <w:lvl w:ilvl="0" w:tplc="64C20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1"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4"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7"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8"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90"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2"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3"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5"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96"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7"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8"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9"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00"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1"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03"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04"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6"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7"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446869">
    <w:abstractNumId w:val="25"/>
  </w:num>
  <w:num w:numId="2" w16cid:durableId="1518930696">
    <w:abstractNumId w:val="44"/>
  </w:num>
  <w:num w:numId="3" w16cid:durableId="533857439">
    <w:abstractNumId w:val="43"/>
  </w:num>
  <w:num w:numId="4" w16cid:durableId="108941524">
    <w:abstractNumId w:val="80"/>
  </w:num>
  <w:num w:numId="5" w16cid:durableId="1290622740">
    <w:abstractNumId w:val="34"/>
  </w:num>
  <w:num w:numId="6" w16cid:durableId="293950207">
    <w:abstractNumId w:val="95"/>
  </w:num>
  <w:num w:numId="7" w16cid:durableId="932053166">
    <w:abstractNumId w:val="72"/>
  </w:num>
  <w:num w:numId="8" w16cid:durableId="1768575532">
    <w:abstractNumId w:val="51"/>
  </w:num>
  <w:num w:numId="9" w16cid:durableId="45297735">
    <w:abstractNumId w:val="24"/>
  </w:num>
  <w:num w:numId="10" w16cid:durableId="123163608">
    <w:abstractNumId w:val="49"/>
  </w:num>
  <w:num w:numId="11" w16cid:durableId="319044883">
    <w:abstractNumId w:val="73"/>
  </w:num>
  <w:num w:numId="12" w16cid:durableId="681787156">
    <w:abstractNumId w:val="98"/>
  </w:num>
  <w:num w:numId="13" w16cid:durableId="752706318">
    <w:abstractNumId w:val="97"/>
  </w:num>
  <w:num w:numId="14" w16cid:durableId="1053964263">
    <w:abstractNumId w:val="13"/>
  </w:num>
  <w:num w:numId="15" w16cid:durableId="211578649">
    <w:abstractNumId w:val="27"/>
  </w:num>
  <w:num w:numId="16" w16cid:durableId="27460194">
    <w:abstractNumId w:val="75"/>
  </w:num>
  <w:num w:numId="17" w16cid:durableId="29038114">
    <w:abstractNumId w:val="89"/>
  </w:num>
  <w:num w:numId="18" w16cid:durableId="603462408">
    <w:abstractNumId w:val="58"/>
  </w:num>
  <w:num w:numId="19" w16cid:durableId="854537546">
    <w:abstractNumId w:val="48"/>
  </w:num>
  <w:num w:numId="20" w16cid:durableId="1610428143">
    <w:abstractNumId w:val="11"/>
  </w:num>
  <w:num w:numId="21" w16cid:durableId="1028405940">
    <w:abstractNumId w:val="102"/>
  </w:num>
  <w:num w:numId="22" w16cid:durableId="570192650">
    <w:abstractNumId w:val="22"/>
  </w:num>
  <w:num w:numId="23" w16cid:durableId="699088725">
    <w:abstractNumId w:val="10"/>
  </w:num>
  <w:num w:numId="24" w16cid:durableId="967660956">
    <w:abstractNumId w:val="20"/>
  </w:num>
  <w:num w:numId="25" w16cid:durableId="672226692">
    <w:abstractNumId w:val="29"/>
  </w:num>
  <w:num w:numId="26" w16cid:durableId="1985113314">
    <w:abstractNumId w:val="59"/>
  </w:num>
  <w:num w:numId="27" w16cid:durableId="1387141631">
    <w:abstractNumId w:val="32"/>
  </w:num>
  <w:num w:numId="28" w16cid:durableId="1721057490">
    <w:abstractNumId w:val="15"/>
  </w:num>
  <w:num w:numId="29" w16cid:durableId="1760518028">
    <w:abstractNumId w:val="62"/>
  </w:num>
  <w:num w:numId="30" w16cid:durableId="964774121">
    <w:abstractNumId w:val="106"/>
  </w:num>
  <w:num w:numId="31" w16cid:durableId="344326424">
    <w:abstractNumId w:val="65"/>
  </w:num>
  <w:num w:numId="32" w16cid:durableId="1825929220">
    <w:abstractNumId w:val="23"/>
  </w:num>
  <w:num w:numId="33" w16cid:durableId="580993568">
    <w:abstractNumId w:val="40"/>
  </w:num>
  <w:num w:numId="34" w16cid:durableId="1285648812">
    <w:abstractNumId w:val="103"/>
  </w:num>
  <w:num w:numId="35" w16cid:durableId="1541282616">
    <w:abstractNumId w:val="105"/>
  </w:num>
  <w:num w:numId="36" w16cid:durableId="1020815478">
    <w:abstractNumId w:val="16"/>
  </w:num>
  <w:num w:numId="37" w16cid:durableId="1754549002">
    <w:abstractNumId w:val="5"/>
  </w:num>
  <w:num w:numId="38" w16cid:durableId="1396006305">
    <w:abstractNumId w:val="94"/>
  </w:num>
  <w:num w:numId="39" w16cid:durableId="1928877651">
    <w:abstractNumId w:val="91"/>
  </w:num>
  <w:num w:numId="40" w16cid:durableId="1241452986">
    <w:abstractNumId w:val="50"/>
  </w:num>
  <w:num w:numId="41" w16cid:durableId="1650743759">
    <w:abstractNumId w:val="74"/>
  </w:num>
  <w:num w:numId="42" w16cid:durableId="953974627">
    <w:abstractNumId w:val="101"/>
  </w:num>
  <w:num w:numId="43" w16cid:durableId="107045950">
    <w:abstractNumId w:val="37"/>
  </w:num>
  <w:num w:numId="44" w16cid:durableId="1183397123">
    <w:abstractNumId w:val="71"/>
  </w:num>
  <w:num w:numId="45" w16cid:durableId="1438016748">
    <w:abstractNumId w:val="52"/>
  </w:num>
  <w:num w:numId="46" w16cid:durableId="166482326">
    <w:abstractNumId w:val="8"/>
  </w:num>
  <w:num w:numId="47" w16cid:durableId="1982224275">
    <w:abstractNumId w:val="96"/>
  </w:num>
  <w:num w:numId="48" w16cid:durableId="2018994504">
    <w:abstractNumId w:val="4"/>
  </w:num>
  <w:num w:numId="49" w16cid:durableId="1937134170">
    <w:abstractNumId w:val="55"/>
  </w:num>
  <w:num w:numId="50" w16cid:durableId="1969820662">
    <w:abstractNumId w:val="54"/>
  </w:num>
  <w:num w:numId="51" w16cid:durableId="961762973">
    <w:abstractNumId w:val="77"/>
  </w:num>
  <w:num w:numId="52" w16cid:durableId="1174491273">
    <w:abstractNumId w:val="63"/>
  </w:num>
  <w:num w:numId="53" w16cid:durableId="150341575">
    <w:abstractNumId w:val="41"/>
  </w:num>
  <w:num w:numId="54" w16cid:durableId="2081051675">
    <w:abstractNumId w:val="66"/>
  </w:num>
  <w:num w:numId="55" w16cid:durableId="776102614">
    <w:abstractNumId w:val="30"/>
  </w:num>
  <w:num w:numId="56" w16cid:durableId="1008020792">
    <w:abstractNumId w:val="81"/>
  </w:num>
  <w:num w:numId="57" w16cid:durableId="1005354406">
    <w:abstractNumId w:val="93"/>
  </w:num>
  <w:num w:numId="58" w16cid:durableId="1134059955">
    <w:abstractNumId w:val="7"/>
  </w:num>
  <w:num w:numId="59" w16cid:durableId="423263357">
    <w:abstractNumId w:val="56"/>
  </w:num>
  <w:num w:numId="60" w16cid:durableId="1519781288">
    <w:abstractNumId w:val="12"/>
  </w:num>
  <w:num w:numId="61" w16cid:durableId="2140605916">
    <w:abstractNumId w:val="84"/>
  </w:num>
  <w:num w:numId="62" w16cid:durableId="317271790">
    <w:abstractNumId w:val="85"/>
  </w:num>
  <w:num w:numId="63" w16cid:durableId="1273515851">
    <w:abstractNumId w:val="60"/>
  </w:num>
  <w:num w:numId="64" w16cid:durableId="651179938">
    <w:abstractNumId w:val="38"/>
  </w:num>
  <w:num w:numId="65" w16cid:durableId="1669167818">
    <w:abstractNumId w:val="78"/>
  </w:num>
  <w:num w:numId="66" w16cid:durableId="609779310">
    <w:abstractNumId w:val="100"/>
  </w:num>
  <w:num w:numId="67" w16cid:durableId="2083946328">
    <w:abstractNumId w:val="39"/>
  </w:num>
  <w:num w:numId="68" w16cid:durableId="1665012405">
    <w:abstractNumId w:val="35"/>
  </w:num>
  <w:num w:numId="69" w16cid:durableId="1679691392">
    <w:abstractNumId w:val="42"/>
  </w:num>
  <w:num w:numId="70" w16cid:durableId="989481962">
    <w:abstractNumId w:val="2"/>
  </w:num>
  <w:num w:numId="71" w16cid:durableId="874856198">
    <w:abstractNumId w:val="67"/>
  </w:num>
  <w:num w:numId="72" w16cid:durableId="892499393">
    <w:abstractNumId w:val="69"/>
  </w:num>
  <w:num w:numId="73" w16cid:durableId="102193255">
    <w:abstractNumId w:val="18"/>
  </w:num>
  <w:num w:numId="74" w16cid:durableId="1669096050">
    <w:abstractNumId w:val="70"/>
  </w:num>
  <w:num w:numId="75" w16cid:durableId="693850865">
    <w:abstractNumId w:val="45"/>
  </w:num>
  <w:num w:numId="76" w16cid:durableId="338579296">
    <w:abstractNumId w:val="57"/>
  </w:num>
  <w:num w:numId="77" w16cid:durableId="154998671">
    <w:abstractNumId w:val="61"/>
  </w:num>
  <w:num w:numId="78" w16cid:durableId="1868179036">
    <w:abstractNumId w:val="21"/>
  </w:num>
  <w:num w:numId="79" w16cid:durableId="58485440">
    <w:abstractNumId w:val="99"/>
  </w:num>
  <w:num w:numId="80" w16cid:durableId="1061320167">
    <w:abstractNumId w:val="87"/>
  </w:num>
  <w:num w:numId="81" w16cid:durableId="1370957676">
    <w:abstractNumId w:val="76"/>
  </w:num>
  <w:num w:numId="82" w16cid:durableId="1959024595">
    <w:abstractNumId w:val="17"/>
  </w:num>
  <w:num w:numId="83" w16cid:durableId="1162818172">
    <w:abstractNumId w:val="79"/>
  </w:num>
  <w:num w:numId="84" w16cid:durableId="1829902836">
    <w:abstractNumId w:val="83"/>
  </w:num>
  <w:num w:numId="85" w16cid:durableId="1555846823">
    <w:abstractNumId w:val="33"/>
  </w:num>
  <w:num w:numId="86" w16cid:durableId="2111463123">
    <w:abstractNumId w:val="0"/>
  </w:num>
  <w:num w:numId="87" w16cid:durableId="853300517">
    <w:abstractNumId w:val="86"/>
  </w:num>
  <w:num w:numId="88" w16cid:durableId="1349454166">
    <w:abstractNumId w:val="82"/>
  </w:num>
  <w:num w:numId="89" w16cid:durableId="1713924764">
    <w:abstractNumId w:val="88"/>
  </w:num>
  <w:num w:numId="90" w16cid:durableId="934098101">
    <w:abstractNumId w:val="46"/>
  </w:num>
  <w:num w:numId="91" w16cid:durableId="137571430">
    <w:abstractNumId w:val="107"/>
  </w:num>
  <w:num w:numId="92" w16cid:durableId="1956406748">
    <w:abstractNumId w:val="104"/>
  </w:num>
  <w:num w:numId="93" w16cid:durableId="801000039">
    <w:abstractNumId w:val="28"/>
  </w:num>
  <w:num w:numId="94" w16cid:durableId="1016272444">
    <w:abstractNumId w:val="47"/>
  </w:num>
  <w:num w:numId="95" w16cid:durableId="1817606599">
    <w:abstractNumId w:val="14"/>
  </w:num>
  <w:num w:numId="96" w16cid:durableId="1959753109">
    <w:abstractNumId w:val="36"/>
  </w:num>
  <w:num w:numId="97" w16cid:durableId="324893244">
    <w:abstractNumId w:val="92"/>
  </w:num>
  <w:num w:numId="98" w16cid:durableId="116341225">
    <w:abstractNumId w:val="68"/>
  </w:num>
  <w:num w:numId="99" w16cid:durableId="1577352012">
    <w:abstractNumId w:val="19"/>
  </w:num>
  <w:num w:numId="100" w16cid:durableId="434056869">
    <w:abstractNumId w:val="53"/>
  </w:num>
  <w:num w:numId="101" w16cid:durableId="1157183632">
    <w:abstractNumId w:val="31"/>
  </w:num>
  <w:num w:numId="102" w16cid:durableId="1775439221">
    <w:abstractNumId w:val="1"/>
  </w:num>
  <w:num w:numId="103" w16cid:durableId="244146343">
    <w:abstractNumId w:val="90"/>
  </w:num>
  <w:num w:numId="104" w16cid:durableId="1023819264">
    <w:abstractNumId w:val="26"/>
  </w:num>
  <w:num w:numId="105" w16cid:durableId="1571496381">
    <w:abstractNumId w:val="6"/>
  </w:num>
  <w:num w:numId="106" w16cid:durableId="733435369">
    <w:abstractNumId w:val="9"/>
  </w:num>
  <w:num w:numId="107" w16cid:durableId="1685017088">
    <w:abstractNumId w:val="3"/>
  </w:num>
  <w:num w:numId="108" w16cid:durableId="1754468172">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4095"/>
    <w:rsid w:val="00014CBE"/>
    <w:rsid w:val="00014D78"/>
    <w:rsid w:val="000176CC"/>
    <w:rsid w:val="0001786E"/>
    <w:rsid w:val="000179F0"/>
    <w:rsid w:val="0002140B"/>
    <w:rsid w:val="00021BE8"/>
    <w:rsid w:val="00021D5B"/>
    <w:rsid w:val="000225D7"/>
    <w:rsid w:val="00022C2F"/>
    <w:rsid w:val="000231F7"/>
    <w:rsid w:val="000240C3"/>
    <w:rsid w:val="00024683"/>
    <w:rsid w:val="00024896"/>
    <w:rsid w:val="000259D8"/>
    <w:rsid w:val="00025B60"/>
    <w:rsid w:val="00025CC6"/>
    <w:rsid w:val="00026853"/>
    <w:rsid w:val="0002769D"/>
    <w:rsid w:val="000312F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40C"/>
    <w:rsid w:val="00051763"/>
    <w:rsid w:val="0005356A"/>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C73"/>
    <w:rsid w:val="00074F58"/>
    <w:rsid w:val="00075811"/>
    <w:rsid w:val="00075F3E"/>
    <w:rsid w:val="0007685A"/>
    <w:rsid w:val="0008023B"/>
    <w:rsid w:val="00080420"/>
    <w:rsid w:val="00081274"/>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C86"/>
    <w:rsid w:val="000A2D10"/>
    <w:rsid w:val="000A3EA1"/>
    <w:rsid w:val="000A44F4"/>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441"/>
    <w:rsid w:val="000D18FA"/>
    <w:rsid w:val="000D26D6"/>
    <w:rsid w:val="000D2E9F"/>
    <w:rsid w:val="000D5D4E"/>
    <w:rsid w:val="000D63B6"/>
    <w:rsid w:val="000D6710"/>
    <w:rsid w:val="000D6E1A"/>
    <w:rsid w:val="000E0433"/>
    <w:rsid w:val="000E1A8C"/>
    <w:rsid w:val="000E24E5"/>
    <w:rsid w:val="000E39B3"/>
    <w:rsid w:val="000E5655"/>
    <w:rsid w:val="000E6751"/>
    <w:rsid w:val="000F0B3E"/>
    <w:rsid w:val="000F325B"/>
    <w:rsid w:val="000F33C9"/>
    <w:rsid w:val="000F5140"/>
    <w:rsid w:val="000F5F83"/>
    <w:rsid w:val="000F680A"/>
    <w:rsid w:val="000F6A90"/>
    <w:rsid w:val="0010068D"/>
    <w:rsid w:val="001010FA"/>
    <w:rsid w:val="00102006"/>
    <w:rsid w:val="00102529"/>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5895"/>
    <w:rsid w:val="00115F66"/>
    <w:rsid w:val="001179C9"/>
    <w:rsid w:val="0012041E"/>
    <w:rsid w:val="001218D6"/>
    <w:rsid w:val="00123FF5"/>
    <w:rsid w:val="001243AC"/>
    <w:rsid w:val="00124597"/>
    <w:rsid w:val="001257F2"/>
    <w:rsid w:val="0012646E"/>
    <w:rsid w:val="00127ED9"/>
    <w:rsid w:val="00127EFF"/>
    <w:rsid w:val="00127F12"/>
    <w:rsid w:val="00130B2C"/>
    <w:rsid w:val="001311B5"/>
    <w:rsid w:val="001337DF"/>
    <w:rsid w:val="001338AE"/>
    <w:rsid w:val="0013522F"/>
    <w:rsid w:val="001362CB"/>
    <w:rsid w:val="0013636E"/>
    <w:rsid w:val="00136FB6"/>
    <w:rsid w:val="00137901"/>
    <w:rsid w:val="00140D52"/>
    <w:rsid w:val="0014154B"/>
    <w:rsid w:val="00142540"/>
    <w:rsid w:val="00143050"/>
    <w:rsid w:val="00143128"/>
    <w:rsid w:val="00143C7B"/>
    <w:rsid w:val="00144475"/>
    <w:rsid w:val="0014509B"/>
    <w:rsid w:val="001457A8"/>
    <w:rsid w:val="00146562"/>
    <w:rsid w:val="0014732A"/>
    <w:rsid w:val="0014774E"/>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4268"/>
    <w:rsid w:val="00165092"/>
    <w:rsid w:val="00165735"/>
    <w:rsid w:val="0016670A"/>
    <w:rsid w:val="0016706F"/>
    <w:rsid w:val="001717E6"/>
    <w:rsid w:val="00171808"/>
    <w:rsid w:val="001720E7"/>
    <w:rsid w:val="00172C3C"/>
    <w:rsid w:val="00172CD6"/>
    <w:rsid w:val="001735C1"/>
    <w:rsid w:val="001745A8"/>
    <w:rsid w:val="00174761"/>
    <w:rsid w:val="00174B32"/>
    <w:rsid w:val="001760B6"/>
    <w:rsid w:val="001766CF"/>
    <w:rsid w:val="001774E9"/>
    <w:rsid w:val="00177A10"/>
    <w:rsid w:val="0018044A"/>
    <w:rsid w:val="001825D6"/>
    <w:rsid w:val="0018366F"/>
    <w:rsid w:val="001837AA"/>
    <w:rsid w:val="0018396F"/>
    <w:rsid w:val="00184B22"/>
    <w:rsid w:val="00184BB7"/>
    <w:rsid w:val="00184D3A"/>
    <w:rsid w:val="00186356"/>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36C7"/>
    <w:rsid w:val="001B4231"/>
    <w:rsid w:val="001B61DE"/>
    <w:rsid w:val="001B7BAD"/>
    <w:rsid w:val="001B7E0E"/>
    <w:rsid w:val="001C014E"/>
    <w:rsid w:val="001C04FB"/>
    <w:rsid w:val="001C076D"/>
    <w:rsid w:val="001C228F"/>
    <w:rsid w:val="001C2CAC"/>
    <w:rsid w:val="001C37E9"/>
    <w:rsid w:val="001C3BD4"/>
    <w:rsid w:val="001C3C9A"/>
    <w:rsid w:val="001C6ACE"/>
    <w:rsid w:val="001C784F"/>
    <w:rsid w:val="001C7E55"/>
    <w:rsid w:val="001D08B7"/>
    <w:rsid w:val="001D16AC"/>
    <w:rsid w:val="001D209B"/>
    <w:rsid w:val="001D3111"/>
    <w:rsid w:val="001D3A6E"/>
    <w:rsid w:val="001D3BF2"/>
    <w:rsid w:val="001D3D77"/>
    <w:rsid w:val="001D4716"/>
    <w:rsid w:val="001D47D4"/>
    <w:rsid w:val="001D4FF3"/>
    <w:rsid w:val="001D517E"/>
    <w:rsid w:val="001D53C5"/>
    <w:rsid w:val="001D6109"/>
    <w:rsid w:val="001D68AE"/>
    <w:rsid w:val="001D6DA9"/>
    <w:rsid w:val="001D7376"/>
    <w:rsid w:val="001E133B"/>
    <w:rsid w:val="001E14FF"/>
    <w:rsid w:val="001E2211"/>
    <w:rsid w:val="001E257D"/>
    <w:rsid w:val="001E297F"/>
    <w:rsid w:val="001E3540"/>
    <w:rsid w:val="001E4902"/>
    <w:rsid w:val="001E50EC"/>
    <w:rsid w:val="001E6B74"/>
    <w:rsid w:val="001E7F39"/>
    <w:rsid w:val="001F0AE8"/>
    <w:rsid w:val="001F0CCD"/>
    <w:rsid w:val="001F12DC"/>
    <w:rsid w:val="001F2C26"/>
    <w:rsid w:val="001F30DD"/>
    <w:rsid w:val="001F38A0"/>
    <w:rsid w:val="001F44F9"/>
    <w:rsid w:val="001F4A4B"/>
    <w:rsid w:val="001F50EB"/>
    <w:rsid w:val="001F5715"/>
    <w:rsid w:val="001F6DAA"/>
    <w:rsid w:val="001F7216"/>
    <w:rsid w:val="00200D98"/>
    <w:rsid w:val="0020174E"/>
    <w:rsid w:val="00201765"/>
    <w:rsid w:val="00202383"/>
    <w:rsid w:val="002023A5"/>
    <w:rsid w:val="002024C8"/>
    <w:rsid w:val="00202A14"/>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7A2"/>
    <w:rsid w:val="00227D26"/>
    <w:rsid w:val="00227EDC"/>
    <w:rsid w:val="00232E3D"/>
    <w:rsid w:val="00233EAA"/>
    <w:rsid w:val="0023444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2091"/>
    <w:rsid w:val="00274857"/>
    <w:rsid w:val="00274B54"/>
    <w:rsid w:val="00275951"/>
    <w:rsid w:val="00275AD9"/>
    <w:rsid w:val="002777FA"/>
    <w:rsid w:val="00280CD1"/>
    <w:rsid w:val="00281AC8"/>
    <w:rsid w:val="00282E21"/>
    <w:rsid w:val="0028319E"/>
    <w:rsid w:val="002833A3"/>
    <w:rsid w:val="00284AED"/>
    <w:rsid w:val="00285111"/>
    <w:rsid w:val="002851C6"/>
    <w:rsid w:val="00287581"/>
    <w:rsid w:val="00287AF2"/>
    <w:rsid w:val="0029041F"/>
    <w:rsid w:val="00290ACE"/>
    <w:rsid w:val="00290BA0"/>
    <w:rsid w:val="00290DB5"/>
    <w:rsid w:val="00291F4A"/>
    <w:rsid w:val="00292C55"/>
    <w:rsid w:val="002934C8"/>
    <w:rsid w:val="002936E9"/>
    <w:rsid w:val="00293DB2"/>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411E"/>
    <w:rsid w:val="002B57BF"/>
    <w:rsid w:val="002B5BB9"/>
    <w:rsid w:val="002B7EA1"/>
    <w:rsid w:val="002C0AEF"/>
    <w:rsid w:val="002C1A60"/>
    <w:rsid w:val="002C359C"/>
    <w:rsid w:val="002C3DC9"/>
    <w:rsid w:val="002C427D"/>
    <w:rsid w:val="002C42FB"/>
    <w:rsid w:val="002C7020"/>
    <w:rsid w:val="002C706D"/>
    <w:rsid w:val="002D2CC0"/>
    <w:rsid w:val="002D2FD1"/>
    <w:rsid w:val="002D3CA6"/>
    <w:rsid w:val="002D412F"/>
    <w:rsid w:val="002D449E"/>
    <w:rsid w:val="002D6001"/>
    <w:rsid w:val="002D612D"/>
    <w:rsid w:val="002D761A"/>
    <w:rsid w:val="002E099D"/>
    <w:rsid w:val="002E18B8"/>
    <w:rsid w:val="002E18C6"/>
    <w:rsid w:val="002E1F7E"/>
    <w:rsid w:val="002E2A87"/>
    <w:rsid w:val="002E2AE9"/>
    <w:rsid w:val="002E3EE1"/>
    <w:rsid w:val="002E4787"/>
    <w:rsid w:val="002E4CDC"/>
    <w:rsid w:val="002E5CA6"/>
    <w:rsid w:val="002F0C63"/>
    <w:rsid w:val="002F1CF8"/>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C30"/>
    <w:rsid w:val="00327C9D"/>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50BE2"/>
    <w:rsid w:val="00352C1E"/>
    <w:rsid w:val="00352EA8"/>
    <w:rsid w:val="00353DFC"/>
    <w:rsid w:val="00353FD6"/>
    <w:rsid w:val="00355D67"/>
    <w:rsid w:val="00356803"/>
    <w:rsid w:val="00357842"/>
    <w:rsid w:val="00360462"/>
    <w:rsid w:val="00361265"/>
    <w:rsid w:val="003615F6"/>
    <w:rsid w:val="003624BD"/>
    <w:rsid w:val="003639C5"/>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2273"/>
    <w:rsid w:val="003829E9"/>
    <w:rsid w:val="00383AD4"/>
    <w:rsid w:val="0038510C"/>
    <w:rsid w:val="003855A7"/>
    <w:rsid w:val="0038630E"/>
    <w:rsid w:val="00392BCD"/>
    <w:rsid w:val="0039663B"/>
    <w:rsid w:val="0039721E"/>
    <w:rsid w:val="003A0079"/>
    <w:rsid w:val="003A01E1"/>
    <w:rsid w:val="003A1E9D"/>
    <w:rsid w:val="003A39A9"/>
    <w:rsid w:val="003A3A54"/>
    <w:rsid w:val="003A45E3"/>
    <w:rsid w:val="003A7419"/>
    <w:rsid w:val="003A751C"/>
    <w:rsid w:val="003B0481"/>
    <w:rsid w:val="003B0855"/>
    <w:rsid w:val="003B0E61"/>
    <w:rsid w:val="003B1103"/>
    <w:rsid w:val="003B1A89"/>
    <w:rsid w:val="003B2479"/>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B74"/>
    <w:rsid w:val="003E3181"/>
    <w:rsid w:val="003E33DD"/>
    <w:rsid w:val="003E40C3"/>
    <w:rsid w:val="003E43C4"/>
    <w:rsid w:val="003E497F"/>
    <w:rsid w:val="003E4E37"/>
    <w:rsid w:val="003E4F29"/>
    <w:rsid w:val="003E5D52"/>
    <w:rsid w:val="003E5F1B"/>
    <w:rsid w:val="003E6E50"/>
    <w:rsid w:val="003E7179"/>
    <w:rsid w:val="003E7DED"/>
    <w:rsid w:val="003E7EAC"/>
    <w:rsid w:val="003F10E5"/>
    <w:rsid w:val="003F15EB"/>
    <w:rsid w:val="003F1AD9"/>
    <w:rsid w:val="003F46CC"/>
    <w:rsid w:val="003F68FE"/>
    <w:rsid w:val="003F6963"/>
    <w:rsid w:val="00400165"/>
    <w:rsid w:val="004011DC"/>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204E7"/>
    <w:rsid w:val="00420E83"/>
    <w:rsid w:val="00421C19"/>
    <w:rsid w:val="004227B0"/>
    <w:rsid w:val="004231BA"/>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8EC"/>
    <w:rsid w:val="00440183"/>
    <w:rsid w:val="004403F0"/>
    <w:rsid w:val="00441BAF"/>
    <w:rsid w:val="004424C5"/>
    <w:rsid w:val="00442CF3"/>
    <w:rsid w:val="0044435C"/>
    <w:rsid w:val="00444362"/>
    <w:rsid w:val="00445A0A"/>
    <w:rsid w:val="00446068"/>
    <w:rsid w:val="0044676A"/>
    <w:rsid w:val="004468BB"/>
    <w:rsid w:val="00446A02"/>
    <w:rsid w:val="00446CE6"/>
    <w:rsid w:val="00446E2F"/>
    <w:rsid w:val="00451308"/>
    <w:rsid w:val="004520D9"/>
    <w:rsid w:val="00452144"/>
    <w:rsid w:val="00452356"/>
    <w:rsid w:val="00454383"/>
    <w:rsid w:val="00454687"/>
    <w:rsid w:val="004548F8"/>
    <w:rsid w:val="00455519"/>
    <w:rsid w:val="004555CF"/>
    <w:rsid w:val="00455B4C"/>
    <w:rsid w:val="00456169"/>
    <w:rsid w:val="00456C4C"/>
    <w:rsid w:val="00456C55"/>
    <w:rsid w:val="00460FA7"/>
    <w:rsid w:val="00461897"/>
    <w:rsid w:val="00461F37"/>
    <w:rsid w:val="00462BDF"/>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3246"/>
    <w:rsid w:val="004837E9"/>
    <w:rsid w:val="00483992"/>
    <w:rsid w:val="004849D4"/>
    <w:rsid w:val="0048553C"/>
    <w:rsid w:val="0048594F"/>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624F"/>
    <w:rsid w:val="004B6302"/>
    <w:rsid w:val="004B63BA"/>
    <w:rsid w:val="004B643E"/>
    <w:rsid w:val="004B6E39"/>
    <w:rsid w:val="004B71A4"/>
    <w:rsid w:val="004B739E"/>
    <w:rsid w:val="004B7966"/>
    <w:rsid w:val="004C0264"/>
    <w:rsid w:val="004C067C"/>
    <w:rsid w:val="004C1D37"/>
    <w:rsid w:val="004C31C6"/>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7470"/>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114B"/>
    <w:rsid w:val="005018F9"/>
    <w:rsid w:val="005022A0"/>
    <w:rsid w:val="005031FE"/>
    <w:rsid w:val="00503E8E"/>
    <w:rsid w:val="00506417"/>
    <w:rsid w:val="005071BF"/>
    <w:rsid w:val="00507B6B"/>
    <w:rsid w:val="00507E65"/>
    <w:rsid w:val="00510311"/>
    <w:rsid w:val="00510693"/>
    <w:rsid w:val="00510BB8"/>
    <w:rsid w:val="005115E2"/>
    <w:rsid w:val="00512269"/>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3D7F"/>
    <w:rsid w:val="005556FA"/>
    <w:rsid w:val="00556471"/>
    <w:rsid w:val="00556D81"/>
    <w:rsid w:val="00556F7C"/>
    <w:rsid w:val="00557790"/>
    <w:rsid w:val="00560695"/>
    <w:rsid w:val="0056213E"/>
    <w:rsid w:val="005621B5"/>
    <w:rsid w:val="00563675"/>
    <w:rsid w:val="0056529F"/>
    <w:rsid w:val="00565B63"/>
    <w:rsid w:val="0056633F"/>
    <w:rsid w:val="00566391"/>
    <w:rsid w:val="00566C78"/>
    <w:rsid w:val="005672ED"/>
    <w:rsid w:val="005703FE"/>
    <w:rsid w:val="005714E2"/>
    <w:rsid w:val="005717AF"/>
    <w:rsid w:val="00571912"/>
    <w:rsid w:val="005727FB"/>
    <w:rsid w:val="005730C7"/>
    <w:rsid w:val="00573CB8"/>
    <w:rsid w:val="00573D5B"/>
    <w:rsid w:val="00573E2F"/>
    <w:rsid w:val="00574B62"/>
    <w:rsid w:val="00574C94"/>
    <w:rsid w:val="00575B9D"/>
    <w:rsid w:val="005770AC"/>
    <w:rsid w:val="00577903"/>
    <w:rsid w:val="00580D22"/>
    <w:rsid w:val="005812F1"/>
    <w:rsid w:val="005816F7"/>
    <w:rsid w:val="0058186D"/>
    <w:rsid w:val="0058517C"/>
    <w:rsid w:val="005876DB"/>
    <w:rsid w:val="005905DE"/>
    <w:rsid w:val="00593D0E"/>
    <w:rsid w:val="005941A2"/>
    <w:rsid w:val="00594D9B"/>
    <w:rsid w:val="00595F6E"/>
    <w:rsid w:val="00596607"/>
    <w:rsid w:val="0059687C"/>
    <w:rsid w:val="00597838"/>
    <w:rsid w:val="00597A12"/>
    <w:rsid w:val="005A0677"/>
    <w:rsid w:val="005A06A0"/>
    <w:rsid w:val="005A1540"/>
    <w:rsid w:val="005A2AD7"/>
    <w:rsid w:val="005A2D97"/>
    <w:rsid w:val="005A3041"/>
    <w:rsid w:val="005A3F75"/>
    <w:rsid w:val="005A4304"/>
    <w:rsid w:val="005A4691"/>
    <w:rsid w:val="005A4E61"/>
    <w:rsid w:val="005A5AB4"/>
    <w:rsid w:val="005A5DA7"/>
    <w:rsid w:val="005A694C"/>
    <w:rsid w:val="005A6DC8"/>
    <w:rsid w:val="005A6FCB"/>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40A1"/>
    <w:rsid w:val="005C4683"/>
    <w:rsid w:val="005C5A37"/>
    <w:rsid w:val="005C5A38"/>
    <w:rsid w:val="005C5E3E"/>
    <w:rsid w:val="005C74A6"/>
    <w:rsid w:val="005C7835"/>
    <w:rsid w:val="005D1450"/>
    <w:rsid w:val="005D197B"/>
    <w:rsid w:val="005D2690"/>
    <w:rsid w:val="005D2AB8"/>
    <w:rsid w:val="005D2BA1"/>
    <w:rsid w:val="005D5C3D"/>
    <w:rsid w:val="005E01D4"/>
    <w:rsid w:val="005E0AE9"/>
    <w:rsid w:val="005E1922"/>
    <w:rsid w:val="005E22A6"/>
    <w:rsid w:val="005E2DB3"/>
    <w:rsid w:val="005E3696"/>
    <w:rsid w:val="005E3F45"/>
    <w:rsid w:val="005E4154"/>
    <w:rsid w:val="005E5A57"/>
    <w:rsid w:val="005E5C6A"/>
    <w:rsid w:val="005E61C4"/>
    <w:rsid w:val="005E6269"/>
    <w:rsid w:val="005E7420"/>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2956"/>
    <w:rsid w:val="006142A8"/>
    <w:rsid w:val="0061550B"/>
    <w:rsid w:val="00616B9C"/>
    <w:rsid w:val="0061730B"/>
    <w:rsid w:val="0061774F"/>
    <w:rsid w:val="00617FC3"/>
    <w:rsid w:val="00620051"/>
    <w:rsid w:val="006201A4"/>
    <w:rsid w:val="006218C4"/>
    <w:rsid w:val="0062267A"/>
    <w:rsid w:val="0062288F"/>
    <w:rsid w:val="00622BF6"/>
    <w:rsid w:val="006230A7"/>
    <w:rsid w:val="006239CE"/>
    <w:rsid w:val="00623DE7"/>
    <w:rsid w:val="00624285"/>
    <w:rsid w:val="006247C3"/>
    <w:rsid w:val="006254AC"/>
    <w:rsid w:val="00625723"/>
    <w:rsid w:val="00625940"/>
    <w:rsid w:val="00625A0B"/>
    <w:rsid w:val="006261E0"/>
    <w:rsid w:val="00627516"/>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4048E"/>
    <w:rsid w:val="006416E5"/>
    <w:rsid w:val="00641CFF"/>
    <w:rsid w:val="00643553"/>
    <w:rsid w:val="006448A4"/>
    <w:rsid w:val="006448DD"/>
    <w:rsid w:val="00644ADD"/>
    <w:rsid w:val="006450A5"/>
    <w:rsid w:val="006454C0"/>
    <w:rsid w:val="00645C41"/>
    <w:rsid w:val="0064607A"/>
    <w:rsid w:val="0064653E"/>
    <w:rsid w:val="00646D5A"/>
    <w:rsid w:val="0064799F"/>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6439"/>
    <w:rsid w:val="006668EE"/>
    <w:rsid w:val="00666FA7"/>
    <w:rsid w:val="0066767D"/>
    <w:rsid w:val="00670F34"/>
    <w:rsid w:val="0067169F"/>
    <w:rsid w:val="00671F93"/>
    <w:rsid w:val="00672670"/>
    <w:rsid w:val="0067337B"/>
    <w:rsid w:val="00673E67"/>
    <w:rsid w:val="006741B2"/>
    <w:rsid w:val="00674552"/>
    <w:rsid w:val="00674B73"/>
    <w:rsid w:val="0067504C"/>
    <w:rsid w:val="0067609C"/>
    <w:rsid w:val="006764F7"/>
    <w:rsid w:val="00676C36"/>
    <w:rsid w:val="006770D4"/>
    <w:rsid w:val="00677772"/>
    <w:rsid w:val="006815C8"/>
    <w:rsid w:val="00681735"/>
    <w:rsid w:val="0068316F"/>
    <w:rsid w:val="00683922"/>
    <w:rsid w:val="00684F48"/>
    <w:rsid w:val="00685450"/>
    <w:rsid w:val="00686CC6"/>
    <w:rsid w:val="0069036A"/>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710"/>
    <w:rsid w:val="006A6BA3"/>
    <w:rsid w:val="006A71B0"/>
    <w:rsid w:val="006B0324"/>
    <w:rsid w:val="006B040F"/>
    <w:rsid w:val="006B08FC"/>
    <w:rsid w:val="006B1291"/>
    <w:rsid w:val="006B3C4D"/>
    <w:rsid w:val="006B43A4"/>
    <w:rsid w:val="006B4DE0"/>
    <w:rsid w:val="006B5CB4"/>
    <w:rsid w:val="006B677C"/>
    <w:rsid w:val="006B718F"/>
    <w:rsid w:val="006B72CD"/>
    <w:rsid w:val="006C15D8"/>
    <w:rsid w:val="006C16E2"/>
    <w:rsid w:val="006C24A8"/>
    <w:rsid w:val="006C250A"/>
    <w:rsid w:val="006C3099"/>
    <w:rsid w:val="006C3325"/>
    <w:rsid w:val="006C35C5"/>
    <w:rsid w:val="006C3AC5"/>
    <w:rsid w:val="006C3FE7"/>
    <w:rsid w:val="006C4A4A"/>
    <w:rsid w:val="006C6504"/>
    <w:rsid w:val="006C7B2F"/>
    <w:rsid w:val="006C7B93"/>
    <w:rsid w:val="006D0571"/>
    <w:rsid w:val="006D0B24"/>
    <w:rsid w:val="006D0C11"/>
    <w:rsid w:val="006D16B9"/>
    <w:rsid w:val="006D284B"/>
    <w:rsid w:val="006D4E76"/>
    <w:rsid w:val="006D6CAC"/>
    <w:rsid w:val="006E04E6"/>
    <w:rsid w:val="006E1662"/>
    <w:rsid w:val="006E231C"/>
    <w:rsid w:val="006E2482"/>
    <w:rsid w:val="006E33F5"/>
    <w:rsid w:val="006E356E"/>
    <w:rsid w:val="006E4816"/>
    <w:rsid w:val="006E4C1D"/>
    <w:rsid w:val="006E5724"/>
    <w:rsid w:val="006E5FF3"/>
    <w:rsid w:val="006E7C62"/>
    <w:rsid w:val="006F04E5"/>
    <w:rsid w:val="006F151E"/>
    <w:rsid w:val="006F1B9D"/>
    <w:rsid w:val="006F21C3"/>
    <w:rsid w:val="006F2C6E"/>
    <w:rsid w:val="006F4474"/>
    <w:rsid w:val="006F456B"/>
    <w:rsid w:val="006F7046"/>
    <w:rsid w:val="006F7B3F"/>
    <w:rsid w:val="006F7EC8"/>
    <w:rsid w:val="007004C8"/>
    <w:rsid w:val="007009D6"/>
    <w:rsid w:val="00702EE8"/>
    <w:rsid w:val="00703514"/>
    <w:rsid w:val="00703C27"/>
    <w:rsid w:val="007042C4"/>
    <w:rsid w:val="00705267"/>
    <w:rsid w:val="00705725"/>
    <w:rsid w:val="00706E69"/>
    <w:rsid w:val="00706F03"/>
    <w:rsid w:val="007073D0"/>
    <w:rsid w:val="007105FE"/>
    <w:rsid w:val="00710718"/>
    <w:rsid w:val="007118ED"/>
    <w:rsid w:val="007122FC"/>
    <w:rsid w:val="00712363"/>
    <w:rsid w:val="0071363D"/>
    <w:rsid w:val="00714B12"/>
    <w:rsid w:val="00714F5F"/>
    <w:rsid w:val="007155B0"/>
    <w:rsid w:val="007162E2"/>
    <w:rsid w:val="00716B8A"/>
    <w:rsid w:val="007174DC"/>
    <w:rsid w:val="007212C4"/>
    <w:rsid w:val="007213F8"/>
    <w:rsid w:val="007221D3"/>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4BD1"/>
    <w:rsid w:val="00746B1A"/>
    <w:rsid w:val="00747AF8"/>
    <w:rsid w:val="00750F5B"/>
    <w:rsid w:val="00751E15"/>
    <w:rsid w:val="0075267B"/>
    <w:rsid w:val="00752A21"/>
    <w:rsid w:val="00754EE7"/>
    <w:rsid w:val="00754EEE"/>
    <w:rsid w:val="00755C4C"/>
    <w:rsid w:val="00756035"/>
    <w:rsid w:val="007562DB"/>
    <w:rsid w:val="007567D6"/>
    <w:rsid w:val="00756C78"/>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6CDB"/>
    <w:rsid w:val="00777CA4"/>
    <w:rsid w:val="00777F8A"/>
    <w:rsid w:val="00780B6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1C5C"/>
    <w:rsid w:val="007932D5"/>
    <w:rsid w:val="007936A8"/>
    <w:rsid w:val="007939D8"/>
    <w:rsid w:val="00793A3B"/>
    <w:rsid w:val="00793EF9"/>
    <w:rsid w:val="0079462E"/>
    <w:rsid w:val="007949D2"/>
    <w:rsid w:val="0079583D"/>
    <w:rsid w:val="00796FC3"/>
    <w:rsid w:val="00797C32"/>
    <w:rsid w:val="007A10DE"/>
    <w:rsid w:val="007A13F5"/>
    <w:rsid w:val="007A16AE"/>
    <w:rsid w:val="007A2A86"/>
    <w:rsid w:val="007A4D2A"/>
    <w:rsid w:val="007A57EB"/>
    <w:rsid w:val="007A62E8"/>
    <w:rsid w:val="007A768C"/>
    <w:rsid w:val="007A7A3D"/>
    <w:rsid w:val="007A7AE8"/>
    <w:rsid w:val="007B015D"/>
    <w:rsid w:val="007B06F5"/>
    <w:rsid w:val="007B1329"/>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2EFD"/>
    <w:rsid w:val="007C3570"/>
    <w:rsid w:val="007C3CE4"/>
    <w:rsid w:val="007C40FB"/>
    <w:rsid w:val="007C4EB3"/>
    <w:rsid w:val="007C56AB"/>
    <w:rsid w:val="007C575E"/>
    <w:rsid w:val="007C6540"/>
    <w:rsid w:val="007C751D"/>
    <w:rsid w:val="007D04A0"/>
    <w:rsid w:val="007D056E"/>
    <w:rsid w:val="007D1161"/>
    <w:rsid w:val="007D1330"/>
    <w:rsid w:val="007D2DAE"/>
    <w:rsid w:val="007D31F0"/>
    <w:rsid w:val="007D341E"/>
    <w:rsid w:val="007D4339"/>
    <w:rsid w:val="007D4DF2"/>
    <w:rsid w:val="007D55B8"/>
    <w:rsid w:val="007D63EB"/>
    <w:rsid w:val="007D6CBE"/>
    <w:rsid w:val="007D7268"/>
    <w:rsid w:val="007E136D"/>
    <w:rsid w:val="007E2C85"/>
    <w:rsid w:val="007E45D1"/>
    <w:rsid w:val="007E504F"/>
    <w:rsid w:val="007E5294"/>
    <w:rsid w:val="007E6A83"/>
    <w:rsid w:val="007E6AD4"/>
    <w:rsid w:val="007E76DA"/>
    <w:rsid w:val="007E7B18"/>
    <w:rsid w:val="007F09C7"/>
    <w:rsid w:val="007F0D9B"/>
    <w:rsid w:val="007F2821"/>
    <w:rsid w:val="007F2C02"/>
    <w:rsid w:val="007F3F4E"/>
    <w:rsid w:val="007F4DED"/>
    <w:rsid w:val="007F6000"/>
    <w:rsid w:val="007F6EC1"/>
    <w:rsid w:val="007F7443"/>
    <w:rsid w:val="008004D3"/>
    <w:rsid w:val="00800D84"/>
    <w:rsid w:val="008020B1"/>
    <w:rsid w:val="008039F0"/>
    <w:rsid w:val="00803A93"/>
    <w:rsid w:val="00803B47"/>
    <w:rsid w:val="00804AE0"/>
    <w:rsid w:val="00804DA4"/>
    <w:rsid w:val="00804F02"/>
    <w:rsid w:val="00805350"/>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2147"/>
    <w:rsid w:val="008334DE"/>
    <w:rsid w:val="0083611C"/>
    <w:rsid w:val="00836A74"/>
    <w:rsid w:val="008372B3"/>
    <w:rsid w:val="0083744A"/>
    <w:rsid w:val="0083772D"/>
    <w:rsid w:val="00841832"/>
    <w:rsid w:val="0084441E"/>
    <w:rsid w:val="00845144"/>
    <w:rsid w:val="00846611"/>
    <w:rsid w:val="0085010D"/>
    <w:rsid w:val="00851553"/>
    <w:rsid w:val="0085159B"/>
    <w:rsid w:val="00851616"/>
    <w:rsid w:val="00852046"/>
    <w:rsid w:val="00853079"/>
    <w:rsid w:val="008558DD"/>
    <w:rsid w:val="008560E3"/>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6DF"/>
    <w:rsid w:val="00877723"/>
    <w:rsid w:val="00877735"/>
    <w:rsid w:val="008808B1"/>
    <w:rsid w:val="00882E0F"/>
    <w:rsid w:val="0088456E"/>
    <w:rsid w:val="00885A6D"/>
    <w:rsid w:val="0088623C"/>
    <w:rsid w:val="008862C2"/>
    <w:rsid w:val="0088633A"/>
    <w:rsid w:val="00886936"/>
    <w:rsid w:val="00890310"/>
    <w:rsid w:val="0089055A"/>
    <w:rsid w:val="0089067A"/>
    <w:rsid w:val="008907E3"/>
    <w:rsid w:val="00890898"/>
    <w:rsid w:val="00890B4D"/>
    <w:rsid w:val="00891114"/>
    <w:rsid w:val="008923D9"/>
    <w:rsid w:val="0089267B"/>
    <w:rsid w:val="008926C1"/>
    <w:rsid w:val="008929CF"/>
    <w:rsid w:val="00892E35"/>
    <w:rsid w:val="0089381C"/>
    <w:rsid w:val="008941B4"/>
    <w:rsid w:val="00894462"/>
    <w:rsid w:val="00895D24"/>
    <w:rsid w:val="00895F00"/>
    <w:rsid w:val="008A085D"/>
    <w:rsid w:val="008A258A"/>
    <w:rsid w:val="008A267A"/>
    <w:rsid w:val="008A26C6"/>
    <w:rsid w:val="008A3777"/>
    <w:rsid w:val="008A378E"/>
    <w:rsid w:val="008A3EA8"/>
    <w:rsid w:val="008A6AED"/>
    <w:rsid w:val="008A6CB6"/>
    <w:rsid w:val="008A725A"/>
    <w:rsid w:val="008A74DB"/>
    <w:rsid w:val="008B0A96"/>
    <w:rsid w:val="008B0E08"/>
    <w:rsid w:val="008B18C1"/>
    <w:rsid w:val="008B199E"/>
    <w:rsid w:val="008B1EED"/>
    <w:rsid w:val="008B2B06"/>
    <w:rsid w:val="008B3387"/>
    <w:rsid w:val="008B3618"/>
    <w:rsid w:val="008B58A9"/>
    <w:rsid w:val="008B59CD"/>
    <w:rsid w:val="008B5B19"/>
    <w:rsid w:val="008B6A02"/>
    <w:rsid w:val="008B6B71"/>
    <w:rsid w:val="008B7053"/>
    <w:rsid w:val="008B7AE7"/>
    <w:rsid w:val="008B7C1A"/>
    <w:rsid w:val="008C0447"/>
    <w:rsid w:val="008C1608"/>
    <w:rsid w:val="008C19ED"/>
    <w:rsid w:val="008C474F"/>
    <w:rsid w:val="008C4D82"/>
    <w:rsid w:val="008C4E2F"/>
    <w:rsid w:val="008C4FDC"/>
    <w:rsid w:val="008C6260"/>
    <w:rsid w:val="008C63AE"/>
    <w:rsid w:val="008C7F6E"/>
    <w:rsid w:val="008D0EFF"/>
    <w:rsid w:val="008D4CD3"/>
    <w:rsid w:val="008D4E02"/>
    <w:rsid w:val="008D7208"/>
    <w:rsid w:val="008D722E"/>
    <w:rsid w:val="008D74CE"/>
    <w:rsid w:val="008D7990"/>
    <w:rsid w:val="008D7D05"/>
    <w:rsid w:val="008E0CF6"/>
    <w:rsid w:val="008E111B"/>
    <w:rsid w:val="008E1CB6"/>
    <w:rsid w:val="008E2FD8"/>
    <w:rsid w:val="008E3651"/>
    <w:rsid w:val="008E3DB0"/>
    <w:rsid w:val="008E4BB2"/>
    <w:rsid w:val="008E519F"/>
    <w:rsid w:val="008E6B90"/>
    <w:rsid w:val="008E6FDC"/>
    <w:rsid w:val="008F18A3"/>
    <w:rsid w:val="008F22CE"/>
    <w:rsid w:val="008F23CD"/>
    <w:rsid w:val="008F6591"/>
    <w:rsid w:val="008F679C"/>
    <w:rsid w:val="008F75C6"/>
    <w:rsid w:val="0090020F"/>
    <w:rsid w:val="009003F8"/>
    <w:rsid w:val="00900A81"/>
    <w:rsid w:val="0090184F"/>
    <w:rsid w:val="00901D90"/>
    <w:rsid w:val="00903921"/>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39B"/>
    <w:rsid w:val="00923D96"/>
    <w:rsid w:val="0092421C"/>
    <w:rsid w:val="00925032"/>
    <w:rsid w:val="00925BA8"/>
    <w:rsid w:val="00926058"/>
    <w:rsid w:val="00926C37"/>
    <w:rsid w:val="00927272"/>
    <w:rsid w:val="00927FBD"/>
    <w:rsid w:val="00931994"/>
    <w:rsid w:val="00931C00"/>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5124"/>
    <w:rsid w:val="009452E9"/>
    <w:rsid w:val="0094543A"/>
    <w:rsid w:val="00945AF9"/>
    <w:rsid w:val="00945F76"/>
    <w:rsid w:val="009473C0"/>
    <w:rsid w:val="0095217E"/>
    <w:rsid w:val="00952251"/>
    <w:rsid w:val="00952705"/>
    <w:rsid w:val="00952943"/>
    <w:rsid w:val="0095305A"/>
    <w:rsid w:val="00953BC3"/>
    <w:rsid w:val="00954CEE"/>
    <w:rsid w:val="009554B3"/>
    <w:rsid w:val="00955853"/>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4CD"/>
    <w:rsid w:val="00973BBE"/>
    <w:rsid w:val="00973DAB"/>
    <w:rsid w:val="009741BD"/>
    <w:rsid w:val="0097498B"/>
    <w:rsid w:val="0097583F"/>
    <w:rsid w:val="00975AC8"/>
    <w:rsid w:val="00975E00"/>
    <w:rsid w:val="00975E27"/>
    <w:rsid w:val="00976E5E"/>
    <w:rsid w:val="009810B7"/>
    <w:rsid w:val="009810C8"/>
    <w:rsid w:val="0098158C"/>
    <w:rsid w:val="00982364"/>
    <w:rsid w:val="009831B9"/>
    <w:rsid w:val="00984294"/>
    <w:rsid w:val="009846CC"/>
    <w:rsid w:val="00984BFD"/>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5AD"/>
    <w:rsid w:val="009A40A6"/>
    <w:rsid w:val="009A4580"/>
    <w:rsid w:val="009A4B05"/>
    <w:rsid w:val="009A56D7"/>
    <w:rsid w:val="009A6564"/>
    <w:rsid w:val="009A6889"/>
    <w:rsid w:val="009A6CA8"/>
    <w:rsid w:val="009B00B6"/>
    <w:rsid w:val="009B0EE1"/>
    <w:rsid w:val="009B1149"/>
    <w:rsid w:val="009B3987"/>
    <w:rsid w:val="009B4C44"/>
    <w:rsid w:val="009B52AB"/>
    <w:rsid w:val="009B599B"/>
    <w:rsid w:val="009B5B47"/>
    <w:rsid w:val="009B5E2A"/>
    <w:rsid w:val="009B6960"/>
    <w:rsid w:val="009B7036"/>
    <w:rsid w:val="009C1B40"/>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BE3"/>
    <w:rsid w:val="009E358D"/>
    <w:rsid w:val="009E4A0F"/>
    <w:rsid w:val="009E5BAE"/>
    <w:rsid w:val="009E66FF"/>
    <w:rsid w:val="009E68BB"/>
    <w:rsid w:val="009E6D92"/>
    <w:rsid w:val="009E7D7C"/>
    <w:rsid w:val="009F07DC"/>
    <w:rsid w:val="009F0A26"/>
    <w:rsid w:val="009F1124"/>
    <w:rsid w:val="009F432B"/>
    <w:rsid w:val="009F60B3"/>
    <w:rsid w:val="009F6A04"/>
    <w:rsid w:val="009F6A51"/>
    <w:rsid w:val="009F7396"/>
    <w:rsid w:val="009F76E6"/>
    <w:rsid w:val="00A002C6"/>
    <w:rsid w:val="00A003A7"/>
    <w:rsid w:val="00A0120F"/>
    <w:rsid w:val="00A0133E"/>
    <w:rsid w:val="00A01ADE"/>
    <w:rsid w:val="00A0261C"/>
    <w:rsid w:val="00A031EB"/>
    <w:rsid w:val="00A03B89"/>
    <w:rsid w:val="00A03E5E"/>
    <w:rsid w:val="00A042DD"/>
    <w:rsid w:val="00A0437A"/>
    <w:rsid w:val="00A05680"/>
    <w:rsid w:val="00A05805"/>
    <w:rsid w:val="00A06145"/>
    <w:rsid w:val="00A10055"/>
    <w:rsid w:val="00A11B87"/>
    <w:rsid w:val="00A13A00"/>
    <w:rsid w:val="00A15A7B"/>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256"/>
    <w:rsid w:val="00A427C6"/>
    <w:rsid w:val="00A42D04"/>
    <w:rsid w:val="00A436D3"/>
    <w:rsid w:val="00A44CB7"/>
    <w:rsid w:val="00A454DC"/>
    <w:rsid w:val="00A47081"/>
    <w:rsid w:val="00A47920"/>
    <w:rsid w:val="00A50832"/>
    <w:rsid w:val="00A50B73"/>
    <w:rsid w:val="00A50FFA"/>
    <w:rsid w:val="00A524CB"/>
    <w:rsid w:val="00A52AA0"/>
    <w:rsid w:val="00A52F8A"/>
    <w:rsid w:val="00A5357A"/>
    <w:rsid w:val="00A5377A"/>
    <w:rsid w:val="00A537A2"/>
    <w:rsid w:val="00A543E5"/>
    <w:rsid w:val="00A550DF"/>
    <w:rsid w:val="00A55B58"/>
    <w:rsid w:val="00A55CEC"/>
    <w:rsid w:val="00A600CA"/>
    <w:rsid w:val="00A61B9D"/>
    <w:rsid w:val="00A61C65"/>
    <w:rsid w:val="00A62F37"/>
    <w:rsid w:val="00A62FB2"/>
    <w:rsid w:val="00A635F2"/>
    <w:rsid w:val="00A65421"/>
    <w:rsid w:val="00A67A45"/>
    <w:rsid w:val="00A71591"/>
    <w:rsid w:val="00A71DE9"/>
    <w:rsid w:val="00A7237B"/>
    <w:rsid w:val="00A726D1"/>
    <w:rsid w:val="00A742B8"/>
    <w:rsid w:val="00A749F6"/>
    <w:rsid w:val="00A75871"/>
    <w:rsid w:val="00A759AE"/>
    <w:rsid w:val="00A7682A"/>
    <w:rsid w:val="00A80541"/>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22F7"/>
    <w:rsid w:val="00AB40F2"/>
    <w:rsid w:val="00AB4308"/>
    <w:rsid w:val="00AB5247"/>
    <w:rsid w:val="00AB5B4C"/>
    <w:rsid w:val="00AB671F"/>
    <w:rsid w:val="00AB7B27"/>
    <w:rsid w:val="00AC0198"/>
    <w:rsid w:val="00AC0246"/>
    <w:rsid w:val="00AC1748"/>
    <w:rsid w:val="00AC199D"/>
    <w:rsid w:val="00AC1FA6"/>
    <w:rsid w:val="00AC2BF0"/>
    <w:rsid w:val="00AC3868"/>
    <w:rsid w:val="00AC3F39"/>
    <w:rsid w:val="00AC4956"/>
    <w:rsid w:val="00AC4AE8"/>
    <w:rsid w:val="00AC577E"/>
    <w:rsid w:val="00AC620F"/>
    <w:rsid w:val="00AC64CE"/>
    <w:rsid w:val="00AC6B6A"/>
    <w:rsid w:val="00AC6C0B"/>
    <w:rsid w:val="00AC7C31"/>
    <w:rsid w:val="00AC7E37"/>
    <w:rsid w:val="00AC7FE8"/>
    <w:rsid w:val="00AD036F"/>
    <w:rsid w:val="00AD0BC0"/>
    <w:rsid w:val="00AD1221"/>
    <w:rsid w:val="00AD1B08"/>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7D7"/>
    <w:rsid w:val="00AF3FB2"/>
    <w:rsid w:val="00AF4334"/>
    <w:rsid w:val="00AF4383"/>
    <w:rsid w:val="00AF47BB"/>
    <w:rsid w:val="00AF50B6"/>
    <w:rsid w:val="00B004FD"/>
    <w:rsid w:val="00B014FD"/>
    <w:rsid w:val="00B0249E"/>
    <w:rsid w:val="00B038F0"/>
    <w:rsid w:val="00B03D32"/>
    <w:rsid w:val="00B066C1"/>
    <w:rsid w:val="00B06F4F"/>
    <w:rsid w:val="00B100C3"/>
    <w:rsid w:val="00B11BF3"/>
    <w:rsid w:val="00B11F11"/>
    <w:rsid w:val="00B11FC3"/>
    <w:rsid w:val="00B140FF"/>
    <w:rsid w:val="00B149B0"/>
    <w:rsid w:val="00B14E2B"/>
    <w:rsid w:val="00B1509E"/>
    <w:rsid w:val="00B15AA6"/>
    <w:rsid w:val="00B17465"/>
    <w:rsid w:val="00B205DC"/>
    <w:rsid w:val="00B20F8D"/>
    <w:rsid w:val="00B21000"/>
    <w:rsid w:val="00B225CE"/>
    <w:rsid w:val="00B236AE"/>
    <w:rsid w:val="00B23F85"/>
    <w:rsid w:val="00B241A9"/>
    <w:rsid w:val="00B24C20"/>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4128C"/>
    <w:rsid w:val="00B41297"/>
    <w:rsid w:val="00B423AC"/>
    <w:rsid w:val="00B42BEA"/>
    <w:rsid w:val="00B42C76"/>
    <w:rsid w:val="00B431D9"/>
    <w:rsid w:val="00B432F1"/>
    <w:rsid w:val="00B4442A"/>
    <w:rsid w:val="00B4457E"/>
    <w:rsid w:val="00B46674"/>
    <w:rsid w:val="00B469B8"/>
    <w:rsid w:val="00B46C24"/>
    <w:rsid w:val="00B47396"/>
    <w:rsid w:val="00B47536"/>
    <w:rsid w:val="00B479E9"/>
    <w:rsid w:val="00B50121"/>
    <w:rsid w:val="00B50213"/>
    <w:rsid w:val="00B50796"/>
    <w:rsid w:val="00B508DE"/>
    <w:rsid w:val="00B509F7"/>
    <w:rsid w:val="00B50ABC"/>
    <w:rsid w:val="00B52558"/>
    <w:rsid w:val="00B5292E"/>
    <w:rsid w:val="00B52F17"/>
    <w:rsid w:val="00B5366D"/>
    <w:rsid w:val="00B53CC1"/>
    <w:rsid w:val="00B54659"/>
    <w:rsid w:val="00B55A5D"/>
    <w:rsid w:val="00B565D9"/>
    <w:rsid w:val="00B56763"/>
    <w:rsid w:val="00B57511"/>
    <w:rsid w:val="00B5755F"/>
    <w:rsid w:val="00B57762"/>
    <w:rsid w:val="00B60BAA"/>
    <w:rsid w:val="00B626A3"/>
    <w:rsid w:val="00B63241"/>
    <w:rsid w:val="00B63533"/>
    <w:rsid w:val="00B65B71"/>
    <w:rsid w:val="00B65F16"/>
    <w:rsid w:val="00B65F49"/>
    <w:rsid w:val="00B65F80"/>
    <w:rsid w:val="00B66349"/>
    <w:rsid w:val="00B66E99"/>
    <w:rsid w:val="00B707CD"/>
    <w:rsid w:val="00B70D1F"/>
    <w:rsid w:val="00B70F16"/>
    <w:rsid w:val="00B71092"/>
    <w:rsid w:val="00B71288"/>
    <w:rsid w:val="00B71B1D"/>
    <w:rsid w:val="00B71D43"/>
    <w:rsid w:val="00B72851"/>
    <w:rsid w:val="00B72A26"/>
    <w:rsid w:val="00B7357C"/>
    <w:rsid w:val="00B74AA9"/>
    <w:rsid w:val="00B74DB5"/>
    <w:rsid w:val="00B76518"/>
    <w:rsid w:val="00B770F5"/>
    <w:rsid w:val="00B802A5"/>
    <w:rsid w:val="00B80F2F"/>
    <w:rsid w:val="00B81254"/>
    <w:rsid w:val="00B8326A"/>
    <w:rsid w:val="00B8485A"/>
    <w:rsid w:val="00B865FF"/>
    <w:rsid w:val="00B86C0D"/>
    <w:rsid w:val="00B90314"/>
    <w:rsid w:val="00B903E6"/>
    <w:rsid w:val="00B90CC6"/>
    <w:rsid w:val="00B93469"/>
    <w:rsid w:val="00B94DA1"/>
    <w:rsid w:val="00B956E2"/>
    <w:rsid w:val="00B95FEA"/>
    <w:rsid w:val="00B966A3"/>
    <w:rsid w:val="00B967E4"/>
    <w:rsid w:val="00B96E07"/>
    <w:rsid w:val="00B9768B"/>
    <w:rsid w:val="00BA0209"/>
    <w:rsid w:val="00BA0908"/>
    <w:rsid w:val="00BA090D"/>
    <w:rsid w:val="00BA10FA"/>
    <w:rsid w:val="00BA15F1"/>
    <w:rsid w:val="00BA18A9"/>
    <w:rsid w:val="00BA38E4"/>
    <w:rsid w:val="00BA38E7"/>
    <w:rsid w:val="00BA44E3"/>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F1C"/>
    <w:rsid w:val="00BC5206"/>
    <w:rsid w:val="00BC59B9"/>
    <w:rsid w:val="00BC5E52"/>
    <w:rsid w:val="00BC6B27"/>
    <w:rsid w:val="00BC6FB1"/>
    <w:rsid w:val="00BC73AE"/>
    <w:rsid w:val="00BD04AD"/>
    <w:rsid w:val="00BD10AC"/>
    <w:rsid w:val="00BD1110"/>
    <w:rsid w:val="00BD115B"/>
    <w:rsid w:val="00BD1997"/>
    <w:rsid w:val="00BD22AC"/>
    <w:rsid w:val="00BD2D04"/>
    <w:rsid w:val="00BD316A"/>
    <w:rsid w:val="00BD3459"/>
    <w:rsid w:val="00BD4E21"/>
    <w:rsid w:val="00BD5001"/>
    <w:rsid w:val="00BD5724"/>
    <w:rsid w:val="00BD5CFF"/>
    <w:rsid w:val="00BD66F2"/>
    <w:rsid w:val="00BD7E81"/>
    <w:rsid w:val="00BE03E2"/>
    <w:rsid w:val="00BE1865"/>
    <w:rsid w:val="00BE33A5"/>
    <w:rsid w:val="00BE4818"/>
    <w:rsid w:val="00BE744D"/>
    <w:rsid w:val="00BE7DF9"/>
    <w:rsid w:val="00BF122D"/>
    <w:rsid w:val="00BF2527"/>
    <w:rsid w:val="00BF28A0"/>
    <w:rsid w:val="00BF2A36"/>
    <w:rsid w:val="00BF2FBC"/>
    <w:rsid w:val="00BF3503"/>
    <w:rsid w:val="00BF3748"/>
    <w:rsid w:val="00BF41B7"/>
    <w:rsid w:val="00BF48A7"/>
    <w:rsid w:val="00BF7033"/>
    <w:rsid w:val="00BF7B5E"/>
    <w:rsid w:val="00BF7E40"/>
    <w:rsid w:val="00BF7E8F"/>
    <w:rsid w:val="00C012C4"/>
    <w:rsid w:val="00C02846"/>
    <w:rsid w:val="00C02F70"/>
    <w:rsid w:val="00C0419D"/>
    <w:rsid w:val="00C042AF"/>
    <w:rsid w:val="00C044FC"/>
    <w:rsid w:val="00C04903"/>
    <w:rsid w:val="00C04B5B"/>
    <w:rsid w:val="00C0633B"/>
    <w:rsid w:val="00C06AC3"/>
    <w:rsid w:val="00C0718E"/>
    <w:rsid w:val="00C073D7"/>
    <w:rsid w:val="00C07E8F"/>
    <w:rsid w:val="00C117C5"/>
    <w:rsid w:val="00C13125"/>
    <w:rsid w:val="00C1431C"/>
    <w:rsid w:val="00C156A5"/>
    <w:rsid w:val="00C16EFA"/>
    <w:rsid w:val="00C17BCA"/>
    <w:rsid w:val="00C20621"/>
    <w:rsid w:val="00C211EF"/>
    <w:rsid w:val="00C21D6B"/>
    <w:rsid w:val="00C23152"/>
    <w:rsid w:val="00C232D3"/>
    <w:rsid w:val="00C23422"/>
    <w:rsid w:val="00C242E0"/>
    <w:rsid w:val="00C24FE9"/>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BC9"/>
    <w:rsid w:val="00C4156C"/>
    <w:rsid w:val="00C41BC1"/>
    <w:rsid w:val="00C42022"/>
    <w:rsid w:val="00C42A78"/>
    <w:rsid w:val="00C42CBE"/>
    <w:rsid w:val="00C42DCD"/>
    <w:rsid w:val="00C42E89"/>
    <w:rsid w:val="00C432D5"/>
    <w:rsid w:val="00C44D3C"/>
    <w:rsid w:val="00C452D9"/>
    <w:rsid w:val="00C45B0A"/>
    <w:rsid w:val="00C45D0C"/>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E6C"/>
    <w:rsid w:val="00CA3278"/>
    <w:rsid w:val="00CA45D4"/>
    <w:rsid w:val="00CA4DF8"/>
    <w:rsid w:val="00CA6EF5"/>
    <w:rsid w:val="00CA7045"/>
    <w:rsid w:val="00CA74D4"/>
    <w:rsid w:val="00CA7817"/>
    <w:rsid w:val="00CA7AE5"/>
    <w:rsid w:val="00CB19AD"/>
    <w:rsid w:val="00CB2561"/>
    <w:rsid w:val="00CB27EB"/>
    <w:rsid w:val="00CB379C"/>
    <w:rsid w:val="00CB3934"/>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7A4B"/>
    <w:rsid w:val="00CD2188"/>
    <w:rsid w:val="00CD389C"/>
    <w:rsid w:val="00CD476F"/>
    <w:rsid w:val="00CD4880"/>
    <w:rsid w:val="00CD4B76"/>
    <w:rsid w:val="00CD59D5"/>
    <w:rsid w:val="00CD6178"/>
    <w:rsid w:val="00CD69F0"/>
    <w:rsid w:val="00CD7F4C"/>
    <w:rsid w:val="00CE17AB"/>
    <w:rsid w:val="00CE26B4"/>
    <w:rsid w:val="00CE2EA1"/>
    <w:rsid w:val="00CE334D"/>
    <w:rsid w:val="00CE3CBF"/>
    <w:rsid w:val="00CE3E54"/>
    <w:rsid w:val="00CE3F4B"/>
    <w:rsid w:val="00CE4A7D"/>
    <w:rsid w:val="00CE5579"/>
    <w:rsid w:val="00CE6C24"/>
    <w:rsid w:val="00CF01CA"/>
    <w:rsid w:val="00CF16BF"/>
    <w:rsid w:val="00CF2221"/>
    <w:rsid w:val="00CF282B"/>
    <w:rsid w:val="00CF290B"/>
    <w:rsid w:val="00CF33B8"/>
    <w:rsid w:val="00CF418F"/>
    <w:rsid w:val="00CF4808"/>
    <w:rsid w:val="00CF4BD2"/>
    <w:rsid w:val="00CF53CA"/>
    <w:rsid w:val="00CF55D6"/>
    <w:rsid w:val="00CF5BCE"/>
    <w:rsid w:val="00CF78E8"/>
    <w:rsid w:val="00CF7E5C"/>
    <w:rsid w:val="00D017DA"/>
    <w:rsid w:val="00D017E3"/>
    <w:rsid w:val="00D02332"/>
    <w:rsid w:val="00D02936"/>
    <w:rsid w:val="00D029D3"/>
    <w:rsid w:val="00D03139"/>
    <w:rsid w:val="00D0404A"/>
    <w:rsid w:val="00D0514C"/>
    <w:rsid w:val="00D05839"/>
    <w:rsid w:val="00D07A38"/>
    <w:rsid w:val="00D11FFC"/>
    <w:rsid w:val="00D14265"/>
    <w:rsid w:val="00D14C84"/>
    <w:rsid w:val="00D1525F"/>
    <w:rsid w:val="00D15B50"/>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93C"/>
    <w:rsid w:val="00D43E00"/>
    <w:rsid w:val="00D44176"/>
    <w:rsid w:val="00D44F40"/>
    <w:rsid w:val="00D4672E"/>
    <w:rsid w:val="00D475AC"/>
    <w:rsid w:val="00D50635"/>
    <w:rsid w:val="00D51C5F"/>
    <w:rsid w:val="00D5377D"/>
    <w:rsid w:val="00D54844"/>
    <w:rsid w:val="00D54AAA"/>
    <w:rsid w:val="00D55530"/>
    <w:rsid w:val="00D55A4E"/>
    <w:rsid w:val="00D56268"/>
    <w:rsid w:val="00D60042"/>
    <w:rsid w:val="00D6111F"/>
    <w:rsid w:val="00D61A8C"/>
    <w:rsid w:val="00D61E82"/>
    <w:rsid w:val="00D6231F"/>
    <w:rsid w:val="00D6313A"/>
    <w:rsid w:val="00D63605"/>
    <w:rsid w:val="00D63FFC"/>
    <w:rsid w:val="00D643DB"/>
    <w:rsid w:val="00D6515C"/>
    <w:rsid w:val="00D653D3"/>
    <w:rsid w:val="00D6714D"/>
    <w:rsid w:val="00D70035"/>
    <w:rsid w:val="00D71235"/>
    <w:rsid w:val="00D71A4E"/>
    <w:rsid w:val="00D71A5A"/>
    <w:rsid w:val="00D71ED7"/>
    <w:rsid w:val="00D72974"/>
    <w:rsid w:val="00D7335E"/>
    <w:rsid w:val="00D7596B"/>
    <w:rsid w:val="00D80438"/>
    <w:rsid w:val="00D80BA8"/>
    <w:rsid w:val="00D80CD6"/>
    <w:rsid w:val="00D81E19"/>
    <w:rsid w:val="00D82DD4"/>
    <w:rsid w:val="00D834A5"/>
    <w:rsid w:val="00D83E4A"/>
    <w:rsid w:val="00D842B9"/>
    <w:rsid w:val="00D85489"/>
    <w:rsid w:val="00D927C2"/>
    <w:rsid w:val="00D93E62"/>
    <w:rsid w:val="00D941B5"/>
    <w:rsid w:val="00D94636"/>
    <w:rsid w:val="00D94E75"/>
    <w:rsid w:val="00D95689"/>
    <w:rsid w:val="00D956BB"/>
    <w:rsid w:val="00D96592"/>
    <w:rsid w:val="00D97078"/>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38C1"/>
    <w:rsid w:val="00DC4B50"/>
    <w:rsid w:val="00DC62F0"/>
    <w:rsid w:val="00DC6352"/>
    <w:rsid w:val="00DD0079"/>
    <w:rsid w:val="00DD02B6"/>
    <w:rsid w:val="00DD099D"/>
    <w:rsid w:val="00DD16AF"/>
    <w:rsid w:val="00DD2412"/>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2C65"/>
    <w:rsid w:val="00DE3600"/>
    <w:rsid w:val="00DE3882"/>
    <w:rsid w:val="00DE3EB9"/>
    <w:rsid w:val="00DE4FDF"/>
    <w:rsid w:val="00DE5D76"/>
    <w:rsid w:val="00DE7343"/>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7CEB"/>
    <w:rsid w:val="00E10380"/>
    <w:rsid w:val="00E10606"/>
    <w:rsid w:val="00E10963"/>
    <w:rsid w:val="00E10F50"/>
    <w:rsid w:val="00E118E2"/>
    <w:rsid w:val="00E12C53"/>
    <w:rsid w:val="00E12E00"/>
    <w:rsid w:val="00E12FA6"/>
    <w:rsid w:val="00E13D6A"/>
    <w:rsid w:val="00E14AAC"/>
    <w:rsid w:val="00E152D6"/>
    <w:rsid w:val="00E15381"/>
    <w:rsid w:val="00E167DC"/>
    <w:rsid w:val="00E16EF2"/>
    <w:rsid w:val="00E16F51"/>
    <w:rsid w:val="00E1728E"/>
    <w:rsid w:val="00E175E4"/>
    <w:rsid w:val="00E205F8"/>
    <w:rsid w:val="00E208A9"/>
    <w:rsid w:val="00E20FDF"/>
    <w:rsid w:val="00E212EE"/>
    <w:rsid w:val="00E235DD"/>
    <w:rsid w:val="00E23914"/>
    <w:rsid w:val="00E244A9"/>
    <w:rsid w:val="00E25B40"/>
    <w:rsid w:val="00E26A3C"/>
    <w:rsid w:val="00E26D3C"/>
    <w:rsid w:val="00E27A07"/>
    <w:rsid w:val="00E30BE0"/>
    <w:rsid w:val="00E319CC"/>
    <w:rsid w:val="00E31A01"/>
    <w:rsid w:val="00E3298E"/>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3366"/>
    <w:rsid w:val="00E43772"/>
    <w:rsid w:val="00E45134"/>
    <w:rsid w:val="00E465C8"/>
    <w:rsid w:val="00E476AD"/>
    <w:rsid w:val="00E47AF2"/>
    <w:rsid w:val="00E47FEE"/>
    <w:rsid w:val="00E52919"/>
    <w:rsid w:val="00E52A75"/>
    <w:rsid w:val="00E52E84"/>
    <w:rsid w:val="00E53465"/>
    <w:rsid w:val="00E5372F"/>
    <w:rsid w:val="00E5421D"/>
    <w:rsid w:val="00E54394"/>
    <w:rsid w:val="00E546B7"/>
    <w:rsid w:val="00E5490C"/>
    <w:rsid w:val="00E55831"/>
    <w:rsid w:val="00E56ED1"/>
    <w:rsid w:val="00E57742"/>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9BC"/>
    <w:rsid w:val="00E87C3B"/>
    <w:rsid w:val="00E9110F"/>
    <w:rsid w:val="00E91812"/>
    <w:rsid w:val="00E91867"/>
    <w:rsid w:val="00E91CFF"/>
    <w:rsid w:val="00E927EC"/>
    <w:rsid w:val="00E92BFA"/>
    <w:rsid w:val="00E92FC4"/>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101B"/>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6214"/>
    <w:rsid w:val="00EF6C78"/>
    <w:rsid w:val="00EF6C82"/>
    <w:rsid w:val="00EF72ED"/>
    <w:rsid w:val="00EF732D"/>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AA9"/>
    <w:rsid w:val="00F112CF"/>
    <w:rsid w:val="00F1390F"/>
    <w:rsid w:val="00F146DA"/>
    <w:rsid w:val="00F1487C"/>
    <w:rsid w:val="00F15E30"/>
    <w:rsid w:val="00F17B77"/>
    <w:rsid w:val="00F20800"/>
    <w:rsid w:val="00F22A6B"/>
    <w:rsid w:val="00F22E46"/>
    <w:rsid w:val="00F25FC3"/>
    <w:rsid w:val="00F25FD9"/>
    <w:rsid w:val="00F26DB5"/>
    <w:rsid w:val="00F27307"/>
    <w:rsid w:val="00F27497"/>
    <w:rsid w:val="00F30618"/>
    <w:rsid w:val="00F30B9D"/>
    <w:rsid w:val="00F318CA"/>
    <w:rsid w:val="00F32553"/>
    <w:rsid w:val="00F333AB"/>
    <w:rsid w:val="00F3502C"/>
    <w:rsid w:val="00F3600F"/>
    <w:rsid w:val="00F378BE"/>
    <w:rsid w:val="00F40600"/>
    <w:rsid w:val="00F40A36"/>
    <w:rsid w:val="00F4108F"/>
    <w:rsid w:val="00F42F74"/>
    <w:rsid w:val="00F4306E"/>
    <w:rsid w:val="00F43D0F"/>
    <w:rsid w:val="00F44C44"/>
    <w:rsid w:val="00F44C9D"/>
    <w:rsid w:val="00F45E5A"/>
    <w:rsid w:val="00F46614"/>
    <w:rsid w:val="00F46B9E"/>
    <w:rsid w:val="00F47D32"/>
    <w:rsid w:val="00F5073B"/>
    <w:rsid w:val="00F51C84"/>
    <w:rsid w:val="00F547D8"/>
    <w:rsid w:val="00F55179"/>
    <w:rsid w:val="00F613AC"/>
    <w:rsid w:val="00F614B2"/>
    <w:rsid w:val="00F6160A"/>
    <w:rsid w:val="00F623E5"/>
    <w:rsid w:val="00F62D57"/>
    <w:rsid w:val="00F62FC9"/>
    <w:rsid w:val="00F6353F"/>
    <w:rsid w:val="00F6360A"/>
    <w:rsid w:val="00F63D27"/>
    <w:rsid w:val="00F63F5B"/>
    <w:rsid w:val="00F6486B"/>
    <w:rsid w:val="00F654CB"/>
    <w:rsid w:val="00F658D3"/>
    <w:rsid w:val="00F66696"/>
    <w:rsid w:val="00F66DBE"/>
    <w:rsid w:val="00F7130A"/>
    <w:rsid w:val="00F71FD8"/>
    <w:rsid w:val="00F7257E"/>
    <w:rsid w:val="00F73210"/>
    <w:rsid w:val="00F75602"/>
    <w:rsid w:val="00F77F34"/>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72D"/>
    <w:rsid w:val="00F97B3E"/>
    <w:rsid w:val="00F97E14"/>
    <w:rsid w:val="00FA01C4"/>
    <w:rsid w:val="00FA3188"/>
    <w:rsid w:val="00FA3D17"/>
    <w:rsid w:val="00FA40ED"/>
    <w:rsid w:val="00FA5018"/>
    <w:rsid w:val="00FA59C7"/>
    <w:rsid w:val="00FB04FF"/>
    <w:rsid w:val="00FB1225"/>
    <w:rsid w:val="00FB155E"/>
    <w:rsid w:val="00FB1589"/>
    <w:rsid w:val="00FB159B"/>
    <w:rsid w:val="00FB17A4"/>
    <w:rsid w:val="00FB19AC"/>
    <w:rsid w:val="00FB19C8"/>
    <w:rsid w:val="00FB1EC9"/>
    <w:rsid w:val="00FB3013"/>
    <w:rsid w:val="00FB336D"/>
    <w:rsid w:val="00FB3500"/>
    <w:rsid w:val="00FB3742"/>
    <w:rsid w:val="00FB45B3"/>
    <w:rsid w:val="00FB471B"/>
    <w:rsid w:val="00FB595F"/>
    <w:rsid w:val="00FC2FE1"/>
    <w:rsid w:val="00FC3BDC"/>
    <w:rsid w:val="00FC3D42"/>
    <w:rsid w:val="00FC4183"/>
    <w:rsid w:val="00FC50FC"/>
    <w:rsid w:val="00FC59E8"/>
    <w:rsid w:val="00FC61B1"/>
    <w:rsid w:val="00FC73E9"/>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BB4"/>
    <w:rsid w:val="00FF2F3E"/>
    <w:rsid w:val="00FF366E"/>
    <w:rsid w:val="00FF3992"/>
    <w:rsid w:val="00FF4A11"/>
    <w:rsid w:val="00FF503B"/>
    <w:rsid w:val="00FF54C5"/>
    <w:rsid w:val="00FF69FA"/>
    <w:rsid w:val="00FF6EE8"/>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7C65AC2"/>
  <w15:docId w15:val="{385860FC-60C5-43EE-8622-A447D639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ecourt.vic.gov.au/sites/default/files/2022-02/Fast-tracking_of_homicide_matters_Nov21_revision.pdf" TargetMode="External"/><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3" Type="http://schemas.openxmlformats.org/officeDocument/2006/relationships/styles" Target="styles.xml"/><Relationship Id="rId21" Type="http://schemas.openxmlformats.org/officeDocument/2006/relationships/hyperlink" Target="https://jade.io/article/113896/section/1323" TargetMode="Externa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82034</Words>
  <Characters>467599</Characters>
  <Application>Microsoft Office Word</Application>
  <DocSecurity>4</DocSecurity>
  <Lines>3896</Lines>
  <Paragraphs>1097</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548536</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Lisa Lee</cp:lastModifiedBy>
  <cp:revision>2</cp:revision>
  <cp:lastPrinted>2025-08-18T01:04:00Z</cp:lastPrinted>
  <dcterms:created xsi:type="dcterms:W3CDTF">2025-12-15T06:15:00Z</dcterms:created>
  <dcterms:modified xsi:type="dcterms:W3CDTF">2025-12-15T06:15:00Z</dcterms:modified>
</cp:coreProperties>
</file>