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5D3D" w14:textId="5DD63138"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5F648C0B"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00530CB6">
        <w:rPr>
          <w:rFonts w:ascii="Arial" w:hAnsi="Arial" w:cs="Arial"/>
          <w:b/>
          <w:bCs/>
        </w:rPr>
        <w:instrText>HYPERLINK  \l "_3.2_Judicial_Independence"</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r w:rsidR="00C228D0">
        <w:rPr>
          <w:rStyle w:val="Hyperlink"/>
          <w:rFonts w:ascii="Arial" w:hAnsi="Arial" w:cs="Arial"/>
          <w:b/>
          <w:bCs/>
          <w:u w:val="none"/>
        </w:rPr>
        <w:t xml:space="preserve"> &amp; </w:t>
      </w:r>
      <w:r w:rsidR="00FF5A69">
        <w:rPr>
          <w:rStyle w:val="Hyperlink"/>
          <w:rFonts w:ascii="Arial" w:hAnsi="Arial" w:cs="Arial"/>
          <w:b/>
          <w:bCs/>
          <w:u w:val="none"/>
        </w:rPr>
        <w:t>I</w:t>
      </w:r>
      <w:r w:rsidR="00C228D0">
        <w:rPr>
          <w:rStyle w:val="Hyperlink"/>
          <w:rFonts w:ascii="Arial" w:hAnsi="Arial" w:cs="Arial"/>
          <w:b/>
          <w:bCs/>
          <w:u w:val="none"/>
        </w:rPr>
        <w:t>mmunity</w:t>
      </w:r>
    </w:p>
    <w:p w14:paraId="6080E76C" w14:textId="3B2FF15B" w:rsidR="002403F7" w:rsidRPr="001C057A" w:rsidRDefault="00036D92" w:rsidP="002403F7">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036D92">
        <w:rPr>
          <w:rFonts w:ascii="Arial" w:hAnsi="Arial" w:cs="Arial"/>
          <w:b/>
          <w:bCs/>
        </w:rPr>
        <w:fldChar w:fldCharType="end"/>
      </w:r>
      <w:hyperlink w:anchor="_3.2.1_Judicial_independence" w:history="1">
        <w:r w:rsidR="002403F7" w:rsidRPr="001C057A">
          <w:rPr>
            <w:rStyle w:val="Hyperlink"/>
            <w:rFonts w:ascii="Arial" w:hAnsi="Arial" w:cs="Arial"/>
            <w:b/>
            <w:bCs/>
            <w:sz w:val="20"/>
            <w:u w:val="none"/>
          </w:rPr>
          <w:tab/>
          <w:t>3.</w:t>
        </w:r>
        <w:r w:rsidR="002403F7">
          <w:rPr>
            <w:rStyle w:val="Hyperlink"/>
            <w:rFonts w:ascii="Arial" w:hAnsi="Arial" w:cs="Arial"/>
            <w:b/>
            <w:bCs/>
            <w:sz w:val="20"/>
            <w:u w:val="none"/>
          </w:rPr>
          <w:t>2</w:t>
        </w:r>
        <w:r w:rsidR="002403F7" w:rsidRPr="001C057A">
          <w:rPr>
            <w:rStyle w:val="Hyperlink"/>
            <w:rFonts w:ascii="Arial" w:hAnsi="Arial" w:cs="Arial"/>
            <w:b/>
            <w:bCs/>
            <w:sz w:val="20"/>
            <w:u w:val="none"/>
          </w:rPr>
          <w:t>.1</w:t>
        </w:r>
        <w:r w:rsidR="002403F7" w:rsidRPr="001C057A">
          <w:rPr>
            <w:rStyle w:val="Hyperlink"/>
            <w:rFonts w:ascii="Arial" w:hAnsi="Arial" w:cs="Arial"/>
            <w:b/>
            <w:bCs/>
            <w:sz w:val="20"/>
            <w:u w:val="none"/>
          </w:rPr>
          <w:tab/>
        </w:r>
        <w:r w:rsidR="002403F7" w:rsidRPr="002403F7">
          <w:rPr>
            <w:rStyle w:val="Hyperlink"/>
            <w:rFonts w:ascii="Arial" w:hAnsi="Arial" w:cs="Arial"/>
            <w:b/>
            <w:bCs/>
            <w:sz w:val="20"/>
            <w:u w:val="none"/>
          </w:rPr>
          <w:t>Judicial independence</w:t>
        </w:r>
      </w:hyperlink>
    </w:p>
    <w:p w14:paraId="59AC799D" w14:textId="4F84D5C3" w:rsidR="002403F7" w:rsidRPr="00E64AAF" w:rsidRDefault="002403F7" w:rsidP="002403F7">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2.2_Judicial_immunity" w:history="1">
        <w:r w:rsidRPr="00E64AAF">
          <w:rPr>
            <w:rStyle w:val="Hyperlink"/>
            <w:rFonts w:ascii="Arial" w:hAnsi="Arial" w:cs="Arial"/>
            <w:b/>
            <w:bCs/>
            <w:sz w:val="20"/>
            <w:u w:val="none"/>
          </w:rPr>
          <w:tab/>
          <w:t>3.2.2</w:t>
        </w:r>
        <w:r w:rsidRPr="00E64AAF">
          <w:rPr>
            <w:rStyle w:val="Hyperlink"/>
            <w:rFonts w:ascii="Arial" w:hAnsi="Arial" w:cs="Arial"/>
            <w:b/>
            <w:bCs/>
            <w:sz w:val="20"/>
            <w:u w:val="none"/>
          </w:rPr>
          <w:tab/>
        </w:r>
        <w:r w:rsidR="00E64AAF" w:rsidRPr="00E64AAF">
          <w:rPr>
            <w:rStyle w:val="Hyperlink"/>
            <w:rFonts w:ascii="Arial" w:hAnsi="Arial" w:cs="Arial"/>
            <w:b/>
            <w:bCs/>
            <w:sz w:val="20"/>
            <w:u w:val="none"/>
          </w:rPr>
          <w:t>Immunity of judicial officers &amp; court offic</w:t>
        </w:r>
        <w:r w:rsidR="007D6FE6">
          <w:rPr>
            <w:rStyle w:val="Hyperlink"/>
            <w:rFonts w:ascii="Arial" w:hAnsi="Arial" w:cs="Arial"/>
            <w:b/>
            <w:bCs/>
            <w:sz w:val="20"/>
            <w:u w:val="none"/>
          </w:rPr>
          <w:t>ial</w:t>
        </w:r>
        <w:r w:rsidR="00E64AAF" w:rsidRPr="00E64AAF">
          <w:rPr>
            <w:rStyle w:val="Hyperlink"/>
            <w:rFonts w:ascii="Arial" w:hAnsi="Arial" w:cs="Arial"/>
            <w:b/>
            <w:bCs/>
            <w:sz w:val="20"/>
            <w:u w:val="none"/>
          </w:rPr>
          <w:t>s</w:t>
        </w:r>
      </w:hyperlink>
    </w:p>
    <w:p w14:paraId="589D939C" w14:textId="69938B10" w:rsidR="00843765" w:rsidRPr="00192DC4" w:rsidRDefault="00192DC4"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192DC4">
        <w:rPr>
          <w:rFonts w:ascii="Arial" w:hAnsi="Arial" w:cs="Arial"/>
          <w:b/>
          <w:bCs/>
        </w:rPr>
        <w:fldChar w:fldCharType="begin"/>
      </w:r>
      <w:r w:rsidRPr="00192DC4">
        <w:rPr>
          <w:rFonts w:ascii="Arial" w:hAnsi="Arial" w:cs="Arial"/>
          <w:b/>
          <w:bCs/>
        </w:rPr>
        <w:instrText xml:space="preserve"> HYPERLINK  \l "_3.3_Children’s_Court" </w:instrText>
      </w:r>
      <w:r w:rsidRPr="00192DC4">
        <w:rPr>
          <w:rFonts w:ascii="Arial" w:hAnsi="Arial" w:cs="Arial"/>
          <w:b/>
          <w:bCs/>
        </w:rPr>
      </w:r>
      <w:r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 judicata &amp; cause of action, issue, claim or Anshun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34161E3B"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06E1EC2E"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_1"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40BEDBED" w14:textId="282F7857" w:rsidR="0007599F" w:rsidRPr="00E01B11" w:rsidRDefault="0007599F" w:rsidP="0007599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7_Duty_of" w:history="1">
        <w:r w:rsidRPr="00E01B11">
          <w:rPr>
            <w:rStyle w:val="Hyperlink"/>
            <w:rFonts w:ascii="Arial" w:hAnsi="Arial" w:cs="Arial"/>
            <w:b/>
            <w:bCs/>
            <w:sz w:val="20"/>
            <w:u w:val="none"/>
          </w:rPr>
          <w:t>3.4.</w:t>
        </w:r>
        <w:r>
          <w:rPr>
            <w:rStyle w:val="Hyperlink"/>
            <w:rFonts w:ascii="Arial" w:hAnsi="Arial" w:cs="Arial"/>
            <w:b/>
            <w:bCs/>
            <w:sz w:val="20"/>
            <w:u w:val="none"/>
          </w:rPr>
          <w:t>7</w:t>
        </w:r>
        <w:r w:rsidRPr="00E01B11">
          <w:rPr>
            <w:rStyle w:val="Hyperlink"/>
            <w:rFonts w:ascii="Arial" w:hAnsi="Arial" w:cs="Arial"/>
            <w:b/>
            <w:bCs/>
            <w:sz w:val="20"/>
            <w:u w:val="none"/>
          </w:rPr>
          <w:tab/>
        </w:r>
        <w:r w:rsidRPr="00E01B11">
          <w:rPr>
            <w:rStyle w:val="Hyperlink"/>
            <w:rFonts w:ascii="Arial" w:hAnsi="Arial" w:cs="Arial"/>
            <w:b/>
            <w:sz w:val="20"/>
            <w:u w:val="none"/>
          </w:rPr>
          <w:t xml:space="preserve">Duty of </w:t>
        </w:r>
        <w:r>
          <w:rPr>
            <w:rStyle w:val="Hyperlink"/>
            <w:rFonts w:ascii="Arial" w:hAnsi="Arial" w:cs="Arial"/>
            <w:b/>
            <w:sz w:val="20"/>
            <w:u w:val="none"/>
          </w:rPr>
          <w:t>legal representative</w:t>
        </w:r>
        <w:r w:rsidR="00CD6643">
          <w:rPr>
            <w:rStyle w:val="Hyperlink"/>
            <w:rFonts w:ascii="Arial" w:hAnsi="Arial" w:cs="Arial"/>
            <w:b/>
            <w:sz w:val="20"/>
            <w:u w:val="none"/>
          </w:rPr>
          <w:t xml:space="preserve">s (including </w:t>
        </w:r>
        <w:r w:rsidR="00F17748">
          <w:rPr>
            <w:rStyle w:val="Hyperlink"/>
            <w:rFonts w:ascii="Arial" w:hAnsi="Arial" w:cs="Arial"/>
            <w:b/>
            <w:sz w:val="20"/>
            <w:u w:val="none"/>
          </w:rPr>
          <w:t>re</w:t>
        </w:r>
        <w:r w:rsidR="00CD2D09">
          <w:rPr>
            <w:rStyle w:val="Hyperlink"/>
            <w:rFonts w:ascii="Arial" w:hAnsi="Arial" w:cs="Arial"/>
            <w:b/>
            <w:sz w:val="20"/>
            <w:u w:val="none"/>
          </w:rPr>
          <w:t xml:space="preserve"> the </w:t>
        </w:r>
        <w:r w:rsidR="00CD6643">
          <w:rPr>
            <w:rStyle w:val="Hyperlink"/>
            <w:rFonts w:ascii="Arial" w:hAnsi="Arial" w:cs="Arial"/>
            <w:b/>
            <w:sz w:val="20"/>
            <w:u w:val="none"/>
          </w:rPr>
          <w:t xml:space="preserve">use of AI </w:t>
        </w:r>
        <w:r w:rsidR="00CD2D09">
          <w:rPr>
            <w:rStyle w:val="Hyperlink"/>
            <w:rFonts w:ascii="Arial" w:hAnsi="Arial" w:cs="Arial"/>
            <w:b/>
            <w:sz w:val="20"/>
            <w:u w:val="none"/>
          </w:rPr>
          <w:t>for</w:t>
        </w:r>
        <w:r w:rsidR="00CD6643">
          <w:rPr>
            <w:rStyle w:val="Hyperlink"/>
            <w:rFonts w:ascii="Arial" w:hAnsi="Arial" w:cs="Arial"/>
            <w:b/>
            <w:sz w:val="20"/>
            <w:u w:val="none"/>
          </w:rPr>
          <w:t xml:space="preserve"> creation of documents)</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19E4BD3D"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 xml:space="preserve">xpert </w:t>
        </w:r>
        <w:r w:rsidRPr="00106472">
          <w:rPr>
            <w:rStyle w:val="Hyperlink"/>
            <w:rFonts w:ascii="Arial" w:hAnsi="Arial" w:cs="Arial"/>
            <w:b/>
            <w:color w:val="0033CC"/>
            <w:sz w:val="20"/>
            <w:u w:val="none"/>
          </w:rPr>
          <w:t>evidenc</w:t>
        </w:r>
        <w:r w:rsidR="00346B40">
          <w:rPr>
            <w:rStyle w:val="Hyperlink"/>
            <w:rFonts w:ascii="Arial" w:hAnsi="Arial" w:cs="Arial"/>
            <w:b/>
            <w:color w:val="0033CC"/>
            <w:sz w:val="20"/>
            <w:u w:val="none"/>
          </w:rPr>
          <w:t>e/Opinion evidenc</w:t>
        </w:r>
        <w:r w:rsidRPr="00106472">
          <w:rPr>
            <w:rStyle w:val="Hyperlink"/>
            <w:rFonts w:ascii="Arial" w:hAnsi="Arial" w:cs="Arial"/>
            <w:b/>
            <w:color w:val="0033CC"/>
            <w:sz w:val="20"/>
            <w:u w:val="none"/>
          </w:rPr>
          <w:t>e</w:t>
        </w:r>
      </w:hyperlink>
    </w:p>
    <w:p w14:paraId="47548454" w14:textId="71FEE4BB"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w:t>
        </w:r>
        <w:r w:rsidR="00C46F79">
          <w:rPr>
            <w:rStyle w:val="Hyperlink"/>
            <w:rFonts w:ascii="Arial" w:hAnsi="Arial" w:cs="Arial"/>
            <w:b/>
            <w:sz w:val="20"/>
            <w:u w:val="none"/>
          </w:rPr>
          <w:t>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1DAEC16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_1"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A41D416" w14:textId="4833ABDB" w:rsidR="00A240A5" w:rsidRDefault="00A240A5" w:rsidP="00A240A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1__Admissibility" w:history="1">
        <w:r w:rsidRPr="00A240A5">
          <w:rPr>
            <w:rStyle w:val="Hyperlink"/>
            <w:rFonts w:ascii="Arial" w:hAnsi="Arial" w:cs="Arial"/>
            <w:b/>
            <w:sz w:val="20"/>
            <w:u w:val="none"/>
          </w:rPr>
          <w:t>3.5.3.11 Admissibility of evidence of distress</w:t>
        </w:r>
      </w:hyperlink>
    </w:p>
    <w:p w14:paraId="5E6FBABC" w14:textId="28798081" w:rsidR="00466896" w:rsidRPr="00466896" w:rsidRDefault="00466896" w:rsidP="0046689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2__Tendering" w:history="1">
        <w:r w:rsidRPr="00466896">
          <w:rPr>
            <w:rStyle w:val="Hyperlink"/>
            <w:rFonts w:ascii="Arial" w:hAnsi="Arial" w:cs="Arial"/>
            <w:b/>
            <w:sz w:val="20"/>
            <w:u w:val="none"/>
          </w:rPr>
          <w:t>3.5.3.12 Tendering of documents</w:t>
        </w:r>
      </w:hyperlink>
    </w:p>
    <w:p w14:paraId="1D0FA580" w14:textId="4C63BA49"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4A327BBD" w14:textId="65B68CCF"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w:t>
        </w:r>
        <w:r>
          <w:rPr>
            <w:rStyle w:val="Hyperlink"/>
            <w:rFonts w:ascii="Arial" w:hAnsi="Arial" w:cs="Arial"/>
            <w:b/>
            <w:bCs/>
            <w:sz w:val="20"/>
            <w:u w:val="none"/>
          </w:rPr>
          <w:t>4</w:t>
        </w:r>
        <w:r w:rsidRPr="00FD5828">
          <w:rPr>
            <w:rStyle w:val="Hyperlink"/>
            <w:rFonts w:ascii="Arial" w:hAnsi="Arial" w:cs="Arial"/>
            <w:b/>
            <w:bCs/>
            <w:sz w:val="20"/>
            <w:u w:val="none"/>
          </w:rPr>
          <w:t>.1  The usual procedure</w:t>
        </w:r>
      </w:hyperlink>
    </w:p>
    <w:p w14:paraId="4040F9BF" w14:textId="1B851A0C"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2_Application_of" w:history="1">
        <w:r w:rsidRPr="00FD5828">
          <w:rPr>
            <w:rStyle w:val="Hyperlink"/>
            <w:rFonts w:ascii="Arial" w:hAnsi="Arial" w:cs="Arial"/>
            <w:b/>
            <w:bCs/>
            <w:sz w:val="20"/>
            <w:u w:val="none"/>
          </w:rPr>
          <w:tab/>
        </w:r>
        <w:r w:rsidRPr="00FD5828">
          <w:rPr>
            <w:rStyle w:val="Hyperlink"/>
            <w:rFonts w:ascii="Arial" w:hAnsi="Arial" w:cs="Arial"/>
            <w:b/>
            <w:bCs/>
            <w:sz w:val="20"/>
            <w:u w:val="none"/>
          </w:rPr>
          <w:tab/>
          <w:t>3.5.</w:t>
        </w:r>
        <w:r>
          <w:rPr>
            <w:rStyle w:val="Hyperlink"/>
            <w:rFonts w:ascii="Arial" w:hAnsi="Arial" w:cs="Arial"/>
            <w:b/>
            <w:bCs/>
            <w:sz w:val="20"/>
            <w:u w:val="none"/>
          </w:rPr>
          <w:t>4</w:t>
        </w:r>
        <w:r w:rsidRPr="00FD5828">
          <w:rPr>
            <w:rStyle w:val="Hyperlink"/>
            <w:rFonts w:ascii="Arial" w:hAnsi="Arial" w:cs="Arial"/>
            <w:b/>
            <w:bCs/>
            <w:sz w:val="20"/>
            <w:u w:val="none"/>
          </w:rPr>
          <w:t>.</w:t>
        </w:r>
        <w:r>
          <w:rPr>
            <w:rStyle w:val="Hyperlink"/>
            <w:rFonts w:ascii="Arial" w:hAnsi="Arial" w:cs="Arial"/>
            <w:b/>
            <w:bCs/>
            <w:sz w:val="20"/>
            <w:u w:val="none"/>
          </w:rPr>
          <w:t>2</w:t>
        </w:r>
        <w:r w:rsidRPr="00FD5828">
          <w:rPr>
            <w:rStyle w:val="Hyperlink"/>
            <w:rFonts w:ascii="Arial" w:hAnsi="Arial" w:cs="Arial"/>
            <w:b/>
            <w:bCs/>
            <w:sz w:val="20"/>
            <w:u w:val="none"/>
          </w:rPr>
          <w:t xml:space="preserve">  </w:t>
        </w:r>
        <w:r>
          <w:rPr>
            <w:rStyle w:val="Hyperlink"/>
            <w:rFonts w:ascii="Arial" w:hAnsi="Arial" w:cs="Arial"/>
            <w:b/>
            <w:bCs/>
            <w:sz w:val="20"/>
            <w:u w:val="none"/>
          </w:rPr>
          <w:t>Application of Part 8.2 of the Criminal Procedure Act 2009</w:t>
        </w:r>
      </w:hyperlink>
    </w:p>
    <w:p w14:paraId="7C4CDE96" w14:textId="3D1EDAFF"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B06F3E9"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00BB1C44">
        <w:rPr>
          <w:rStyle w:val="Hyperlink"/>
          <w:rFonts w:ascii="Arial" w:hAnsi="Arial" w:cs="Arial"/>
          <w:b/>
          <w:bCs/>
          <w:sz w:val="20"/>
          <w:u w:val="none"/>
        </w:rPr>
        <w:t xml:space="preserve">of complainants more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595D4C" w:rsidP="006F4F2A">
      <w:pPr>
        <w:keepNext/>
        <w:keepLines/>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446892">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466896">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55AEDED0"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w:t>
        </w:r>
        <w:r w:rsidR="00D635CD">
          <w:rPr>
            <w:rStyle w:val="Hyperlink"/>
            <w:rFonts w:ascii="Arial" w:hAnsi="Arial" w:cs="Arial"/>
            <w:b/>
            <w:bCs/>
            <w:u w:val="none"/>
          </w:rPr>
          <w:t xml:space="preserve">a </w:t>
        </w:r>
        <w:r w:rsidRPr="00FD5828">
          <w:rPr>
            <w:rStyle w:val="Hyperlink"/>
            <w:rFonts w:ascii="Arial" w:hAnsi="Arial" w:cs="Arial"/>
            <w:b/>
            <w:bCs/>
            <w:u w:val="none"/>
          </w:rPr>
          <w:t xml:space="preserve">judgment </w:t>
        </w:r>
        <w:r w:rsidR="00FE777C">
          <w:rPr>
            <w:rStyle w:val="Hyperlink"/>
            <w:rFonts w:ascii="Arial" w:hAnsi="Arial" w:cs="Arial"/>
            <w:b/>
            <w:bCs/>
            <w:u w:val="none"/>
          </w:rPr>
          <w:t>/</w:t>
        </w:r>
        <w:r w:rsidR="005E5DBD">
          <w:rPr>
            <w:rStyle w:val="Hyperlink"/>
            <w:rFonts w:ascii="Arial" w:hAnsi="Arial" w:cs="Arial"/>
            <w:b/>
            <w:bCs/>
            <w:u w:val="none"/>
          </w:rPr>
          <w:t xml:space="preserve"> Reopening </w:t>
        </w:r>
        <w:r w:rsidR="00D635CD">
          <w:rPr>
            <w:rStyle w:val="Hyperlink"/>
            <w:rFonts w:ascii="Arial" w:hAnsi="Arial" w:cs="Arial"/>
            <w:b/>
            <w:bCs/>
            <w:u w:val="none"/>
          </w:rPr>
          <w:t xml:space="preserve">a </w:t>
        </w:r>
        <w:r w:rsidR="005E5DBD">
          <w:rPr>
            <w:rStyle w:val="Hyperlink"/>
            <w:rFonts w:ascii="Arial" w:hAnsi="Arial" w:cs="Arial"/>
            <w:b/>
            <w:bCs/>
            <w:u w:val="none"/>
          </w:rPr>
          <w:t>case</w:t>
        </w:r>
      </w:hyperlink>
    </w:p>
    <w:p w14:paraId="34E1B75C" w14:textId="391183EE"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8.1_The_‘slip"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.1</w:t>
        </w:r>
        <w:r w:rsidRPr="00FD5828">
          <w:rPr>
            <w:rStyle w:val="Hyperlink"/>
            <w:rFonts w:ascii="Arial" w:hAnsi="Arial" w:cs="Arial"/>
            <w:b/>
            <w:bCs/>
            <w:sz w:val="20"/>
            <w:u w:val="none"/>
          </w:rPr>
          <w:tab/>
        </w:r>
        <w:r w:rsidR="005B2F34">
          <w:rPr>
            <w:rStyle w:val="Hyperlink"/>
            <w:rFonts w:ascii="Arial" w:hAnsi="Arial" w:cs="Arial"/>
            <w:b/>
            <w:bCs/>
            <w:sz w:val="20"/>
            <w:u w:val="none"/>
          </w:rPr>
          <w:t>The ‘slip rule’</w:t>
        </w:r>
      </w:hyperlink>
    </w:p>
    <w:p w14:paraId="524410B3" w14:textId="2117E5E1"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8.2_Reopening_cases"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.2</w:t>
        </w:r>
        <w:r w:rsidRPr="00FD5828">
          <w:rPr>
            <w:rStyle w:val="Hyperlink"/>
            <w:rFonts w:ascii="Arial" w:hAnsi="Arial" w:cs="Arial"/>
            <w:b/>
            <w:bCs/>
            <w:sz w:val="20"/>
            <w:u w:val="none"/>
          </w:rPr>
          <w:tab/>
        </w:r>
        <w:r w:rsidR="00FE777C">
          <w:rPr>
            <w:rStyle w:val="Hyperlink"/>
            <w:rFonts w:ascii="Arial" w:hAnsi="Arial" w:cs="Arial"/>
            <w:b/>
            <w:bCs/>
            <w:sz w:val="20"/>
            <w:u w:val="none"/>
          </w:rPr>
          <w:t xml:space="preserve">Reopening </w:t>
        </w:r>
        <w:r w:rsidR="00D635CD">
          <w:rPr>
            <w:rStyle w:val="Hyperlink"/>
            <w:rFonts w:ascii="Arial" w:hAnsi="Arial" w:cs="Arial"/>
            <w:b/>
            <w:bCs/>
            <w:sz w:val="20"/>
            <w:u w:val="none"/>
          </w:rPr>
          <w:t xml:space="preserve">a </w:t>
        </w:r>
        <w:r w:rsidR="00FE777C">
          <w:rPr>
            <w:rStyle w:val="Hyperlink"/>
            <w:rFonts w:ascii="Arial" w:hAnsi="Arial" w:cs="Arial"/>
            <w:b/>
            <w:bCs/>
            <w:sz w:val="20"/>
            <w:u w:val="none"/>
          </w:rPr>
          <w:t>case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37E92AC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2789804D" w14:textId="0E25ACF8" w:rsidR="00270925" w:rsidRDefault="00270925" w:rsidP="0027092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170463">
        <w:rPr>
          <w:rFonts w:ascii="Arial" w:hAnsi="Arial" w:cs="Arial"/>
          <w:b/>
          <w:bCs/>
          <w:sz w:val="20"/>
        </w:rPr>
        <w:tab/>
      </w:r>
      <w:hyperlink w:anchor="_3.9.10_Costs_in" w:history="1">
        <w:r w:rsidRPr="00170463">
          <w:rPr>
            <w:rStyle w:val="Hyperlink"/>
            <w:rFonts w:ascii="Arial" w:hAnsi="Arial" w:cs="Arial"/>
            <w:b/>
            <w:bCs/>
            <w:sz w:val="20"/>
            <w:u w:val="none"/>
          </w:rPr>
          <w:t>3.9.</w:t>
        </w:r>
        <w:r>
          <w:rPr>
            <w:rStyle w:val="Hyperlink"/>
            <w:rFonts w:ascii="Arial" w:hAnsi="Arial" w:cs="Arial"/>
            <w:b/>
            <w:bCs/>
            <w:sz w:val="20"/>
            <w:u w:val="none"/>
          </w:rPr>
          <w:t>10 Costs in applications for suppression orders</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088D4D6B" w14:textId="79D38987" w:rsidR="00E25E37" w:rsidRDefault="00E25E37" w:rsidP="00E25E37">
      <w:pPr>
        <w:pBdr>
          <w:top w:val="single" w:sz="4" w:space="1" w:color="auto"/>
          <w:left w:val="single" w:sz="4" w:space="4" w:color="auto"/>
          <w:bottom w:val="single" w:sz="4" w:space="1" w:color="auto"/>
          <w:right w:val="single" w:sz="4" w:space="4" w:color="auto"/>
        </w:pBdr>
        <w:tabs>
          <w:tab w:val="left" w:pos="567"/>
        </w:tabs>
      </w:pPr>
      <w:hyperlink w:anchor="_3.10.3_Dismissal_of" w:history="1">
        <w:r w:rsidRPr="00E25E37">
          <w:rPr>
            <w:rStyle w:val="Hyperlink"/>
            <w:rFonts w:ascii="Arial" w:hAnsi="Arial" w:cs="Arial"/>
            <w:b/>
            <w:bCs/>
            <w:sz w:val="20"/>
            <w:u w:val="none"/>
          </w:rPr>
          <w:tab/>
          <w:t>3.10.3</w:t>
        </w:r>
        <w:r w:rsidRPr="00E25E37">
          <w:rPr>
            <w:rStyle w:val="Hyperlink"/>
            <w:rFonts w:ascii="Arial" w:hAnsi="Arial" w:cs="Arial"/>
            <w:b/>
            <w:bCs/>
            <w:sz w:val="20"/>
            <w:u w:val="none"/>
          </w:rPr>
          <w:tab/>
          <w:t>Dismissal of appeal proceeding for want of prosecution</w:t>
        </w:r>
      </w:hyperlink>
    </w:p>
    <w:p w14:paraId="341F37DA" w14:textId="3352BF9A" w:rsidR="00B21DA4" w:rsidRDefault="009F7C91" w:rsidP="00E25E37">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A96B693" w14:textId="2D63C32C" w:rsidR="00BA2C61" w:rsidRPr="00592CF8" w:rsidRDefault="00BA2C61" w:rsidP="00BA2C61">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4_The_Child" w:history="1">
        <w:r w:rsidRPr="00592CF8">
          <w:rPr>
            <w:rStyle w:val="Hyperlink"/>
            <w:rFonts w:ascii="Arial" w:hAnsi="Arial" w:cs="Arial"/>
            <w:b/>
            <w:bCs/>
            <w:u w:val="none"/>
          </w:rPr>
          <w:t>3.1</w:t>
        </w:r>
        <w:r>
          <w:rPr>
            <w:rStyle w:val="Hyperlink"/>
            <w:rFonts w:ascii="Arial" w:hAnsi="Arial" w:cs="Arial"/>
            <w:b/>
            <w:bCs/>
            <w:u w:val="none"/>
          </w:rPr>
          <w:t>4</w:t>
        </w:r>
        <w:r w:rsidRPr="00592CF8">
          <w:rPr>
            <w:rStyle w:val="Hyperlink"/>
            <w:rFonts w:ascii="Arial" w:hAnsi="Arial" w:cs="Arial"/>
            <w:b/>
            <w:bCs/>
            <w:u w:val="none"/>
          </w:rPr>
          <w:tab/>
        </w:r>
        <w:r>
          <w:rPr>
            <w:rStyle w:val="Hyperlink"/>
            <w:rFonts w:ascii="Arial" w:hAnsi="Arial" w:cs="Arial"/>
            <w:b/>
            <w:bCs/>
            <w:u w:val="none"/>
          </w:rPr>
          <w:t>Victorian Civil and Administrative Tribunal</w:t>
        </w:r>
      </w:hyperlink>
      <w:r w:rsidR="008B692E">
        <w:rPr>
          <w:rStyle w:val="Hyperlink"/>
          <w:rFonts w:ascii="Arial" w:hAnsi="Arial" w:cs="Arial"/>
          <w:b/>
          <w:bCs/>
          <w:u w:val="none"/>
        </w:rPr>
        <w:t>’s child protection jurisdiction</w:t>
      </w:r>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Start w:id="97" w:name="_Hlk199139022"/>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1384690D"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31FFA">
        <w:rPr>
          <w:rFonts w:ascii="Arial" w:hAnsi="Arial" w:cs="Arial"/>
          <w:b/>
          <w:bCs/>
          <w:sz w:val="20"/>
        </w:rPr>
        <w:t>–</w:t>
      </w:r>
      <w:r w:rsidR="00AA0AC2">
        <w:rPr>
          <w:rFonts w:ascii="Arial" w:hAnsi="Arial" w:cs="Arial"/>
          <w:b/>
          <w:bCs/>
          <w:sz w:val="20"/>
        </w:rPr>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bookmarkEnd w:id="97"/>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Onyeka Evans Nwagbo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r w:rsidR="00B66B64" w:rsidRPr="00472A52">
        <w:rPr>
          <w:rFonts w:ascii="Arial" w:hAnsi="Arial" w:cs="Arial"/>
          <w:i/>
          <w:iCs/>
          <w:color w:val="000000"/>
          <w:sz w:val="20"/>
        </w:rPr>
        <w:t>Nwagbo’s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robe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r w:rsidRPr="002236D7">
        <w:rPr>
          <w:rFonts w:ascii="Arial" w:hAnsi="Arial" w:cs="Arial"/>
          <w:i/>
          <w:iCs/>
          <w:sz w:val="20"/>
          <w:szCs w:val="20"/>
        </w:rPr>
        <w:t>Ratten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R v Brdarovski</w:t>
      </w:r>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r w:rsidRPr="00D33CEF">
        <w:rPr>
          <w:rFonts w:ascii="Arial" w:eastAsia="Book Antiqua" w:hAnsi="Arial" w:cs="Arial"/>
          <w:i/>
          <w:sz w:val="20"/>
          <w:szCs w:val="20"/>
        </w:rPr>
        <w:t>Brdarovski</w:t>
      </w:r>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r w:rsidRPr="00394692">
        <w:rPr>
          <w:rFonts w:ascii="Arial" w:eastAsia="Book Antiqua" w:hAnsi="Arial" w:cs="Arial"/>
          <w:i/>
          <w:sz w:val="20"/>
          <w:szCs w:val="20"/>
        </w:rPr>
        <w:t>Piccolotto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r w:rsidRPr="00394692">
        <w:rPr>
          <w:rFonts w:ascii="Arial" w:eastAsia="Book Antiqua" w:hAnsi="Arial" w:cs="Arial"/>
          <w:i/>
          <w:sz w:val="20"/>
          <w:szCs w:val="20"/>
        </w:rPr>
        <w:t>Pyliotis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Heydon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r w:rsidR="00CD6C93" w:rsidRPr="00394692">
        <w:rPr>
          <w:rFonts w:ascii="Arial" w:hAnsi="Arial" w:cs="Arial"/>
          <w:i/>
          <w:iCs/>
          <w:sz w:val="20"/>
          <w:szCs w:val="20"/>
        </w:rPr>
        <w:t>Nwagbo’s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8" w:name="_3.1.1_Procedural_fairness"/>
      <w:bookmarkStart w:id="99" w:name="_Hlk142632735"/>
      <w:bookmarkEnd w:id="98"/>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12DAABB6" w14:textId="77777777" w:rsidR="00753AEB" w:rsidRDefault="00753AEB" w:rsidP="00FF66A9">
      <w:pPr>
        <w:jc w:val="both"/>
        <w:rPr>
          <w:rFonts w:ascii="Arial" w:hAnsi="Arial" w:cs="Arial"/>
          <w:sz w:val="20"/>
        </w:rPr>
      </w:pPr>
    </w:p>
    <w:p w14:paraId="3B2989E8" w14:textId="5D605C36" w:rsidR="00753AEB" w:rsidRDefault="00753AEB" w:rsidP="00FF66A9">
      <w:pPr>
        <w:jc w:val="both"/>
        <w:rPr>
          <w:rFonts w:ascii="Arial" w:hAnsi="Arial" w:cs="Arial"/>
          <w:sz w:val="20"/>
        </w:rPr>
      </w:pPr>
      <w:r>
        <w:rPr>
          <w:rFonts w:ascii="Arial" w:hAnsi="Arial" w:cs="Arial"/>
          <w:sz w:val="20"/>
        </w:rPr>
        <w:t xml:space="preserve">In </w:t>
      </w:r>
      <w:r w:rsidR="00820DF6">
        <w:rPr>
          <w:rFonts w:ascii="Arial" w:hAnsi="Arial" w:cs="Arial"/>
          <w:sz w:val="20"/>
        </w:rPr>
        <w:t xml:space="preserve">opening his </w:t>
      </w:r>
      <w:r>
        <w:rPr>
          <w:rFonts w:ascii="Arial" w:hAnsi="Arial" w:cs="Arial"/>
          <w:sz w:val="20"/>
        </w:rPr>
        <w:t xml:space="preserve">address </w:t>
      </w:r>
      <w:r w:rsidR="00820DF6">
        <w:rPr>
          <w:rFonts w:ascii="Arial" w:hAnsi="Arial" w:cs="Arial"/>
          <w:sz w:val="20"/>
        </w:rPr>
        <w:t xml:space="preserve">– entitled “Seven Random Points about Judging” – </w:t>
      </w:r>
      <w:r>
        <w:rPr>
          <w:rFonts w:ascii="Arial" w:hAnsi="Arial" w:cs="Arial"/>
          <w:sz w:val="20"/>
        </w:rPr>
        <w:t xml:space="preserve">to newly appointed judicial officers </w:t>
      </w:r>
      <w:r w:rsidR="00820DF6">
        <w:rPr>
          <w:rFonts w:ascii="Arial" w:hAnsi="Arial" w:cs="Arial"/>
          <w:sz w:val="20"/>
        </w:rPr>
        <w:t xml:space="preserve">at the </w:t>
      </w:r>
      <w:r w:rsidR="00820DF6" w:rsidRPr="00820DF6">
        <w:rPr>
          <w:rFonts w:ascii="Arial" w:hAnsi="Arial" w:cs="Arial"/>
          <w:sz w:val="20"/>
        </w:rPr>
        <w:t>National Judicial College of Australia Orientation Program</w:t>
      </w:r>
      <w:r w:rsidR="00820DF6">
        <w:rPr>
          <w:rFonts w:ascii="Arial" w:hAnsi="Arial" w:cs="Arial"/>
          <w:sz w:val="20"/>
        </w:rPr>
        <w:t xml:space="preserve"> in March 2024, The </w:t>
      </w:r>
      <w:r>
        <w:rPr>
          <w:rFonts w:ascii="Arial" w:hAnsi="Arial" w:cs="Arial"/>
          <w:sz w:val="20"/>
        </w:rPr>
        <w:t>Hon Justice Robert Beech-Jones</w:t>
      </w:r>
      <w:r w:rsidR="00820DF6">
        <w:rPr>
          <w:rFonts w:ascii="Arial" w:hAnsi="Arial" w:cs="Arial"/>
          <w:sz w:val="20"/>
        </w:rPr>
        <w:t xml:space="preserve"> said:</w:t>
      </w:r>
    </w:p>
    <w:p w14:paraId="7960A15A" w14:textId="77777777" w:rsidR="00820DF6" w:rsidRDefault="00820DF6" w:rsidP="00820DF6">
      <w:pPr>
        <w:spacing w:before="60"/>
        <w:ind w:left="454" w:right="454"/>
        <w:jc w:val="both"/>
        <w:rPr>
          <w:rFonts w:ascii="Arial" w:hAnsi="Arial" w:cs="Arial"/>
          <w:sz w:val="20"/>
        </w:rPr>
      </w:pPr>
      <w:r>
        <w:rPr>
          <w:rFonts w:ascii="Arial" w:hAnsi="Arial" w:cs="Arial"/>
          <w:sz w:val="20"/>
        </w:rPr>
        <w:t xml:space="preserve">“I am </w:t>
      </w:r>
      <w:r w:rsidRPr="00753AEB">
        <w:rPr>
          <w:rFonts w:ascii="Arial" w:hAnsi="Arial" w:cs="Arial"/>
          <w:sz w:val="20"/>
        </w:rPr>
        <w:t>sure you all know what a privilege it is be appointed. While being a judge has its moments, some of which I will describe, I have just about always found it enjoyable. Our work is interesting. By community standards, we have good conditions of work. Most of the time we are treated with respect.</w:t>
      </w:r>
    </w:p>
    <w:p w14:paraId="5C27CC27" w14:textId="51A70428" w:rsidR="00820DF6" w:rsidRDefault="00820DF6" w:rsidP="00820DF6">
      <w:pPr>
        <w:spacing w:before="60"/>
        <w:ind w:left="454" w:right="454"/>
        <w:jc w:val="both"/>
        <w:rPr>
          <w:rFonts w:ascii="Arial" w:hAnsi="Arial" w:cs="Arial"/>
          <w:sz w:val="20"/>
        </w:rPr>
      </w:pPr>
      <w:r w:rsidRPr="00753AEB">
        <w:rPr>
          <w:rFonts w:ascii="Arial" w:hAnsi="Arial" w:cs="Arial"/>
          <w:sz w:val="20"/>
        </w:rPr>
        <w:t>Last year, in giving the equivalent speech, my colleague Justice Jagot moved quickly from the peak of the Justice mountain into the valleys below and addressed the topic of writing judgments, something I will mention briefly.</w:t>
      </w:r>
    </w:p>
    <w:p w14:paraId="71488D57" w14:textId="34791D5A" w:rsidR="00820DF6" w:rsidRDefault="00820DF6" w:rsidP="00820DF6">
      <w:pPr>
        <w:spacing w:before="60"/>
        <w:ind w:left="454" w:right="454"/>
        <w:jc w:val="both"/>
        <w:rPr>
          <w:rFonts w:ascii="Arial" w:hAnsi="Arial" w:cs="Arial"/>
          <w:sz w:val="20"/>
        </w:rPr>
      </w:pPr>
      <w:r w:rsidRPr="00753AEB">
        <w:rPr>
          <w:rFonts w:ascii="Arial" w:hAnsi="Arial" w:cs="Arial"/>
          <w:sz w:val="20"/>
        </w:rPr>
        <w:t>I am going to stay in the valley of practical things</w:t>
      </w:r>
      <w:r>
        <w:rPr>
          <w:rFonts w:ascii="Arial" w:hAnsi="Arial" w:cs="Arial"/>
          <w:sz w:val="20"/>
        </w:rPr>
        <w:t>...”</w:t>
      </w:r>
    </w:p>
    <w:p w14:paraId="7B73E212" w14:textId="77777777" w:rsidR="00820DF6" w:rsidRDefault="00820DF6" w:rsidP="00FF66A9">
      <w:pPr>
        <w:jc w:val="both"/>
        <w:rPr>
          <w:rFonts w:ascii="Arial" w:hAnsi="Arial" w:cs="Arial"/>
          <w:sz w:val="20"/>
        </w:rPr>
      </w:pPr>
    </w:p>
    <w:p w14:paraId="26FC3D70" w14:textId="3C79167C" w:rsidR="00820DF6" w:rsidRDefault="00DC439D" w:rsidP="00DC439D">
      <w:pPr>
        <w:spacing w:after="120"/>
        <w:jc w:val="both"/>
        <w:rPr>
          <w:rFonts w:ascii="Arial" w:hAnsi="Arial" w:cs="Arial"/>
          <w:sz w:val="20"/>
        </w:rPr>
      </w:pPr>
      <w:r>
        <w:rPr>
          <w:rFonts w:ascii="Arial" w:hAnsi="Arial" w:cs="Arial"/>
          <w:sz w:val="20"/>
        </w:rPr>
        <w:t xml:space="preserve">In his Honour’s speech – </w:t>
      </w:r>
      <w:hyperlink r:id="rId8" w:history="1">
        <w:r w:rsidR="00820DF6" w:rsidRPr="00820DF6">
          <w:rPr>
            <w:rStyle w:val="Hyperlink"/>
            <w:rFonts w:ascii="Arial" w:hAnsi="Arial" w:cs="Arial"/>
            <w:sz w:val="20"/>
          </w:rPr>
          <w:t>https://www.hcourt.gov.au/assets/publications/speeches/current-justices/BJJ/Beech-Jones(2024)NJCA.pdf</w:t>
        </w:r>
      </w:hyperlink>
      <w:r>
        <w:rPr>
          <w:rFonts w:ascii="Arial" w:hAnsi="Arial" w:cs="Arial"/>
          <w:sz w:val="20"/>
        </w:rPr>
        <w:t xml:space="preserve"> – those seven practical things and the guidelines associated with them are discussed under the following headings:</w:t>
      </w:r>
    </w:p>
    <w:tbl>
      <w:tblPr>
        <w:tblStyle w:val="TableGrid"/>
        <w:tblW w:w="9071" w:type="dxa"/>
        <w:tblLook w:val="04A0" w:firstRow="1" w:lastRow="0" w:firstColumn="1" w:lastColumn="0" w:noHBand="0" w:noVBand="1"/>
      </w:tblPr>
      <w:tblGrid>
        <w:gridCol w:w="567"/>
        <w:gridCol w:w="8504"/>
      </w:tblGrid>
      <w:tr w:rsidR="00DC439D" w14:paraId="1CAA31BD" w14:textId="77777777" w:rsidTr="00733DD9">
        <w:tc>
          <w:tcPr>
            <w:tcW w:w="567" w:type="dxa"/>
            <w:tcBorders>
              <w:top w:val="single" w:sz="12" w:space="0" w:color="auto"/>
              <w:left w:val="single" w:sz="12" w:space="0" w:color="auto"/>
              <w:bottom w:val="nil"/>
              <w:right w:val="nil"/>
            </w:tcBorders>
            <w:shd w:val="clear" w:color="auto" w:fill="DDDDDD"/>
          </w:tcPr>
          <w:p w14:paraId="6BA1C447" w14:textId="7C3AD851" w:rsidR="00DC439D" w:rsidRPr="00DC439D" w:rsidRDefault="00DC439D" w:rsidP="00DC439D">
            <w:pPr>
              <w:jc w:val="center"/>
              <w:rPr>
                <w:rFonts w:ascii="Arial" w:hAnsi="Arial" w:cs="Arial"/>
                <w:b/>
                <w:bCs/>
                <w:sz w:val="20"/>
              </w:rPr>
            </w:pPr>
            <w:r>
              <w:rPr>
                <w:rFonts w:ascii="Arial" w:hAnsi="Arial" w:cs="Arial"/>
                <w:b/>
                <w:bCs/>
                <w:sz w:val="20"/>
              </w:rPr>
              <w:t>1</w:t>
            </w:r>
          </w:p>
        </w:tc>
        <w:tc>
          <w:tcPr>
            <w:tcW w:w="8504" w:type="dxa"/>
            <w:tcBorders>
              <w:top w:val="single" w:sz="12" w:space="0" w:color="auto"/>
              <w:left w:val="nil"/>
              <w:bottom w:val="nil"/>
              <w:right w:val="single" w:sz="12" w:space="0" w:color="auto"/>
            </w:tcBorders>
            <w:shd w:val="clear" w:color="auto" w:fill="DDDDDD"/>
          </w:tcPr>
          <w:p w14:paraId="37F3BD19" w14:textId="4EC81D2F" w:rsidR="00DC439D" w:rsidRPr="00DC439D" w:rsidRDefault="00DC439D" w:rsidP="00DC439D">
            <w:pPr>
              <w:jc w:val="center"/>
              <w:rPr>
                <w:rFonts w:ascii="Arial" w:hAnsi="Arial" w:cs="Arial"/>
                <w:b/>
                <w:bCs/>
                <w:sz w:val="20"/>
              </w:rPr>
            </w:pPr>
            <w:r w:rsidRPr="00753AEB">
              <w:rPr>
                <w:rFonts w:ascii="Arial" w:hAnsi="Arial" w:cs="Arial"/>
                <w:b/>
                <w:bCs/>
                <w:sz w:val="20"/>
              </w:rPr>
              <w:t>Judges are Meant to Resolve Disputes, Not Create Them</w:t>
            </w:r>
          </w:p>
        </w:tc>
      </w:tr>
      <w:tr w:rsidR="00DC439D" w14:paraId="622C0C18" w14:textId="77777777" w:rsidTr="00733DD9">
        <w:tc>
          <w:tcPr>
            <w:tcW w:w="567" w:type="dxa"/>
            <w:vMerge w:val="restart"/>
            <w:tcBorders>
              <w:top w:val="nil"/>
              <w:left w:val="single" w:sz="12" w:space="0" w:color="auto"/>
              <w:bottom w:val="nil"/>
              <w:right w:val="single" w:sz="4" w:space="0" w:color="auto"/>
            </w:tcBorders>
          </w:tcPr>
          <w:p w14:paraId="2BA72992" w14:textId="77777777" w:rsidR="00DC439D" w:rsidRDefault="00DC439D" w:rsidP="00DC439D">
            <w:pPr>
              <w:jc w:val="center"/>
              <w:rPr>
                <w:rFonts w:ascii="Arial" w:hAnsi="Arial" w:cs="Arial"/>
                <w:b/>
                <w:bCs/>
                <w:sz w:val="20"/>
              </w:rPr>
            </w:pPr>
          </w:p>
        </w:tc>
        <w:tc>
          <w:tcPr>
            <w:tcW w:w="8504" w:type="dxa"/>
            <w:tcBorders>
              <w:top w:val="nil"/>
              <w:left w:val="single" w:sz="4" w:space="0" w:color="auto"/>
              <w:right w:val="single" w:sz="12" w:space="0" w:color="auto"/>
            </w:tcBorders>
          </w:tcPr>
          <w:p w14:paraId="46F28D85" w14:textId="3FCB0054" w:rsidR="00DC439D" w:rsidRPr="00733DD9" w:rsidRDefault="00733DD9" w:rsidP="00DC439D">
            <w:pPr>
              <w:jc w:val="center"/>
              <w:rPr>
                <w:rFonts w:ascii="Arial" w:hAnsi="Arial" w:cs="Arial"/>
                <w:sz w:val="20"/>
              </w:rPr>
            </w:pPr>
            <w:r w:rsidRPr="00733DD9">
              <w:rPr>
                <w:rFonts w:ascii="Arial" w:hAnsi="Arial" w:cs="Arial"/>
                <w:sz w:val="20"/>
              </w:rPr>
              <w:t>Never call a witness a liar unless you have to.</w:t>
            </w:r>
          </w:p>
        </w:tc>
      </w:tr>
      <w:tr w:rsidR="00DC439D" w14:paraId="4C7A4F1E" w14:textId="77777777" w:rsidTr="00733DD9">
        <w:tc>
          <w:tcPr>
            <w:tcW w:w="567" w:type="dxa"/>
            <w:vMerge/>
            <w:tcBorders>
              <w:top w:val="nil"/>
              <w:left w:val="single" w:sz="12" w:space="0" w:color="auto"/>
              <w:bottom w:val="nil"/>
              <w:right w:val="single" w:sz="4" w:space="0" w:color="auto"/>
            </w:tcBorders>
          </w:tcPr>
          <w:p w14:paraId="576E3EFC" w14:textId="77777777" w:rsidR="00DC439D" w:rsidRDefault="00DC439D" w:rsidP="00DC439D">
            <w:pPr>
              <w:jc w:val="center"/>
              <w:rPr>
                <w:rFonts w:ascii="Arial" w:hAnsi="Arial" w:cs="Arial"/>
                <w:b/>
                <w:bCs/>
                <w:sz w:val="20"/>
              </w:rPr>
            </w:pPr>
          </w:p>
        </w:tc>
        <w:tc>
          <w:tcPr>
            <w:tcW w:w="8504" w:type="dxa"/>
            <w:tcBorders>
              <w:left w:val="single" w:sz="4" w:space="0" w:color="auto"/>
              <w:right w:val="single" w:sz="12" w:space="0" w:color="auto"/>
            </w:tcBorders>
          </w:tcPr>
          <w:p w14:paraId="3B732C61" w14:textId="113E8812" w:rsidR="00DC439D" w:rsidRPr="00733DD9" w:rsidRDefault="00733DD9" w:rsidP="00DC439D">
            <w:pPr>
              <w:jc w:val="center"/>
              <w:rPr>
                <w:rFonts w:ascii="Arial" w:hAnsi="Arial" w:cs="Arial"/>
                <w:sz w:val="20"/>
              </w:rPr>
            </w:pPr>
            <w:r w:rsidRPr="00733DD9">
              <w:rPr>
                <w:rFonts w:ascii="Arial" w:hAnsi="Arial" w:cs="Arial"/>
                <w:sz w:val="20"/>
              </w:rPr>
              <w:t>Confine yourself to explaining why one party lost without destroying them.</w:t>
            </w:r>
          </w:p>
        </w:tc>
      </w:tr>
      <w:tr w:rsidR="00DC439D" w14:paraId="7EFAFF98" w14:textId="77777777" w:rsidTr="00733DD9">
        <w:tc>
          <w:tcPr>
            <w:tcW w:w="567" w:type="dxa"/>
            <w:vMerge/>
            <w:tcBorders>
              <w:top w:val="nil"/>
              <w:left w:val="single" w:sz="12" w:space="0" w:color="auto"/>
              <w:bottom w:val="single" w:sz="12" w:space="0" w:color="auto"/>
              <w:right w:val="single" w:sz="4" w:space="0" w:color="auto"/>
            </w:tcBorders>
          </w:tcPr>
          <w:p w14:paraId="7DD5FBCC" w14:textId="77777777" w:rsid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1529C86F" w14:textId="2C71D936" w:rsidR="00DC439D" w:rsidRPr="00733DD9" w:rsidRDefault="00733DD9" w:rsidP="00DC439D">
            <w:pPr>
              <w:jc w:val="center"/>
              <w:rPr>
                <w:rFonts w:ascii="Arial" w:hAnsi="Arial" w:cs="Arial"/>
                <w:sz w:val="20"/>
              </w:rPr>
            </w:pPr>
            <w:r w:rsidRPr="00733DD9">
              <w:rPr>
                <w:rFonts w:ascii="Arial" w:hAnsi="Arial" w:cs="Arial"/>
                <w:sz w:val="20"/>
              </w:rPr>
              <w:t>Avoid labelling the lawyers who appear before you as incompetent or negligent unless it is necessary.</w:t>
            </w:r>
          </w:p>
        </w:tc>
      </w:tr>
      <w:tr w:rsidR="00DC439D" w14:paraId="0621396A" w14:textId="77777777" w:rsidTr="00733DD9">
        <w:tc>
          <w:tcPr>
            <w:tcW w:w="567" w:type="dxa"/>
            <w:tcBorders>
              <w:top w:val="single" w:sz="12" w:space="0" w:color="auto"/>
              <w:left w:val="single" w:sz="12" w:space="0" w:color="auto"/>
              <w:bottom w:val="nil"/>
              <w:right w:val="single" w:sz="4" w:space="0" w:color="auto"/>
            </w:tcBorders>
            <w:shd w:val="clear" w:color="auto" w:fill="DDDDDD"/>
          </w:tcPr>
          <w:p w14:paraId="4842E857" w14:textId="6CFB329F" w:rsidR="00DC439D" w:rsidRPr="00DC439D" w:rsidRDefault="00733DD9" w:rsidP="00DC439D">
            <w:pPr>
              <w:jc w:val="center"/>
              <w:rPr>
                <w:rFonts w:ascii="Arial" w:hAnsi="Arial" w:cs="Arial"/>
                <w:b/>
                <w:bCs/>
                <w:sz w:val="20"/>
              </w:rPr>
            </w:pPr>
            <w:r>
              <w:rPr>
                <w:rFonts w:ascii="Arial" w:hAnsi="Arial" w:cs="Arial"/>
                <w:b/>
                <w:bCs/>
                <w:sz w:val="20"/>
              </w:rPr>
              <w:t>2</w:t>
            </w:r>
          </w:p>
        </w:tc>
        <w:tc>
          <w:tcPr>
            <w:tcW w:w="8504" w:type="dxa"/>
            <w:tcBorders>
              <w:top w:val="single" w:sz="12" w:space="0" w:color="auto"/>
              <w:left w:val="single" w:sz="4" w:space="0" w:color="auto"/>
              <w:right w:val="single" w:sz="12" w:space="0" w:color="auto"/>
            </w:tcBorders>
            <w:shd w:val="clear" w:color="auto" w:fill="DDDDDD"/>
          </w:tcPr>
          <w:p w14:paraId="49D832CA" w14:textId="48D5A8CE" w:rsidR="00DC439D" w:rsidRPr="00733DD9" w:rsidRDefault="0049364E" w:rsidP="00733DD9">
            <w:pPr>
              <w:jc w:val="center"/>
              <w:rPr>
                <w:rFonts w:ascii="Arial" w:hAnsi="Arial" w:cs="Arial"/>
                <w:b/>
                <w:bCs/>
                <w:sz w:val="20"/>
              </w:rPr>
            </w:pPr>
            <w:r>
              <w:rPr>
                <w:rFonts w:ascii="Arial" w:hAnsi="Arial" w:cs="Arial"/>
                <w:b/>
                <w:bCs/>
                <w:sz w:val="20"/>
              </w:rPr>
              <w:t>W</w:t>
            </w:r>
            <w:r w:rsidR="00733DD9" w:rsidRPr="00733DD9">
              <w:rPr>
                <w:rFonts w:ascii="Arial" w:hAnsi="Arial" w:cs="Arial"/>
                <w:b/>
                <w:bCs/>
                <w:sz w:val="20"/>
              </w:rPr>
              <w:t>riting judgments</w:t>
            </w:r>
          </w:p>
        </w:tc>
      </w:tr>
      <w:tr w:rsidR="00733DD9" w14:paraId="44E76944" w14:textId="77777777" w:rsidTr="006010C0">
        <w:tc>
          <w:tcPr>
            <w:tcW w:w="567" w:type="dxa"/>
            <w:vMerge w:val="restart"/>
            <w:tcBorders>
              <w:top w:val="nil"/>
              <w:left w:val="single" w:sz="12" w:space="0" w:color="auto"/>
              <w:bottom w:val="nil"/>
              <w:right w:val="single" w:sz="4" w:space="0" w:color="auto"/>
            </w:tcBorders>
          </w:tcPr>
          <w:p w14:paraId="7C86347B" w14:textId="77777777" w:rsidR="00733DD9" w:rsidRDefault="00733DD9" w:rsidP="006010C0">
            <w:pPr>
              <w:jc w:val="center"/>
              <w:rPr>
                <w:rFonts w:ascii="Arial" w:hAnsi="Arial" w:cs="Arial"/>
                <w:b/>
                <w:bCs/>
                <w:sz w:val="20"/>
              </w:rPr>
            </w:pPr>
          </w:p>
        </w:tc>
        <w:tc>
          <w:tcPr>
            <w:tcW w:w="8504" w:type="dxa"/>
            <w:tcBorders>
              <w:top w:val="nil"/>
              <w:left w:val="single" w:sz="4" w:space="0" w:color="auto"/>
              <w:right w:val="single" w:sz="12" w:space="0" w:color="auto"/>
            </w:tcBorders>
          </w:tcPr>
          <w:p w14:paraId="07DB95E8" w14:textId="75806C15" w:rsidR="00733DD9" w:rsidRDefault="00733DD9" w:rsidP="00733DD9">
            <w:pPr>
              <w:jc w:val="both"/>
              <w:rPr>
                <w:rFonts w:ascii="Arial" w:hAnsi="Arial" w:cs="Arial"/>
                <w:sz w:val="20"/>
              </w:rPr>
            </w:pPr>
            <w:r>
              <w:rPr>
                <w:rFonts w:ascii="Arial" w:hAnsi="Arial" w:cs="Arial"/>
                <w:sz w:val="20"/>
              </w:rPr>
              <w:t>“</w:t>
            </w:r>
            <w:r w:rsidR="0049364E">
              <w:rPr>
                <w:rFonts w:ascii="Arial" w:hAnsi="Arial" w:cs="Arial"/>
                <w:sz w:val="20"/>
              </w:rPr>
              <w:t>E</w:t>
            </w:r>
            <w:r>
              <w:rPr>
                <w:rFonts w:ascii="Arial" w:hAnsi="Arial" w:cs="Arial"/>
                <w:sz w:val="20"/>
              </w:rPr>
              <w:t>x temp the small stuff”. If you are anxious about ex temps, start with a type of interlocutory judgment you expect you will give a lot and sketch out a general template, eg:</w:t>
            </w:r>
          </w:p>
          <w:p w14:paraId="7CE80036" w14:textId="638FE63C" w:rsidR="00733DD9" w:rsidRDefault="0049364E" w:rsidP="00234037">
            <w:pPr>
              <w:pStyle w:val="ListParagraph"/>
              <w:numPr>
                <w:ilvl w:val="0"/>
                <w:numId w:val="161"/>
              </w:numPr>
              <w:ind w:left="0"/>
              <w:jc w:val="both"/>
              <w:rPr>
                <w:rFonts w:ascii="Arial" w:hAnsi="Arial" w:cs="Arial"/>
                <w:sz w:val="20"/>
              </w:rPr>
            </w:pPr>
            <w:r>
              <w:rPr>
                <w:rFonts w:ascii="Arial" w:hAnsi="Arial" w:cs="Arial"/>
                <w:sz w:val="20"/>
              </w:rPr>
              <w:t>what the application is about;</w:t>
            </w:r>
          </w:p>
          <w:p w14:paraId="34743C9E" w14:textId="4381BD7F" w:rsidR="0049364E" w:rsidRDefault="0049364E" w:rsidP="00234037">
            <w:pPr>
              <w:pStyle w:val="ListParagraph"/>
              <w:numPr>
                <w:ilvl w:val="0"/>
                <w:numId w:val="161"/>
              </w:numPr>
              <w:ind w:left="0"/>
              <w:jc w:val="both"/>
              <w:rPr>
                <w:rFonts w:ascii="Arial" w:hAnsi="Arial" w:cs="Arial"/>
                <w:sz w:val="20"/>
              </w:rPr>
            </w:pPr>
            <w:r>
              <w:rPr>
                <w:rFonts w:ascii="Arial" w:hAnsi="Arial" w:cs="Arial"/>
                <w:sz w:val="20"/>
              </w:rPr>
              <w:t>the nature of the proceedings;</w:t>
            </w:r>
          </w:p>
          <w:p w14:paraId="0A6AE8EE" w14:textId="3F5B3EF7" w:rsidR="0049364E" w:rsidRDefault="0049364E" w:rsidP="00234037">
            <w:pPr>
              <w:pStyle w:val="ListParagraph"/>
              <w:numPr>
                <w:ilvl w:val="0"/>
                <w:numId w:val="161"/>
              </w:numPr>
              <w:ind w:left="0"/>
              <w:jc w:val="both"/>
              <w:rPr>
                <w:rFonts w:ascii="Arial" w:hAnsi="Arial" w:cs="Arial"/>
                <w:sz w:val="20"/>
              </w:rPr>
            </w:pPr>
            <w:r>
              <w:rPr>
                <w:rFonts w:ascii="Arial" w:hAnsi="Arial" w:cs="Arial"/>
                <w:sz w:val="20"/>
              </w:rPr>
              <w:t>the background to the application;</w:t>
            </w:r>
          </w:p>
          <w:p w14:paraId="20153546" w14:textId="2DD4BE04" w:rsidR="0049364E" w:rsidRDefault="0049364E" w:rsidP="00234037">
            <w:pPr>
              <w:pStyle w:val="ListParagraph"/>
              <w:numPr>
                <w:ilvl w:val="0"/>
                <w:numId w:val="161"/>
              </w:numPr>
              <w:ind w:left="0"/>
              <w:jc w:val="both"/>
              <w:rPr>
                <w:rFonts w:ascii="Arial" w:hAnsi="Arial" w:cs="Arial"/>
                <w:sz w:val="20"/>
              </w:rPr>
            </w:pPr>
            <w:r>
              <w:rPr>
                <w:rFonts w:ascii="Arial" w:hAnsi="Arial" w:cs="Arial"/>
                <w:sz w:val="20"/>
              </w:rPr>
              <w:t>the applicable rule and principle;</w:t>
            </w:r>
          </w:p>
          <w:p w14:paraId="4954117B" w14:textId="0FE7EF55" w:rsidR="0049364E" w:rsidRDefault="0049364E" w:rsidP="00234037">
            <w:pPr>
              <w:pStyle w:val="ListParagraph"/>
              <w:numPr>
                <w:ilvl w:val="0"/>
                <w:numId w:val="161"/>
              </w:numPr>
              <w:ind w:left="0"/>
              <w:jc w:val="both"/>
              <w:rPr>
                <w:rFonts w:ascii="Arial" w:hAnsi="Arial" w:cs="Arial"/>
                <w:sz w:val="20"/>
              </w:rPr>
            </w:pPr>
            <w:r>
              <w:rPr>
                <w:rFonts w:ascii="Arial" w:hAnsi="Arial" w:cs="Arial"/>
                <w:sz w:val="20"/>
              </w:rPr>
              <w:t>the parties’ argument</w:t>
            </w:r>
            <w:r w:rsidR="00435549">
              <w:rPr>
                <w:rFonts w:ascii="Arial" w:hAnsi="Arial" w:cs="Arial"/>
                <w:sz w:val="20"/>
              </w:rPr>
              <w:t>s</w:t>
            </w:r>
            <w:r>
              <w:rPr>
                <w:rFonts w:ascii="Arial" w:hAnsi="Arial" w:cs="Arial"/>
                <w:sz w:val="20"/>
              </w:rPr>
              <w:t>; and</w:t>
            </w:r>
          </w:p>
          <w:p w14:paraId="43984DA4" w14:textId="26C71553" w:rsidR="00733DD9" w:rsidRPr="0049364E" w:rsidRDefault="0049364E" w:rsidP="00234037">
            <w:pPr>
              <w:pStyle w:val="ListParagraph"/>
              <w:numPr>
                <w:ilvl w:val="0"/>
                <w:numId w:val="161"/>
              </w:numPr>
              <w:ind w:left="0"/>
              <w:jc w:val="both"/>
              <w:rPr>
                <w:rFonts w:ascii="Arial" w:hAnsi="Arial" w:cs="Arial"/>
                <w:sz w:val="20"/>
              </w:rPr>
            </w:pPr>
            <w:r>
              <w:rPr>
                <w:rFonts w:ascii="Arial" w:hAnsi="Arial" w:cs="Arial"/>
                <w:sz w:val="20"/>
              </w:rPr>
              <w:t>the application of the rule to the facts in the proceeding.</w:t>
            </w:r>
          </w:p>
        </w:tc>
      </w:tr>
      <w:tr w:rsidR="00733DD9" w14:paraId="623ABB78" w14:textId="77777777" w:rsidTr="006010C0">
        <w:tc>
          <w:tcPr>
            <w:tcW w:w="567" w:type="dxa"/>
            <w:vMerge/>
            <w:tcBorders>
              <w:top w:val="nil"/>
              <w:left w:val="single" w:sz="12" w:space="0" w:color="auto"/>
              <w:bottom w:val="nil"/>
              <w:right w:val="single" w:sz="4" w:space="0" w:color="auto"/>
            </w:tcBorders>
          </w:tcPr>
          <w:p w14:paraId="7CBE23A0" w14:textId="77777777" w:rsidR="00733DD9" w:rsidRDefault="00733DD9" w:rsidP="006010C0">
            <w:pPr>
              <w:jc w:val="center"/>
              <w:rPr>
                <w:rFonts w:ascii="Arial" w:hAnsi="Arial" w:cs="Arial"/>
                <w:b/>
                <w:bCs/>
                <w:sz w:val="20"/>
              </w:rPr>
            </w:pPr>
          </w:p>
        </w:tc>
        <w:tc>
          <w:tcPr>
            <w:tcW w:w="8504" w:type="dxa"/>
            <w:tcBorders>
              <w:left w:val="single" w:sz="4" w:space="0" w:color="auto"/>
              <w:right w:val="single" w:sz="12" w:space="0" w:color="auto"/>
            </w:tcBorders>
          </w:tcPr>
          <w:p w14:paraId="5D431973" w14:textId="77777777" w:rsidR="00582AA3" w:rsidRDefault="00582AA3" w:rsidP="00234037">
            <w:pPr>
              <w:pStyle w:val="ListParagraph"/>
              <w:numPr>
                <w:ilvl w:val="0"/>
                <w:numId w:val="162"/>
              </w:numPr>
              <w:ind w:left="357" w:hanging="357"/>
              <w:jc w:val="both"/>
              <w:rPr>
                <w:rFonts w:ascii="Arial" w:hAnsi="Arial" w:cs="Arial"/>
                <w:sz w:val="20"/>
              </w:rPr>
            </w:pPr>
            <w:r w:rsidRPr="00582AA3">
              <w:rPr>
                <w:rFonts w:ascii="Arial" w:hAnsi="Arial" w:cs="Arial"/>
                <w:sz w:val="20"/>
              </w:rPr>
              <w:t>For complex final judgments after a contested hearing start with a chronological set of facts.</w:t>
            </w:r>
          </w:p>
          <w:p w14:paraId="7E0A2734" w14:textId="72343D7F" w:rsidR="00733DD9" w:rsidRDefault="00582AA3" w:rsidP="00234037">
            <w:pPr>
              <w:pStyle w:val="ListParagraph"/>
              <w:numPr>
                <w:ilvl w:val="0"/>
                <w:numId w:val="162"/>
              </w:numPr>
              <w:ind w:left="357" w:hanging="357"/>
              <w:jc w:val="both"/>
              <w:rPr>
                <w:rFonts w:ascii="Arial" w:hAnsi="Arial" w:cs="Arial"/>
                <w:sz w:val="20"/>
              </w:rPr>
            </w:pPr>
            <w:r w:rsidRPr="00582AA3">
              <w:rPr>
                <w:rFonts w:ascii="Arial" w:hAnsi="Arial" w:cs="Arial"/>
                <w:sz w:val="20"/>
              </w:rPr>
              <w:t>Then identify the contested facts, writing a short summary of each party’s case.</w:t>
            </w:r>
          </w:p>
          <w:p w14:paraId="2569ADBC" w14:textId="6DE8A35A" w:rsidR="00582AA3" w:rsidRPr="00582AA3" w:rsidRDefault="00582AA3" w:rsidP="00234037">
            <w:pPr>
              <w:pStyle w:val="ListParagraph"/>
              <w:numPr>
                <w:ilvl w:val="0"/>
                <w:numId w:val="162"/>
              </w:numPr>
              <w:ind w:left="357" w:hanging="357"/>
              <w:jc w:val="both"/>
              <w:rPr>
                <w:rFonts w:ascii="Arial" w:hAnsi="Arial" w:cs="Arial"/>
                <w:sz w:val="20"/>
              </w:rPr>
            </w:pPr>
            <w:r>
              <w:rPr>
                <w:rFonts w:ascii="Arial" w:hAnsi="Arial" w:cs="Arial"/>
                <w:sz w:val="20"/>
              </w:rPr>
              <w:t>There are not many legal problems that remain knotty after the facts are found.</w:t>
            </w:r>
          </w:p>
        </w:tc>
      </w:tr>
      <w:tr w:rsidR="00733DD9" w14:paraId="2B9ACEC5" w14:textId="77777777" w:rsidTr="00582AA3">
        <w:tc>
          <w:tcPr>
            <w:tcW w:w="567" w:type="dxa"/>
            <w:vMerge/>
            <w:tcBorders>
              <w:top w:val="nil"/>
              <w:left w:val="single" w:sz="12" w:space="0" w:color="auto"/>
              <w:bottom w:val="single" w:sz="12" w:space="0" w:color="auto"/>
              <w:right w:val="single" w:sz="4" w:space="0" w:color="auto"/>
            </w:tcBorders>
          </w:tcPr>
          <w:p w14:paraId="0236D0F3" w14:textId="77777777" w:rsidR="00733DD9" w:rsidRDefault="00733DD9" w:rsidP="006010C0">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0BFAB267" w14:textId="66BC42E8" w:rsidR="00733DD9" w:rsidRPr="00733DD9" w:rsidRDefault="00582AA3" w:rsidP="006010C0">
            <w:pPr>
              <w:jc w:val="center"/>
              <w:rPr>
                <w:rFonts w:ascii="Arial" w:hAnsi="Arial" w:cs="Arial"/>
                <w:sz w:val="20"/>
              </w:rPr>
            </w:pPr>
            <w:r>
              <w:rPr>
                <w:rFonts w:ascii="Arial" w:hAnsi="Arial" w:cs="Arial"/>
                <w:sz w:val="20"/>
              </w:rPr>
              <w:t>Avoid jokes in judgments.</w:t>
            </w:r>
          </w:p>
        </w:tc>
      </w:tr>
      <w:tr w:rsidR="00DC439D" w14:paraId="441D16EE" w14:textId="77777777" w:rsidTr="00582AA3">
        <w:tc>
          <w:tcPr>
            <w:tcW w:w="567" w:type="dxa"/>
            <w:tcBorders>
              <w:top w:val="nil"/>
              <w:left w:val="single" w:sz="12" w:space="0" w:color="auto"/>
              <w:bottom w:val="nil"/>
              <w:right w:val="single" w:sz="4" w:space="0" w:color="auto"/>
            </w:tcBorders>
            <w:shd w:val="clear" w:color="auto" w:fill="DDDDDD"/>
          </w:tcPr>
          <w:p w14:paraId="43A45CAB" w14:textId="09351923" w:rsidR="00DC439D" w:rsidRPr="00DC439D" w:rsidRDefault="00733DD9" w:rsidP="00DC439D">
            <w:pPr>
              <w:jc w:val="center"/>
              <w:rPr>
                <w:rFonts w:ascii="Arial" w:hAnsi="Arial" w:cs="Arial"/>
                <w:b/>
                <w:bCs/>
                <w:sz w:val="20"/>
              </w:rPr>
            </w:pPr>
            <w:r>
              <w:rPr>
                <w:rFonts w:ascii="Arial" w:hAnsi="Arial" w:cs="Arial"/>
                <w:b/>
                <w:bCs/>
                <w:sz w:val="20"/>
              </w:rPr>
              <w:t>3</w:t>
            </w:r>
          </w:p>
        </w:tc>
        <w:tc>
          <w:tcPr>
            <w:tcW w:w="8504" w:type="dxa"/>
            <w:tcBorders>
              <w:top w:val="single" w:sz="12" w:space="0" w:color="auto"/>
              <w:left w:val="single" w:sz="4" w:space="0" w:color="auto"/>
              <w:right w:val="single" w:sz="12" w:space="0" w:color="auto"/>
            </w:tcBorders>
            <w:shd w:val="clear" w:color="auto" w:fill="DDDDDD"/>
          </w:tcPr>
          <w:p w14:paraId="1383D8B3" w14:textId="72C01EE5" w:rsidR="00DC439D" w:rsidRPr="00733DD9" w:rsidRDefault="00582AA3" w:rsidP="00733DD9">
            <w:pPr>
              <w:jc w:val="center"/>
              <w:rPr>
                <w:rFonts w:ascii="Arial" w:hAnsi="Arial" w:cs="Arial"/>
                <w:b/>
                <w:bCs/>
                <w:sz w:val="20"/>
              </w:rPr>
            </w:pPr>
            <w:r>
              <w:rPr>
                <w:rFonts w:ascii="Arial" w:hAnsi="Arial" w:cs="Arial"/>
                <w:b/>
                <w:bCs/>
                <w:sz w:val="20"/>
              </w:rPr>
              <w:t>V</w:t>
            </w:r>
            <w:r w:rsidR="00733DD9" w:rsidRPr="00733DD9">
              <w:rPr>
                <w:rFonts w:ascii="Arial" w:hAnsi="Arial" w:cs="Arial"/>
                <w:b/>
                <w:bCs/>
                <w:sz w:val="20"/>
              </w:rPr>
              <w:t>exatious litigants</w:t>
            </w:r>
          </w:p>
        </w:tc>
      </w:tr>
      <w:tr w:rsidR="00095577" w14:paraId="55141E38" w14:textId="77777777" w:rsidTr="006010C0">
        <w:tc>
          <w:tcPr>
            <w:tcW w:w="567" w:type="dxa"/>
            <w:vMerge w:val="restart"/>
            <w:tcBorders>
              <w:top w:val="nil"/>
              <w:left w:val="single" w:sz="12" w:space="0" w:color="auto"/>
              <w:right w:val="single" w:sz="4" w:space="0" w:color="auto"/>
            </w:tcBorders>
          </w:tcPr>
          <w:p w14:paraId="2B058260"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0D677585" w14:textId="7C35C3D9" w:rsidR="00095577" w:rsidRPr="00582AA3" w:rsidRDefault="00095577" w:rsidP="00234037">
            <w:pPr>
              <w:pStyle w:val="ListParagraph"/>
              <w:numPr>
                <w:ilvl w:val="0"/>
                <w:numId w:val="163"/>
              </w:numPr>
              <w:ind w:left="357" w:hanging="357"/>
              <w:jc w:val="both"/>
              <w:rPr>
                <w:rFonts w:ascii="Arial" w:hAnsi="Arial" w:cs="Arial"/>
                <w:sz w:val="20"/>
              </w:rPr>
            </w:pPr>
            <w:r>
              <w:rPr>
                <w:rFonts w:ascii="Arial" w:hAnsi="Arial" w:cs="Arial"/>
                <w:sz w:val="20"/>
              </w:rPr>
              <w:t>D</w:t>
            </w:r>
            <w:r w:rsidRPr="00582AA3">
              <w:rPr>
                <w:rFonts w:ascii="Arial" w:hAnsi="Arial" w:cs="Arial"/>
                <w:sz w:val="20"/>
              </w:rPr>
              <w:t>o not engage in a dialogue with vexatious litigants. Instead, invite them to address the particular point and stay quiet. Firm but quiet. Our job is not to make vexatious litigants feel comfortable in court or think that we are providing them with a platform. They are entitled to a reasonable opportunity to be heard but no more than that.</w:t>
            </w:r>
          </w:p>
        </w:tc>
      </w:tr>
      <w:tr w:rsidR="00095577" w14:paraId="22E26533" w14:textId="77777777" w:rsidTr="006010C0">
        <w:tc>
          <w:tcPr>
            <w:tcW w:w="567" w:type="dxa"/>
            <w:vMerge/>
            <w:tcBorders>
              <w:left w:val="single" w:sz="12" w:space="0" w:color="auto"/>
              <w:bottom w:val="single" w:sz="12" w:space="0" w:color="auto"/>
              <w:right w:val="single" w:sz="4" w:space="0" w:color="auto"/>
            </w:tcBorders>
          </w:tcPr>
          <w:p w14:paraId="7FD83F4E"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260181EF" w14:textId="625A8321" w:rsidR="00095577" w:rsidRPr="00582AA3" w:rsidRDefault="00095577" w:rsidP="00234037">
            <w:pPr>
              <w:pStyle w:val="ListParagraph"/>
              <w:numPr>
                <w:ilvl w:val="0"/>
                <w:numId w:val="163"/>
              </w:numPr>
              <w:ind w:left="357" w:hanging="357"/>
              <w:jc w:val="both"/>
              <w:rPr>
                <w:rFonts w:ascii="Arial" w:hAnsi="Arial" w:cs="Arial"/>
                <w:sz w:val="20"/>
              </w:rPr>
            </w:pPr>
            <w:r>
              <w:rPr>
                <w:rFonts w:ascii="Arial" w:hAnsi="Arial" w:cs="Arial"/>
                <w:sz w:val="20"/>
              </w:rPr>
              <w:t>I</w:t>
            </w:r>
            <w:r w:rsidRPr="00582AA3">
              <w:rPr>
                <w:rFonts w:ascii="Arial" w:hAnsi="Arial" w:cs="Arial"/>
                <w:sz w:val="20"/>
              </w:rPr>
              <w:t>mpose a time limit for their submissions during which you try and stay quiet to let them speak.</w:t>
            </w:r>
          </w:p>
        </w:tc>
      </w:tr>
      <w:tr w:rsidR="00582AA3" w14:paraId="60CF8429" w14:textId="77777777" w:rsidTr="00582AA3">
        <w:tc>
          <w:tcPr>
            <w:tcW w:w="567" w:type="dxa"/>
            <w:tcBorders>
              <w:top w:val="single" w:sz="12" w:space="0" w:color="auto"/>
              <w:left w:val="single" w:sz="12" w:space="0" w:color="auto"/>
              <w:bottom w:val="nil"/>
              <w:right w:val="single" w:sz="4" w:space="0" w:color="auto"/>
            </w:tcBorders>
            <w:shd w:val="clear" w:color="auto" w:fill="DDDDDD"/>
          </w:tcPr>
          <w:p w14:paraId="66C5D6E4" w14:textId="79E31CE6" w:rsidR="00582AA3" w:rsidRPr="00DC439D" w:rsidRDefault="00582AA3" w:rsidP="006010C0">
            <w:pPr>
              <w:jc w:val="center"/>
              <w:rPr>
                <w:rFonts w:ascii="Arial" w:hAnsi="Arial" w:cs="Arial"/>
                <w:b/>
                <w:bCs/>
                <w:sz w:val="20"/>
              </w:rPr>
            </w:pPr>
            <w:r>
              <w:rPr>
                <w:rFonts w:ascii="Arial" w:hAnsi="Arial" w:cs="Arial"/>
                <w:b/>
                <w:bCs/>
                <w:sz w:val="20"/>
              </w:rPr>
              <w:t>4</w:t>
            </w:r>
          </w:p>
        </w:tc>
        <w:tc>
          <w:tcPr>
            <w:tcW w:w="8504" w:type="dxa"/>
            <w:tcBorders>
              <w:top w:val="single" w:sz="12" w:space="0" w:color="auto"/>
              <w:left w:val="single" w:sz="4" w:space="0" w:color="auto"/>
              <w:right w:val="single" w:sz="12" w:space="0" w:color="auto"/>
            </w:tcBorders>
            <w:shd w:val="clear" w:color="auto" w:fill="DDDDDD"/>
          </w:tcPr>
          <w:p w14:paraId="4ED1C716" w14:textId="6A857901" w:rsidR="00582AA3" w:rsidRPr="00733DD9" w:rsidRDefault="00582AA3" w:rsidP="006010C0">
            <w:pPr>
              <w:jc w:val="center"/>
              <w:rPr>
                <w:rFonts w:ascii="Arial" w:hAnsi="Arial" w:cs="Arial"/>
                <w:b/>
                <w:bCs/>
                <w:sz w:val="20"/>
              </w:rPr>
            </w:pPr>
            <w:r>
              <w:rPr>
                <w:rFonts w:ascii="Arial" w:hAnsi="Arial" w:cs="Arial"/>
                <w:b/>
                <w:bCs/>
                <w:sz w:val="20"/>
              </w:rPr>
              <w:t>Keep the Trial Moving</w:t>
            </w:r>
          </w:p>
        </w:tc>
      </w:tr>
      <w:tr w:rsidR="00095577" w14:paraId="397736B7" w14:textId="77777777" w:rsidTr="006010C0">
        <w:tc>
          <w:tcPr>
            <w:tcW w:w="567" w:type="dxa"/>
            <w:tcBorders>
              <w:top w:val="single" w:sz="12" w:space="0" w:color="auto"/>
              <w:left w:val="single" w:sz="12" w:space="0" w:color="auto"/>
              <w:bottom w:val="nil"/>
              <w:right w:val="single" w:sz="4" w:space="0" w:color="auto"/>
            </w:tcBorders>
            <w:shd w:val="clear" w:color="auto" w:fill="DDDDDD"/>
          </w:tcPr>
          <w:p w14:paraId="7DBD2ACF" w14:textId="5EE38BF8" w:rsidR="00095577" w:rsidRPr="00DC439D" w:rsidRDefault="00095577" w:rsidP="006010C0">
            <w:pPr>
              <w:jc w:val="center"/>
              <w:rPr>
                <w:rFonts w:ascii="Arial" w:hAnsi="Arial" w:cs="Arial"/>
                <w:b/>
                <w:bCs/>
                <w:sz w:val="20"/>
              </w:rPr>
            </w:pPr>
            <w:r>
              <w:rPr>
                <w:rFonts w:ascii="Arial" w:hAnsi="Arial" w:cs="Arial"/>
                <w:b/>
                <w:bCs/>
                <w:sz w:val="20"/>
              </w:rPr>
              <w:t>5</w:t>
            </w:r>
          </w:p>
        </w:tc>
        <w:tc>
          <w:tcPr>
            <w:tcW w:w="8504" w:type="dxa"/>
            <w:tcBorders>
              <w:top w:val="single" w:sz="12" w:space="0" w:color="auto"/>
              <w:left w:val="single" w:sz="4" w:space="0" w:color="auto"/>
              <w:right w:val="single" w:sz="12" w:space="0" w:color="auto"/>
            </w:tcBorders>
            <w:shd w:val="clear" w:color="auto" w:fill="DDDDDD"/>
          </w:tcPr>
          <w:p w14:paraId="5D204155" w14:textId="3CCBF428" w:rsidR="00095577" w:rsidRPr="00733DD9" w:rsidRDefault="00095577" w:rsidP="006010C0">
            <w:pPr>
              <w:jc w:val="center"/>
              <w:rPr>
                <w:rFonts w:ascii="Arial" w:hAnsi="Arial" w:cs="Arial"/>
                <w:b/>
                <w:bCs/>
                <w:sz w:val="20"/>
              </w:rPr>
            </w:pPr>
            <w:r>
              <w:rPr>
                <w:rFonts w:ascii="Arial" w:hAnsi="Arial" w:cs="Arial"/>
                <w:b/>
                <w:bCs/>
                <w:sz w:val="20"/>
              </w:rPr>
              <w:t>Getting Rolled on Appeal is a ‘fact of life’</w:t>
            </w:r>
          </w:p>
        </w:tc>
      </w:tr>
      <w:tr w:rsidR="00DC439D" w14:paraId="5A9494A6" w14:textId="77777777" w:rsidTr="00095577">
        <w:tc>
          <w:tcPr>
            <w:tcW w:w="567" w:type="dxa"/>
            <w:tcBorders>
              <w:top w:val="nil"/>
              <w:left w:val="single" w:sz="12" w:space="0" w:color="auto"/>
              <w:bottom w:val="single" w:sz="12" w:space="0" w:color="auto"/>
              <w:right w:val="single" w:sz="4" w:space="0" w:color="auto"/>
            </w:tcBorders>
          </w:tcPr>
          <w:p w14:paraId="625111EB" w14:textId="77777777" w:rsidR="00DC439D" w:rsidRP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5B294DA5" w14:textId="28B911B5" w:rsidR="00DC439D" w:rsidRDefault="00095577" w:rsidP="00753AEB">
            <w:pPr>
              <w:jc w:val="both"/>
              <w:rPr>
                <w:rFonts w:ascii="Arial" w:hAnsi="Arial" w:cs="Arial"/>
                <w:sz w:val="20"/>
              </w:rPr>
            </w:pPr>
            <w:r>
              <w:rPr>
                <w:rFonts w:ascii="Arial" w:hAnsi="Arial" w:cs="Arial"/>
                <w:sz w:val="20"/>
              </w:rPr>
              <w:t>W</w:t>
            </w:r>
            <w:r w:rsidRPr="00095577">
              <w:rPr>
                <w:rFonts w:ascii="Arial" w:hAnsi="Arial" w:cs="Arial"/>
                <w:sz w:val="20"/>
              </w:rPr>
              <w:t>e need to accept that it will happen and that almost always it is not a reflection on the judge at first instance. The tone and substance of cases can change dramatically on appeal.</w:t>
            </w:r>
          </w:p>
        </w:tc>
      </w:tr>
      <w:tr w:rsidR="00095577" w14:paraId="19F4CC73" w14:textId="77777777" w:rsidTr="00095577">
        <w:tc>
          <w:tcPr>
            <w:tcW w:w="567" w:type="dxa"/>
            <w:tcBorders>
              <w:top w:val="single" w:sz="12" w:space="0" w:color="auto"/>
              <w:left w:val="single" w:sz="12" w:space="0" w:color="auto"/>
              <w:bottom w:val="single" w:sz="4" w:space="0" w:color="auto"/>
            </w:tcBorders>
            <w:shd w:val="clear" w:color="auto" w:fill="DDDDDD"/>
          </w:tcPr>
          <w:p w14:paraId="70F3792E" w14:textId="384E969F" w:rsidR="00095577" w:rsidRPr="00DC439D" w:rsidRDefault="00095577" w:rsidP="006010C0">
            <w:pPr>
              <w:jc w:val="center"/>
              <w:rPr>
                <w:rFonts w:ascii="Arial" w:hAnsi="Arial" w:cs="Arial"/>
                <w:b/>
                <w:bCs/>
                <w:sz w:val="20"/>
              </w:rPr>
            </w:pPr>
            <w:r>
              <w:rPr>
                <w:rFonts w:ascii="Arial" w:hAnsi="Arial" w:cs="Arial"/>
                <w:b/>
                <w:bCs/>
                <w:sz w:val="20"/>
              </w:rPr>
              <w:t>6</w:t>
            </w:r>
          </w:p>
        </w:tc>
        <w:tc>
          <w:tcPr>
            <w:tcW w:w="8504" w:type="dxa"/>
            <w:tcBorders>
              <w:top w:val="single" w:sz="12" w:space="0" w:color="auto"/>
              <w:bottom w:val="single" w:sz="4" w:space="0" w:color="auto"/>
              <w:right w:val="single" w:sz="12" w:space="0" w:color="auto"/>
            </w:tcBorders>
            <w:shd w:val="clear" w:color="auto" w:fill="DDDDDD"/>
          </w:tcPr>
          <w:p w14:paraId="477CCDED" w14:textId="182A1B47" w:rsidR="00095577" w:rsidRPr="00733DD9" w:rsidRDefault="00095577" w:rsidP="006010C0">
            <w:pPr>
              <w:jc w:val="center"/>
              <w:rPr>
                <w:rFonts w:ascii="Arial" w:hAnsi="Arial" w:cs="Arial"/>
                <w:b/>
                <w:bCs/>
                <w:sz w:val="20"/>
              </w:rPr>
            </w:pPr>
            <w:r>
              <w:rPr>
                <w:rFonts w:ascii="Arial" w:hAnsi="Arial" w:cs="Arial"/>
                <w:b/>
                <w:bCs/>
                <w:sz w:val="20"/>
              </w:rPr>
              <w:t>Beware of secondary trauma</w:t>
            </w:r>
          </w:p>
        </w:tc>
      </w:tr>
      <w:tr w:rsidR="00095577" w14:paraId="0B8EF168" w14:textId="77777777" w:rsidTr="00504A1C">
        <w:tc>
          <w:tcPr>
            <w:tcW w:w="567" w:type="dxa"/>
            <w:tcBorders>
              <w:left w:val="single" w:sz="12" w:space="0" w:color="auto"/>
              <w:bottom w:val="single" w:sz="12" w:space="0" w:color="auto"/>
            </w:tcBorders>
          </w:tcPr>
          <w:p w14:paraId="0E091BEE" w14:textId="77777777" w:rsidR="00095577" w:rsidRPr="00DC439D" w:rsidRDefault="00095577" w:rsidP="006010C0">
            <w:pPr>
              <w:jc w:val="center"/>
              <w:rPr>
                <w:rFonts w:ascii="Arial" w:hAnsi="Arial" w:cs="Arial"/>
                <w:b/>
                <w:bCs/>
                <w:sz w:val="20"/>
              </w:rPr>
            </w:pPr>
          </w:p>
        </w:tc>
        <w:tc>
          <w:tcPr>
            <w:tcW w:w="8504" w:type="dxa"/>
            <w:tcBorders>
              <w:bottom w:val="single" w:sz="12" w:space="0" w:color="auto"/>
              <w:right w:val="single" w:sz="12" w:space="0" w:color="auto"/>
            </w:tcBorders>
          </w:tcPr>
          <w:p w14:paraId="0E8125AC" w14:textId="5713AEAF" w:rsidR="00095577" w:rsidRDefault="00095577" w:rsidP="006010C0">
            <w:pPr>
              <w:jc w:val="both"/>
              <w:rPr>
                <w:rFonts w:ascii="Arial" w:hAnsi="Arial" w:cs="Arial"/>
                <w:sz w:val="20"/>
              </w:rPr>
            </w:pPr>
            <w:r>
              <w:rPr>
                <w:rFonts w:ascii="Arial" w:hAnsi="Arial" w:cs="Arial"/>
                <w:sz w:val="20"/>
              </w:rPr>
              <w:t>You never know which case will affect you</w:t>
            </w:r>
            <w:r w:rsidRPr="00095577">
              <w:rPr>
                <w:rFonts w:ascii="Arial" w:hAnsi="Arial" w:cs="Arial"/>
                <w:sz w:val="20"/>
              </w:rPr>
              <w:t>.</w:t>
            </w:r>
            <w:r>
              <w:rPr>
                <w:rFonts w:ascii="Arial" w:hAnsi="Arial" w:cs="Arial"/>
                <w:sz w:val="20"/>
              </w:rPr>
              <w:t xml:space="preserve"> You don’t know the effect of cumulation of cases. If something is getting to you, talking through </w:t>
            </w:r>
            <w:r w:rsidRPr="00095577">
              <w:rPr>
                <w:rFonts w:ascii="Arial" w:hAnsi="Arial" w:cs="Arial"/>
                <w:sz w:val="20"/>
              </w:rPr>
              <w:t>the issue and, if necessary, seeing someone about it is a reflection of your strength as a judge because all good judges have self-insight.</w:t>
            </w:r>
          </w:p>
        </w:tc>
      </w:tr>
      <w:tr w:rsidR="00095577" w14:paraId="288306F8" w14:textId="77777777" w:rsidTr="00504A1C">
        <w:tc>
          <w:tcPr>
            <w:tcW w:w="567" w:type="dxa"/>
            <w:tcBorders>
              <w:top w:val="single" w:sz="12" w:space="0" w:color="auto"/>
              <w:left w:val="single" w:sz="12" w:space="0" w:color="auto"/>
            </w:tcBorders>
            <w:shd w:val="clear" w:color="auto" w:fill="DDDDDD"/>
          </w:tcPr>
          <w:p w14:paraId="5476BE03" w14:textId="2F2F66B7" w:rsidR="00095577" w:rsidRPr="00DC439D" w:rsidRDefault="00095577" w:rsidP="006010C0">
            <w:pPr>
              <w:jc w:val="center"/>
              <w:rPr>
                <w:rFonts w:ascii="Arial" w:hAnsi="Arial" w:cs="Arial"/>
                <w:b/>
                <w:bCs/>
                <w:sz w:val="20"/>
              </w:rPr>
            </w:pPr>
            <w:r>
              <w:rPr>
                <w:rFonts w:ascii="Arial" w:hAnsi="Arial" w:cs="Arial"/>
                <w:b/>
                <w:bCs/>
                <w:sz w:val="20"/>
              </w:rPr>
              <w:lastRenderedPageBreak/>
              <w:t>7</w:t>
            </w:r>
          </w:p>
        </w:tc>
        <w:tc>
          <w:tcPr>
            <w:tcW w:w="8504" w:type="dxa"/>
            <w:tcBorders>
              <w:top w:val="single" w:sz="12" w:space="0" w:color="auto"/>
              <w:bottom w:val="single" w:sz="4" w:space="0" w:color="auto"/>
              <w:right w:val="single" w:sz="12" w:space="0" w:color="auto"/>
            </w:tcBorders>
            <w:shd w:val="clear" w:color="auto" w:fill="DDDDDD"/>
          </w:tcPr>
          <w:p w14:paraId="6A6464FC" w14:textId="089B3456" w:rsidR="00095577" w:rsidRPr="00733DD9" w:rsidRDefault="00095577" w:rsidP="006010C0">
            <w:pPr>
              <w:jc w:val="center"/>
              <w:rPr>
                <w:rFonts w:ascii="Arial" w:hAnsi="Arial" w:cs="Arial"/>
                <w:b/>
                <w:bCs/>
                <w:sz w:val="20"/>
              </w:rPr>
            </w:pPr>
            <w:r>
              <w:rPr>
                <w:rFonts w:ascii="Arial" w:hAnsi="Arial" w:cs="Arial"/>
                <w:b/>
                <w:bCs/>
                <w:sz w:val="20"/>
              </w:rPr>
              <w:t>Press and the Penguin</w:t>
            </w:r>
          </w:p>
        </w:tc>
      </w:tr>
      <w:tr w:rsidR="00095577" w14:paraId="3BC484EE" w14:textId="77777777" w:rsidTr="00504A1C">
        <w:tc>
          <w:tcPr>
            <w:tcW w:w="567" w:type="dxa"/>
            <w:tcBorders>
              <w:left w:val="single" w:sz="12" w:space="0" w:color="auto"/>
              <w:bottom w:val="single" w:sz="12" w:space="0" w:color="auto"/>
            </w:tcBorders>
          </w:tcPr>
          <w:p w14:paraId="45AF0F64" w14:textId="77777777" w:rsidR="00095577" w:rsidRPr="00DC439D" w:rsidRDefault="00095577" w:rsidP="006010C0">
            <w:pPr>
              <w:jc w:val="center"/>
              <w:rPr>
                <w:rFonts w:ascii="Arial" w:hAnsi="Arial" w:cs="Arial"/>
                <w:b/>
                <w:bCs/>
                <w:sz w:val="20"/>
              </w:rPr>
            </w:pPr>
          </w:p>
        </w:tc>
        <w:tc>
          <w:tcPr>
            <w:tcW w:w="8504" w:type="dxa"/>
            <w:tcBorders>
              <w:bottom w:val="single" w:sz="12" w:space="0" w:color="auto"/>
              <w:right w:val="single" w:sz="12" w:space="0" w:color="auto"/>
            </w:tcBorders>
          </w:tcPr>
          <w:p w14:paraId="53DAD705" w14:textId="40416DFE" w:rsidR="00504A1C" w:rsidRPr="00504A1C" w:rsidRDefault="00504A1C" w:rsidP="00234037">
            <w:pPr>
              <w:pStyle w:val="ListParagraph"/>
              <w:numPr>
                <w:ilvl w:val="0"/>
                <w:numId w:val="164"/>
              </w:numPr>
              <w:ind w:left="357" w:hanging="357"/>
              <w:jc w:val="both"/>
              <w:rPr>
                <w:rFonts w:ascii="Arial" w:hAnsi="Arial" w:cs="Arial"/>
                <w:sz w:val="20"/>
              </w:rPr>
            </w:pPr>
            <w:r w:rsidRPr="00504A1C">
              <w:rPr>
                <w:rFonts w:ascii="Arial" w:hAnsi="Arial" w:cs="Arial"/>
                <w:sz w:val="20"/>
              </w:rPr>
              <w:t>This point mostly arises in crime, but it covers all areas. During your careers, many of you will experience a blasting from your beloved local tabloid or broadsheet.</w:t>
            </w:r>
          </w:p>
          <w:p w14:paraId="560B781B" w14:textId="79EAD6FA" w:rsidR="00504A1C" w:rsidRDefault="00504A1C" w:rsidP="00234037">
            <w:pPr>
              <w:pStyle w:val="ListParagraph"/>
              <w:numPr>
                <w:ilvl w:val="0"/>
                <w:numId w:val="164"/>
              </w:numPr>
              <w:ind w:left="357" w:hanging="357"/>
              <w:jc w:val="both"/>
              <w:rPr>
                <w:rFonts w:ascii="Arial" w:hAnsi="Arial" w:cs="Arial"/>
                <w:sz w:val="20"/>
              </w:rPr>
            </w:pPr>
            <w:r w:rsidRPr="00504A1C">
              <w:rPr>
                <w:rFonts w:ascii="Arial" w:hAnsi="Arial" w:cs="Arial"/>
                <w:sz w:val="20"/>
              </w:rPr>
              <w:t>Open justice means media coverage, media coverage sometimes means critical media coverage and critical media coverage sometimes means unfair and inaccurate coverage.</w:t>
            </w:r>
          </w:p>
          <w:p w14:paraId="3AA41900" w14:textId="4DEF7A21" w:rsidR="00504A1C" w:rsidRDefault="00504A1C" w:rsidP="00234037">
            <w:pPr>
              <w:pStyle w:val="ListParagraph"/>
              <w:numPr>
                <w:ilvl w:val="0"/>
                <w:numId w:val="164"/>
              </w:numPr>
              <w:ind w:left="357" w:hanging="357"/>
              <w:jc w:val="both"/>
              <w:rPr>
                <w:rFonts w:ascii="Arial" w:hAnsi="Arial" w:cs="Arial"/>
                <w:sz w:val="20"/>
              </w:rPr>
            </w:pPr>
            <w:r w:rsidRPr="00504A1C">
              <w:rPr>
                <w:rFonts w:ascii="Arial" w:hAnsi="Arial" w:cs="Arial"/>
                <w:sz w:val="20"/>
              </w:rPr>
              <w:t>There are things that can be done about some press coverage that crosses the line, and that's very much where the Australian Judicial Officers Association comes in. However, most of the time, the best course is to let the dogs bark while the caravan rolls in.</w:t>
            </w:r>
          </w:p>
          <w:p w14:paraId="67EE4B1D" w14:textId="2F68A3A6" w:rsidR="00095577" w:rsidRPr="00504A1C" w:rsidRDefault="00504A1C" w:rsidP="00234037">
            <w:pPr>
              <w:pStyle w:val="ListParagraph"/>
              <w:numPr>
                <w:ilvl w:val="0"/>
                <w:numId w:val="164"/>
              </w:numPr>
              <w:spacing w:after="20"/>
              <w:ind w:left="357" w:hanging="357"/>
              <w:jc w:val="both"/>
              <w:rPr>
                <w:rFonts w:ascii="Arial" w:hAnsi="Arial" w:cs="Arial"/>
                <w:sz w:val="20"/>
              </w:rPr>
            </w:pPr>
            <w:r w:rsidRPr="00504A1C">
              <w:rPr>
                <w:rFonts w:ascii="Arial" w:hAnsi="Arial" w:cs="Arial"/>
                <w:sz w:val="20"/>
              </w:rPr>
              <w:t>The best analogy I can come up with is the scene in Happy Feet when the icy wind blows into the Antarctic and each penguin must take their turn on the outside of the huddle to absorb the cold blast. You will have your time on the edge of the huddle, but I hope it's not too icy and that it's mercifully short.</w:t>
            </w:r>
          </w:p>
        </w:tc>
      </w:tr>
    </w:tbl>
    <w:p w14:paraId="62B374E3" w14:textId="77777777" w:rsidR="00095577" w:rsidRDefault="00095577" w:rsidP="00582AA3">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100" w:name="_3.1.1_Procedural_fairness_1"/>
      <w:bookmarkEnd w:id="100"/>
      <w:r>
        <w:rPr>
          <w:rFonts w:ascii="Arial" w:hAnsi="Arial" w:cs="Arial"/>
          <w:b/>
          <w:bCs/>
          <w:sz w:val="20"/>
        </w:rPr>
        <w:lastRenderedPageBreak/>
        <w:t>3.1.1</w:t>
      </w:r>
      <w:r>
        <w:rPr>
          <w:rFonts w:ascii="Arial" w:hAnsi="Arial" w:cs="Arial"/>
          <w:b/>
          <w:bCs/>
          <w:sz w:val="20"/>
        </w:rPr>
        <w:tab/>
        <w:t>Procedural fairness (natural justice) generally</w:t>
      </w:r>
      <w:bookmarkEnd w:id="99"/>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(Cth)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Commissioner for Australian Capital Territory Revenue v Alphaone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1" w:name="_Hlk74894731"/>
    </w:p>
    <w:p w14:paraId="17EB20EF" w14:textId="32BB089E" w:rsidR="002F2123" w:rsidRDefault="002F2123" w:rsidP="00B843BA">
      <w:pPr>
        <w:jc w:val="both"/>
        <w:rPr>
          <w:rFonts w:ascii="Arial" w:hAnsi="Arial" w:cs="Arial"/>
          <w:sz w:val="20"/>
        </w:rPr>
      </w:pPr>
      <w:bookmarkStart w:id="102"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eg,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Re Minister for Immigration and Multicultural Affairs; Ex parte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Heydon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eg, </w:t>
      </w:r>
      <w:r w:rsidRPr="00AC42A5">
        <w:rPr>
          <w:rFonts w:ascii="Arial" w:hAnsi="Arial" w:cs="Arial"/>
          <w:i/>
          <w:iCs/>
          <w:sz w:val="20"/>
          <w:szCs w:val="20"/>
        </w:rPr>
        <w:t xml:space="preserve">Pantorno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eg, </w:t>
      </w:r>
      <w:r w:rsidR="006B1579" w:rsidRPr="006B1579">
        <w:rPr>
          <w:rFonts w:ascii="Arial" w:hAnsi="Arial" w:cs="Arial"/>
          <w:i/>
          <w:iCs/>
          <w:sz w:val="20"/>
          <w:szCs w:val="20"/>
        </w:rPr>
        <w:t>Somaghi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Australian Capital Territory Revenue v Alphaone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Re Media Entertainment &amp; Arts Alliance; Ex parte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Gaudron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1"/>
    <w:bookmarkEnd w:id="102"/>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Mehmet Ucar v Nylex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3"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3"/>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…Deane &amp; Gaudron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What is required to produce a fair trial depends on the circumstances.  In some cases it may be necessary to have interpreters, acceptable custodial facilities or a special court venue: (1992) 177 CLR 292 at 331 per Deane J, 363 per Gaudron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Gaudron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4" w:name="105-r"/>
      <w:r w:rsidRPr="00F81B96">
        <w:rPr>
          <w:rFonts w:ascii="Arial" w:hAnsi="Arial" w:cs="Arial"/>
          <w:color w:val="000000"/>
          <w:sz w:val="20"/>
          <w:lang w:val="en"/>
        </w:rPr>
        <w:t>s</w:t>
      </w:r>
      <w:bookmarkEnd w:id="104"/>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9"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10" w:history="1">
        <w:r w:rsidR="005F08ED" w:rsidRPr="005F08ED">
          <w:rPr>
            <w:rStyle w:val="Hyperlink"/>
            <w:rFonts w:ascii="Arial" w:hAnsi="Arial" w:cs="Arial"/>
            <w:i/>
            <w:iCs/>
            <w:color w:val="000000" w:themeColor="text1"/>
            <w:sz w:val="20"/>
            <w:szCs w:val="20"/>
            <w:u w:val="none"/>
          </w:rPr>
          <w:t>Griekspoor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1"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It is axiomatic that a judge may not search for, or take account of, information that is not in evidence, save where a fact is of such notoriety that a judge may take judicial notice of it.  Mason CJ and Brennan, Deane, Dawson and Gaudron JJ in </w:t>
      </w:r>
      <w:hyperlink r:id="rId12" w:history="1">
        <w:r w:rsidRPr="005F08ED">
          <w:rPr>
            <w:rStyle w:val="Hyperlink"/>
            <w:rFonts w:ascii="Arial" w:hAnsi="Arial" w:cs="Arial"/>
            <w:i/>
            <w:iCs/>
            <w:color w:val="000000" w:themeColor="text1"/>
            <w:sz w:val="20"/>
            <w:szCs w:val="20"/>
            <w:u w:val="none"/>
          </w:rPr>
          <w:t>Re Media Entertainment &amp; Arts Alliance; Ex parte Hoyts Corporation Pty Ltd</w:t>
        </w:r>
      </w:hyperlink>
      <w:r w:rsidRPr="005F08ED">
        <w:rPr>
          <w:rFonts w:ascii="Arial" w:hAnsi="Arial" w:cs="Arial"/>
          <w:color w:val="000000" w:themeColor="text1"/>
          <w:sz w:val="20"/>
          <w:szCs w:val="20"/>
        </w:rPr>
        <w:t> (1994) 119 ALR 206 at </w:t>
      </w:r>
      <w:hyperlink r:id="rId13"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4"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5"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6"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7"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8"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per Heydon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5" w:name="_ftnref48"/>
      <w:r w:rsidR="00BF22E6" w:rsidRPr="00BF22E6">
        <w:rPr>
          <w:rFonts w:ascii="inherit" w:hAnsi="inherit"/>
          <w:i/>
          <w:iCs/>
          <w:color w:val="000000"/>
          <w:sz w:val="23"/>
          <w:szCs w:val="23"/>
        </w:rPr>
        <w:t xml:space="preserve"> </w:t>
      </w:r>
      <w:hyperlink r:id="rId19"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20"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1"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5"/>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2"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3"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4"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5"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F75D032"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r w:rsidRPr="00826176">
        <w:rPr>
          <w:rFonts w:ascii="Arial" w:hAnsi="Arial" w:cs="Arial"/>
          <w:i/>
          <w:iCs/>
          <w:color w:val="000000"/>
          <w:sz w:val="20"/>
        </w:rPr>
        <w:t>Matsoukatidou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5A34A2E2"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(Cth)</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6"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6"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7"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8"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9"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30"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1"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2"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3"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4"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(Jagot J);</w:t>
      </w:r>
      <w:r w:rsidR="00537E2D">
        <w:rPr>
          <w:rFonts w:ascii="Arial" w:hAnsi="Arial" w:cs="Arial"/>
          <w:color w:val="000000" w:themeColor="text1"/>
          <w:sz w:val="20"/>
          <w:szCs w:val="20"/>
        </w:rPr>
        <w:t xml:space="preserve"> </w:t>
      </w:r>
      <w:hyperlink r:id="rId35"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6"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(Wigney</w:t>
      </w:r>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7"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8"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9"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40"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7"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Irving AsJ’s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7"/>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8"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8"/>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r w:rsidRPr="007417A5">
        <w:rPr>
          <w:rFonts w:ascii="Arial" w:hAnsi="Arial" w:cs="Arial"/>
          <w:i/>
          <w:iCs/>
          <w:color w:val="000000"/>
          <w:sz w:val="20"/>
          <w:szCs w:val="20"/>
        </w:rPr>
        <w:t xml:space="preserve">Casperz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Default="003453BB" w:rsidP="00537E2D">
      <w:pPr>
        <w:pStyle w:val="NormalWeb"/>
        <w:spacing w:before="0" w:beforeAutospacing="0" w:after="0" w:afterAutospacing="0"/>
        <w:jc w:val="both"/>
        <w:rPr>
          <w:rFonts w:ascii="Arial" w:hAnsi="Arial" w:cs="Arial"/>
          <w:sz w:val="20"/>
          <w:szCs w:val="20"/>
        </w:rPr>
      </w:pPr>
    </w:p>
    <w:p w14:paraId="2FF85AEA" w14:textId="28E579A9" w:rsidR="001A2A59" w:rsidRDefault="001A2A59" w:rsidP="00537E2D">
      <w:pPr>
        <w:pStyle w:val="NormalWeb"/>
        <w:spacing w:before="0" w:beforeAutospacing="0" w:after="0" w:afterAutospacing="0"/>
        <w:jc w:val="both"/>
        <w:rPr>
          <w:rFonts w:ascii="Arial" w:hAnsi="Arial" w:cs="Arial"/>
          <w:sz w:val="20"/>
          <w:szCs w:val="20"/>
        </w:rPr>
      </w:pPr>
      <w:r w:rsidRPr="001A2A59">
        <w:rPr>
          <w:rFonts w:ascii="Arial" w:hAnsi="Arial" w:cs="Arial"/>
          <w:sz w:val="20"/>
        </w:rPr>
        <w:t xml:space="preserve">In </w:t>
      </w:r>
      <w:r w:rsidRPr="00F31417">
        <w:rPr>
          <w:rFonts w:ascii="Arial" w:hAnsi="Arial" w:cs="Arial"/>
          <w:i/>
          <w:iCs/>
          <w:sz w:val="20"/>
        </w:rPr>
        <w:t>Tricarico v Victorian Legal Services Board (No 2)</w:t>
      </w:r>
      <w:r w:rsidRPr="00F31417">
        <w:rPr>
          <w:rFonts w:ascii="Arial" w:hAnsi="Arial" w:cs="Arial"/>
          <w:sz w:val="20"/>
        </w:rPr>
        <w:t xml:space="preserve"> [2025] VSC 242</w:t>
      </w:r>
      <w:r>
        <w:rPr>
          <w:rFonts w:ascii="Arial" w:hAnsi="Arial" w:cs="Arial"/>
          <w:sz w:val="20"/>
        </w:rPr>
        <w:t xml:space="preserve"> the applicant’s Australian practising certificate had been suspended by a delegate of the respondent without prior notice to the applicant the day after the applicant had been charged with attempting to pervert the course of justice six years earlier. </w:t>
      </w:r>
      <w:r w:rsidR="00212A0A">
        <w:rPr>
          <w:rFonts w:ascii="Arial" w:hAnsi="Arial" w:cs="Arial"/>
          <w:sz w:val="20"/>
        </w:rPr>
        <w:t xml:space="preserve">The information before the delegate consisted of nothing more than the charge-sheet and was unsupported by any statement or evidence of any kind. </w:t>
      </w:r>
      <w:r>
        <w:rPr>
          <w:rFonts w:ascii="Arial" w:hAnsi="Arial" w:cs="Arial"/>
          <w:sz w:val="20"/>
        </w:rPr>
        <w:t xml:space="preserve">There was no suggestion of any ongoing relevant conduct nor any basis for thinking that the practitioner might engage in any actual similar conduct. The suspension decision </w:t>
      </w:r>
      <w:r w:rsidR="00EF4065">
        <w:rPr>
          <w:rFonts w:ascii="Arial" w:hAnsi="Arial" w:cs="Arial"/>
          <w:sz w:val="20"/>
        </w:rPr>
        <w:t xml:space="preserve">under s.77 of the </w:t>
      </w:r>
      <w:r w:rsidR="00EF4065" w:rsidRPr="00EF4065">
        <w:rPr>
          <w:rFonts w:ascii="Arial" w:hAnsi="Arial" w:cs="Arial"/>
          <w:i/>
          <w:iCs/>
          <w:sz w:val="20"/>
        </w:rPr>
        <w:t>Legal Profession Unform Law</w:t>
      </w:r>
      <w:r w:rsidR="00EF4065">
        <w:rPr>
          <w:rFonts w:ascii="Arial" w:hAnsi="Arial" w:cs="Arial"/>
          <w:sz w:val="20"/>
        </w:rPr>
        <w:t xml:space="preserve"> (Vic) was based purely on the perception of loss of confidence in the legal profession and administration of justice. Gray J </w:t>
      </w:r>
      <w:r w:rsidR="00212A0A">
        <w:rPr>
          <w:rFonts w:ascii="Arial" w:hAnsi="Arial" w:cs="Arial"/>
          <w:sz w:val="20"/>
        </w:rPr>
        <w:t>quashed the s.77 suspension decision on two grounds: (1) the delegate had failed to provide procedural fairness to Ms Tricarico; and (2) the delegate had made a decision that was contrary to the standard of legal reasonableness that applied to s.77 and was therefore beyond power. In relation to ground (1) Gray J said at [94]:</w:t>
      </w:r>
    </w:p>
    <w:p w14:paraId="61624C7C" w14:textId="3A1657DD" w:rsidR="00212A0A" w:rsidRPr="00262D47" w:rsidRDefault="00212A0A" w:rsidP="00212A0A">
      <w:pPr>
        <w:spacing w:before="60"/>
        <w:ind w:left="454" w:right="454"/>
        <w:jc w:val="both"/>
        <w:rPr>
          <w:rFonts w:ascii="Arial" w:hAnsi="Arial" w:cs="Arial"/>
          <w:sz w:val="20"/>
          <w:szCs w:val="20"/>
        </w:rPr>
      </w:pPr>
      <w:r>
        <w:rPr>
          <w:rFonts w:ascii="Arial" w:hAnsi="Arial" w:cs="Arial"/>
          <w:sz w:val="20"/>
          <w:szCs w:val="20"/>
        </w:rPr>
        <w:t>“</w:t>
      </w:r>
      <w:r w:rsidRPr="00212A0A">
        <w:rPr>
          <w:rFonts w:ascii="Arial" w:hAnsi="Arial" w:cs="Arial"/>
          <w:sz w:val="20"/>
          <w:szCs w:val="20"/>
        </w:rPr>
        <w:t>In my view, in all the circumstances noted above, procedural fairness required the delegate to give advance notice to Ms Tricarico of his opinion that immediate suspension of her practising certificate was necessary in the public interest, and to give her a reasonable opportunity to respond. Ms Tricarico was entitled to an opportunity to dissuade the delegate from that opinion, and to persuade him not to serve a notice of immediate suspension of her practising certificate pursuant to s 77(2). The s 77 suspension decision was made in breach of these requirements of procedural fairness.</w:t>
      </w:r>
      <w:r>
        <w:rPr>
          <w:rFonts w:ascii="Arial" w:hAnsi="Arial" w:cs="Arial"/>
          <w:sz w:val="20"/>
          <w:szCs w:val="20"/>
        </w:rPr>
        <w:t>”</w:t>
      </w:r>
    </w:p>
    <w:p w14:paraId="03269C31" w14:textId="77777777" w:rsidR="00875262" w:rsidRPr="0027049C" w:rsidRDefault="00875262" w:rsidP="00537E2D">
      <w:pPr>
        <w:pStyle w:val="NormalWeb"/>
        <w:spacing w:before="0" w:beforeAutospacing="0" w:after="0" w:afterAutospacing="0"/>
        <w:jc w:val="both"/>
        <w:rPr>
          <w:rFonts w:ascii="Arial" w:hAnsi="Arial" w:cs="Arial"/>
          <w:sz w:val="20"/>
          <w:szCs w:val="20"/>
        </w:rPr>
      </w:pPr>
    </w:p>
    <w:bookmarkEnd w:id="106"/>
    <w:p w14:paraId="13FC4FAB" w14:textId="2790C977" w:rsidR="00875262"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also</w:t>
      </w:r>
      <w:r w:rsidR="00E15051">
        <w:rPr>
          <w:rFonts w:ascii="Arial" w:hAnsi="Arial" w:cs="Arial"/>
          <w:color w:val="000000"/>
          <w:sz w:val="20"/>
          <w:szCs w:val="20"/>
        </w:rPr>
        <w:t xml:space="preserve"> </w:t>
      </w:r>
      <w:r w:rsidR="006C7EDC" w:rsidRPr="00B815DA">
        <w:rPr>
          <w:rFonts w:ascii="Arial" w:hAnsi="Arial" w:cs="Arial"/>
          <w:b/>
          <w:bCs/>
          <w:sz w:val="20"/>
          <w:szCs w:val="20"/>
          <w:shd w:val="clear" w:color="auto" w:fill="C5E0B3"/>
        </w:rPr>
        <w:t>s</w:t>
      </w:r>
      <w:r w:rsidR="004B696B" w:rsidRPr="00B815DA">
        <w:rPr>
          <w:rFonts w:ascii="Arial" w:hAnsi="Arial" w:cs="Arial"/>
          <w:b/>
          <w:bCs/>
          <w:sz w:val="20"/>
          <w:szCs w:val="20"/>
          <w:shd w:val="clear" w:color="auto" w:fill="C5E0B3"/>
        </w:rPr>
        <w:t>ubs</w:t>
      </w:r>
      <w:r w:rsidR="006C7EDC" w:rsidRPr="00B815DA">
        <w:rPr>
          <w:rFonts w:ascii="Arial" w:hAnsi="Arial" w:cs="Arial"/>
          <w:b/>
          <w:bCs/>
          <w:sz w:val="20"/>
          <w:szCs w:val="20"/>
          <w:shd w:val="clear" w:color="auto" w:fill="C5E0B3"/>
        </w:rPr>
        <w:t>ection</w:t>
      </w:r>
      <w:r w:rsidR="00E15051" w:rsidRPr="00B815DA">
        <w:rPr>
          <w:rFonts w:ascii="Arial" w:hAnsi="Arial" w:cs="Arial"/>
          <w:b/>
          <w:bCs/>
          <w:sz w:val="20"/>
          <w:szCs w:val="20"/>
          <w:shd w:val="clear" w:color="auto" w:fill="C5E0B3"/>
        </w:rPr>
        <w:t>s</w:t>
      </w:r>
      <w:r w:rsidR="006C7EDC" w:rsidRPr="00B815DA">
        <w:rPr>
          <w:rFonts w:ascii="Arial" w:hAnsi="Arial" w:cs="Arial"/>
          <w:b/>
          <w:bCs/>
          <w:sz w:val="20"/>
          <w:shd w:val="clear" w:color="auto" w:fill="C5E0B3"/>
        </w:rPr>
        <w:t xml:space="preserve"> </w:t>
      </w:r>
      <w:r w:rsidR="00E15051" w:rsidRPr="00B815DA">
        <w:rPr>
          <w:rFonts w:ascii="Arial" w:hAnsi="Arial" w:cs="Arial"/>
          <w:b/>
          <w:bCs/>
          <w:sz w:val="20"/>
          <w:shd w:val="clear" w:color="auto" w:fill="C5E0B3"/>
        </w:rPr>
        <w:t xml:space="preserve">3.5.3.12 &amp; </w:t>
      </w:r>
      <w:r w:rsidR="006C7EDC" w:rsidRPr="00B815DA">
        <w:rPr>
          <w:rFonts w:ascii="Arial" w:hAnsi="Arial" w:cs="Arial"/>
          <w:b/>
          <w:bCs/>
          <w:sz w:val="20"/>
          <w:shd w:val="clear" w:color="auto" w:fill="C5E0B3"/>
        </w:rPr>
        <w:t>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J</w:t>
      </w:r>
      <w:r w:rsidR="00E15051">
        <w:rPr>
          <w:rFonts w:ascii="Arial" w:hAnsi="Arial" w:cs="Arial"/>
          <w:i/>
          <w:color w:val="000000"/>
          <w:sz w:val="20"/>
        </w:rPr>
        <w:t> </w:t>
      </w:r>
      <w:r w:rsidRPr="00D92415">
        <w:rPr>
          <w:rFonts w:ascii="Arial" w:hAnsi="Arial" w:cs="Arial"/>
          <w:i/>
          <w:color w:val="000000"/>
          <w:sz w:val="20"/>
        </w:rPr>
        <w:t xml:space="preserve">v Lieschke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r w:rsidRPr="00D92415">
        <w:rPr>
          <w:rFonts w:ascii="Arial" w:hAnsi="Arial" w:cs="Arial"/>
          <w:i/>
          <w:color w:val="000000"/>
          <w:sz w:val="20"/>
        </w:rPr>
        <w:t>Pantorno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[2009] HCA 21 at [115] per Heydon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AsJ; </w:t>
      </w:r>
      <w:r w:rsidRPr="000D175A">
        <w:rPr>
          <w:rFonts w:ascii="Arial" w:hAnsi="Arial" w:cs="Arial"/>
          <w:i/>
          <w:color w:val="000000"/>
          <w:sz w:val="20"/>
          <w:szCs w:val="20"/>
        </w:rPr>
        <w:t>Zigouris v Sunshine Magistrates’ Court</w:t>
      </w:r>
      <w:r w:rsidRPr="000D175A">
        <w:rPr>
          <w:rFonts w:ascii="Arial" w:hAnsi="Arial" w:cs="Arial"/>
          <w:color w:val="000000"/>
          <w:sz w:val="20"/>
          <w:szCs w:val="20"/>
        </w:rPr>
        <w:t xml:space="preserve"> [2012] VSC 183 at [24]-[27] per Zammit AsJ;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Celsius Fire Services Pty Ltd v Magistrates’ Court of Victoria &amp; anor</w:t>
      </w:r>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9"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9"/>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r w:rsidR="001C057A" w:rsidRPr="001C057A">
        <w:rPr>
          <w:rFonts w:ascii="Arial" w:hAnsi="Arial" w:cs="Arial"/>
          <w:bCs/>
          <w:i/>
          <w:iCs/>
          <w:color w:val="000000"/>
          <w:sz w:val="20"/>
          <w:szCs w:val="20"/>
        </w:rPr>
        <w:t>Hycenko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r w:rsidR="00D624D1" w:rsidRPr="00D624D1">
        <w:rPr>
          <w:rFonts w:ascii="Arial" w:hAnsi="Arial" w:cs="Arial"/>
          <w:bCs/>
          <w:i/>
          <w:iCs/>
          <w:color w:val="000000"/>
          <w:sz w:val="20"/>
          <w:szCs w:val="20"/>
        </w:rPr>
        <w:t>Shininggarden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335D82">
        <w:rPr>
          <w:rFonts w:ascii="Arial" w:hAnsi="Arial" w:cs="Arial"/>
          <w:color w:val="000000"/>
          <w:sz w:val="20"/>
        </w:rPr>
        <w:t xml:space="preserve">; </w:t>
      </w:r>
      <w:r w:rsidR="00335D82" w:rsidRPr="00335D82">
        <w:rPr>
          <w:rFonts w:ascii="Arial" w:hAnsi="Arial" w:cs="Arial"/>
          <w:i/>
          <w:iCs/>
          <w:color w:val="000000"/>
          <w:sz w:val="20"/>
        </w:rPr>
        <w:t>Ramith v Homes Victoria &amp; Ors</w:t>
      </w:r>
      <w:r w:rsidR="00335D82" w:rsidRPr="00335D82">
        <w:rPr>
          <w:rFonts w:ascii="Arial" w:hAnsi="Arial" w:cs="Arial"/>
          <w:color w:val="000000"/>
          <w:sz w:val="20"/>
        </w:rPr>
        <w:t xml:space="preserve"> [2025] VSC 2</w:t>
      </w:r>
      <w:r w:rsidR="00335D82">
        <w:rPr>
          <w:rFonts w:ascii="Arial" w:hAnsi="Arial" w:cs="Arial"/>
          <w:color w:val="000000"/>
          <w:sz w:val="20"/>
        </w:rPr>
        <w:t xml:space="preserve"> at [48]-[95]</w:t>
      </w:r>
      <w:r w:rsidR="00D028AF">
        <w:rPr>
          <w:rFonts w:ascii="Arial" w:hAnsi="Arial" w:cs="Arial"/>
          <w:color w:val="000000"/>
          <w:sz w:val="20"/>
        </w:rPr>
        <w:t xml:space="preserve">; </w:t>
      </w:r>
      <w:r w:rsidR="00D028AF" w:rsidRPr="00D028AF">
        <w:rPr>
          <w:rFonts w:ascii="Arial" w:hAnsi="Arial" w:cs="Arial"/>
          <w:i/>
          <w:iCs/>
          <w:color w:val="000000"/>
          <w:sz w:val="20"/>
        </w:rPr>
        <w:t>Gorman v Speech Pathology Association of Australia Ltd</w:t>
      </w:r>
      <w:r w:rsidR="00D028AF" w:rsidRPr="00D028AF">
        <w:rPr>
          <w:rFonts w:ascii="Arial" w:hAnsi="Arial" w:cs="Arial"/>
          <w:color w:val="000000"/>
          <w:sz w:val="20"/>
        </w:rPr>
        <w:t xml:space="preserve"> [2025] VSC</w:t>
      </w:r>
      <w:r w:rsidR="00D028AF">
        <w:rPr>
          <w:rFonts w:ascii="Arial" w:hAnsi="Arial" w:cs="Arial"/>
          <w:color w:val="000000"/>
          <w:sz w:val="20"/>
        </w:rPr>
        <w:t> </w:t>
      </w:r>
      <w:r w:rsidR="00D028AF" w:rsidRPr="00D028AF">
        <w:rPr>
          <w:rFonts w:ascii="Arial" w:hAnsi="Arial" w:cs="Arial"/>
          <w:color w:val="000000"/>
          <w:sz w:val="20"/>
        </w:rPr>
        <w:t>4</w:t>
      </w:r>
      <w:r w:rsidR="00D028AF">
        <w:rPr>
          <w:rFonts w:ascii="Arial" w:hAnsi="Arial" w:cs="Arial"/>
          <w:color w:val="000000"/>
          <w:sz w:val="20"/>
        </w:rPr>
        <w:t xml:space="preserve"> at [139]-[168]</w:t>
      </w:r>
      <w:r w:rsidR="003B0602">
        <w:rPr>
          <w:rFonts w:ascii="Arial" w:hAnsi="Arial" w:cs="Arial"/>
          <w:color w:val="000000"/>
          <w:sz w:val="20"/>
        </w:rPr>
        <w:t xml:space="preserve">; </w:t>
      </w:r>
      <w:r w:rsidR="003B0602" w:rsidRPr="003B0602">
        <w:rPr>
          <w:rFonts w:ascii="Arial" w:hAnsi="Arial" w:cs="Arial"/>
          <w:i/>
          <w:iCs/>
          <w:color w:val="000000"/>
          <w:sz w:val="20"/>
        </w:rPr>
        <w:t>Oberoi v Douglas</w:t>
      </w:r>
      <w:r w:rsidR="003B0602">
        <w:rPr>
          <w:rFonts w:ascii="Arial" w:hAnsi="Arial" w:cs="Arial"/>
          <w:color w:val="000000"/>
          <w:sz w:val="20"/>
        </w:rPr>
        <w:t xml:space="preserve"> [2025] VSC 7 at [94]-[104]</w:t>
      </w:r>
      <w:r w:rsidR="006B5474">
        <w:rPr>
          <w:rFonts w:ascii="Arial" w:hAnsi="Arial" w:cs="Arial"/>
          <w:color w:val="000000"/>
          <w:sz w:val="20"/>
        </w:rPr>
        <w:t xml:space="preserve">; </w:t>
      </w:r>
      <w:r w:rsidR="006B5474" w:rsidRPr="006B5474">
        <w:rPr>
          <w:rFonts w:ascii="Arial" w:hAnsi="Arial" w:cs="Arial"/>
          <w:i/>
          <w:iCs/>
          <w:color w:val="000000"/>
          <w:sz w:val="20"/>
        </w:rPr>
        <w:t xml:space="preserve">Secretary to the Department of Health v Davis </w:t>
      </w:r>
      <w:r w:rsidR="006B5474">
        <w:rPr>
          <w:rFonts w:ascii="Arial" w:hAnsi="Arial" w:cs="Arial"/>
          <w:color w:val="000000"/>
          <w:sz w:val="20"/>
        </w:rPr>
        <w:t>[2025] VSCA 40 at [99]-[107]</w:t>
      </w:r>
      <w:r w:rsidR="000234E3">
        <w:rPr>
          <w:rFonts w:ascii="Arial" w:hAnsi="Arial" w:cs="Arial"/>
          <w:color w:val="000000"/>
          <w:sz w:val="20"/>
        </w:rPr>
        <w:t xml:space="preserve">; </w:t>
      </w:r>
      <w:r w:rsidR="000234E3" w:rsidRPr="000234E3">
        <w:rPr>
          <w:rFonts w:ascii="Arial" w:hAnsi="Arial" w:cs="Arial"/>
          <w:i/>
          <w:iCs/>
          <w:color w:val="000000"/>
          <w:sz w:val="20"/>
        </w:rPr>
        <w:t>Secretary to the Department of Justice and Community Safety v Loos</w:t>
      </w:r>
      <w:r w:rsidR="000234E3">
        <w:rPr>
          <w:rFonts w:ascii="Arial" w:hAnsi="Arial" w:cs="Arial"/>
          <w:color w:val="000000"/>
          <w:sz w:val="20"/>
        </w:rPr>
        <w:t xml:space="preserve"> [2025] VSC 107 at [208]-[248]</w:t>
      </w:r>
      <w:r w:rsidR="00041079">
        <w:rPr>
          <w:rFonts w:ascii="Arial" w:hAnsi="Arial" w:cs="Arial"/>
          <w:color w:val="000000"/>
          <w:sz w:val="20"/>
        </w:rPr>
        <w:t xml:space="preserve">; </w:t>
      </w:r>
      <w:r w:rsidR="00041079" w:rsidRPr="00A174AF">
        <w:rPr>
          <w:rFonts w:ascii="Arial" w:hAnsi="Arial" w:cs="Arial"/>
          <w:i/>
          <w:iCs/>
          <w:sz w:val="20"/>
        </w:rPr>
        <w:t>Re Geelong Quarries Pty Ltd</w:t>
      </w:r>
      <w:r w:rsidR="00041079">
        <w:rPr>
          <w:rFonts w:ascii="Arial" w:hAnsi="Arial" w:cs="Arial"/>
          <w:sz w:val="20"/>
        </w:rPr>
        <w:t xml:space="preserve"> [2025] VSC 205 at [</w:t>
      </w:r>
      <w:r w:rsidR="0013025C">
        <w:rPr>
          <w:rFonts w:ascii="Arial" w:hAnsi="Arial" w:cs="Arial"/>
          <w:sz w:val="20"/>
        </w:rPr>
        <w:t>174</w:t>
      </w:r>
      <w:r w:rsidR="00041079">
        <w:rPr>
          <w:rFonts w:ascii="Arial" w:hAnsi="Arial" w:cs="Arial"/>
          <w:sz w:val="20"/>
        </w:rPr>
        <w:t>]-[</w:t>
      </w:r>
      <w:r w:rsidR="0013025C">
        <w:rPr>
          <w:rFonts w:ascii="Arial" w:hAnsi="Arial" w:cs="Arial"/>
          <w:sz w:val="20"/>
        </w:rPr>
        <w:t>192</w:t>
      </w:r>
      <w:r w:rsidR="00041079">
        <w:rPr>
          <w:rFonts w:ascii="Arial" w:hAnsi="Arial" w:cs="Arial"/>
          <w:sz w:val="20"/>
        </w:rPr>
        <w:t>]</w:t>
      </w:r>
      <w:r w:rsidR="00455707">
        <w:rPr>
          <w:rFonts w:ascii="Arial" w:hAnsi="Arial" w:cs="Arial"/>
          <w:sz w:val="20"/>
        </w:rPr>
        <w:t xml:space="preserve">; </w:t>
      </w:r>
      <w:r w:rsidR="00455707" w:rsidRPr="00455707">
        <w:rPr>
          <w:rFonts w:ascii="Arial" w:hAnsi="Arial" w:cs="Arial"/>
          <w:i/>
          <w:iCs/>
          <w:sz w:val="20"/>
        </w:rPr>
        <w:t>Helmer v The Coroners Court of Victoria</w:t>
      </w:r>
      <w:r w:rsidR="00455707">
        <w:rPr>
          <w:rFonts w:ascii="Arial" w:hAnsi="Arial" w:cs="Arial"/>
          <w:sz w:val="20"/>
        </w:rPr>
        <w:t xml:space="preserve"> [2025] VSC 235 at [108]-[136]</w:t>
      </w:r>
      <w:r w:rsidR="00875262">
        <w:rPr>
          <w:rFonts w:ascii="Arial" w:hAnsi="Arial" w:cs="Arial"/>
          <w:sz w:val="20"/>
        </w:rPr>
        <w:t xml:space="preserve">; </w:t>
      </w:r>
      <w:r w:rsidR="00875262" w:rsidRPr="00875262">
        <w:rPr>
          <w:rFonts w:ascii="Arial" w:hAnsi="Arial" w:cs="Arial"/>
          <w:i/>
          <w:iCs/>
          <w:color w:val="000000"/>
          <w:sz w:val="20"/>
        </w:rPr>
        <w:t>1559 High Street Pty Ltd v Camillo Builders Pty Ltd &amp; Ors</w:t>
      </w:r>
      <w:r w:rsidR="00875262" w:rsidRPr="00875262">
        <w:rPr>
          <w:rFonts w:ascii="Arial" w:hAnsi="Arial" w:cs="Arial"/>
          <w:color w:val="000000"/>
          <w:sz w:val="20"/>
        </w:rPr>
        <w:t xml:space="preserve"> [2025] VSC 244</w:t>
      </w:r>
      <w:r w:rsidR="00875262">
        <w:rPr>
          <w:rFonts w:ascii="Arial" w:hAnsi="Arial" w:cs="Arial"/>
          <w:color w:val="000000"/>
          <w:sz w:val="20"/>
        </w:rPr>
        <w:t xml:space="preserve"> at [157], citing </w:t>
      </w:r>
      <w:r w:rsidR="00875262" w:rsidRPr="00875262">
        <w:rPr>
          <w:rFonts w:ascii="Arial" w:hAnsi="Arial" w:cs="Arial"/>
          <w:i/>
          <w:iCs/>
          <w:color w:val="000000"/>
          <w:sz w:val="20"/>
        </w:rPr>
        <w:t>Kuek v Wade</w:t>
      </w:r>
      <w:r w:rsidR="00875262" w:rsidRPr="00875262">
        <w:rPr>
          <w:rFonts w:ascii="Arial" w:hAnsi="Arial" w:cs="Arial"/>
          <w:color w:val="000000"/>
          <w:sz w:val="20"/>
        </w:rPr>
        <w:t xml:space="preserve"> [2017] VSCA 329</w:t>
      </w:r>
      <w:r w:rsidR="00875262">
        <w:rPr>
          <w:rFonts w:ascii="Arial" w:hAnsi="Arial" w:cs="Arial"/>
          <w:color w:val="000000"/>
          <w:sz w:val="20"/>
        </w:rPr>
        <w:t xml:space="preserve"> at</w:t>
      </w:r>
      <w:r w:rsidR="00875262" w:rsidRPr="00875262">
        <w:rPr>
          <w:rFonts w:ascii="Arial" w:hAnsi="Arial" w:cs="Arial"/>
          <w:color w:val="000000"/>
          <w:sz w:val="20"/>
        </w:rPr>
        <w:t xml:space="preserve"> [63]</w:t>
      </w:r>
      <w:r w:rsidR="00E35F5B">
        <w:rPr>
          <w:rFonts w:ascii="Arial" w:hAnsi="Arial" w:cs="Arial"/>
          <w:color w:val="000000"/>
          <w:sz w:val="20"/>
        </w:rPr>
        <w:t xml:space="preserve">; </w:t>
      </w:r>
      <w:r w:rsidR="00E35F5B" w:rsidRPr="00E35F5B">
        <w:rPr>
          <w:rFonts w:ascii="Arial" w:hAnsi="Arial" w:cs="Arial"/>
          <w:i/>
          <w:iCs/>
          <w:color w:val="000000"/>
          <w:sz w:val="20"/>
        </w:rPr>
        <w:t>Mustum v The King</w:t>
      </w:r>
      <w:r w:rsidR="00E35F5B">
        <w:rPr>
          <w:rFonts w:ascii="Arial" w:hAnsi="Arial" w:cs="Arial"/>
          <w:color w:val="000000"/>
          <w:sz w:val="20"/>
        </w:rPr>
        <w:t xml:space="preserve"> [2025] VSCA 124 at [</w:t>
      </w:r>
      <w:r w:rsidR="00745066">
        <w:rPr>
          <w:rFonts w:ascii="Arial" w:hAnsi="Arial" w:cs="Arial"/>
          <w:color w:val="000000"/>
          <w:sz w:val="20"/>
        </w:rPr>
        <w:t>48</w:t>
      </w:r>
      <w:r w:rsidR="00E35F5B">
        <w:rPr>
          <w:rFonts w:ascii="Arial" w:hAnsi="Arial" w:cs="Arial"/>
          <w:color w:val="000000"/>
          <w:sz w:val="20"/>
        </w:rPr>
        <w:t>]-[</w:t>
      </w:r>
      <w:r w:rsidR="00745066">
        <w:rPr>
          <w:rFonts w:ascii="Arial" w:hAnsi="Arial" w:cs="Arial"/>
          <w:color w:val="000000"/>
          <w:sz w:val="20"/>
        </w:rPr>
        <w:t>56</w:t>
      </w:r>
      <w:r w:rsidR="00E35F5B">
        <w:rPr>
          <w:rFonts w:ascii="Arial" w:hAnsi="Arial" w:cs="Arial"/>
          <w:color w:val="000000"/>
          <w:sz w:val="20"/>
        </w:rPr>
        <w:t>]</w:t>
      </w:r>
      <w:r w:rsidR="00A11D7D">
        <w:rPr>
          <w:rFonts w:ascii="Arial" w:hAnsi="Arial" w:cs="Arial"/>
          <w:color w:val="000000"/>
          <w:sz w:val="20"/>
        </w:rPr>
        <w:t xml:space="preserve">; </w:t>
      </w:r>
      <w:r w:rsidR="00A11D7D" w:rsidRPr="00A11D7D">
        <w:rPr>
          <w:rFonts w:ascii="Arial" w:hAnsi="Arial" w:cs="Arial"/>
          <w:i/>
          <w:iCs/>
          <w:color w:val="000000"/>
          <w:sz w:val="20"/>
        </w:rPr>
        <w:t>Wang &amp; Ors v Duan</w:t>
      </w:r>
      <w:r w:rsidR="00A11D7D" w:rsidRPr="00A11D7D">
        <w:rPr>
          <w:rFonts w:ascii="Arial" w:hAnsi="Arial" w:cs="Arial"/>
          <w:color w:val="000000"/>
          <w:sz w:val="20"/>
        </w:rPr>
        <w:t xml:space="preserve"> [2025] VSC 516</w:t>
      </w:r>
      <w:r w:rsidR="00A11D7D">
        <w:rPr>
          <w:rFonts w:ascii="Arial" w:hAnsi="Arial" w:cs="Arial"/>
          <w:color w:val="000000"/>
          <w:sz w:val="20"/>
        </w:rPr>
        <w:t>.</w:t>
      </w:r>
    </w:p>
    <w:p w14:paraId="6B1D37EE" w14:textId="77777777" w:rsidR="00A11D7D" w:rsidRDefault="00A11D7D"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10" w:name="_3.1.2_Actual_or"/>
      <w:bookmarkEnd w:id="110"/>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lastRenderedPageBreak/>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Minister for Immigration and Multicultural Affairs v Jia Legeng</w:t>
      </w:r>
      <w:r w:rsidRPr="003C4CF1">
        <w:rPr>
          <w:rFonts w:ascii="Arial" w:hAnsi="Arial" w:cs="Arial"/>
          <w:sz w:val="20"/>
        </w:rPr>
        <w:t xml:space="preserve"> (2001) 205 CLR 507 (‘</w:t>
      </w:r>
      <w:r w:rsidRPr="003C4CF1">
        <w:rPr>
          <w:rFonts w:ascii="Arial" w:eastAsia="Book Antiqua" w:hAnsi="Arial" w:cs="Arial"/>
          <w:i/>
          <w:sz w:val="20"/>
        </w:rPr>
        <w:t>Legeng</w:t>
      </w:r>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r w:rsidRPr="003C4CF1">
        <w:rPr>
          <w:rFonts w:ascii="Arial" w:eastAsia="Book Antiqua" w:hAnsi="Arial" w:cs="Arial"/>
          <w:i/>
          <w:sz w:val="20"/>
        </w:rPr>
        <w:t>Rozenes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Goussis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r w:rsidRPr="003C4CF1">
        <w:rPr>
          <w:rFonts w:ascii="Arial" w:eastAsia="Book Antiqua" w:hAnsi="Arial" w:cs="Arial"/>
          <w:i/>
          <w:sz w:val="20"/>
        </w:rPr>
        <w:t>Guscor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Legeng</w:t>
      </w:r>
      <w:r w:rsidRPr="00551BE8">
        <w:rPr>
          <w:rFonts w:ascii="Arial" w:hAnsi="Arial" w:cs="Arial"/>
          <w:sz w:val="20"/>
        </w:rPr>
        <w:t xml:space="preserve"> (2001) 205 CLR 507; </w:t>
      </w:r>
      <w:r w:rsidRPr="00551BE8">
        <w:rPr>
          <w:rFonts w:ascii="Arial" w:eastAsia="Book Antiqua" w:hAnsi="Arial" w:cs="Arial"/>
          <w:i/>
          <w:sz w:val="20"/>
        </w:rPr>
        <w:t>R v Commonwealth Conciliation and Arbitration Commission; Ex parte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lastRenderedPageBreak/>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(eg.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r w:rsidRPr="00BD5912">
        <w:rPr>
          <w:rFonts w:ascii="Arial" w:hAnsi="Arial" w:cs="Arial"/>
          <w:i/>
          <w:sz w:val="20"/>
        </w:rPr>
        <w:t>Bienstein v Bienstein</w:t>
      </w:r>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place">
        <w:smartTag w:uri="urn:schemas-microsoft-com:office:smarttags" w:element="City">
          <w:r w:rsidRPr="008A42F3">
            <w:rPr>
              <w:rFonts w:ascii="Arial" w:hAnsi="Arial" w:cs="Arial"/>
              <w:i/>
              <w:iCs/>
              <w:sz w:val="20"/>
            </w:rPr>
            <w:t>Alliance</w:t>
          </w:r>
        </w:smartTag>
      </w:smartTag>
      <w:r w:rsidRPr="008A42F3">
        <w:rPr>
          <w:rFonts w:ascii="Arial" w:hAnsi="Arial" w:cs="Arial"/>
          <w:i/>
          <w:iCs/>
          <w:sz w:val="20"/>
        </w:rPr>
        <w:t>; ex parte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Mason CJ and Brennan, Deane, Dawson and Gaudron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R v Balassis</w:t>
      </w:r>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w:t>
      </w:r>
      <w:r w:rsidRPr="001A1BF2">
        <w:rPr>
          <w:rFonts w:ascii="Arial" w:hAnsi="Arial" w:cs="Arial"/>
          <w:color w:val="000000"/>
          <w:sz w:val="20"/>
        </w:rPr>
        <w:lastRenderedPageBreak/>
        <w:t>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1" w:name="_Hlk88486393"/>
      <w:r w:rsidRPr="005B1DDA">
        <w:rPr>
          <w:rFonts w:ascii="Arial" w:hAnsi="Arial" w:cs="Arial"/>
          <w:i/>
          <w:iCs/>
          <w:sz w:val="20"/>
          <w:szCs w:val="20"/>
        </w:rPr>
        <w:t>Charisteas v Charisteas</w:t>
      </w:r>
      <w:r w:rsidRPr="005B1DDA">
        <w:rPr>
          <w:rFonts w:ascii="Arial" w:hAnsi="Arial" w:cs="Arial"/>
          <w:sz w:val="20"/>
          <w:szCs w:val="20"/>
        </w:rPr>
        <w:t xml:space="preserve"> [2021] HCA 29 </w:t>
      </w:r>
      <w:bookmarkEnd w:id="111"/>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Alstergren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Alstergren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(Kiefel CJ, Gageler,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r w:rsidR="00D13D00" w:rsidRPr="00D13D00">
        <w:rPr>
          <w:rFonts w:ascii="Arial" w:hAnsi="Arial" w:cs="Arial"/>
          <w:i/>
          <w:iCs/>
          <w:sz w:val="20"/>
          <w:szCs w:val="20"/>
        </w:rPr>
        <w:t>Isbester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Re JRL; Ex parte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R v Magistrates' Court at Lilydale; Ex parte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 xml:space="preserve">knowledge and consent of’ {cf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 xml:space="preserve">between the trial judge and the wife's barrister, it cannot be imagined that the other parties to the litigation would have given informed consent to the communications even if consent had </w:t>
      </w:r>
      <w:r w:rsidRPr="000B2322">
        <w:rPr>
          <w:rFonts w:ascii="Arial" w:hAnsi="Arial" w:cs="Arial"/>
          <w:sz w:val="20"/>
          <w:szCs w:val="20"/>
        </w:rPr>
        <w:lastRenderedPageBreak/>
        <w:t>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w:t>
      </w:r>
      <w:r w:rsidRPr="00767AA0">
        <w:rPr>
          <w:rFonts w:ascii="Arial" w:hAnsi="Arial" w:cs="Arial"/>
          <w:sz w:val="20"/>
          <w:szCs w:val="20"/>
        </w:rPr>
        <w:lastRenderedPageBreak/>
        <w:t>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R v The Australian Broadcasting Tribunal; Ex parte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Street">
        <w:smartTag w:uri="urn:schemas-microsoft-com:office:smarttags" w:element="address">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30651BFC"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r w:rsidR="00B21DA4" w:rsidRPr="000A52DC">
        <w:rPr>
          <w:rFonts w:ascii="Arial" w:hAnsi="Arial" w:cs="Arial"/>
          <w:i/>
          <w:iCs/>
          <w:color w:val="000000"/>
          <w:sz w:val="20"/>
        </w:rPr>
        <w:t>Clenae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Re JRL: Ex parte CJL</w:t>
      </w:r>
      <w:r w:rsidR="00B21DA4" w:rsidRPr="000A52DC">
        <w:rPr>
          <w:rFonts w:ascii="Arial" w:hAnsi="Arial" w:cs="Arial"/>
          <w:color w:val="000000"/>
          <w:sz w:val="20"/>
        </w:rPr>
        <w:t xml:space="preserve"> (1986) 161 CLR 34; </w:t>
      </w:r>
      <w:r w:rsidR="00B21DA4" w:rsidRPr="000A52DC">
        <w:rPr>
          <w:rFonts w:ascii="Arial" w:hAnsi="Arial" w:cs="Arial"/>
          <w:i/>
          <w:iCs/>
          <w:color w:val="000000"/>
          <w:sz w:val="20"/>
        </w:rPr>
        <w:t>Vakauta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r w:rsidR="00B21DA4" w:rsidRPr="000A52DC">
        <w:rPr>
          <w:rFonts w:ascii="Arial" w:hAnsi="Arial" w:cs="Arial"/>
          <w:i/>
          <w:iCs/>
          <w:color w:val="000000"/>
          <w:sz w:val="20"/>
        </w:rPr>
        <w:t>Gascor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Re Keeley: Ex parte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r w:rsidR="00F527DA" w:rsidRPr="000A52DC">
        <w:rPr>
          <w:rFonts w:ascii="Arial" w:hAnsi="Arial" w:cs="Arial"/>
          <w:i/>
          <w:color w:val="000000"/>
          <w:sz w:val="20"/>
        </w:rPr>
        <w:t>Slaveski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r w:rsidR="009958BE" w:rsidRPr="000A52DC">
        <w:rPr>
          <w:rFonts w:ascii="Arial" w:hAnsi="Arial" w:cs="Arial"/>
          <w:i/>
          <w:color w:val="000000"/>
          <w:sz w:val="20"/>
          <w:szCs w:val="20"/>
        </w:rPr>
        <w:t>Velissaris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r w:rsidR="003B1EF0" w:rsidRPr="000A52DC">
        <w:rPr>
          <w:rFonts w:ascii="Arial" w:hAnsi="Arial" w:cs="Arial"/>
          <w:i/>
          <w:color w:val="000000"/>
          <w:sz w:val="20"/>
          <w:szCs w:val="20"/>
        </w:rPr>
        <w:t>Moorfields Community &amp; Ors v Stanislawa Bahonko</w:t>
      </w:r>
      <w:r w:rsidR="00493A72" w:rsidRPr="000A52DC">
        <w:rPr>
          <w:rFonts w:ascii="Arial" w:hAnsi="Arial" w:cs="Arial"/>
          <w:color w:val="000000"/>
          <w:sz w:val="20"/>
          <w:szCs w:val="20"/>
        </w:rPr>
        <w:t xml:space="preserve"> [2011] VSCA 295; </w:t>
      </w:r>
      <w:r w:rsidR="00493A72" w:rsidRPr="000A52DC">
        <w:rPr>
          <w:rFonts w:ascii="Arial" w:hAnsi="Arial" w:cs="Arial"/>
          <w:i/>
          <w:color w:val="000000"/>
          <w:sz w:val="20"/>
          <w:szCs w:val="20"/>
        </w:rPr>
        <w:t>Bahonko v Moorfields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Wain &amp; Ors v Drapac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In the Matter of Kornucopia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(Cth)</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Minister for Home Affairs v Benbrika</w:t>
      </w:r>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(Cth)</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r w:rsidR="00DE3F8C" w:rsidRPr="00CD277A">
        <w:rPr>
          <w:rFonts w:ascii="Arial" w:hAnsi="Arial" w:cs="Arial"/>
          <w:i/>
          <w:iCs/>
          <w:color w:val="000000"/>
          <w:sz w:val="20"/>
          <w:szCs w:val="20"/>
          <w:lang w:eastAsia="en-AU"/>
        </w:rPr>
        <w:t>Adaz Nominees Pty Ltd v Castleway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VLSB v Kuksal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2"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2"/>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r w:rsidR="004225E0" w:rsidRPr="004225E0">
        <w:rPr>
          <w:rFonts w:ascii="Arial" w:hAnsi="Arial" w:cs="Arial"/>
          <w:i/>
          <w:iCs/>
          <w:sz w:val="20"/>
        </w:rPr>
        <w:lastRenderedPageBreak/>
        <w:t>Kuksal v Victorian Legal Services Board (Recusal Application)</w:t>
      </w:r>
      <w:r w:rsidR="004225E0">
        <w:rPr>
          <w:rFonts w:ascii="Arial" w:hAnsi="Arial" w:cs="Arial"/>
          <w:sz w:val="20"/>
        </w:rPr>
        <w:t xml:space="preserve"> [2023] VSC 722 and the earlier </w:t>
      </w:r>
      <w:r w:rsidR="004225E0" w:rsidRPr="004225E0">
        <w:rPr>
          <w:rFonts w:ascii="Arial" w:hAnsi="Arial" w:cs="Arial"/>
          <w:i/>
          <w:iCs/>
          <w:sz w:val="20"/>
        </w:rPr>
        <w:t>Kuksal</w:t>
      </w:r>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r w:rsidR="00B6728D" w:rsidRPr="00B6728D">
        <w:rPr>
          <w:rFonts w:ascii="Arial" w:hAnsi="Arial" w:cs="Arial"/>
          <w:i/>
          <w:iCs/>
          <w:color w:val="000000"/>
          <w:sz w:val="20"/>
          <w:szCs w:val="20"/>
        </w:rPr>
        <w:t xml:space="preserve">Kuksal v </w:t>
      </w:r>
      <w:bookmarkStart w:id="113" w:name="_Toc30608805"/>
      <w:bookmarkStart w:id="114" w:name="_Toc30610019"/>
      <w:bookmarkStart w:id="115" w:name="_Toc30610263"/>
      <w:bookmarkStart w:id="116" w:name="_Toc30638417"/>
      <w:bookmarkStart w:id="117" w:name="_Toc30644226"/>
      <w:bookmarkStart w:id="118" w:name="_Toc30644629"/>
      <w:bookmarkStart w:id="119" w:name="_Toc30645179"/>
      <w:bookmarkStart w:id="120" w:name="_Toc30646390"/>
      <w:bookmarkStart w:id="121" w:name="_Toc30646685"/>
      <w:bookmarkStart w:id="122" w:name="_Toc30646796"/>
      <w:bookmarkStart w:id="123" w:name="_Toc30648153"/>
      <w:bookmarkStart w:id="124" w:name="_Toc30649051"/>
      <w:bookmarkStart w:id="125" w:name="_Toc30649127"/>
      <w:bookmarkStart w:id="126" w:name="_Toc30649388"/>
      <w:bookmarkStart w:id="127" w:name="_Toc30649708"/>
      <w:bookmarkStart w:id="128" w:name="_Toc30651642"/>
      <w:bookmarkStart w:id="129" w:name="_Toc30652626"/>
      <w:bookmarkStart w:id="130" w:name="_Toc30652724"/>
      <w:bookmarkStart w:id="131" w:name="_Toc30654069"/>
      <w:bookmarkStart w:id="132" w:name="_Toc30654420"/>
      <w:bookmarkStart w:id="133" w:name="_Toc30655039"/>
      <w:bookmarkStart w:id="134" w:name="_Toc30655296"/>
      <w:bookmarkStart w:id="135" w:name="_Toc30656974"/>
      <w:bookmarkStart w:id="136" w:name="_Toc30661723"/>
      <w:bookmarkStart w:id="137" w:name="_Toc30666411"/>
      <w:bookmarkStart w:id="138" w:name="_Toc30666641"/>
      <w:bookmarkStart w:id="139" w:name="_Toc30667816"/>
      <w:bookmarkStart w:id="140" w:name="_Toc30669194"/>
      <w:bookmarkStart w:id="141" w:name="_Toc30671410"/>
      <w:bookmarkStart w:id="142" w:name="_Toc30673937"/>
      <w:bookmarkStart w:id="143" w:name="_Toc30691159"/>
      <w:bookmarkStart w:id="144" w:name="_Toc30691530"/>
      <w:bookmarkStart w:id="145" w:name="_Toc30691910"/>
      <w:bookmarkStart w:id="146" w:name="_Toc30692669"/>
      <w:bookmarkStart w:id="147" w:name="_Toc30693048"/>
      <w:bookmarkStart w:id="148" w:name="_Toc30693426"/>
      <w:bookmarkStart w:id="149" w:name="_Toc30693805"/>
      <w:bookmarkStart w:id="150" w:name="_Toc30694186"/>
      <w:bookmarkStart w:id="151" w:name="_Toc30698775"/>
      <w:bookmarkStart w:id="152" w:name="_Toc30699153"/>
      <w:bookmarkStart w:id="153" w:name="_Toc30699538"/>
      <w:bookmarkStart w:id="154" w:name="_Toc30700693"/>
      <w:bookmarkStart w:id="155" w:name="_Toc30701080"/>
      <w:bookmarkStart w:id="156" w:name="_Toc30743689"/>
      <w:bookmarkStart w:id="157" w:name="_Toc30754511"/>
      <w:bookmarkStart w:id="158" w:name="_Toc30756951"/>
      <w:bookmarkStart w:id="159" w:name="_Toc30757500"/>
      <w:bookmarkStart w:id="160" w:name="_Toc30757900"/>
      <w:bookmarkStart w:id="161" w:name="_Toc30762661"/>
      <w:bookmarkStart w:id="162" w:name="_Toc30767315"/>
      <w:bookmarkStart w:id="163"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r w:rsidR="00530CB6">
        <w:rPr>
          <w:rFonts w:ascii="Arial" w:hAnsi="Arial" w:cs="Arial"/>
          <w:sz w:val="20"/>
        </w:rPr>
        <w:t xml:space="preserve">; </w:t>
      </w:r>
      <w:r w:rsidR="00530CB6" w:rsidRPr="00530CB6">
        <w:rPr>
          <w:rFonts w:ascii="Arial" w:hAnsi="Arial" w:cs="Arial"/>
          <w:i/>
          <w:iCs/>
          <w:sz w:val="20"/>
        </w:rPr>
        <w:t>Brazel v State of Victoria</w:t>
      </w:r>
      <w:r w:rsidR="00530CB6">
        <w:rPr>
          <w:rFonts w:ascii="Arial" w:hAnsi="Arial" w:cs="Arial"/>
          <w:sz w:val="20"/>
        </w:rPr>
        <w:t xml:space="preserve"> [2024] VSCA 327 at [71]-[99]</w:t>
      </w:r>
      <w:r w:rsidR="00A174AF">
        <w:rPr>
          <w:rFonts w:ascii="Arial" w:hAnsi="Arial" w:cs="Arial"/>
          <w:sz w:val="20"/>
        </w:rPr>
        <w:t xml:space="preserve">: </w:t>
      </w:r>
      <w:r w:rsidR="00A174AF" w:rsidRPr="00A174AF">
        <w:rPr>
          <w:rFonts w:ascii="Arial" w:hAnsi="Arial" w:cs="Arial"/>
          <w:i/>
          <w:iCs/>
          <w:sz w:val="20"/>
        </w:rPr>
        <w:t>Re Geelong Quarries Pty Ltd</w:t>
      </w:r>
      <w:r w:rsidR="00A174AF">
        <w:rPr>
          <w:rFonts w:ascii="Arial" w:hAnsi="Arial" w:cs="Arial"/>
          <w:sz w:val="20"/>
        </w:rPr>
        <w:t xml:space="preserve"> [2025] VSC 205</w:t>
      </w:r>
      <w:r w:rsidR="0013025C">
        <w:rPr>
          <w:rFonts w:ascii="Arial" w:hAnsi="Arial" w:cs="Arial"/>
          <w:sz w:val="20"/>
        </w:rPr>
        <w:t xml:space="preserve"> at [18]-[40], [52]-[58], [78]</w:t>
      </w:r>
      <w:r w:rsidR="0013025C">
        <w:rPr>
          <w:rFonts w:ascii="Arial" w:hAnsi="Arial" w:cs="Arial"/>
          <w:sz w:val="20"/>
        </w:rPr>
        <w:noBreakHyphen/>
        <w:t>[101], [109]-[110], [122]-[125] &amp; [193]-[194]</w:t>
      </w:r>
      <w:r w:rsidR="003A15F8">
        <w:rPr>
          <w:rFonts w:ascii="Arial" w:hAnsi="Arial" w:cs="Arial"/>
          <w:sz w:val="20"/>
        </w:rPr>
        <w:t xml:space="preserve">; </w:t>
      </w:r>
      <w:r w:rsidR="003A15F8" w:rsidRPr="003A15F8">
        <w:rPr>
          <w:rFonts w:ascii="Arial" w:hAnsi="Arial" w:cs="Arial"/>
          <w:i/>
          <w:iCs/>
          <w:sz w:val="20"/>
        </w:rPr>
        <w:t>Fuller v Fletcher Building Limited (No 2)</w:t>
      </w:r>
      <w:r w:rsidR="003A15F8" w:rsidRPr="003A15F8">
        <w:rPr>
          <w:rFonts w:ascii="Arial" w:hAnsi="Arial" w:cs="Arial"/>
          <w:sz w:val="20"/>
        </w:rPr>
        <w:t xml:space="preserve"> [2025] VSC 355</w:t>
      </w:r>
      <w:r w:rsidR="00C34A37">
        <w:rPr>
          <w:rFonts w:ascii="Arial" w:hAnsi="Arial" w:cs="Arial"/>
          <w:sz w:val="20"/>
        </w:rPr>
        <w:t>.</w:t>
      </w:r>
    </w:p>
    <w:p w14:paraId="5BDE966B" w14:textId="58F4C766"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AF9A10B" w:rsidR="00B21DA4" w:rsidRPr="00036D92" w:rsidRDefault="00B21DA4" w:rsidP="00036D92">
      <w:pPr>
        <w:pStyle w:val="Heading2"/>
        <w:keepNext/>
        <w:keepLines/>
        <w:widowControl/>
        <w:rPr>
          <w:rFonts w:ascii="Arial" w:hAnsi="Arial" w:cs="Arial"/>
          <w:b/>
          <w:bCs/>
        </w:rPr>
      </w:pPr>
      <w:bookmarkStart w:id="164" w:name="_3.2_Judicial_Independence"/>
      <w:bookmarkEnd w:id="164"/>
      <w:r w:rsidRPr="00036D92">
        <w:rPr>
          <w:rFonts w:ascii="Arial" w:hAnsi="Arial" w:cs="Arial"/>
          <w:b/>
          <w:bCs/>
        </w:rPr>
        <w:lastRenderedPageBreak/>
        <w:t>3.2</w:t>
      </w:r>
      <w:r w:rsidRPr="00036D92">
        <w:rPr>
          <w:rFonts w:ascii="Arial" w:hAnsi="Arial" w:cs="Arial"/>
          <w:b/>
          <w:bCs/>
        </w:rPr>
        <w:tab/>
        <w:t>Judicial Independence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C228D0">
        <w:rPr>
          <w:rFonts w:ascii="Arial" w:hAnsi="Arial" w:cs="Arial"/>
          <w:b/>
          <w:bCs/>
        </w:rPr>
        <w:t xml:space="preserve"> &amp; </w:t>
      </w:r>
      <w:r w:rsidR="00B57600">
        <w:rPr>
          <w:rFonts w:ascii="Arial" w:hAnsi="Arial" w:cs="Arial"/>
          <w:b/>
          <w:bCs/>
        </w:rPr>
        <w:t>I</w:t>
      </w:r>
      <w:r w:rsidR="00C228D0">
        <w:rPr>
          <w:rFonts w:ascii="Arial" w:hAnsi="Arial" w:cs="Arial"/>
          <w:b/>
          <w:bCs/>
        </w:rPr>
        <w:t>mmunity</w:t>
      </w:r>
    </w:p>
    <w:p w14:paraId="78C4DCAC" w14:textId="77777777" w:rsidR="00C228D0" w:rsidRDefault="00C228D0" w:rsidP="00C228D0">
      <w:pPr>
        <w:jc w:val="both"/>
        <w:rPr>
          <w:rFonts w:ascii="Arial" w:hAnsi="Arial" w:cs="Arial"/>
          <w:color w:val="000000"/>
          <w:sz w:val="20"/>
        </w:rPr>
      </w:pPr>
    </w:p>
    <w:p w14:paraId="67DF8FB2" w14:textId="41C47F7E" w:rsidR="002403F7" w:rsidRPr="00312136" w:rsidRDefault="002403F7" w:rsidP="002403F7">
      <w:pPr>
        <w:pStyle w:val="Heading3"/>
        <w:keepNext/>
        <w:keepLines/>
        <w:spacing w:after="120" w:line="240" w:lineRule="auto"/>
        <w:rPr>
          <w:rFonts w:ascii="Arial" w:hAnsi="Arial" w:cs="Arial"/>
          <w:b/>
          <w:bCs/>
          <w:sz w:val="20"/>
        </w:rPr>
      </w:pPr>
      <w:bookmarkStart w:id="165" w:name="_3.2.1_Judicial_independence"/>
      <w:bookmarkEnd w:id="165"/>
      <w:r>
        <w:rPr>
          <w:rFonts w:ascii="Arial" w:hAnsi="Arial" w:cs="Arial"/>
          <w:b/>
          <w:bCs/>
          <w:sz w:val="20"/>
        </w:rPr>
        <w:t>3.2.1</w:t>
      </w:r>
      <w:r>
        <w:rPr>
          <w:rFonts w:ascii="Arial" w:hAnsi="Arial" w:cs="Arial"/>
          <w:b/>
          <w:bCs/>
          <w:sz w:val="20"/>
        </w:rPr>
        <w:tab/>
        <w:t>Judicial independence</w:t>
      </w:r>
    </w:p>
    <w:p w14:paraId="1EE84702" w14:textId="77777777" w:rsidR="00B21DA4" w:rsidRDefault="00B21DA4" w:rsidP="00C228D0">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147BA81A" w14:textId="77777777" w:rsidR="00C228D0" w:rsidRDefault="00C228D0" w:rsidP="00C228D0">
      <w:pPr>
        <w:jc w:val="both"/>
        <w:rPr>
          <w:rFonts w:ascii="Arial" w:hAnsi="Arial" w:cs="Arial"/>
          <w:color w:val="000000"/>
          <w:sz w:val="20"/>
        </w:rPr>
      </w:pPr>
    </w:p>
    <w:p w14:paraId="6356C328" w14:textId="2565DC24" w:rsidR="002403F7" w:rsidRPr="00312136" w:rsidRDefault="002403F7" w:rsidP="002403F7">
      <w:pPr>
        <w:pStyle w:val="Heading3"/>
        <w:keepNext/>
        <w:keepLines/>
        <w:spacing w:after="120" w:line="240" w:lineRule="auto"/>
        <w:rPr>
          <w:rFonts w:ascii="Arial" w:hAnsi="Arial" w:cs="Arial"/>
          <w:b/>
          <w:bCs/>
          <w:sz w:val="20"/>
        </w:rPr>
      </w:pPr>
      <w:bookmarkStart w:id="166" w:name="_3.2.2_Judicial_immunity"/>
      <w:bookmarkEnd w:id="166"/>
      <w:r>
        <w:rPr>
          <w:rFonts w:ascii="Arial" w:hAnsi="Arial" w:cs="Arial"/>
          <w:b/>
          <w:bCs/>
          <w:sz w:val="20"/>
        </w:rPr>
        <w:t>3.2.2</w:t>
      </w:r>
      <w:r>
        <w:rPr>
          <w:rFonts w:ascii="Arial" w:hAnsi="Arial" w:cs="Arial"/>
          <w:b/>
          <w:bCs/>
          <w:sz w:val="20"/>
        </w:rPr>
        <w:tab/>
      </w:r>
      <w:r w:rsidR="00E64AAF">
        <w:rPr>
          <w:rFonts w:ascii="Arial" w:hAnsi="Arial" w:cs="Arial"/>
          <w:b/>
          <w:bCs/>
          <w:sz w:val="20"/>
        </w:rPr>
        <w:t>I</w:t>
      </w:r>
      <w:r>
        <w:rPr>
          <w:rFonts w:ascii="Arial" w:hAnsi="Arial" w:cs="Arial"/>
          <w:b/>
          <w:bCs/>
          <w:sz w:val="20"/>
        </w:rPr>
        <w:t>mmunity</w:t>
      </w:r>
      <w:r w:rsidR="00E64AAF">
        <w:rPr>
          <w:rFonts w:ascii="Arial" w:hAnsi="Arial" w:cs="Arial"/>
          <w:b/>
          <w:bCs/>
          <w:sz w:val="20"/>
        </w:rPr>
        <w:t xml:space="preserve"> of judicial officers &amp; court offic</w:t>
      </w:r>
      <w:r w:rsidR="007D6FE6">
        <w:rPr>
          <w:rFonts w:ascii="Arial" w:hAnsi="Arial" w:cs="Arial"/>
          <w:b/>
          <w:bCs/>
          <w:sz w:val="20"/>
        </w:rPr>
        <w:t>ial</w:t>
      </w:r>
      <w:r w:rsidR="00E64AAF">
        <w:rPr>
          <w:rFonts w:ascii="Arial" w:hAnsi="Arial" w:cs="Arial"/>
          <w:b/>
          <w:bCs/>
          <w:sz w:val="20"/>
        </w:rPr>
        <w:t>s</w:t>
      </w:r>
    </w:p>
    <w:p w14:paraId="34B58893" w14:textId="7878A211" w:rsidR="00B57600" w:rsidRDefault="009F7B01">
      <w:pPr>
        <w:jc w:val="both"/>
        <w:rPr>
          <w:rFonts w:ascii="Arial" w:hAnsi="Arial" w:cs="Arial"/>
          <w:sz w:val="20"/>
        </w:rPr>
      </w:pPr>
      <w:r>
        <w:rPr>
          <w:rFonts w:ascii="Arial" w:hAnsi="Arial" w:cs="Arial"/>
          <w:sz w:val="20"/>
        </w:rPr>
        <w:t>Section</w:t>
      </w:r>
      <w:r w:rsidR="002403F7">
        <w:rPr>
          <w:rFonts w:ascii="Arial" w:hAnsi="Arial" w:cs="Arial"/>
          <w:sz w:val="20"/>
        </w:rPr>
        <w:t>s</w:t>
      </w:r>
      <w:r>
        <w:rPr>
          <w:rFonts w:ascii="Arial" w:hAnsi="Arial" w:cs="Arial"/>
          <w:sz w:val="20"/>
        </w:rPr>
        <w:t xml:space="preserve"> </w:t>
      </w:r>
      <w:r w:rsidR="002403F7">
        <w:rPr>
          <w:rFonts w:ascii="Arial" w:hAnsi="Arial" w:cs="Arial"/>
          <w:sz w:val="20"/>
        </w:rPr>
        <w:t>2</w:t>
      </w:r>
      <w:r>
        <w:rPr>
          <w:rFonts w:ascii="Arial" w:hAnsi="Arial" w:cs="Arial"/>
          <w:sz w:val="20"/>
        </w:rPr>
        <w:t>4</w:t>
      </w:r>
      <w:r w:rsidR="002403F7">
        <w:rPr>
          <w:rFonts w:ascii="Arial" w:hAnsi="Arial" w:cs="Arial"/>
          <w:sz w:val="20"/>
        </w:rPr>
        <w:t>D</w:t>
      </w:r>
      <w:r>
        <w:rPr>
          <w:rFonts w:ascii="Arial" w:hAnsi="Arial" w:cs="Arial"/>
          <w:sz w:val="20"/>
        </w:rPr>
        <w:t xml:space="preserve"> </w:t>
      </w:r>
      <w:r w:rsidR="002403F7">
        <w:rPr>
          <w:rFonts w:ascii="Arial" w:hAnsi="Arial" w:cs="Arial"/>
          <w:sz w:val="20"/>
        </w:rPr>
        <w:t xml:space="preserve">&amp; 24E </w:t>
      </w:r>
      <w:r>
        <w:rPr>
          <w:rFonts w:ascii="Arial" w:hAnsi="Arial" w:cs="Arial"/>
          <w:sz w:val="20"/>
        </w:rPr>
        <w:t xml:space="preserve">of the </w:t>
      </w:r>
      <w:r w:rsidR="002403F7">
        <w:rPr>
          <w:rFonts w:ascii="Arial" w:hAnsi="Arial" w:cs="Arial"/>
          <w:i/>
          <w:iCs/>
          <w:sz w:val="20"/>
        </w:rPr>
        <w:t xml:space="preserve">Supreme </w:t>
      </w:r>
      <w:r w:rsidRPr="009F7B01">
        <w:rPr>
          <w:rFonts w:ascii="Arial" w:hAnsi="Arial" w:cs="Arial"/>
          <w:i/>
          <w:iCs/>
          <w:sz w:val="20"/>
        </w:rPr>
        <w:t>Court Act 1989</w:t>
      </w:r>
      <w:r>
        <w:rPr>
          <w:rFonts w:ascii="Arial" w:hAnsi="Arial" w:cs="Arial"/>
          <w:sz w:val="20"/>
        </w:rPr>
        <w:t xml:space="preserve"> [</w:t>
      </w:r>
      <w:r w:rsidR="002403F7">
        <w:rPr>
          <w:rFonts w:ascii="Arial" w:hAnsi="Arial" w:cs="Arial"/>
          <w:sz w:val="20"/>
        </w:rPr>
        <w:t>S</w:t>
      </w:r>
      <w:r>
        <w:rPr>
          <w:rFonts w:ascii="Arial" w:hAnsi="Arial" w:cs="Arial"/>
          <w:sz w:val="20"/>
        </w:rPr>
        <w:t>CA] provide</w:t>
      </w:r>
      <w:r w:rsidR="002403F7">
        <w:rPr>
          <w:rFonts w:ascii="Arial" w:hAnsi="Arial" w:cs="Arial"/>
          <w:sz w:val="20"/>
        </w:rPr>
        <w:t xml:space="preserve"> that without limiting any other law, whether written or unwritten, the immunity and protection that a Judge or Associate Judge of the Supreme Court has in the performance of his or her duties extends </w:t>
      </w:r>
      <w:r w:rsidR="00B57600">
        <w:rPr>
          <w:rFonts w:ascii="Arial" w:hAnsi="Arial" w:cs="Arial"/>
          <w:sz w:val="20"/>
        </w:rPr>
        <w:t>and applies to the performance or exercise of an administrative function or power conferred on the Judge or on the Court by or under any Act or any other law.</w:t>
      </w:r>
      <w:r w:rsidR="00B90F0A">
        <w:rPr>
          <w:rFonts w:ascii="Arial" w:hAnsi="Arial" w:cs="Arial"/>
          <w:sz w:val="20"/>
        </w:rPr>
        <w:t xml:space="preserve"> </w:t>
      </w:r>
      <w:r w:rsidR="00B57600">
        <w:rPr>
          <w:rFonts w:ascii="Arial" w:hAnsi="Arial" w:cs="Arial"/>
          <w:sz w:val="20"/>
        </w:rPr>
        <w:t>Sections 113L(3) &amp; 24F of the SCA provide a similar immunity to judicial registrars and specified offic</w:t>
      </w:r>
      <w:r w:rsidR="00462488">
        <w:rPr>
          <w:rFonts w:ascii="Arial" w:hAnsi="Arial" w:cs="Arial"/>
          <w:sz w:val="20"/>
        </w:rPr>
        <w:t>ials</w:t>
      </w:r>
      <w:r w:rsidR="00B57600">
        <w:rPr>
          <w:rFonts w:ascii="Arial" w:hAnsi="Arial" w:cs="Arial"/>
          <w:sz w:val="20"/>
        </w:rPr>
        <w:t xml:space="preserve"> of the Supreme Court.</w:t>
      </w:r>
    </w:p>
    <w:p w14:paraId="029392A9" w14:textId="77777777" w:rsidR="00B57600" w:rsidRDefault="00B57600">
      <w:pPr>
        <w:jc w:val="both"/>
        <w:rPr>
          <w:rFonts w:ascii="Arial" w:hAnsi="Arial" w:cs="Arial"/>
          <w:sz w:val="20"/>
        </w:rPr>
      </w:pPr>
    </w:p>
    <w:p w14:paraId="13E41CAA" w14:textId="536D451E" w:rsidR="005B4ABC" w:rsidRPr="005B4ABC" w:rsidRDefault="00B57600">
      <w:pPr>
        <w:jc w:val="both"/>
        <w:rPr>
          <w:rFonts w:ascii="Arial" w:hAnsi="Arial" w:cs="Arial"/>
          <w:sz w:val="16"/>
          <w:szCs w:val="20"/>
        </w:rPr>
      </w:pPr>
      <w:r>
        <w:rPr>
          <w:rFonts w:ascii="Arial" w:hAnsi="Arial" w:cs="Arial"/>
          <w:sz w:val="20"/>
        </w:rPr>
        <w:t>Sect</w:t>
      </w:r>
      <w:r w:rsidR="00FF5A69">
        <w:rPr>
          <w:rFonts w:ascii="Arial" w:hAnsi="Arial" w:cs="Arial"/>
          <w:sz w:val="20"/>
        </w:rPr>
        <w:t>io</w:t>
      </w:r>
      <w:r>
        <w:rPr>
          <w:rFonts w:ascii="Arial" w:hAnsi="Arial" w:cs="Arial"/>
          <w:sz w:val="20"/>
        </w:rPr>
        <w:t xml:space="preserve">ns 9A, 17U(3) &amp; </w:t>
      </w:r>
      <w:r w:rsidR="00FF5A69">
        <w:rPr>
          <w:rFonts w:ascii="Arial" w:hAnsi="Arial" w:cs="Arial"/>
          <w:sz w:val="20"/>
        </w:rPr>
        <w:t xml:space="preserve">19 </w:t>
      </w:r>
      <w:r>
        <w:rPr>
          <w:rFonts w:ascii="Arial" w:hAnsi="Arial" w:cs="Arial"/>
          <w:sz w:val="20"/>
        </w:rPr>
        <w:t xml:space="preserve">of the </w:t>
      </w:r>
      <w:r w:rsidRPr="00B57600">
        <w:rPr>
          <w:rFonts w:ascii="Arial" w:hAnsi="Arial" w:cs="Arial"/>
          <w:i/>
          <w:iCs/>
          <w:sz w:val="20"/>
        </w:rPr>
        <w:t>County Court Act 1958</w:t>
      </w:r>
      <w:r>
        <w:rPr>
          <w:rFonts w:ascii="Arial" w:hAnsi="Arial" w:cs="Arial"/>
          <w:sz w:val="20"/>
        </w:rPr>
        <w:t xml:space="preserve"> provide </w:t>
      </w:r>
      <w:r w:rsidR="005B4ABC">
        <w:rPr>
          <w:rFonts w:ascii="Arial" w:hAnsi="Arial" w:cs="Arial"/>
          <w:sz w:val="20"/>
        </w:rPr>
        <w:t xml:space="preserve">to judicial officers, registrars and deputy registrars of the County Court </w:t>
      </w:r>
      <w:r w:rsidR="005B4ABC" w:rsidRPr="005B4ABC">
        <w:rPr>
          <w:rFonts w:ascii="Arial" w:hAnsi="Arial" w:cs="Arial"/>
          <w:sz w:val="20"/>
          <w:szCs w:val="20"/>
        </w:rPr>
        <w:t>the same protection and immunity as a judge of the Supreme Court</w:t>
      </w:r>
      <w:r w:rsidR="00534271">
        <w:rPr>
          <w:rFonts w:ascii="Arial" w:hAnsi="Arial" w:cs="Arial"/>
          <w:sz w:val="20"/>
          <w:szCs w:val="20"/>
        </w:rPr>
        <w:t>.</w:t>
      </w:r>
    </w:p>
    <w:p w14:paraId="61236FE2" w14:textId="77777777" w:rsidR="009F7B01" w:rsidRDefault="009F7B01">
      <w:pPr>
        <w:jc w:val="both"/>
        <w:rPr>
          <w:rFonts w:ascii="Arial" w:hAnsi="Arial" w:cs="Arial"/>
          <w:sz w:val="20"/>
        </w:rPr>
      </w:pPr>
    </w:p>
    <w:p w14:paraId="761F3DCF" w14:textId="7A2AA2FB" w:rsidR="00FF5A69" w:rsidRDefault="00FF5A69">
      <w:pPr>
        <w:jc w:val="both"/>
        <w:rPr>
          <w:rFonts w:ascii="Arial" w:hAnsi="Arial" w:cs="Arial"/>
          <w:sz w:val="20"/>
        </w:rPr>
      </w:pPr>
      <w:r>
        <w:rPr>
          <w:rFonts w:ascii="Arial" w:hAnsi="Arial" w:cs="Arial"/>
          <w:sz w:val="20"/>
        </w:rPr>
        <w:t>Sections 512</w:t>
      </w:r>
      <w:r w:rsidR="00425216">
        <w:rPr>
          <w:rFonts w:ascii="Arial" w:hAnsi="Arial" w:cs="Arial"/>
          <w:sz w:val="20"/>
        </w:rPr>
        <w:t xml:space="preserve">, </w:t>
      </w:r>
      <w:r>
        <w:rPr>
          <w:rFonts w:ascii="Arial" w:hAnsi="Arial" w:cs="Arial"/>
          <w:sz w:val="20"/>
        </w:rPr>
        <w:t>513</w:t>
      </w:r>
      <w:r w:rsidR="00425216">
        <w:rPr>
          <w:rFonts w:ascii="Arial" w:hAnsi="Arial" w:cs="Arial"/>
          <w:sz w:val="20"/>
        </w:rPr>
        <w:t xml:space="preserve"> &amp; 527B </w:t>
      </w:r>
      <w:r>
        <w:rPr>
          <w:rFonts w:ascii="Arial" w:hAnsi="Arial" w:cs="Arial"/>
          <w:sz w:val="20"/>
        </w:rPr>
        <w:t xml:space="preserve">of the </w:t>
      </w:r>
      <w:r w:rsidRPr="000E5532">
        <w:rPr>
          <w:rFonts w:ascii="Arial" w:hAnsi="Arial" w:cs="Arial"/>
          <w:i/>
          <w:iCs/>
          <w:sz w:val="20"/>
        </w:rPr>
        <w:t>Children, Youth and Families Act 2005</w:t>
      </w:r>
      <w:r>
        <w:rPr>
          <w:rFonts w:ascii="Arial" w:hAnsi="Arial" w:cs="Arial"/>
          <w:sz w:val="20"/>
        </w:rPr>
        <w:t xml:space="preserve"> [CYFA] provide that the President</w:t>
      </w:r>
      <w:r w:rsidR="00425216">
        <w:rPr>
          <w:rFonts w:ascii="Arial" w:hAnsi="Arial" w:cs="Arial"/>
          <w:sz w:val="20"/>
        </w:rPr>
        <w:t xml:space="preserve"> and </w:t>
      </w:r>
      <w:r>
        <w:rPr>
          <w:rFonts w:ascii="Arial" w:hAnsi="Arial" w:cs="Arial"/>
          <w:sz w:val="20"/>
        </w:rPr>
        <w:t xml:space="preserve">magistrates </w:t>
      </w:r>
      <w:r w:rsidR="00425216">
        <w:rPr>
          <w:rFonts w:ascii="Arial" w:hAnsi="Arial" w:cs="Arial"/>
          <w:sz w:val="20"/>
        </w:rPr>
        <w:t>or</w:t>
      </w:r>
      <w:r>
        <w:rPr>
          <w:rFonts w:ascii="Arial" w:hAnsi="Arial" w:cs="Arial"/>
          <w:sz w:val="20"/>
        </w:rPr>
        <w:t xml:space="preserve"> reserve magistrates </w:t>
      </w:r>
      <w:r w:rsidRPr="001D7BCA">
        <w:rPr>
          <w:rFonts w:ascii="Arial" w:hAnsi="Arial" w:cs="Arial"/>
          <w:sz w:val="20"/>
          <w:szCs w:val="20"/>
        </w:rPr>
        <w:t xml:space="preserve">engaged under section 9C of the </w:t>
      </w:r>
      <w:r w:rsidRPr="001D7BCA">
        <w:rPr>
          <w:rFonts w:ascii="Arial" w:hAnsi="Arial" w:cs="Arial"/>
          <w:bCs/>
          <w:i/>
          <w:iCs/>
          <w:sz w:val="20"/>
          <w:szCs w:val="20"/>
        </w:rPr>
        <w:t>Magistrates' Court Act 1989</w:t>
      </w:r>
      <w:r w:rsidRPr="001D7BCA">
        <w:rPr>
          <w:rFonts w:ascii="Arial" w:hAnsi="Arial" w:cs="Arial"/>
          <w:sz w:val="20"/>
          <w:szCs w:val="20"/>
        </w:rPr>
        <w:t xml:space="preserve"> ha</w:t>
      </w:r>
      <w:r>
        <w:rPr>
          <w:rFonts w:ascii="Arial" w:hAnsi="Arial" w:cs="Arial"/>
          <w:sz w:val="20"/>
          <w:szCs w:val="20"/>
        </w:rPr>
        <w:t>ve</w:t>
      </w:r>
      <w:r w:rsidR="00462488">
        <w:rPr>
          <w:rFonts w:ascii="Arial" w:hAnsi="Arial" w:cs="Arial"/>
          <w:sz w:val="20"/>
          <w:szCs w:val="20"/>
        </w:rPr>
        <w:t xml:space="preserve">, </w:t>
      </w:r>
      <w:r w:rsidRPr="001D7BCA">
        <w:rPr>
          <w:rFonts w:ascii="Arial" w:hAnsi="Arial" w:cs="Arial"/>
          <w:sz w:val="20"/>
          <w:szCs w:val="20"/>
        </w:rPr>
        <w:t xml:space="preserve">in the performance of </w:t>
      </w:r>
      <w:r w:rsidR="00B90F0A">
        <w:rPr>
          <w:rFonts w:ascii="Arial" w:hAnsi="Arial" w:cs="Arial"/>
          <w:sz w:val="20"/>
          <w:szCs w:val="20"/>
        </w:rPr>
        <w:t>their</w:t>
      </w:r>
      <w:r w:rsidRPr="001D7BCA">
        <w:rPr>
          <w:rFonts w:ascii="Arial" w:hAnsi="Arial" w:cs="Arial"/>
          <w:sz w:val="20"/>
          <w:szCs w:val="20"/>
        </w:rPr>
        <w:t xml:space="preserve"> duties as </w:t>
      </w:r>
      <w:r w:rsidR="00425216">
        <w:rPr>
          <w:rFonts w:ascii="Arial" w:hAnsi="Arial" w:cs="Arial"/>
          <w:sz w:val="20"/>
          <w:szCs w:val="20"/>
        </w:rPr>
        <w:t>judicial officer</w:t>
      </w:r>
      <w:r w:rsidR="00B90F0A">
        <w:rPr>
          <w:rFonts w:ascii="Arial" w:hAnsi="Arial" w:cs="Arial"/>
          <w:sz w:val="20"/>
          <w:szCs w:val="20"/>
        </w:rPr>
        <w:t>s</w:t>
      </w:r>
      <w:r w:rsidRPr="001D7BCA">
        <w:rPr>
          <w:rFonts w:ascii="Arial" w:hAnsi="Arial" w:cs="Arial"/>
          <w:sz w:val="20"/>
          <w:szCs w:val="20"/>
        </w:rPr>
        <w:t xml:space="preserve"> for the </w:t>
      </w:r>
      <w:r>
        <w:rPr>
          <w:rFonts w:ascii="Arial" w:hAnsi="Arial" w:cs="Arial"/>
          <w:sz w:val="20"/>
          <w:szCs w:val="20"/>
        </w:rPr>
        <w:t xml:space="preserve">Children’s </w:t>
      </w:r>
      <w:r w:rsidRPr="001D7BCA">
        <w:rPr>
          <w:rFonts w:ascii="Arial" w:hAnsi="Arial" w:cs="Arial"/>
          <w:sz w:val="20"/>
          <w:szCs w:val="20"/>
        </w:rPr>
        <w:t>Court</w:t>
      </w:r>
      <w:r w:rsidR="00462488">
        <w:rPr>
          <w:rFonts w:ascii="Arial" w:hAnsi="Arial" w:cs="Arial"/>
          <w:sz w:val="20"/>
          <w:szCs w:val="20"/>
        </w:rPr>
        <w:t>,</w:t>
      </w:r>
      <w:r w:rsidRPr="001D7BCA">
        <w:rPr>
          <w:rFonts w:ascii="Arial" w:hAnsi="Arial" w:cs="Arial"/>
          <w:sz w:val="20"/>
          <w:szCs w:val="20"/>
        </w:rPr>
        <w:t xml:space="preserve"> the same protection and immunity as a Judge of the Supreme Court has in the performance of his or her duties as a Judge.</w:t>
      </w:r>
      <w:r>
        <w:rPr>
          <w:rFonts w:ascii="Arial" w:hAnsi="Arial" w:cs="Arial"/>
          <w:sz w:val="20"/>
          <w:szCs w:val="20"/>
        </w:rPr>
        <w:t xml:space="preserve"> Sections </w:t>
      </w:r>
      <w:r w:rsidR="00425216">
        <w:rPr>
          <w:rFonts w:ascii="Arial" w:hAnsi="Arial" w:cs="Arial"/>
          <w:sz w:val="20"/>
          <w:szCs w:val="20"/>
        </w:rPr>
        <w:t xml:space="preserve">542J(3) &amp; </w:t>
      </w:r>
      <w:r>
        <w:rPr>
          <w:rFonts w:ascii="Arial" w:hAnsi="Arial" w:cs="Arial"/>
          <w:sz w:val="20"/>
          <w:szCs w:val="20"/>
        </w:rPr>
        <w:t xml:space="preserve">542 of the CYFA provide a similar immunity to judicial registrars, </w:t>
      </w:r>
      <w:r w:rsidR="00B90F0A">
        <w:rPr>
          <w:rFonts w:ascii="Arial" w:hAnsi="Arial" w:cs="Arial"/>
          <w:sz w:val="20"/>
          <w:szCs w:val="20"/>
        </w:rPr>
        <w:t xml:space="preserve">the principal registrar, </w:t>
      </w:r>
      <w:r>
        <w:rPr>
          <w:rFonts w:ascii="Arial" w:hAnsi="Arial" w:cs="Arial"/>
          <w:sz w:val="20"/>
          <w:szCs w:val="20"/>
        </w:rPr>
        <w:t>registrars and deputy registrars of the Children’s Court.</w:t>
      </w:r>
    </w:p>
    <w:p w14:paraId="17A5B588" w14:textId="77777777" w:rsidR="001331AD" w:rsidRDefault="001331AD" w:rsidP="001331AD">
      <w:pPr>
        <w:jc w:val="both"/>
        <w:rPr>
          <w:rFonts w:ascii="Arial" w:hAnsi="Arial" w:cs="Arial"/>
          <w:sz w:val="20"/>
        </w:rPr>
      </w:pPr>
    </w:p>
    <w:p w14:paraId="4B31E2EB" w14:textId="77777777" w:rsidR="001331AD" w:rsidRDefault="001331AD" w:rsidP="001331AD">
      <w:pPr>
        <w:jc w:val="both"/>
        <w:rPr>
          <w:rFonts w:ascii="Arial" w:hAnsi="Arial" w:cs="Arial"/>
          <w:sz w:val="20"/>
        </w:rPr>
      </w:pPr>
      <w:r>
        <w:rPr>
          <w:rFonts w:ascii="Arial" w:hAnsi="Arial" w:cs="Arial"/>
          <w:sz w:val="20"/>
        </w:rPr>
        <w:t xml:space="preserve">Sections 14, 16J(3) &amp; 24 of the </w:t>
      </w:r>
      <w:r w:rsidRPr="00FF5A69">
        <w:rPr>
          <w:rFonts w:ascii="Arial" w:hAnsi="Arial" w:cs="Arial"/>
          <w:i/>
          <w:iCs/>
          <w:sz w:val="20"/>
        </w:rPr>
        <w:t>Magistrates’ Court Act 198</w:t>
      </w:r>
      <w:r>
        <w:rPr>
          <w:rFonts w:ascii="Arial" w:hAnsi="Arial" w:cs="Arial"/>
          <w:i/>
          <w:iCs/>
          <w:sz w:val="20"/>
        </w:rPr>
        <w:t>9</w:t>
      </w:r>
      <w:r>
        <w:rPr>
          <w:rFonts w:ascii="Arial" w:hAnsi="Arial" w:cs="Arial"/>
          <w:sz w:val="20"/>
        </w:rPr>
        <w:t xml:space="preserve"> provide a similar immunity to judicial officers, the principal registrar, registrars and deputy registrars of the Magistrates’ Court.</w:t>
      </w:r>
    </w:p>
    <w:p w14:paraId="6124AA7C" w14:textId="77777777" w:rsidR="002403F7" w:rsidRDefault="002403F7">
      <w:pPr>
        <w:jc w:val="both"/>
        <w:rPr>
          <w:rFonts w:ascii="Arial" w:hAnsi="Arial" w:cs="Arial"/>
          <w:sz w:val="20"/>
        </w:rPr>
      </w:pPr>
    </w:p>
    <w:p w14:paraId="2DDAF6A3" w14:textId="4377D620" w:rsidR="00A333DC" w:rsidRDefault="00FF5A69">
      <w:pPr>
        <w:jc w:val="both"/>
        <w:rPr>
          <w:rFonts w:ascii="Arial" w:hAnsi="Arial" w:cs="Arial"/>
          <w:sz w:val="20"/>
        </w:rPr>
      </w:pPr>
      <w:r>
        <w:rPr>
          <w:rFonts w:ascii="Arial" w:hAnsi="Arial" w:cs="Arial"/>
          <w:sz w:val="20"/>
        </w:rPr>
        <w:t xml:space="preserve">Underpinning ss.24D of the SCA – and hence underpinning the statutory provisions listed above – is the </w:t>
      </w:r>
      <w:r w:rsidR="00B90F0A">
        <w:rPr>
          <w:rFonts w:ascii="Arial" w:hAnsi="Arial" w:cs="Arial"/>
          <w:sz w:val="20"/>
        </w:rPr>
        <w:t xml:space="preserve">scope at </w:t>
      </w:r>
      <w:r>
        <w:rPr>
          <w:rFonts w:ascii="Arial" w:hAnsi="Arial" w:cs="Arial"/>
          <w:sz w:val="20"/>
        </w:rPr>
        <w:t>common law</w:t>
      </w:r>
      <w:r w:rsidR="00B90F0A">
        <w:rPr>
          <w:rFonts w:ascii="Arial" w:hAnsi="Arial" w:cs="Arial"/>
          <w:sz w:val="20"/>
        </w:rPr>
        <w:t xml:space="preserve"> of the immunity </w:t>
      </w:r>
      <w:r w:rsidR="00462488">
        <w:rPr>
          <w:rFonts w:ascii="Arial" w:hAnsi="Arial" w:cs="Arial"/>
          <w:sz w:val="20"/>
        </w:rPr>
        <w:t xml:space="preserve">of judges </w:t>
      </w:r>
      <w:r w:rsidR="00B90F0A">
        <w:rPr>
          <w:rFonts w:ascii="Arial" w:hAnsi="Arial" w:cs="Arial"/>
          <w:sz w:val="20"/>
        </w:rPr>
        <w:t>from civil suit for acts and omissions in the performance or purported performance of the</w:t>
      </w:r>
      <w:r w:rsidR="009D0E68">
        <w:rPr>
          <w:rFonts w:ascii="Arial" w:hAnsi="Arial" w:cs="Arial"/>
          <w:sz w:val="20"/>
        </w:rPr>
        <w:t>ir</w:t>
      </w:r>
      <w:r w:rsidR="00B90F0A">
        <w:rPr>
          <w:rFonts w:ascii="Arial" w:hAnsi="Arial" w:cs="Arial"/>
          <w:sz w:val="20"/>
        </w:rPr>
        <w:t xml:space="preserve"> judicial function. The </w:t>
      </w:r>
      <w:r w:rsidR="00A42C64">
        <w:rPr>
          <w:rFonts w:ascii="Arial" w:hAnsi="Arial" w:cs="Arial"/>
          <w:sz w:val="20"/>
        </w:rPr>
        <w:t xml:space="preserve">common law on </w:t>
      </w:r>
      <w:r w:rsidR="00B90F0A">
        <w:rPr>
          <w:rFonts w:ascii="Arial" w:hAnsi="Arial" w:cs="Arial"/>
          <w:sz w:val="20"/>
        </w:rPr>
        <w:t>judicial immunity</w:t>
      </w:r>
      <w:r w:rsidR="00A42C64">
        <w:rPr>
          <w:rFonts w:ascii="Arial" w:hAnsi="Arial" w:cs="Arial"/>
          <w:sz w:val="20"/>
        </w:rPr>
        <w:t xml:space="preserve"> </w:t>
      </w:r>
      <w:r w:rsidR="00425216">
        <w:rPr>
          <w:rFonts w:ascii="Arial" w:hAnsi="Arial" w:cs="Arial"/>
          <w:sz w:val="20"/>
        </w:rPr>
        <w:t xml:space="preserve">was discussed in detail by the High Court in the linked cases of </w:t>
      </w:r>
      <w:r w:rsidR="00425216" w:rsidRPr="00420B1A">
        <w:rPr>
          <w:rFonts w:ascii="Arial" w:hAnsi="Arial" w:cs="Arial"/>
          <w:i/>
          <w:iCs/>
          <w:sz w:val="20"/>
        </w:rPr>
        <w:t>Queensland v Mr</w:t>
      </w:r>
      <w:r w:rsidR="00B90F0A">
        <w:rPr>
          <w:rFonts w:ascii="Arial" w:hAnsi="Arial" w:cs="Arial"/>
          <w:i/>
          <w:iCs/>
          <w:sz w:val="20"/>
        </w:rPr>
        <w:t xml:space="preserve"> </w:t>
      </w:r>
      <w:r w:rsidR="00425216" w:rsidRPr="00420B1A">
        <w:rPr>
          <w:rFonts w:ascii="Arial" w:hAnsi="Arial" w:cs="Arial"/>
          <w:i/>
          <w:iCs/>
          <w:sz w:val="20"/>
        </w:rPr>
        <w:t>Stradford (a</w:t>
      </w:r>
      <w:r w:rsidR="00425216">
        <w:rPr>
          <w:rFonts w:ascii="Arial" w:hAnsi="Arial" w:cs="Arial"/>
          <w:i/>
          <w:iCs/>
          <w:sz w:val="20"/>
        </w:rPr>
        <w:t> </w:t>
      </w:r>
      <w:r w:rsidR="00425216" w:rsidRPr="00420B1A">
        <w:rPr>
          <w:rFonts w:ascii="Arial" w:hAnsi="Arial" w:cs="Arial"/>
          <w:i/>
          <w:iCs/>
          <w:sz w:val="20"/>
        </w:rPr>
        <w:t>pseudonym)</w:t>
      </w:r>
      <w:r w:rsidR="00425216">
        <w:rPr>
          <w:rFonts w:ascii="Arial" w:hAnsi="Arial" w:cs="Arial"/>
          <w:sz w:val="20"/>
        </w:rPr>
        <w:t>,</w:t>
      </w:r>
      <w:r w:rsidR="00425216" w:rsidRPr="00C228D0">
        <w:rPr>
          <w:rFonts w:ascii="Arial" w:hAnsi="Arial" w:cs="Arial"/>
          <w:sz w:val="20"/>
        </w:rPr>
        <w:t xml:space="preserve"> </w:t>
      </w:r>
      <w:r w:rsidR="00425216" w:rsidRPr="00420B1A">
        <w:rPr>
          <w:rFonts w:ascii="Arial" w:hAnsi="Arial" w:cs="Arial"/>
          <w:i/>
          <w:iCs/>
          <w:sz w:val="20"/>
        </w:rPr>
        <w:t>Commonwealth of Australia v Mr Stradford (a</w:t>
      </w:r>
      <w:r w:rsidR="00B90F0A">
        <w:rPr>
          <w:rFonts w:ascii="Arial" w:hAnsi="Arial" w:cs="Arial"/>
          <w:i/>
          <w:iCs/>
          <w:sz w:val="20"/>
        </w:rPr>
        <w:t xml:space="preserve"> </w:t>
      </w:r>
      <w:r w:rsidR="00425216" w:rsidRPr="00420B1A">
        <w:rPr>
          <w:rFonts w:ascii="Arial" w:hAnsi="Arial" w:cs="Arial"/>
          <w:i/>
          <w:iCs/>
          <w:sz w:val="20"/>
        </w:rPr>
        <w:t>pseudonym)</w:t>
      </w:r>
      <w:r w:rsidR="00425216" w:rsidRPr="00C228D0">
        <w:rPr>
          <w:rFonts w:ascii="Arial" w:hAnsi="Arial" w:cs="Arial"/>
          <w:sz w:val="20"/>
        </w:rPr>
        <w:t xml:space="preserve"> </w:t>
      </w:r>
      <w:r w:rsidR="00425216">
        <w:rPr>
          <w:rFonts w:ascii="Arial" w:hAnsi="Arial" w:cs="Arial"/>
          <w:sz w:val="20"/>
        </w:rPr>
        <w:t xml:space="preserve">and </w:t>
      </w:r>
      <w:r w:rsidR="00425216" w:rsidRPr="00420B1A">
        <w:rPr>
          <w:rFonts w:ascii="Arial" w:hAnsi="Arial" w:cs="Arial"/>
          <w:i/>
          <w:iCs/>
          <w:sz w:val="20"/>
        </w:rPr>
        <w:t>His Honour Judge Vasta v Mr Stradford (a pseudonym)</w:t>
      </w:r>
      <w:r w:rsidR="00425216" w:rsidRPr="00C228D0">
        <w:rPr>
          <w:rFonts w:ascii="Arial" w:hAnsi="Arial" w:cs="Arial"/>
          <w:sz w:val="20"/>
        </w:rPr>
        <w:t xml:space="preserve"> [2025] HCA</w:t>
      </w:r>
      <w:r w:rsidR="00425216">
        <w:rPr>
          <w:rFonts w:ascii="Arial" w:hAnsi="Arial" w:cs="Arial"/>
          <w:sz w:val="20"/>
        </w:rPr>
        <w:t xml:space="preserve"> </w:t>
      </w:r>
      <w:r w:rsidR="00425216" w:rsidRPr="00C228D0">
        <w:rPr>
          <w:rFonts w:ascii="Arial" w:hAnsi="Arial" w:cs="Arial"/>
          <w:sz w:val="20"/>
        </w:rPr>
        <w:t>3</w:t>
      </w:r>
      <w:r w:rsidR="00425216">
        <w:rPr>
          <w:rFonts w:ascii="Arial" w:hAnsi="Arial" w:cs="Arial"/>
          <w:sz w:val="20"/>
        </w:rPr>
        <w:t>.</w:t>
      </w:r>
    </w:p>
    <w:p w14:paraId="2ED0083F" w14:textId="77777777" w:rsidR="00A333DC" w:rsidRDefault="00A333DC">
      <w:pPr>
        <w:jc w:val="both"/>
        <w:rPr>
          <w:rFonts w:ascii="Arial" w:hAnsi="Arial" w:cs="Arial"/>
          <w:sz w:val="20"/>
        </w:rPr>
      </w:pPr>
    </w:p>
    <w:p w14:paraId="272B2BB9" w14:textId="61316B7A" w:rsidR="00931243" w:rsidRDefault="00931243" w:rsidP="00B90F0A">
      <w:pPr>
        <w:jc w:val="both"/>
        <w:rPr>
          <w:rFonts w:ascii="Arial" w:hAnsi="Arial" w:cs="Arial"/>
          <w:sz w:val="20"/>
        </w:rPr>
      </w:pPr>
      <w:r>
        <w:rPr>
          <w:rFonts w:ascii="Arial" w:hAnsi="Arial" w:cs="Arial"/>
          <w:sz w:val="20"/>
        </w:rPr>
        <w:t>The facts underlying these cases were that the respondent Mr</w:t>
      </w:r>
      <w:r w:rsidR="00A333DC">
        <w:rPr>
          <w:rFonts w:ascii="Arial" w:hAnsi="Arial" w:cs="Arial"/>
          <w:sz w:val="20"/>
        </w:rPr>
        <w:t xml:space="preserve"> </w:t>
      </w:r>
      <w:r>
        <w:rPr>
          <w:rFonts w:ascii="Arial" w:hAnsi="Arial" w:cs="Arial"/>
          <w:sz w:val="20"/>
        </w:rPr>
        <w:t xml:space="preserve">Stradford </w:t>
      </w:r>
      <w:r w:rsidR="00B90F0A">
        <w:rPr>
          <w:rFonts w:ascii="Arial" w:hAnsi="Arial" w:cs="Arial"/>
          <w:sz w:val="20"/>
        </w:rPr>
        <w:t>had been</w:t>
      </w:r>
      <w:r>
        <w:rPr>
          <w:rFonts w:ascii="Arial" w:hAnsi="Arial" w:cs="Arial"/>
          <w:sz w:val="20"/>
        </w:rPr>
        <w:t xml:space="preserve"> convicted of contempt of court by Judge Vasta in the Federal Circuit Court of Australia and sentenced to a term of imprisonment. The contempt was an alleged failure by Mr Stradford to make “full and frank disclosure” of documents in a property adjustment proceeding which he had commenced against his then wife under s.79 of the </w:t>
      </w:r>
      <w:r w:rsidRPr="00CB5762">
        <w:rPr>
          <w:rFonts w:ascii="Arial" w:hAnsi="Arial" w:cs="Arial"/>
          <w:i/>
          <w:iCs/>
          <w:sz w:val="20"/>
        </w:rPr>
        <w:t>Family Law Act 1975</w:t>
      </w:r>
      <w:r>
        <w:rPr>
          <w:rFonts w:ascii="Arial" w:hAnsi="Arial" w:cs="Arial"/>
          <w:sz w:val="20"/>
        </w:rPr>
        <w:t xml:space="preserve"> (Cth). </w:t>
      </w:r>
      <w:r w:rsidR="005F4D4C">
        <w:rPr>
          <w:rFonts w:ascii="Arial" w:hAnsi="Arial" w:cs="Arial"/>
          <w:sz w:val="20"/>
        </w:rPr>
        <w:t xml:space="preserve">Both husband and wife were unrepresented. </w:t>
      </w:r>
      <w:r w:rsidR="005F4D4C" w:rsidRPr="005F4D4C">
        <w:rPr>
          <w:rFonts w:ascii="Arial" w:hAnsi="Arial" w:cs="Arial"/>
          <w:sz w:val="20"/>
        </w:rPr>
        <w:t xml:space="preserve">Mrs Stradford </w:t>
      </w:r>
      <w:r w:rsidR="005F4D4C">
        <w:rPr>
          <w:rFonts w:ascii="Arial" w:hAnsi="Arial" w:cs="Arial"/>
          <w:sz w:val="20"/>
        </w:rPr>
        <w:t xml:space="preserve">had </w:t>
      </w:r>
      <w:r w:rsidR="005F4D4C" w:rsidRPr="005F4D4C">
        <w:rPr>
          <w:rFonts w:ascii="Arial" w:hAnsi="Arial" w:cs="Arial"/>
          <w:sz w:val="20"/>
        </w:rPr>
        <w:t>repeatedly s</w:t>
      </w:r>
      <w:r w:rsidR="005F4D4C">
        <w:rPr>
          <w:rFonts w:ascii="Arial" w:hAnsi="Arial" w:cs="Arial"/>
          <w:sz w:val="20"/>
        </w:rPr>
        <w:t xml:space="preserve">aid to Judge Vasta </w:t>
      </w:r>
      <w:r w:rsidR="005F4D4C" w:rsidRPr="005F4D4C">
        <w:rPr>
          <w:rFonts w:ascii="Arial" w:hAnsi="Arial" w:cs="Arial"/>
          <w:sz w:val="20"/>
        </w:rPr>
        <w:t xml:space="preserve">that, </w:t>
      </w:r>
      <w:r w:rsidR="005D53B5">
        <w:rPr>
          <w:rFonts w:ascii="Arial" w:hAnsi="Arial" w:cs="Arial"/>
          <w:sz w:val="20"/>
        </w:rPr>
        <w:t>“</w:t>
      </w:r>
      <w:r w:rsidR="005F4D4C" w:rsidRPr="005F4D4C">
        <w:rPr>
          <w:rFonts w:ascii="Arial" w:hAnsi="Arial" w:cs="Arial"/>
          <w:sz w:val="20"/>
        </w:rPr>
        <w:t>while she was dissatisfied with Mr Stradford's disclosure and approach to a property settlement, she did not want him to go to prison</w:t>
      </w:r>
      <w:r w:rsidR="005D53B5">
        <w:rPr>
          <w:rFonts w:ascii="Arial" w:hAnsi="Arial" w:cs="Arial"/>
          <w:sz w:val="20"/>
        </w:rPr>
        <w:t>”</w:t>
      </w:r>
      <w:r w:rsidR="005F4D4C">
        <w:rPr>
          <w:rFonts w:ascii="Arial" w:hAnsi="Arial" w:cs="Arial"/>
          <w:sz w:val="20"/>
        </w:rPr>
        <w:t>: see the plurality at [22]</w:t>
      </w:r>
      <w:r w:rsidR="005F4D4C" w:rsidRPr="005F4D4C">
        <w:rPr>
          <w:rFonts w:ascii="Arial" w:hAnsi="Arial" w:cs="Arial"/>
          <w:sz w:val="20"/>
        </w:rPr>
        <w:t>.</w:t>
      </w:r>
      <w:r w:rsidR="005F4D4C">
        <w:rPr>
          <w:rFonts w:ascii="Arial" w:hAnsi="Arial" w:cs="Arial"/>
          <w:sz w:val="20"/>
        </w:rPr>
        <w:t xml:space="preserve"> </w:t>
      </w:r>
      <w:r>
        <w:rPr>
          <w:rFonts w:ascii="Arial" w:hAnsi="Arial" w:cs="Arial"/>
          <w:sz w:val="20"/>
        </w:rPr>
        <w:t>Upon being sentenced, Mr Stradford was escorted from the courtroom to a holding cell by MSS Security officers</w:t>
      </w:r>
      <w:r w:rsidR="00B90F0A">
        <w:rPr>
          <w:rFonts w:ascii="Arial" w:hAnsi="Arial" w:cs="Arial"/>
          <w:sz w:val="20"/>
        </w:rPr>
        <w:t xml:space="preserve"> who were employees of the Commonwealth</w:t>
      </w:r>
      <w:r>
        <w:rPr>
          <w:rFonts w:ascii="Arial" w:hAnsi="Arial" w:cs="Arial"/>
          <w:sz w:val="20"/>
        </w:rPr>
        <w:t xml:space="preserve">. From there he was collected by Queensland police officers, handcuffed and transported in a police van to a watchhouse and subsequently detained at Brisbane Correctional Centre until his release 2 days later. </w:t>
      </w:r>
      <w:r w:rsidRPr="009F78ED">
        <w:rPr>
          <w:rFonts w:ascii="Arial" w:hAnsi="Arial" w:cs="Arial"/>
          <w:sz w:val="20"/>
        </w:rPr>
        <w:t>Mr S</w:t>
      </w:r>
      <w:r>
        <w:rPr>
          <w:rFonts w:ascii="Arial" w:hAnsi="Arial" w:cs="Arial"/>
          <w:sz w:val="20"/>
        </w:rPr>
        <w:t>tradford</w:t>
      </w:r>
      <w:r w:rsidRPr="009F78ED">
        <w:rPr>
          <w:rFonts w:ascii="Arial" w:hAnsi="Arial" w:cs="Arial"/>
          <w:sz w:val="20"/>
        </w:rPr>
        <w:t>'s time in custody was distressing. He witnessed and was subjected to acts of violence</w:t>
      </w:r>
      <w:r>
        <w:rPr>
          <w:rFonts w:ascii="Arial" w:hAnsi="Arial" w:cs="Arial"/>
          <w:sz w:val="20"/>
        </w:rPr>
        <w:t xml:space="preserve"> and he </w:t>
      </w:r>
      <w:r w:rsidRPr="009F78ED">
        <w:rPr>
          <w:rFonts w:ascii="Arial" w:hAnsi="Arial" w:cs="Arial"/>
          <w:sz w:val="20"/>
        </w:rPr>
        <w:t>experienced suicidal thoughts.</w:t>
      </w:r>
    </w:p>
    <w:p w14:paraId="409E73C2" w14:textId="5C5DF3ED" w:rsidR="005D53B5" w:rsidRDefault="005D53B5" w:rsidP="00F87730">
      <w:pPr>
        <w:spacing w:before="120"/>
        <w:jc w:val="both"/>
        <w:rPr>
          <w:rFonts w:ascii="Arial" w:hAnsi="Arial" w:cs="Arial"/>
          <w:sz w:val="20"/>
        </w:rPr>
      </w:pPr>
      <w:r>
        <w:rPr>
          <w:rFonts w:ascii="Arial" w:hAnsi="Arial" w:cs="Arial"/>
          <w:sz w:val="20"/>
        </w:rPr>
        <w:lastRenderedPageBreak/>
        <w:t>In the High Court t</w:t>
      </w:r>
      <w:r w:rsidRPr="005D53B5">
        <w:rPr>
          <w:rFonts w:ascii="Arial" w:hAnsi="Arial" w:cs="Arial"/>
          <w:sz w:val="20"/>
        </w:rPr>
        <w:t>here was no dispute that the order for imprisonment made by Judge Vasta, and the consequential warrant that his Honour issued, were the result of a number of jurisdictional errors</w:t>
      </w:r>
      <w:r>
        <w:rPr>
          <w:rFonts w:ascii="Arial" w:hAnsi="Arial" w:cs="Arial"/>
          <w:sz w:val="20"/>
        </w:rPr>
        <w:t>: see e.g. per Edelman J at [317]</w:t>
      </w:r>
      <w:r w:rsidR="005B4ABC">
        <w:rPr>
          <w:rFonts w:ascii="Arial" w:hAnsi="Arial" w:cs="Arial"/>
          <w:sz w:val="20"/>
        </w:rPr>
        <w:t>; see also</w:t>
      </w:r>
      <w:r>
        <w:rPr>
          <w:rFonts w:ascii="Arial" w:hAnsi="Arial" w:cs="Arial"/>
          <w:sz w:val="20"/>
        </w:rPr>
        <w:t xml:space="preserve"> the plurality (Gageler CJ, Gleeson, Jagot &amp; Beech-Jones) at [22]:</w:t>
      </w:r>
    </w:p>
    <w:p w14:paraId="650FCE9B" w14:textId="6649E7BF" w:rsidR="00905F98" w:rsidRDefault="005D53B5" w:rsidP="005D53B5">
      <w:pPr>
        <w:spacing w:before="60"/>
        <w:ind w:left="454" w:right="454"/>
        <w:jc w:val="both"/>
        <w:rPr>
          <w:rFonts w:ascii="Arial" w:hAnsi="Arial" w:cs="Arial"/>
          <w:sz w:val="20"/>
        </w:rPr>
      </w:pPr>
      <w:r>
        <w:rPr>
          <w:rFonts w:ascii="Arial" w:hAnsi="Arial" w:cs="Arial"/>
          <w:sz w:val="20"/>
        </w:rPr>
        <w:t>“T</w:t>
      </w:r>
      <w:r w:rsidRPr="005D53B5">
        <w:rPr>
          <w:rFonts w:ascii="Arial" w:hAnsi="Arial" w:cs="Arial"/>
          <w:sz w:val="20"/>
        </w:rPr>
        <w:t xml:space="preserve">he Full Court of the Family Court (as it then was) upheld Mr Stradford's appeal against Judge Vasta's decision and set aside the contempt declaration and the imprisonment order. It suffices to note that the Full Court concluded that </w:t>
      </w:r>
      <w:r>
        <w:rPr>
          <w:rFonts w:ascii="Arial" w:hAnsi="Arial" w:cs="Arial"/>
          <w:sz w:val="20"/>
        </w:rPr>
        <w:t>‘</w:t>
      </w:r>
      <w:r w:rsidRPr="005D53B5">
        <w:rPr>
          <w:rFonts w:ascii="Arial" w:hAnsi="Arial" w:cs="Arial"/>
          <w:sz w:val="20"/>
        </w:rPr>
        <w:t>the processes employed by [Judge Vasta] were so devoid of procedural fairness</w:t>
      </w:r>
      <w:r>
        <w:rPr>
          <w:rFonts w:ascii="Arial" w:hAnsi="Arial" w:cs="Arial"/>
          <w:sz w:val="20"/>
        </w:rPr>
        <w:t>’</w:t>
      </w:r>
      <w:r w:rsidRPr="005D53B5">
        <w:rPr>
          <w:rFonts w:ascii="Arial" w:hAnsi="Arial" w:cs="Arial"/>
          <w:sz w:val="20"/>
        </w:rPr>
        <w:t xml:space="preserve"> to Mr Stradford and the </w:t>
      </w:r>
      <w:r>
        <w:rPr>
          <w:rFonts w:ascii="Arial" w:hAnsi="Arial" w:cs="Arial"/>
          <w:sz w:val="20"/>
        </w:rPr>
        <w:t>‘</w:t>
      </w:r>
      <w:r w:rsidRPr="005D53B5">
        <w:rPr>
          <w:rFonts w:ascii="Arial" w:hAnsi="Arial" w:cs="Arial"/>
          <w:sz w:val="20"/>
        </w:rPr>
        <w:t>reasons for judgment so lacking in engagement with the issues of fact and law to be applied</w:t>
      </w:r>
      <w:r>
        <w:rPr>
          <w:rFonts w:ascii="Arial" w:hAnsi="Arial" w:cs="Arial"/>
          <w:sz w:val="20"/>
        </w:rPr>
        <w:t>’</w:t>
      </w:r>
      <w:r w:rsidRPr="005D53B5">
        <w:rPr>
          <w:rFonts w:ascii="Arial" w:hAnsi="Arial" w:cs="Arial"/>
          <w:sz w:val="20"/>
        </w:rPr>
        <w:t xml:space="preserve"> that it would be an </w:t>
      </w:r>
      <w:r>
        <w:rPr>
          <w:rFonts w:ascii="Arial" w:hAnsi="Arial" w:cs="Arial"/>
          <w:sz w:val="20"/>
        </w:rPr>
        <w:t>‘</w:t>
      </w:r>
      <w:r w:rsidRPr="005D53B5">
        <w:rPr>
          <w:rFonts w:ascii="Arial" w:hAnsi="Arial" w:cs="Arial"/>
          <w:sz w:val="20"/>
        </w:rPr>
        <w:t>affront to justice</w:t>
      </w:r>
      <w:r>
        <w:rPr>
          <w:rFonts w:ascii="Arial" w:hAnsi="Arial" w:cs="Arial"/>
          <w:sz w:val="20"/>
        </w:rPr>
        <w:t>’</w:t>
      </w:r>
      <w:r w:rsidRPr="005D53B5">
        <w:rPr>
          <w:rFonts w:ascii="Arial" w:hAnsi="Arial" w:cs="Arial"/>
          <w:sz w:val="20"/>
        </w:rPr>
        <w:t xml:space="preserve"> to permit the contempt declaration and the imprisonment order to stand</w:t>
      </w:r>
      <w:r>
        <w:rPr>
          <w:rFonts w:ascii="Arial" w:hAnsi="Arial" w:cs="Arial"/>
          <w:sz w:val="20"/>
        </w:rPr>
        <w:t xml:space="preserve">: </w:t>
      </w:r>
      <w:r w:rsidRPr="005D53B5">
        <w:rPr>
          <w:rFonts w:ascii="Arial" w:hAnsi="Arial" w:cs="Arial"/>
          <w:i/>
          <w:iCs/>
          <w:sz w:val="20"/>
        </w:rPr>
        <w:t>Stradford v Stradford</w:t>
      </w:r>
      <w:r w:rsidRPr="005D53B5">
        <w:rPr>
          <w:rFonts w:ascii="Arial" w:hAnsi="Arial" w:cs="Arial"/>
          <w:sz w:val="20"/>
        </w:rPr>
        <w:t xml:space="preserve"> (2019) 59 Fam LR 194 at 196 [9]</w:t>
      </w:r>
      <w:r w:rsidR="005D724B">
        <w:rPr>
          <w:rFonts w:ascii="Arial" w:hAnsi="Arial" w:cs="Arial"/>
          <w:sz w:val="20"/>
        </w:rPr>
        <w:t>.</w:t>
      </w:r>
      <w:r>
        <w:rPr>
          <w:rFonts w:ascii="Arial" w:hAnsi="Arial" w:cs="Arial"/>
          <w:sz w:val="20"/>
        </w:rPr>
        <w:t>”</w:t>
      </w:r>
    </w:p>
    <w:p w14:paraId="47AF67DA" w14:textId="00F2A1ED" w:rsidR="00600405" w:rsidRDefault="00931243" w:rsidP="00F87730">
      <w:pPr>
        <w:spacing w:before="120"/>
        <w:jc w:val="both"/>
        <w:rPr>
          <w:rFonts w:ascii="Arial" w:hAnsi="Arial" w:cs="Arial"/>
          <w:sz w:val="20"/>
        </w:rPr>
      </w:pPr>
      <w:r w:rsidRPr="00931243">
        <w:rPr>
          <w:rFonts w:ascii="Arial" w:hAnsi="Arial" w:cs="Arial"/>
          <w:sz w:val="20"/>
        </w:rPr>
        <w:t xml:space="preserve">The primary judge </w:t>
      </w:r>
      <w:r w:rsidR="00600405">
        <w:rPr>
          <w:rFonts w:ascii="Arial" w:hAnsi="Arial" w:cs="Arial"/>
          <w:sz w:val="20"/>
        </w:rPr>
        <w:t xml:space="preserve">in the Federal Court of Australia </w:t>
      </w:r>
      <w:r w:rsidR="00C704E2">
        <w:rPr>
          <w:rFonts w:ascii="Arial" w:hAnsi="Arial" w:cs="Arial"/>
          <w:sz w:val="20"/>
        </w:rPr>
        <w:t xml:space="preserve">[FCA] </w:t>
      </w:r>
      <w:r w:rsidR="00C07C6F">
        <w:rPr>
          <w:rFonts w:ascii="Arial" w:hAnsi="Arial" w:cs="Arial"/>
          <w:sz w:val="20"/>
        </w:rPr>
        <w:t xml:space="preserve">had </w:t>
      </w:r>
      <w:r w:rsidR="005B4ABC">
        <w:rPr>
          <w:rFonts w:ascii="Arial" w:hAnsi="Arial" w:cs="Arial"/>
          <w:sz w:val="20"/>
        </w:rPr>
        <w:t xml:space="preserve">subsequently </w:t>
      </w:r>
      <w:r w:rsidRPr="00931243">
        <w:rPr>
          <w:rFonts w:ascii="Arial" w:hAnsi="Arial" w:cs="Arial"/>
          <w:sz w:val="20"/>
        </w:rPr>
        <w:t>upheld a claim brought by Mr</w:t>
      </w:r>
      <w:r w:rsidR="005B4ABC">
        <w:rPr>
          <w:rFonts w:ascii="Arial" w:hAnsi="Arial" w:cs="Arial"/>
          <w:sz w:val="20"/>
        </w:rPr>
        <w:t> </w:t>
      </w:r>
      <w:r w:rsidRPr="00931243">
        <w:rPr>
          <w:rFonts w:ascii="Arial" w:hAnsi="Arial" w:cs="Arial"/>
          <w:sz w:val="20"/>
        </w:rPr>
        <w:t xml:space="preserve">Stradford for damages for false imprisonment </w:t>
      </w:r>
      <w:r>
        <w:rPr>
          <w:rFonts w:ascii="Arial" w:hAnsi="Arial" w:cs="Arial"/>
          <w:sz w:val="20"/>
        </w:rPr>
        <w:t xml:space="preserve">and found </w:t>
      </w:r>
      <w:r w:rsidR="007915B1" w:rsidRPr="00931243">
        <w:rPr>
          <w:rFonts w:ascii="Arial" w:hAnsi="Arial" w:cs="Arial"/>
          <w:sz w:val="20"/>
        </w:rPr>
        <w:t xml:space="preserve">Judge Vasta liable to Mr Stradford for false imprisonment and </w:t>
      </w:r>
      <w:r w:rsidR="007915B1">
        <w:rPr>
          <w:rFonts w:ascii="Arial" w:hAnsi="Arial" w:cs="Arial"/>
          <w:sz w:val="20"/>
        </w:rPr>
        <w:t xml:space="preserve">the </w:t>
      </w:r>
      <w:r w:rsidR="007915B1" w:rsidRPr="00931243">
        <w:rPr>
          <w:rFonts w:ascii="Arial" w:hAnsi="Arial" w:cs="Arial"/>
          <w:sz w:val="20"/>
        </w:rPr>
        <w:t>Commonwealth and Queensland vicariously liable</w:t>
      </w:r>
      <w:r w:rsidR="007915B1">
        <w:rPr>
          <w:rFonts w:ascii="Arial" w:hAnsi="Arial" w:cs="Arial"/>
          <w:sz w:val="20"/>
        </w:rPr>
        <w:t xml:space="preserve">: see </w:t>
      </w:r>
      <w:r w:rsidR="007915B1" w:rsidRPr="007915B1">
        <w:rPr>
          <w:rFonts w:ascii="Arial" w:hAnsi="Arial" w:cs="Arial"/>
          <w:i/>
          <w:iCs/>
          <w:sz w:val="20"/>
        </w:rPr>
        <w:t>Stradford (a pseudonym) v Judge Vasta</w:t>
      </w:r>
      <w:r w:rsidR="007915B1" w:rsidRPr="007915B1">
        <w:rPr>
          <w:rFonts w:ascii="Arial" w:hAnsi="Arial" w:cs="Arial"/>
          <w:sz w:val="20"/>
        </w:rPr>
        <w:t xml:space="preserve"> [2023] FCA 1020 at [3]-[4].</w:t>
      </w:r>
      <w:r w:rsidR="007915B1">
        <w:rPr>
          <w:rFonts w:ascii="Arial" w:hAnsi="Arial" w:cs="Arial"/>
          <w:sz w:val="20"/>
        </w:rPr>
        <w:t xml:space="preserve"> </w:t>
      </w:r>
      <w:r w:rsidR="007915B1" w:rsidRPr="007915B1">
        <w:rPr>
          <w:rFonts w:ascii="Arial" w:hAnsi="Arial" w:cs="Arial"/>
          <w:sz w:val="20"/>
        </w:rPr>
        <w:t>The damages awarded in favour of Mr Stradford included an award of $50,000 in exemplary damages against Judge Vasta</w:t>
      </w:r>
      <w:r w:rsidR="007915B1">
        <w:rPr>
          <w:rFonts w:ascii="Arial" w:hAnsi="Arial" w:cs="Arial"/>
          <w:sz w:val="20"/>
        </w:rPr>
        <w:t xml:space="preserve">: </w:t>
      </w:r>
      <w:r w:rsidR="007915B1" w:rsidRPr="007915B1">
        <w:rPr>
          <w:rFonts w:ascii="Arial" w:hAnsi="Arial" w:cs="Arial"/>
          <w:i/>
          <w:iCs/>
          <w:sz w:val="20"/>
        </w:rPr>
        <w:t>ibid</w:t>
      </w:r>
      <w:r w:rsidR="007915B1">
        <w:rPr>
          <w:rFonts w:ascii="Arial" w:hAnsi="Arial" w:cs="Arial"/>
          <w:sz w:val="20"/>
        </w:rPr>
        <w:t xml:space="preserve"> at [5] &amp; [666].</w:t>
      </w:r>
    </w:p>
    <w:p w14:paraId="506ED5F0" w14:textId="690F43A3" w:rsidR="00931243" w:rsidRDefault="00600405" w:rsidP="00600405">
      <w:pPr>
        <w:spacing w:before="120"/>
        <w:jc w:val="both"/>
        <w:rPr>
          <w:rFonts w:ascii="Arial" w:hAnsi="Arial" w:cs="Arial"/>
          <w:sz w:val="20"/>
        </w:rPr>
      </w:pPr>
      <w:r>
        <w:rPr>
          <w:rFonts w:ascii="Arial" w:hAnsi="Arial" w:cs="Arial"/>
          <w:sz w:val="20"/>
        </w:rPr>
        <w:t>In linked appeals removed into the High Court, all 7 justices allowed the appeals, set aside the primary judge’s orders and dismissed Mr Stradford’s proceedings: see [160]-[161], [218], [</w:t>
      </w:r>
      <w:r w:rsidR="00FA3DF2">
        <w:rPr>
          <w:rFonts w:ascii="Arial" w:hAnsi="Arial" w:cs="Arial"/>
          <w:sz w:val="20"/>
        </w:rPr>
        <w:t>323</w:t>
      </w:r>
      <w:r>
        <w:rPr>
          <w:rFonts w:ascii="Arial" w:hAnsi="Arial" w:cs="Arial"/>
          <w:sz w:val="20"/>
        </w:rPr>
        <w:t>] &amp; [</w:t>
      </w:r>
      <w:r w:rsidR="00FA3DF2">
        <w:rPr>
          <w:rFonts w:ascii="Arial" w:hAnsi="Arial" w:cs="Arial"/>
          <w:sz w:val="20"/>
        </w:rPr>
        <w:t>327</w:t>
      </w:r>
      <w:r>
        <w:rPr>
          <w:rFonts w:ascii="Arial" w:hAnsi="Arial" w:cs="Arial"/>
          <w:sz w:val="20"/>
        </w:rPr>
        <w:t>].</w:t>
      </w:r>
    </w:p>
    <w:p w14:paraId="14AABDA7" w14:textId="7D331098" w:rsidR="00343810" w:rsidRDefault="0073713C" w:rsidP="00343810">
      <w:pPr>
        <w:spacing w:before="120"/>
        <w:jc w:val="both"/>
        <w:rPr>
          <w:rFonts w:ascii="Arial" w:hAnsi="Arial" w:cs="Arial"/>
          <w:sz w:val="20"/>
        </w:rPr>
      </w:pPr>
      <w:r>
        <w:rPr>
          <w:rFonts w:ascii="Arial" w:hAnsi="Arial" w:cs="Arial"/>
          <w:sz w:val="20"/>
        </w:rPr>
        <w:t>T</w:t>
      </w:r>
      <w:r w:rsidR="00051A4F">
        <w:rPr>
          <w:rFonts w:ascii="Arial" w:hAnsi="Arial" w:cs="Arial"/>
          <w:sz w:val="20"/>
        </w:rPr>
        <w:t xml:space="preserve">he primary judge </w:t>
      </w:r>
      <w:r w:rsidR="00C704E2">
        <w:rPr>
          <w:rFonts w:ascii="Arial" w:hAnsi="Arial" w:cs="Arial"/>
          <w:sz w:val="20"/>
        </w:rPr>
        <w:t xml:space="preserve">in the FCA </w:t>
      </w:r>
      <w:r>
        <w:rPr>
          <w:rFonts w:ascii="Arial" w:hAnsi="Arial" w:cs="Arial"/>
          <w:sz w:val="20"/>
        </w:rPr>
        <w:t xml:space="preserve">had </w:t>
      </w:r>
      <w:r w:rsidR="00051A4F">
        <w:rPr>
          <w:rFonts w:ascii="Arial" w:hAnsi="Arial" w:cs="Arial"/>
          <w:sz w:val="20"/>
        </w:rPr>
        <w:t xml:space="preserve">conceded that the state of the common law on the </w:t>
      </w:r>
      <w:r w:rsidR="00E64AAF" w:rsidRPr="00E64AAF">
        <w:rPr>
          <w:rFonts w:ascii="Arial" w:hAnsi="Arial" w:cs="Arial"/>
          <w:sz w:val="20"/>
        </w:rPr>
        <w:t xml:space="preserve">scope of judicial immunity afforded to inferior court judges </w:t>
      </w:r>
      <w:r w:rsidR="00051A4F">
        <w:rPr>
          <w:rFonts w:ascii="Arial" w:hAnsi="Arial" w:cs="Arial"/>
          <w:sz w:val="20"/>
        </w:rPr>
        <w:t>was “somewhat unsatisfactory”</w:t>
      </w:r>
      <w:r>
        <w:rPr>
          <w:rFonts w:ascii="Arial" w:hAnsi="Arial" w:cs="Arial"/>
          <w:sz w:val="20"/>
        </w:rPr>
        <w:t xml:space="preserve">, </w:t>
      </w:r>
      <w:r w:rsidR="00F87730">
        <w:rPr>
          <w:rFonts w:ascii="Arial" w:hAnsi="Arial" w:cs="Arial"/>
          <w:sz w:val="20"/>
        </w:rPr>
        <w:t xml:space="preserve">a concession with which the High Court </w:t>
      </w:r>
      <w:r w:rsidR="00C704E2">
        <w:rPr>
          <w:rFonts w:ascii="Arial" w:hAnsi="Arial" w:cs="Arial"/>
          <w:sz w:val="20"/>
        </w:rPr>
        <w:t>expressl</w:t>
      </w:r>
      <w:r w:rsidR="00F87730">
        <w:rPr>
          <w:rFonts w:ascii="Arial" w:hAnsi="Arial" w:cs="Arial"/>
          <w:sz w:val="20"/>
        </w:rPr>
        <w:t>y agreed</w:t>
      </w:r>
      <w:r w:rsidR="00FD40B5">
        <w:rPr>
          <w:rFonts w:ascii="Arial" w:hAnsi="Arial" w:cs="Arial"/>
          <w:sz w:val="20"/>
        </w:rPr>
        <w:t xml:space="preserve">: see e.g. the </w:t>
      </w:r>
      <w:r w:rsidR="00F87730">
        <w:rPr>
          <w:rFonts w:ascii="Arial" w:hAnsi="Arial" w:cs="Arial"/>
          <w:sz w:val="20"/>
        </w:rPr>
        <w:t>plurality at [</w:t>
      </w:r>
      <w:r w:rsidR="00905F98">
        <w:rPr>
          <w:rFonts w:ascii="Arial" w:hAnsi="Arial" w:cs="Arial"/>
          <w:sz w:val="20"/>
        </w:rPr>
        <w:t>77</w:t>
      </w:r>
      <w:r w:rsidR="00F87730">
        <w:rPr>
          <w:rFonts w:ascii="Arial" w:hAnsi="Arial" w:cs="Arial"/>
          <w:sz w:val="20"/>
        </w:rPr>
        <w:t>]</w:t>
      </w:r>
      <w:r>
        <w:rPr>
          <w:rFonts w:ascii="Arial" w:hAnsi="Arial" w:cs="Arial"/>
          <w:sz w:val="20"/>
        </w:rPr>
        <w:t>.</w:t>
      </w:r>
      <w:r w:rsidR="00F87730">
        <w:rPr>
          <w:rFonts w:ascii="Arial" w:hAnsi="Arial" w:cs="Arial"/>
          <w:sz w:val="20"/>
        </w:rPr>
        <w:t xml:space="preserve"> </w:t>
      </w:r>
      <w:r>
        <w:rPr>
          <w:rFonts w:ascii="Arial" w:hAnsi="Arial" w:cs="Arial"/>
          <w:sz w:val="20"/>
        </w:rPr>
        <w:t>C</w:t>
      </w:r>
      <w:r w:rsidR="00051A4F">
        <w:rPr>
          <w:rFonts w:ascii="Arial" w:hAnsi="Arial" w:cs="Arial"/>
          <w:sz w:val="20"/>
        </w:rPr>
        <w:t xml:space="preserve">entral to </w:t>
      </w:r>
      <w:r>
        <w:rPr>
          <w:rFonts w:ascii="Arial" w:hAnsi="Arial" w:cs="Arial"/>
          <w:sz w:val="20"/>
        </w:rPr>
        <w:t>primary judge’s</w:t>
      </w:r>
      <w:r w:rsidR="00051A4F">
        <w:rPr>
          <w:rFonts w:ascii="Arial" w:hAnsi="Arial" w:cs="Arial"/>
          <w:sz w:val="20"/>
        </w:rPr>
        <w:t xml:space="preserve"> reasoning was that</w:t>
      </w:r>
      <w:r w:rsidR="00343810">
        <w:rPr>
          <w:rFonts w:ascii="Arial" w:hAnsi="Arial" w:cs="Arial"/>
          <w:sz w:val="20"/>
        </w:rPr>
        <w:t>:</w:t>
      </w:r>
    </w:p>
    <w:p w14:paraId="0D1CFD98" w14:textId="44A20CE2" w:rsidR="002932F2" w:rsidRPr="00343810" w:rsidRDefault="00343810">
      <w:pPr>
        <w:pStyle w:val="ListParagraph"/>
        <w:numPr>
          <w:ilvl w:val="0"/>
          <w:numId w:val="142"/>
        </w:numPr>
        <w:spacing w:before="60"/>
        <w:ind w:left="357" w:hanging="357"/>
        <w:jc w:val="both"/>
        <w:rPr>
          <w:rFonts w:ascii="Arial" w:hAnsi="Arial" w:cs="Arial"/>
          <w:sz w:val="20"/>
        </w:rPr>
      </w:pPr>
      <w:r>
        <w:rPr>
          <w:rFonts w:ascii="Arial" w:hAnsi="Arial" w:cs="Arial"/>
          <w:sz w:val="20"/>
        </w:rPr>
        <w:t>A</w:t>
      </w:r>
      <w:r w:rsidR="002932F2" w:rsidRPr="00343810">
        <w:rPr>
          <w:rFonts w:ascii="Arial" w:hAnsi="Arial" w:cs="Arial"/>
          <w:sz w:val="20"/>
        </w:rPr>
        <w:t>t the time of Judge Vasta’s impugned order</w:t>
      </w:r>
      <w:r w:rsidRPr="00343810">
        <w:rPr>
          <w:rFonts w:ascii="Arial" w:hAnsi="Arial" w:cs="Arial"/>
          <w:sz w:val="20"/>
        </w:rPr>
        <w:t xml:space="preserve"> t</w:t>
      </w:r>
      <w:r w:rsidR="002932F2" w:rsidRPr="00343810">
        <w:rPr>
          <w:rFonts w:ascii="Arial" w:hAnsi="Arial" w:cs="Arial"/>
          <w:sz w:val="20"/>
        </w:rPr>
        <w:t xml:space="preserve">he Federal Circuit Court was designated as “an </w:t>
      </w:r>
      <w:r w:rsidR="002932F2" w:rsidRPr="00343810">
        <w:rPr>
          <w:rFonts w:ascii="Arial" w:hAnsi="Arial" w:cs="Arial"/>
          <w:b/>
          <w:bCs/>
          <w:sz w:val="20"/>
        </w:rPr>
        <w:t>inferior court of record</w:t>
      </w:r>
      <w:r w:rsidR="002932F2" w:rsidRPr="00343810">
        <w:rPr>
          <w:rFonts w:ascii="Arial" w:hAnsi="Arial" w:cs="Arial"/>
          <w:sz w:val="20"/>
        </w:rPr>
        <w:t xml:space="preserve">” (see </w:t>
      </w:r>
      <w:r w:rsidR="002932F2" w:rsidRPr="00343810">
        <w:rPr>
          <w:rFonts w:ascii="Arial" w:hAnsi="Arial" w:cs="Arial"/>
          <w:i/>
          <w:iCs/>
          <w:sz w:val="20"/>
        </w:rPr>
        <w:t>Federal Circuit Court of Australia Act 1999</w:t>
      </w:r>
      <w:r w:rsidR="002932F2" w:rsidRPr="00343810">
        <w:rPr>
          <w:rFonts w:ascii="Arial" w:hAnsi="Arial" w:cs="Arial"/>
          <w:sz w:val="20"/>
        </w:rPr>
        <w:t xml:space="preserve"> (Cth), s 8(3) &amp; </w:t>
      </w:r>
      <w:r w:rsidR="002932F2" w:rsidRPr="00343810">
        <w:rPr>
          <w:rFonts w:ascii="Arial" w:hAnsi="Arial" w:cs="Arial"/>
          <w:i/>
          <w:iCs/>
          <w:sz w:val="20"/>
        </w:rPr>
        <w:t>Minister for Immigration, Citizenship, Migrant Services and Multicultural Affairs v AAM17</w:t>
      </w:r>
      <w:r w:rsidR="002932F2" w:rsidRPr="00343810">
        <w:rPr>
          <w:rFonts w:ascii="Arial" w:hAnsi="Arial" w:cs="Arial"/>
          <w:sz w:val="20"/>
        </w:rPr>
        <w:t xml:space="preserve"> (2021) 272 CLR 329 at 343)</w:t>
      </w:r>
      <w:r w:rsidR="00C07C6F" w:rsidRPr="00343810">
        <w:rPr>
          <w:rFonts w:ascii="Arial" w:hAnsi="Arial" w:cs="Arial"/>
          <w:sz w:val="20"/>
        </w:rPr>
        <w:t>,</w:t>
      </w:r>
      <w:r w:rsidR="002932F2" w:rsidRPr="00343810">
        <w:rPr>
          <w:rFonts w:ascii="Arial" w:hAnsi="Arial" w:cs="Arial"/>
          <w:sz w:val="20"/>
        </w:rPr>
        <w:t xml:space="preserve"> in contrast with the </w:t>
      </w:r>
      <w:r w:rsidR="00C704E2">
        <w:rPr>
          <w:rFonts w:ascii="Arial" w:hAnsi="Arial" w:cs="Arial"/>
          <w:sz w:val="20"/>
        </w:rPr>
        <w:t>FCA</w:t>
      </w:r>
      <w:r w:rsidR="002932F2" w:rsidRPr="00343810">
        <w:rPr>
          <w:rFonts w:ascii="Arial" w:hAnsi="Arial" w:cs="Arial"/>
          <w:sz w:val="20"/>
        </w:rPr>
        <w:t xml:space="preserve"> </w:t>
      </w:r>
      <w:r w:rsidR="00C07C6F" w:rsidRPr="00343810">
        <w:rPr>
          <w:rFonts w:ascii="Arial" w:hAnsi="Arial" w:cs="Arial"/>
          <w:sz w:val="20"/>
        </w:rPr>
        <w:t xml:space="preserve">and </w:t>
      </w:r>
      <w:r w:rsidR="00A42C64">
        <w:rPr>
          <w:rFonts w:ascii="Arial" w:hAnsi="Arial" w:cs="Arial"/>
          <w:sz w:val="20"/>
        </w:rPr>
        <w:t xml:space="preserve">with </w:t>
      </w:r>
      <w:r w:rsidR="00C07C6F" w:rsidRPr="00343810">
        <w:rPr>
          <w:rFonts w:ascii="Arial" w:hAnsi="Arial" w:cs="Arial"/>
          <w:sz w:val="20"/>
        </w:rPr>
        <w:t xml:space="preserve">what was at that time the Family Court of Australia </w:t>
      </w:r>
      <w:r w:rsidR="002932F2" w:rsidRPr="00343810">
        <w:rPr>
          <w:rFonts w:ascii="Arial" w:hAnsi="Arial" w:cs="Arial"/>
          <w:sz w:val="20"/>
        </w:rPr>
        <w:t>which w</w:t>
      </w:r>
      <w:r w:rsidR="00C07C6F" w:rsidRPr="00343810">
        <w:rPr>
          <w:rFonts w:ascii="Arial" w:hAnsi="Arial" w:cs="Arial"/>
          <w:sz w:val="20"/>
        </w:rPr>
        <w:t>ere each</w:t>
      </w:r>
      <w:r w:rsidR="002932F2" w:rsidRPr="00343810">
        <w:rPr>
          <w:rFonts w:ascii="Arial" w:hAnsi="Arial" w:cs="Arial"/>
          <w:sz w:val="20"/>
        </w:rPr>
        <w:t xml:space="preserve"> established as “</w:t>
      </w:r>
      <w:r w:rsidR="002932F2" w:rsidRPr="00343810">
        <w:rPr>
          <w:rFonts w:ascii="Arial" w:hAnsi="Arial" w:cs="Arial"/>
          <w:b/>
          <w:bCs/>
          <w:sz w:val="20"/>
        </w:rPr>
        <w:t>a</w:t>
      </w:r>
      <w:r w:rsidR="0073713C">
        <w:rPr>
          <w:rFonts w:ascii="Arial" w:hAnsi="Arial" w:cs="Arial"/>
          <w:b/>
          <w:bCs/>
          <w:sz w:val="20"/>
        </w:rPr>
        <w:t xml:space="preserve"> </w:t>
      </w:r>
      <w:r w:rsidR="002932F2" w:rsidRPr="00343810">
        <w:rPr>
          <w:rFonts w:ascii="Arial" w:hAnsi="Arial" w:cs="Arial"/>
          <w:b/>
          <w:bCs/>
          <w:sz w:val="20"/>
        </w:rPr>
        <w:t>superior court of record</w:t>
      </w:r>
      <w:r w:rsidR="002932F2" w:rsidRPr="00343810">
        <w:rPr>
          <w:rFonts w:ascii="Arial" w:hAnsi="Arial" w:cs="Arial"/>
          <w:sz w:val="20"/>
        </w:rPr>
        <w:t>”</w:t>
      </w:r>
      <w:r w:rsidR="00C07C6F" w:rsidRPr="00343810">
        <w:rPr>
          <w:rFonts w:ascii="Arial" w:hAnsi="Arial" w:cs="Arial"/>
          <w:sz w:val="20"/>
        </w:rPr>
        <w:t xml:space="preserve"> (see </w:t>
      </w:r>
      <w:r w:rsidR="00C07C6F" w:rsidRPr="00343810">
        <w:rPr>
          <w:rFonts w:ascii="Arial" w:hAnsi="Arial" w:cs="Arial"/>
          <w:i/>
          <w:iCs/>
          <w:sz w:val="20"/>
        </w:rPr>
        <w:t>Federal Court of Australia Act 1976</w:t>
      </w:r>
      <w:r w:rsidR="00C07C6F" w:rsidRPr="00343810">
        <w:rPr>
          <w:rFonts w:ascii="Arial" w:hAnsi="Arial" w:cs="Arial"/>
          <w:sz w:val="20"/>
        </w:rPr>
        <w:t xml:space="preserve"> (Cth), s 5(2); </w:t>
      </w:r>
      <w:r w:rsidR="00C07C6F" w:rsidRPr="00343810">
        <w:rPr>
          <w:rFonts w:ascii="Arial" w:hAnsi="Arial" w:cs="Arial"/>
          <w:i/>
          <w:iCs/>
          <w:sz w:val="20"/>
        </w:rPr>
        <w:t>Family Law Act 1975</w:t>
      </w:r>
      <w:r w:rsidR="00C07C6F" w:rsidRPr="00343810">
        <w:rPr>
          <w:rFonts w:ascii="Arial" w:hAnsi="Arial" w:cs="Arial"/>
          <w:sz w:val="20"/>
        </w:rPr>
        <w:t xml:space="preserve"> (Cth), s 21(2)).</w:t>
      </w:r>
    </w:p>
    <w:p w14:paraId="2C84B32B" w14:textId="05AF6F24" w:rsidR="00C07C6F" w:rsidRPr="00051A4F" w:rsidRDefault="00C07C6F">
      <w:pPr>
        <w:pStyle w:val="ListParagraph"/>
        <w:numPr>
          <w:ilvl w:val="0"/>
          <w:numId w:val="141"/>
        </w:numPr>
        <w:spacing w:before="60"/>
        <w:ind w:left="357" w:hanging="357"/>
        <w:jc w:val="both"/>
        <w:rPr>
          <w:rFonts w:ascii="Arial" w:hAnsi="Arial" w:cs="Arial"/>
          <w:sz w:val="20"/>
        </w:rPr>
      </w:pPr>
      <w:r w:rsidRPr="00051A4F">
        <w:rPr>
          <w:rFonts w:ascii="Arial" w:hAnsi="Arial" w:cs="Arial"/>
          <w:sz w:val="20"/>
        </w:rPr>
        <w:t xml:space="preserve">Reflecting the analysis of Lord Bridge of Harwich in </w:t>
      </w:r>
      <w:r w:rsidRPr="00051A4F">
        <w:rPr>
          <w:rFonts w:ascii="Arial" w:hAnsi="Arial" w:cs="Arial"/>
          <w:i/>
          <w:iCs/>
          <w:sz w:val="20"/>
        </w:rPr>
        <w:t>In re McC (A Minor)</w:t>
      </w:r>
      <w:r w:rsidR="00051A4F">
        <w:rPr>
          <w:rFonts w:ascii="Arial" w:hAnsi="Arial" w:cs="Arial"/>
          <w:sz w:val="20"/>
        </w:rPr>
        <w:t xml:space="preserve"> </w:t>
      </w:r>
      <w:r w:rsidR="00051A4F" w:rsidRPr="00051A4F">
        <w:rPr>
          <w:rFonts w:ascii="Arial" w:hAnsi="Arial" w:cs="Arial"/>
          <w:sz w:val="20"/>
        </w:rPr>
        <w:t>[1985] AC 528</w:t>
      </w:r>
      <w:r w:rsidR="00FD40B5">
        <w:rPr>
          <w:rFonts w:ascii="Arial" w:hAnsi="Arial" w:cs="Arial"/>
          <w:sz w:val="20"/>
        </w:rPr>
        <w:t>,</w:t>
      </w:r>
      <w:r w:rsidR="00051A4F">
        <w:rPr>
          <w:rFonts w:ascii="Arial" w:hAnsi="Arial" w:cs="Arial"/>
          <w:sz w:val="20"/>
        </w:rPr>
        <w:t xml:space="preserve"> the common law position was that inferior court judges will not have immunity where they do not have subject matter jurisdiction and in certain other exceptional circumstances, including </w:t>
      </w:r>
      <w:r w:rsidR="00051A4F" w:rsidRPr="00FA3DF2">
        <w:rPr>
          <w:rFonts w:ascii="Arial" w:hAnsi="Arial" w:cs="Arial"/>
          <w:sz w:val="20"/>
        </w:rPr>
        <w:t>where the inferior court judge "is guilty of some gross and obvious irregularity in procedure, or a breach of the rules of natural justice, other than an irregularity or breach which could be said to be a merely narrow technical"</w:t>
      </w:r>
      <w:r w:rsidR="00051A4F">
        <w:rPr>
          <w:rFonts w:ascii="Arial" w:hAnsi="Arial" w:cs="Arial"/>
          <w:sz w:val="20"/>
        </w:rPr>
        <w:t xml:space="preserve">: see </w:t>
      </w:r>
      <w:r w:rsidR="00051A4F" w:rsidRPr="00051A4F">
        <w:rPr>
          <w:rFonts w:ascii="Arial" w:hAnsi="Arial" w:cs="Arial"/>
          <w:i/>
          <w:iCs/>
          <w:sz w:val="20"/>
        </w:rPr>
        <w:t>Stradford (a pseudonym) v Judge Vasta</w:t>
      </w:r>
      <w:r w:rsidR="00051A4F" w:rsidRPr="00051A4F">
        <w:rPr>
          <w:rFonts w:ascii="Arial" w:hAnsi="Arial" w:cs="Arial"/>
          <w:sz w:val="20"/>
        </w:rPr>
        <w:t xml:space="preserve"> [2023] FCA 1020 at [345]</w:t>
      </w:r>
      <w:r w:rsidR="00051A4F">
        <w:rPr>
          <w:rFonts w:ascii="Arial" w:hAnsi="Arial" w:cs="Arial"/>
          <w:sz w:val="20"/>
        </w:rPr>
        <w:t xml:space="preserve"> referred to in the judgment of the plurality at [78]-[79].</w:t>
      </w:r>
    </w:p>
    <w:p w14:paraId="45FF3D08" w14:textId="77777777" w:rsidR="00C07C6F" w:rsidRDefault="00C07C6F" w:rsidP="00051A4F">
      <w:pPr>
        <w:jc w:val="both"/>
        <w:rPr>
          <w:rFonts w:ascii="Arial" w:hAnsi="Arial" w:cs="Arial"/>
          <w:sz w:val="20"/>
        </w:rPr>
      </w:pPr>
    </w:p>
    <w:p w14:paraId="7DB533F8" w14:textId="0279A408" w:rsidR="00051A4F" w:rsidRDefault="00051A4F" w:rsidP="00051A4F">
      <w:pPr>
        <w:jc w:val="both"/>
        <w:rPr>
          <w:rFonts w:ascii="Arial" w:hAnsi="Arial" w:cs="Arial"/>
          <w:sz w:val="20"/>
        </w:rPr>
      </w:pPr>
      <w:r>
        <w:rPr>
          <w:rFonts w:ascii="Arial" w:hAnsi="Arial" w:cs="Arial"/>
          <w:sz w:val="20"/>
        </w:rPr>
        <w:t>In allowing the appeal the plurality–</w:t>
      </w:r>
    </w:p>
    <w:p w14:paraId="6A5354FC" w14:textId="27A25152" w:rsidR="00FA3DF2" w:rsidRDefault="00051A4F">
      <w:pPr>
        <w:pStyle w:val="ListParagraph"/>
        <w:numPr>
          <w:ilvl w:val="0"/>
          <w:numId w:val="142"/>
        </w:numPr>
        <w:spacing w:before="60"/>
        <w:ind w:left="357" w:hanging="357"/>
        <w:jc w:val="both"/>
        <w:rPr>
          <w:rFonts w:ascii="Arial" w:hAnsi="Arial" w:cs="Arial"/>
          <w:sz w:val="20"/>
        </w:rPr>
      </w:pPr>
      <w:r>
        <w:rPr>
          <w:rFonts w:ascii="Arial" w:hAnsi="Arial" w:cs="Arial"/>
          <w:sz w:val="20"/>
        </w:rPr>
        <w:t>h</w:t>
      </w:r>
      <w:r w:rsidRPr="00051A4F">
        <w:rPr>
          <w:rFonts w:ascii="Arial" w:hAnsi="Arial" w:cs="Arial"/>
          <w:sz w:val="20"/>
        </w:rPr>
        <w:t>eld at [</w:t>
      </w:r>
      <w:r w:rsidR="00C363FF">
        <w:rPr>
          <w:rFonts w:ascii="Arial" w:hAnsi="Arial" w:cs="Arial"/>
          <w:sz w:val="20"/>
        </w:rPr>
        <w:t>101</w:t>
      </w:r>
      <w:r w:rsidRPr="00051A4F">
        <w:rPr>
          <w:rFonts w:ascii="Arial" w:hAnsi="Arial" w:cs="Arial"/>
          <w:sz w:val="20"/>
        </w:rPr>
        <w:t>]</w:t>
      </w:r>
      <w:r w:rsidR="0073713C">
        <w:rPr>
          <w:rFonts w:ascii="Arial" w:hAnsi="Arial" w:cs="Arial"/>
          <w:sz w:val="20"/>
        </w:rPr>
        <w:t>: “T</w:t>
      </w:r>
      <w:r w:rsidR="00FA3DF2" w:rsidRPr="00051A4F">
        <w:rPr>
          <w:rFonts w:ascii="Arial" w:hAnsi="Arial" w:cs="Arial"/>
          <w:sz w:val="20"/>
        </w:rPr>
        <w:t xml:space="preserve">he reasoning of the primary judge, resting upon the premise that the scope of judicial immunity from civil suit described in </w:t>
      </w:r>
      <w:r w:rsidR="00FA3DF2" w:rsidRPr="00C363FF">
        <w:rPr>
          <w:rFonts w:ascii="Arial" w:hAnsi="Arial" w:cs="Arial"/>
          <w:i/>
          <w:iCs/>
          <w:sz w:val="20"/>
        </w:rPr>
        <w:t>In re McC</w:t>
      </w:r>
      <w:r w:rsidR="00FA3DF2" w:rsidRPr="00051A4F">
        <w:rPr>
          <w:rFonts w:ascii="Arial" w:hAnsi="Arial" w:cs="Arial"/>
          <w:sz w:val="20"/>
        </w:rPr>
        <w:t xml:space="preserve"> represents, or should be taken as representing, the common law of Australia, cannot be accepted.</w:t>
      </w:r>
      <w:r>
        <w:rPr>
          <w:rFonts w:ascii="Arial" w:hAnsi="Arial" w:cs="Arial"/>
          <w:sz w:val="20"/>
        </w:rPr>
        <w:t>”</w:t>
      </w:r>
    </w:p>
    <w:p w14:paraId="4B4DC2E3" w14:textId="19F3D5ED" w:rsidR="00051A4F" w:rsidRPr="00051A4F" w:rsidRDefault="00F87730">
      <w:pPr>
        <w:pStyle w:val="ListParagraph"/>
        <w:numPr>
          <w:ilvl w:val="0"/>
          <w:numId w:val="142"/>
        </w:numPr>
        <w:spacing w:before="60"/>
        <w:ind w:left="357" w:hanging="357"/>
        <w:jc w:val="both"/>
        <w:rPr>
          <w:rFonts w:ascii="Arial" w:hAnsi="Arial" w:cs="Arial"/>
          <w:sz w:val="20"/>
        </w:rPr>
      </w:pPr>
      <w:r>
        <w:rPr>
          <w:rFonts w:ascii="Arial" w:hAnsi="Arial" w:cs="Arial"/>
          <w:sz w:val="20"/>
        </w:rPr>
        <w:t>sai</w:t>
      </w:r>
      <w:r w:rsidR="00C363FF">
        <w:rPr>
          <w:rFonts w:ascii="Arial" w:hAnsi="Arial" w:cs="Arial"/>
          <w:sz w:val="20"/>
        </w:rPr>
        <w:t>d</w:t>
      </w:r>
      <w:r w:rsidR="00051A4F">
        <w:rPr>
          <w:rFonts w:ascii="Arial" w:hAnsi="Arial" w:cs="Arial"/>
          <w:sz w:val="20"/>
        </w:rPr>
        <w:t xml:space="preserve"> at [</w:t>
      </w:r>
      <w:r w:rsidR="00C363FF">
        <w:rPr>
          <w:rFonts w:ascii="Arial" w:hAnsi="Arial" w:cs="Arial"/>
          <w:sz w:val="20"/>
        </w:rPr>
        <w:t>2</w:t>
      </w:r>
      <w:r w:rsidR="00051A4F">
        <w:rPr>
          <w:rFonts w:ascii="Arial" w:hAnsi="Arial" w:cs="Arial"/>
          <w:sz w:val="20"/>
        </w:rPr>
        <w:t>]</w:t>
      </w:r>
      <w:r w:rsidR="005E39C3">
        <w:rPr>
          <w:rFonts w:ascii="Arial" w:hAnsi="Arial" w:cs="Arial"/>
          <w:sz w:val="20"/>
        </w:rPr>
        <w:t>-[3]</w:t>
      </w:r>
      <w:r w:rsidR="0073713C">
        <w:rPr>
          <w:rFonts w:ascii="Arial" w:hAnsi="Arial" w:cs="Arial"/>
          <w:sz w:val="20"/>
        </w:rPr>
        <w:t xml:space="preserve"> (emphasis added)</w:t>
      </w:r>
      <w:r w:rsidR="00051A4F">
        <w:rPr>
          <w:rFonts w:ascii="Arial" w:hAnsi="Arial" w:cs="Arial"/>
          <w:sz w:val="20"/>
        </w:rPr>
        <w:t>:</w:t>
      </w:r>
    </w:p>
    <w:p w14:paraId="396535E1" w14:textId="77777777" w:rsidR="005E39C3" w:rsidRDefault="005E39C3" w:rsidP="005D53B5">
      <w:pPr>
        <w:spacing w:before="60"/>
        <w:ind w:left="811" w:right="454"/>
        <w:jc w:val="both"/>
        <w:rPr>
          <w:rFonts w:ascii="Arial" w:hAnsi="Arial" w:cs="Arial"/>
          <w:sz w:val="20"/>
        </w:rPr>
      </w:pPr>
      <w:r>
        <w:rPr>
          <w:rFonts w:ascii="Arial" w:hAnsi="Arial" w:cs="Arial"/>
          <w:sz w:val="20"/>
        </w:rPr>
        <w:t xml:space="preserve">[2] </w:t>
      </w:r>
      <w:r w:rsidR="00C363FF">
        <w:rPr>
          <w:rFonts w:ascii="Arial" w:hAnsi="Arial" w:cs="Arial"/>
          <w:sz w:val="20"/>
        </w:rPr>
        <w:t>“</w:t>
      </w:r>
      <w:r w:rsidR="00C363FF" w:rsidRPr="0073713C">
        <w:rPr>
          <w:rFonts w:ascii="Arial" w:hAnsi="Arial" w:cs="Arial"/>
          <w:b/>
          <w:bCs/>
          <w:sz w:val="20"/>
        </w:rPr>
        <w:t>Although there are differences of significance between inferior courts and superior courts, there is no justification for differentiating between the scope of the immunity from civil suit afforded to judges of all courts.</w:t>
      </w:r>
      <w:r w:rsidR="00C363FF" w:rsidRPr="009D4646">
        <w:rPr>
          <w:rFonts w:ascii="Arial" w:hAnsi="Arial" w:cs="Arial"/>
          <w:sz w:val="20"/>
        </w:rPr>
        <w:t xml:space="preserve"> This is so because the purpose of the immunity is the same for judges of all courts. That purpose is to facilitate the independent performance of the judicial function free from the spectre of litigation</w:t>
      </w:r>
      <w:r w:rsidR="00C363FF">
        <w:rPr>
          <w:rFonts w:ascii="Arial" w:hAnsi="Arial" w:cs="Arial"/>
          <w:sz w:val="20"/>
        </w:rPr>
        <w:t xml:space="preserve"> (</w:t>
      </w:r>
      <w:r w:rsidR="00C363FF" w:rsidRPr="00C363FF">
        <w:rPr>
          <w:rFonts w:ascii="Arial" w:hAnsi="Arial" w:cs="Arial"/>
          <w:i/>
          <w:iCs/>
          <w:sz w:val="20"/>
        </w:rPr>
        <w:t>Fingleton v The Queen</w:t>
      </w:r>
      <w:r w:rsidR="00C363FF" w:rsidRPr="00C363FF">
        <w:rPr>
          <w:rFonts w:ascii="Arial" w:hAnsi="Arial" w:cs="Arial"/>
          <w:sz w:val="20"/>
        </w:rPr>
        <w:t xml:space="preserve"> (2005) 227 CLR 166 at 186 [38]-[39</w:t>
      </w:r>
      <w:r w:rsidR="00C363FF">
        <w:rPr>
          <w:rFonts w:ascii="Arial" w:hAnsi="Arial" w:cs="Arial"/>
          <w:sz w:val="20"/>
        </w:rPr>
        <w:t xml:space="preserve">]), as well as </w:t>
      </w:r>
      <w:r w:rsidR="00C363FF" w:rsidRPr="009D4646">
        <w:rPr>
          <w:rFonts w:ascii="Arial" w:hAnsi="Arial" w:cs="Arial"/>
          <w:sz w:val="20"/>
        </w:rPr>
        <w:t>to enhance the finality of judgments quelling legal controversies</w:t>
      </w:r>
      <w:r w:rsidR="000F0111">
        <w:rPr>
          <w:rFonts w:ascii="Arial" w:hAnsi="Arial" w:cs="Arial"/>
          <w:sz w:val="20"/>
        </w:rPr>
        <w:t xml:space="preserve"> (</w:t>
      </w:r>
      <w:r w:rsidR="000F0111" w:rsidRPr="000F0111">
        <w:rPr>
          <w:rFonts w:ascii="Arial" w:hAnsi="Arial" w:cs="Arial"/>
          <w:i/>
          <w:iCs/>
          <w:sz w:val="20"/>
        </w:rPr>
        <w:t>D'Orta-Ekenaike v Victoria Legal Aid</w:t>
      </w:r>
      <w:r w:rsidR="000F0111" w:rsidRPr="00C363FF">
        <w:rPr>
          <w:rFonts w:ascii="Arial" w:hAnsi="Arial" w:cs="Arial"/>
          <w:sz w:val="20"/>
        </w:rPr>
        <w:t xml:space="preserve"> (2005) 223 CLR 1 at 19 [40].</w:t>
      </w:r>
      <w:r w:rsidR="000F0111">
        <w:rPr>
          <w:rFonts w:ascii="Arial" w:hAnsi="Arial" w:cs="Arial"/>
          <w:sz w:val="20"/>
        </w:rPr>
        <w:t xml:space="preserve"> </w:t>
      </w:r>
      <w:r w:rsidR="00C363FF" w:rsidRPr="00C02FEC">
        <w:rPr>
          <w:rFonts w:ascii="Arial" w:hAnsi="Arial" w:cs="Arial"/>
          <w:b/>
          <w:bCs/>
          <w:sz w:val="20"/>
        </w:rPr>
        <w:t>The necessity for judicial independence, and the interests of finality of judgments, apply to the exercise of the judicial function by judges of both inferior courts and superior courts. Judicial immunity does not exist for the benefit of individual judges.</w:t>
      </w:r>
    </w:p>
    <w:p w14:paraId="20D60884" w14:textId="4AFF46C0" w:rsidR="00C363FF" w:rsidRDefault="005E39C3" w:rsidP="00905F98">
      <w:pPr>
        <w:spacing w:before="60"/>
        <w:ind w:left="811" w:right="454"/>
        <w:jc w:val="both"/>
        <w:rPr>
          <w:rFonts w:ascii="Arial" w:hAnsi="Arial" w:cs="Arial"/>
          <w:sz w:val="20"/>
        </w:rPr>
      </w:pPr>
      <w:r>
        <w:rPr>
          <w:rFonts w:ascii="Arial" w:hAnsi="Arial" w:cs="Arial"/>
          <w:sz w:val="20"/>
        </w:rPr>
        <w:t xml:space="preserve">[3] </w:t>
      </w:r>
      <w:r w:rsidRPr="005E39C3">
        <w:rPr>
          <w:rFonts w:ascii="Arial" w:hAnsi="Arial" w:cs="Arial"/>
          <w:sz w:val="20"/>
        </w:rPr>
        <w:t>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w:t>
      </w:r>
      <w:r>
        <w:rPr>
          <w:rFonts w:ascii="Arial" w:hAnsi="Arial" w:cs="Arial"/>
          <w:sz w:val="20"/>
        </w:rPr>
        <w:t>”</w:t>
      </w:r>
    </w:p>
    <w:p w14:paraId="3F5D69B9" w14:textId="2582B52F" w:rsidR="00905F98" w:rsidRDefault="00905F98" w:rsidP="00905F98">
      <w:pPr>
        <w:spacing w:before="60"/>
        <w:jc w:val="both"/>
        <w:rPr>
          <w:rFonts w:ascii="Arial" w:hAnsi="Arial" w:cs="Arial"/>
          <w:sz w:val="20"/>
        </w:rPr>
      </w:pPr>
      <w:r>
        <w:rPr>
          <w:rFonts w:ascii="Arial" w:hAnsi="Arial" w:cs="Arial"/>
          <w:sz w:val="20"/>
        </w:rPr>
        <w:t xml:space="preserve">In a separate </w:t>
      </w:r>
      <w:r w:rsidR="005C24E6">
        <w:rPr>
          <w:rFonts w:ascii="Arial" w:hAnsi="Arial" w:cs="Arial"/>
          <w:sz w:val="20"/>
        </w:rPr>
        <w:t xml:space="preserve">– </w:t>
      </w:r>
      <w:r w:rsidR="00D96C4F">
        <w:rPr>
          <w:rFonts w:ascii="Arial" w:hAnsi="Arial" w:cs="Arial"/>
          <w:sz w:val="20"/>
        </w:rPr>
        <w:t>ultimate</w:t>
      </w:r>
      <w:r w:rsidR="005C24E6">
        <w:rPr>
          <w:rFonts w:ascii="Arial" w:hAnsi="Arial" w:cs="Arial"/>
          <w:sz w:val="20"/>
        </w:rPr>
        <w:t xml:space="preserve">ly </w:t>
      </w:r>
      <w:r>
        <w:rPr>
          <w:rFonts w:ascii="Arial" w:hAnsi="Arial" w:cs="Arial"/>
          <w:sz w:val="20"/>
        </w:rPr>
        <w:t xml:space="preserve">concurring </w:t>
      </w:r>
      <w:r w:rsidR="005C24E6">
        <w:rPr>
          <w:rFonts w:ascii="Arial" w:hAnsi="Arial" w:cs="Arial"/>
          <w:sz w:val="20"/>
        </w:rPr>
        <w:t xml:space="preserve">– </w:t>
      </w:r>
      <w:r>
        <w:rPr>
          <w:rFonts w:ascii="Arial" w:hAnsi="Arial" w:cs="Arial"/>
          <w:sz w:val="20"/>
        </w:rPr>
        <w:t>judgment</w:t>
      </w:r>
      <w:r w:rsidR="005C24E6">
        <w:rPr>
          <w:rFonts w:ascii="Arial" w:hAnsi="Arial" w:cs="Arial"/>
          <w:sz w:val="20"/>
        </w:rPr>
        <w:t xml:space="preserve"> </w:t>
      </w:r>
      <w:r>
        <w:rPr>
          <w:rFonts w:ascii="Arial" w:hAnsi="Arial" w:cs="Arial"/>
          <w:sz w:val="20"/>
        </w:rPr>
        <w:t xml:space="preserve">at [321]-[322] </w:t>
      </w:r>
      <w:r w:rsidR="005E39C3" w:rsidRPr="00905F98">
        <w:rPr>
          <w:rFonts w:ascii="Arial" w:hAnsi="Arial" w:cs="Arial"/>
          <w:sz w:val="20"/>
        </w:rPr>
        <w:t xml:space="preserve">Edelman J </w:t>
      </w:r>
      <w:r>
        <w:rPr>
          <w:rFonts w:ascii="Arial" w:hAnsi="Arial" w:cs="Arial"/>
          <w:sz w:val="20"/>
        </w:rPr>
        <w:t>posed the question “When</w:t>
      </w:r>
      <w:r w:rsidR="005C24E6">
        <w:rPr>
          <w:rFonts w:ascii="Arial" w:hAnsi="Arial" w:cs="Arial"/>
          <w:sz w:val="20"/>
        </w:rPr>
        <w:t xml:space="preserve"> </w:t>
      </w:r>
      <w:r>
        <w:rPr>
          <w:rFonts w:ascii="Arial" w:hAnsi="Arial" w:cs="Arial"/>
          <w:sz w:val="20"/>
        </w:rPr>
        <w:t>is a j</w:t>
      </w:r>
      <w:r w:rsidR="00FD40B5" w:rsidRPr="00FD40B5">
        <w:rPr>
          <w:rFonts w:ascii="Arial" w:hAnsi="Arial" w:cs="Arial"/>
          <w:sz w:val="20"/>
        </w:rPr>
        <w:t>udicial officer liable for the consequences of their actions?</w:t>
      </w:r>
      <w:r>
        <w:rPr>
          <w:rFonts w:ascii="Arial" w:hAnsi="Arial" w:cs="Arial"/>
          <w:sz w:val="20"/>
        </w:rPr>
        <w:t>”</w:t>
      </w:r>
      <w:r w:rsidR="00FD40B5" w:rsidRPr="00FD40B5">
        <w:rPr>
          <w:rFonts w:ascii="Arial" w:hAnsi="Arial" w:cs="Arial"/>
          <w:sz w:val="20"/>
        </w:rPr>
        <w:t xml:space="preserve"> </w:t>
      </w:r>
      <w:r>
        <w:rPr>
          <w:rFonts w:ascii="Arial" w:hAnsi="Arial" w:cs="Arial"/>
          <w:sz w:val="20"/>
        </w:rPr>
        <w:t>and answered:</w:t>
      </w:r>
    </w:p>
    <w:p w14:paraId="685E0FA3" w14:textId="597E84D4" w:rsidR="00905F98" w:rsidRDefault="00905F98" w:rsidP="00905F98">
      <w:pPr>
        <w:spacing w:before="60"/>
        <w:ind w:left="811" w:right="454"/>
        <w:jc w:val="both"/>
        <w:rPr>
          <w:rFonts w:ascii="Arial" w:hAnsi="Arial" w:cs="Arial"/>
          <w:sz w:val="20"/>
        </w:rPr>
      </w:pPr>
      <w:r>
        <w:rPr>
          <w:rFonts w:ascii="Arial" w:hAnsi="Arial" w:cs="Arial"/>
          <w:sz w:val="20"/>
        </w:rPr>
        <w:lastRenderedPageBreak/>
        <w:t>“</w:t>
      </w:r>
      <w:r w:rsidR="00FD40B5" w:rsidRPr="00FD40B5">
        <w:rPr>
          <w:rFonts w:ascii="Arial" w:hAnsi="Arial" w:cs="Arial"/>
          <w:sz w:val="20"/>
        </w:rPr>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that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w:t>
      </w:r>
      <w:r>
        <w:rPr>
          <w:rFonts w:ascii="Arial" w:hAnsi="Arial" w:cs="Arial"/>
          <w:sz w:val="20"/>
        </w:rPr>
        <w:t>‘</w:t>
      </w:r>
      <w:r w:rsidR="00FD40B5" w:rsidRPr="00FD40B5">
        <w:rPr>
          <w:rFonts w:ascii="Arial" w:hAnsi="Arial" w:cs="Arial"/>
          <w:sz w:val="20"/>
        </w:rPr>
        <w:t>inferior court</w:t>
      </w:r>
      <w:r>
        <w:rPr>
          <w:rFonts w:ascii="Arial" w:hAnsi="Arial" w:cs="Arial"/>
          <w:sz w:val="20"/>
        </w:rPr>
        <w:t>’</w:t>
      </w:r>
      <w:r w:rsidR="00FD40B5" w:rsidRPr="00FD40B5">
        <w:rPr>
          <w:rFonts w:ascii="Arial" w:hAnsi="Arial" w:cs="Arial"/>
          <w:sz w:val="20"/>
        </w:rPr>
        <w:t xml:space="preserve"> or </w:t>
      </w:r>
      <w:r>
        <w:rPr>
          <w:rFonts w:ascii="Arial" w:hAnsi="Arial" w:cs="Arial"/>
          <w:sz w:val="20"/>
        </w:rPr>
        <w:t>‘</w:t>
      </w:r>
      <w:r w:rsidR="00FD40B5" w:rsidRPr="00FD40B5">
        <w:rPr>
          <w:rFonts w:ascii="Arial" w:hAnsi="Arial" w:cs="Arial"/>
          <w:sz w:val="20"/>
        </w:rPr>
        <w:t>superior court</w:t>
      </w:r>
      <w:r>
        <w:rPr>
          <w:rFonts w:ascii="Arial" w:hAnsi="Arial" w:cs="Arial"/>
          <w:sz w:val="20"/>
        </w:rPr>
        <w:t>’</w:t>
      </w:r>
      <w:r w:rsidR="00FD40B5" w:rsidRPr="00FD40B5">
        <w:rPr>
          <w:rFonts w:ascii="Arial" w:hAnsi="Arial" w:cs="Arial"/>
          <w:sz w:val="20"/>
        </w:rPr>
        <w:t>.</w:t>
      </w:r>
      <w:r>
        <w:rPr>
          <w:rFonts w:ascii="Arial" w:hAnsi="Arial" w:cs="Arial"/>
          <w:sz w:val="20"/>
        </w:rPr>
        <w:t>”</w:t>
      </w:r>
    </w:p>
    <w:p w14:paraId="01EF5F9C" w14:textId="7B8AD673" w:rsidR="00FD40B5" w:rsidRDefault="00FD40B5" w:rsidP="00C704E2">
      <w:pPr>
        <w:jc w:val="both"/>
        <w:rPr>
          <w:rFonts w:ascii="Arial" w:hAnsi="Arial" w:cs="Arial"/>
          <w:sz w:val="20"/>
        </w:rPr>
      </w:pPr>
    </w:p>
    <w:p w14:paraId="728AAF58" w14:textId="0A8A76BD" w:rsidR="00FD40B5" w:rsidRDefault="005C24E6">
      <w:pPr>
        <w:jc w:val="both"/>
        <w:rPr>
          <w:rFonts w:ascii="Arial" w:hAnsi="Arial" w:cs="Arial"/>
          <w:sz w:val="20"/>
        </w:rPr>
      </w:pPr>
      <w:r>
        <w:rPr>
          <w:rFonts w:ascii="Arial" w:hAnsi="Arial" w:cs="Arial"/>
          <w:sz w:val="20"/>
        </w:rPr>
        <w:t>In conclusion</w:t>
      </w:r>
      <w:r w:rsidR="00451A63">
        <w:rPr>
          <w:rFonts w:ascii="Arial" w:hAnsi="Arial" w:cs="Arial"/>
          <w:sz w:val="20"/>
        </w:rPr>
        <w:t>,</w:t>
      </w:r>
      <w:r>
        <w:rPr>
          <w:rFonts w:ascii="Arial" w:hAnsi="Arial" w:cs="Arial"/>
          <w:sz w:val="20"/>
        </w:rPr>
        <w:t xml:space="preserve"> </w:t>
      </w:r>
      <w:r w:rsidR="00451A63">
        <w:rPr>
          <w:rFonts w:ascii="Arial" w:hAnsi="Arial" w:cs="Arial"/>
          <w:sz w:val="20"/>
        </w:rPr>
        <w:t xml:space="preserve">although the consequence of these appeals may seem personally hard on Mr Stradford, it is also difficult to criticise the benefit to the community at large of the rationale in the above quote from the judgment of the plurality at [2]. In this regard it should be noted that the plurality </w:t>
      </w:r>
      <w:r w:rsidR="00161F97">
        <w:rPr>
          <w:rFonts w:ascii="Arial" w:hAnsi="Arial" w:cs="Arial"/>
          <w:sz w:val="20"/>
        </w:rPr>
        <w:t xml:space="preserve">also </w:t>
      </w:r>
      <w:r w:rsidR="00451A63">
        <w:rPr>
          <w:rFonts w:ascii="Arial" w:hAnsi="Arial" w:cs="Arial"/>
          <w:sz w:val="20"/>
        </w:rPr>
        <w:t>said at [4]:</w:t>
      </w:r>
    </w:p>
    <w:p w14:paraId="34051DE3" w14:textId="50383B26" w:rsidR="00451A63" w:rsidRDefault="00451A63" w:rsidP="00451A63">
      <w:pPr>
        <w:spacing w:before="60"/>
        <w:ind w:left="811" w:right="454"/>
        <w:jc w:val="both"/>
        <w:rPr>
          <w:rFonts w:ascii="Arial" w:hAnsi="Arial" w:cs="Arial"/>
          <w:sz w:val="20"/>
        </w:rPr>
      </w:pPr>
      <w:r>
        <w:rPr>
          <w:rFonts w:ascii="Arial" w:hAnsi="Arial" w:cs="Arial"/>
          <w:sz w:val="20"/>
        </w:rPr>
        <w:t>“</w:t>
      </w:r>
      <w:r w:rsidRPr="00451A63">
        <w:rPr>
          <w:rFonts w:ascii="Arial" w:hAnsi="Arial" w:cs="Arial"/>
          <w:sz w:val="20"/>
        </w:rPr>
        <w:t xml:space="preserve">As the facts and outcome of these appeals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ex gratia or </w:t>
      </w:r>
      <w:r>
        <w:rPr>
          <w:rFonts w:ascii="Arial" w:hAnsi="Arial" w:cs="Arial"/>
          <w:sz w:val="20"/>
        </w:rPr>
        <w:t>‘</w:t>
      </w:r>
      <w:r w:rsidRPr="00451A63">
        <w:rPr>
          <w:rFonts w:ascii="Arial" w:hAnsi="Arial" w:cs="Arial"/>
          <w:sz w:val="20"/>
        </w:rPr>
        <w:t>act of grace</w:t>
      </w:r>
      <w:r>
        <w:rPr>
          <w:rFonts w:ascii="Arial" w:hAnsi="Arial" w:cs="Arial"/>
          <w:sz w:val="20"/>
        </w:rPr>
        <w:t>’</w:t>
      </w:r>
      <w:r w:rsidRPr="00451A63">
        <w:rPr>
          <w:rFonts w:ascii="Arial" w:hAnsi="Arial" w:cs="Arial"/>
          <w:sz w:val="20"/>
        </w:rPr>
        <w:t xml:space="preserve"> payment may compensate the victim</w:t>
      </w:r>
      <w:r>
        <w:rPr>
          <w:rFonts w:ascii="Arial" w:hAnsi="Arial" w:cs="Arial"/>
          <w:sz w:val="20"/>
        </w:rPr>
        <w:t>: see</w:t>
      </w:r>
      <w:r w:rsidRPr="00451A63">
        <w:rPr>
          <w:rFonts w:ascii="Arial" w:hAnsi="Arial" w:cs="Arial"/>
          <w:sz w:val="20"/>
        </w:rPr>
        <w:t xml:space="preserve"> eg, </w:t>
      </w:r>
      <w:r w:rsidRPr="00451A63">
        <w:rPr>
          <w:rFonts w:ascii="Arial" w:hAnsi="Arial" w:cs="Arial"/>
          <w:i/>
          <w:iCs/>
          <w:sz w:val="20"/>
        </w:rPr>
        <w:t>Public Governance, Performance and Accountability Act 2013</w:t>
      </w:r>
      <w:r w:rsidRPr="00451A63">
        <w:rPr>
          <w:rFonts w:ascii="Arial" w:hAnsi="Arial" w:cs="Arial"/>
          <w:sz w:val="20"/>
        </w:rPr>
        <w:t xml:space="preserve"> (Cth), s 65(1).</w:t>
      </w:r>
      <w:r>
        <w:rPr>
          <w:rFonts w:ascii="Arial" w:hAnsi="Arial" w:cs="Arial"/>
          <w:sz w:val="20"/>
        </w:rPr>
        <w:t>”</w:t>
      </w:r>
    </w:p>
    <w:p w14:paraId="30FFB791" w14:textId="1EBA9D91" w:rsidR="00931243" w:rsidRDefault="00451A63" w:rsidP="00451A63">
      <w:pPr>
        <w:spacing w:before="60"/>
        <w:jc w:val="both"/>
        <w:rPr>
          <w:rFonts w:ascii="Arial" w:hAnsi="Arial" w:cs="Arial"/>
          <w:sz w:val="20"/>
        </w:rPr>
      </w:pPr>
      <w:r>
        <w:rPr>
          <w:rFonts w:ascii="Arial" w:hAnsi="Arial" w:cs="Arial"/>
          <w:sz w:val="20"/>
        </w:rPr>
        <w:t xml:space="preserve">It </w:t>
      </w:r>
      <w:r w:rsidR="00161F97">
        <w:rPr>
          <w:rFonts w:ascii="Arial" w:hAnsi="Arial" w:cs="Arial"/>
          <w:sz w:val="20"/>
        </w:rPr>
        <w:t>is</w:t>
      </w:r>
      <w:r>
        <w:rPr>
          <w:rFonts w:ascii="Arial" w:hAnsi="Arial" w:cs="Arial"/>
          <w:sz w:val="20"/>
        </w:rPr>
        <w:t xml:space="preserve"> also </w:t>
      </w:r>
      <w:r w:rsidR="00161F97">
        <w:rPr>
          <w:rFonts w:ascii="Arial" w:hAnsi="Arial" w:cs="Arial"/>
          <w:sz w:val="20"/>
        </w:rPr>
        <w:t>worth</w:t>
      </w:r>
      <w:r>
        <w:rPr>
          <w:rFonts w:ascii="Arial" w:hAnsi="Arial" w:cs="Arial"/>
          <w:sz w:val="20"/>
        </w:rPr>
        <w:t xml:space="preserve"> </w:t>
      </w:r>
      <w:r w:rsidR="00161F97">
        <w:rPr>
          <w:rFonts w:ascii="Arial" w:hAnsi="Arial" w:cs="Arial"/>
          <w:sz w:val="20"/>
        </w:rPr>
        <w:t xml:space="preserve">noting </w:t>
      </w:r>
      <w:r>
        <w:rPr>
          <w:rFonts w:ascii="Arial" w:hAnsi="Arial" w:cs="Arial"/>
          <w:sz w:val="20"/>
        </w:rPr>
        <w:t xml:space="preserve">that </w:t>
      </w:r>
      <w:r w:rsidR="00161F97">
        <w:rPr>
          <w:rFonts w:ascii="Arial" w:hAnsi="Arial" w:cs="Arial"/>
          <w:sz w:val="20"/>
        </w:rPr>
        <w:t>at [160] the plurality said:</w:t>
      </w:r>
    </w:p>
    <w:p w14:paraId="547689D3" w14:textId="6A3979E4" w:rsidR="00161F97" w:rsidRDefault="00161F97" w:rsidP="00161F97">
      <w:pPr>
        <w:spacing w:before="60"/>
        <w:ind w:left="811" w:right="454"/>
        <w:jc w:val="both"/>
        <w:rPr>
          <w:rFonts w:ascii="Arial" w:hAnsi="Arial" w:cs="Arial"/>
          <w:sz w:val="20"/>
        </w:rPr>
      </w:pPr>
      <w:r>
        <w:rPr>
          <w:rFonts w:ascii="Arial" w:hAnsi="Arial" w:cs="Arial"/>
          <w:sz w:val="20"/>
        </w:rPr>
        <w:t>“</w:t>
      </w:r>
      <w:r w:rsidRPr="00161F97">
        <w:rPr>
          <w:rFonts w:ascii="Arial" w:hAnsi="Arial" w:cs="Arial"/>
          <w:sz w:val="20"/>
        </w:rPr>
        <w:t>The Commonwealth and Judge Vasta each agreed not to seek costs from Mr Stradford in this Court and not to seek to disturb the costs order in Mr Stradford's favour made by the primary judge. Queensland's appeal was removed into this Court on conditions to the same effect. The Commonwealth agreed to pay Mr Stradford's reasonable costs of the three appeals on a party-party basis.</w:t>
      </w:r>
      <w:r>
        <w:rPr>
          <w:rFonts w:ascii="Arial" w:hAnsi="Arial" w:cs="Arial"/>
          <w:sz w:val="20"/>
        </w:rPr>
        <w:t>”</w:t>
      </w:r>
    </w:p>
    <w:p w14:paraId="22D6BBC3" w14:textId="77777777" w:rsidR="009F78ED" w:rsidRPr="00326300" w:rsidRDefault="009F78ED">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7" w:name="_3.3_Judicial_Powers"/>
      <w:bookmarkStart w:id="168" w:name="_3.3_Children’s_Court"/>
      <w:bookmarkStart w:id="169" w:name="B33"/>
      <w:bookmarkStart w:id="170" w:name="_Toc30608806"/>
      <w:bookmarkStart w:id="171" w:name="_Toc30610020"/>
      <w:bookmarkStart w:id="172" w:name="_Toc30610264"/>
      <w:bookmarkStart w:id="173" w:name="_Toc30638418"/>
      <w:bookmarkStart w:id="174" w:name="_Toc30644227"/>
      <w:bookmarkStart w:id="175" w:name="_Toc30644630"/>
      <w:bookmarkStart w:id="176" w:name="_Toc30645180"/>
      <w:bookmarkStart w:id="177" w:name="_Toc30646391"/>
      <w:bookmarkStart w:id="178" w:name="_Toc30646686"/>
      <w:bookmarkStart w:id="179" w:name="_Toc30646797"/>
      <w:bookmarkStart w:id="180" w:name="_Toc30648154"/>
      <w:bookmarkStart w:id="181" w:name="_Toc30649052"/>
      <w:bookmarkStart w:id="182" w:name="_Toc30649128"/>
      <w:bookmarkStart w:id="183" w:name="_Toc30649389"/>
      <w:bookmarkStart w:id="184" w:name="_Toc30649709"/>
      <w:bookmarkStart w:id="185" w:name="_Toc30651643"/>
      <w:bookmarkStart w:id="186" w:name="_Toc30652627"/>
      <w:bookmarkStart w:id="187" w:name="_Toc30652725"/>
      <w:bookmarkStart w:id="188" w:name="_Toc30654070"/>
      <w:bookmarkStart w:id="189" w:name="_Toc30654421"/>
      <w:bookmarkStart w:id="190" w:name="_Toc30655040"/>
      <w:bookmarkStart w:id="191" w:name="_Toc30655297"/>
      <w:bookmarkStart w:id="192" w:name="_Toc30656975"/>
      <w:bookmarkStart w:id="193" w:name="_Toc30661724"/>
      <w:bookmarkStart w:id="194" w:name="_Toc30666412"/>
      <w:bookmarkStart w:id="195" w:name="_Toc30666642"/>
      <w:bookmarkStart w:id="196" w:name="_Toc30667817"/>
      <w:bookmarkStart w:id="197" w:name="_Toc30669195"/>
      <w:bookmarkStart w:id="198" w:name="_Toc30671411"/>
      <w:bookmarkStart w:id="199" w:name="_Toc30673938"/>
      <w:bookmarkStart w:id="200" w:name="_Toc30691160"/>
      <w:bookmarkStart w:id="201" w:name="_Toc30691531"/>
      <w:bookmarkStart w:id="202" w:name="_Toc30691911"/>
      <w:bookmarkStart w:id="203" w:name="_Toc30692670"/>
      <w:bookmarkStart w:id="204" w:name="_Toc30693049"/>
      <w:bookmarkStart w:id="205" w:name="_Toc30693427"/>
      <w:bookmarkStart w:id="206" w:name="_Toc30693806"/>
      <w:bookmarkStart w:id="207" w:name="_Toc30694187"/>
      <w:bookmarkStart w:id="208" w:name="_Toc30698776"/>
      <w:bookmarkStart w:id="209" w:name="_Toc30699154"/>
      <w:bookmarkStart w:id="210" w:name="_Toc30699539"/>
      <w:bookmarkStart w:id="211" w:name="_Toc30700694"/>
      <w:bookmarkStart w:id="212" w:name="_Toc30701081"/>
      <w:bookmarkStart w:id="213" w:name="_Toc30743690"/>
      <w:bookmarkStart w:id="214" w:name="_Toc30754512"/>
      <w:bookmarkStart w:id="215" w:name="_Toc30756952"/>
      <w:bookmarkStart w:id="216" w:name="_Toc30757501"/>
      <w:bookmarkStart w:id="217" w:name="_Toc30757901"/>
      <w:bookmarkStart w:id="218" w:name="_Toc30762662"/>
      <w:bookmarkStart w:id="219" w:name="_Toc30767316"/>
      <w:bookmarkStart w:id="220" w:name="_Toc34823332"/>
      <w:bookmarkEnd w:id="167"/>
      <w:bookmarkEnd w:id="168"/>
      <w:bookmarkEnd w:id="169"/>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21" w:name="_3.3.1_Powers_conferred"/>
      <w:bookmarkStart w:id="222" w:name="B331"/>
      <w:bookmarkEnd w:id="221"/>
      <w:bookmarkEnd w:id="222"/>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4A6E7DCD" w14:textId="3C8FC5B6" w:rsidR="00262AC3" w:rsidRDefault="0011478C" w:rsidP="008A004D">
      <w:pPr>
        <w:jc w:val="both"/>
        <w:rPr>
          <w:rFonts w:ascii="Arial" w:hAnsi="Arial" w:cs="Arial"/>
          <w:sz w:val="20"/>
        </w:rPr>
      </w:pPr>
      <w:r>
        <w:rPr>
          <w:rFonts w:ascii="Arial" w:hAnsi="Arial" w:cs="Arial"/>
          <w:sz w:val="20"/>
        </w:rPr>
        <w:t xml:space="preserve">In </w:t>
      </w:r>
      <w:r w:rsidRPr="00262AC3">
        <w:rPr>
          <w:rFonts w:ascii="Arial" w:hAnsi="Arial" w:cs="Arial"/>
          <w:i/>
          <w:iCs/>
          <w:sz w:val="20"/>
        </w:rPr>
        <w:t>Sea</w:t>
      </w:r>
      <w:r w:rsidR="00262AC3" w:rsidRPr="00262AC3">
        <w:rPr>
          <w:rFonts w:ascii="Arial" w:hAnsi="Arial" w:cs="Arial"/>
          <w:i/>
          <w:iCs/>
          <w:sz w:val="20"/>
        </w:rPr>
        <w:t>Road Shipping Pty Ltd v Pannell &amp; Ors</w:t>
      </w:r>
      <w:r w:rsidR="00262AC3" w:rsidRPr="00262AC3">
        <w:rPr>
          <w:rFonts w:ascii="Arial" w:hAnsi="Arial" w:cs="Arial"/>
          <w:sz w:val="20"/>
        </w:rPr>
        <w:t xml:space="preserve"> [2025] VSC 282</w:t>
      </w:r>
      <w:r w:rsidR="00262AC3">
        <w:rPr>
          <w:rFonts w:ascii="Arial" w:hAnsi="Arial" w:cs="Arial"/>
          <w:sz w:val="20"/>
        </w:rPr>
        <w:t xml:space="preserve"> Watson J found that the defendants were guilty of civil contempt founded on a failure to comply with freezing orders. At [20]-[2</w:t>
      </w:r>
      <w:r w:rsidR="00FF34FD">
        <w:rPr>
          <w:rFonts w:ascii="Arial" w:hAnsi="Arial" w:cs="Arial"/>
          <w:sz w:val="20"/>
        </w:rPr>
        <w:t>5</w:t>
      </w:r>
      <w:r w:rsidR="00262AC3">
        <w:rPr>
          <w:rFonts w:ascii="Arial" w:hAnsi="Arial" w:cs="Arial"/>
          <w:sz w:val="20"/>
        </w:rPr>
        <w:t>] h</w:t>
      </w:r>
      <w:r w:rsidR="00FF34FD">
        <w:rPr>
          <w:rFonts w:ascii="Arial" w:hAnsi="Arial" w:cs="Arial"/>
          <w:sz w:val="20"/>
        </w:rPr>
        <w:t>is</w:t>
      </w:r>
      <w:r w:rsidR="00262AC3">
        <w:rPr>
          <w:rFonts w:ascii="Arial" w:hAnsi="Arial" w:cs="Arial"/>
          <w:sz w:val="20"/>
        </w:rPr>
        <w:t xml:space="preserve"> Honour said:</w:t>
      </w:r>
    </w:p>
    <w:p w14:paraId="51D60120" w14:textId="30063CCA" w:rsidR="00262AC3" w:rsidRDefault="00262AC3" w:rsidP="00262AC3">
      <w:pPr>
        <w:spacing w:before="60"/>
        <w:ind w:left="454" w:right="454"/>
        <w:jc w:val="both"/>
        <w:rPr>
          <w:rFonts w:ascii="Arial" w:hAnsi="Arial" w:cs="Arial"/>
          <w:sz w:val="20"/>
        </w:rPr>
      </w:pPr>
      <w:r>
        <w:rPr>
          <w:rFonts w:ascii="Arial" w:hAnsi="Arial" w:cs="Arial"/>
          <w:sz w:val="20"/>
        </w:rPr>
        <w:t>[20] “</w:t>
      </w:r>
      <w:r w:rsidRPr="0011478C">
        <w:rPr>
          <w:rFonts w:ascii="Arial" w:hAnsi="Arial" w:cs="Arial"/>
          <w:sz w:val="20"/>
        </w:rPr>
        <w:t xml:space="preserve">The principles applicable to a finding for civil contempt are not in doubt and are conveniently set out in the judgment of John Dixon J in </w:t>
      </w:r>
      <w:r w:rsidRPr="00262AC3">
        <w:rPr>
          <w:rFonts w:ascii="Arial" w:hAnsi="Arial" w:cs="Arial"/>
          <w:i/>
          <w:iCs/>
          <w:sz w:val="20"/>
        </w:rPr>
        <w:t>Deputy Commissioner of Taxation v Gashi (No 2)</w:t>
      </w:r>
      <w:r w:rsidRPr="0011478C">
        <w:rPr>
          <w:rFonts w:ascii="Arial" w:hAnsi="Arial" w:cs="Arial"/>
          <w:sz w:val="20"/>
        </w:rPr>
        <w:t xml:space="preserve"> [2011] VSC 351 (</w:t>
      </w:r>
      <w:r w:rsidRPr="00527800">
        <w:rPr>
          <w:rFonts w:ascii="Arial" w:hAnsi="Arial" w:cs="Arial"/>
          <w:i/>
          <w:iCs/>
          <w:sz w:val="20"/>
        </w:rPr>
        <w:t>Gashi</w:t>
      </w:r>
      <w:r w:rsidRPr="0011478C">
        <w:rPr>
          <w:rFonts w:ascii="Arial" w:hAnsi="Arial" w:cs="Arial"/>
          <w:sz w:val="20"/>
        </w:rPr>
        <w:t>).</w:t>
      </w:r>
    </w:p>
    <w:p w14:paraId="70CD5AEF" w14:textId="1DB785B2" w:rsidR="00262AC3" w:rsidRDefault="00262AC3" w:rsidP="00262AC3">
      <w:pPr>
        <w:spacing w:before="60"/>
        <w:ind w:left="454" w:right="454"/>
        <w:jc w:val="both"/>
        <w:rPr>
          <w:rFonts w:ascii="Arial" w:hAnsi="Arial" w:cs="Arial"/>
          <w:sz w:val="20"/>
        </w:rPr>
      </w:pPr>
      <w:r>
        <w:rPr>
          <w:rFonts w:ascii="Arial" w:hAnsi="Arial" w:cs="Arial"/>
          <w:sz w:val="20"/>
        </w:rPr>
        <w:t xml:space="preserve">[21] </w:t>
      </w:r>
      <w:r w:rsidRPr="0011478C">
        <w:rPr>
          <w:rFonts w:ascii="Arial" w:hAnsi="Arial" w:cs="Arial"/>
          <w:sz w:val="20"/>
        </w:rPr>
        <w:t xml:space="preserve">Firstly, at paragraph [17] of </w:t>
      </w:r>
      <w:r w:rsidRPr="00527800">
        <w:rPr>
          <w:rFonts w:ascii="Arial" w:hAnsi="Arial" w:cs="Arial"/>
          <w:i/>
          <w:iCs/>
          <w:sz w:val="20"/>
        </w:rPr>
        <w:t>Gashi</w:t>
      </w:r>
      <w:r w:rsidRPr="0011478C">
        <w:rPr>
          <w:rFonts w:ascii="Arial" w:hAnsi="Arial" w:cs="Arial"/>
          <w:sz w:val="20"/>
        </w:rPr>
        <w:t xml:space="preserve"> his Honour averts to the proposition that contempt must be proved, whether it is a civil or criminal contempt, beyond reasonable doubt.</w:t>
      </w:r>
    </w:p>
    <w:p w14:paraId="71954014" w14:textId="341881E7" w:rsidR="00262AC3" w:rsidRDefault="00262AC3" w:rsidP="00262AC3">
      <w:pPr>
        <w:spacing w:before="60"/>
        <w:ind w:left="454" w:right="454"/>
        <w:jc w:val="both"/>
        <w:rPr>
          <w:rFonts w:ascii="Arial" w:hAnsi="Arial" w:cs="Arial"/>
          <w:sz w:val="20"/>
        </w:rPr>
      </w:pPr>
      <w:r>
        <w:rPr>
          <w:rFonts w:ascii="Arial" w:hAnsi="Arial" w:cs="Arial"/>
          <w:sz w:val="20"/>
        </w:rPr>
        <w:t xml:space="preserve">[22] </w:t>
      </w:r>
      <w:r w:rsidRPr="0011478C">
        <w:rPr>
          <w:rFonts w:ascii="Arial" w:hAnsi="Arial" w:cs="Arial"/>
          <w:sz w:val="20"/>
        </w:rPr>
        <w:t>Secondly, at paragraph [18] his Honour sets out the elements which must be proved in a case such as this. They are as follows:</w:t>
      </w:r>
    </w:p>
    <w:p w14:paraId="436FD4F4" w14:textId="7772CDB7" w:rsidR="00262AC3" w:rsidRDefault="00262AC3" w:rsidP="00262AC3">
      <w:pPr>
        <w:ind w:left="851" w:right="851"/>
        <w:jc w:val="both"/>
        <w:rPr>
          <w:rFonts w:ascii="Arial" w:hAnsi="Arial" w:cs="Arial"/>
          <w:sz w:val="20"/>
        </w:rPr>
      </w:pPr>
      <w:r>
        <w:rPr>
          <w:rFonts w:ascii="Arial" w:hAnsi="Arial" w:cs="Arial"/>
          <w:sz w:val="20"/>
        </w:rPr>
        <w:t>(a) an order was made by the Court;</w:t>
      </w:r>
    </w:p>
    <w:p w14:paraId="76997979" w14:textId="1153BFA7" w:rsidR="00262AC3" w:rsidRDefault="00262AC3" w:rsidP="00262AC3">
      <w:pPr>
        <w:ind w:left="851" w:right="851"/>
        <w:jc w:val="both"/>
        <w:rPr>
          <w:rFonts w:ascii="Arial" w:hAnsi="Arial" w:cs="Arial"/>
          <w:sz w:val="20"/>
        </w:rPr>
      </w:pPr>
      <w:r>
        <w:rPr>
          <w:rFonts w:ascii="Arial" w:hAnsi="Arial" w:cs="Arial"/>
          <w:sz w:val="20"/>
        </w:rPr>
        <w:t xml:space="preserve">(b) the terms of the order </w:t>
      </w:r>
      <w:r w:rsidRPr="0011478C">
        <w:rPr>
          <w:rFonts w:ascii="Arial" w:hAnsi="Arial" w:cs="Arial"/>
          <w:sz w:val="20"/>
        </w:rPr>
        <w:t>are clear, unambiguous and capable of compliance;</w:t>
      </w:r>
    </w:p>
    <w:p w14:paraId="4DBDDEDD" w14:textId="0862A286" w:rsidR="00262AC3" w:rsidRDefault="00262AC3" w:rsidP="00262AC3">
      <w:pPr>
        <w:ind w:left="851" w:right="851"/>
        <w:jc w:val="both"/>
        <w:rPr>
          <w:rFonts w:ascii="Arial" w:hAnsi="Arial" w:cs="Arial"/>
          <w:sz w:val="20"/>
        </w:rPr>
      </w:pPr>
      <w:r>
        <w:rPr>
          <w:rFonts w:ascii="Arial" w:hAnsi="Arial" w:cs="Arial"/>
          <w:sz w:val="20"/>
        </w:rPr>
        <w:t xml:space="preserve">(c) </w:t>
      </w:r>
      <w:r w:rsidRPr="0011478C">
        <w:rPr>
          <w:rFonts w:ascii="Arial" w:hAnsi="Arial" w:cs="Arial"/>
          <w:sz w:val="20"/>
        </w:rPr>
        <w:t>the order was served on the defendant or excused in the circumstances or service was dispensed with pursuant to the rules of Court</w:t>
      </w:r>
      <w:r>
        <w:rPr>
          <w:rFonts w:ascii="Arial" w:hAnsi="Arial" w:cs="Arial"/>
          <w:sz w:val="20"/>
        </w:rPr>
        <w:t>;</w:t>
      </w:r>
    </w:p>
    <w:p w14:paraId="193532E4" w14:textId="1C64996F" w:rsidR="00262AC3" w:rsidRDefault="00262AC3" w:rsidP="00262AC3">
      <w:pPr>
        <w:ind w:left="851" w:right="851"/>
        <w:jc w:val="both"/>
        <w:rPr>
          <w:rFonts w:ascii="Arial" w:hAnsi="Arial" w:cs="Arial"/>
          <w:sz w:val="20"/>
        </w:rPr>
      </w:pPr>
      <w:r>
        <w:rPr>
          <w:rFonts w:ascii="Arial" w:hAnsi="Arial" w:cs="Arial"/>
          <w:sz w:val="20"/>
        </w:rPr>
        <w:t>(d) the defendant had knowledge of the terms of the order; and</w:t>
      </w:r>
    </w:p>
    <w:p w14:paraId="05AA946D" w14:textId="378DDB4C" w:rsidR="00262AC3" w:rsidRPr="00262AC3" w:rsidRDefault="00262AC3" w:rsidP="00262AC3">
      <w:pPr>
        <w:ind w:left="851" w:right="851"/>
        <w:jc w:val="both"/>
        <w:rPr>
          <w:rFonts w:ascii="Arial" w:hAnsi="Arial" w:cs="Arial"/>
          <w:sz w:val="20"/>
        </w:rPr>
      </w:pPr>
      <w:r>
        <w:rPr>
          <w:rFonts w:ascii="Arial" w:hAnsi="Arial" w:cs="Arial"/>
          <w:sz w:val="20"/>
        </w:rPr>
        <w:t xml:space="preserve">(e) </w:t>
      </w:r>
      <w:r w:rsidR="00527800">
        <w:rPr>
          <w:rFonts w:ascii="Arial" w:hAnsi="Arial" w:cs="Arial"/>
          <w:sz w:val="20"/>
        </w:rPr>
        <w:t>the defendant breached the terms of the order.</w:t>
      </w:r>
    </w:p>
    <w:p w14:paraId="6F82BA34" w14:textId="3606EDA1" w:rsidR="00527800" w:rsidRDefault="00527800" w:rsidP="00527800">
      <w:pPr>
        <w:spacing w:before="60"/>
        <w:ind w:left="454" w:right="454"/>
        <w:jc w:val="both"/>
        <w:rPr>
          <w:rFonts w:ascii="Arial" w:hAnsi="Arial" w:cs="Arial"/>
          <w:sz w:val="20"/>
        </w:rPr>
      </w:pPr>
      <w:r>
        <w:rPr>
          <w:rFonts w:ascii="Arial" w:hAnsi="Arial" w:cs="Arial"/>
          <w:sz w:val="20"/>
        </w:rPr>
        <w:lastRenderedPageBreak/>
        <w:t xml:space="preserve">[23] At paragraphs [22] and [23] of Gashi, his Honour </w:t>
      </w:r>
      <w:r w:rsidRPr="0011478C">
        <w:rPr>
          <w:rFonts w:ascii="Arial" w:hAnsi="Arial" w:cs="Arial"/>
          <w:sz w:val="20"/>
        </w:rPr>
        <w:t>provides a useful discussion of the content of the phrase, 'wilfulness', in the context of a wilful breach of an order:</w:t>
      </w:r>
      <w:r>
        <w:rPr>
          <w:rFonts w:ascii="Arial" w:hAnsi="Arial" w:cs="Arial"/>
          <w:sz w:val="20"/>
        </w:rPr>
        <w:t xml:space="preserve"> ...</w:t>
      </w:r>
    </w:p>
    <w:p w14:paraId="4EB45EB5" w14:textId="57ECAB65" w:rsidR="00527800" w:rsidRDefault="00527800" w:rsidP="00527800">
      <w:pPr>
        <w:spacing w:before="60"/>
        <w:ind w:left="454" w:right="454"/>
        <w:jc w:val="both"/>
        <w:rPr>
          <w:rFonts w:ascii="Arial" w:hAnsi="Arial" w:cs="Arial"/>
          <w:sz w:val="20"/>
        </w:rPr>
      </w:pPr>
      <w:r>
        <w:rPr>
          <w:rFonts w:ascii="Arial" w:hAnsi="Arial" w:cs="Arial"/>
          <w:sz w:val="20"/>
        </w:rPr>
        <w:t>[24] In this case, matters are relatively straightforward. I am satisfied that it is established beyond reasonable doubt that:</w:t>
      </w:r>
      <w:bookmarkStart w:id="223" w:name="_Hlk199236624"/>
    </w:p>
    <w:bookmarkEnd w:id="223"/>
    <w:p w14:paraId="25B11745" w14:textId="69F796C2" w:rsidR="00527800" w:rsidRDefault="00527800" w:rsidP="00527800">
      <w:pPr>
        <w:ind w:left="851" w:right="851"/>
        <w:jc w:val="both"/>
        <w:rPr>
          <w:rFonts w:ascii="Arial" w:hAnsi="Arial" w:cs="Arial"/>
          <w:sz w:val="20"/>
        </w:rPr>
      </w:pPr>
      <w:r>
        <w:rPr>
          <w:rFonts w:ascii="Arial" w:hAnsi="Arial" w:cs="Arial"/>
          <w:sz w:val="20"/>
        </w:rPr>
        <w:t>(a) The 19 December 2024 order was made by the Court;</w:t>
      </w:r>
    </w:p>
    <w:p w14:paraId="796E1286" w14:textId="76497600" w:rsidR="00527800" w:rsidRDefault="00527800" w:rsidP="00527800">
      <w:pPr>
        <w:ind w:left="851" w:right="851"/>
        <w:jc w:val="both"/>
        <w:rPr>
          <w:rFonts w:ascii="Arial" w:hAnsi="Arial" w:cs="Arial"/>
          <w:sz w:val="20"/>
        </w:rPr>
      </w:pPr>
      <w:r>
        <w:rPr>
          <w:rFonts w:ascii="Arial" w:hAnsi="Arial" w:cs="Arial"/>
          <w:sz w:val="20"/>
        </w:rPr>
        <w:t>(b) The terms of paragraph 8 of that order are clear, unambiguous and capable of compliance;</w:t>
      </w:r>
    </w:p>
    <w:p w14:paraId="0345BAE2" w14:textId="0FAE938A" w:rsidR="00527800" w:rsidRDefault="00527800" w:rsidP="00527800">
      <w:pPr>
        <w:ind w:left="851" w:right="851"/>
        <w:jc w:val="both"/>
        <w:rPr>
          <w:rFonts w:ascii="Arial" w:hAnsi="Arial" w:cs="Arial"/>
          <w:sz w:val="20"/>
        </w:rPr>
      </w:pPr>
      <w:r>
        <w:rPr>
          <w:rFonts w:ascii="Arial" w:hAnsi="Arial" w:cs="Arial"/>
          <w:sz w:val="20"/>
        </w:rPr>
        <w:t>(c) In accordance with paragraph 1(c) of the 19 December 2024 Order, the...Order was served upon Mr Pannell and ICSA...</w:t>
      </w:r>
    </w:p>
    <w:p w14:paraId="4BA46A70" w14:textId="01E16ED2" w:rsidR="00527800" w:rsidRDefault="00527800" w:rsidP="00527800">
      <w:pPr>
        <w:ind w:left="851" w:right="851"/>
        <w:jc w:val="both"/>
        <w:rPr>
          <w:rFonts w:ascii="Arial" w:hAnsi="Arial" w:cs="Arial"/>
          <w:sz w:val="20"/>
        </w:rPr>
      </w:pPr>
      <w:r>
        <w:rPr>
          <w:rFonts w:ascii="Arial" w:hAnsi="Arial" w:cs="Arial"/>
          <w:sz w:val="20"/>
        </w:rPr>
        <w:t>(d) It is plain that each of Mr Pannell and ICSA had knowledge of the terms of the order: ...</w:t>
      </w:r>
    </w:p>
    <w:p w14:paraId="01829CC1" w14:textId="5375B706" w:rsidR="00527800" w:rsidRDefault="00527800" w:rsidP="00527800">
      <w:pPr>
        <w:ind w:left="851" w:right="851"/>
        <w:jc w:val="both"/>
        <w:rPr>
          <w:rFonts w:ascii="Arial" w:hAnsi="Arial" w:cs="Arial"/>
          <w:sz w:val="20"/>
        </w:rPr>
      </w:pPr>
      <w:r>
        <w:rPr>
          <w:rFonts w:ascii="Arial" w:hAnsi="Arial" w:cs="Arial"/>
          <w:sz w:val="20"/>
        </w:rPr>
        <w:t>(e) Each of Mr Pannell and ICSA has breached the 19 December 2024 Order...</w:t>
      </w:r>
    </w:p>
    <w:p w14:paraId="759BB4EB" w14:textId="7EF6BC57" w:rsidR="00527800" w:rsidRDefault="00527800" w:rsidP="00527800">
      <w:pPr>
        <w:spacing w:before="60"/>
        <w:ind w:left="454" w:right="454"/>
        <w:jc w:val="both"/>
        <w:rPr>
          <w:rFonts w:ascii="Arial" w:hAnsi="Arial" w:cs="Arial"/>
          <w:sz w:val="20"/>
        </w:rPr>
      </w:pPr>
      <w:r>
        <w:rPr>
          <w:rFonts w:ascii="Arial" w:hAnsi="Arial" w:cs="Arial"/>
          <w:sz w:val="20"/>
        </w:rPr>
        <w:t>[25] I am satisfied that their conduct is deliberate and intentional in nature, that it is not casual, accidental nor unintentional. As a result, I am satisfied that their breach of the order is wilful.”</w:t>
      </w:r>
    </w:p>
    <w:p w14:paraId="3BFDECB7" w14:textId="77777777" w:rsidR="0011478C" w:rsidRDefault="0011478C"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24"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24"/>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5" w:name="_3.3.2_Powers_conferred_1"/>
      <w:bookmarkStart w:id="226" w:name="B332"/>
      <w:bookmarkEnd w:id="225"/>
      <w:bookmarkEnd w:id="226"/>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3C1D0022"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r w:rsidR="00A31FFA" w:rsidRPr="00A31FFA">
        <w:rPr>
          <w:rFonts w:ascii="Arial" w:hAnsi="Arial" w:cs="Arial"/>
          <w:sz w:val="20"/>
        </w:rPr>
        <w:t>–</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06E3E03C"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r w:rsidR="00A31FFA" w:rsidRPr="00A31FFA">
        <w:rPr>
          <w:rFonts w:ascii="Arial" w:hAnsi="Arial" w:cs="Arial"/>
          <w:sz w:val="20"/>
        </w:rPr>
        <w:t>–</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13B8892"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 xml:space="preserve">Because the jurisdiction of the Children’s Court under the VPA is so expressly and restrictively defined, the writer is of the view that the Children’s Court probably cannot rely on s.528(1) of the CYFA to ‘piggy-back’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r w:rsidR="00A31FFA" w:rsidRPr="00A31FFA">
        <w:rPr>
          <w:rFonts w:ascii="Arial" w:hAnsi="Arial" w:cs="Arial"/>
          <w:sz w:val="20"/>
        </w:rPr>
        <w:t>–</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7" w:name="_3.3.2_Powers_conferred"/>
      <w:bookmarkStart w:id="228" w:name="B333"/>
      <w:bookmarkEnd w:id="227"/>
      <w:bookmarkEnd w:id="228"/>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R v McGowan &amp; Another; ex parte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33925921" w14:textId="0430BDE1" w:rsidR="007849C4" w:rsidRDefault="002D7CD8" w:rsidP="002D7CD8">
      <w:pPr>
        <w:jc w:val="both"/>
        <w:rPr>
          <w:rFonts w:ascii="Arial" w:hAnsi="Arial" w:cs="Arial"/>
          <w:sz w:val="20"/>
        </w:rPr>
      </w:pPr>
      <w:r>
        <w:rPr>
          <w:rFonts w:ascii="Arial" w:hAnsi="Arial" w:cs="Arial"/>
          <w:sz w:val="20"/>
        </w:rPr>
        <w:t xml:space="preserve">This includes power to adjourn proceedings, on application of a party or on the Court's own motion, to such times and places, for such purposes, and on such terms as to costs or otherwise as </w:t>
      </w:r>
      <w:r w:rsidR="007849C4">
        <w:rPr>
          <w:rFonts w:ascii="Arial" w:hAnsi="Arial" w:cs="Arial"/>
          <w:sz w:val="20"/>
        </w:rPr>
        <w:t>t</w:t>
      </w:r>
      <w:r>
        <w:rPr>
          <w:rFonts w:ascii="Arial" w:hAnsi="Arial" w:cs="Arial"/>
          <w:sz w:val="20"/>
        </w:rPr>
        <w:t xml:space="preserve">he </w:t>
      </w:r>
      <w:r w:rsidR="007849C4">
        <w:rPr>
          <w:rFonts w:ascii="Arial" w:hAnsi="Arial" w:cs="Arial"/>
          <w:sz w:val="20"/>
        </w:rPr>
        <w:t>Court</w:t>
      </w:r>
      <w:r>
        <w:rPr>
          <w:rFonts w:ascii="Arial" w:hAnsi="Arial" w:cs="Arial"/>
          <w:sz w:val="20"/>
        </w:rPr>
        <w:t xml:space="preserve"> considers necessary or just [s.530(1) of the CYFA].  Note however that s</w:t>
      </w:r>
      <w:r w:rsidR="007849C4">
        <w:rPr>
          <w:rFonts w:ascii="Arial" w:hAnsi="Arial" w:cs="Arial"/>
          <w:sz w:val="20"/>
        </w:rPr>
        <w:t>s</w:t>
      </w:r>
      <w:r>
        <w:rPr>
          <w:rFonts w:ascii="Arial" w:hAnsi="Arial" w:cs="Arial"/>
          <w:sz w:val="20"/>
        </w:rPr>
        <w:t>.530(8)</w:t>
      </w:r>
      <w:r w:rsidR="007849C4">
        <w:rPr>
          <w:rFonts w:ascii="Arial" w:hAnsi="Arial" w:cs="Arial"/>
          <w:sz w:val="20"/>
        </w:rPr>
        <w:t xml:space="preserve"> to 530(11)</w:t>
      </w:r>
      <w:r>
        <w:rPr>
          <w:rFonts w:ascii="Arial" w:hAnsi="Arial" w:cs="Arial"/>
          <w:sz w:val="20"/>
        </w:rPr>
        <w:t xml:space="preserve"> of the CYFA provide:</w:t>
      </w:r>
    </w:p>
    <w:p w14:paraId="02CFF44F" w14:textId="7BF1DFB6" w:rsidR="007849C4" w:rsidRDefault="007849C4" w:rsidP="007849C4">
      <w:pPr>
        <w:spacing w:before="60"/>
        <w:ind w:left="908" w:right="454" w:hanging="454"/>
        <w:jc w:val="both"/>
        <w:rPr>
          <w:rFonts w:ascii="Arial" w:hAnsi="Arial" w:cs="Arial"/>
          <w:sz w:val="20"/>
        </w:rPr>
      </w:pPr>
      <w:r>
        <w:rPr>
          <w:rFonts w:ascii="Arial" w:hAnsi="Arial" w:cs="Arial"/>
          <w:sz w:val="20"/>
        </w:rPr>
        <w:t>(8)</w:t>
      </w:r>
      <w:r>
        <w:rPr>
          <w:rFonts w:ascii="Arial" w:hAnsi="Arial" w:cs="Arial"/>
          <w:sz w:val="20"/>
        </w:rPr>
        <w:tab/>
      </w:r>
      <w:r w:rsidR="002D7CD8">
        <w:rPr>
          <w:rFonts w:ascii="Arial" w:hAnsi="Arial" w:cs="Arial"/>
          <w:sz w:val="20"/>
        </w:rPr>
        <w:t>"The Court must proceed with as much expedition as the requirements of this Act and a proper hearing of the proceeding permit.</w:t>
      </w:r>
    </w:p>
    <w:p w14:paraId="344B1BC0" w14:textId="064130F8" w:rsidR="007849C4" w:rsidRDefault="007849C4" w:rsidP="007849C4">
      <w:pPr>
        <w:spacing w:before="60"/>
        <w:ind w:left="908" w:right="454" w:hanging="454"/>
        <w:jc w:val="both"/>
        <w:rPr>
          <w:rFonts w:ascii="Arial" w:hAnsi="Arial" w:cs="Arial"/>
          <w:sz w:val="20"/>
        </w:rPr>
      </w:pPr>
      <w:r>
        <w:rPr>
          <w:rFonts w:ascii="Arial" w:hAnsi="Arial" w:cs="Arial"/>
          <w:sz w:val="20"/>
        </w:rPr>
        <w:t>(9)</w:t>
      </w:r>
      <w:r>
        <w:rPr>
          <w:rFonts w:ascii="Arial" w:hAnsi="Arial" w:cs="Arial"/>
          <w:sz w:val="20"/>
        </w:rPr>
        <w:tab/>
        <w:t>The Court should avoid the granting of adjournments in Family Division proceedings to the greatest extent possible.</w:t>
      </w:r>
    </w:p>
    <w:p w14:paraId="3E5058D4" w14:textId="234AB5E4" w:rsidR="007849C4" w:rsidRDefault="007849C4" w:rsidP="007849C4">
      <w:pPr>
        <w:spacing w:before="60"/>
        <w:ind w:left="908" w:right="454" w:hanging="454"/>
        <w:jc w:val="both"/>
        <w:rPr>
          <w:rFonts w:ascii="Arial" w:hAnsi="Arial" w:cs="Arial"/>
          <w:sz w:val="20"/>
        </w:rPr>
      </w:pPr>
      <w:r>
        <w:rPr>
          <w:rFonts w:ascii="Arial" w:hAnsi="Arial" w:cs="Arial"/>
          <w:sz w:val="20"/>
        </w:rPr>
        <w:lastRenderedPageBreak/>
        <w:t>(10)</w:t>
      </w:r>
      <w:r>
        <w:rPr>
          <w:rFonts w:ascii="Arial" w:hAnsi="Arial" w:cs="Arial"/>
          <w:sz w:val="20"/>
        </w:rPr>
        <w:tab/>
        <w:t>The Court must not grant an adjournment of a proceeding in the Family Division unless it is of opinion that–</w:t>
      </w:r>
    </w:p>
    <w:p w14:paraId="76449EA3" w14:textId="10629266" w:rsidR="007849C4" w:rsidRDefault="007849C4" w:rsidP="007849C4">
      <w:pPr>
        <w:ind w:left="1361" w:right="454" w:hanging="454"/>
        <w:jc w:val="both"/>
        <w:rPr>
          <w:rFonts w:ascii="Arial" w:hAnsi="Arial" w:cs="Arial"/>
          <w:sz w:val="20"/>
        </w:rPr>
      </w:pPr>
      <w:r>
        <w:rPr>
          <w:rFonts w:ascii="Arial" w:hAnsi="Arial" w:cs="Arial"/>
          <w:sz w:val="20"/>
        </w:rPr>
        <w:t>(a)</w:t>
      </w:r>
      <w:r>
        <w:rPr>
          <w:rFonts w:ascii="Arial" w:hAnsi="Arial" w:cs="Arial"/>
          <w:sz w:val="20"/>
        </w:rPr>
        <w:tab/>
        <w:t>it is in the best interests of the child to do so; or</w:t>
      </w:r>
    </w:p>
    <w:p w14:paraId="305A991E" w14:textId="51E5F3DB" w:rsidR="007849C4" w:rsidRDefault="007849C4" w:rsidP="007849C4">
      <w:pPr>
        <w:ind w:left="1361" w:right="454" w:hanging="454"/>
        <w:jc w:val="both"/>
        <w:rPr>
          <w:rFonts w:ascii="Arial" w:hAnsi="Arial" w:cs="Arial"/>
          <w:sz w:val="20"/>
        </w:rPr>
      </w:pPr>
      <w:r>
        <w:rPr>
          <w:rFonts w:ascii="Arial" w:hAnsi="Arial" w:cs="Arial"/>
          <w:sz w:val="20"/>
        </w:rPr>
        <w:t>(b)</w:t>
      </w:r>
      <w:r>
        <w:rPr>
          <w:rFonts w:ascii="Arial" w:hAnsi="Arial" w:cs="Arial"/>
          <w:sz w:val="20"/>
        </w:rPr>
        <w:tab/>
        <w:t>there is some other cogent or substantial reason to do so.</w:t>
      </w:r>
    </w:p>
    <w:p w14:paraId="4BEB3069" w14:textId="6C82CF54" w:rsidR="007849C4" w:rsidRDefault="007849C4" w:rsidP="007849C4">
      <w:pPr>
        <w:spacing w:before="60"/>
        <w:ind w:left="908" w:right="454" w:hanging="454"/>
        <w:jc w:val="both"/>
        <w:rPr>
          <w:rFonts w:ascii="Arial" w:hAnsi="Arial" w:cs="Arial"/>
          <w:sz w:val="20"/>
        </w:rPr>
      </w:pPr>
      <w:r>
        <w:rPr>
          <w:rFonts w:ascii="Arial" w:hAnsi="Arial" w:cs="Arial"/>
          <w:sz w:val="20"/>
        </w:rPr>
        <w:t>(11)</w:t>
      </w:r>
      <w:r>
        <w:rPr>
          <w:rFonts w:ascii="Arial" w:hAnsi="Arial" w:cs="Arial"/>
          <w:sz w:val="20"/>
        </w:rPr>
        <w:tab/>
        <w:t>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PA v Karavidas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262AC3" w:rsidRDefault="002D7CD8" w:rsidP="002A163C">
      <w:pPr>
        <w:spacing w:before="60"/>
        <w:ind w:left="454" w:right="454"/>
        <w:jc w:val="both"/>
        <w:rPr>
          <w:rFonts w:ascii="Arial" w:hAnsi="Arial" w:cs="Arial"/>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262AC3" w:rsidRDefault="002D7CD8" w:rsidP="002A163C">
      <w:pPr>
        <w:spacing w:before="60"/>
        <w:ind w:left="454" w:right="454"/>
        <w:jc w:val="both"/>
        <w:rPr>
          <w:rFonts w:ascii="Arial" w:hAnsi="Arial" w:cs="Arial"/>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Karavidas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t xml:space="preserve">[16] The matter was clearly spelled out by the Court of Appeal of </w:t>
      </w:r>
      <w:smartTag w:uri="urn:schemas-microsoft-com:office:smarttags" w:element="place">
        <w:smartTag w:uri="urn:schemas-microsoft-com:office:smarttags" w:element="Stat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2D024BF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w:t>
      </w:r>
      <w:r w:rsidR="00A31FFA" w:rsidRPr="00A31FFA">
        <w:rPr>
          <w:rFonts w:ascii="Arial" w:hAnsi="Arial" w:cs="Arial"/>
          <w:sz w:val="20"/>
        </w:rPr>
        <w:t>–</w:t>
      </w:r>
      <w:r w:rsidRPr="002A163C">
        <w:rPr>
          <w:rFonts w:ascii="Arial" w:hAnsi="Arial" w:cs="Arial"/>
          <w:sz w:val="18"/>
          <w:szCs w:val="18"/>
        </w:rPr>
        <w:t xml:space="preserve"> either in appeal or in judicial review </w:t>
      </w:r>
      <w:r w:rsidR="00A31FFA" w:rsidRPr="00A31FFA">
        <w:rPr>
          <w:rFonts w:ascii="Arial" w:hAnsi="Arial" w:cs="Arial"/>
          <w:sz w:val="20"/>
        </w:rPr>
        <w:t>–</w:t>
      </w:r>
      <w:r w:rsidRPr="002A163C">
        <w:rPr>
          <w:rFonts w:ascii="Arial" w:hAnsi="Arial" w:cs="Arial"/>
          <w:sz w:val="18"/>
          <w:szCs w:val="18"/>
        </w:rPr>
        <w:t xml:space="preserve">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eg </w:t>
      </w:r>
      <w:r w:rsidRPr="002A163C">
        <w:rPr>
          <w:rFonts w:ascii="Arial" w:hAnsi="Arial" w:cs="Arial"/>
          <w:i/>
          <w:sz w:val="18"/>
          <w:szCs w:val="18"/>
        </w:rPr>
        <w:t>Sali v SPC Ltd</w:t>
      </w:r>
      <w:r w:rsidRPr="002A163C">
        <w:rPr>
          <w:rFonts w:ascii="Arial" w:hAnsi="Arial" w:cs="Arial"/>
          <w:sz w:val="18"/>
          <w:szCs w:val="18"/>
        </w:rPr>
        <w:t xml:space="preserve"> (1993) 67 ALJR 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lastRenderedPageBreak/>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It is well-recognised that civil proceedings may prejudice a 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That said, the extent to which a proceeding need be stayed to protect the fair trial of an accused, depends on the facts. In some cases, the facts may allow certain steps to be taken before granting a stay. For example, as in this case, a strike out application may not affect a pending criminal prosecution</w:t>
      </w:r>
      <w:r w:rsidR="00947A14">
        <w:rPr>
          <w:rFonts w:ascii="Arial" w:hAnsi="Arial" w:cs="Arial"/>
          <w:sz w:val="20"/>
          <w:szCs w:val="20"/>
        </w:rPr>
        <w:t xml:space="preserve">: </w:t>
      </w:r>
      <w:r w:rsidR="00947A14" w:rsidRPr="00947A14">
        <w:rPr>
          <w:rFonts w:ascii="Arial" w:hAnsi="Arial" w:cs="Arial"/>
          <w:i/>
          <w:iCs/>
          <w:sz w:val="20"/>
          <w:szCs w:val="20"/>
        </w:rPr>
        <w:t>Impiombato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lastRenderedPageBreak/>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E84701">
      <w:pPr>
        <w:jc w:val="both"/>
        <w:rPr>
          <w:rFonts w:ascii="Arial" w:hAnsi="Arial" w:cs="Arial"/>
          <w:sz w:val="20"/>
        </w:rPr>
      </w:pPr>
    </w:p>
    <w:p w14:paraId="72054F17" w14:textId="159F4140" w:rsidR="00E84701" w:rsidRDefault="00E84701" w:rsidP="00E84701">
      <w:pPr>
        <w:jc w:val="both"/>
        <w:rPr>
          <w:rFonts w:ascii="Arial" w:hAnsi="Arial" w:cs="Arial"/>
          <w:sz w:val="20"/>
        </w:rPr>
      </w:pPr>
      <w:r>
        <w:rPr>
          <w:rFonts w:ascii="Arial" w:hAnsi="Arial" w:cs="Arial"/>
          <w:sz w:val="20"/>
        </w:rPr>
        <w:t xml:space="preserve">In </w:t>
      </w:r>
      <w:r w:rsidRPr="00E84701">
        <w:rPr>
          <w:rFonts w:ascii="Arial" w:hAnsi="Arial" w:cs="Arial"/>
          <w:i/>
          <w:iCs/>
          <w:sz w:val="20"/>
        </w:rPr>
        <w:t>Taylor v Trustees of the Christian Brothers</w:t>
      </w:r>
      <w:r>
        <w:rPr>
          <w:rFonts w:ascii="Arial" w:hAnsi="Arial" w:cs="Arial"/>
          <w:sz w:val="20"/>
        </w:rPr>
        <w:t xml:space="preserve"> [2025] VSC 25 Forbes J refused the plainitff’s application to vacate a trial date</w:t>
      </w:r>
      <w:r w:rsidR="00294458">
        <w:rPr>
          <w:rFonts w:ascii="Arial" w:hAnsi="Arial" w:cs="Arial"/>
          <w:sz w:val="20"/>
        </w:rPr>
        <w:t xml:space="preserve"> fixed for 11/02/2025</w:t>
      </w:r>
      <w:r>
        <w:rPr>
          <w:rFonts w:ascii="Arial" w:hAnsi="Arial" w:cs="Arial"/>
          <w:sz w:val="20"/>
        </w:rPr>
        <w:t xml:space="preserve">. The application was grounded on an answer given by the then Victorian Attorney-General in Parliament on 26/11/2024 as to whether she would actively support legislative reform following the decision of the High Court in </w:t>
      </w:r>
      <w:r w:rsidRPr="00E84701">
        <w:rPr>
          <w:rFonts w:ascii="Arial" w:hAnsi="Arial" w:cs="Arial"/>
          <w:i/>
          <w:iCs/>
          <w:sz w:val="20"/>
        </w:rPr>
        <w:t xml:space="preserve">Bird v </w:t>
      </w:r>
      <w:r>
        <w:rPr>
          <w:rFonts w:ascii="Arial" w:hAnsi="Arial" w:cs="Arial"/>
          <w:i/>
          <w:iCs/>
          <w:sz w:val="20"/>
        </w:rPr>
        <w:t>DP (A Pseudonym)</w:t>
      </w:r>
      <w:r w:rsidRPr="00E84701">
        <w:rPr>
          <w:rFonts w:ascii="Arial" w:hAnsi="Arial" w:cs="Arial"/>
          <w:sz w:val="20"/>
        </w:rPr>
        <w:t xml:space="preserve"> [2024] HCA 41.</w:t>
      </w:r>
      <w:r w:rsidR="00294458">
        <w:rPr>
          <w:rFonts w:ascii="Arial" w:hAnsi="Arial" w:cs="Arial"/>
          <w:sz w:val="20"/>
        </w:rPr>
        <w:t xml:space="preserve"> </w:t>
      </w:r>
      <w:r>
        <w:rPr>
          <w:rFonts w:ascii="Arial" w:hAnsi="Arial" w:cs="Arial"/>
          <w:sz w:val="20"/>
        </w:rPr>
        <w:t>At [7]-[9] Forbes J said:</w:t>
      </w:r>
    </w:p>
    <w:p w14:paraId="74DC90B5" w14:textId="525D591D" w:rsidR="00E84701" w:rsidRPr="00E84701" w:rsidRDefault="00E84701" w:rsidP="00E84701">
      <w:pPr>
        <w:spacing w:before="60"/>
        <w:ind w:left="454" w:right="454"/>
        <w:jc w:val="both"/>
        <w:rPr>
          <w:rFonts w:ascii="Arial" w:hAnsi="Arial" w:cs="Arial"/>
          <w:sz w:val="20"/>
          <w:szCs w:val="20"/>
        </w:rPr>
      </w:pPr>
      <w:r>
        <w:rPr>
          <w:rFonts w:ascii="Arial" w:hAnsi="Arial" w:cs="Arial"/>
          <w:bCs/>
          <w:sz w:val="20"/>
        </w:rPr>
        <w:t>[7] “</w:t>
      </w:r>
      <w:r w:rsidRPr="00E84701">
        <w:rPr>
          <w:rFonts w:ascii="Arial" w:hAnsi="Arial" w:cs="Arial"/>
          <w:sz w:val="20"/>
        </w:rPr>
        <w:t xml:space="preserve">There is a long line of authority establishing the general principle that the role of the Court is to determine cases according to the existing law. The comments apply whether the contemplated changes derive from a court appellate process or a legislative process. In </w:t>
      </w:r>
      <w:r w:rsidRPr="00E84701">
        <w:rPr>
          <w:rFonts w:ascii="Arial" w:hAnsi="Arial" w:cs="Arial"/>
          <w:i/>
          <w:iCs/>
          <w:sz w:val="20"/>
        </w:rPr>
        <w:lastRenderedPageBreak/>
        <w:t>Meggitt Oversesas Ltd v Grdovic</w:t>
      </w:r>
      <w:r w:rsidRPr="00E84701">
        <w:rPr>
          <w:rFonts w:ascii="Arial" w:hAnsi="Arial" w:cs="Arial"/>
          <w:sz w:val="20"/>
        </w:rPr>
        <w:t xml:space="preserve"> </w:t>
      </w:r>
      <w:r>
        <w:rPr>
          <w:rFonts w:ascii="Arial" w:hAnsi="Arial" w:cs="Arial"/>
          <w:sz w:val="20"/>
        </w:rPr>
        <w:t xml:space="preserve">(1998) 43 NSWLR 527 at 529, </w:t>
      </w:r>
      <w:r w:rsidRPr="00E84701">
        <w:rPr>
          <w:rFonts w:ascii="Arial" w:hAnsi="Arial" w:cs="Arial"/>
          <w:sz w:val="20"/>
        </w:rPr>
        <w:t xml:space="preserve">Mason P found that a trial judge had erred in vacating a trial so that a plaintiff could rely on proposed legislative changes to reform available damages for dust diseases. </w:t>
      </w:r>
      <w:r w:rsidRPr="00E84701">
        <w:rPr>
          <w:rFonts w:ascii="Arial" w:hAnsi="Arial" w:cs="Arial"/>
          <w:sz w:val="20"/>
          <w:szCs w:val="20"/>
        </w:rPr>
        <w:t>It was argued that proceeding to trial before the foreshadowed amendments would seriously prejudice the plaintiff. In finding that the trial judged had erred in exercising this discretion, his Honour said:</w:t>
      </w:r>
    </w:p>
    <w:p w14:paraId="28ACA5CF" w14:textId="20DCD17D" w:rsidR="00E84701" w:rsidRDefault="00E84701" w:rsidP="00E84701">
      <w:pPr>
        <w:spacing w:before="60"/>
        <w:ind w:left="907" w:right="907"/>
        <w:jc w:val="both"/>
        <w:rPr>
          <w:rFonts w:ascii="Arial" w:hAnsi="Arial" w:cs="Arial"/>
          <w:sz w:val="18"/>
          <w:szCs w:val="22"/>
        </w:rPr>
      </w:pPr>
      <w:r w:rsidRPr="00E84701">
        <w:rPr>
          <w:rFonts w:ascii="Arial" w:hAnsi="Arial" w:cs="Arial"/>
          <w:sz w:val="18"/>
          <w:szCs w:val="22"/>
        </w:rPr>
        <w:t>In my view, the discretion miscarried. The learned judge erred in taking into account the prospect of legislative amendment as a controlling factor in the decision granting the adjournment. The error was compounded by the apparent intent that the hearing date will, as presently advised, be deferred</w:t>
      </w:r>
      <w:r>
        <w:rPr>
          <w:rFonts w:ascii="Arial" w:hAnsi="Arial" w:cs="Arial"/>
          <w:sz w:val="18"/>
          <w:szCs w:val="22"/>
        </w:rPr>
        <w:t xml:space="preserve"> until the amending legislation is passed and the plaintiff becomes thereby entitled to take advantage of it.</w:t>
      </w:r>
    </w:p>
    <w:p w14:paraId="7B27FB25" w14:textId="026ACDF1" w:rsidR="00E84701" w:rsidRPr="00E84701" w:rsidRDefault="00E84701" w:rsidP="00E84701">
      <w:pPr>
        <w:spacing w:before="60"/>
        <w:ind w:left="454" w:right="454"/>
        <w:jc w:val="both"/>
        <w:rPr>
          <w:rFonts w:ascii="Arial" w:hAnsi="Arial" w:cs="Arial"/>
          <w:sz w:val="20"/>
          <w:szCs w:val="20"/>
        </w:rPr>
      </w:pPr>
      <w:r>
        <w:rPr>
          <w:rFonts w:ascii="Arial" w:hAnsi="Arial" w:cs="Arial"/>
          <w:sz w:val="20"/>
          <w:szCs w:val="20"/>
        </w:rPr>
        <w:t>[8] The announcement of a decision to introduce particular legislation, and any retrospective operation of such legislation, may impact pending proceedings. But, as Mason P went on at 531:</w:t>
      </w:r>
    </w:p>
    <w:p w14:paraId="5DAC0701" w14:textId="44C9023C" w:rsidR="00E84701" w:rsidRDefault="00E84701" w:rsidP="00E84701">
      <w:pPr>
        <w:spacing w:before="60"/>
        <w:ind w:left="907" w:right="907"/>
        <w:jc w:val="both"/>
        <w:rPr>
          <w:rFonts w:ascii="Arial" w:hAnsi="Arial" w:cs="Arial"/>
          <w:sz w:val="18"/>
          <w:szCs w:val="22"/>
        </w:rPr>
      </w:pPr>
      <w:r>
        <w:rPr>
          <w:rFonts w:ascii="Arial" w:hAnsi="Arial" w:cs="Arial"/>
          <w:sz w:val="18"/>
          <w:szCs w:val="22"/>
        </w:rPr>
        <w:t>Does the announcement qualify in any way the judicial branch’s obligation to uphold the existing – I emphasise the word ‘existing’ – law? And does it enliven a power to grant a contested adjournment of proceedings fixed for hearing so as to enable one party to gain the benefit of proposed legislation to the detriment of another party? The answer to each question must be a categorical ‘no’.</w:t>
      </w:r>
    </w:p>
    <w:p w14:paraId="7EAAA274" w14:textId="0D91F6C2" w:rsidR="00E84701" w:rsidRDefault="00E84701" w:rsidP="00E84701">
      <w:pPr>
        <w:spacing w:before="60"/>
        <w:ind w:left="454" w:right="454"/>
        <w:jc w:val="both"/>
        <w:rPr>
          <w:rFonts w:ascii="Arial" w:hAnsi="Arial" w:cs="Arial"/>
          <w:sz w:val="20"/>
        </w:rPr>
      </w:pPr>
      <w:r>
        <w:rPr>
          <w:rFonts w:ascii="Arial" w:hAnsi="Arial" w:cs="Arial"/>
          <w:sz w:val="20"/>
          <w:szCs w:val="20"/>
        </w:rPr>
        <w:t xml:space="preserve">[9] These comments in turn relied on a line of authority based upon the comments of Starke J in </w:t>
      </w:r>
      <w:r w:rsidRPr="00E84701">
        <w:rPr>
          <w:rFonts w:ascii="Arial" w:hAnsi="Arial" w:cs="Arial"/>
          <w:i/>
          <w:iCs/>
          <w:sz w:val="20"/>
          <w:szCs w:val="20"/>
        </w:rPr>
        <w:t xml:space="preserve">Ramsay v Aberfoyle Manufacturing </w:t>
      </w:r>
      <w:r w:rsidRPr="00E84701">
        <w:rPr>
          <w:rFonts w:ascii="Arial" w:hAnsi="Arial" w:cs="Arial"/>
          <w:i/>
          <w:iCs/>
          <w:sz w:val="20"/>
        </w:rPr>
        <w:t>Co (Australia) Pty Ltd</w:t>
      </w:r>
      <w:r w:rsidRPr="00E84701">
        <w:rPr>
          <w:rFonts w:ascii="Arial" w:hAnsi="Arial" w:cs="Arial"/>
          <w:sz w:val="20"/>
        </w:rPr>
        <w:t xml:space="preserve"> (1935) 54 CLR 230 at 253</w:t>
      </w:r>
      <w:r>
        <w:rPr>
          <w:rFonts w:ascii="Arial" w:hAnsi="Arial" w:cs="Arial"/>
          <w:sz w:val="20"/>
        </w:rPr>
        <w:t>:</w:t>
      </w:r>
    </w:p>
    <w:p w14:paraId="17BA9FD7" w14:textId="28A74A00" w:rsidR="00E84701" w:rsidRDefault="00E84701" w:rsidP="00E84701">
      <w:pPr>
        <w:spacing w:before="60"/>
        <w:ind w:left="907" w:right="907"/>
        <w:jc w:val="both"/>
        <w:rPr>
          <w:rFonts w:ascii="Arial" w:hAnsi="Arial" w:cs="Arial"/>
          <w:sz w:val="18"/>
          <w:szCs w:val="22"/>
        </w:rPr>
      </w:pPr>
      <w:r>
        <w:rPr>
          <w:rFonts w:ascii="Arial" w:hAnsi="Arial" w:cs="Arial"/>
          <w:sz w:val="18"/>
          <w:szCs w:val="22"/>
        </w:rPr>
        <w:t>Courts of law, however, can only act upon the law as it is, and have no right to, and cannot, speculate upon alterations in the law that may be made in the future.</w:t>
      </w:r>
    </w:p>
    <w:p w14:paraId="435CAC7A" w14:textId="6965BB60" w:rsidR="00E84701" w:rsidRDefault="00E84701" w:rsidP="00E84701">
      <w:pPr>
        <w:spacing w:before="60"/>
        <w:ind w:left="454" w:right="454"/>
        <w:jc w:val="both"/>
        <w:rPr>
          <w:rFonts w:ascii="Arial" w:hAnsi="Arial" w:cs="Arial"/>
          <w:sz w:val="20"/>
        </w:rPr>
      </w:pPr>
      <w:r>
        <w:rPr>
          <w:rFonts w:ascii="Arial" w:hAnsi="Arial" w:cs="Arial"/>
          <w:sz w:val="20"/>
        </w:rPr>
        <w:t xml:space="preserve">See also as applied </w:t>
      </w:r>
      <w:r w:rsidRPr="00E84701">
        <w:rPr>
          <w:rFonts w:ascii="Arial" w:hAnsi="Arial" w:cs="Arial"/>
          <w:i/>
          <w:iCs/>
          <w:sz w:val="20"/>
        </w:rPr>
        <w:t>in Attorney-General (NT) v Minister for Aboriginal Affairs</w:t>
      </w:r>
      <w:r w:rsidRPr="00E84701">
        <w:rPr>
          <w:rFonts w:ascii="Arial" w:hAnsi="Arial" w:cs="Arial"/>
          <w:sz w:val="20"/>
        </w:rPr>
        <w:t xml:space="preserve"> (1987) 73 ALR 33 at 50-51, </w:t>
      </w:r>
      <w:r w:rsidRPr="00E84701">
        <w:rPr>
          <w:rFonts w:ascii="Arial" w:hAnsi="Arial" w:cs="Arial"/>
          <w:i/>
          <w:iCs/>
          <w:sz w:val="20"/>
        </w:rPr>
        <w:t>Jupp v Computer Power Group Ltd</w:t>
      </w:r>
      <w:r w:rsidRPr="00E84701">
        <w:rPr>
          <w:rFonts w:ascii="Arial" w:hAnsi="Arial" w:cs="Arial"/>
          <w:sz w:val="20"/>
        </w:rPr>
        <w:t xml:space="preserve"> (1994) 122 ALR 711, </w:t>
      </w:r>
      <w:r w:rsidRPr="00E84701">
        <w:rPr>
          <w:rFonts w:ascii="Arial" w:hAnsi="Arial" w:cs="Arial"/>
          <w:i/>
          <w:iCs/>
          <w:sz w:val="20"/>
        </w:rPr>
        <w:t>Sydney City Council v Ke-Su Investments Pty Ltd</w:t>
      </w:r>
      <w:r w:rsidRPr="00E84701">
        <w:rPr>
          <w:rFonts w:ascii="Arial" w:hAnsi="Arial" w:cs="Arial"/>
          <w:sz w:val="20"/>
        </w:rPr>
        <w:t xml:space="preserve"> (1985) 1 NSWLR 246, McHugh J at 258 quoting </w:t>
      </w:r>
      <w:r w:rsidRPr="00E84701">
        <w:rPr>
          <w:rFonts w:ascii="Arial" w:hAnsi="Arial" w:cs="Arial"/>
          <w:i/>
          <w:iCs/>
          <w:sz w:val="20"/>
        </w:rPr>
        <w:t>R v Whiteway; ex parte Stevenson</w:t>
      </w:r>
      <w:r w:rsidRPr="00E84701">
        <w:rPr>
          <w:rFonts w:ascii="Arial" w:hAnsi="Arial" w:cs="Arial"/>
          <w:sz w:val="20"/>
        </w:rPr>
        <w:t xml:space="preserve"> [1961] VR 168 at 171.</w:t>
      </w:r>
      <w:r>
        <w:rPr>
          <w:rFonts w:ascii="Arial" w:hAnsi="Arial" w:cs="Arial"/>
          <w:sz w:val="20"/>
        </w:rPr>
        <w:t>”</w:t>
      </w:r>
    </w:p>
    <w:p w14:paraId="1249EE8A" w14:textId="77777777" w:rsidR="00E84701" w:rsidRPr="00E84701" w:rsidRDefault="00E84701" w:rsidP="00E84701">
      <w:pPr>
        <w:spacing w:before="60"/>
        <w:ind w:right="907"/>
        <w:jc w:val="both"/>
        <w:rPr>
          <w:rFonts w:ascii="Arial" w:hAnsi="Arial" w:cs="Arial"/>
          <w:sz w:val="18"/>
          <w:szCs w:val="22"/>
        </w:rPr>
      </w:pPr>
    </w:p>
    <w:p w14:paraId="7E0BFA3D" w14:textId="6FA47D2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Holden v Kukuy; Re Jay Invest Property Pty Ltd (in liq)</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Habonim Pty Ltd &amp; </w:t>
      </w:r>
      <w:r w:rsidR="00BB08B4">
        <w:rPr>
          <w:rFonts w:ascii="Arial" w:hAnsi="Arial" w:cs="Arial"/>
          <w:i/>
          <w:iCs/>
          <w:sz w:val="20"/>
          <w:szCs w:val="20"/>
        </w:rPr>
        <w:t>Weiden</w:t>
      </w:r>
      <w:r w:rsidR="00FE2E7A">
        <w:rPr>
          <w:rFonts w:ascii="Arial" w:hAnsi="Arial" w:cs="Arial"/>
          <w:sz w:val="20"/>
          <w:szCs w:val="20"/>
        </w:rPr>
        <w:t xml:space="preserve"> [2023] VSC 222</w:t>
      </w:r>
      <w:r w:rsidR="00282556">
        <w:rPr>
          <w:rFonts w:ascii="Arial" w:hAnsi="Arial" w:cs="Arial"/>
          <w:sz w:val="20"/>
          <w:szCs w:val="20"/>
        </w:rPr>
        <w:t xml:space="preserve">; </w:t>
      </w:r>
      <w:r w:rsidR="00282556" w:rsidRPr="00282556">
        <w:rPr>
          <w:rFonts w:ascii="Arial" w:hAnsi="Arial" w:cs="Arial"/>
          <w:i/>
          <w:iCs/>
          <w:sz w:val="20"/>
          <w:szCs w:val="20"/>
        </w:rPr>
        <w:t>Melco Resorts (Macau) Ltd v Wu</w:t>
      </w:r>
      <w:r w:rsidR="00282556">
        <w:rPr>
          <w:rFonts w:ascii="Arial" w:hAnsi="Arial" w:cs="Arial"/>
          <w:i/>
          <w:iCs/>
          <w:sz w:val="20"/>
          <w:szCs w:val="20"/>
        </w:rPr>
        <w:t xml:space="preserve"> </w:t>
      </w:r>
      <w:r w:rsidR="00282556" w:rsidRPr="00282556">
        <w:rPr>
          <w:rFonts w:ascii="Arial" w:hAnsi="Arial" w:cs="Arial"/>
          <w:sz w:val="20"/>
          <w:szCs w:val="20"/>
        </w:rPr>
        <w:t>[2025] VSC 460 at [17]-[21].</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9" w:name="_3.3.3_Implied_powers"/>
      <w:bookmarkStart w:id="230" w:name="B334"/>
      <w:bookmarkEnd w:id="229"/>
      <w:bookmarkEnd w:id="230"/>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[N]otwithstanding that its powers may be defined, every court undoubtedly possesses jurisdiction 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31" w:name="B3341"/>
    <w:bookmarkStart w:id="232" w:name="_3.3.4.1_Power_to"/>
    <w:bookmarkEnd w:id="231"/>
    <w:bookmarkEnd w:id="232"/>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Kiefel CJ, Gageler,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(Cth)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r w:rsidR="00670F64" w:rsidRPr="00670F64">
        <w:rPr>
          <w:rFonts w:ascii="Arial" w:hAnsi="Arial" w:cs="Arial"/>
          <w:color w:val="000000"/>
          <w:sz w:val="20"/>
          <w:szCs w:val="20"/>
        </w:rPr>
        <w:t xml:space="preserve">Gageler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w:t>
      </w:r>
      <w:r w:rsidR="00670F64" w:rsidRPr="00670F64">
        <w:rPr>
          <w:rFonts w:ascii="Arial" w:hAnsi="Arial" w:cs="Arial"/>
          <w:color w:val="000000"/>
          <w:sz w:val="20"/>
          <w:szCs w:val="20"/>
        </w:rPr>
        <w:lastRenderedPageBreak/>
        <w:t>proceedings where the prejudice resulting from an abuse of process is curable by less drastic means. Her Honour said</w:t>
      </w:r>
      <w:bookmarkStart w:id="233" w:name="_ftnref42"/>
      <w:r w:rsidR="00544ADF">
        <w:rPr>
          <w:rFonts w:ascii="Arial" w:hAnsi="Arial" w:cs="Arial"/>
          <w:color w:val="000000"/>
          <w:sz w:val="20"/>
          <w:szCs w:val="20"/>
        </w:rPr>
        <w:t xml:space="preserve"> at 408 [244]</w:t>
      </w:r>
      <w:bookmarkEnd w:id="233"/>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r w:rsidR="00D17757" w:rsidRPr="00D17757">
        <w:rPr>
          <w:rFonts w:ascii="Arial" w:hAnsi="Arial" w:cs="Arial"/>
          <w:i/>
          <w:iCs/>
          <w:sz w:val="20"/>
          <w:szCs w:val="20"/>
        </w:rPr>
        <w:t>Tuteru</w:t>
      </w:r>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(Cth)</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The party seeking the stay bears a 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34"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r w:rsidR="00C46132" w:rsidRPr="00C46132">
        <w:rPr>
          <w:rFonts w:ascii="Arial" w:hAnsi="Arial" w:cs="Arial"/>
          <w:i/>
          <w:iCs/>
          <w:sz w:val="20"/>
        </w:rPr>
        <w:t>Kuksal v Victorian Legal Services Board</w:t>
      </w:r>
      <w:r w:rsidR="00C46132">
        <w:rPr>
          <w:rFonts w:ascii="Arial" w:hAnsi="Arial" w:cs="Arial"/>
          <w:sz w:val="20"/>
        </w:rPr>
        <w:t xml:space="preserve"> [2024] VSC 732 at [61]-[73]</w:t>
      </w:r>
      <w:r>
        <w:rPr>
          <w:rFonts w:ascii="Arial" w:hAnsi="Arial" w:cs="Arial"/>
          <w:sz w:val="20"/>
        </w:rPr>
        <w:t>.</w:t>
      </w:r>
      <w:bookmarkEnd w:id="234"/>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r w:rsidR="00BB5CD7">
        <w:rPr>
          <w:rFonts w:ascii="Arial" w:hAnsi="Arial" w:cs="Arial"/>
          <w:sz w:val="20"/>
        </w:rPr>
        <w:t>[</w:t>
      </w:r>
      <w:r w:rsidR="003362BE">
        <w:rPr>
          <w:rFonts w:ascii="Arial" w:hAnsi="Arial" w:cs="Arial"/>
          <w:sz w:val="20"/>
        </w:rPr>
        <w:t>18</w:t>
      </w:r>
      <w:r w:rsidR="00BB5CD7">
        <w:rPr>
          <w:rFonts w:ascii="Arial" w:hAnsi="Arial" w:cs="Arial"/>
          <w:sz w:val="20"/>
        </w:rPr>
        <w:t>] the plurality (Gageler CJ, Gordon, Jagot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lastRenderedPageBreak/>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Moubarak by his tutor Coorey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r w:rsidRPr="00BF042D">
        <w:rPr>
          <w:rFonts w:ascii="Arial" w:hAnsi="Arial" w:cs="Arial"/>
          <w:i/>
          <w:iCs/>
          <w:sz w:val="20"/>
        </w:rPr>
        <w:t>Rozenblit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cf </w:t>
      </w:r>
      <w:r w:rsidR="00CA7EF8" w:rsidRPr="00CA7EF8">
        <w:rPr>
          <w:rFonts w:ascii="Arial" w:hAnsi="Arial" w:cs="Arial"/>
          <w:i/>
          <w:iCs/>
          <w:sz w:val="20"/>
        </w:rPr>
        <w:t>Batistatos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(2023) 97 ALJR 857 at 886 [123], cf 888 [137]; 414 ALR 635 at 669, cf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Home.</w:t>
      </w:r>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(Gageler CJ, Gordon, Jagot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lastRenderedPageBreak/>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 xml:space="preserve">In this case, s 6A(2)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"[d]espite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12C3B3C9" w:rsidR="00B03B0B" w:rsidRPr="004C7D62" w:rsidRDefault="00FB2166" w:rsidP="002A6040">
      <w:pPr>
        <w:jc w:val="both"/>
        <w:rPr>
          <w:rFonts w:ascii="Arial" w:hAnsi="Arial" w:cs="Arial"/>
          <w:sz w:val="20"/>
          <w:szCs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r w:rsidR="00E345FD" w:rsidRPr="00E345FD">
        <w:rPr>
          <w:rFonts w:ascii="Arial" w:hAnsi="Arial" w:cs="Arial"/>
          <w:i/>
          <w:sz w:val="20"/>
        </w:rPr>
        <w:t>Hadju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(Cth)</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5" w:name="_Hlk107570035"/>
      <w:r w:rsidR="00996046" w:rsidRPr="009C0A14">
        <w:rPr>
          <w:rFonts w:ascii="Arial" w:hAnsi="Arial" w:cs="Arial"/>
          <w:i/>
          <w:iCs/>
          <w:sz w:val="20"/>
          <w:szCs w:val="20"/>
        </w:rPr>
        <w:t>Phillips &amp; Anor v Stanzer</w:t>
      </w:r>
      <w:r w:rsidR="00996046" w:rsidRPr="009C0A14">
        <w:rPr>
          <w:rFonts w:ascii="Arial" w:hAnsi="Arial" w:cs="Arial"/>
          <w:sz w:val="20"/>
          <w:szCs w:val="20"/>
        </w:rPr>
        <w:t xml:space="preserve"> [2022] VSC 355</w:t>
      </w:r>
      <w:bookmarkEnd w:id="235"/>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Habonim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4C7D62">
        <w:rPr>
          <w:rFonts w:ascii="Arial" w:hAnsi="Arial" w:cs="Arial"/>
          <w:sz w:val="20"/>
          <w:szCs w:val="20"/>
        </w:rPr>
        <w:t xml:space="preserve">; </w:t>
      </w:r>
      <w:r w:rsidR="004C7D62" w:rsidRPr="004C7D62">
        <w:rPr>
          <w:rFonts w:ascii="Arial" w:hAnsi="Arial" w:cs="Arial"/>
          <w:i/>
          <w:iCs/>
          <w:sz w:val="20"/>
          <w:szCs w:val="20"/>
        </w:rPr>
        <w:t>Trustees of the Christian Brothers v Colbert (a pseudonym)</w:t>
      </w:r>
      <w:r w:rsidR="004C7D62">
        <w:rPr>
          <w:rFonts w:ascii="Arial" w:hAnsi="Arial" w:cs="Arial"/>
          <w:sz w:val="20"/>
          <w:szCs w:val="20"/>
        </w:rPr>
        <w:t xml:space="preserve"> [2025] VSCA 122 at [74]-[88]</w:t>
      </w:r>
      <w:r w:rsidR="000A5496">
        <w:rPr>
          <w:rFonts w:ascii="Arial" w:hAnsi="Arial" w:cs="Arial"/>
          <w:sz w:val="20"/>
          <w:szCs w:val="20"/>
        </w:rPr>
        <w:t>.</w:t>
      </w:r>
      <w:r w:rsidR="00B03B0B">
        <w:rPr>
          <w:rFonts w:ascii="Arial" w:hAnsi="Arial" w:cs="Arial"/>
          <w:sz w:val="20"/>
          <w:szCs w:val="20"/>
        </w:rPr>
        <w:t xml:space="preserve"> </w:t>
      </w:r>
      <w:bookmarkStart w:id="236"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7"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t>Further, s</w:t>
      </w:r>
      <w:r w:rsidR="009C7C0E">
        <w:rPr>
          <w:rFonts w:ascii="Arial" w:hAnsi="Arial" w:cs="Arial"/>
          <w:color w:val="000000"/>
          <w:sz w:val="20"/>
          <w:szCs w:val="20"/>
        </w:rPr>
        <w:t xml:space="preserve">ee </w:t>
      </w:r>
      <w:bookmarkEnd w:id="236"/>
      <w:r w:rsidR="009C7C0E">
        <w:rPr>
          <w:rFonts w:ascii="Arial" w:hAnsi="Arial" w:cs="Arial"/>
          <w:color w:val="000000"/>
          <w:sz w:val="20"/>
          <w:szCs w:val="20"/>
        </w:rPr>
        <w:t>“</w:t>
      </w:r>
      <w:hyperlink r:id="rId41"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7"/>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Qd R 572, </w:t>
      </w:r>
      <w:r w:rsidRPr="00164487">
        <w:rPr>
          <w:rFonts w:ascii="Arial" w:hAnsi="Arial" w:cs="Arial"/>
          <w:i/>
          <w:color w:val="000000"/>
          <w:sz w:val="20"/>
          <w:szCs w:val="20"/>
        </w:rPr>
        <w:t>R v Croydon Justices; Ex Parte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R v Mohi</w:t>
      </w:r>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8" w:name="_Toc30651644"/>
      <w:bookmarkStart w:id="239" w:name="_Toc30652628"/>
      <w:bookmarkStart w:id="240" w:name="_Toc30652726"/>
      <w:bookmarkStart w:id="241" w:name="_Toc30654071"/>
      <w:bookmarkStart w:id="242" w:name="_Toc30654422"/>
      <w:bookmarkStart w:id="243" w:name="_Toc30655041"/>
      <w:bookmarkStart w:id="244" w:name="_Toc30655298"/>
      <w:bookmarkStart w:id="245" w:name="_Toc30656976"/>
      <w:bookmarkStart w:id="246" w:name="_Toc30661725"/>
      <w:bookmarkStart w:id="247" w:name="_Toc30666413"/>
      <w:bookmarkStart w:id="248" w:name="_Toc30666643"/>
      <w:bookmarkStart w:id="249" w:name="_Toc30667818"/>
      <w:bookmarkStart w:id="250" w:name="_Toc30669196"/>
      <w:bookmarkStart w:id="251" w:name="_Toc30671412"/>
      <w:bookmarkStart w:id="252" w:name="_Toc30673939"/>
      <w:bookmarkStart w:id="253" w:name="_Toc30691161"/>
      <w:bookmarkStart w:id="254" w:name="_Toc30691532"/>
      <w:bookmarkStart w:id="255" w:name="_Toc30691912"/>
      <w:bookmarkStart w:id="256" w:name="_Toc30692671"/>
      <w:bookmarkStart w:id="257" w:name="_Toc30693050"/>
      <w:bookmarkStart w:id="258" w:name="_Toc30693428"/>
      <w:bookmarkStart w:id="259" w:name="_Toc30693807"/>
      <w:bookmarkStart w:id="260" w:name="_Toc30694188"/>
      <w:bookmarkStart w:id="261" w:name="_Toc30698777"/>
      <w:bookmarkStart w:id="262" w:name="_Toc30699155"/>
      <w:bookmarkStart w:id="263" w:name="_Toc30699540"/>
      <w:bookmarkStart w:id="264" w:name="_Toc30700695"/>
      <w:bookmarkStart w:id="265" w:name="_Toc30701082"/>
      <w:bookmarkStart w:id="266" w:name="_Toc30743691"/>
      <w:bookmarkStart w:id="267" w:name="_Toc30754513"/>
      <w:bookmarkStart w:id="268" w:name="_Toc30756953"/>
      <w:bookmarkStart w:id="269" w:name="_Toc30757502"/>
      <w:bookmarkStart w:id="270" w:name="_Toc30757902"/>
      <w:bookmarkStart w:id="271" w:name="_Toc30762663"/>
      <w:bookmarkStart w:id="272" w:name="_Toc30767317"/>
      <w:bookmarkStart w:id="273" w:name="_Toc34823333"/>
    </w:p>
    <w:p w14:paraId="436A08F3" w14:textId="1817F8A0" w:rsidR="00BB4510" w:rsidRDefault="005D297C" w:rsidP="007849C4">
      <w:pPr>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VChC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 xml:space="preserve">case manager at CVE, became engaged to provide services to rehabilitate and reintegrate TC and to provide </w:t>
      </w:r>
      <w:r w:rsidR="000867E8" w:rsidRPr="000B7637">
        <w:rPr>
          <w:rFonts w:ascii="Arial" w:hAnsi="Arial" w:cs="Arial"/>
          <w:sz w:val="20"/>
          <w:szCs w:val="20"/>
        </w:rPr>
        <w:lastRenderedPageBreak/>
        <w:t>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(Cth)</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r w:rsidR="00BB4510" w:rsidRPr="007875B5">
        <w:rPr>
          <w:rFonts w:ascii="Arial" w:hAnsi="Arial" w:cs="Arial"/>
          <w:i/>
          <w:iCs/>
          <w:sz w:val="20"/>
          <w:szCs w:val="20"/>
        </w:rPr>
        <w:t>Omychund v Barker</w:t>
      </w:r>
      <w:r w:rsidR="00BB4510">
        <w:rPr>
          <w:rFonts w:ascii="Arial" w:hAnsi="Arial" w:cs="Arial"/>
          <w:sz w:val="20"/>
          <w:szCs w:val="20"/>
        </w:rPr>
        <w:t xml:space="preserve"> (1744) 1 Atk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lastRenderedPageBreak/>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DPP v Tuteru</w:t>
      </w:r>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Prestia v Machok</w:t>
      </w:r>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 xml:space="preserve">including an assault alleged to have been committed on 13/09/2008.  The accused was 17y8m at the time of the alleged offences but was not charged until he </w:t>
      </w:r>
      <w:r w:rsidR="001B5E53" w:rsidRPr="00164487">
        <w:rPr>
          <w:rFonts w:ascii="Arial" w:hAnsi="Arial" w:cs="Arial"/>
          <w:color w:val="000000"/>
          <w:sz w:val="20"/>
          <w:szCs w:val="20"/>
        </w:rPr>
        <w:lastRenderedPageBreak/>
        <w:t>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r w:rsidRPr="00164487">
        <w:rPr>
          <w:rFonts w:ascii="Arial" w:hAnsi="Arial" w:cs="Arial"/>
          <w:i/>
          <w:color w:val="000000"/>
          <w:sz w:val="20"/>
          <w:szCs w:val="20"/>
        </w:rPr>
        <w:t>Edebone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r w:rsidRPr="00164487">
        <w:rPr>
          <w:rFonts w:ascii="Arial" w:hAnsi="Arial" w:cs="Arial"/>
          <w:color w:val="000000"/>
          <w:sz w:val="20"/>
          <w:szCs w:val="20"/>
        </w:rPr>
        <w:t>Machok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0641F0ED" w14:textId="77777777" w:rsidR="00616690" w:rsidRDefault="00E02832" w:rsidP="00E02832">
      <w:pPr>
        <w:jc w:val="both"/>
        <w:rPr>
          <w:rFonts w:ascii="Arial" w:hAnsi="Arial" w:cs="Arial"/>
          <w:sz w:val="20"/>
        </w:rPr>
      </w:pPr>
      <w:r>
        <w:rPr>
          <w:rFonts w:ascii="Arial" w:hAnsi="Arial" w:cs="Arial"/>
          <w:sz w:val="20"/>
        </w:rPr>
        <w:t>See also</w:t>
      </w:r>
      <w:r w:rsidR="00616690">
        <w:rPr>
          <w:rFonts w:ascii="Arial" w:hAnsi="Arial" w:cs="Arial"/>
          <w:sz w:val="20"/>
        </w:rPr>
        <w:t>:</w:t>
      </w:r>
    </w:p>
    <w:p w14:paraId="52CA822C" w14:textId="77777777" w:rsidR="00616690" w:rsidRPr="00164487" w:rsidRDefault="00E02832" w:rsidP="00616690">
      <w:pPr>
        <w:numPr>
          <w:ilvl w:val="0"/>
          <w:numId w:val="31"/>
        </w:numPr>
        <w:ind w:left="284" w:hanging="284"/>
        <w:jc w:val="both"/>
        <w:rPr>
          <w:rFonts w:ascii="Arial" w:hAnsi="Arial" w:cs="Arial"/>
          <w:color w:val="000000"/>
          <w:sz w:val="16"/>
          <w:szCs w:val="20"/>
        </w:rPr>
      </w:pP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57D3CE9B" w14:textId="400D3D35" w:rsidR="00616690" w:rsidRPr="00164487" w:rsidRDefault="00616690" w:rsidP="00616690">
      <w:pPr>
        <w:numPr>
          <w:ilvl w:val="0"/>
          <w:numId w:val="31"/>
        </w:numPr>
        <w:ind w:left="284" w:hanging="284"/>
        <w:jc w:val="both"/>
        <w:rPr>
          <w:rFonts w:ascii="Arial" w:hAnsi="Arial" w:cs="Arial"/>
          <w:color w:val="000000"/>
          <w:sz w:val="16"/>
          <w:szCs w:val="20"/>
        </w:rPr>
      </w:pPr>
      <w:r>
        <w:rPr>
          <w:rFonts w:ascii="Arial" w:hAnsi="Arial" w:cs="Arial"/>
          <w:i/>
          <w:iCs/>
          <w:sz w:val="20"/>
        </w:rPr>
        <w:t>Newell</w:t>
      </w:r>
      <w:r w:rsidRPr="00E02832">
        <w:rPr>
          <w:rFonts w:ascii="Arial" w:hAnsi="Arial" w:cs="Arial"/>
          <w:i/>
          <w:iCs/>
          <w:sz w:val="20"/>
        </w:rPr>
        <w:t xml:space="preserve"> (a pseudonym) v The King</w:t>
      </w:r>
      <w:r>
        <w:rPr>
          <w:rFonts w:ascii="Arial" w:hAnsi="Arial" w:cs="Arial"/>
          <w:sz w:val="20"/>
        </w:rPr>
        <w:t xml:space="preserve"> [2025] VSCA 160 where the Court of Appeal refused leave to appeal a refusal by the trial judge to grant a permanent stay of an indictment alleging child sexual offences 37 to 40 years ago, holding that any u</w:t>
      </w:r>
      <w:r w:rsidRPr="00616690">
        <w:rPr>
          <w:rFonts w:ascii="Arial" w:hAnsi="Arial" w:cs="Arial"/>
          <w:sz w:val="20"/>
        </w:rPr>
        <w:t xml:space="preserve">nfairness </w:t>
      </w:r>
      <w:r>
        <w:rPr>
          <w:rFonts w:ascii="Arial" w:hAnsi="Arial" w:cs="Arial"/>
          <w:sz w:val="20"/>
        </w:rPr>
        <w:t xml:space="preserve">was </w:t>
      </w:r>
      <w:r w:rsidRPr="00616690">
        <w:rPr>
          <w:rFonts w:ascii="Arial" w:hAnsi="Arial" w:cs="Arial"/>
          <w:sz w:val="20"/>
        </w:rPr>
        <w:t>capable of amelioration by jury direction</w:t>
      </w:r>
      <w:r>
        <w:rPr>
          <w:rFonts w:ascii="Arial" w:hAnsi="Arial" w:cs="Arial"/>
          <w:sz w:val="20"/>
        </w:rPr>
        <w:t>.</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Gageler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t>
      </w:r>
      <w:r w:rsidRPr="00C2496F">
        <w:rPr>
          <w:rFonts w:ascii="Arial" w:eastAsia="Arial" w:hAnsi="Arial" w:cs="Arial"/>
          <w:iCs/>
          <w:sz w:val="20"/>
          <w:szCs w:val="20"/>
        </w:rPr>
        <w:lastRenderedPageBreak/>
        <w:t xml:space="preserve">which comprises closed categories </w:t>
      </w:r>
      <w:r w:rsidR="00C43839">
        <w:rPr>
          <w:rFonts w:ascii="Arial" w:eastAsia="Arial" w:hAnsi="Arial" w:cs="Arial"/>
          <w:iCs/>
          <w:sz w:val="20"/>
          <w:szCs w:val="20"/>
        </w:rPr>
        <w:t>{</w:t>
      </w:r>
      <w:r w:rsidR="00C43839" w:rsidRPr="00C43839">
        <w:rPr>
          <w:rFonts w:ascii="Arial" w:eastAsia="Arial" w:hAnsi="Arial" w:cs="Arial"/>
          <w:i/>
          <w:sz w:val="20"/>
          <w:szCs w:val="20"/>
        </w:rPr>
        <w:t>Batistatos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r w:rsidR="009D6463" w:rsidRPr="00C77210">
        <w:rPr>
          <w:rFonts w:ascii="Arial" w:eastAsia="Arial" w:hAnsi="Arial" w:cs="Arial"/>
          <w:i/>
          <w:sz w:val="20"/>
          <w:szCs w:val="20"/>
        </w:rPr>
        <w:t>O’Shane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74" w:name="_3.3.4.2_Res_judicata,"/>
      <w:bookmarkStart w:id="275" w:name="B3342"/>
      <w:bookmarkEnd w:id="274"/>
      <w:bookmarkEnd w:id="275"/>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r w:rsidRPr="00D64B2E">
        <w:rPr>
          <w:rFonts w:ascii="Arial" w:hAnsi="Arial" w:cs="Arial"/>
          <w:b/>
          <w:bCs/>
          <w:i/>
          <w:iCs/>
          <w:sz w:val="20"/>
        </w:rPr>
        <w:t>Anshun</w:t>
      </w:r>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r w:rsidRPr="008A7D66">
        <w:rPr>
          <w:rFonts w:ascii="Arial" w:hAnsi="Arial" w:cs="Arial"/>
          <w:i/>
          <w:iCs/>
          <w:sz w:val="20"/>
          <w:szCs w:val="20"/>
        </w:rPr>
        <w:t>Anshun</w:t>
      </w:r>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Port of Melbourne Authority v Anshun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r w:rsidR="00F56D91" w:rsidRPr="00F56D91">
        <w:rPr>
          <w:rFonts w:ascii="Arial" w:hAnsi="Arial" w:cs="Arial"/>
          <w:i/>
          <w:iCs/>
          <w:sz w:val="20"/>
          <w:szCs w:val="20"/>
        </w:rPr>
        <w:t xml:space="preserve">Gemcan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r w:rsidRPr="00347753">
        <w:rPr>
          <w:rFonts w:ascii="Arial" w:eastAsia="Arial" w:hAnsi="Arial" w:cs="Arial"/>
          <w:i/>
          <w:sz w:val="18"/>
          <w:szCs w:val="18"/>
        </w:rPr>
        <w:t>Hoystead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(Cth).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FamCA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Gageler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r w:rsidR="0014279B">
        <w:rPr>
          <w:rFonts w:ascii="Arial" w:hAnsi="Arial" w:cs="Arial"/>
          <w:sz w:val="20"/>
          <w:szCs w:val="20"/>
        </w:rPr>
        <w:t>‘</w:t>
      </w:r>
      <w:r w:rsidR="0014279B" w:rsidRPr="006D6DA8">
        <w:rPr>
          <w:rFonts w:ascii="Arial" w:hAnsi="Arial" w:cs="Arial"/>
          <w:sz w:val="20"/>
          <w:szCs w:val="20"/>
        </w:rPr>
        <w:t>cause</w:t>
      </w:r>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r w:rsidR="0014279B">
        <w:rPr>
          <w:rFonts w:ascii="Arial" w:hAnsi="Arial" w:cs="Arial"/>
          <w:sz w:val="20"/>
          <w:szCs w:val="20"/>
        </w:rPr>
        <w:t>‘c</w:t>
      </w:r>
      <w:r w:rsidR="0014279B" w:rsidRPr="006D6DA8">
        <w:rPr>
          <w:rFonts w:ascii="Arial" w:hAnsi="Arial" w:cs="Arial"/>
          <w:sz w:val="20"/>
          <w:szCs w:val="20"/>
        </w:rPr>
        <w:t>ause</w:t>
      </w:r>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The relevant sense is that of title to 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cf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r w:rsidRPr="006D6DA8">
        <w:rPr>
          <w:rFonts w:ascii="Arial" w:hAnsi="Arial" w:cs="Arial"/>
          <w:i/>
          <w:sz w:val="20"/>
          <w:szCs w:val="20"/>
        </w:rPr>
        <w:t xml:space="preserve">Anshun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Anshun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r w:rsidRPr="00DE0813">
        <w:rPr>
          <w:rFonts w:ascii="Arial" w:hAnsi="Arial" w:cs="Arial"/>
          <w:i/>
          <w:sz w:val="20"/>
          <w:szCs w:val="20"/>
        </w:rPr>
        <w:t xml:space="preserve">Anshun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r w:rsidRPr="00DE0813">
        <w:rPr>
          <w:rFonts w:ascii="Arial" w:hAnsi="Arial" w:cs="Arial"/>
          <w:i/>
          <w:sz w:val="20"/>
          <w:szCs w:val="20"/>
        </w:rPr>
        <w:t xml:space="preserve">Anshun </w:t>
      </w:r>
      <w:r w:rsidRPr="00DE0813">
        <w:rPr>
          <w:rFonts w:ascii="Arial" w:hAnsi="Arial" w:cs="Arial"/>
          <w:sz w:val="20"/>
          <w:szCs w:val="20"/>
        </w:rPr>
        <w:t xml:space="preserve">estoppel has rightly been said to involve ‘fundamental error’: </w:t>
      </w:r>
      <w:r w:rsidRPr="00DE0813">
        <w:rPr>
          <w:rFonts w:ascii="Arial" w:hAnsi="Arial" w:cs="Arial"/>
          <w:i/>
          <w:sz w:val="20"/>
          <w:szCs w:val="20"/>
        </w:rPr>
        <w:t>Champerslife Pty Ltd v Manojlovski</w:t>
      </w:r>
      <w:r w:rsidRPr="00DE0813">
        <w:rPr>
          <w:rFonts w:ascii="Arial" w:hAnsi="Arial" w:cs="Arial"/>
          <w:sz w:val="20"/>
          <w:szCs w:val="20"/>
        </w:rPr>
        <w:t xml:space="preserve"> (2010) 75 NSWLR 245 at 247 [4].. As was pointed out in </w:t>
      </w:r>
      <w:r w:rsidRPr="00DE0813">
        <w:rPr>
          <w:rFonts w:ascii="Arial" w:hAnsi="Arial" w:cs="Arial"/>
          <w:i/>
          <w:sz w:val="20"/>
          <w:szCs w:val="20"/>
        </w:rPr>
        <w:t xml:space="preserve">Port of Melbourne Authority v Anshun Pty </w:t>
      </w:r>
      <w:r w:rsidRPr="00DE0813">
        <w:rPr>
          <w:rFonts w:ascii="Arial" w:hAnsi="Arial" w:cs="Arial"/>
          <w:i/>
          <w:sz w:val="20"/>
          <w:szCs w:val="20"/>
        </w:rPr>
        <w:lastRenderedPageBreak/>
        <w:t>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there are a variety of circumstances ... why a party may justifiably refrain from litigating an issue in one proceeding yet wish to litigate the issue in other proceedings eg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r w:rsidRPr="00DE0813">
        <w:rPr>
          <w:rFonts w:ascii="Arial" w:hAnsi="Arial" w:cs="Arial"/>
          <w:i/>
          <w:sz w:val="20"/>
          <w:szCs w:val="20"/>
        </w:rPr>
        <w:t xml:space="preserve">Anshun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VChC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The estoppel covers only those matters 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w:t>
      </w:r>
      <w:r w:rsidR="007F7FD5" w:rsidRPr="00854172">
        <w:rPr>
          <w:rFonts w:ascii="Arial" w:hAnsi="Arial" w:cs="Arial"/>
          <w:bCs/>
          <w:sz w:val="20"/>
          <w:szCs w:val="20"/>
        </w:rPr>
        <w:lastRenderedPageBreak/>
        <w:t>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VChC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lastRenderedPageBreak/>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6"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6"/>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[120]: “…[it] must therefore be accepted that the Children’s Court did accept that child J had suffered ‘actual harm’, and the [mother’s] submission that no specific finding was made must be rejected.  However, the [DFFH] submission to the effect that the Children’s Court 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w:t>
      </w:r>
      <w:r w:rsidR="00201B53" w:rsidRPr="00E23DE2">
        <w:rPr>
          <w:rFonts w:ascii="Arial" w:hAnsi="Arial" w:cs="Arial"/>
          <w:sz w:val="20"/>
          <w:szCs w:val="16"/>
        </w:rPr>
        <w:lastRenderedPageBreak/>
        <w:t xml:space="preserve">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7" w:name="_3.3.4.3_Requirement_of"/>
      <w:bookmarkStart w:id="278" w:name="B3343"/>
      <w:bookmarkEnd w:id="277"/>
      <w:bookmarkEnd w:id="278"/>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w:t>
      </w:r>
      <w:r w:rsidR="00E55EAA">
        <w:rPr>
          <w:rFonts w:ascii="Arial" w:hAnsi="Arial" w:cs="Arial"/>
          <w:sz w:val="20"/>
          <w:szCs w:val="20"/>
        </w:rPr>
        <w:lastRenderedPageBreak/>
        <w:t xml:space="preserve">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9" w:name="_3.3.4.4_Implied_power"/>
      <w:bookmarkEnd w:id="279"/>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v. McGowan; Ex parte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Thurin v Krongold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25AD56C" w14:textId="77777777" w:rsidR="00D71A60" w:rsidRPr="00836E86" w:rsidRDefault="00D71A60" w:rsidP="00D71A60">
      <w:pPr>
        <w:jc w:val="both"/>
        <w:rPr>
          <w:rFonts w:ascii="Arial" w:hAnsi="Arial" w:cs="Arial"/>
          <w:sz w:val="20"/>
        </w:rPr>
      </w:pPr>
      <w:bookmarkStart w:id="280" w:name="_3.4_Procedural_guidelines"/>
      <w:bookmarkStart w:id="281" w:name="B34"/>
      <w:bookmarkStart w:id="282" w:name="_Hlk167784752"/>
      <w:bookmarkEnd w:id="280"/>
      <w:bookmarkEnd w:id="281"/>
    </w:p>
    <w:p w14:paraId="6E489CC4" w14:textId="77777777" w:rsidR="007849C4" w:rsidRPr="00836E86" w:rsidRDefault="007849C4" w:rsidP="007849C4">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72B307CE" w14:textId="77777777" w:rsidR="007849C4" w:rsidRPr="00836E86" w:rsidRDefault="007849C4" w:rsidP="007849C4">
      <w:pPr>
        <w:rPr>
          <w:rFonts w:ascii="Arial" w:hAnsi="Arial" w:cs="Arial"/>
          <w:sz w:val="20"/>
        </w:rPr>
      </w:pPr>
    </w:p>
    <w:p w14:paraId="08DF8A12" w14:textId="77777777" w:rsidR="00D71A60" w:rsidRDefault="00D71A60" w:rsidP="00D71A60">
      <w:pPr>
        <w:rPr>
          <w:rFonts w:ascii="Arial" w:hAnsi="Arial" w:cs="Arial"/>
          <w:b/>
          <w:bCs/>
          <w:color w:val="000000"/>
          <w:kern w:val="28"/>
          <w:sz w:val="20"/>
          <w:szCs w:val="20"/>
          <w:lang w:val="en-GB"/>
        </w:rPr>
      </w:pPr>
      <w:r>
        <w:rPr>
          <w:rFonts w:ascii="Arial" w:hAnsi="Arial" w:cs="Arial"/>
          <w:b/>
          <w:bCs/>
          <w:color w:val="000000"/>
          <w:sz w:val="20"/>
        </w:rPr>
        <w:br w:type="page"/>
      </w:r>
    </w:p>
    <w:bookmarkEnd w:id="282"/>
    <w:p w14:paraId="763DAFF2" w14:textId="4F389B20" w:rsidR="00B21DA4" w:rsidRDefault="00B21DA4" w:rsidP="00D71A60">
      <w:pPr>
        <w:pStyle w:val="Heading2"/>
        <w:keepNext/>
        <w:keepLines/>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793BB65" w14:textId="77777777" w:rsidR="00B21DA4" w:rsidRPr="00A92EB4" w:rsidRDefault="00B21DA4" w:rsidP="00D71A60">
      <w:pPr>
        <w:keepNext/>
        <w:keepLines/>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83" w:name="_3.4.1_Comprehensibility_etc."/>
      <w:bookmarkStart w:id="284" w:name="B341"/>
      <w:bookmarkStart w:id="285" w:name="_Toc30651645"/>
      <w:bookmarkStart w:id="286" w:name="_Toc30652629"/>
      <w:bookmarkStart w:id="287" w:name="_Toc30652727"/>
      <w:bookmarkStart w:id="288" w:name="_Toc30654072"/>
      <w:bookmarkStart w:id="289" w:name="_Toc30654423"/>
      <w:bookmarkStart w:id="290" w:name="_Toc30655042"/>
      <w:bookmarkStart w:id="291" w:name="_Toc30655299"/>
      <w:bookmarkStart w:id="292" w:name="_Toc30656977"/>
      <w:bookmarkStart w:id="293" w:name="_Toc30661726"/>
      <w:bookmarkStart w:id="294" w:name="_Toc30666414"/>
      <w:bookmarkStart w:id="295" w:name="_Toc30666644"/>
      <w:bookmarkStart w:id="296" w:name="_Toc30667819"/>
      <w:bookmarkStart w:id="297" w:name="_Toc30669197"/>
      <w:bookmarkStart w:id="298" w:name="_Toc30671413"/>
      <w:bookmarkStart w:id="299" w:name="_Toc30673940"/>
      <w:bookmarkStart w:id="300" w:name="_Toc30691162"/>
      <w:bookmarkStart w:id="301" w:name="_Toc30691533"/>
      <w:bookmarkStart w:id="302" w:name="_Toc30691913"/>
      <w:bookmarkStart w:id="303" w:name="_Toc30692672"/>
      <w:bookmarkStart w:id="304" w:name="_Toc30693051"/>
      <w:bookmarkStart w:id="305" w:name="_Toc30693429"/>
      <w:bookmarkStart w:id="306" w:name="_Toc30693808"/>
      <w:bookmarkStart w:id="307" w:name="_Toc30694189"/>
      <w:bookmarkStart w:id="308" w:name="_Toc30698778"/>
      <w:bookmarkStart w:id="309" w:name="_Toc30699156"/>
      <w:bookmarkStart w:id="310" w:name="_Toc30699541"/>
      <w:bookmarkStart w:id="311" w:name="_Toc30700696"/>
      <w:bookmarkStart w:id="312" w:name="_Toc30701083"/>
      <w:bookmarkStart w:id="313" w:name="_Toc30743692"/>
      <w:bookmarkStart w:id="314" w:name="_Toc30754514"/>
      <w:bookmarkStart w:id="315" w:name="_Toc30756954"/>
      <w:bookmarkStart w:id="316" w:name="_Toc30757503"/>
      <w:bookmarkStart w:id="317" w:name="_Toc30757903"/>
      <w:bookmarkStart w:id="318" w:name="_Toc30762664"/>
      <w:bookmarkStart w:id="319" w:name="_Toc30767318"/>
      <w:bookmarkStart w:id="320" w:name="_Toc34823334"/>
      <w:bookmarkEnd w:id="283"/>
      <w:bookmarkEnd w:id="284"/>
      <w:r>
        <w:rPr>
          <w:rFonts w:ascii="Arial" w:hAnsi="Arial" w:cs="Arial"/>
          <w:b/>
          <w:bCs/>
          <w:sz w:val="20"/>
        </w:rPr>
        <w:t>3.4.1</w:t>
      </w:r>
      <w:r>
        <w:rPr>
          <w:rFonts w:ascii="Arial" w:hAnsi="Arial" w:cs="Arial"/>
          <w:b/>
          <w:bCs/>
          <w:sz w:val="20"/>
        </w:rPr>
        <w:tab/>
        <w:t>Comprehensibility etc.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2596DC1" w14:textId="5FDE3C63"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r w:rsidR="00A31FFA" w:rsidRPr="00A31FFA">
        <w:rPr>
          <w:rFonts w:ascii="Arial" w:hAnsi="Arial" w:cs="Arial"/>
          <w:sz w:val="20"/>
        </w:rPr>
        <w:t>–</w:t>
      </w:r>
    </w:p>
    <w:p w14:paraId="4BD45E0E" w14:textId="2BD80131"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r w:rsidR="00A31FFA" w:rsidRPr="00A31FFA">
        <w:rPr>
          <w:rFonts w:ascii="Arial" w:hAnsi="Arial" w:cs="Arial"/>
          <w:sz w:val="20"/>
        </w:rPr>
        <w:t>–</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119063DD"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r w:rsidR="00A31FFA" w:rsidRPr="00A31FFA">
        <w:rPr>
          <w:rFonts w:ascii="Arial" w:hAnsi="Arial" w:cs="Arial"/>
          <w:sz w:val="20"/>
        </w:rPr>
        <w:t>–</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21"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21"/>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22" w:name="_3.4.2_Pilot_program"/>
      <w:bookmarkStart w:id="323" w:name="B342"/>
      <w:bookmarkEnd w:id="322"/>
      <w:bookmarkEnd w:id="323"/>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5E450940"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DD0DA0" w:rsidRPr="00A31FF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2"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7D4BBA31"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r w:rsidR="00DD0DA0" w:rsidRPr="00A31FFA">
        <w:rPr>
          <w:rFonts w:ascii="Arial" w:hAnsi="Arial" w:cs="Arial"/>
          <w:sz w:val="20"/>
        </w:rPr>
        <w:t>–</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04B84095"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r w:rsidR="00DD0DA0" w:rsidRPr="00A31FFA">
        <w:rPr>
          <w:rFonts w:ascii="Arial" w:hAnsi="Arial" w:cs="Arial"/>
          <w:sz w:val="20"/>
        </w:rPr>
        <w: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24" w:name="_3.4.3_Standing_to"/>
      <w:bookmarkStart w:id="325" w:name="B343"/>
      <w:bookmarkStart w:id="326" w:name="_Toc30651646"/>
      <w:bookmarkStart w:id="327" w:name="_Toc30652630"/>
      <w:bookmarkStart w:id="328" w:name="_Toc30652728"/>
      <w:bookmarkStart w:id="329" w:name="_Toc30654073"/>
      <w:bookmarkStart w:id="330" w:name="_Toc30654424"/>
      <w:bookmarkStart w:id="331" w:name="_Toc30655043"/>
      <w:bookmarkStart w:id="332" w:name="_Toc30655300"/>
      <w:bookmarkStart w:id="333" w:name="_Toc30656978"/>
      <w:bookmarkStart w:id="334" w:name="_Toc30661727"/>
      <w:bookmarkStart w:id="335" w:name="_Toc30666415"/>
      <w:bookmarkStart w:id="336" w:name="_Toc30666645"/>
      <w:bookmarkStart w:id="337" w:name="_Toc30667820"/>
      <w:bookmarkStart w:id="338" w:name="_Toc30669198"/>
      <w:bookmarkStart w:id="339" w:name="_Toc30671414"/>
      <w:bookmarkStart w:id="340" w:name="_Toc30673941"/>
      <w:bookmarkStart w:id="341" w:name="_Toc30691163"/>
      <w:bookmarkStart w:id="342" w:name="_Toc30691534"/>
      <w:bookmarkStart w:id="343" w:name="_Toc30691914"/>
      <w:bookmarkStart w:id="344" w:name="_Toc30692673"/>
      <w:bookmarkStart w:id="345" w:name="_Toc30693052"/>
      <w:bookmarkStart w:id="346" w:name="_Toc30693430"/>
      <w:bookmarkStart w:id="347" w:name="_Toc30693809"/>
      <w:bookmarkStart w:id="348" w:name="_Toc30694190"/>
      <w:bookmarkStart w:id="349" w:name="_Toc30698779"/>
      <w:bookmarkStart w:id="350" w:name="_Toc30699157"/>
      <w:bookmarkStart w:id="351" w:name="_Toc30699542"/>
      <w:bookmarkStart w:id="352" w:name="_Toc30700697"/>
      <w:bookmarkStart w:id="353" w:name="_Toc30701084"/>
      <w:bookmarkStart w:id="354" w:name="_Toc30743693"/>
      <w:bookmarkStart w:id="355" w:name="_Toc30754515"/>
      <w:bookmarkStart w:id="356" w:name="_Toc30756955"/>
      <w:bookmarkStart w:id="357" w:name="_Toc30757504"/>
      <w:bookmarkStart w:id="358" w:name="_Toc30757904"/>
      <w:bookmarkStart w:id="359" w:name="_Toc30762665"/>
      <w:bookmarkStart w:id="360" w:name="_Toc30767319"/>
      <w:bookmarkStart w:id="361" w:name="_Toc34823335"/>
      <w:bookmarkEnd w:id="324"/>
      <w:bookmarkEnd w:id="325"/>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232E5560"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r w:rsidR="00DD0DA0" w:rsidRPr="00A31FFA">
        <w:rPr>
          <w:rFonts w:ascii="Arial" w:hAnsi="Arial" w:cs="Arial"/>
          <w:sz w:val="20"/>
        </w:rPr>
        <w:t>–</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6B710D">
        <w:rPr>
          <w:rFonts w:ascii="Arial" w:hAnsi="Arial" w:cs="Arial"/>
          <w:i/>
          <w:iCs/>
          <w:sz w:val="20"/>
          <w:szCs w:val="20"/>
        </w:rPr>
        <w:t>1989</w:t>
      </w:r>
      <w:r w:rsidRPr="00152F96">
        <w:rPr>
          <w:rFonts w:ascii="Arial" w:hAnsi="Arial" w:cs="Arial"/>
          <w:sz w:val="20"/>
          <w:szCs w:val="20"/>
        </w:rPr>
        <w:t xml:space="preserve">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2D8C426E"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39AD19FA"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r w:rsidR="00DD0DA0" w:rsidRPr="00A31FFA">
        <w:rPr>
          <w:rFonts w:ascii="Arial" w:hAnsi="Arial" w:cs="Arial"/>
          <w:sz w:val="20"/>
        </w:rPr>
        <w:t>–</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58833468"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3862774F"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30D8A87D"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r w:rsidR="00DD0DA0" w:rsidRPr="00A31FFA">
        <w:rPr>
          <w:rFonts w:ascii="Arial" w:hAnsi="Arial" w:cs="Arial"/>
          <w:sz w:val="20"/>
        </w:rPr>
        <w:t>–</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J v Lieschke</w:t>
      </w:r>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Lieschke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5C7269AB"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Re JRL; Ex parte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Vernon v Sixty Third Octex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Garlick v Kerbaj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62" w:name="_3.4.4_Interpreter"/>
      <w:bookmarkStart w:id="363" w:name="B344"/>
      <w:bookmarkStart w:id="364" w:name="_Toc30649710"/>
      <w:bookmarkStart w:id="365" w:name="_Toc30651647"/>
      <w:bookmarkStart w:id="366" w:name="_Toc30652631"/>
      <w:bookmarkStart w:id="367" w:name="_Toc30652729"/>
      <w:bookmarkStart w:id="368" w:name="_Toc30654074"/>
      <w:bookmarkStart w:id="369" w:name="_Toc30654425"/>
      <w:bookmarkStart w:id="370" w:name="_Toc30655044"/>
      <w:bookmarkStart w:id="371" w:name="_Toc30655301"/>
      <w:bookmarkStart w:id="372" w:name="_Toc30656979"/>
      <w:bookmarkStart w:id="373" w:name="_Toc30661728"/>
      <w:bookmarkStart w:id="374" w:name="_Toc30666416"/>
      <w:bookmarkStart w:id="375" w:name="_Toc30666646"/>
      <w:bookmarkStart w:id="376" w:name="_Toc30667821"/>
      <w:bookmarkStart w:id="377" w:name="_Toc30669199"/>
      <w:bookmarkStart w:id="378" w:name="_Toc30671415"/>
      <w:bookmarkStart w:id="379" w:name="_Toc30673942"/>
      <w:bookmarkStart w:id="380" w:name="_Toc30691164"/>
      <w:bookmarkStart w:id="381" w:name="_Toc30691535"/>
      <w:bookmarkStart w:id="382" w:name="_Toc30691915"/>
      <w:bookmarkStart w:id="383" w:name="_Toc30692674"/>
      <w:bookmarkStart w:id="384" w:name="_Toc30693053"/>
      <w:bookmarkStart w:id="385" w:name="_Toc30693431"/>
      <w:bookmarkStart w:id="386" w:name="_Toc30693810"/>
      <w:bookmarkStart w:id="387" w:name="_Toc30694191"/>
      <w:bookmarkStart w:id="388" w:name="_Toc30698780"/>
      <w:bookmarkStart w:id="389" w:name="_Toc30699158"/>
      <w:bookmarkStart w:id="390" w:name="_Toc30699543"/>
      <w:bookmarkStart w:id="391" w:name="_Toc30700698"/>
      <w:bookmarkStart w:id="392" w:name="_Toc30701085"/>
      <w:bookmarkStart w:id="393" w:name="_Toc30743694"/>
      <w:bookmarkStart w:id="394" w:name="_Toc30754516"/>
      <w:bookmarkStart w:id="395" w:name="_Toc30756956"/>
      <w:bookmarkStart w:id="396" w:name="_Toc30757505"/>
      <w:bookmarkStart w:id="397" w:name="_Toc30757905"/>
      <w:bookmarkStart w:id="398" w:name="_Toc30762666"/>
      <w:bookmarkStart w:id="399" w:name="_Toc30767320"/>
      <w:bookmarkStart w:id="400" w:name="_Toc34823336"/>
      <w:bookmarkEnd w:id="362"/>
      <w:bookmarkEnd w:id="363"/>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Habersberger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3"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cf </w:t>
      </w:r>
      <w:r w:rsidRPr="00CA0011">
        <w:rPr>
          <w:rFonts w:ascii="Arial" w:hAnsi="Arial" w:cs="Arial"/>
          <w:i/>
          <w:sz w:val="20"/>
          <w:szCs w:val="20"/>
        </w:rPr>
        <w:t>Fernando de la Espriella-Velasco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Re East; ex parte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Ex parte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8166D5">
      <w:pPr>
        <w:pStyle w:val="Heading3"/>
        <w:keepNext/>
        <w:keepLines/>
        <w:spacing w:after="120" w:line="240" w:lineRule="auto"/>
        <w:rPr>
          <w:rFonts w:ascii="Arial" w:hAnsi="Arial" w:cs="Arial"/>
          <w:b/>
          <w:bCs/>
          <w:sz w:val="20"/>
        </w:rPr>
      </w:pPr>
      <w:bookmarkStart w:id="401" w:name="_3.4.5_Representation_of"/>
      <w:bookmarkEnd w:id="401"/>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1E3E3186" w14:textId="74E06222" w:rsidR="008166D5"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433CE1">
        <w:rPr>
          <w:rFonts w:ascii="Arial" w:hAnsi="Arial" w:cs="Arial"/>
          <w:b/>
          <w:bCs/>
          <w:sz w:val="20"/>
          <w:shd w:val="clear" w:color="auto" w:fill="C5E0B3" w:themeFill="accent6" w:themeFillTint="66"/>
        </w:rPr>
        <w:t>Part 4.7</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8166D5" w:rsidRPr="008166D5">
        <w:rPr>
          <w:rFonts w:ascii="Arial" w:hAnsi="Arial" w:cs="Arial"/>
          <w:sz w:val="20"/>
        </w:rPr>
        <w:t>Representation of children in the Family Division of the Court</w:t>
      </w:r>
      <w:r w:rsidR="00337EE3">
        <w:rPr>
          <w:rFonts w:ascii="Arial" w:hAnsi="Arial" w:cs="Arial"/>
          <w:sz w:val="20"/>
        </w:rPr>
        <w:t>”</w:t>
      </w:r>
      <w:r w:rsidR="00904185">
        <w:rPr>
          <w:rFonts w:ascii="Arial" w:hAnsi="Arial" w:cs="Arial"/>
          <w:sz w:val="20"/>
        </w:rPr>
        <w:t>.</w:t>
      </w:r>
    </w:p>
    <w:p w14:paraId="0B7EF347" w14:textId="77777777" w:rsidR="008166D5" w:rsidRDefault="008166D5" w:rsidP="00B3469C">
      <w:pPr>
        <w:jc w:val="both"/>
        <w:rPr>
          <w:rFonts w:ascii="Arial" w:hAnsi="Arial" w:cs="Arial"/>
          <w:sz w:val="20"/>
        </w:rPr>
      </w:pPr>
    </w:p>
    <w:p w14:paraId="73490DFC" w14:textId="52FE93F5" w:rsidR="00B3469C" w:rsidRDefault="00B3469C" w:rsidP="00B3469C">
      <w:pPr>
        <w:jc w:val="both"/>
        <w:rPr>
          <w:rFonts w:ascii="Arial" w:hAnsi="Arial" w:cs="Arial"/>
          <w:sz w:val="20"/>
        </w:rPr>
      </w:pPr>
      <w:r>
        <w:rPr>
          <w:rFonts w:ascii="Arial" w:hAnsi="Arial" w:cs="Arial"/>
          <w:sz w:val="20"/>
        </w:rPr>
        <w:t>Under</w:t>
      </w:r>
      <w:r w:rsidR="008015BB">
        <w:rPr>
          <w:rFonts w:ascii="Arial" w:hAnsi="Arial" w:cs="Arial"/>
          <w:sz w:val="20"/>
        </w:rPr>
        <w:t> </w:t>
      </w:r>
      <w:r>
        <w:rPr>
          <w:rFonts w:ascii="Arial" w:hAnsi="Arial" w:cs="Arial"/>
          <w:sz w:val="20"/>
        </w:rPr>
        <w:t>s.</w:t>
      </w:r>
      <w:r w:rsidR="00D06F3B">
        <w:rPr>
          <w:rFonts w:ascii="Arial" w:hAnsi="Arial" w:cs="Arial"/>
          <w:sz w:val="20"/>
        </w:rPr>
        <w:t>215</w:t>
      </w:r>
      <w:r w:rsidR="00337EE3">
        <w:rPr>
          <w:rFonts w:ascii="Arial" w:hAnsi="Arial" w:cs="Arial"/>
          <w:sz w:val="20"/>
        </w:rPr>
        <w:t>(3)</w:t>
      </w:r>
      <w:r>
        <w:rPr>
          <w:rFonts w:ascii="Arial" w:hAnsi="Arial" w:cs="Arial"/>
          <w:sz w:val="20"/>
        </w:rPr>
        <w:t xml:space="preserve"> of the CY</w:t>
      </w:r>
      <w:r w:rsidR="00D06F3B">
        <w:rPr>
          <w:rFonts w:ascii="Arial" w:hAnsi="Arial" w:cs="Arial"/>
          <w:sz w:val="20"/>
        </w:rPr>
        <w:t>F</w:t>
      </w:r>
      <w:r>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4A6D786D"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place">
        <w:smartTag w:uri="urn:schemas-microsoft-com:office:smarttags" w:element="City">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8166D5">
      <w:pPr>
        <w:spacing w:before="60"/>
        <w:ind w:left="454" w:right="454"/>
        <w:jc w:val="both"/>
        <w:rPr>
          <w:rFonts w:ascii="Arial" w:hAnsi="Arial" w:cs="Arial"/>
          <w:iCs/>
          <w:sz w:val="20"/>
        </w:rPr>
      </w:pPr>
      <w:r>
        <w:rPr>
          <w:rFonts w:ascii="Arial" w:hAnsi="Arial" w:cs="Arial"/>
          <w:iCs/>
          <w:sz w:val="20"/>
        </w:rPr>
        <w:lastRenderedPageBreak/>
        <w:t>“Any person, whether he be a professional man or not, may attend as a friend of either party, may take notes, may quietly make suggestions, and give advice; but no one can demand to take part in the proceedings as an advocate, contrary to the regulations of the court as settled by the discretion of the justices.”</w:t>
      </w:r>
    </w:p>
    <w:p w14:paraId="1FB549D7" w14:textId="77777777" w:rsidR="00F80F06" w:rsidRDefault="005C4AB8" w:rsidP="008166D5">
      <w:pPr>
        <w:spacing w:before="60"/>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r w:rsidR="00F80F06" w:rsidRPr="0034739F">
        <w:rPr>
          <w:rFonts w:ascii="Arial" w:hAnsi="Arial" w:cs="Arial"/>
          <w:i/>
          <w:sz w:val="20"/>
        </w:rPr>
        <w:t>Skrijel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Mr Skrijel</w:t>
      </w:r>
      <w:r w:rsidR="00F80F06">
        <w:rPr>
          <w:rFonts w:ascii="Arial" w:hAnsi="Arial" w:cs="Arial"/>
          <w:sz w:val="20"/>
        </w:rPr>
        <w:t>’s solicitor.</w:t>
      </w:r>
      <w:r w:rsidR="00FB1267">
        <w:rPr>
          <w:rFonts w:ascii="Arial" w:hAnsi="Arial" w:cs="Arial"/>
          <w:sz w:val="20"/>
        </w:rPr>
        <w:t xml:space="preserve">  </w:t>
      </w:r>
      <w:r w:rsidR="00E05CBC">
        <w:rPr>
          <w:rFonts w:ascii="Arial" w:hAnsi="Arial" w:cs="Arial"/>
          <w:sz w:val="20"/>
        </w:rPr>
        <w:t xml:space="preserve">Though </w:t>
      </w:r>
      <w:r w:rsidR="00FB1267" w:rsidRPr="00FB1267">
        <w:rPr>
          <w:rFonts w:ascii="Arial" w:hAnsi="Arial" w:cs="Arial"/>
          <w:i/>
          <w:sz w:val="20"/>
        </w:rPr>
        <w:t>Skrijel’s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06B039F9" w:rsidR="00FB1267" w:rsidRDefault="00FB1267" w:rsidP="009B1CFB">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w:t>
      </w:r>
      <w:r w:rsidR="008166D5">
        <w:rPr>
          <w:rFonts w:ascii="Arial" w:hAnsi="Arial" w:cs="Arial"/>
          <w:sz w:val="20"/>
        </w:rPr>
        <w:t xml:space="preserve"> </w:t>
      </w:r>
      <w:r w:rsidRPr="00FB1267">
        <w:rPr>
          <w:rFonts w:ascii="Arial" w:hAnsi="Arial" w:cs="Arial"/>
          <w:sz w:val="20"/>
        </w:rPr>
        <w:t>CJ and McHugh</w:t>
      </w:r>
      <w:r w:rsidR="008166D5">
        <w:rPr>
          <w:rFonts w:ascii="Arial" w:hAnsi="Arial" w:cs="Arial"/>
          <w:sz w:val="20"/>
        </w:rPr>
        <w:t xml:space="preserve"> </w:t>
      </w:r>
      <w:r w:rsidRPr="00FB1267">
        <w:rPr>
          <w:rFonts w:ascii="Arial" w:hAnsi="Arial" w:cs="Arial"/>
          <w:sz w:val="20"/>
        </w:rPr>
        <w:t>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Habersberger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r w:rsidRPr="009139AF">
        <w:rPr>
          <w:rFonts w:ascii="Arial" w:hAnsi="Arial" w:cs="Arial"/>
          <w:i/>
          <w:iCs/>
          <w:sz w:val="20"/>
          <w:szCs w:val="20"/>
        </w:rPr>
        <w:t>Weldemichael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Vella v Wybecca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577346EA" w:rsidR="00FC49A0" w:rsidRPr="00E2556B" w:rsidRDefault="00E2556B" w:rsidP="00E2556B">
      <w:pPr>
        <w:jc w:val="both"/>
        <w:rPr>
          <w:rFonts w:ascii="Arial" w:hAnsi="Arial" w:cs="Arial"/>
          <w:sz w:val="20"/>
        </w:rPr>
      </w:pPr>
      <w:r>
        <w:rPr>
          <w:rFonts w:ascii="Arial" w:hAnsi="Arial" w:cs="Arial"/>
          <w:sz w:val="20"/>
        </w:rPr>
        <w:t xml:space="preserve">In the criminal appeal of </w:t>
      </w:r>
      <w:r w:rsidRPr="00E2556B">
        <w:rPr>
          <w:rFonts w:ascii="Arial" w:hAnsi="Arial" w:cs="Arial"/>
          <w:i/>
          <w:iCs/>
          <w:sz w:val="20"/>
        </w:rPr>
        <w:t>Frendo v The King</w:t>
      </w:r>
      <w:r>
        <w:rPr>
          <w:rFonts w:ascii="Arial" w:hAnsi="Arial" w:cs="Arial"/>
          <w:sz w:val="20"/>
        </w:rPr>
        <w:t xml:space="preserve"> [2024] VSCA 319 Boyce JA (with whom Priest &amp; Taylor JJA agreed) said at [11]: “</w:t>
      </w:r>
      <w:r w:rsidRPr="00E2556B">
        <w:rPr>
          <w:rFonts w:ascii="Arial" w:hAnsi="Arial" w:cs="Arial"/>
          <w:sz w:val="20"/>
        </w:rPr>
        <w:t xml:space="preserve">The principles concerning the ability of a ‘McKenzie friend’ to assist a litigant in person by prompting, taking notes and giving advice, and, in addition, by making submissions on behalf of such a litigant, were summarised recently by Walker JA in </w:t>
      </w:r>
      <w:r w:rsidRPr="00E2556B">
        <w:rPr>
          <w:rFonts w:ascii="Arial" w:hAnsi="Arial" w:cs="Arial"/>
          <w:i/>
          <w:iCs/>
          <w:sz w:val="20"/>
        </w:rPr>
        <w:t>Myers v Victorian Civil and Administrative Tribunal</w:t>
      </w:r>
      <w:r>
        <w:rPr>
          <w:rFonts w:ascii="Arial" w:hAnsi="Arial" w:cs="Arial"/>
          <w:sz w:val="20"/>
        </w:rPr>
        <w:t xml:space="preserve"> [2024] VSCA 206 at [6]-[9].” In </w:t>
      </w:r>
      <w:r w:rsidRPr="00E2556B">
        <w:rPr>
          <w:rFonts w:ascii="Arial" w:hAnsi="Arial" w:cs="Arial"/>
          <w:i/>
          <w:iCs/>
          <w:sz w:val="20"/>
        </w:rPr>
        <w:t>Myers’ Case</w:t>
      </w:r>
      <w:r>
        <w:rPr>
          <w:rFonts w:ascii="Arial" w:hAnsi="Arial" w:cs="Arial"/>
          <w:sz w:val="20"/>
        </w:rPr>
        <w:t xml:space="preserve"> Walker JA </w:t>
      </w:r>
      <w:r w:rsidR="00FC49A0">
        <w:rPr>
          <w:rFonts w:ascii="Arial" w:hAnsi="Arial" w:cs="Arial"/>
          <w:sz w:val="20"/>
        </w:rPr>
        <w:t xml:space="preserve">held that </w:t>
      </w:r>
      <w:r w:rsidR="00B70FF9">
        <w:rPr>
          <w:rFonts w:ascii="Arial" w:hAnsi="Arial" w:cs="Arial"/>
          <w:sz w:val="20"/>
        </w:rPr>
        <w:t xml:space="preserve">the trial judge </w:t>
      </w:r>
      <w:r w:rsidR="00FC49A0">
        <w:rPr>
          <w:rFonts w:ascii="Arial" w:hAnsi="Arial" w:cs="Arial"/>
          <w:sz w:val="20"/>
        </w:rPr>
        <w:t>had not erred in refusing the app</w:t>
      </w:r>
      <w:r w:rsidR="00B70FF9">
        <w:rPr>
          <w:rFonts w:ascii="Arial" w:hAnsi="Arial" w:cs="Arial"/>
          <w:sz w:val="20"/>
        </w:rPr>
        <w:t>licant</w:t>
      </w:r>
      <w:r w:rsidR="00FC49A0">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9B1CFB">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w:t>
      </w:r>
      <w:r w:rsidR="00B0734D" w:rsidRPr="00D508A8">
        <w:rPr>
          <w:rFonts w:ascii="Arial" w:hAnsi="Arial" w:cs="Arial"/>
          <w:sz w:val="20"/>
          <w:szCs w:val="20"/>
        </w:rPr>
        <w:lastRenderedPageBreak/>
        <w:t xml:space="preserve">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0619D490" w14:textId="516FCA02" w:rsidR="00C626BF" w:rsidRDefault="00C626BF" w:rsidP="00B0734D">
      <w:pPr>
        <w:jc w:val="both"/>
        <w:rPr>
          <w:rFonts w:ascii="Arial" w:hAnsi="Arial" w:cs="Arial"/>
          <w:sz w:val="20"/>
          <w:szCs w:val="20"/>
        </w:rPr>
      </w:pPr>
      <w:r>
        <w:rPr>
          <w:rFonts w:ascii="Arial" w:hAnsi="Arial" w:cs="Arial"/>
          <w:sz w:val="20"/>
          <w:szCs w:val="20"/>
        </w:rPr>
        <w:t xml:space="preserve">Principles governing the circumstances in which a solicitor may cease to act for a client </w:t>
      </w:r>
      <w:r w:rsidR="005547CC">
        <w:rPr>
          <w:rFonts w:ascii="Arial" w:hAnsi="Arial" w:cs="Arial"/>
          <w:sz w:val="20"/>
          <w:szCs w:val="20"/>
        </w:rPr>
        <w:t xml:space="preserve">in </w:t>
      </w:r>
      <w:r w:rsidR="00DC03A7">
        <w:rPr>
          <w:rFonts w:ascii="Arial" w:hAnsi="Arial" w:cs="Arial"/>
          <w:sz w:val="20"/>
          <w:szCs w:val="20"/>
        </w:rPr>
        <w:t xml:space="preserve">civil </w:t>
      </w:r>
      <w:r w:rsidR="005547CC">
        <w:rPr>
          <w:rFonts w:ascii="Arial" w:hAnsi="Arial" w:cs="Arial"/>
          <w:sz w:val="20"/>
          <w:szCs w:val="20"/>
        </w:rPr>
        <w:t xml:space="preserve">court proceedings </w:t>
      </w:r>
      <w:r>
        <w:rPr>
          <w:rFonts w:ascii="Arial" w:hAnsi="Arial" w:cs="Arial"/>
          <w:sz w:val="20"/>
          <w:szCs w:val="20"/>
        </w:rPr>
        <w:t xml:space="preserve">are set out comprehensively in the judgment of Cosgrave J in </w:t>
      </w:r>
      <w:bookmarkStart w:id="402" w:name="_Hlk204066392"/>
      <w:r w:rsidRPr="00C626BF">
        <w:rPr>
          <w:rFonts w:ascii="Arial" w:hAnsi="Arial" w:cs="Arial"/>
          <w:i/>
          <w:iCs/>
          <w:sz w:val="20"/>
          <w:szCs w:val="20"/>
        </w:rPr>
        <w:t>Howell v Srinivasan</w:t>
      </w:r>
      <w:r w:rsidRPr="00C626BF">
        <w:rPr>
          <w:rFonts w:ascii="Arial" w:hAnsi="Arial" w:cs="Arial"/>
          <w:sz w:val="20"/>
          <w:szCs w:val="20"/>
        </w:rPr>
        <w:t xml:space="preserve"> [2025] VSC 414</w:t>
      </w:r>
      <w:bookmarkEnd w:id="402"/>
      <w:r>
        <w:rPr>
          <w:rFonts w:ascii="Arial" w:hAnsi="Arial" w:cs="Arial"/>
          <w:sz w:val="20"/>
          <w:szCs w:val="20"/>
        </w:rPr>
        <w:t xml:space="preserve">. In that case the proceeding had been set down for trial and the defendant had not provided the solicitor with sufficient funds to conduct the trial. One week prior to the trial date, the solicitor for the defendant made an application for leave to file a notice of solicitor ceasing to act. </w:t>
      </w:r>
      <w:r w:rsidR="005547CC">
        <w:rPr>
          <w:rFonts w:ascii="Arial" w:hAnsi="Arial" w:cs="Arial"/>
          <w:sz w:val="20"/>
          <w:szCs w:val="20"/>
        </w:rPr>
        <w:t>In granting leave Cosgrave J said at [1]</w:t>
      </w:r>
      <w:r w:rsidR="00BA2335">
        <w:rPr>
          <w:rFonts w:ascii="Arial" w:hAnsi="Arial" w:cs="Arial"/>
          <w:sz w:val="20"/>
          <w:szCs w:val="20"/>
        </w:rPr>
        <w:t xml:space="preserve">, </w:t>
      </w:r>
      <w:r w:rsidR="005547CC">
        <w:rPr>
          <w:rFonts w:ascii="Arial" w:hAnsi="Arial" w:cs="Arial"/>
          <w:sz w:val="20"/>
          <w:szCs w:val="20"/>
        </w:rPr>
        <w:t>[4]-[5]</w:t>
      </w:r>
      <w:r w:rsidR="00BA2335">
        <w:rPr>
          <w:rFonts w:ascii="Arial" w:hAnsi="Arial" w:cs="Arial"/>
          <w:sz w:val="20"/>
          <w:szCs w:val="20"/>
        </w:rPr>
        <w:t xml:space="preserve"> &amp; [8]</w:t>
      </w:r>
      <w:r w:rsidR="005547CC">
        <w:rPr>
          <w:rFonts w:ascii="Arial" w:hAnsi="Arial" w:cs="Arial"/>
          <w:sz w:val="20"/>
          <w:szCs w:val="20"/>
        </w:rPr>
        <w:t>:</w:t>
      </w:r>
    </w:p>
    <w:p w14:paraId="0038AA52" w14:textId="420F2E69" w:rsidR="005547CC" w:rsidRDefault="005547CC" w:rsidP="005547CC">
      <w:pPr>
        <w:spacing w:before="60"/>
        <w:ind w:left="454" w:right="454"/>
        <w:jc w:val="both"/>
        <w:rPr>
          <w:rFonts w:ascii="Arial" w:hAnsi="Arial" w:cs="Arial"/>
          <w:sz w:val="20"/>
          <w:szCs w:val="20"/>
        </w:rPr>
      </w:pPr>
      <w:r>
        <w:rPr>
          <w:rFonts w:ascii="Arial" w:hAnsi="Arial" w:cs="Arial"/>
          <w:sz w:val="20"/>
          <w:szCs w:val="20"/>
        </w:rPr>
        <w:t>[1] “…</w:t>
      </w:r>
      <w:r w:rsidRPr="005547CC">
        <w:rPr>
          <w:rFonts w:ascii="Arial" w:hAnsi="Arial" w:cs="Arial"/>
          <w:sz w:val="20"/>
          <w:szCs w:val="20"/>
        </w:rPr>
        <w:t>Generally, a solicitor can file such a notice at any time without involving the Court, provided the solicitor complies with the requirements of rr</w:t>
      </w:r>
      <w:r>
        <w:rPr>
          <w:rFonts w:ascii="Arial" w:hAnsi="Arial" w:cs="Arial"/>
          <w:sz w:val="20"/>
          <w:szCs w:val="20"/>
        </w:rPr>
        <w:t>.</w:t>
      </w:r>
      <w:r w:rsidRPr="005547CC">
        <w:rPr>
          <w:rFonts w:ascii="Arial" w:hAnsi="Arial" w:cs="Arial"/>
          <w:sz w:val="20"/>
          <w:szCs w:val="20"/>
        </w:rPr>
        <w:t xml:space="preserve">20.03(1) and (2) of the </w:t>
      </w:r>
      <w:r w:rsidRPr="005547CC">
        <w:rPr>
          <w:rFonts w:ascii="Arial" w:hAnsi="Arial" w:cs="Arial"/>
          <w:i/>
          <w:iCs/>
          <w:sz w:val="20"/>
          <w:szCs w:val="20"/>
        </w:rPr>
        <w:t>Supreme Court (General Civil Procedure) Rules 2015</w:t>
      </w:r>
      <w:r w:rsidRPr="005547CC">
        <w:rPr>
          <w:rFonts w:ascii="Arial" w:hAnsi="Arial" w:cs="Arial"/>
          <w:sz w:val="20"/>
          <w:szCs w:val="20"/>
        </w:rPr>
        <w:t xml:space="preserve"> (Vic). However, </w:t>
      </w:r>
      <w:r>
        <w:rPr>
          <w:rFonts w:ascii="Arial" w:hAnsi="Arial" w:cs="Arial"/>
          <w:sz w:val="20"/>
          <w:szCs w:val="20"/>
        </w:rPr>
        <w:t xml:space="preserve">under r.20.03(3)(b) </w:t>
      </w:r>
      <w:r w:rsidRPr="005547CC">
        <w:rPr>
          <w:rFonts w:ascii="Arial" w:hAnsi="Arial" w:cs="Arial"/>
          <w:sz w:val="20"/>
          <w:szCs w:val="20"/>
        </w:rPr>
        <w:t>leave is required if the solicitor seeks to give the notice after the proceeding has been set down for trial</w:t>
      </w:r>
      <w:r>
        <w:rPr>
          <w:rFonts w:ascii="Arial" w:hAnsi="Arial" w:cs="Arial"/>
          <w:sz w:val="20"/>
          <w:szCs w:val="20"/>
        </w:rPr>
        <w:t>…</w:t>
      </w:r>
    </w:p>
    <w:p w14:paraId="17CA71C4" w14:textId="4CADDFDA" w:rsidR="005547CC" w:rsidRDefault="005547CC" w:rsidP="005547CC">
      <w:pPr>
        <w:spacing w:before="60"/>
        <w:ind w:left="454" w:right="454"/>
        <w:jc w:val="both"/>
        <w:rPr>
          <w:rFonts w:ascii="Arial" w:hAnsi="Arial" w:cs="Arial"/>
          <w:sz w:val="20"/>
          <w:szCs w:val="20"/>
        </w:rPr>
      </w:pPr>
      <w:r>
        <w:rPr>
          <w:rFonts w:ascii="Arial" w:hAnsi="Arial" w:cs="Arial"/>
          <w:sz w:val="20"/>
          <w:szCs w:val="20"/>
        </w:rPr>
        <w:t xml:space="preserve">[4] </w:t>
      </w:r>
      <w:r w:rsidRPr="005547CC">
        <w:rPr>
          <w:rFonts w:ascii="Arial" w:hAnsi="Arial" w:cs="Arial"/>
          <w:sz w:val="20"/>
          <w:szCs w:val="20"/>
        </w:rPr>
        <w:t xml:space="preserve">The relevant principles have been considered in a number of cases within the Court: </w:t>
      </w:r>
      <w:bookmarkStart w:id="403" w:name="_Hlk204066330"/>
      <w:r w:rsidRPr="005547CC">
        <w:rPr>
          <w:rFonts w:ascii="Arial" w:hAnsi="Arial" w:cs="Arial"/>
          <w:i/>
          <w:iCs/>
          <w:sz w:val="20"/>
          <w:szCs w:val="20"/>
        </w:rPr>
        <w:t>Investec Bank (Australia) Ltd v Mann</w:t>
      </w:r>
      <w:r w:rsidRPr="005547CC">
        <w:rPr>
          <w:rFonts w:ascii="Arial" w:hAnsi="Arial" w:cs="Arial"/>
          <w:sz w:val="20"/>
          <w:szCs w:val="20"/>
        </w:rPr>
        <w:t xml:space="preserve"> </w:t>
      </w:r>
      <w:r>
        <w:rPr>
          <w:rFonts w:ascii="Arial" w:hAnsi="Arial" w:cs="Arial"/>
          <w:sz w:val="20"/>
          <w:szCs w:val="20"/>
        </w:rPr>
        <w:t>[2012] VSC 81</w:t>
      </w:r>
      <w:r w:rsidR="004F3C3A">
        <w:rPr>
          <w:rFonts w:ascii="Arial" w:hAnsi="Arial" w:cs="Arial"/>
          <w:sz w:val="20"/>
          <w:szCs w:val="20"/>
        </w:rPr>
        <w:t xml:space="preserve"> </w:t>
      </w:r>
      <w:bookmarkEnd w:id="403"/>
      <w:r w:rsidR="004F3C3A">
        <w:rPr>
          <w:rFonts w:ascii="Arial" w:hAnsi="Arial" w:cs="Arial"/>
          <w:sz w:val="20"/>
          <w:szCs w:val="20"/>
        </w:rPr>
        <w:t>[per Pagone J]</w:t>
      </w:r>
      <w:r>
        <w:rPr>
          <w:rFonts w:ascii="Arial" w:hAnsi="Arial" w:cs="Arial"/>
          <w:sz w:val="20"/>
          <w:szCs w:val="20"/>
        </w:rPr>
        <w:t>;</w:t>
      </w:r>
      <w:r w:rsidRPr="005547CC">
        <w:rPr>
          <w:rFonts w:ascii="Arial" w:hAnsi="Arial" w:cs="Arial"/>
          <w:sz w:val="20"/>
          <w:szCs w:val="20"/>
        </w:rPr>
        <w:t xml:space="preserve"> </w:t>
      </w:r>
      <w:r w:rsidRPr="005547CC">
        <w:rPr>
          <w:rFonts w:ascii="Arial" w:hAnsi="Arial" w:cs="Arial"/>
          <w:i/>
          <w:iCs/>
          <w:sz w:val="20"/>
          <w:szCs w:val="20"/>
        </w:rPr>
        <w:t>Bodycorp Repairers Pty Ltd v Maisano (No 2)</w:t>
      </w:r>
      <w:r>
        <w:rPr>
          <w:rFonts w:ascii="Arial" w:hAnsi="Arial" w:cs="Arial"/>
          <w:sz w:val="20"/>
          <w:szCs w:val="20"/>
        </w:rPr>
        <w:t xml:space="preserve"> [2013] VSC 235</w:t>
      </w:r>
      <w:r w:rsidRPr="005547CC">
        <w:rPr>
          <w:rFonts w:ascii="Arial" w:hAnsi="Arial" w:cs="Arial"/>
          <w:sz w:val="20"/>
          <w:szCs w:val="20"/>
        </w:rPr>
        <w:t xml:space="preserve">; </w:t>
      </w:r>
      <w:r w:rsidRPr="005547CC">
        <w:rPr>
          <w:rFonts w:ascii="Arial" w:hAnsi="Arial" w:cs="Arial"/>
          <w:i/>
          <w:iCs/>
          <w:sz w:val="20"/>
          <w:szCs w:val="20"/>
        </w:rPr>
        <w:t>LD Family Holdings Pty Ltd v Iceland Cold Storage Australia Pty Ltd</w:t>
      </w:r>
      <w:r w:rsidRPr="005547CC">
        <w:rPr>
          <w:rFonts w:ascii="Arial" w:hAnsi="Arial" w:cs="Arial"/>
          <w:sz w:val="20"/>
          <w:szCs w:val="20"/>
        </w:rPr>
        <w:t xml:space="preserve"> </w:t>
      </w:r>
      <w:r>
        <w:rPr>
          <w:rFonts w:ascii="Arial" w:hAnsi="Arial" w:cs="Arial"/>
          <w:sz w:val="20"/>
          <w:szCs w:val="20"/>
        </w:rPr>
        <w:t>[2022] VSC 439</w:t>
      </w:r>
      <w:r w:rsidRPr="005547CC">
        <w:rPr>
          <w:rFonts w:ascii="Arial" w:hAnsi="Arial" w:cs="Arial"/>
          <w:sz w:val="20"/>
          <w:szCs w:val="20"/>
        </w:rPr>
        <w:t xml:space="preserve"> and </w:t>
      </w:r>
      <w:r w:rsidRPr="005547CC">
        <w:rPr>
          <w:rFonts w:ascii="Arial" w:hAnsi="Arial" w:cs="Arial"/>
          <w:i/>
          <w:iCs/>
          <w:sz w:val="20"/>
          <w:szCs w:val="20"/>
        </w:rPr>
        <w:t>Swindells v Victoria</w:t>
      </w:r>
      <w:r>
        <w:rPr>
          <w:rFonts w:ascii="Arial" w:hAnsi="Arial" w:cs="Arial"/>
          <w:sz w:val="20"/>
          <w:szCs w:val="20"/>
        </w:rPr>
        <w:t xml:space="preserve"> [2016] VSCA 9</w:t>
      </w:r>
      <w:r w:rsidRPr="005547CC">
        <w:rPr>
          <w:rFonts w:ascii="Arial" w:hAnsi="Arial" w:cs="Arial"/>
          <w:sz w:val="20"/>
          <w:szCs w:val="20"/>
        </w:rPr>
        <w:t>.</w:t>
      </w:r>
    </w:p>
    <w:p w14:paraId="11242579" w14:textId="3C0EA316" w:rsidR="00D914D0" w:rsidRDefault="005547CC" w:rsidP="005547CC">
      <w:pPr>
        <w:spacing w:before="60"/>
        <w:ind w:left="454" w:right="454"/>
        <w:jc w:val="both"/>
        <w:rPr>
          <w:rFonts w:ascii="Arial" w:hAnsi="Arial" w:cs="Arial"/>
          <w:sz w:val="20"/>
          <w:szCs w:val="20"/>
        </w:rPr>
      </w:pPr>
      <w:r>
        <w:rPr>
          <w:rFonts w:ascii="Arial" w:hAnsi="Arial" w:cs="Arial"/>
          <w:sz w:val="20"/>
          <w:szCs w:val="20"/>
        </w:rPr>
        <w:t xml:space="preserve">[5] </w:t>
      </w:r>
      <w:r w:rsidRPr="005547CC">
        <w:rPr>
          <w:rFonts w:ascii="Arial" w:hAnsi="Arial" w:cs="Arial"/>
          <w:sz w:val="20"/>
          <w:szCs w:val="20"/>
        </w:rPr>
        <w:t>The position can be summarised as follows:</w:t>
      </w:r>
    </w:p>
    <w:p w14:paraId="32BE3F64" w14:textId="6A1AB501" w:rsidR="00D914D0" w:rsidRDefault="005547CC" w:rsidP="005547CC">
      <w:pPr>
        <w:spacing w:before="60"/>
        <w:ind w:left="1264" w:right="907" w:hanging="357"/>
        <w:jc w:val="both"/>
        <w:rPr>
          <w:rFonts w:ascii="Arial" w:hAnsi="Arial" w:cs="Arial"/>
          <w:sz w:val="20"/>
        </w:rPr>
      </w:pPr>
      <w:bookmarkStart w:id="404" w:name="_3.4.6_Duty_of"/>
      <w:bookmarkEnd w:id="404"/>
      <w:r>
        <w:rPr>
          <w:rFonts w:ascii="Arial" w:hAnsi="Arial" w:cs="Arial"/>
          <w:sz w:val="20"/>
        </w:rPr>
        <w:t>(a)</w:t>
      </w:r>
      <w:r>
        <w:rPr>
          <w:rFonts w:ascii="Arial" w:hAnsi="Arial" w:cs="Arial"/>
          <w:sz w:val="20"/>
        </w:rPr>
        <w:tab/>
        <w:t xml:space="preserve">the solicitor should serve the application on the party for whom the solicitor acts but need not serve it upon any other party or parties to the proceeding: </w:t>
      </w:r>
      <w:r w:rsidRPr="005547CC">
        <w:rPr>
          <w:rFonts w:ascii="Arial" w:hAnsi="Arial" w:cs="Arial"/>
          <w:i/>
          <w:iCs/>
          <w:sz w:val="20"/>
        </w:rPr>
        <w:t>Investic</w:t>
      </w:r>
      <w:r>
        <w:rPr>
          <w:rFonts w:ascii="Arial" w:hAnsi="Arial" w:cs="Arial"/>
          <w:sz w:val="20"/>
        </w:rPr>
        <w:t xml:space="preserve"> at [7];</w:t>
      </w:r>
    </w:p>
    <w:p w14:paraId="70580330" w14:textId="0E07BB51" w:rsidR="005547CC" w:rsidRDefault="005547CC" w:rsidP="005547CC">
      <w:pPr>
        <w:spacing w:before="60"/>
        <w:ind w:left="1264" w:right="907" w:hanging="357"/>
        <w:jc w:val="both"/>
        <w:rPr>
          <w:rFonts w:ascii="Arial" w:hAnsi="Arial" w:cs="Arial"/>
          <w:sz w:val="20"/>
        </w:rPr>
      </w:pPr>
      <w:r>
        <w:rPr>
          <w:rFonts w:ascii="Arial" w:hAnsi="Arial" w:cs="Arial"/>
          <w:sz w:val="20"/>
        </w:rPr>
        <w:t>(b)</w:t>
      </w:r>
      <w:r>
        <w:rPr>
          <w:rFonts w:ascii="Arial" w:hAnsi="Arial" w:cs="Arial"/>
          <w:sz w:val="20"/>
        </w:rPr>
        <w:tab/>
        <w:t xml:space="preserve">generally speaking, a solicitor who is unable to get instructions or funding from the client is entitled to cease acting for that client: </w:t>
      </w:r>
      <w:r w:rsidR="009F5EAB" w:rsidRPr="009F5EAB">
        <w:rPr>
          <w:rFonts w:ascii="Arial" w:hAnsi="Arial" w:cs="Arial"/>
          <w:i/>
          <w:iCs/>
          <w:sz w:val="20"/>
        </w:rPr>
        <w:t>Investic</w:t>
      </w:r>
      <w:r w:rsidR="009F5EAB">
        <w:rPr>
          <w:rFonts w:ascii="Arial" w:hAnsi="Arial" w:cs="Arial"/>
          <w:sz w:val="20"/>
        </w:rPr>
        <w:t xml:space="preserve"> at [2];</w:t>
      </w:r>
    </w:p>
    <w:p w14:paraId="633C2804" w14:textId="647203C8" w:rsidR="009F5EAB" w:rsidRDefault="009F5EAB" w:rsidP="005547CC">
      <w:pPr>
        <w:spacing w:before="60"/>
        <w:ind w:left="1264" w:right="907" w:hanging="357"/>
        <w:jc w:val="both"/>
        <w:rPr>
          <w:rFonts w:ascii="Arial" w:hAnsi="Arial" w:cs="Arial"/>
          <w:sz w:val="20"/>
        </w:rPr>
      </w:pPr>
      <w:r>
        <w:rPr>
          <w:rFonts w:ascii="Arial" w:hAnsi="Arial" w:cs="Arial"/>
          <w:sz w:val="20"/>
        </w:rPr>
        <w:t>(c)</w:t>
      </w:r>
      <w:r>
        <w:rPr>
          <w:rFonts w:ascii="Arial" w:hAnsi="Arial" w:cs="Arial"/>
          <w:sz w:val="20"/>
        </w:rPr>
        <w:tab/>
        <w:t xml:space="preserve">the Court retains a broad discretion about whether or not to grant leave: </w:t>
      </w:r>
      <w:r w:rsidRPr="009F5EAB">
        <w:rPr>
          <w:rFonts w:ascii="Arial" w:hAnsi="Arial" w:cs="Arial"/>
          <w:i/>
          <w:iCs/>
          <w:sz w:val="20"/>
        </w:rPr>
        <w:t xml:space="preserve">Investic </w:t>
      </w:r>
      <w:r>
        <w:rPr>
          <w:rFonts w:ascii="Arial" w:hAnsi="Arial" w:cs="Arial"/>
          <w:sz w:val="20"/>
        </w:rPr>
        <w:t>at [3];</w:t>
      </w:r>
    </w:p>
    <w:p w14:paraId="1E755DB4" w14:textId="6E7D22E6" w:rsidR="009F5EAB" w:rsidRDefault="009F5EAB" w:rsidP="005547CC">
      <w:pPr>
        <w:spacing w:before="60"/>
        <w:ind w:left="1264" w:right="907" w:hanging="357"/>
        <w:jc w:val="both"/>
        <w:rPr>
          <w:rFonts w:ascii="Arial" w:hAnsi="Arial" w:cs="Arial"/>
          <w:sz w:val="20"/>
        </w:rPr>
      </w:pPr>
      <w:r>
        <w:rPr>
          <w:rFonts w:ascii="Arial" w:hAnsi="Arial" w:cs="Arial"/>
          <w:sz w:val="20"/>
        </w:rPr>
        <w:t>(d)</w:t>
      </w:r>
      <w:r>
        <w:rPr>
          <w:rFonts w:ascii="Arial" w:hAnsi="Arial" w:cs="Arial"/>
          <w:sz w:val="20"/>
        </w:rPr>
        <w:tab/>
        <w:t xml:space="preserve">usually, the Court will grant the application but the Court may refuse leave where there are special circumstances which render it expedient to retain the solicitor on the record: </w:t>
      </w:r>
      <w:r w:rsidRPr="009F5EAB">
        <w:rPr>
          <w:rFonts w:ascii="Arial" w:hAnsi="Arial" w:cs="Arial"/>
          <w:i/>
          <w:iCs/>
          <w:sz w:val="20"/>
        </w:rPr>
        <w:t xml:space="preserve">Investic </w:t>
      </w:r>
      <w:r>
        <w:rPr>
          <w:rFonts w:ascii="Arial" w:hAnsi="Arial" w:cs="Arial"/>
          <w:sz w:val="20"/>
        </w:rPr>
        <w:t>at [3];</w:t>
      </w:r>
    </w:p>
    <w:p w14:paraId="05EAA28F" w14:textId="5AB09611" w:rsidR="009F5EAB" w:rsidRDefault="009F5EAB" w:rsidP="005547CC">
      <w:pPr>
        <w:spacing w:before="60"/>
        <w:ind w:left="1264" w:right="907" w:hanging="357"/>
        <w:jc w:val="both"/>
        <w:rPr>
          <w:rFonts w:ascii="Arial" w:hAnsi="Arial" w:cs="Arial"/>
          <w:sz w:val="20"/>
        </w:rPr>
      </w:pPr>
      <w:r>
        <w:rPr>
          <w:rFonts w:ascii="Arial" w:hAnsi="Arial" w:cs="Arial"/>
          <w:sz w:val="20"/>
        </w:rPr>
        <w:t>(e)</w:t>
      </w:r>
      <w:r>
        <w:rPr>
          <w:rFonts w:ascii="Arial" w:hAnsi="Arial" w:cs="Arial"/>
          <w:sz w:val="20"/>
        </w:rPr>
        <w:tab/>
        <w:t xml:space="preserve">the solicitor seeking leave to cease acting bears the burden of satisfying the Court that it is appropriate to grant leave: </w:t>
      </w:r>
      <w:r w:rsidRPr="009F5EAB">
        <w:rPr>
          <w:rFonts w:ascii="Arial" w:hAnsi="Arial" w:cs="Arial"/>
          <w:i/>
          <w:iCs/>
          <w:sz w:val="20"/>
        </w:rPr>
        <w:t>Investic</w:t>
      </w:r>
      <w:r>
        <w:rPr>
          <w:rFonts w:ascii="Arial" w:hAnsi="Arial" w:cs="Arial"/>
          <w:sz w:val="20"/>
        </w:rPr>
        <w:t xml:space="preserve"> at [7];</w:t>
      </w:r>
    </w:p>
    <w:p w14:paraId="3804A9EB" w14:textId="606B43B7" w:rsidR="009F5EAB" w:rsidRDefault="009F5EAB" w:rsidP="005547CC">
      <w:pPr>
        <w:spacing w:before="60"/>
        <w:ind w:left="1264" w:right="907" w:hanging="357"/>
        <w:jc w:val="both"/>
        <w:rPr>
          <w:rFonts w:ascii="Arial" w:hAnsi="Arial" w:cs="Arial"/>
          <w:sz w:val="20"/>
        </w:rPr>
      </w:pPr>
      <w:r>
        <w:rPr>
          <w:rFonts w:ascii="Arial" w:hAnsi="Arial" w:cs="Arial"/>
          <w:sz w:val="20"/>
        </w:rPr>
        <w:t>(f)</w:t>
      </w:r>
      <w:r>
        <w:rPr>
          <w:rFonts w:ascii="Arial" w:hAnsi="Arial" w:cs="Arial"/>
          <w:sz w:val="20"/>
        </w:rPr>
        <w:tab/>
        <w:t xml:space="preserve">while a solicitor remains on the record, the solicitor and client are expected to comply with Court orders even if they have no funding – the lack of funds does not absolve a solicitor from complying with Court orders: </w:t>
      </w:r>
      <w:r w:rsidRPr="009F5EAB">
        <w:rPr>
          <w:rFonts w:ascii="Arial" w:hAnsi="Arial" w:cs="Arial"/>
          <w:i/>
          <w:iCs/>
          <w:sz w:val="20"/>
        </w:rPr>
        <w:t>Investic</w:t>
      </w:r>
      <w:r>
        <w:rPr>
          <w:rFonts w:ascii="Arial" w:hAnsi="Arial" w:cs="Arial"/>
          <w:sz w:val="20"/>
        </w:rPr>
        <w:t xml:space="preserve"> at [2]; and</w:t>
      </w:r>
    </w:p>
    <w:p w14:paraId="0F8F0E29" w14:textId="15A7B50A" w:rsidR="009F5EAB" w:rsidRDefault="009F5EAB" w:rsidP="005547CC">
      <w:pPr>
        <w:spacing w:before="60"/>
        <w:ind w:left="1264" w:right="907" w:hanging="357"/>
        <w:jc w:val="both"/>
        <w:rPr>
          <w:rFonts w:ascii="Arial" w:hAnsi="Arial" w:cs="Arial"/>
          <w:sz w:val="20"/>
        </w:rPr>
      </w:pPr>
      <w:r>
        <w:rPr>
          <w:rFonts w:ascii="Arial" w:hAnsi="Arial" w:cs="Arial"/>
          <w:sz w:val="20"/>
        </w:rPr>
        <w:t>(g)</w:t>
      </w:r>
      <w:r>
        <w:rPr>
          <w:rFonts w:ascii="Arial" w:hAnsi="Arial" w:cs="Arial"/>
          <w:sz w:val="20"/>
        </w:rPr>
        <w:tab/>
        <w:t>when making such an application, solicitors should be mindful of their duties to the Court, their client or former client, an</w:t>
      </w:r>
      <w:r w:rsidR="00433CE1">
        <w:rPr>
          <w:rFonts w:ascii="Arial" w:hAnsi="Arial" w:cs="Arial"/>
          <w:sz w:val="20"/>
        </w:rPr>
        <w:t>d</w:t>
      </w:r>
      <w:r>
        <w:rPr>
          <w:rFonts w:ascii="Arial" w:hAnsi="Arial" w:cs="Arial"/>
          <w:sz w:val="20"/>
        </w:rPr>
        <w:t xml:space="preserve"> to the other parties and their legal representatives: </w:t>
      </w:r>
      <w:r w:rsidRPr="009F5EAB">
        <w:rPr>
          <w:rFonts w:ascii="Arial" w:hAnsi="Arial" w:cs="Arial"/>
          <w:i/>
          <w:iCs/>
          <w:sz w:val="20"/>
        </w:rPr>
        <w:t>Investic</w:t>
      </w:r>
      <w:r>
        <w:rPr>
          <w:rFonts w:ascii="Arial" w:hAnsi="Arial" w:cs="Arial"/>
          <w:sz w:val="20"/>
        </w:rPr>
        <w:t xml:space="preserve"> at [7].</w:t>
      </w:r>
    </w:p>
    <w:p w14:paraId="328103AE" w14:textId="7513F935" w:rsidR="00BA2335" w:rsidRDefault="00BA2335" w:rsidP="00BA2335">
      <w:pPr>
        <w:spacing w:before="60"/>
        <w:ind w:left="454" w:right="454"/>
        <w:jc w:val="both"/>
        <w:rPr>
          <w:rFonts w:ascii="Arial" w:hAnsi="Arial" w:cs="Arial"/>
          <w:sz w:val="20"/>
          <w:szCs w:val="20"/>
        </w:rPr>
      </w:pPr>
      <w:bookmarkStart w:id="405" w:name="_Hlk204063588"/>
      <w:r>
        <w:rPr>
          <w:rFonts w:ascii="Arial" w:hAnsi="Arial" w:cs="Arial"/>
          <w:sz w:val="20"/>
          <w:szCs w:val="20"/>
        </w:rPr>
        <w:t>…</w:t>
      </w:r>
    </w:p>
    <w:p w14:paraId="1F38C59A" w14:textId="1FC983A0" w:rsidR="00BA2335" w:rsidRDefault="00BA2335" w:rsidP="00BA2335">
      <w:pPr>
        <w:spacing w:before="60"/>
        <w:ind w:left="454" w:right="454"/>
        <w:jc w:val="both"/>
        <w:rPr>
          <w:rFonts w:ascii="Arial" w:hAnsi="Arial" w:cs="Arial"/>
          <w:sz w:val="20"/>
        </w:rPr>
      </w:pPr>
      <w:r>
        <w:rPr>
          <w:rFonts w:ascii="Arial" w:hAnsi="Arial" w:cs="Arial"/>
          <w:sz w:val="20"/>
          <w:szCs w:val="20"/>
        </w:rPr>
        <w:t xml:space="preserve">[8] </w:t>
      </w:r>
      <w:r w:rsidRPr="00BA2335">
        <w:rPr>
          <w:rFonts w:ascii="Arial" w:hAnsi="Arial" w:cs="Arial"/>
          <w:sz w:val="20"/>
        </w:rPr>
        <w:t xml:space="preserve">In </w:t>
      </w:r>
      <w:r w:rsidRPr="00BA2335">
        <w:rPr>
          <w:rFonts w:ascii="Arial" w:hAnsi="Arial" w:cs="Arial"/>
          <w:i/>
          <w:iCs/>
          <w:sz w:val="20"/>
        </w:rPr>
        <w:t>Investec</w:t>
      </w:r>
      <w:r>
        <w:rPr>
          <w:rFonts w:ascii="Arial" w:hAnsi="Arial" w:cs="Arial"/>
          <w:sz w:val="20"/>
        </w:rPr>
        <w:t xml:space="preserve"> at [8]</w:t>
      </w:r>
      <w:r w:rsidRPr="00BA2335">
        <w:rPr>
          <w:rFonts w:ascii="Arial" w:hAnsi="Arial" w:cs="Arial"/>
          <w:sz w:val="20"/>
        </w:rPr>
        <w:t>, Pagone J observed that practitioners “ought to guard against the possibility of the Court finding itself with unrepresented litigants close to the hearing date”.</w:t>
      </w:r>
    </w:p>
    <w:bookmarkEnd w:id="405"/>
    <w:p w14:paraId="33D43D6B" w14:textId="77777777" w:rsidR="00BA2335" w:rsidRDefault="00BA2335" w:rsidP="009F5EAB">
      <w:pPr>
        <w:spacing w:before="60"/>
        <w:jc w:val="both"/>
        <w:rPr>
          <w:rFonts w:ascii="Arial" w:hAnsi="Arial" w:cs="Arial"/>
          <w:sz w:val="20"/>
        </w:rPr>
      </w:pPr>
    </w:p>
    <w:p w14:paraId="584A60A8" w14:textId="60017AE3" w:rsidR="005547CC" w:rsidRDefault="00433CE1" w:rsidP="009F5EAB">
      <w:pPr>
        <w:spacing w:before="60"/>
        <w:jc w:val="both"/>
        <w:rPr>
          <w:rFonts w:ascii="Arial" w:hAnsi="Arial" w:cs="Arial"/>
          <w:sz w:val="20"/>
        </w:rPr>
      </w:pPr>
      <w:r>
        <w:rPr>
          <w:rFonts w:ascii="Arial" w:hAnsi="Arial" w:cs="Arial"/>
          <w:sz w:val="20"/>
        </w:rPr>
        <w:t>By and large t</w:t>
      </w:r>
      <w:r w:rsidR="009F5EAB">
        <w:rPr>
          <w:rFonts w:ascii="Arial" w:hAnsi="Arial" w:cs="Arial"/>
          <w:sz w:val="20"/>
        </w:rPr>
        <w:t>hese principles are also relevant to a solicitor for an adult party in the Family Division of the Children’s Court wishing to cease to act</w:t>
      </w:r>
      <w:r>
        <w:rPr>
          <w:rFonts w:ascii="Arial" w:hAnsi="Arial" w:cs="Arial"/>
          <w:sz w:val="20"/>
        </w:rPr>
        <w:t xml:space="preserve">. However, in relation to their application to a solicitor for a child in the Family Division of the Children’s Court, they must be read in conjunction with the statutory provisions in ss.524 &amp; 525(1) of the CYFA (as to which see the discussion in </w:t>
      </w:r>
      <w:r w:rsidRPr="00433CE1">
        <w:rPr>
          <w:rFonts w:ascii="Arial" w:hAnsi="Arial" w:cs="Arial"/>
          <w:b/>
          <w:bCs/>
          <w:sz w:val="20"/>
          <w:shd w:val="clear" w:color="auto" w:fill="C5E0B3" w:themeFill="accent6" w:themeFillTint="66"/>
        </w:rPr>
        <w:t>Part 4.7</w:t>
      </w:r>
      <w:r>
        <w:rPr>
          <w:rFonts w:ascii="Arial" w:hAnsi="Arial" w:cs="Arial"/>
          <w:sz w:val="20"/>
        </w:rPr>
        <w:t xml:space="preserve"> of the Research Materials).</w:t>
      </w:r>
    </w:p>
    <w:p w14:paraId="399B3020" w14:textId="77777777" w:rsidR="005547CC" w:rsidRPr="00836E86" w:rsidRDefault="005547CC" w:rsidP="00D914D0">
      <w:pPr>
        <w:jc w:val="both"/>
        <w:rPr>
          <w:rFonts w:ascii="Arial" w:hAnsi="Arial" w:cs="Arial"/>
          <w:sz w:val="20"/>
        </w:rPr>
      </w:pPr>
    </w:p>
    <w:p w14:paraId="4792AE27" w14:textId="77777777" w:rsidR="00D914D0" w:rsidRPr="00836E86" w:rsidRDefault="00D914D0" w:rsidP="00D914D0">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612FEB4D" w14:textId="77777777" w:rsidR="00D914D0" w:rsidRPr="00836E86" w:rsidRDefault="00D914D0" w:rsidP="00D914D0">
      <w:pPr>
        <w:rPr>
          <w:rFonts w:ascii="Arial" w:hAnsi="Arial" w:cs="Arial"/>
          <w:sz w:val="20"/>
        </w:rPr>
      </w:pPr>
    </w:p>
    <w:p w14:paraId="0662E0B6" w14:textId="77777777" w:rsidR="00D914D0" w:rsidRDefault="00D914D0" w:rsidP="00D914D0">
      <w:pPr>
        <w:rPr>
          <w:rFonts w:ascii="Arial" w:hAnsi="Arial" w:cs="Arial"/>
          <w:b/>
          <w:bCs/>
          <w:color w:val="000000"/>
          <w:kern w:val="28"/>
          <w:sz w:val="20"/>
          <w:szCs w:val="20"/>
          <w:lang w:val="en-GB"/>
        </w:rPr>
      </w:pPr>
      <w:r>
        <w:rPr>
          <w:rFonts w:ascii="Arial" w:hAnsi="Arial" w:cs="Arial"/>
          <w:b/>
          <w:bCs/>
          <w:color w:val="000000"/>
          <w:sz w:val="20"/>
        </w:rPr>
        <w:br w:type="page"/>
      </w:r>
    </w:p>
    <w:p w14:paraId="7969B96A" w14:textId="686C705B" w:rsidR="00E01B11" w:rsidRDefault="00E01B11" w:rsidP="00E01B11">
      <w:pPr>
        <w:pStyle w:val="Heading3"/>
        <w:keepNext/>
        <w:keepLines/>
        <w:spacing w:after="100" w:line="240" w:lineRule="auto"/>
        <w:rPr>
          <w:rFonts w:ascii="Arial" w:hAnsi="Arial" w:cs="Arial"/>
          <w:b/>
          <w:bCs/>
          <w:sz w:val="20"/>
        </w:rPr>
      </w:pPr>
      <w:bookmarkStart w:id="406" w:name="_3.4.6_Duty_of_1"/>
      <w:bookmarkEnd w:id="406"/>
      <w:r w:rsidRPr="00904185">
        <w:rPr>
          <w:rFonts w:ascii="Arial" w:hAnsi="Arial" w:cs="Arial"/>
          <w:b/>
          <w:sz w:val="20"/>
        </w:rPr>
        <w:lastRenderedPageBreak/>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Gradidge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Kerbatieh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cf </w:t>
      </w:r>
      <w:r w:rsidR="00852729" w:rsidRPr="00852729">
        <w:rPr>
          <w:rFonts w:ascii="Arial" w:hAnsi="Arial" w:cs="Arial"/>
          <w:i/>
          <w:sz w:val="20"/>
          <w:szCs w:val="20"/>
        </w:rPr>
        <w:t>Re Minister for Immigration and Multicultural and Indigenous Affairs; Ex parte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r w:rsidR="00852729" w:rsidRPr="00852729">
        <w:rPr>
          <w:rFonts w:ascii="Arial" w:hAnsi="Arial" w:cs="Arial"/>
          <w:i/>
          <w:sz w:val="20"/>
          <w:szCs w:val="20"/>
        </w:rPr>
        <w:t>Nulyarimma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Commissioner of Taxation v Metaskills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Rajendram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R v Kerbatieh</w:t>
      </w:r>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r w:rsidR="00BD3488" w:rsidRPr="00BD3488">
        <w:rPr>
          <w:rFonts w:ascii="Arial" w:hAnsi="Arial" w:cs="Arial"/>
          <w:i/>
          <w:sz w:val="20"/>
          <w:szCs w:val="20"/>
        </w:rPr>
        <w:t>Mentyn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r w:rsidR="00BD3488" w:rsidRPr="00BD3488">
        <w:rPr>
          <w:rFonts w:ascii="Arial" w:hAnsi="Arial" w:cs="Arial"/>
          <w:i/>
          <w:sz w:val="20"/>
          <w:szCs w:val="20"/>
        </w:rPr>
        <w:t xml:space="preserve">Zegarac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place">
        <w:smartTag w:uri="urn:schemas-microsoft-com:office:smarttags" w:element="country-region">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w:t>
      </w:r>
      <w:r w:rsidR="004E3CDB" w:rsidRPr="001A1BF2">
        <w:rPr>
          <w:rFonts w:ascii="Helvetica" w:hAnsi="Helvetica"/>
          <w:color w:val="000000"/>
          <w:sz w:val="20"/>
        </w:rPr>
        <w:lastRenderedPageBreak/>
        <w:t>438,446] and must not confer upon the unrepresented litigant “a positive advantage” or give the represented parties less than they are entitled to [</w:t>
      </w:r>
      <w:r w:rsidR="004E3CDB" w:rsidRPr="001A1BF2">
        <w:rPr>
          <w:rFonts w:ascii="Helvetica" w:hAnsi="Helvetica"/>
          <w:i/>
          <w:color w:val="000000"/>
          <w:sz w:val="20"/>
        </w:rPr>
        <w:t>Rajski v Scitec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AsJ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389D98D"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r w:rsidR="00CB2764" w:rsidRPr="00CB2764">
        <w:rPr>
          <w:rFonts w:ascii="Arial" w:hAnsi="Arial" w:cs="Arial"/>
          <w:i/>
          <w:color w:val="000000"/>
          <w:sz w:val="20"/>
        </w:rPr>
        <w:t>Platcher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r w:rsidR="00CB2764" w:rsidRPr="00CB2764">
        <w:rPr>
          <w:rFonts w:ascii="Arial" w:eastAsia="Book Antiqua" w:hAnsi="Arial" w:cs="Arial"/>
          <w:i/>
          <w:sz w:val="20"/>
        </w:rPr>
        <w:t xml:space="preserve">Platcher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Rajski v Scitec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A27631" w:rsidRDefault="00292662" w:rsidP="00A27631">
      <w:pPr>
        <w:jc w:val="both"/>
        <w:rPr>
          <w:rFonts w:ascii="Arial" w:hAnsi="Arial" w:cs="Arial"/>
          <w:color w:val="000000"/>
          <w:sz w:val="20"/>
          <w:szCs w:val="20"/>
        </w:rPr>
      </w:pPr>
      <w:r w:rsidRPr="00A27631">
        <w:rPr>
          <w:rFonts w:ascii="Arial" w:hAnsi="Arial" w:cs="Arial"/>
          <w:color w:val="000000"/>
          <w:sz w:val="20"/>
          <w:szCs w:val="20"/>
        </w:rPr>
        <w:t xml:space="preserve">In </w:t>
      </w:r>
      <w:r w:rsidR="00352003" w:rsidRPr="00A27631">
        <w:rPr>
          <w:rFonts w:ascii="Arial" w:hAnsi="Arial" w:cs="Arial"/>
          <w:i/>
          <w:iCs/>
          <w:color w:val="000000"/>
          <w:sz w:val="20"/>
          <w:szCs w:val="20"/>
        </w:rPr>
        <w:t>She v RMIT University &amp; Anor</w:t>
      </w:r>
      <w:r w:rsidR="00352003" w:rsidRPr="00A27631">
        <w:rPr>
          <w:rFonts w:ascii="Arial" w:hAnsi="Arial" w:cs="Arial"/>
          <w:color w:val="000000"/>
          <w:sz w:val="20"/>
          <w:szCs w:val="20"/>
        </w:rPr>
        <w:t xml:space="preserve"> [2021] VSC 2 Incerti J discussed the cases of </w:t>
      </w:r>
      <w:r w:rsidR="00352003" w:rsidRPr="00A27631">
        <w:rPr>
          <w:rFonts w:ascii="Arial" w:hAnsi="Arial" w:cs="Arial"/>
          <w:i/>
          <w:iCs/>
          <w:color w:val="000000"/>
          <w:sz w:val="20"/>
          <w:szCs w:val="20"/>
        </w:rPr>
        <w:t>Roberts v Harkness</w:t>
      </w:r>
      <w:r w:rsidR="00352003" w:rsidRPr="00A27631">
        <w:rPr>
          <w:rFonts w:ascii="Arial" w:hAnsi="Arial" w:cs="Arial"/>
          <w:color w:val="000000"/>
          <w:sz w:val="20"/>
          <w:szCs w:val="20"/>
        </w:rPr>
        <w:t xml:space="preserve"> (2018) 57 VR 344, </w:t>
      </w:r>
      <w:r w:rsidR="00352003" w:rsidRPr="00A27631">
        <w:rPr>
          <w:rFonts w:ascii="Arial" w:eastAsia="Book Antiqua" w:hAnsi="Arial" w:cs="Arial"/>
          <w:i/>
          <w:sz w:val="20"/>
          <w:szCs w:val="20"/>
        </w:rPr>
        <w:t>Tomasevic v Travaglini &amp; Anor</w:t>
      </w:r>
      <w:r w:rsidR="00352003" w:rsidRPr="00A27631">
        <w:rPr>
          <w:rFonts w:ascii="Arial" w:hAnsi="Arial" w:cs="Arial"/>
          <w:sz w:val="20"/>
          <w:szCs w:val="20"/>
        </w:rPr>
        <w:t xml:space="preserve"> (2007) 17 VR 100 and </w:t>
      </w:r>
      <w:r w:rsidR="00352003" w:rsidRPr="00A27631">
        <w:rPr>
          <w:rFonts w:ascii="Arial" w:eastAsia="Book Antiqua" w:hAnsi="Arial" w:cs="Arial"/>
          <w:i/>
          <w:sz w:val="20"/>
          <w:szCs w:val="20"/>
        </w:rPr>
        <w:t xml:space="preserve">Matsoukatidou v Yarra Ranges Council </w:t>
      </w:r>
      <w:r w:rsidR="00352003" w:rsidRPr="00A27631">
        <w:rPr>
          <w:rFonts w:ascii="Arial" w:hAnsi="Arial" w:cs="Arial"/>
          <w:sz w:val="20"/>
          <w:szCs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A27631">
        <w:rPr>
          <w:rFonts w:ascii="Arial" w:hAnsi="Arial" w:cs="Arial"/>
          <w:i/>
          <w:iCs/>
          <w:sz w:val="20"/>
          <w:szCs w:val="20"/>
        </w:rPr>
        <w:t xml:space="preserve">Charter of Human Rights and Responsibilities Act 2006 </w:t>
      </w:r>
      <w:r w:rsidR="00352003" w:rsidRPr="00A27631">
        <w:rPr>
          <w:rFonts w:ascii="Arial" w:hAnsi="Arial" w:cs="Arial"/>
          <w:sz w:val="20"/>
          <w:szCs w:val="20"/>
        </w:rPr>
        <w:t>to afford her a fair hearing.</w:t>
      </w:r>
    </w:p>
    <w:p w14:paraId="17F6F191" w14:textId="5C590E09" w:rsidR="002337CA" w:rsidRDefault="002337CA" w:rsidP="00443E59">
      <w:pPr>
        <w:jc w:val="both"/>
        <w:rPr>
          <w:rFonts w:ascii="Helvetica" w:hAnsi="Helvetica"/>
          <w:color w:val="000000"/>
          <w:sz w:val="20"/>
        </w:rPr>
      </w:pPr>
    </w:p>
    <w:p w14:paraId="0BF0289C" w14:textId="75DDD6C1" w:rsidR="002523E5" w:rsidRPr="00ED706B" w:rsidRDefault="002523E5"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Huang v Helou</w:t>
      </w:r>
      <w:r w:rsidRPr="00ED706B">
        <w:rPr>
          <w:rFonts w:ascii="Arial" w:hAnsi="Arial" w:cs="Arial"/>
          <w:color w:val="000000"/>
          <w:sz w:val="20"/>
        </w:rPr>
        <w:t xml:space="preserve"> [2025] VSC 212 Finanzio J dismissed an appeal by a landlord from a </w:t>
      </w:r>
      <w:r w:rsidR="002A6B29" w:rsidRPr="00ED706B">
        <w:rPr>
          <w:rFonts w:ascii="Arial" w:hAnsi="Arial" w:cs="Arial"/>
          <w:color w:val="000000"/>
          <w:sz w:val="20"/>
        </w:rPr>
        <w:t xml:space="preserve">VCAT </w:t>
      </w:r>
      <w:r w:rsidRPr="00ED706B">
        <w:rPr>
          <w:rFonts w:ascii="Arial" w:hAnsi="Arial" w:cs="Arial"/>
          <w:color w:val="000000"/>
          <w:sz w:val="20"/>
        </w:rPr>
        <w:t>decision substantially dismissing an application by the landlord following a break of lease. Both the landlord and the renter were unrepresented. At [30] his Honour said:</w:t>
      </w:r>
    </w:p>
    <w:p w14:paraId="2238773C" w14:textId="37058B89" w:rsidR="002A6B29" w:rsidRPr="00ED706B" w:rsidRDefault="002523E5"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Trkulja v Markovic</w:t>
      </w:r>
      <w:r w:rsidRPr="00ED706B">
        <w:rPr>
          <w:rFonts w:ascii="Arial" w:hAnsi="Arial" w:cs="Arial"/>
          <w:color w:val="000000"/>
          <w:sz w:val="20"/>
        </w:rPr>
        <w:t xml:space="preserve"> </w:t>
      </w:r>
      <w:r w:rsidR="002A6B29" w:rsidRPr="00ED706B">
        <w:rPr>
          <w:rFonts w:ascii="Arial" w:hAnsi="Arial" w:cs="Arial"/>
          <w:color w:val="000000"/>
          <w:sz w:val="20"/>
        </w:rPr>
        <w:t>[</w:t>
      </w:r>
      <w:r w:rsidRPr="00ED706B">
        <w:rPr>
          <w:rFonts w:ascii="Arial" w:hAnsi="Arial" w:cs="Arial"/>
          <w:color w:val="000000"/>
          <w:sz w:val="20"/>
        </w:rPr>
        <w:t>2015] VSCA 298 [39]</w:t>
      </w:r>
      <w:r w:rsidR="002A6B29" w:rsidRPr="00ED706B">
        <w:rPr>
          <w:rFonts w:ascii="Arial" w:hAnsi="Arial" w:cs="Arial"/>
          <w:color w:val="000000"/>
          <w:sz w:val="20"/>
        </w:rPr>
        <w:t>-</w:t>
      </w:r>
      <w:r w:rsidRPr="00ED706B">
        <w:rPr>
          <w:rFonts w:ascii="Arial" w:hAnsi="Arial" w:cs="Arial"/>
          <w:color w:val="000000"/>
          <w:sz w:val="20"/>
        </w:rPr>
        <w:t>[40], the Court observed that:</w:t>
      </w:r>
    </w:p>
    <w:p w14:paraId="13BB6EAC" w14:textId="7B9DE362"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McWhinney v Melbourne Health</w:t>
      </w:r>
      <w:r w:rsidR="002A6B29" w:rsidRPr="00ED706B">
        <w:rPr>
          <w:rFonts w:ascii="Arial" w:hAnsi="Arial" w:cs="Arial"/>
          <w:color w:val="000000"/>
          <w:sz w:val="18"/>
          <w:szCs w:val="22"/>
        </w:rPr>
        <w:t xml:space="preserve"> (2011) 31 VR 285, 293 [25], quoting </w:t>
      </w:r>
      <w:r w:rsidR="002A6B29" w:rsidRPr="00ED706B">
        <w:rPr>
          <w:rFonts w:ascii="Arial" w:hAnsi="Arial" w:cs="Arial"/>
          <w:i/>
          <w:iCs/>
          <w:color w:val="000000"/>
          <w:sz w:val="18"/>
          <w:szCs w:val="22"/>
        </w:rPr>
        <w:t>Tomasevic v Travaglini</w:t>
      </w:r>
      <w:r w:rsidR="002A6B29" w:rsidRPr="00ED706B">
        <w:rPr>
          <w:rFonts w:ascii="Arial" w:hAnsi="Arial" w:cs="Arial"/>
          <w:color w:val="000000"/>
          <w:sz w:val="18"/>
          <w:szCs w:val="22"/>
        </w:rPr>
        <w:t xml:space="preserve"> </w:t>
      </w:r>
      <w:r w:rsidR="002A6B29" w:rsidRPr="00ED706B">
        <w:rPr>
          <w:rFonts w:ascii="Arial" w:hAnsi="Arial" w:cs="Arial"/>
          <w:color w:val="000000"/>
          <w:sz w:val="18"/>
          <w:szCs w:val="22"/>
        </w:rPr>
        <w:lastRenderedPageBreak/>
        <w:t>(2007) 17 VR 100, 130 [141]</w:t>
      </w:r>
      <w:r w:rsidRPr="00ED706B">
        <w:rPr>
          <w:rFonts w:ascii="Arial" w:hAnsi="Arial" w:cs="Arial"/>
          <w:color w:val="000000"/>
          <w:sz w:val="18"/>
          <w:szCs w:val="22"/>
        </w:rPr>
        <w:t>. In some cases, it may be necessary for the judge to identify the issues and the state of the evidence in</w:t>
      </w:r>
      <w:r w:rsidR="002A6B29" w:rsidRPr="00ED706B">
        <w:rPr>
          <w:rFonts w:ascii="Arial" w:hAnsi="Arial" w:cs="Arial"/>
          <w:color w:val="000000"/>
          <w:sz w:val="18"/>
          <w:szCs w:val="22"/>
        </w:rPr>
        <w:t xml:space="preserve"> </w:t>
      </w:r>
      <w:r w:rsidRPr="00ED706B">
        <w:rPr>
          <w:rFonts w:ascii="Arial" w:hAnsi="Arial" w:cs="Arial"/>
          <w:color w:val="000000"/>
          <w:sz w:val="18"/>
          <w:szCs w:val="22"/>
        </w:rPr>
        <w:t>relation to them so as to enable the self-represented litigant to consider whether he or she wishes to adduce evidence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Werden v Legal Services Board</w:t>
      </w:r>
      <w:r w:rsidR="002A6B29" w:rsidRPr="00ED706B">
        <w:rPr>
          <w:rFonts w:ascii="Arial" w:hAnsi="Arial" w:cs="Arial"/>
          <w:color w:val="000000"/>
          <w:sz w:val="18"/>
          <w:szCs w:val="22"/>
        </w:rPr>
        <w:t xml:space="preserve"> (2012) 36 VR 637, 651 [57]</w:t>
      </w:r>
      <w:r w:rsidRPr="00ED706B">
        <w:rPr>
          <w:rFonts w:ascii="Arial" w:hAnsi="Arial" w:cs="Arial"/>
          <w:color w:val="000000"/>
          <w:sz w:val="18"/>
          <w:szCs w:val="22"/>
        </w:rPr>
        <w:t>. …</w:t>
      </w:r>
    </w:p>
    <w:p w14:paraId="3872D3C3" w14:textId="3D08916D"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The High Court has stated that a frequent consequence of self-representation is that the court must assume the burden of endeavouring to ascertain the rights of parties which are obfuscated by their own advocacy</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Neil v Nott</w:t>
      </w:r>
      <w:r w:rsidR="002A6B29" w:rsidRPr="00ED706B">
        <w:rPr>
          <w:rFonts w:ascii="Arial" w:hAnsi="Arial" w:cs="Arial"/>
          <w:color w:val="000000"/>
          <w:sz w:val="18"/>
          <w:szCs w:val="22"/>
        </w:rPr>
        <w:t xml:space="preserve"> (1994) 121 ALR 148, 150.</w:t>
      </w:r>
      <w:r w:rsidRPr="00ED706B">
        <w:rPr>
          <w:rFonts w:ascii="Arial" w:hAnsi="Arial" w:cs="Arial"/>
          <w:color w:val="000000"/>
          <w:sz w:val="18"/>
          <w:szCs w:val="22"/>
        </w:rPr>
        <w:t xml:space="preserve"> Similarly, this Court has endorsed the proposition that ‘[c]oncealed in the lay rhetoric and inefficient presentation may be a just case’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Downes v Maxwell Richard Rhys &amp; Co Pty Ltd</w:t>
      </w:r>
      <w:r w:rsidR="002A6B29" w:rsidRPr="00ED706B">
        <w:rPr>
          <w:rFonts w:ascii="Arial" w:hAnsi="Arial" w:cs="Arial"/>
          <w:color w:val="000000"/>
          <w:sz w:val="18"/>
          <w:szCs w:val="22"/>
        </w:rPr>
        <w:t xml:space="preserve"> (2014) 313 ALR 383, 390 [26], quoting </w:t>
      </w:r>
      <w:r w:rsidR="002A6B29" w:rsidRPr="00ED706B">
        <w:rPr>
          <w:rFonts w:ascii="Arial" w:hAnsi="Arial" w:cs="Arial"/>
          <w:i/>
          <w:iCs/>
          <w:color w:val="000000"/>
          <w:sz w:val="18"/>
          <w:szCs w:val="22"/>
        </w:rPr>
        <w:t>Edwards v Allmen Engineering Pty Ltd</w:t>
      </w:r>
      <w:r w:rsidR="002A6B29" w:rsidRPr="00ED706B">
        <w:rPr>
          <w:rFonts w:ascii="Arial" w:hAnsi="Arial" w:cs="Arial"/>
          <w:color w:val="000000"/>
          <w:sz w:val="18"/>
          <w:szCs w:val="22"/>
        </w:rPr>
        <w:t xml:space="preserve"> (New South Wales Court of Appeal, 17 October 1995).</w:t>
      </w:r>
    </w:p>
    <w:p w14:paraId="0A372C2E" w14:textId="77777777" w:rsidR="002523E5" w:rsidRPr="00ED706B" w:rsidRDefault="002523E5" w:rsidP="00443E59">
      <w:pPr>
        <w:jc w:val="both"/>
        <w:rPr>
          <w:rFonts w:ascii="Arial" w:hAnsi="Arial" w:cs="Arial"/>
          <w:color w:val="000000"/>
          <w:sz w:val="20"/>
        </w:rPr>
      </w:pPr>
    </w:p>
    <w:p w14:paraId="692824D1" w14:textId="6328F5F6" w:rsidR="00D7719E" w:rsidRPr="00ED706B" w:rsidRDefault="00D7719E"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Turner v Norwalk Precast Burial Systems Pty Ltd</w:t>
      </w:r>
      <w:r w:rsidRPr="00ED706B">
        <w:rPr>
          <w:rFonts w:ascii="Arial" w:hAnsi="Arial" w:cs="Arial"/>
          <w:color w:val="000000"/>
          <w:sz w:val="20"/>
        </w:rPr>
        <w:t xml:space="preserve"> [2025] VSCA 94 the 76 year old applicant –</w:t>
      </w:r>
      <w:r w:rsidR="00E851A1">
        <w:rPr>
          <w:rFonts w:ascii="Arial" w:hAnsi="Arial" w:cs="Arial"/>
          <w:color w:val="000000"/>
          <w:sz w:val="20"/>
        </w:rPr>
        <w:t xml:space="preserve"> </w:t>
      </w:r>
      <w:r w:rsidRPr="00ED706B">
        <w:rPr>
          <w:rFonts w:ascii="Arial" w:hAnsi="Arial" w:cs="Arial"/>
          <w:color w:val="000000"/>
          <w:sz w:val="20"/>
        </w:rPr>
        <w:t>a</w:t>
      </w:r>
      <w:r w:rsidR="00E851A1">
        <w:rPr>
          <w:rFonts w:ascii="Arial" w:hAnsi="Arial" w:cs="Arial"/>
          <w:color w:val="000000"/>
          <w:sz w:val="20"/>
        </w:rPr>
        <w:t> </w:t>
      </w:r>
      <w:r w:rsidRPr="00ED706B">
        <w:rPr>
          <w:rFonts w:ascii="Arial" w:hAnsi="Arial" w:cs="Arial"/>
          <w:color w:val="000000"/>
          <w:sz w:val="20"/>
        </w:rPr>
        <w:t xml:space="preserve">qualified carpenter – had brought a case in negligence and contract against the manufacturer of a septic tank system which had been installed on his property, alleging that this system was missing an ‘aerator arm’ which caused him to suffer recurrent Helicobacter Pylori infections, sickness, loss and damage. At trial </w:t>
      </w:r>
      <w:r w:rsidR="00E851A1">
        <w:rPr>
          <w:rFonts w:ascii="Arial" w:hAnsi="Arial" w:cs="Arial"/>
          <w:color w:val="000000"/>
          <w:sz w:val="20"/>
        </w:rPr>
        <w:t>in the County Court</w:t>
      </w:r>
      <w:r w:rsidRPr="00ED706B">
        <w:rPr>
          <w:rFonts w:ascii="Arial" w:hAnsi="Arial" w:cs="Arial"/>
          <w:color w:val="000000"/>
          <w:sz w:val="20"/>
        </w:rPr>
        <w:t xml:space="preserve"> the applicant was self-represented. He gave evidence himself and adduced evidence from his friend, Ms Berry, who had assisted him at trial. He had</w:t>
      </w:r>
      <w:r w:rsidR="00364E48" w:rsidRPr="00ED706B">
        <w:rPr>
          <w:rFonts w:ascii="Arial" w:hAnsi="Arial" w:cs="Arial"/>
          <w:color w:val="000000"/>
          <w:sz w:val="20"/>
        </w:rPr>
        <w:t xml:space="preserve"> also tendered medical reports of 3 gastroenterologists. The trial judge had </w:t>
      </w:r>
      <w:r w:rsidR="00E851A1">
        <w:rPr>
          <w:rFonts w:ascii="Arial" w:hAnsi="Arial" w:cs="Arial"/>
          <w:color w:val="000000"/>
          <w:sz w:val="20"/>
        </w:rPr>
        <w:t xml:space="preserve">then </w:t>
      </w:r>
      <w:r w:rsidR="00364E48" w:rsidRPr="00ED706B">
        <w:rPr>
          <w:rFonts w:ascii="Arial" w:hAnsi="Arial" w:cs="Arial"/>
          <w:color w:val="000000"/>
          <w:sz w:val="20"/>
        </w:rPr>
        <w:t>dismissed the applicant’s claim on a no case submission by the respondent. On appeal – where the applicant was represented by counsel through the Victorian Bar pro bono scheme – the Court of Appeal granted leave to appeal and allowed the appeal on 2 grounds, namely:</w:t>
      </w:r>
    </w:p>
    <w:p w14:paraId="3EFA7740" w14:textId="05F186BC" w:rsidR="00364E48" w:rsidRPr="00ED706B" w:rsidRDefault="00364E48"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Notwithstanding that “the judge was courteous and patient, provided extensive assistance to the applicant and informed the applicant that he needed to prove his case”, “the judge failed to appropriately correct the </w:t>
      </w:r>
      <w:r w:rsidR="00ED706B" w:rsidRPr="00ED706B">
        <w:rPr>
          <w:rFonts w:ascii="Arial" w:hAnsi="Arial" w:cs="Arial"/>
          <w:sz w:val="20"/>
        </w:rPr>
        <w:t xml:space="preserve">[applicant’s] </w:t>
      </w:r>
      <w:r w:rsidRPr="00ED706B">
        <w:rPr>
          <w:rFonts w:ascii="Arial" w:hAnsi="Arial" w:cs="Arial"/>
          <w:sz w:val="20"/>
        </w:rPr>
        <w:t>apparent misconception</w:t>
      </w:r>
      <w:r w:rsidR="00E851A1">
        <w:rPr>
          <w:rFonts w:ascii="Arial" w:hAnsi="Arial" w:cs="Arial"/>
          <w:sz w:val="20"/>
        </w:rPr>
        <w:t>”</w:t>
      </w:r>
      <w:r w:rsidRPr="00ED706B">
        <w:rPr>
          <w:rFonts w:ascii="Arial" w:hAnsi="Arial" w:cs="Arial"/>
          <w:sz w:val="20"/>
        </w:rPr>
        <w:t xml:space="preserve"> that </w:t>
      </w:r>
      <w:r w:rsidR="00E851A1">
        <w:rPr>
          <w:rFonts w:ascii="Arial" w:hAnsi="Arial" w:cs="Arial"/>
          <w:sz w:val="20"/>
        </w:rPr>
        <w:t>“</w:t>
      </w:r>
      <w:r w:rsidRPr="00ED706B">
        <w:rPr>
          <w:rFonts w:ascii="Arial" w:hAnsi="Arial" w:cs="Arial"/>
          <w:sz w:val="20"/>
        </w:rPr>
        <w:t>he would be able to adduce further evidence through the respondent’s witnesses”. The judge “thereby failed to ensure that the applicant, as an unrepresented litigant, had the degree of assistance required to ensure a fair trial and avoid ‘practical injustice’.</w:t>
      </w:r>
      <w:r w:rsidR="00B47736" w:rsidRPr="00ED706B">
        <w:rPr>
          <w:rFonts w:ascii="Arial" w:hAnsi="Arial" w:cs="Arial"/>
          <w:sz w:val="20"/>
        </w:rPr>
        <w:t>”</w:t>
      </w:r>
      <w:r w:rsidRPr="00ED706B">
        <w:rPr>
          <w:rFonts w:ascii="Arial" w:hAnsi="Arial" w:cs="Arial"/>
          <w:sz w:val="20"/>
        </w:rPr>
        <w:t xml:space="preserve"> See especially [6</w:t>
      </w:r>
      <w:r w:rsidR="009B1CFB">
        <w:rPr>
          <w:rFonts w:ascii="Arial" w:hAnsi="Arial" w:cs="Arial"/>
          <w:sz w:val="20"/>
        </w:rPr>
        <w:t>7], [6</w:t>
      </w:r>
      <w:r w:rsidRPr="00ED706B">
        <w:rPr>
          <w:rFonts w:ascii="Arial" w:hAnsi="Arial" w:cs="Arial"/>
          <w:sz w:val="20"/>
        </w:rPr>
        <w:t>8], [73] &amp; [75].</w:t>
      </w:r>
    </w:p>
    <w:p w14:paraId="1809D914" w14:textId="7FE6BBF6" w:rsidR="00B47736" w:rsidRPr="00ED706B" w:rsidRDefault="00B47736"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The judge erred in ruling in favour of the respondent’s no case submission without providing the applicant, as an unrepresented litigant, the opportunity of proving causation by an alternative means under s.51(2) of the </w:t>
      </w:r>
      <w:r w:rsidRPr="00ED706B">
        <w:rPr>
          <w:rFonts w:ascii="Arial" w:hAnsi="Arial" w:cs="Arial"/>
          <w:i/>
          <w:iCs/>
          <w:sz w:val="20"/>
        </w:rPr>
        <w:t>Wrongs Act 1958</w:t>
      </w:r>
      <w:r w:rsidRPr="00ED706B">
        <w:rPr>
          <w:rFonts w:ascii="Arial" w:hAnsi="Arial" w:cs="Arial"/>
          <w:sz w:val="20"/>
        </w:rPr>
        <w:t xml:space="preserve"> if factual causation could not be established.</w:t>
      </w:r>
    </w:p>
    <w:p w14:paraId="37A601CC" w14:textId="03CE5A6D" w:rsidR="00364E48" w:rsidRPr="00ED706B" w:rsidRDefault="00B47736" w:rsidP="00B47736">
      <w:pPr>
        <w:spacing w:before="60"/>
        <w:jc w:val="both"/>
        <w:rPr>
          <w:rFonts w:ascii="Arial" w:hAnsi="Arial" w:cs="Arial"/>
          <w:color w:val="000000"/>
          <w:sz w:val="20"/>
        </w:rPr>
      </w:pPr>
      <w:r w:rsidRPr="00ED706B">
        <w:rPr>
          <w:rFonts w:ascii="Arial" w:hAnsi="Arial" w:cs="Arial"/>
          <w:color w:val="000000"/>
          <w:sz w:val="20"/>
        </w:rPr>
        <w:t xml:space="preserve">The Court of Appeal set aside the order of the County Court dismissing the proceeding and remitted it to the County Court for further hearing by </w:t>
      </w:r>
      <w:r w:rsidR="00E851A1">
        <w:rPr>
          <w:rFonts w:ascii="Arial" w:hAnsi="Arial" w:cs="Arial"/>
          <w:color w:val="000000"/>
          <w:sz w:val="20"/>
        </w:rPr>
        <w:t>the trial judge</w:t>
      </w:r>
      <w:r w:rsidRPr="00ED706B">
        <w:rPr>
          <w:rFonts w:ascii="Arial" w:hAnsi="Arial" w:cs="Arial"/>
          <w:color w:val="000000"/>
          <w:sz w:val="20"/>
        </w:rPr>
        <w:t xml:space="preserve"> in accordance with the Court of Appeal’s reasons.</w:t>
      </w:r>
    </w:p>
    <w:p w14:paraId="7BA36E3F" w14:textId="3D6F99B4" w:rsidR="00B47736" w:rsidRPr="00ED706B" w:rsidRDefault="00ED706B" w:rsidP="00B47736">
      <w:pPr>
        <w:spacing w:before="60"/>
        <w:jc w:val="both"/>
        <w:rPr>
          <w:rFonts w:ascii="Arial" w:hAnsi="Arial" w:cs="Arial"/>
          <w:color w:val="000000"/>
          <w:sz w:val="20"/>
        </w:rPr>
      </w:pPr>
      <w:r w:rsidRPr="00ED706B">
        <w:rPr>
          <w:rFonts w:ascii="Arial" w:hAnsi="Arial" w:cs="Arial"/>
          <w:color w:val="000000"/>
          <w:sz w:val="20"/>
        </w:rPr>
        <w:t>In discussing the legal framework relevant for self-represented litigants, Beach &amp; Kennedy JJA and J Forrest AJA said at [63]-[67]:</w:t>
      </w:r>
    </w:p>
    <w:p w14:paraId="5006A118" w14:textId="77777777"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[63] “When considering the obligations of a judge in respect of a self-represented litigant, the authorities highlight the flexibility of the applicable requirements.</w:t>
      </w:r>
    </w:p>
    <w:p w14:paraId="03141A14" w14:textId="5E2C91B1"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[64] In </w:t>
      </w:r>
      <w:r w:rsidRPr="00ED706B">
        <w:rPr>
          <w:rFonts w:ascii="Arial" w:hAnsi="Arial" w:cs="Arial"/>
          <w:i/>
          <w:iCs/>
          <w:color w:val="000000"/>
          <w:sz w:val="20"/>
        </w:rPr>
        <w:t>Trkulja v Markovic</w:t>
      </w:r>
      <w:r w:rsidRPr="00ED706B">
        <w:rPr>
          <w:rFonts w:ascii="Arial" w:hAnsi="Arial" w:cs="Arial"/>
          <w:color w:val="000000"/>
          <w:sz w:val="20"/>
        </w:rPr>
        <w:t xml:space="preserve"> [2015] VSCA 298, this Court examined a number of authorities, as well as the rationale for a judge’s duty in respect of self-represented litigants, before also highlighting at [37] the protean nature of the duty: </w:t>
      </w:r>
    </w:p>
    <w:p w14:paraId="797E6F03" w14:textId="048487A6"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18"/>
        </w:rPr>
        <w:t>Whatever the rationale for the judge’s duty may be, it is clear that the boundaries of legitimate judicial intervention are flexible and will be influenced by the need to ensure a fair and just trial. It follows that what a judge must do to assist a self-represented litigant depends on the circumstances of the litigant and the nature and complexity of the case. The circumstances of the litigant include his or her age, physical and mental health, level of education, proficiency in the English language, level of intelligence, personality and experience as well as his or her understanding of the case. [citations omitted]</w:t>
      </w:r>
    </w:p>
    <w:p w14:paraId="5D328ACF" w14:textId="2F724C56" w:rsid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[65] The Court further stated</w:t>
      </w:r>
      <w:r>
        <w:rPr>
          <w:rFonts w:ascii="Arial" w:hAnsi="Arial" w:cs="Arial"/>
          <w:color w:val="000000"/>
          <w:sz w:val="20"/>
        </w:rPr>
        <w:t xml:space="preserve"> at [39]</w:t>
      </w:r>
      <w:r w:rsidRPr="00ED706B">
        <w:rPr>
          <w:rFonts w:ascii="Arial" w:hAnsi="Arial" w:cs="Arial"/>
          <w:color w:val="000000"/>
          <w:sz w:val="20"/>
        </w:rPr>
        <w:t>:</w:t>
      </w:r>
    </w:p>
    <w:p w14:paraId="55AFEAA4" w14:textId="52A66E20"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 In some cases, it may be necessary for the judge to identify the issues and the state of the evidence in relation to them so as to enable the self-represented litigant to consider whether he or she wishes to adduce evidence. It is elementary that a judge ought to ensure that the self</w:t>
      </w:r>
      <w:r>
        <w:rPr>
          <w:rFonts w:ascii="Arial" w:hAnsi="Arial" w:cs="Arial"/>
          <w:color w:val="000000"/>
          <w:sz w:val="18"/>
          <w:szCs w:val="22"/>
        </w:rPr>
        <w:t>-</w:t>
      </w:r>
      <w:r w:rsidRPr="00ED706B">
        <w:rPr>
          <w:rFonts w:ascii="Arial" w:hAnsi="Arial" w:cs="Arial"/>
          <w:color w:val="000000"/>
          <w:sz w:val="18"/>
          <w:szCs w:val="22"/>
        </w:rPr>
        <w:t>represented litigant understands his or her rights so that he or she is not unfairly disadvantaged by being in ignorance of those rights. Notwithstanding this, the judge should refrain from advising a litigant as to how or when he or she should exercise those rights.</w:t>
      </w:r>
      <w:r>
        <w:rPr>
          <w:rFonts w:ascii="Arial" w:hAnsi="Arial" w:cs="Arial"/>
          <w:color w:val="000000"/>
          <w:sz w:val="18"/>
          <w:szCs w:val="22"/>
        </w:rPr>
        <w:t xml:space="preserve"> </w:t>
      </w:r>
      <w:r w:rsidRPr="00ED706B">
        <w:rPr>
          <w:rFonts w:ascii="Arial" w:hAnsi="Arial" w:cs="Arial"/>
          <w:color w:val="000000"/>
          <w:sz w:val="18"/>
          <w:szCs w:val="18"/>
        </w:rPr>
        <w:t>[citations omitted]</w:t>
      </w:r>
    </w:p>
    <w:p w14:paraId="74A4F4E2" w14:textId="2B15D6C3" w:rsidR="00ED706B" w:rsidRDefault="00ED706B" w:rsidP="009B1CFB">
      <w:pPr>
        <w:spacing w:before="60"/>
        <w:ind w:left="454" w:right="454"/>
        <w:jc w:val="both"/>
        <w:rPr>
          <w:rFonts w:ascii="Arial" w:hAnsi="Arial" w:cs="Arial"/>
          <w:color w:val="000000"/>
          <w:sz w:val="20"/>
        </w:rPr>
      </w:pPr>
      <w:r>
        <w:rPr>
          <w:rFonts w:ascii="Arial" w:hAnsi="Arial" w:cs="Arial"/>
          <w:color w:val="000000"/>
          <w:sz w:val="20"/>
        </w:rPr>
        <w:t xml:space="preserve">[66] The Court also </w:t>
      </w:r>
      <w:r w:rsidRPr="00ED706B">
        <w:rPr>
          <w:rFonts w:ascii="Arial" w:hAnsi="Arial" w:cs="Arial"/>
          <w:color w:val="000000"/>
          <w:sz w:val="20"/>
        </w:rPr>
        <w:t>observed that the judge should not become the advocate of the self</w:t>
      </w:r>
      <w:r>
        <w:rPr>
          <w:rFonts w:ascii="Arial" w:hAnsi="Arial" w:cs="Arial"/>
          <w:color w:val="000000"/>
          <w:sz w:val="20"/>
        </w:rPr>
        <w:t>-</w:t>
      </w:r>
      <w:r w:rsidRPr="00ED706B">
        <w:rPr>
          <w:rFonts w:ascii="Arial" w:hAnsi="Arial" w:cs="Arial"/>
          <w:color w:val="000000"/>
          <w:sz w:val="20"/>
        </w:rPr>
        <w:t>represented litigant and must maintain the reality and appearance of judicial neutrality at all times and to all parties</w:t>
      </w:r>
      <w:r>
        <w:rPr>
          <w:rFonts w:ascii="Arial" w:hAnsi="Arial" w:cs="Arial"/>
          <w:color w:val="000000"/>
          <w:sz w:val="20"/>
        </w:rPr>
        <w:t xml:space="preserve">: </w:t>
      </w:r>
      <w:r w:rsidRPr="00ED706B">
        <w:rPr>
          <w:rFonts w:ascii="Arial" w:hAnsi="Arial" w:cs="Arial"/>
          <w:i/>
          <w:iCs/>
          <w:color w:val="000000"/>
          <w:sz w:val="20"/>
        </w:rPr>
        <w:t>Ibid</w:t>
      </w:r>
      <w:r>
        <w:rPr>
          <w:rFonts w:ascii="Arial" w:hAnsi="Arial" w:cs="Arial"/>
          <w:color w:val="000000"/>
          <w:sz w:val="20"/>
        </w:rPr>
        <w:t xml:space="preserve"> [41], citing </w:t>
      </w:r>
      <w:r w:rsidRPr="00ED706B">
        <w:rPr>
          <w:rFonts w:ascii="Arial" w:hAnsi="Arial" w:cs="Arial"/>
          <w:i/>
          <w:iCs/>
          <w:color w:val="000000"/>
          <w:sz w:val="20"/>
        </w:rPr>
        <w:t>McWhinney v Melbourne Health</w:t>
      </w:r>
      <w:r w:rsidRPr="00ED706B">
        <w:rPr>
          <w:rFonts w:ascii="Arial" w:hAnsi="Arial" w:cs="Arial"/>
          <w:color w:val="000000"/>
          <w:sz w:val="20"/>
        </w:rPr>
        <w:t xml:space="preserve"> (2011) 31 VR 285, 293 [25], quoting </w:t>
      </w:r>
      <w:r w:rsidRPr="00ED706B">
        <w:rPr>
          <w:rFonts w:ascii="Arial" w:hAnsi="Arial" w:cs="Arial"/>
          <w:i/>
          <w:iCs/>
          <w:color w:val="000000"/>
          <w:sz w:val="20"/>
        </w:rPr>
        <w:t>Tomasevic v Travaglini</w:t>
      </w:r>
      <w:r w:rsidRPr="00ED706B">
        <w:rPr>
          <w:rFonts w:ascii="Arial" w:hAnsi="Arial" w:cs="Arial"/>
          <w:color w:val="000000"/>
          <w:sz w:val="20"/>
        </w:rPr>
        <w:t xml:space="preserve"> (2007) 17 VR 100, 130 [141]</w:t>
      </w:r>
      <w:r>
        <w:rPr>
          <w:rFonts w:ascii="Arial" w:hAnsi="Arial" w:cs="Arial"/>
          <w:color w:val="000000"/>
          <w:sz w:val="20"/>
        </w:rPr>
        <w:t>-</w:t>
      </w:r>
      <w:r w:rsidRPr="00ED706B">
        <w:rPr>
          <w:rFonts w:ascii="Arial" w:hAnsi="Arial" w:cs="Arial"/>
          <w:color w:val="000000"/>
          <w:sz w:val="20"/>
        </w:rPr>
        <w:t>[142].</w:t>
      </w:r>
    </w:p>
    <w:p w14:paraId="7FCC24A6" w14:textId="05A17F54" w:rsidR="00C67BFD"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lastRenderedPageBreak/>
        <w:t xml:space="preserve">[67] In 2018, this Court delivered two further decisions where a self-represented litigant complained about a lack of procedural fairness: </w:t>
      </w:r>
      <w:r w:rsidRPr="00ED706B">
        <w:rPr>
          <w:rFonts w:ascii="Arial" w:hAnsi="Arial" w:cs="Arial"/>
          <w:i/>
          <w:iCs/>
          <w:color w:val="000000"/>
          <w:sz w:val="20"/>
        </w:rPr>
        <w:t>Roberts v Harkness</w:t>
      </w:r>
      <w:r>
        <w:rPr>
          <w:rFonts w:ascii="Arial" w:hAnsi="Arial" w:cs="Arial"/>
          <w:color w:val="000000"/>
          <w:sz w:val="20"/>
        </w:rPr>
        <w:t xml:space="preserve"> (2018) 57 VR 334; [2018] VSCA 215</w:t>
      </w:r>
      <w:r w:rsidRPr="00ED706B">
        <w:rPr>
          <w:rFonts w:ascii="Arial" w:hAnsi="Arial" w:cs="Arial"/>
          <w:color w:val="000000"/>
          <w:sz w:val="20"/>
        </w:rPr>
        <w:t xml:space="preserve"> and </w:t>
      </w:r>
      <w:r w:rsidRPr="00ED706B">
        <w:rPr>
          <w:rFonts w:ascii="Arial" w:hAnsi="Arial" w:cs="Arial"/>
          <w:i/>
          <w:iCs/>
          <w:color w:val="000000"/>
          <w:sz w:val="20"/>
        </w:rPr>
        <w:t>Doughty-Cowell v Kyriazis</w:t>
      </w:r>
      <w:r w:rsidRPr="00ED706B">
        <w:rPr>
          <w:rFonts w:ascii="Arial" w:hAnsi="Arial" w:cs="Arial"/>
          <w:color w:val="000000"/>
          <w:sz w:val="20"/>
        </w:rPr>
        <w:t xml:space="preserve"> </w:t>
      </w:r>
      <w:r>
        <w:rPr>
          <w:rFonts w:ascii="Arial" w:hAnsi="Arial" w:cs="Arial"/>
          <w:color w:val="000000"/>
          <w:sz w:val="20"/>
        </w:rPr>
        <w:t>[2018] VSCA 216</w:t>
      </w:r>
      <w:r w:rsidRPr="00ED706B">
        <w:rPr>
          <w:rFonts w:ascii="Arial" w:hAnsi="Arial" w:cs="Arial"/>
          <w:color w:val="000000"/>
          <w:sz w:val="20"/>
        </w:rPr>
        <w:t xml:space="preserve">. In the second of these decisions, that of </w:t>
      </w:r>
      <w:r w:rsidRPr="00ED706B">
        <w:rPr>
          <w:rFonts w:ascii="Arial" w:hAnsi="Arial" w:cs="Arial"/>
          <w:i/>
          <w:iCs/>
          <w:color w:val="000000"/>
          <w:sz w:val="20"/>
        </w:rPr>
        <w:t>Doughty-Cowell</w:t>
      </w:r>
      <w:r w:rsidRPr="00ED706B">
        <w:rPr>
          <w:rFonts w:ascii="Arial" w:hAnsi="Arial" w:cs="Arial"/>
          <w:color w:val="000000"/>
          <w:sz w:val="20"/>
        </w:rPr>
        <w:t xml:space="preserve">, the Court </w:t>
      </w:r>
      <w:r w:rsidR="00C67BFD">
        <w:rPr>
          <w:rFonts w:ascii="Arial" w:hAnsi="Arial" w:cs="Arial"/>
          <w:color w:val="000000"/>
          <w:sz w:val="20"/>
        </w:rPr>
        <w:t xml:space="preserve">(Maxwell P, Beach &amp; Niall JJA) </w:t>
      </w:r>
      <w:r w:rsidRPr="00ED706B">
        <w:rPr>
          <w:rFonts w:ascii="Arial" w:hAnsi="Arial" w:cs="Arial"/>
          <w:color w:val="000000"/>
          <w:sz w:val="20"/>
        </w:rPr>
        <w:t xml:space="preserve">helpfully collated </w:t>
      </w:r>
      <w:r w:rsidR="00C67BFD">
        <w:rPr>
          <w:rFonts w:ascii="Arial" w:hAnsi="Arial" w:cs="Arial"/>
          <w:color w:val="000000"/>
          <w:sz w:val="20"/>
        </w:rPr>
        <w:t xml:space="preserve">at [63] </w:t>
      </w:r>
      <w:r w:rsidRPr="00ED706B">
        <w:rPr>
          <w:rFonts w:ascii="Arial" w:hAnsi="Arial" w:cs="Arial"/>
          <w:color w:val="000000"/>
          <w:sz w:val="20"/>
        </w:rPr>
        <w:t>the following relevant principles, highlighting the need to avoid ‘practical injustice’:</w:t>
      </w:r>
    </w:p>
    <w:p w14:paraId="2727EE0E" w14:textId="5D46D78B" w:rsidR="00C67BFD" w:rsidRDefault="00C67BFD" w:rsidP="009B1CFB">
      <w:pPr>
        <w:spacing w:before="60"/>
        <w:ind w:left="1264" w:right="907" w:hanging="357"/>
        <w:jc w:val="both"/>
        <w:rPr>
          <w:rFonts w:ascii="Arial" w:hAnsi="Arial" w:cs="Arial"/>
          <w:color w:val="000000"/>
          <w:sz w:val="18"/>
          <w:szCs w:val="18"/>
        </w:rPr>
      </w:pPr>
      <w:r w:rsidRPr="00C67BFD">
        <w:rPr>
          <w:rFonts w:ascii="Arial" w:hAnsi="Arial" w:cs="Arial"/>
          <w:color w:val="000000"/>
          <w:sz w:val="18"/>
          <w:szCs w:val="18"/>
        </w:rPr>
        <w:t>(1)</w:t>
      </w:r>
      <w:r>
        <w:rPr>
          <w:rFonts w:ascii="Arial" w:hAnsi="Arial" w:cs="Arial"/>
          <w:color w:val="000000"/>
          <w:sz w:val="18"/>
          <w:szCs w:val="18"/>
        </w:rPr>
        <w:tab/>
      </w:r>
      <w:r w:rsidRPr="00C67BFD">
        <w:rPr>
          <w:rFonts w:ascii="Arial" w:hAnsi="Arial" w:cs="Arial"/>
          <w:color w:val="000000"/>
          <w:sz w:val="18"/>
          <w:szCs w:val="18"/>
        </w:rPr>
        <w:t>Fairness is not an abstract concept. When one talks in terms of procedural fairness or natural justice, the concern of the law is to avoid practical injustice.</w:t>
      </w:r>
    </w:p>
    <w:p w14:paraId="6D4962F3" w14:textId="1646594B"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18"/>
        </w:rPr>
        <w:t>(2)</w:t>
      </w:r>
      <w:r>
        <w:rPr>
          <w:rFonts w:ascii="Arial" w:hAnsi="Arial" w:cs="Arial"/>
          <w:color w:val="000000"/>
          <w:sz w:val="18"/>
          <w:szCs w:val="18"/>
        </w:rPr>
        <w:tab/>
      </w:r>
      <w:r w:rsidRPr="00C67BFD">
        <w:rPr>
          <w:rFonts w:ascii="Arial" w:hAnsi="Arial" w:cs="Arial"/>
          <w:color w:val="000000"/>
          <w:sz w:val="18"/>
          <w:szCs w:val="18"/>
        </w:rPr>
        <w:t>The practical question is</w:t>
      </w:r>
      <w:r w:rsidRPr="00C67BFD">
        <w:rPr>
          <w:rFonts w:ascii="Arial" w:hAnsi="Arial" w:cs="Arial"/>
          <w:color w:val="000000"/>
          <w:sz w:val="18"/>
          <w:szCs w:val="22"/>
        </w:rPr>
        <w:t xml:space="preserve"> whether the party in question was given a reasonable opportunity to present his or her case and advance submissions in support, and to know the case to be advanced by the opposing party and to make submissions in opposition to that case.</w:t>
      </w:r>
    </w:p>
    <w:p w14:paraId="3144E51C" w14:textId="77777777"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(3)</w:t>
      </w:r>
      <w:r>
        <w:rPr>
          <w:rFonts w:ascii="Arial" w:hAnsi="Arial" w:cs="Arial"/>
          <w:color w:val="000000"/>
          <w:sz w:val="18"/>
          <w:szCs w:val="22"/>
        </w:rPr>
        <w:tab/>
      </w:r>
      <w:r w:rsidRPr="00C67BFD">
        <w:rPr>
          <w:rFonts w:ascii="Arial" w:hAnsi="Arial" w:cs="Arial"/>
          <w:color w:val="000000"/>
          <w:sz w:val="18"/>
          <w:szCs w:val="22"/>
        </w:rPr>
        <w:t>What is reasonable for this purpose will necessarily depend upon the circumstances. Matters to be taken into account will include:</w:t>
      </w:r>
    </w:p>
    <w:p w14:paraId="3FCA27A0" w14:textId="0AF9EE12"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issues in dispute;</w:t>
      </w:r>
    </w:p>
    <w:p w14:paraId="6E2A6248" w14:textId="4067D217"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submissions which the party wishes to advance;</w:t>
      </w:r>
    </w:p>
    <w:p w14:paraId="3E072E2B" w14:textId="6A4962AE"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significance to that party of an adverse decision; and</w:t>
      </w:r>
    </w:p>
    <w:p w14:paraId="03F60EBC" w14:textId="54D63542" w:rsidR="00C67BFD" w:rsidRP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competing demands of the time and resources of the Court.</w:t>
      </w:r>
    </w:p>
    <w:p w14:paraId="19837E84" w14:textId="13931233"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(4)</w:t>
      </w:r>
      <w:r>
        <w:rPr>
          <w:rFonts w:ascii="Arial" w:hAnsi="Arial" w:cs="Arial"/>
          <w:color w:val="000000"/>
          <w:sz w:val="18"/>
          <w:szCs w:val="22"/>
        </w:rPr>
        <w:tab/>
        <w:t xml:space="preserve">The question to be asked </w:t>
      </w:r>
      <w:r w:rsidRPr="00C67BFD">
        <w:rPr>
          <w:rFonts w:ascii="Arial" w:hAnsi="Arial" w:cs="Arial"/>
          <w:color w:val="000000"/>
          <w:sz w:val="18"/>
          <w:szCs w:val="22"/>
        </w:rPr>
        <w:t>is whether the party (represented or unrepresented) was given a reasonable opportunity to advance his or her own case and to be informed of and respond to the opposing case.</w:t>
      </w:r>
    </w:p>
    <w:p w14:paraId="55C8A31B" w14:textId="001F72A4"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(5)</w:t>
      </w:r>
      <w:r>
        <w:rPr>
          <w:rFonts w:ascii="Arial" w:hAnsi="Arial" w:cs="Arial"/>
          <w:color w:val="000000"/>
          <w:sz w:val="18"/>
          <w:szCs w:val="22"/>
        </w:rPr>
        <w:tab/>
      </w:r>
      <w:r w:rsidRPr="00C67BFD">
        <w:rPr>
          <w:rFonts w:ascii="Arial" w:hAnsi="Arial" w:cs="Arial"/>
          <w:color w:val="000000"/>
          <w:sz w:val="18"/>
          <w:szCs w:val="22"/>
        </w:rPr>
        <w:t>The key difference with respect to unrepresented litigants is the need for the Court to assess the capacity of an unrepresented person to formulate, and articulate, the case which they wish to present. As we said:</w:t>
      </w:r>
    </w:p>
    <w:p w14:paraId="7FA8E049" w14:textId="592E4D83" w:rsidR="00C67BFD" w:rsidRDefault="00C67BFD" w:rsidP="009B1CFB">
      <w:pPr>
        <w:spacing w:before="60"/>
        <w:ind w:left="1718" w:right="1361"/>
        <w:jc w:val="both"/>
        <w:rPr>
          <w:rFonts w:ascii="Arial" w:hAnsi="Arial" w:cs="Arial"/>
          <w:color w:val="000000"/>
          <w:sz w:val="20"/>
        </w:rPr>
      </w:pPr>
      <w:r w:rsidRPr="00C67BFD">
        <w:rPr>
          <w:rFonts w:ascii="Arial" w:hAnsi="Arial" w:cs="Arial"/>
          <w:color w:val="000000"/>
          <w:sz w:val="18"/>
          <w:szCs w:val="22"/>
        </w:rPr>
        <w:t>The assessment of capability will typically be based on any written documentation which the litigant has filed and, where there is an oral hearing, on the quality of the litigant’s verbal communication with the Court. Very often, the judicial officer will be able to assess relatively quickly whether, and to what extent, the litigant will need assistance, either from the Court or from a third party, in order for the Court to understand the litigant’s case.</w:t>
      </w:r>
      <w:r w:rsidR="009B1CFB">
        <w:rPr>
          <w:rFonts w:ascii="Arial" w:hAnsi="Arial" w:cs="Arial"/>
          <w:color w:val="000000"/>
          <w:sz w:val="18"/>
          <w:szCs w:val="22"/>
        </w:rPr>
        <w:t>”</w:t>
      </w:r>
    </w:p>
    <w:p w14:paraId="46E788AB" w14:textId="77777777" w:rsidR="00D7719E" w:rsidRDefault="00D7719E" w:rsidP="00443E59">
      <w:pPr>
        <w:jc w:val="both"/>
        <w:rPr>
          <w:rFonts w:ascii="Helvetica" w:hAnsi="Helvetica"/>
          <w:color w:val="000000"/>
          <w:sz w:val="20"/>
        </w:rPr>
      </w:pPr>
    </w:p>
    <w:p w14:paraId="061FC62C" w14:textId="553ECF04"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AsJ; </w:t>
      </w:r>
      <w:r w:rsidR="00943BBA" w:rsidRPr="00943BBA">
        <w:rPr>
          <w:rFonts w:ascii="Helvetica" w:hAnsi="Helvetica"/>
          <w:i/>
          <w:iCs/>
          <w:color w:val="000000"/>
          <w:sz w:val="20"/>
        </w:rPr>
        <w:t>Re Rococo Group Pty Ltd (in liq)</w:t>
      </w:r>
      <w:r w:rsidR="00943BBA">
        <w:rPr>
          <w:rFonts w:ascii="Helvetica" w:hAnsi="Helvetica"/>
          <w:color w:val="000000"/>
          <w:sz w:val="20"/>
        </w:rPr>
        <w:t xml:space="preserve"> [2022] VSC 167 at [7] per Hetyey AsJ</w:t>
      </w:r>
      <w:r w:rsidR="00FE0AC1">
        <w:rPr>
          <w:rFonts w:ascii="Helvetica" w:hAnsi="Helvetica"/>
          <w:color w:val="000000"/>
          <w:sz w:val="20"/>
        </w:rPr>
        <w:t xml:space="preserve">; </w:t>
      </w:r>
      <w:r w:rsidR="00FE0AC1" w:rsidRPr="00FE0AC1">
        <w:rPr>
          <w:rFonts w:ascii="Helvetica" w:hAnsi="Helvetica"/>
          <w:i/>
          <w:iCs/>
          <w:color w:val="000000"/>
          <w:sz w:val="20"/>
        </w:rPr>
        <w:t>Kunc v Victoria Police (No 1)</w:t>
      </w:r>
      <w:r w:rsidR="00FE0AC1">
        <w:rPr>
          <w:rFonts w:ascii="Helvetica" w:hAnsi="Helvetica"/>
          <w:color w:val="000000"/>
          <w:sz w:val="20"/>
        </w:rPr>
        <w:t xml:space="preserve"> [2025] VSC 299 at [15]-[16] per Irving AsJ.</w:t>
      </w:r>
    </w:p>
    <w:p w14:paraId="366ED440" w14:textId="77777777" w:rsidR="00FE0AC1" w:rsidRDefault="00FE0AC1" w:rsidP="00443E59">
      <w:pPr>
        <w:jc w:val="both"/>
        <w:rPr>
          <w:rFonts w:ascii="Helvetica" w:hAnsi="Helvetica"/>
          <w:color w:val="000000"/>
          <w:sz w:val="20"/>
        </w:rPr>
      </w:pPr>
    </w:p>
    <w:p w14:paraId="7613362F" w14:textId="225B45ED" w:rsidR="0007599F" w:rsidRDefault="0007599F" w:rsidP="0007599F">
      <w:pPr>
        <w:pStyle w:val="Heading3"/>
        <w:keepNext/>
        <w:keepLines/>
        <w:spacing w:after="100" w:line="240" w:lineRule="auto"/>
        <w:rPr>
          <w:rFonts w:ascii="Arial" w:hAnsi="Arial" w:cs="Arial"/>
          <w:b/>
          <w:bCs/>
          <w:sz w:val="20"/>
        </w:rPr>
      </w:pPr>
      <w:bookmarkStart w:id="407" w:name="_3.4.7_Duty_of"/>
      <w:bookmarkEnd w:id="407"/>
      <w:r w:rsidRPr="00904185">
        <w:rPr>
          <w:rFonts w:ascii="Arial" w:hAnsi="Arial" w:cs="Arial"/>
          <w:b/>
          <w:sz w:val="20"/>
        </w:rPr>
        <w:t>3.4.</w:t>
      </w:r>
      <w:r>
        <w:rPr>
          <w:rFonts w:ascii="Arial" w:hAnsi="Arial" w:cs="Arial"/>
          <w:b/>
          <w:sz w:val="20"/>
        </w:rPr>
        <w:t>7</w:t>
      </w:r>
      <w:r w:rsidRPr="00904185">
        <w:rPr>
          <w:rFonts w:ascii="Arial" w:hAnsi="Arial" w:cs="Arial"/>
          <w:b/>
          <w:sz w:val="20"/>
        </w:rPr>
        <w:tab/>
      </w:r>
      <w:r>
        <w:rPr>
          <w:rFonts w:ascii="Arial" w:hAnsi="Arial" w:cs="Arial"/>
          <w:b/>
          <w:sz w:val="20"/>
        </w:rPr>
        <w:t>Duty of legal representatives</w:t>
      </w:r>
      <w:r w:rsidR="00CD6643">
        <w:rPr>
          <w:rFonts w:ascii="Arial" w:hAnsi="Arial" w:cs="Arial"/>
          <w:b/>
          <w:sz w:val="20"/>
        </w:rPr>
        <w:t xml:space="preserve"> (including </w:t>
      </w:r>
      <w:r w:rsidR="00C25083">
        <w:rPr>
          <w:rFonts w:ascii="Arial" w:hAnsi="Arial" w:cs="Arial"/>
          <w:b/>
          <w:sz w:val="20"/>
        </w:rPr>
        <w:t>re</w:t>
      </w:r>
      <w:r w:rsidR="00163716">
        <w:rPr>
          <w:rFonts w:ascii="Arial" w:hAnsi="Arial" w:cs="Arial"/>
          <w:b/>
          <w:sz w:val="20"/>
        </w:rPr>
        <w:t xml:space="preserve"> </w:t>
      </w:r>
      <w:r w:rsidR="006F4F2A">
        <w:rPr>
          <w:rFonts w:ascii="Arial" w:hAnsi="Arial" w:cs="Arial"/>
          <w:b/>
          <w:sz w:val="20"/>
        </w:rPr>
        <w:t xml:space="preserve">the </w:t>
      </w:r>
      <w:r w:rsidR="00CD6643">
        <w:rPr>
          <w:rFonts w:ascii="Arial" w:hAnsi="Arial" w:cs="Arial"/>
          <w:b/>
          <w:sz w:val="20"/>
        </w:rPr>
        <w:t xml:space="preserve">use of AI </w:t>
      </w:r>
      <w:r w:rsidR="00CD2D09">
        <w:rPr>
          <w:rFonts w:ascii="Arial" w:hAnsi="Arial" w:cs="Arial"/>
          <w:b/>
          <w:sz w:val="20"/>
        </w:rPr>
        <w:t>for</w:t>
      </w:r>
      <w:r w:rsidR="00CD6643">
        <w:rPr>
          <w:rFonts w:ascii="Arial" w:hAnsi="Arial" w:cs="Arial"/>
          <w:b/>
          <w:sz w:val="20"/>
        </w:rPr>
        <w:t xml:space="preserve"> creation of documents)</w:t>
      </w:r>
    </w:p>
    <w:p w14:paraId="779E0796" w14:textId="13A94756"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w:t>
      </w:r>
      <w:r w:rsidR="0007599F">
        <w:rPr>
          <w:rFonts w:ascii="Helvetica" w:hAnsi="Helvetica"/>
          <w:color w:val="000000"/>
          <w:sz w:val="20"/>
        </w:rPr>
        <w:t> </w:t>
      </w:r>
      <w:r w:rsidR="004E3CDB" w:rsidRPr="00E37520">
        <w:rPr>
          <w:rFonts w:ascii="Helvetica" w:hAnsi="Helvetica"/>
          <w:color w:val="000000"/>
          <w:sz w:val="20"/>
        </w:rPr>
        <w:t xml:space="preserve">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place">
        <w:smartTag w:uri="urn:schemas-microsoft-com:office:smarttags" w:element="country-region">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52882B1D" w:rsidR="00443E59" w:rsidRPr="00E37520" w:rsidRDefault="00443E59" w:rsidP="009B1CFB">
      <w:pPr>
        <w:spacing w:before="60"/>
        <w:ind w:left="567" w:right="567"/>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w:t>
      </w:r>
      <w:r w:rsidR="00DA23B0">
        <w:rPr>
          <w:rFonts w:ascii="Arial" w:hAnsi="Arial" w:cs="Arial"/>
          <w:color w:val="000000"/>
          <w:sz w:val="20"/>
          <w:szCs w:val="20"/>
        </w:rPr>
        <w:t> </w:t>
      </w:r>
      <w:r w:rsidRPr="00E37520">
        <w:rPr>
          <w:rFonts w:ascii="Arial" w:hAnsi="Arial" w:cs="Arial"/>
          <w:color w:val="000000"/>
          <w:sz w:val="20"/>
          <w:szCs w:val="20"/>
        </w:rPr>
        <w:t xml:space="preserve">3 March 2011, two days before this trial was due to commence, Mr McGindle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5713D48B" w14:textId="77777777" w:rsidR="00F161C2" w:rsidRDefault="00F161C2" w:rsidP="00F161C2">
      <w:pPr>
        <w:jc w:val="both"/>
        <w:rPr>
          <w:rFonts w:ascii="Arial" w:hAnsi="Arial" w:cs="Arial"/>
          <w:sz w:val="20"/>
        </w:rPr>
      </w:pPr>
      <w:bookmarkStart w:id="408" w:name="_3.5_What_happens"/>
      <w:bookmarkStart w:id="409" w:name="B35"/>
      <w:bookmarkStart w:id="410" w:name="_3.5_What_happens_1"/>
      <w:bookmarkStart w:id="411" w:name="_Hlk206401078"/>
      <w:bookmarkStart w:id="412" w:name="_Toc30608807"/>
      <w:bookmarkStart w:id="413" w:name="_Toc30610021"/>
      <w:bookmarkStart w:id="414" w:name="_Toc30610265"/>
      <w:bookmarkStart w:id="415" w:name="_Toc30638419"/>
      <w:bookmarkStart w:id="416" w:name="_Toc30644228"/>
      <w:bookmarkStart w:id="417" w:name="_Toc30644631"/>
      <w:bookmarkStart w:id="418" w:name="_Toc30645181"/>
      <w:bookmarkStart w:id="419" w:name="_Toc30646392"/>
      <w:bookmarkStart w:id="420" w:name="_Toc30646687"/>
      <w:bookmarkStart w:id="421" w:name="_Toc30646798"/>
      <w:bookmarkStart w:id="422" w:name="_Toc30648155"/>
      <w:bookmarkStart w:id="423" w:name="_Toc30649053"/>
      <w:bookmarkStart w:id="424" w:name="_Toc30649129"/>
      <w:bookmarkStart w:id="425" w:name="_Toc30649390"/>
      <w:bookmarkStart w:id="426" w:name="_Toc30649711"/>
      <w:bookmarkStart w:id="427" w:name="_Toc30651648"/>
      <w:bookmarkStart w:id="428" w:name="_Toc30652632"/>
      <w:bookmarkStart w:id="429" w:name="_Toc30652730"/>
      <w:bookmarkStart w:id="430" w:name="_Toc30654075"/>
      <w:bookmarkStart w:id="431" w:name="_Toc30654426"/>
      <w:bookmarkStart w:id="432" w:name="_Toc30655045"/>
      <w:bookmarkStart w:id="433" w:name="_Toc30655302"/>
      <w:bookmarkStart w:id="434" w:name="_Toc30656980"/>
      <w:bookmarkStart w:id="435" w:name="_Toc30661729"/>
      <w:bookmarkStart w:id="436" w:name="_Toc30666417"/>
      <w:bookmarkStart w:id="437" w:name="_Toc30666647"/>
      <w:bookmarkStart w:id="438" w:name="_Toc30667822"/>
      <w:bookmarkStart w:id="439" w:name="_Toc30669200"/>
      <w:bookmarkStart w:id="440" w:name="_Toc30671416"/>
      <w:bookmarkStart w:id="441" w:name="_Toc30673943"/>
      <w:bookmarkStart w:id="442" w:name="_Toc30691165"/>
      <w:bookmarkStart w:id="443" w:name="_Toc30691536"/>
      <w:bookmarkStart w:id="444" w:name="_Toc30691916"/>
      <w:bookmarkStart w:id="445" w:name="_Toc30692675"/>
      <w:bookmarkStart w:id="446" w:name="_Toc30693054"/>
      <w:bookmarkStart w:id="447" w:name="_Toc30693432"/>
      <w:bookmarkStart w:id="448" w:name="_Toc30693811"/>
      <w:bookmarkStart w:id="449" w:name="_Toc30694192"/>
      <w:bookmarkStart w:id="450" w:name="_Toc30698781"/>
      <w:bookmarkStart w:id="451" w:name="_Toc30699159"/>
      <w:bookmarkStart w:id="452" w:name="_Toc30699544"/>
      <w:bookmarkStart w:id="453" w:name="_Toc30700699"/>
      <w:bookmarkStart w:id="454" w:name="_Toc30701086"/>
      <w:bookmarkStart w:id="455" w:name="_Toc30743695"/>
      <w:bookmarkStart w:id="456" w:name="_Toc30754517"/>
      <w:bookmarkStart w:id="457" w:name="_Toc30756957"/>
      <w:bookmarkStart w:id="458" w:name="_Toc30757506"/>
      <w:bookmarkStart w:id="459" w:name="_Toc30757906"/>
      <w:bookmarkStart w:id="460" w:name="_Toc30762667"/>
      <w:bookmarkStart w:id="461" w:name="_Toc30767321"/>
      <w:bookmarkStart w:id="462" w:name="_Toc34823337"/>
      <w:bookmarkEnd w:id="408"/>
      <w:bookmarkEnd w:id="409"/>
      <w:bookmarkEnd w:id="410"/>
    </w:p>
    <w:p w14:paraId="6FDB3E6E" w14:textId="42EDC38F" w:rsidR="007D0264" w:rsidRDefault="008017AC" w:rsidP="00C90393">
      <w:pPr>
        <w:jc w:val="both"/>
        <w:rPr>
          <w:rFonts w:ascii="Arial" w:hAnsi="Arial" w:cs="Arial"/>
          <w:sz w:val="20"/>
        </w:rPr>
      </w:pPr>
      <w:bookmarkStart w:id="463" w:name="_Hlk206164261"/>
      <w:r>
        <w:rPr>
          <w:rFonts w:ascii="Arial" w:hAnsi="Arial" w:cs="Arial"/>
          <w:sz w:val="20"/>
        </w:rPr>
        <w:t xml:space="preserve">In </w:t>
      </w:r>
      <w:r w:rsidRPr="008017AC">
        <w:rPr>
          <w:rFonts w:ascii="Arial" w:hAnsi="Arial" w:cs="Arial"/>
          <w:i/>
          <w:iCs/>
          <w:sz w:val="20"/>
        </w:rPr>
        <w:t>Director of Public Prosecutions v GR</w:t>
      </w:r>
      <w:r>
        <w:rPr>
          <w:rFonts w:ascii="Arial" w:hAnsi="Arial" w:cs="Arial"/>
          <w:sz w:val="20"/>
        </w:rPr>
        <w:t xml:space="preserve"> [2025] VSC 490 </w:t>
      </w:r>
      <w:r w:rsidR="008E2E19">
        <w:rPr>
          <w:rFonts w:ascii="Arial" w:hAnsi="Arial" w:cs="Arial"/>
          <w:sz w:val="20"/>
        </w:rPr>
        <w:t>t</w:t>
      </w:r>
      <w:r>
        <w:rPr>
          <w:rFonts w:ascii="Arial" w:hAnsi="Arial" w:cs="Arial"/>
          <w:sz w:val="20"/>
        </w:rPr>
        <w:t xml:space="preserve">he deceased – who was the mother of </w:t>
      </w:r>
      <w:r w:rsidR="004B49E8">
        <w:rPr>
          <w:rFonts w:ascii="Arial" w:hAnsi="Arial" w:cs="Arial"/>
          <w:sz w:val="20"/>
        </w:rPr>
        <w:t>the</w:t>
      </w:r>
      <w:r>
        <w:rPr>
          <w:rFonts w:ascii="Arial" w:hAnsi="Arial" w:cs="Arial"/>
          <w:sz w:val="20"/>
        </w:rPr>
        <w:t xml:space="preserve"> coaccused XQ – was killed </w:t>
      </w:r>
      <w:r w:rsidR="00FE6B89">
        <w:rPr>
          <w:rFonts w:ascii="Arial" w:hAnsi="Arial" w:cs="Arial"/>
          <w:sz w:val="20"/>
        </w:rPr>
        <w:t xml:space="preserve">by GR </w:t>
      </w:r>
      <w:r>
        <w:rPr>
          <w:rFonts w:ascii="Arial" w:hAnsi="Arial" w:cs="Arial"/>
          <w:sz w:val="20"/>
        </w:rPr>
        <w:t>on 05/04/2023. At the time GR was 14 years old and XQ was 15</w:t>
      </w:r>
      <w:r w:rsidR="00FE6B89">
        <w:rPr>
          <w:rFonts w:ascii="Arial" w:hAnsi="Arial" w:cs="Arial"/>
          <w:sz w:val="20"/>
        </w:rPr>
        <w:t> </w:t>
      </w:r>
      <w:r>
        <w:rPr>
          <w:rFonts w:ascii="Arial" w:hAnsi="Arial" w:cs="Arial"/>
          <w:sz w:val="20"/>
        </w:rPr>
        <w:t xml:space="preserve">years old. </w:t>
      </w:r>
      <w:r w:rsidR="00912E82" w:rsidRPr="008017AC">
        <w:rPr>
          <w:rFonts w:ascii="Arial" w:hAnsi="Arial" w:cs="Arial"/>
          <w:sz w:val="20"/>
        </w:rPr>
        <w:t xml:space="preserve">On the basis of </w:t>
      </w:r>
      <w:r w:rsidR="00912E82">
        <w:rPr>
          <w:rFonts w:ascii="Arial" w:hAnsi="Arial" w:cs="Arial"/>
          <w:sz w:val="20"/>
        </w:rPr>
        <w:t>two forensic psychiatric reports</w:t>
      </w:r>
      <w:r w:rsidR="00912E82" w:rsidRPr="008017AC">
        <w:rPr>
          <w:rFonts w:ascii="Arial" w:hAnsi="Arial" w:cs="Arial"/>
          <w:sz w:val="20"/>
        </w:rPr>
        <w:t xml:space="preserve">, the parties </w:t>
      </w:r>
      <w:r w:rsidR="00912E82">
        <w:rPr>
          <w:rFonts w:ascii="Arial" w:hAnsi="Arial" w:cs="Arial"/>
          <w:sz w:val="20"/>
        </w:rPr>
        <w:t xml:space="preserve">had </w:t>
      </w:r>
      <w:r w:rsidR="00912E82" w:rsidRPr="008017AC">
        <w:rPr>
          <w:rFonts w:ascii="Arial" w:hAnsi="Arial" w:cs="Arial"/>
          <w:sz w:val="20"/>
        </w:rPr>
        <w:t>agreed that the proposed evidence established the defence of mental impairment</w:t>
      </w:r>
      <w:r w:rsidR="00143355">
        <w:rPr>
          <w:rFonts w:ascii="Arial" w:hAnsi="Arial" w:cs="Arial"/>
          <w:sz w:val="20"/>
        </w:rPr>
        <w:t xml:space="preserve"> for GR</w:t>
      </w:r>
      <w:r w:rsidR="00912E82" w:rsidRPr="008017AC">
        <w:rPr>
          <w:rFonts w:ascii="Arial" w:hAnsi="Arial" w:cs="Arial"/>
          <w:sz w:val="20"/>
        </w:rPr>
        <w:t>.</w:t>
      </w:r>
      <w:r w:rsidR="00912E82">
        <w:rPr>
          <w:rFonts w:ascii="Arial" w:hAnsi="Arial" w:cs="Arial"/>
          <w:sz w:val="20"/>
        </w:rPr>
        <w:t xml:space="preserve"> </w:t>
      </w:r>
      <w:r w:rsidR="00C90393">
        <w:rPr>
          <w:rFonts w:ascii="Arial" w:hAnsi="Arial" w:cs="Arial"/>
          <w:sz w:val="20"/>
        </w:rPr>
        <w:t xml:space="preserve">On 14/08/2025 </w:t>
      </w:r>
      <w:r w:rsidR="008E2E19">
        <w:rPr>
          <w:rFonts w:ascii="Arial" w:hAnsi="Arial" w:cs="Arial"/>
          <w:sz w:val="20"/>
        </w:rPr>
        <w:t xml:space="preserve">Elliott J found GR not guilty of </w:t>
      </w:r>
      <w:r w:rsidR="008E2E19">
        <w:rPr>
          <w:rFonts w:ascii="Arial" w:hAnsi="Arial" w:cs="Arial"/>
          <w:sz w:val="20"/>
        </w:rPr>
        <w:lastRenderedPageBreak/>
        <w:t>murder by reason of mental impairment</w:t>
      </w:r>
      <w:r w:rsidR="00C90393">
        <w:rPr>
          <w:rFonts w:ascii="Arial" w:hAnsi="Arial" w:cs="Arial"/>
          <w:sz w:val="20"/>
        </w:rPr>
        <w:t xml:space="preserve">, </w:t>
      </w:r>
      <w:r w:rsidR="00912E82">
        <w:rPr>
          <w:rFonts w:ascii="Arial" w:hAnsi="Arial" w:cs="Arial"/>
          <w:sz w:val="20"/>
        </w:rPr>
        <w:t xml:space="preserve">being satisfied that </w:t>
      </w:r>
      <w:r w:rsidR="00912E82" w:rsidRPr="008E2E19">
        <w:rPr>
          <w:rFonts w:ascii="Arial" w:hAnsi="Arial" w:cs="Arial"/>
          <w:sz w:val="20"/>
        </w:rPr>
        <w:t>GR was suffering from a mental impairment at the time of engaging in the conduct constituting the offence, the effect of which was that he could not reason with a moderate degree of sense and composure about whether his conduct, as perceived by reasonable people, was wrong</w:t>
      </w:r>
      <w:r w:rsidR="00912E82">
        <w:rPr>
          <w:rFonts w:ascii="Arial" w:hAnsi="Arial" w:cs="Arial"/>
          <w:sz w:val="20"/>
        </w:rPr>
        <w:t xml:space="preserve">. His Honour </w:t>
      </w:r>
      <w:r w:rsidR="008E2E19">
        <w:rPr>
          <w:rFonts w:ascii="Arial" w:hAnsi="Arial" w:cs="Arial"/>
          <w:sz w:val="20"/>
        </w:rPr>
        <w:t xml:space="preserve">declared GR liable to supervision under Part 5 of the </w:t>
      </w:r>
      <w:r w:rsidR="008E2E19" w:rsidRPr="008E2E19">
        <w:rPr>
          <w:rFonts w:ascii="Arial" w:hAnsi="Arial" w:cs="Arial"/>
          <w:i/>
          <w:iCs/>
          <w:sz w:val="20"/>
        </w:rPr>
        <w:t>Crimes (Mental impairment and Unfitness to be Tried) Act 1997</w:t>
      </w:r>
      <w:r w:rsidR="00C7471A">
        <w:rPr>
          <w:rFonts w:ascii="Arial" w:hAnsi="Arial" w:cs="Arial"/>
          <w:i/>
          <w:iCs/>
          <w:sz w:val="20"/>
        </w:rPr>
        <w:t xml:space="preserve"> </w:t>
      </w:r>
      <w:r w:rsidR="00C7471A" w:rsidRPr="00C7471A">
        <w:rPr>
          <w:rFonts w:ascii="Arial" w:hAnsi="Arial" w:cs="Arial"/>
          <w:sz w:val="20"/>
        </w:rPr>
        <w:t>[</w:t>
      </w:r>
      <w:r w:rsidR="00C7471A">
        <w:rPr>
          <w:rFonts w:ascii="Arial" w:hAnsi="Arial" w:cs="Arial"/>
          <w:sz w:val="20"/>
        </w:rPr>
        <w:t xml:space="preserve">the </w:t>
      </w:r>
      <w:r w:rsidR="00C7471A" w:rsidRPr="00C7471A">
        <w:rPr>
          <w:rFonts w:ascii="Arial" w:hAnsi="Arial" w:cs="Arial"/>
          <w:sz w:val="20"/>
        </w:rPr>
        <w:t>CMIA]</w:t>
      </w:r>
      <w:r w:rsidR="00C90393">
        <w:rPr>
          <w:rFonts w:ascii="Arial" w:hAnsi="Arial" w:cs="Arial"/>
          <w:sz w:val="20"/>
        </w:rPr>
        <w:t xml:space="preserve"> and</w:t>
      </w:r>
      <w:r w:rsidR="008E2E19">
        <w:rPr>
          <w:rFonts w:ascii="Arial" w:hAnsi="Arial" w:cs="Arial"/>
          <w:sz w:val="20"/>
        </w:rPr>
        <w:t xml:space="preserve"> adjourned the matter to allow for a report and a certificate of available services to be obtained.</w:t>
      </w:r>
    </w:p>
    <w:bookmarkEnd w:id="411"/>
    <w:p w14:paraId="6A574F55" w14:textId="66376F5E" w:rsidR="00C90393" w:rsidRDefault="00C90393" w:rsidP="007D0264">
      <w:pPr>
        <w:spacing w:before="120"/>
        <w:jc w:val="both"/>
        <w:rPr>
          <w:rFonts w:ascii="Arial" w:hAnsi="Arial" w:cs="Arial"/>
          <w:sz w:val="20"/>
        </w:rPr>
      </w:pPr>
      <w:r>
        <w:rPr>
          <w:rFonts w:ascii="Arial" w:hAnsi="Arial" w:cs="Arial"/>
          <w:sz w:val="20"/>
        </w:rPr>
        <w:t xml:space="preserve">However, before that – on 30/07/2025 – the Court had invited the parties by email to </w:t>
      </w:r>
      <w:r w:rsidRPr="00C90393">
        <w:rPr>
          <w:rFonts w:ascii="Arial" w:hAnsi="Arial" w:cs="Arial"/>
          <w:sz w:val="20"/>
        </w:rPr>
        <w:t xml:space="preserve">provide an outline of submissions on the extent of the </w:t>
      </w:r>
      <w:r>
        <w:rPr>
          <w:rFonts w:ascii="Arial" w:hAnsi="Arial" w:cs="Arial"/>
          <w:sz w:val="20"/>
        </w:rPr>
        <w:t xml:space="preserve">Court’s </w:t>
      </w:r>
      <w:r w:rsidRPr="00C90393">
        <w:rPr>
          <w:rFonts w:ascii="Arial" w:hAnsi="Arial" w:cs="Arial"/>
          <w:sz w:val="20"/>
        </w:rPr>
        <w:t xml:space="preserve">power to remand GR at various locations in the event that he was declared liable to supervision under Part 5 of the </w:t>
      </w:r>
      <w:r>
        <w:rPr>
          <w:rFonts w:ascii="Arial" w:hAnsi="Arial" w:cs="Arial"/>
          <w:sz w:val="20"/>
        </w:rPr>
        <w:t>CMIA</w:t>
      </w:r>
      <w:r w:rsidRPr="00C90393">
        <w:rPr>
          <w:rFonts w:ascii="Arial" w:hAnsi="Arial" w:cs="Arial"/>
          <w:sz w:val="20"/>
        </w:rPr>
        <w:t>.</w:t>
      </w:r>
      <w:r>
        <w:rPr>
          <w:rFonts w:ascii="Arial" w:hAnsi="Arial" w:cs="Arial"/>
          <w:sz w:val="20"/>
        </w:rPr>
        <w:t xml:space="preserve"> Subsequently, the defence filed with the Court submissions which had been created by </w:t>
      </w:r>
      <w:r w:rsidRPr="00292BD2">
        <w:rPr>
          <w:rFonts w:ascii="Arial" w:hAnsi="Arial" w:cs="Arial"/>
          <w:b/>
          <w:bCs/>
          <w:sz w:val="20"/>
        </w:rPr>
        <w:t xml:space="preserve">artificial intelligence </w:t>
      </w:r>
      <w:r w:rsidR="00292BD2" w:rsidRPr="00292BD2">
        <w:rPr>
          <w:rFonts w:ascii="Arial" w:hAnsi="Arial" w:cs="Arial"/>
          <w:b/>
          <w:bCs/>
          <w:sz w:val="20"/>
        </w:rPr>
        <w:t>[AI]</w:t>
      </w:r>
      <w:r w:rsidR="00292BD2">
        <w:rPr>
          <w:rFonts w:ascii="Arial" w:hAnsi="Arial" w:cs="Arial"/>
          <w:sz w:val="20"/>
        </w:rPr>
        <w:t xml:space="preserve"> </w:t>
      </w:r>
      <w:r>
        <w:rPr>
          <w:rFonts w:ascii="Arial" w:hAnsi="Arial" w:cs="Arial"/>
          <w:sz w:val="20"/>
        </w:rPr>
        <w:t xml:space="preserve">and which included references to non-existent case citations and inaccurate quotes. </w:t>
      </w:r>
      <w:r w:rsidRPr="00C7471A">
        <w:rPr>
          <w:rFonts w:ascii="Arial" w:hAnsi="Arial" w:cs="Arial"/>
          <w:sz w:val="20"/>
        </w:rPr>
        <w:t>The</w:t>
      </w:r>
      <w:r w:rsidR="007D0264">
        <w:rPr>
          <w:rFonts w:ascii="Arial" w:hAnsi="Arial" w:cs="Arial"/>
          <w:sz w:val="20"/>
        </w:rPr>
        <w:t xml:space="preserve">se </w:t>
      </w:r>
      <w:r w:rsidRPr="00C7471A">
        <w:rPr>
          <w:rFonts w:ascii="Arial" w:hAnsi="Arial" w:cs="Arial"/>
          <w:sz w:val="20"/>
        </w:rPr>
        <w:t xml:space="preserve">submissions were </w:t>
      </w:r>
      <w:r>
        <w:rPr>
          <w:rFonts w:ascii="Arial" w:hAnsi="Arial" w:cs="Arial"/>
          <w:sz w:val="20"/>
        </w:rPr>
        <w:t xml:space="preserve">also </w:t>
      </w:r>
      <w:r w:rsidRPr="00C7471A">
        <w:rPr>
          <w:rFonts w:ascii="Arial" w:hAnsi="Arial" w:cs="Arial"/>
          <w:sz w:val="20"/>
        </w:rPr>
        <w:t xml:space="preserve">sent to prosecutors, who did not verify </w:t>
      </w:r>
      <w:r w:rsidR="00FE6B89">
        <w:rPr>
          <w:rFonts w:ascii="Arial" w:hAnsi="Arial" w:cs="Arial"/>
          <w:sz w:val="20"/>
        </w:rPr>
        <w:t xml:space="preserve">that </w:t>
      </w:r>
      <w:r w:rsidRPr="00C7471A">
        <w:rPr>
          <w:rFonts w:ascii="Arial" w:hAnsi="Arial" w:cs="Arial"/>
          <w:sz w:val="20"/>
        </w:rPr>
        <w:t>all the information was correct and created their own submissions based on the defence documents.</w:t>
      </w:r>
      <w:r>
        <w:rPr>
          <w:rFonts w:ascii="Arial" w:hAnsi="Arial" w:cs="Arial"/>
          <w:sz w:val="20"/>
        </w:rPr>
        <w:t xml:space="preserve"> All </w:t>
      </w:r>
      <w:r w:rsidR="007D0264">
        <w:rPr>
          <w:rFonts w:ascii="Arial" w:hAnsi="Arial" w:cs="Arial"/>
          <w:sz w:val="20"/>
        </w:rPr>
        <w:t xml:space="preserve">counsel involved </w:t>
      </w:r>
      <w:r w:rsidR="000136BC">
        <w:rPr>
          <w:rFonts w:ascii="Arial" w:hAnsi="Arial" w:cs="Arial"/>
          <w:sz w:val="20"/>
        </w:rPr>
        <w:t>unequivocally</w:t>
      </w:r>
      <w:r w:rsidR="007D0264">
        <w:rPr>
          <w:rFonts w:ascii="Arial" w:hAnsi="Arial" w:cs="Arial"/>
          <w:sz w:val="20"/>
        </w:rPr>
        <w:t xml:space="preserve"> apologized to the Court. At [77]-[80] Elliott J said [emphasis added]:</w:t>
      </w:r>
    </w:p>
    <w:p w14:paraId="34046B69" w14:textId="77777777" w:rsidR="007D0264" w:rsidRDefault="007D0264" w:rsidP="007D0264">
      <w:pPr>
        <w:spacing w:before="60"/>
        <w:ind w:left="567" w:right="567"/>
        <w:jc w:val="both"/>
        <w:rPr>
          <w:rFonts w:ascii="Arial" w:hAnsi="Arial" w:cs="Arial"/>
          <w:sz w:val="20"/>
        </w:rPr>
      </w:pPr>
      <w:r>
        <w:rPr>
          <w:rFonts w:ascii="Arial" w:hAnsi="Arial" w:cs="Arial"/>
          <w:iCs/>
          <w:color w:val="000000"/>
          <w:sz w:val="20"/>
        </w:rPr>
        <w:t>[77] “</w:t>
      </w:r>
      <w:r w:rsidRPr="008017AC">
        <w:rPr>
          <w:rFonts w:ascii="Arial" w:hAnsi="Arial" w:cs="Arial"/>
          <w:sz w:val="20"/>
        </w:rPr>
        <w:t>Observations have been previously made in other cases about the unsatisfactory consequences that may flow from litigants using artificial intelligence in the preparation of materials to be relied upon for court purposes</w:t>
      </w:r>
      <w:r>
        <w:rPr>
          <w:rFonts w:ascii="Arial" w:hAnsi="Arial" w:cs="Arial"/>
          <w:sz w:val="20"/>
        </w:rPr>
        <w:t xml:space="preserve">: </w:t>
      </w:r>
      <w:r w:rsidRPr="007D0264">
        <w:rPr>
          <w:rFonts w:ascii="Arial" w:hAnsi="Arial" w:cs="Arial"/>
          <w:i/>
          <w:iCs/>
          <w:sz w:val="20"/>
        </w:rPr>
        <w:t>Nikolic v IDAZ09 Pty Ltd</w:t>
      </w:r>
      <w:r w:rsidRPr="008017AC">
        <w:rPr>
          <w:rFonts w:ascii="Arial" w:hAnsi="Arial" w:cs="Arial"/>
          <w:sz w:val="20"/>
        </w:rPr>
        <w:t xml:space="preserve"> [2025] VSCA 112, [36]-[39]; </w:t>
      </w:r>
      <w:r w:rsidRPr="007D0264">
        <w:rPr>
          <w:rFonts w:ascii="Arial" w:hAnsi="Arial" w:cs="Arial"/>
          <w:i/>
          <w:iCs/>
          <w:sz w:val="20"/>
        </w:rPr>
        <w:t>May v Costaras</w:t>
      </w:r>
      <w:r w:rsidRPr="008017AC">
        <w:rPr>
          <w:rFonts w:ascii="Arial" w:hAnsi="Arial" w:cs="Arial"/>
          <w:sz w:val="20"/>
        </w:rPr>
        <w:t xml:space="preserve"> [2025] NSWCA 178, [3]-[17]</w:t>
      </w:r>
      <w:r>
        <w:rPr>
          <w:rFonts w:ascii="Arial" w:hAnsi="Arial" w:cs="Arial"/>
          <w:sz w:val="20"/>
        </w:rPr>
        <w:t>;</w:t>
      </w:r>
      <w:r w:rsidRPr="008017AC">
        <w:rPr>
          <w:rFonts w:ascii="Arial" w:hAnsi="Arial" w:cs="Arial"/>
          <w:sz w:val="20"/>
        </w:rPr>
        <w:t xml:space="preserve"> [49]; </w:t>
      </w:r>
      <w:r w:rsidRPr="007D0264">
        <w:rPr>
          <w:rFonts w:ascii="Arial" w:hAnsi="Arial" w:cs="Arial"/>
          <w:i/>
          <w:iCs/>
          <w:sz w:val="20"/>
        </w:rPr>
        <w:t>Kaur v Royal Melbourne Institute of Technology</w:t>
      </w:r>
      <w:r w:rsidRPr="008017AC">
        <w:rPr>
          <w:rFonts w:ascii="Arial" w:hAnsi="Arial" w:cs="Arial"/>
          <w:sz w:val="20"/>
        </w:rPr>
        <w:t xml:space="preserve"> [2024] VSCA 264, fn 19.</w:t>
      </w:r>
      <w:r>
        <w:rPr>
          <w:rFonts w:ascii="Arial" w:hAnsi="Arial" w:cs="Arial"/>
          <w:sz w:val="20"/>
        </w:rPr>
        <w:t xml:space="preserve"> </w:t>
      </w:r>
      <w:r w:rsidRPr="008017AC">
        <w:rPr>
          <w:rFonts w:ascii="Arial" w:hAnsi="Arial" w:cs="Arial"/>
          <w:sz w:val="20"/>
        </w:rPr>
        <w:t>The comments in these</w:t>
      </w:r>
      <w:r>
        <w:rPr>
          <w:rFonts w:ascii="Arial" w:hAnsi="Arial" w:cs="Arial"/>
          <w:sz w:val="20"/>
        </w:rPr>
        <w:t xml:space="preserve"> </w:t>
      </w:r>
      <w:r w:rsidRPr="008017AC">
        <w:rPr>
          <w:rFonts w:ascii="Arial" w:hAnsi="Arial" w:cs="Arial"/>
          <w:sz w:val="20"/>
        </w:rPr>
        <w:t>cases have been confined to circumstances where self-represented litigants have utilised this technology in an attempt to present their case.</w:t>
      </w:r>
    </w:p>
    <w:p w14:paraId="1865C1DE" w14:textId="0DCD3795" w:rsidR="007D0264" w:rsidRDefault="007D0264" w:rsidP="00912E82">
      <w:pPr>
        <w:spacing w:before="60"/>
        <w:ind w:left="567" w:right="567"/>
        <w:jc w:val="both"/>
        <w:rPr>
          <w:rFonts w:ascii="Arial" w:hAnsi="Arial" w:cs="Arial"/>
          <w:sz w:val="20"/>
        </w:rPr>
      </w:pPr>
      <w:r>
        <w:rPr>
          <w:rFonts w:ascii="Arial" w:hAnsi="Arial" w:cs="Arial"/>
          <w:sz w:val="20"/>
        </w:rPr>
        <w:t>[</w:t>
      </w:r>
      <w:r w:rsidRPr="008017AC">
        <w:rPr>
          <w:rFonts w:ascii="Arial" w:hAnsi="Arial" w:cs="Arial"/>
          <w:sz w:val="20"/>
        </w:rPr>
        <w:t>78</w:t>
      </w:r>
      <w:r>
        <w:rPr>
          <w:rFonts w:ascii="Arial" w:hAnsi="Arial" w:cs="Arial"/>
          <w:sz w:val="20"/>
        </w:rPr>
        <w:t>]</w:t>
      </w:r>
      <w:r w:rsidRPr="008017AC">
        <w:rPr>
          <w:rFonts w:ascii="Arial" w:hAnsi="Arial" w:cs="Arial"/>
          <w:sz w:val="20"/>
        </w:rPr>
        <w:t xml:space="preserve"> In May 2024, </w:t>
      </w:r>
      <w:r>
        <w:rPr>
          <w:rFonts w:ascii="Arial" w:hAnsi="Arial" w:cs="Arial"/>
          <w:sz w:val="20"/>
        </w:rPr>
        <w:t>[the Supreme Court]</w:t>
      </w:r>
      <w:r w:rsidRPr="008017AC">
        <w:rPr>
          <w:rFonts w:ascii="Arial" w:hAnsi="Arial" w:cs="Arial"/>
          <w:sz w:val="20"/>
        </w:rPr>
        <w:t xml:space="preserve"> published “Guidelines for litigants. Responsible use of artificial intelligence in litigation”. </w:t>
      </w:r>
      <w:r w:rsidR="009C4AE6" w:rsidRPr="009C4AE6">
        <w:rPr>
          <w:rFonts w:ascii="Arial" w:hAnsi="Arial" w:cs="Arial"/>
          <w:sz w:val="20"/>
        </w:rPr>
        <w:t xml:space="preserve">A copy of the guidelines is available at: </w:t>
      </w:r>
      <w:hyperlink r:id="rId44" w:history="1">
        <w:r w:rsidR="009C4AE6" w:rsidRPr="00912E82">
          <w:rPr>
            <w:rStyle w:val="Hyperlink"/>
            <w:rFonts w:ascii="Arial" w:hAnsi="Arial" w:cs="Arial"/>
            <w:sz w:val="20"/>
          </w:rPr>
          <w:t>https://www.supremecourt.vic.gov.au/forms-fees-and</w:t>
        </w:r>
        <w:r w:rsidR="00912E82" w:rsidRPr="00912E82">
          <w:rPr>
            <w:rStyle w:val="Hyperlink"/>
            <w:rFonts w:ascii="Arial" w:hAnsi="Arial" w:cs="Arial"/>
            <w:sz w:val="20"/>
          </w:rPr>
          <w:t>-</w:t>
        </w:r>
        <w:r w:rsidR="009C4AE6" w:rsidRPr="00912E82">
          <w:rPr>
            <w:rStyle w:val="Hyperlink"/>
            <w:rFonts w:ascii="Arial" w:hAnsi="Arial" w:cs="Arial"/>
            <w:sz w:val="20"/>
          </w:rPr>
          <w:t>services/forms-templates-and-guidelines/guideline-responsible-use-of-ai-in-litigation</w:t>
        </w:r>
      </w:hyperlink>
      <w:r w:rsidR="009C4AE6" w:rsidRPr="009C4AE6">
        <w:rPr>
          <w:rFonts w:ascii="Arial" w:hAnsi="Arial" w:cs="Arial"/>
          <w:sz w:val="20"/>
        </w:rPr>
        <w:t>.</w:t>
      </w:r>
      <w:r w:rsidR="00912E82">
        <w:rPr>
          <w:rFonts w:ascii="Arial" w:hAnsi="Arial" w:cs="Arial"/>
          <w:sz w:val="20"/>
        </w:rPr>
        <w:t xml:space="preserve"> </w:t>
      </w:r>
      <w:r w:rsidRPr="00143355">
        <w:rPr>
          <w:rFonts w:ascii="Arial" w:hAnsi="Arial" w:cs="Arial"/>
          <w:b/>
          <w:bCs/>
          <w:sz w:val="20"/>
        </w:rPr>
        <w:t>It is essential that all litigants and practitioners adhere to these guidelines.</w:t>
      </w:r>
    </w:p>
    <w:p w14:paraId="5CF9B7B6" w14:textId="77777777" w:rsidR="007D0264" w:rsidRDefault="007D0264" w:rsidP="007D0264">
      <w:pPr>
        <w:spacing w:before="60"/>
        <w:ind w:left="567" w:right="567"/>
        <w:jc w:val="both"/>
        <w:rPr>
          <w:rFonts w:ascii="Arial" w:hAnsi="Arial" w:cs="Arial"/>
          <w:sz w:val="20"/>
        </w:rPr>
      </w:pPr>
      <w:r>
        <w:rPr>
          <w:rFonts w:ascii="Arial" w:hAnsi="Arial" w:cs="Arial"/>
          <w:sz w:val="20"/>
        </w:rPr>
        <w:t>[</w:t>
      </w:r>
      <w:r w:rsidRPr="008017AC">
        <w:rPr>
          <w:rFonts w:ascii="Arial" w:hAnsi="Arial" w:cs="Arial"/>
          <w:sz w:val="20"/>
        </w:rPr>
        <w:t>79</w:t>
      </w:r>
      <w:r>
        <w:rPr>
          <w:rFonts w:ascii="Arial" w:hAnsi="Arial" w:cs="Arial"/>
          <w:sz w:val="20"/>
        </w:rPr>
        <w:t>]</w:t>
      </w:r>
      <w:r w:rsidRPr="008017AC">
        <w:rPr>
          <w:rFonts w:ascii="Arial" w:hAnsi="Arial" w:cs="Arial"/>
          <w:sz w:val="20"/>
        </w:rPr>
        <w:t xml:space="preserve"> </w:t>
      </w:r>
      <w:r w:rsidRPr="007D0264">
        <w:rPr>
          <w:rFonts w:ascii="Arial" w:hAnsi="Arial" w:cs="Arial"/>
          <w:b/>
          <w:bCs/>
          <w:sz w:val="20"/>
        </w:rPr>
        <w:t>The ability of the court to rely upon the accuracy of submissions made by counsel is fundamental to the due administration of justice.</w:t>
      </w:r>
      <w:r w:rsidRPr="008017AC">
        <w:rPr>
          <w:rFonts w:ascii="Arial" w:hAnsi="Arial" w:cs="Arial"/>
          <w:sz w:val="20"/>
        </w:rPr>
        <w:t xml:space="preserve"> Self-evidently, as was immediately and unequivocally acknowledged by counsel in this case, </w:t>
      </w:r>
      <w:r w:rsidRPr="007D0264">
        <w:rPr>
          <w:rFonts w:ascii="Arial" w:hAnsi="Arial" w:cs="Arial"/>
          <w:b/>
          <w:bCs/>
          <w:sz w:val="20"/>
        </w:rPr>
        <w:t>any use of artificial intelligence without careful and attentive oversight of counsel would seriously undermine the court’s processes and its ability to deliver justice in a timely and cost effective manner</w:t>
      </w:r>
      <w:r w:rsidRPr="008017AC">
        <w:rPr>
          <w:rFonts w:ascii="Arial" w:hAnsi="Arial" w:cs="Arial"/>
          <w:sz w:val="20"/>
        </w:rPr>
        <w:t>.</w:t>
      </w:r>
    </w:p>
    <w:p w14:paraId="63DC2845" w14:textId="771F0554" w:rsidR="007D0264" w:rsidRPr="007D0264" w:rsidRDefault="007D0264" w:rsidP="007D0264">
      <w:pPr>
        <w:spacing w:before="60"/>
        <w:ind w:left="567" w:right="567"/>
        <w:jc w:val="both"/>
        <w:rPr>
          <w:rFonts w:ascii="Arial" w:hAnsi="Arial" w:cs="Arial"/>
          <w:sz w:val="20"/>
        </w:rPr>
      </w:pPr>
      <w:r>
        <w:rPr>
          <w:rFonts w:ascii="Arial" w:hAnsi="Arial" w:cs="Arial"/>
          <w:sz w:val="20"/>
        </w:rPr>
        <w:t>[</w:t>
      </w:r>
      <w:r w:rsidRPr="008017AC">
        <w:rPr>
          <w:rFonts w:ascii="Arial" w:hAnsi="Arial" w:cs="Arial"/>
          <w:sz w:val="20"/>
        </w:rPr>
        <w:t>80</w:t>
      </w:r>
      <w:r>
        <w:rPr>
          <w:rFonts w:ascii="Arial" w:hAnsi="Arial" w:cs="Arial"/>
          <w:sz w:val="20"/>
        </w:rPr>
        <w:t>]</w:t>
      </w:r>
      <w:r w:rsidRPr="008017AC">
        <w:rPr>
          <w:rFonts w:ascii="Arial" w:hAnsi="Arial" w:cs="Arial"/>
          <w:sz w:val="20"/>
        </w:rPr>
        <w:t xml:space="preserve"> Regrettable as it is to single out counsel and their instructing solicitors in this case for what has occurred, in light of the matters set out above it is important to record that counsel must take full and ultimate responsibility for any submissions made to the court. To this end, </w:t>
      </w:r>
      <w:r w:rsidRPr="007D0264">
        <w:rPr>
          <w:rFonts w:ascii="Arial" w:hAnsi="Arial" w:cs="Arial"/>
          <w:b/>
          <w:bCs/>
          <w:sz w:val="20"/>
        </w:rPr>
        <w:t>it is not acceptable for artificial intelligence to be used unless the product of that use is independently and thoroughly verified. The same may be said for solicitors responsible for producing or filing court documents.</w:t>
      </w:r>
      <w:r>
        <w:rPr>
          <w:rFonts w:ascii="Arial" w:hAnsi="Arial" w:cs="Arial"/>
          <w:sz w:val="20"/>
        </w:rPr>
        <w:t>”</w:t>
      </w:r>
    </w:p>
    <w:p w14:paraId="29F4EAA9" w14:textId="77777777" w:rsidR="00C90393" w:rsidRDefault="00C90393" w:rsidP="00F161C2">
      <w:pPr>
        <w:jc w:val="both"/>
        <w:rPr>
          <w:rFonts w:ascii="Arial" w:hAnsi="Arial" w:cs="Arial"/>
          <w:sz w:val="20"/>
        </w:rPr>
      </w:pPr>
    </w:p>
    <w:bookmarkEnd w:id="463"/>
    <w:p w14:paraId="2ECDBF99" w14:textId="77777777" w:rsidR="00F161C2" w:rsidRPr="00836E86" w:rsidRDefault="00F161C2" w:rsidP="00F161C2">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263C2806" w14:textId="77777777" w:rsidR="00F161C2" w:rsidRPr="00836E86" w:rsidRDefault="00F161C2" w:rsidP="00F161C2">
      <w:pPr>
        <w:rPr>
          <w:rFonts w:ascii="Arial" w:hAnsi="Arial" w:cs="Arial"/>
          <w:sz w:val="20"/>
        </w:rPr>
      </w:pPr>
    </w:p>
    <w:p w14:paraId="1C5EB6A5" w14:textId="77777777" w:rsidR="00F161C2" w:rsidRDefault="00F161C2">
      <w:pPr>
        <w:rPr>
          <w:rFonts w:ascii="Arial" w:hAnsi="Arial" w:cs="Arial"/>
          <w:b/>
          <w:bCs/>
          <w:color w:val="000000"/>
          <w:kern w:val="28"/>
          <w:szCs w:val="20"/>
          <w:lang w:val="en-GB"/>
        </w:rPr>
      </w:pPr>
      <w:r>
        <w:rPr>
          <w:rFonts w:ascii="Arial" w:hAnsi="Arial" w:cs="Arial"/>
          <w:b/>
          <w:bCs/>
          <w:color w:val="000000"/>
        </w:rPr>
        <w:br w:type="page"/>
      </w:r>
    </w:p>
    <w:p w14:paraId="111A9D06" w14:textId="6D8B8448"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lastRenderedPageBreak/>
        <w:t>3.5</w:t>
      </w:r>
      <w:r w:rsidRPr="001A1BF2">
        <w:rPr>
          <w:rFonts w:ascii="Arial" w:hAnsi="Arial" w:cs="Arial"/>
          <w:b/>
          <w:bCs/>
          <w:color w:val="000000"/>
        </w:rPr>
        <w:tab/>
        <w:t>What happens in court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2BB1167" w14:textId="06A5EDE0"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9774DD">
      <w:pPr>
        <w:pStyle w:val="Heading3"/>
        <w:widowControl/>
        <w:spacing w:after="120" w:line="240" w:lineRule="auto"/>
        <w:rPr>
          <w:rFonts w:ascii="Arial" w:hAnsi="Arial" w:cs="Arial"/>
          <w:b/>
          <w:bCs/>
          <w:color w:val="000000"/>
          <w:sz w:val="20"/>
        </w:rPr>
      </w:pPr>
      <w:bookmarkStart w:id="464" w:name="_3.5.1_Preparation"/>
      <w:bookmarkStart w:id="465" w:name="B351"/>
      <w:bookmarkStart w:id="466" w:name="_Toc30649712"/>
      <w:bookmarkStart w:id="467" w:name="_Toc30651649"/>
      <w:bookmarkStart w:id="468" w:name="_Toc30652633"/>
      <w:bookmarkStart w:id="469" w:name="_Toc30652731"/>
      <w:bookmarkStart w:id="470" w:name="_Toc30654076"/>
      <w:bookmarkStart w:id="471" w:name="_Toc30654427"/>
      <w:bookmarkStart w:id="472" w:name="_Toc30655046"/>
      <w:bookmarkStart w:id="473" w:name="_Toc30655303"/>
      <w:bookmarkStart w:id="474" w:name="_Toc30656981"/>
      <w:bookmarkStart w:id="475" w:name="_Toc30661730"/>
      <w:bookmarkStart w:id="476" w:name="_Toc30666418"/>
      <w:bookmarkStart w:id="477" w:name="_Toc30666648"/>
      <w:bookmarkStart w:id="478" w:name="_Toc30667823"/>
      <w:bookmarkStart w:id="479" w:name="_Toc30669201"/>
      <w:bookmarkStart w:id="480" w:name="_Toc30671417"/>
      <w:bookmarkStart w:id="481" w:name="_Toc30673944"/>
      <w:bookmarkStart w:id="482" w:name="_Toc30691166"/>
      <w:bookmarkStart w:id="483" w:name="_Toc30691537"/>
      <w:bookmarkStart w:id="484" w:name="_Toc30691917"/>
      <w:bookmarkStart w:id="485" w:name="_Toc30692676"/>
      <w:bookmarkStart w:id="486" w:name="_Toc30693055"/>
      <w:bookmarkStart w:id="487" w:name="_Toc30693433"/>
      <w:bookmarkStart w:id="488" w:name="_Toc30693812"/>
      <w:bookmarkStart w:id="489" w:name="_Toc30694193"/>
      <w:bookmarkStart w:id="490" w:name="_Toc30698782"/>
      <w:bookmarkStart w:id="491" w:name="_Toc30699160"/>
      <w:bookmarkStart w:id="492" w:name="_Toc30699545"/>
      <w:bookmarkStart w:id="493" w:name="_Toc30700700"/>
      <w:bookmarkStart w:id="494" w:name="_Toc30701087"/>
      <w:bookmarkStart w:id="495" w:name="_Toc30743696"/>
      <w:bookmarkStart w:id="496" w:name="_Toc30754518"/>
      <w:bookmarkStart w:id="497" w:name="_Toc30756958"/>
      <w:bookmarkStart w:id="498" w:name="_Toc30757507"/>
      <w:bookmarkStart w:id="499" w:name="_Toc30757907"/>
      <w:bookmarkStart w:id="500" w:name="_Toc30762668"/>
      <w:bookmarkStart w:id="501" w:name="_Toc30767322"/>
      <w:bookmarkStart w:id="502" w:name="_Toc34823338"/>
      <w:bookmarkEnd w:id="464"/>
      <w:bookmarkEnd w:id="465"/>
      <w:r w:rsidRPr="001A1BF2">
        <w:rPr>
          <w:rFonts w:ascii="Arial" w:hAnsi="Arial" w:cs="Arial"/>
          <w:b/>
          <w:bCs/>
          <w:color w:val="000000"/>
          <w:sz w:val="20"/>
        </w:rPr>
        <w:t>3.5.1</w:t>
      </w:r>
      <w:r w:rsidRPr="001A1BF2">
        <w:rPr>
          <w:rFonts w:ascii="Arial" w:hAnsi="Arial" w:cs="Arial"/>
          <w:b/>
          <w:bCs/>
          <w:color w:val="000000"/>
          <w:sz w:val="20"/>
        </w:rPr>
        <w:tab/>
        <w:t>Preparation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1507D8B2" w14:textId="2699DACC"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503" w:name="_3.5.2_Mention"/>
      <w:bookmarkStart w:id="504" w:name="B352"/>
      <w:bookmarkStart w:id="505" w:name="_Toc30649714"/>
      <w:bookmarkStart w:id="506" w:name="_Toc30651651"/>
      <w:bookmarkStart w:id="507" w:name="_Toc30652635"/>
      <w:bookmarkStart w:id="508" w:name="_Toc30652733"/>
      <w:bookmarkStart w:id="509" w:name="_Toc30654078"/>
      <w:bookmarkStart w:id="510" w:name="_Toc30654429"/>
      <w:bookmarkStart w:id="511" w:name="_Toc30655048"/>
      <w:bookmarkStart w:id="512" w:name="_Toc30655305"/>
      <w:bookmarkStart w:id="513" w:name="_Toc30656983"/>
      <w:bookmarkStart w:id="514" w:name="_Toc30661732"/>
      <w:bookmarkStart w:id="515" w:name="_Toc30666420"/>
      <w:bookmarkStart w:id="516" w:name="_Toc30666650"/>
      <w:bookmarkStart w:id="517" w:name="_Toc30667825"/>
      <w:bookmarkStart w:id="518" w:name="_Toc30669203"/>
      <w:bookmarkStart w:id="519" w:name="_Toc30671419"/>
      <w:bookmarkStart w:id="520" w:name="_Toc30673946"/>
      <w:bookmarkStart w:id="521" w:name="_Toc30691168"/>
      <w:bookmarkStart w:id="522" w:name="_Toc30691539"/>
      <w:bookmarkStart w:id="523" w:name="_Toc30691919"/>
      <w:bookmarkStart w:id="524" w:name="_Toc30692678"/>
      <w:bookmarkStart w:id="525" w:name="_Toc30693057"/>
      <w:bookmarkStart w:id="526" w:name="_Toc30693435"/>
      <w:bookmarkStart w:id="527" w:name="_Toc30693814"/>
      <w:bookmarkStart w:id="528" w:name="_Toc30694195"/>
      <w:bookmarkStart w:id="529" w:name="_Toc30698784"/>
      <w:bookmarkStart w:id="530" w:name="_Toc30699162"/>
      <w:bookmarkStart w:id="531" w:name="_Toc30699547"/>
      <w:bookmarkStart w:id="532" w:name="_Toc30700702"/>
      <w:bookmarkStart w:id="533" w:name="_Toc30701089"/>
      <w:bookmarkStart w:id="534" w:name="_Toc30743698"/>
      <w:bookmarkStart w:id="535" w:name="_Toc30754520"/>
      <w:bookmarkStart w:id="536" w:name="_Toc30756960"/>
      <w:bookmarkStart w:id="537" w:name="_Toc30757509"/>
      <w:bookmarkStart w:id="538" w:name="_Toc30757909"/>
      <w:bookmarkStart w:id="539" w:name="_Toc30762670"/>
      <w:bookmarkStart w:id="540" w:name="_Toc30767324"/>
      <w:bookmarkStart w:id="541" w:name="_Toc34823340"/>
      <w:bookmarkEnd w:id="503"/>
      <w:bookmarkEnd w:id="504"/>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7AD4B5A2" w14:textId="72DFCFC1" w:rsidR="00B21DA4" w:rsidRDefault="00B21DA4" w:rsidP="00440E22">
      <w:pPr>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071E69FC" w:rsidR="00651711" w:rsidRDefault="00651711" w:rsidP="00C42902">
      <w:pPr>
        <w:pStyle w:val="Heading3"/>
        <w:keepNext/>
        <w:keepLines/>
        <w:widowControl/>
        <w:spacing w:line="240" w:lineRule="auto"/>
        <w:rPr>
          <w:rFonts w:ascii="Arial" w:hAnsi="Arial" w:cs="Arial"/>
          <w:b/>
          <w:bCs/>
          <w:color w:val="000000"/>
          <w:sz w:val="20"/>
        </w:rPr>
      </w:pPr>
      <w:bookmarkStart w:id="542" w:name="_3.5.3_Evidence"/>
      <w:bookmarkStart w:id="543" w:name="_Toc30649713"/>
      <w:bookmarkStart w:id="544" w:name="_Toc30651650"/>
      <w:bookmarkStart w:id="545" w:name="_Toc30652634"/>
      <w:bookmarkStart w:id="546" w:name="_Toc30652732"/>
      <w:bookmarkStart w:id="547" w:name="_Toc30654077"/>
      <w:bookmarkStart w:id="548" w:name="_Toc30654428"/>
      <w:bookmarkStart w:id="549" w:name="_Toc30655047"/>
      <w:bookmarkStart w:id="550" w:name="_Toc30655304"/>
      <w:bookmarkStart w:id="551" w:name="_Toc30656982"/>
      <w:bookmarkStart w:id="552" w:name="_Toc30661731"/>
      <w:bookmarkStart w:id="553" w:name="_Toc30666419"/>
      <w:bookmarkStart w:id="554" w:name="_Toc30666649"/>
      <w:bookmarkStart w:id="555" w:name="_Toc30667824"/>
      <w:bookmarkStart w:id="556" w:name="_Toc30669202"/>
      <w:bookmarkStart w:id="557" w:name="_Toc30671418"/>
      <w:bookmarkStart w:id="558" w:name="_Toc30673945"/>
      <w:bookmarkStart w:id="559" w:name="_Toc30691167"/>
      <w:bookmarkStart w:id="560" w:name="_Toc30691538"/>
      <w:bookmarkStart w:id="561" w:name="_Toc30691918"/>
      <w:bookmarkStart w:id="562" w:name="_Toc30692677"/>
      <w:bookmarkStart w:id="563" w:name="_Toc30693056"/>
      <w:bookmarkStart w:id="564" w:name="_Toc30693434"/>
      <w:bookmarkStart w:id="565" w:name="_Toc30693813"/>
      <w:bookmarkStart w:id="566" w:name="_Toc30694194"/>
      <w:bookmarkStart w:id="567" w:name="_Toc30698783"/>
      <w:bookmarkStart w:id="568" w:name="_Toc30699161"/>
      <w:bookmarkStart w:id="569" w:name="_Toc30699546"/>
      <w:bookmarkStart w:id="570" w:name="_Toc30700701"/>
      <w:bookmarkStart w:id="571" w:name="_Toc30701088"/>
      <w:bookmarkStart w:id="572" w:name="_Toc30743697"/>
      <w:bookmarkStart w:id="573" w:name="_Toc30754519"/>
      <w:bookmarkStart w:id="574" w:name="_Toc30756959"/>
      <w:bookmarkStart w:id="575" w:name="_Toc30757508"/>
      <w:bookmarkStart w:id="576" w:name="_Toc30757908"/>
      <w:bookmarkStart w:id="577" w:name="_Toc30762669"/>
      <w:bookmarkStart w:id="578" w:name="_Toc30767323"/>
      <w:bookmarkStart w:id="579" w:name="_Toc34823339"/>
      <w:bookmarkEnd w:id="542"/>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00C8544F">
        <w:rPr>
          <w:rFonts w:ascii="Arial" w:hAnsi="Arial" w:cs="Arial"/>
          <w:b/>
          <w:bCs/>
          <w:color w:val="000000"/>
          <w:sz w:val="20"/>
        </w:rPr>
        <w:t>Evidence</w:t>
      </w:r>
    </w:p>
    <w:p w14:paraId="65486ECB" w14:textId="77777777" w:rsidR="00DC519F"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p>
    <w:p w14:paraId="0E07D340" w14:textId="77777777" w:rsidR="00DC519F" w:rsidRDefault="00DC519F" w:rsidP="00DC519F">
      <w:pPr>
        <w:jc w:val="both"/>
        <w:rPr>
          <w:rFonts w:ascii="Arial" w:hAnsi="Arial" w:cs="Arial"/>
          <w:sz w:val="20"/>
        </w:rPr>
      </w:pPr>
    </w:p>
    <w:p w14:paraId="16520530" w14:textId="2B6CD978" w:rsidR="00244269" w:rsidRDefault="00320CD4" w:rsidP="00DC519F">
      <w:pPr>
        <w:jc w:val="both"/>
        <w:rPr>
          <w:rFonts w:ascii="Arial" w:hAnsi="Arial" w:cs="Arial"/>
          <w:sz w:val="20"/>
        </w:rPr>
      </w:pPr>
      <w:r>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r w:rsidR="00C97741">
        <w:rPr>
          <w:rFonts w:ascii="Arial" w:hAnsi="Arial" w:cs="Arial"/>
          <w:sz w:val="20"/>
        </w:rPr>
        <w:t xml:space="preserve"> and the Criminal Procedure Act 2009</w:t>
      </w:r>
      <w:r w:rsidR="00347A50" w:rsidRPr="00347A50">
        <w:rPr>
          <w:rFonts w:ascii="Arial" w:hAnsi="Arial" w:cs="Arial"/>
          <w:sz w:val="20"/>
        </w:rPr>
        <w:t>.</w:t>
      </w:r>
      <w:r w:rsidR="009B0A9D">
        <w:rPr>
          <w:rFonts w:ascii="Arial" w:hAnsi="Arial" w:cs="Arial"/>
          <w:sz w:val="20"/>
        </w:rPr>
        <w:t xml:space="preserve"> </w:t>
      </w:r>
      <w:r w:rsidR="00C179D6">
        <w:rPr>
          <w:rFonts w:ascii="Arial" w:hAnsi="Arial" w:cs="Arial"/>
          <w:sz w:val="20"/>
        </w:rPr>
        <w:t xml:space="preserve">A guide entitled </w:t>
      </w:r>
      <w:r w:rsidR="007A6C86">
        <w:rPr>
          <w:rFonts w:ascii="Arial" w:hAnsi="Arial" w:cs="Arial"/>
          <w:sz w:val="20"/>
        </w:rPr>
        <w:t>“Pocket Evidence Law”</w:t>
      </w:r>
      <w:r w:rsidR="00C179D6">
        <w:rPr>
          <w:rFonts w:ascii="Arial" w:hAnsi="Arial" w:cs="Arial"/>
          <w:sz w:val="20"/>
        </w:rPr>
        <w:t xml:space="preserve"> </w:t>
      </w:r>
      <w:r w:rsidR="007A6C86">
        <w:rPr>
          <w:rFonts w:ascii="Arial" w:hAnsi="Arial" w:cs="Arial"/>
          <w:sz w:val="20"/>
        </w:rPr>
        <w:t xml:space="preserve">© </w:t>
      </w:r>
      <w:r w:rsidR="009B0A9D">
        <w:rPr>
          <w:rFonts w:ascii="Arial" w:hAnsi="Arial" w:cs="Arial"/>
          <w:sz w:val="20"/>
        </w:rPr>
        <w:t xml:space="preserve">which analyses the operation of </w:t>
      </w:r>
      <w:r w:rsidR="00AF07FC">
        <w:rPr>
          <w:rFonts w:ascii="Arial" w:hAnsi="Arial" w:cs="Arial"/>
          <w:sz w:val="20"/>
        </w:rPr>
        <w:t xml:space="preserve">the </w:t>
      </w:r>
      <w:r w:rsidR="00AF07FC" w:rsidRPr="00AF07FC">
        <w:rPr>
          <w:rFonts w:ascii="Arial" w:hAnsi="Arial" w:cs="Arial"/>
          <w:i/>
          <w:iCs/>
          <w:sz w:val="20"/>
        </w:rPr>
        <w:t>Evidence Act</w:t>
      </w:r>
      <w:r w:rsidR="009B0A9D">
        <w:rPr>
          <w:rFonts w:ascii="Arial" w:hAnsi="Arial" w:cs="Arial"/>
          <w:sz w:val="20"/>
        </w:rPr>
        <w:t xml:space="preserve"> – </w:t>
      </w:r>
      <w:r w:rsidR="00C179D6">
        <w:rPr>
          <w:rFonts w:ascii="Arial" w:hAnsi="Arial" w:cs="Arial"/>
          <w:sz w:val="20"/>
        </w:rPr>
        <w:t xml:space="preserve">prepared by Justice Christopher Beale and </w:t>
      </w:r>
      <w:r w:rsidR="009B0A9D">
        <w:rPr>
          <w:rFonts w:ascii="Arial" w:hAnsi="Arial" w:cs="Arial"/>
          <w:sz w:val="20"/>
        </w:rPr>
        <w:t>focussing primarily on the admissibility of evidence in criminal proceedings in Victoria</w:t>
      </w:r>
      <w:r w:rsidR="00E61A5E">
        <w:rPr>
          <w:rFonts w:ascii="Arial" w:hAnsi="Arial" w:cs="Arial"/>
          <w:sz w:val="20"/>
        </w:rPr>
        <w:t>n courts</w:t>
      </w:r>
      <w:r w:rsidR="009B0A9D">
        <w:rPr>
          <w:rFonts w:ascii="Arial" w:hAnsi="Arial" w:cs="Arial"/>
          <w:sz w:val="20"/>
        </w:rPr>
        <w:t xml:space="preserve"> – can be downloaded from the JCV website: </w:t>
      </w:r>
      <w:hyperlink r:id="rId45" w:history="1">
        <w:r w:rsidR="009B0A9D" w:rsidRPr="009B0A9D">
          <w:rPr>
            <w:rStyle w:val="Hyperlink"/>
            <w:rFonts w:ascii="Arial" w:hAnsi="Arial" w:cs="Arial"/>
            <w:b/>
            <w:bCs/>
            <w:sz w:val="20"/>
          </w:rPr>
          <w:t>https://judicialcollege.vic.edu.au/resources/pocket-evidence-law</w:t>
        </w:r>
      </w:hyperlink>
      <w:r w:rsidR="009B0A9D" w:rsidRPr="009B0A9D">
        <w:rPr>
          <w:rFonts w:ascii="Arial" w:hAnsi="Arial" w:cs="Arial"/>
          <w:b/>
          <w:bCs/>
          <w:sz w:val="20"/>
        </w:rPr>
        <w:t>.</w:t>
      </w:r>
    </w:p>
    <w:p w14:paraId="639DCF16" w14:textId="77777777" w:rsidR="00347A50" w:rsidRDefault="00347A50" w:rsidP="00347A50">
      <w:pPr>
        <w:jc w:val="both"/>
        <w:rPr>
          <w:rFonts w:ascii="Arial" w:hAnsi="Arial" w:cs="Arial"/>
          <w:color w:val="000000"/>
          <w:sz w:val="20"/>
        </w:rPr>
      </w:pPr>
    </w:p>
    <w:p w14:paraId="381E783A" w14:textId="4A252531"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DD0DA0" w:rsidRPr="00A31FFA">
        <w:rPr>
          <w:rFonts w:ascii="Arial" w:hAnsi="Arial" w:cs="Arial"/>
          <w:sz w:val="20"/>
        </w:rPr>
        <w:t>–</w:t>
      </w:r>
    </w:p>
    <w:p w14:paraId="03F71EDE" w14:textId="2F33B6A4"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80" w:name="_Hlk109651830"/>
      <w:r w:rsidR="00DD0DA0" w:rsidRPr="00A31FFA">
        <w:rPr>
          <w:rFonts w:ascii="Arial" w:hAnsi="Arial" w:cs="Arial"/>
          <w:sz w:val="20"/>
        </w:rPr>
        <w:t>–</w:t>
      </w:r>
    </w:p>
    <w:bookmarkEnd w:id="580"/>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0D4894A2" w:rsidR="00347A50" w:rsidRDefault="00347A50" w:rsidP="006A0F25">
      <w:pPr>
        <w:ind w:left="1021" w:right="567" w:hanging="454"/>
        <w:jc w:val="both"/>
        <w:rPr>
          <w:rFonts w:ascii="Arial" w:hAnsi="Arial" w:cs="Arial"/>
          <w:bCs/>
          <w:sz w:val="20"/>
        </w:rPr>
      </w:pPr>
      <w:r>
        <w:rPr>
          <w:rFonts w:ascii="Arial" w:hAnsi="Arial" w:cs="Arial"/>
          <w:bCs/>
          <w:sz w:val="20"/>
        </w:rPr>
        <w:t>(2)</w:t>
      </w:r>
      <w:r>
        <w:rPr>
          <w:rFonts w:ascii="Arial" w:hAnsi="Arial" w:cs="Arial"/>
          <w:bCs/>
          <w:sz w:val="20"/>
        </w:rPr>
        <w:tab/>
        <w:t>If such a proceeding relates to sentencing</w:t>
      </w:r>
      <w:r w:rsidR="00DD0DA0" w:rsidRPr="00A31FFA">
        <w:rPr>
          <w:rFonts w:ascii="Arial" w:hAnsi="Arial" w:cs="Arial"/>
          <w:sz w:val="20"/>
        </w:rPr>
        <w:t>–</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81" w:name="_3.5.3.1_Admissibility_of"/>
      <w:bookmarkStart w:id="582" w:name="B3531"/>
      <w:bookmarkEnd w:id="581"/>
      <w:bookmarkEnd w:id="582"/>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lastRenderedPageBreak/>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0924F5B1" w14:textId="09EF3135" w:rsidR="00056144" w:rsidRDefault="00056144" w:rsidP="00BB2003">
      <w:pPr>
        <w:jc w:val="both"/>
        <w:rPr>
          <w:rFonts w:ascii="Arial" w:hAnsi="Arial" w:cs="Arial"/>
          <w:color w:val="000000"/>
          <w:sz w:val="20"/>
        </w:rPr>
      </w:pPr>
      <w:r>
        <w:rPr>
          <w:rFonts w:ascii="Arial" w:hAnsi="Arial" w:cs="Arial"/>
          <w:color w:val="000000"/>
          <w:sz w:val="20"/>
        </w:rPr>
        <w:t xml:space="preserve">In </w:t>
      </w:r>
      <w:r w:rsidRPr="00056144">
        <w:rPr>
          <w:rFonts w:ascii="Arial" w:hAnsi="Arial" w:cs="Arial"/>
          <w:i/>
          <w:iCs/>
          <w:color w:val="000000"/>
          <w:sz w:val="20"/>
        </w:rPr>
        <w:t>DPP v Mehdi &amp; Ors (Ruling 5)</w:t>
      </w:r>
      <w:r w:rsidRPr="00056144">
        <w:rPr>
          <w:rFonts w:ascii="Arial" w:hAnsi="Arial" w:cs="Arial"/>
          <w:color w:val="000000"/>
          <w:sz w:val="20"/>
        </w:rPr>
        <w:t xml:space="preserve"> [2024] VSC 831</w:t>
      </w:r>
      <w:r>
        <w:rPr>
          <w:rFonts w:ascii="Arial" w:hAnsi="Arial" w:cs="Arial"/>
          <w:color w:val="000000"/>
          <w:sz w:val="20"/>
        </w:rPr>
        <w:t xml:space="preserve"> four co-accused were facing a joint trial for murder. </w:t>
      </w:r>
      <w:r w:rsidRPr="00056144">
        <w:rPr>
          <w:rFonts w:ascii="Arial" w:hAnsi="Arial" w:cs="Arial"/>
          <w:color w:val="000000"/>
          <w:sz w:val="20"/>
        </w:rPr>
        <w:t xml:space="preserve">On the prosecution case, it </w:t>
      </w:r>
      <w:r w:rsidR="00AD5C78">
        <w:rPr>
          <w:rFonts w:ascii="Arial" w:hAnsi="Arial" w:cs="Arial"/>
          <w:color w:val="000000"/>
          <w:sz w:val="20"/>
        </w:rPr>
        <w:t>wa</w:t>
      </w:r>
      <w:r w:rsidRPr="00056144">
        <w:rPr>
          <w:rFonts w:ascii="Arial" w:hAnsi="Arial" w:cs="Arial"/>
          <w:color w:val="000000"/>
          <w:sz w:val="20"/>
        </w:rPr>
        <w:t>s unknown which of the four accused fired the gun or inflicted the incised wounds. The prosecution case relie</w:t>
      </w:r>
      <w:r w:rsidR="00AD5C78">
        <w:rPr>
          <w:rFonts w:ascii="Arial" w:hAnsi="Arial" w:cs="Arial"/>
          <w:color w:val="000000"/>
          <w:sz w:val="20"/>
        </w:rPr>
        <w:t>d</w:t>
      </w:r>
      <w:r w:rsidRPr="00056144">
        <w:rPr>
          <w:rFonts w:ascii="Arial" w:hAnsi="Arial" w:cs="Arial"/>
          <w:color w:val="000000"/>
          <w:sz w:val="20"/>
        </w:rPr>
        <w:t xml:space="preserve"> on complicity: the four accused agreed upon a plan to kill or really seriously injure the deceased. Alternatively, they each assisted, encouraged or directed the principal offender to kill or cause really serious injury to the deceased.</w:t>
      </w:r>
      <w:r>
        <w:rPr>
          <w:rFonts w:ascii="Arial" w:hAnsi="Arial" w:cs="Arial"/>
          <w:color w:val="000000"/>
          <w:sz w:val="20"/>
        </w:rPr>
        <w:t xml:space="preserve"> The prosecution intend</w:t>
      </w:r>
      <w:r w:rsidR="00AD5C78">
        <w:rPr>
          <w:rFonts w:ascii="Arial" w:hAnsi="Arial" w:cs="Arial"/>
          <w:color w:val="000000"/>
          <w:sz w:val="20"/>
        </w:rPr>
        <w:t>ed</w:t>
      </w:r>
      <w:r>
        <w:rPr>
          <w:rFonts w:ascii="Arial" w:hAnsi="Arial" w:cs="Arial"/>
          <w:color w:val="000000"/>
          <w:sz w:val="20"/>
        </w:rPr>
        <w:t xml:space="preserve"> to lead </w:t>
      </w:r>
      <w:r w:rsidR="00D435FF">
        <w:rPr>
          <w:rFonts w:ascii="Arial" w:hAnsi="Arial" w:cs="Arial"/>
          <w:color w:val="000000"/>
          <w:sz w:val="20"/>
        </w:rPr>
        <w:t xml:space="preserve">certain </w:t>
      </w:r>
      <w:r>
        <w:rPr>
          <w:rFonts w:ascii="Arial" w:hAnsi="Arial" w:cs="Arial"/>
          <w:color w:val="000000"/>
          <w:sz w:val="20"/>
        </w:rPr>
        <w:t>evidence admissible in the trial of M</w:t>
      </w:r>
      <w:r w:rsidR="00AD5C78">
        <w:rPr>
          <w:rFonts w:ascii="Arial" w:hAnsi="Arial" w:cs="Arial"/>
          <w:color w:val="000000"/>
          <w:sz w:val="20"/>
        </w:rPr>
        <w:t>ehdi</w:t>
      </w:r>
      <w:r>
        <w:rPr>
          <w:rFonts w:ascii="Arial" w:hAnsi="Arial" w:cs="Arial"/>
          <w:color w:val="000000"/>
          <w:sz w:val="20"/>
        </w:rPr>
        <w:t xml:space="preserve"> only. Counsel for the accused Q</w:t>
      </w:r>
      <w:r w:rsidR="00AD5C78">
        <w:rPr>
          <w:rFonts w:ascii="Arial" w:hAnsi="Arial" w:cs="Arial"/>
          <w:color w:val="000000"/>
          <w:sz w:val="20"/>
        </w:rPr>
        <w:t>ian</w:t>
      </w:r>
      <w:r>
        <w:rPr>
          <w:rFonts w:ascii="Arial" w:hAnsi="Arial" w:cs="Arial"/>
          <w:color w:val="000000"/>
          <w:sz w:val="20"/>
        </w:rPr>
        <w:t xml:space="preserve"> objected to th</w:t>
      </w:r>
      <w:r w:rsidR="00D435FF">
        <w:rPr>
          <w:rFonts w:ascii="Arial" w:hAnsi="Arial" w:cs="Arial"/>
          <w:color w:val="000000"/>
          <w:sz w:val="20"/>
        </w:rPr>
        <w:t>at</w:t>
      </w:r>
      <w:r>
        <w:rPr>
          <w:rFonts w:ascii="Arial" w:hAnsi="Arial" w:cs="Arial"/>
          <w:color w:val="000000"/>
          <w:sz w:val="20"/>
        </w:rPr>
        <w:t xml:space="preserve"> evidence pursuant to s.135(a) of the </w:t>
      </w:r>
      <w:r w:rsidRPr="00056144">
        <w:rPr>
          <w:rFonts w:ascii="Arial" w:hAnsi="Arial" w:cs="Arial"/>
          <w:i/>
          <w:iCs/>
          <w:color w:val="000000"/>
          <w:sz w:val="20"/>
        </w:rPr>
        <w:t>Evidence Act 2008</w:t>
      </w:r>
      <w:r>
        <w:rPr>
          <w:rFonts w:ascii="Arial" w:hAnsi="Arial" w:cs="Arial"/>
          <w:color w:val="000000"/>
          <w:sz w:val="20"/>
        </w:rPr>
        <w:t xml:space="preserve"> and if th</w:t>
      </w:r>
      <w:r w:rsidR="00D435FF">
        <w:rPr>
          <w:rFonts w:ascii="Arial" w:hAnsi="Arial" w:cs="Arial"/>
          <w:color w:val="000000"/>
          <w:sz w:val="20"/>
        </w:rPr>
        <w:t>at</w:t>
      </w:r>
      <w:r>
        <w:rPr>
          <w:rFonts w:ascii="Arial" w:hAnsi="Arial" w:cs="Arial"/>
          <w:color w:val="000000"/>
          <w:sz w:val="20"/>
        </w:rPr>
        <w:t xml:space="preserve"> evidence was admitted sought a separate trial. Fox J refused both applications. At [</w:t>
      </w:r>
      <w:r w:rsidR="00AD5C78">
        <w:rPr>
          <w:rFonts w:ascii="Arial" w:hAnsi="Arial" w:cs="Arial"/>
          <w:color w:val="000000"/>
          <w:sz w:val="20"/>
        </w:rPr>
        <w:t>28</w:t>
      </w:r>
      <w:r>
        <w:rPr>
          <w:rFonts w:ascii="Arial" w:hAnsi="Arial" w:cs="Arial"/>
          <w:color w:val="000000"/>
          <w:sz w:val="20"/>
        </w:rPr>
        <w:t>]</w:t>
      </w:r>
      <w:r w:rsidR="00AD5C78">
        <w:rPr>
          <w:rFonts w:ascii="Arial" w:hAnsi="Arial" w:cs="Arial"/>
          <w:color w:val="000000"/>
          <w:sz w:val="20"/>
        </w:rPr>
        <w:t xml:space="preserve">-[30] </w:t>
      </w:r>
      <w:r w:rsidR="007B51A0">
        <w:rPr>
          <w:rFonts w:ascii="Arial" w:hAnsi="Arial" w:cs="Arial"/>
          <w:color w:val="000000"/>
          <w:sz w:val="20"/>
        </w:rPr>
        <w:t xml:space="preserve">&amp; [36]-[37] </w:t>
      </w:r>
      <w:r w:rsidR="00AD5C78">
        <w:rPr>
          <w:rFonts w:ascii="Arial" w:hAnsi="Arial" w:cs="Arial"/>
          <w:color w:val="000000"/>
          <w:sz w:val="20"/>
        </w:rPr>
        <w:t>her Honour said:</w:t>
      </w:r>
    </w:p>
    <w:p w14:paraId="055ECB9B" w14:textId="77777777" w:rsidR="00AD5C78" w:rsidRDefault="00AD5C78" w:rsidP="00AD5C78">
      <w:pPr>
        <w:spacing w:before="60"/>
        <w:ind w:left="567" w:right="567"/>
        <w:jc w:val="both"/>
        <w:rPr>
          <w:rFonts w:ascii="Arial" w:hAnsi="Arial" w:cs="Arial"/>
          <w:color w:val="000000"/>
          <w:sz w:val="20"/>
        </w:rPr>
      </w:pPr>
      <w:r>
        <w:rPr>
          <w:rFonts w:ascii="Arial" w:hAnsi="Arial" w:cs="Arial"/>
          <w:bCs/>
          <w:sz w:val="20"/>
        </w:rPr>
        <w:t>[28] “</w:t>
      </w:r>
      <w:r w:rsidR="00056144" w:rsidRPr="00056144">
        <w:rPr>
          <w:rFonts w:ascii="Arial" w:hAnsi="Arial" w:cs="Arial"/>
          <w:color w:val="000000"/>
          <w:sz w:val="20"/>
        </w:rPr>
        <w:t>The principles to be applied when considering an application pursuant to s 135(a) may be stated as follows:</w:t>
      </w:r>
    </w:p>
    <w:p w14:paraId="0B60CF03"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(a)</w:t>
      </w:r>
      <w:r w:rsidR="00AD5C78">
        <w:rPr>
          <w:rFonts w:ascii="Arial" w:hAnsi="Arial" w:cs="Arial"/>
          <w:color w:val="000000"/>
          <w:sz w:val="20"/>
        </w:rPr>
        <w:tab/>
      </w:r>
      <w:r w:rsidRPr="00056144">
        <w:rPr>
          <w:rFonts w:ascii="Arial" w:hAnsi="Arial" w:cs="Arial"/>
          <w:color w:val="000000"/>
          <w:sz w:val="20"/>
        </w:rPr>
        <w:t>The burden is on the party opposing the admission of the evidence.</w:t>
      </w:r>
    </w:p>
    <w:p w14:paraId="40FBC456"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(b)</w:t>
      </w:r>
      <w:r w:rsidR="00AD5C78">
        <w:rPr>
          <w:rFonts w:ascii="Arial" w:hAnsi="Arial" w:cs="Arial"/>
          <w:color w:val="000000"/>
          <w:sz w:val="20"/>
        </w:rPr>
        <w:tab/>
      </w:r>
      <w:r w:rsidRPr="00056144">
        <w:rPr>
          <w:rFonts w:ascii="Arial" w:hAnsi="Arial" w:cs="Arial"/>
          <w:color w:val="000000"/>
          <w:sz w:val="20"/>
        </w:rPr>
        <w:t>The court must first assess the probative value of the evidence sought to be admitted.</w:t>
      </w:r>
    </w:p>
    <w:p w14:paraId="5ECBDCA5" w14:textId="5075599D"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(c)</w:t>
      </w:r>
      <w:r w:rsidR="00AD5C78">
        <w:rPr>
          <w:rFonts w:ascii="Arial" w:hAnsi="Arial" w:cs="Arial"/>
          <w:color w:val="000000"/>
          <w:sz w:val="20"/>
        </w:rPr>
        <w:tab/>
      </w:r>
      <w:r w:rsidRPr="00056144">
        <w:rPr>
          <w:rFonts w:ascii="Arial" w:hAnsi="Arial" w:cs="Arial"/>
          <w:color w:val="000000"/>
          <w:sz w:val="20"/>
        </w:rPr>
        <w:t>The court must then determine whether, on balance, there is a danger that the evidence might be unfairly prejudicial to a party. It is not necessary to find that the evidence would be unfairly prejudicial.</w:t>
      </w:r>
    </w:p>
    <w:p w14:paraId="7274534A"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(d)</w:t>
      </w:r>
      <w:r w:rsidR="00AD5C78">
        <w:rPr>
          <w:rFonts w:ascii="Arial" w:hAnsi="Arial" w:cs="Arial"/>
          <w:color w:val="000000"/>
          <w:sz w:val="20"/>
        </w:rPr>
        <w:tab/>
      </w:r>
      <w:r w:rsidRPr="00056144">
        <w:rPr>
          <w:rFonts w:ascii="Arial" w:hAnsi="Arial" w:cs="Arial"/>
          <w:color w:val="000000"/>
          <w:sz w:val="20"/>
        </w:rPr>
        <w:t>If the court concludes there is such a danger, it must weigh that danger against the probative value of the evidence. In balancing the factors, the court must have regard to the extent that problems could be lessened by actions other than exclusion, such as limiting the use of the evidence or, in a jury trial, by directions. The imbalance must result in a danger that the unfair prejudice will substantially outweigh the probative of the evidence. This may be contrasted with s 137, where the probative value must only be ‘outweighed’ by the danger of unfair prejudice. For this reason, where the evidence is adduced by the prosecution against an accused, defence applications usually rely on s 137 not s 135.</w:t>
      </w:r>
    </w:p>
    <w:p w14:paraId="0C051EA2" w14:textId="0F320DEF" w:rsidR="00056144" w:rsidRPr="00AD5C78" w:rsidRDefault="00056144" w:rsidP="00AD5C78">
      <w:pPr>
        <w:spacing w:before="40"/>
        <w:ind w:left="924" w:right="567" w:hanging="357"/>
        <w:jc w:val="both"/>
        <w:rPr>
          <w:rFonts w:ascii="Arial" w:hAnsi="Arial" w:cs="Arial"/>
          <w:bCs/>
          <w:sz w:val="20"/>
        </w:rPr>
      </w:pPr>
      <w:r w:rsidRPr="00056144">
        <w:rPr>
          <w:rFonts w:ascii="Arial" w:hAnsi="Arial" w:cs="Arial"/>
          <w:color w:val="000000"/>
          <w:sz w:val="20"/>
        </w:rPr>
        <w:t>(e)</w:t>
      </w:r>
      <w:r w:rsidR="00AD5C78">
        <w:rPr>
          <w:rFonts w:ascii="Arial" w:hAnsi="Arial" w:cs="Arial"/>
          <w:color w:val="000000"/>
          <w:sz w:val="20"/>
        </w:rPr>
        <w:tab/>
      </w:r>
      <w:r w:rsidRPr="00056144">
        <w:rPr>
          <w:rFonts w:ascii="Arial" w:hAnsi="Arial" w:cs="Arial"/>
          <w:color w:val="000000"/>
          <w:sz w:val="20"/>
        </w:rPr>
        <w:t>Unfair prejudice has been held to have the same meaning in each of the sections in pt 3.11 of the Act and in s 101</w:t>
      </w:r>
      <w:r w:rsidR="00AD5C78">
        <w:rPr>
          <w:rFonts w:ascii="Arial" w:hAnsi="Arial" w:cs="Arial"/>
          <w:color w:val="000000"/>
          <w:sz w:val="20"/>
        </w:rPr>
        <w:t xml:space="preserve">: </w:t>
      </w:r>
      <w:r w:rsidR="00AD5C78" w:rsidRPr="00AD5C78">
        <w:rPr>
          <w:rFonts w:ascii="Arial" w:hAnsi="Arial" w:cs="Arial"/>
          <w:i/>
          <w:iCs/>
          <w:color w:val="000000"/>
          <w:sz w:val="20"/>
        </w:rPr>
        <w:t>R v Bauer (a pseudonym)</w:t>
      </w:r>
      <w:r w:rsidR="00AD5C78" w:rsidRPr="00056144">
        <w:rPr>
          <w:rFonts w:ascii="Arial" w:hAnsi="Arial" w:cs="Arial"/>
          <w:color w:val="000000"/>
          <w:sz w:val="20"/>
        </w:rPr>
        <w:t xml:space="preserve"> (2018) 266 CLR 56, [73].</w:t>
      </w:r>
      <w:r w:rsidRPr="00056144">
        <w:rPr>
          <w:rFonts w:ascii="Arial" w:hAnsi="Arial" w:cs="Arial"/>
          <w:color w:val="000000"/>
          <w:sz w:val="20"/>
        </w:rPr>
        <w:t xml:space="preserve"> It</w:t>
      </w:r>
      <w:r w:rsidR="00AD5C78">
        <w:rPr>
          <w:rFonts w:ascii="Arial" w:hAnsi="Arial" w:cs="Arial"/>
          <w:color w:val="000000"/>
          <w:sz w:val="20"/>
        </w:rPr>
        <w:t> </w:t>
      </w:r>
      <w:r w:rsidRPr="00056144">
        <w:rPr>
          <w:rFonts w:ascii="Arial" w:hAnsi="Arial" w:cs="Arial"/>
          <w:color w:val="000000"/>
          <w:sz w:val="20"/>
        </w:rPr>
        <w:t>may encompass procedural disadvantage, although this is less clear in the case of s</w:t>
      </w:r>
      <w:r w:rsidR="00AD5C78">
        <w:rPr>
          <w:rFonts w:ascii="Arial" w:hAnsi="Arial" w:cs="Arial"/>
          <w:color w:val="000000"/>
          <w:sz w:val="20"/>
        </w:rPr>
        <w:t> </w:t>
      </w:r>
      <w:r w:rsidRPr="00056144">
        <w:rPr>
          <w:rFonts w:ascii="Arial" w:hAnsi="Arial" w:cs="Arial"/>
          <w:color w:val="000000"/>
          <w:sz w:val="20"/>
        </w:rPr>
        <w:t>135 than s 137. Section 135 talks of ‘the evidence’ being unfairly prejudicial, whereas s 137 talks more generally of ‘the danger of unfair prejudice’.</w:t>
      </w:r>
    </w:p>
    <w:p w14:paraId="33272405" w14:textId="63677BA5"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[29] </w:t>
      </w:r>
      <w:r w:rsidRPr="00AD5C78">
        <w:rPr>
          <w:rFonts w:ascii="Arial" w:hAnsi="Arial" w:cs="Arial"/>
          <w:color w:val="000000"/>
          <w:sz w:val="20"/>
        </w:rPr>
        <w:t>Here, in determining the s 135(a) question, it is necessary to weigh the probative value of the evidence to the prosecution in the trial of Mehdi, against the prejudicial effect it will have on the accused Qian</w:t>
      </w:r>
      <w:r>
        <w:rPr>
          <w:rFonts w:ascii="Arial" w:hAnsi="Arial" w:cs="Arial"/>
          <w:color w:val="000000"/>
          <w:sz w:val="20"/>
        </w:rPr>
        <w:t>.</w:t>
      </w:r>
    </w:p>
    <w:p w14:paraId="12D4DB1A" w14:textId="49861791"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[30] </w:t>
      </w:r>
      <w:r w:rsidRPr="00AD5C78">
        <w:rPr>
          <w:rFonts w:ascii="Arial" w:hAnsi="Arial" w:cs="Arial"/>
          <w:color w:val="000000"/>
          <w:sz w:val="20"/>
        </w:rPr>
        <w:t>In my view, it is not appropriate to exclude the parts of the conversations that concern Qian; this would distort the evidence and cause unfairness to the accused Mehdi. Therefore the question is whether, if the matter continues as a joint trial, the entirety of the conversations should be excluded.</w:t>
      </w:r>
      <w:r>
        <w:rPr>
          <w:rFonts w:ascii="Arial" w:hAnsi="Arial" w:cs="Arial"/>
          <w:color w:val="000000"/>
          <w:sz w:val="20"/>
        </w:rPr>
        <w:t>”</w:t>
      </w:r>
    </w:p>
    <w:p w14:paraId="011F37C1" w14:textId="0E4D562E"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[36] “</w:t>
      </w:r>
      <w:r w:rsidRPr="007B51A0">
        <w:rPr>
          <w:rFonts w:ascii="Arial" w:hAnsi="Arial" w:cs="Arial"/>
          <w:color w:val="000000"/>
          <w:sz w:val="20"/>
        </w:rPr>
        <w:t>The prejudice must be viewed as a whole. It is not appropriate to weigh each alleged prejudice against the probative value of the evidence and reach a conclusion. When, as here, a number of matters are relied upon, the overall prejudice must be determined and balanced against the probative value of the evidence.</w:t>
      </w:r>
    </w:p>
    <w:p w14:paraId="0390FBA0" w14:textId="0C6D8EE2"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w:t>
      </w:r>
      <w:r w:rsidRPr="007B51A0">
        <w:rPr>
          <w:rFonts w:ascii="Arial" w:hAnsi="Arial" w:cs="Arial"/>
          <w:color w:val="000000"/>
          <w:sz w:val="20"/>
        </w:rPr>
        <w:t>37</w:t>
      </w:r>
      <w:r>
        <w:rPr>
          <w:rFonts w:ascii="Arial" w:hAnsi="Arial" w:cs="Arial"/>
          <w:color w:val="000000"/>
          <w:sz w:val="20"/>
        </w:rPr>
        <w:t>]</w:t>
      </w:r>
      <w:r w:rsidRPr="007B51A0">
        <w:rPr>
          <w:rFonts w:ascii="Arial" w:hAnsi="Arial" w:cs="Arial"/>
          <w:color w:val="000000"/>
          <w:sz w:val="20"/>
        </w:rPr>
        <w:t xml:space="preserve"> In my view and taking all matters into account, any danger that the evidence might be unfairly prejudicial does not substantially outweigh the probative value of the evidence. The jury will be given a strong direction that what Mehdi tells others after the shooting is not </w:t>
      </w:r>
      <w:r w:rsidRPr="007B51A0">
        <w:rPr>
          <w:rFonts w:ascii="Arial" w:hAnsi="Arial" w:cs="Arial"/>
          <w:color w:val="000000"/>
          <w:sz w:val="20"/>
        </w:rPr>
        <w:lastRenderedPageBreak/>
        <w:t>evidence in the trial of Qian and cannot be used against Qian. Directions concerning the evidence of Subu and Jabbour can also be given, if required.</w:t>
      </w:r>
      <w:r>
        <w:rPr>
          <w:rFonts w:ascii="Arial" w:hAnsi="Arial" w:cs="Arial"/>
          <w:color w:val="000000"/>
          <w:sz w:val="20"/>
        </w:rPr>
        <w:t>”</w:t>
      </w:r>
    </w:p>
    <w:p w14:paraId="3583601A" w14:textId="647CD68F" w:rsidR="00056144" w:rsidRDefault="00AD5C78" w:rsidP="00AD5C78">
      <w:pPr>
        <w:spacing w:before="60"/>
        <w:jc w:val="both"/>
        <w:rPr>
          <w:rFonts w:ascii="Arial" w:hAnsi="Arial" w:cs="Arial"/>
          <w:color w:val="000000"/>
          <w:sz w:val="20"/>
        </w:rPr>
      </w:pPr>
      <w:r>
        <w:rPr>
          <w:rFonts w:ascii="Arial" w:hAnsi="Arial" w:cs="Arial"/>
          <w:color w:val="000000"/>
          <w:sz w:val="20"/>
        </w:rPr>
        <w:t xml:space="preserve">For details of her Honour’s ruling refusing a separate trial for Qian see </w:t>
      </w:r>
      <w:r w:rsidRPr="00AD5C78">
        <w:rPr>
          <w:rFonts w:ascii="Arial" w:hAnsi="Arial" w:cs="Arial"/>
          <w:b/>
          <w:bCs/>
          <w:color w:val="000000"/>
          <w:sz w:val="20"/>
          <w:shd w:val="clear" w:color="auto" w:fill="C5E0B3" w:themeFill="accent6" w:themeFillTint="66"/>
        </w:rPr>
        <w:t xml:space="preserve">section </w:t>
      </w:r>
      <w:r w:rsidR="00556C02">
        <w:rPr>
          <w:rFonts w:ascii="Arial" w:hAnsi="Arial" w:cs="Arial"/>
          <w:b/>
          <w:bCs/>
          <w:color w:val="000000"/>
          <w:sz w:val="20"/>
          <w:shd w:val="clear" w:color="auto" w:fill="C5E0B3" w:themeFill="accent6" w:themeFillTint="66"/>
        </w:rPr>
        <w:t>10</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3</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12</w:t>
      </w:r>
      <w:r w:rsidRPr="00AD5C78">
        <w:rPr>
          <w:rFonts w:ascii="Arial" w:hAnsi="Arial" w:cs="Arial"/>
          <w:b/>
          <w:bCs/>
          <w:color w:val="000000"/>
          <w:sz w:val="20"/>
          <w:shd w:val="clear" w:color="auto" w:fill="C5E0B3" w:themeFill="accent6" w:themeFillTint="66"/>
        </w:rPr>
        <w:t>.</w:t>
      </w:r>
    </w:p>
    <w:p w14:paraId="2D34B8E0" w14:textId="77777777" w:rsidR="00AD5C78" w:rsidRDefault="00AD5C78"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26D71989" w:rsidR="00BB2003" w:rsidRDefault="0079534A" w:rsidP="0079534A">
      <w:pPr>
        <w:pStyle w:val="BodySectionSub"/>
        <w:spacing w:before="60"/>
        <w:ind w:left="0"/>
        <w:rPr>
          <w:rFonts w:ascii="Arial" w:hAnsi="Arial" w:cs="Arial"/>
          <w:sz w:val="20"/>
        </w:rPr>
      </w:pPr>
      <w:r>
        <w:rPr>
          <w:rFonts w:ascii="Arial" w:hAnsi="Arial" w:cs="Arial"/>
          <w:sz w:val="20"/>
        </w:rPr>
        <w:t xml:space="preserve">For a case in which s.136 was applied to limit the use of evidence so that it was not unfairly prejudicial to the accused see </w:t>
      </w:r>
      <w:r w:rsidRPr="0079534A">
        <w:rPr>
          <w:rFonts w:ascii="Arial" w:hAnsi="Arial" w:cs="Arial"/>
          <w:i/>
          <w:iCs/>
          <w:sz w:val="20"/>
        </w:rPr>
        <w:t>DPP v KT (Ruling 2)</w:t>
      </w:r>
      <w:r>
        <w:rPr>
          <w:rFonts w:ascii="Arial" w:hAnsi="Arial" w:cs="Arial"/>
          <w:sz w:val="20"/>
        </w:rPr>
        <w:t xml:space="preserve"> [2025] VSC 398.</w:t>
      </w:r>
    </w:p>
    <w:p w14:paraId="42F4E7B1" w14:textId="77777777" w:rsidR="0079534A" w:rsidRPr="0079534A" w:rsidRDefault="0079534A" w:rsidP="0079534A"/>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635A7465"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r w:rsidR="00DD0DA0" w:rsidRPr="00A31FFA">
        <w:rPr>
          <w:rFonts w:ascii="Arial" w:hAnsi="Arial" w:cs="Arial"/>
          <w:sz w:val="20"/>
        </w:rPr>
        <w:t>–</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2318981"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r w:rsidR="00DD0DA0" w:rsidRPr="00A31FFA">
        <w:rPr>
          <w:rFonts w:ascii="Arial" w:hAnsi="Arial" w:cs="Arial"/>
          <w:sz w:val="20"/>
        </w:rPr>
        <w: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374D0199"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r w:rsidR="00DD0DA0" w:rsidRPr="00A31FFA">
        <w:rPr>
          <w:rFonts w:ascii="Arial" w:hAnsi="Arial" w:cs="Arial"/>
          <w:sz w:val="20"/>
        </w:rPr>
        <w:t>–</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83" w:name="_3.5.3.2_Admissibility_of"/>
      <w:bookmarkStart w:id="584" w:name="B3532"/>
      <w:bookmarkEnd w:id="583"/>
      <w:bookmarkEnd w:id="584"/>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4EEEAA5E"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w:t>
      </w:r>
      <w:r w:rsidR="009774DD">
        <w:rPr>
          <w:rFonts w:ascii="Arial" w:hAnsi="Arial" w:cs="Arial"/>
          <w:sz w:val="20"/>
          <w:szCs w:val="20"/>
        </w:rPr>
        <w:t>&amp;</w:t>
      </w:r>
      <w:r w:rsidRPr="00A76B36">
        <w:rPr>
          <w:rFonts w:ascii="Arial" w:hAnsi="Arial" w:cs="Arial"/>
          <w:sz w:val="20"/>
          <w:szCs w:val="20"/>
        </w:rPr>
        <w:t xml:space="preserve">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2CBAC788"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 xml:space="preserve">(4) If the quality of the recording is so poor that the jury could not make a fair and reliable assessment of the conversation, or if there is a real risk that the jury might misconstrue </w:t>
      </w:r>
      <w:r w:rsidRPr="00A76B36">
        <w:rPr>
          <w:rFonts w:ascii="Arial" w:hAnsi="Arial" w:cs="Arial"/>
          <w:sz w:val="20"/>
          <w:szCs w:val="20"/>
        </w:rPr>
        <w:lastRenderedPageBreak/>
        <w:t>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w:t>
      </w:r>
      <w:r w:rsidR="0079534A">
        <w:rPr>
          <w:rFonts w:ascii="Arial" w:hAnsi="Arial" w:cs="Arial"/>
          <w:sz w:val="20"/>
          <w:szCs w:val="20"/>
        </w:rPr>
        <w:t> </w:t>
      </w:r>
      <w:r w:rsidR="0040623A" w:rsidRPr="0040623A">
        <w:rPr>
          <w:rFonts w:ascii="Arial" w:hAnsi="Arial" w:cs="Arial"/>
          <w:sz w:val="20"/>
          <w:szCs w:val="20"/>
        </w:rPr>
        <w:t>WLR 651, 656 (Shaw J)</w:t>
      </w:r>
      <w:r w:rsidR="0040623A">
        <w:rPr>
          <w:rFonts w:ascii="Arial" w:hAnsi="Arial" w:cs="Arial"/>
          <w:sz w:val="20"/>
          <w:szCs w:val="20"/>
        </w:rPr>
        <w:t xml:space="preserve">; </w:t>
      </w:r>
      <w:r w:rsidR="0040623A" w:rsidRPr="0040623A">
        <w:rPr>
          <w:rFonts w:ascii="Arial" w:hAnsi="Arial" w:cs="Arial"/>
          <w:i/>
          <w:iCs/>
          <w:sz w:val="20"/>
          <w:szCs w:val="20"/>
        </w:rPr>
        <w:t>Smith, Ashford &amp; Schevella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Neasey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Smith, Ashford &amp; Schevella</w:t>
      </w:r>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lastRenderedPageBreak/>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4F95DBF3" w14:textId="77777777" w:rsidR="00C84356" w:rsidRPr="00C15FDA" w:rsidRDefault="00C84356" w:rsidP="00C84356">
      <w:pPr>
        <w:rPr>
          <w:rFonts w:ascii="Arial" w:hAnsi="Arial" w:cs="Arial"/>
          <w:sz w:val="20"/>
          <w:szCs w:val="20"/>
        </w:rPr>
      </w:pPr>
    </w:p>
    <w:p w14:paraId="7789102A" w14:textId="677C2F35" w:rsidR="00C84356" w:rsidRPr="00C84356" w:rsidRDefault="00C84356" w:rsidP="00C84356">
      <w:pPr>
        <w:jc w:val="both"/>
        <w:rPr>
          <w:rFonts w:ascii="Arial" w:hAnsi="Arial" w:cs="Arial"/>
          <w:sz w:val="20"/>
          <w:szCs w:val="20"/>
        </w:rPr>
      </w:pPr>
      <w:r w:rsidRPr="00C84356">
        <w:rPr>
          <w:rFonts w:ascii="Arial" w:hAnsi="Arial" w:cs="Arial"/>
          <w:sz w:val="20"/>
          <w:szCs w:val="20"/>
        </w:rPr>
        <w:t xml:space="preserve">In </w:t>
      </w:r>
      <w:r w:rsidRPr="00C84356">
        <w:rPr>
          <w:rFonts w:ascii="Arial" w:hAnsi="Arial" w:cs="Arial"/>
          <w:i/>
          <w:iCs/>
          <w:sz w:val="20"/>
          <w:szCs w:val="20"/>
        </w:rPr>
        <w:t>Wagner (a pseudonym) v The King</w:t>
      </w:r>
      <w:r w:rsidRPr="00C84356">
        <w:rPr>
          <w:rFonts w:ascii="Arial" w:hAnsi="Arial" w:cs="Arial"/>
          <w:sz w:val="20"/>
          <w:szCs w:val="20"/>
        </w:rPr>
        <w:t xml:space="preserve"> [2025] VSCA 56 the applicant </w:t>
      </w:r>
      <w:r w:rsidR="007413D5">
        <w:rPr>
          <w:rFonts w:ascii="Arial" w:hAnsi="Arial" w:cs="Arial"/>
          <w:sz w:val="20"/>
          <w:szCs w:val="20"/>
        </w:rPr>
        <w:t>i</w:t>
      </w:r>
      <w:r w:rsidRPr="00C84356">
        <w:rPr>
          <w:rFonts w:ascii="Arial" w:hAnsi="Arial" w:cs="Arial"/>
          <w:sz w:val="20"/>
          <w:szCs w:val="20"/>
        </w:rPr>
        <w:t>s facing trial in the County Court on 9 charges of theft, 8 charges of burglary (committed with a co</w:t>
      </w:r>
      <w:r w:rsidRPr="00C84356">
        <w:rPr>
          <w:rFonts w:ascii="Arial" w:hAnsi="Arial" w:cs="Arial"/>
          <w:sz w:val="20"/>
          <w:szCs w:val="20"/>
        </w:rPr>
        <w:noBreakHyphen/>
        <w:t>accused) and 1 charge of arson (committed alone) of a car used in the burglaries. The prosecution case is circumstantial. The central issue in the trial is the identity of the offenders.</w:t>
      </w:r>
      <w:r>
        <w:rPr>
          <w:rFonts w:ascii="Arial" w:hAnsi="Arial" w:cs="Arial"/>
          <w:sz w:val="20"/>
          <w:szCs w:val="20"/>
        </w:rPr>
        <w:t xml:space="preserve"> O</w:t>
      </w:r>
      <w:r w:rsidRPr="00C84356">
        <w:rPr>
          <w:rFonts w:ascii="Arial" w:hAnsi="Arial" w:cs="Arial"/>
          <w:sz w:val="20"/>
          <w:szCs w:val="20"/>
        </w:rPr>
        <w:t>ne of the categories of evidence upon which the prosecution proposes to rely, which it described as ‘extremely significant’, is telecommunications evidence. It is said to establish that the applicant was in the vicinity of each of the burgled premises and in the vicinity of the burnt-out car at the time of the alleged offences. The</w:t>
      </w:r>
      <w:r w:rsidR="00116196">
        <w:rPr>
          <w:rFonts w:ascii="Arial" w:hAnsi="Arial" w:cs="Arial"/>
          <w:sz w:val="20"/>
          <w:szCs w:val="20"/>
        </w:rPr>
        <w:t xml:space="preserve"> </w:t>
      </w:r>
      <w:r w:rsidRPr="00C84356">
        <w:rPr>
          <w:rFonts w:ascii="Arial" w:hAnsi="Arial" w:cs="Arial"/>
          <w:sz w:val="20"/>
          <w:szCs w:val="20"/>
        </w:rPr>
        <w:t>telecommunications evidence consisted of 3 components:</w:t>
      </w:r>
    </w:p>
    <w:p w14:paraId="603E1012"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EBM data’</w:t>
      </w:r>
      <w:r w:rsidRPr="00C84356">
        <w:rPr>
          <w:rFonts w:ascii="Arial" w:hAnsi="Arial" w:cs="Arial"/>
          <w:sz w:val="20"/>
          <w:szCs w:val="16"/>
        </w:rPr>
        <w:t>: A spread-sheet produced by Optus containing ‘event based monitoring’ data for a mobile telephone service associated with the applicant.</w:t>
      </w:r>
    </w:p>
    <w:p w14:paraId="47FB6345"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base station evidence</w:t>
      </w:r>
      <w:r w:rsidRPr="00C84356">
        <w:rPr>
          <w:rFonts w:ascii="Arial" w:hAnsi="Arial" w:cs="Arial"/>
          <w:sz w:val="20"/>
          <w:szCs w:val="16"/>
        </w:rPr>
        <w:t>’: Ten witness statements prepared by 2 Optus technical specialists annexing a series of maps and tables containing information about particular mobile phone towers (‘base stations’) referred to in the EBM data.</w:t>
      </w:r>
    </w:p>
    <w:p w14:paraId="121C3B04"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reference table</w:t>
      </w:r>
      <w:r w:rsidRPr="00C84356">
        <w:rPr>
          <w:rFonts w:ascii="Arial" w:hAnsi="Arial" w:cs="Arial"/>
          <w:sz w:val="20"/>
          <w:szCs w:val="16"/>
        </w:rPr>
        <w:t>’: Created by the informant, this contains information sourced from items (i) &amp; (ii), cross-referenced to a ‘corresponding burglary/incident/fact’ and to the relevant charge.</w:t>
      </w:r>
    </w:p>
    <w:p w14:paraId="7DA1A425" w14:textId="6EA87702" w:rsidR="00C84356" w:rsidRPr="00C84356" w:rsidRDefault="007413D5" w:rsidP="00C84356">
      <w:pPr>
        <w:spacing w:before="120"/>
        <w:jc w:val="both"/>
        <w:rPr>
          <w:rFonts w:ascii="Arial" w:hAnsi="Arial" w:cs="Arial"/>
          <w:sz w:val="20"/>
          <w:szCs w:val="20"/>
        </w:rPr>
      </w:pPr>
      <w:r>
        <w:rPr>
          <w:rFonts w:ascii="Arial" w:hAnsi="Arial" w:cs="Arial"/>
          <w:sz w:val="20"/>
          <w:szCs w:val="20"/>
        </w:rPr>
        <w:t>In a pre-trial application before Judge Georgiou t</w:t>
      </w:r>
      <w:r w:rsidR="00C84356" w:rsidRPr="00C84356">
        <w:rPr>
          <w:rFonts w:ascii="Arial" w:hAnsi="Arial" w:cs="Arial"/>
          <w:sz w:val="20"/>
          <w:szCs w:val="20"/>
        </w:rPr>
        <w:t xml:space="preserve">he prosecution </w:t>
      </w:r>
      <w:r>
        <w:rPr>
          <w:rFonts w:ascii="Arial" w:hAnsi="Arial" w:cs="Arial"/>
          <w:sz w:val="20"/>
          <w:szCs w:val="20"/>
        </w:rPr>
        <w:t xml:space="preserve">had </w:t>
      </w:r>
      <w:r w:rsidR="00C84356" w:rsidRPr="00C84356">
        <w:rPr>
          <w:rFonts w:ascii="Arial" w:hAnsi="Arial" w:cs="Arial"/>
          <w:sz w:val="20"/>
          <w:szCs w:val="20"/>
        </w:rPr>
        <w:t>conceded that the telecommunications evidence could not place the applicant at the exact location of the burglaries</w:t>
      </w:r>
      <w:r>
        <w:rPr>
          <w:rFonts w:ascii="Arial" w:hAnsi="Arial" w:cs="Arial"/>
          <w:sz w:val="20"/>
          <w:szCs w:val="20"/>
        </w:rPr>
        <w:t xml:space="preserve"> but asserted</w:t>
      </w:r>
      <w:r w:rsidR="00C84356" w:rsidRPr="00C84356">
        <w:rPr>
          <w:rFonts w:ascii="Arial" w:hAnsi="Arial" w:cs="Arial"/>
          <w:sz w:val="20"/>
          <w:szCs w:val="20"/>
        </w:rPr>
        <w:t xml:space="preserve"> it had significant probative value when combined with 6 other pieces of circumstantial evidence:</w:t>
      </w:r>
    </w:p>
    <w:p w14:paraId="3D2326D6"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rPr>
        <w:t>A black Kia Cerato had been stolen outside a property in Reservoir on 05/11/2021.</w:t>
      </w:r>
    </w:p>
    <w:p w14:paraId="0895C247"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A black Kia Cerato was observed by witnesses to have been used, or recorded on CCTV footage, during each of the 8 burglaries.</w:t>
      </w:r>
    </w:p>
    <w:p w14:paraId="744ACBCC"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08/02/2022 a set of stolen Queensland registration plates were detected on a car travelling southbound on CityLink at Moreland Road – </w:t>
      </w:r>
      <w:r w:rsidRPr="00C84356">
        <w:rPr>
          <w:rFonts w:ascii="Arial" w:hAnsi="Arial" w:cs="Arial"/>
          <w:b/>
          <w:bCs/>
          <w:sz w:val="20"/>
          <w:szCs w:val="16"/>
        </w:rPr>
        <w:t>the EBM data</w:t>
      </w:r>
      <w:r w:rsidRPr="00C84356">
        <w:rPr>
          <w:rFonts w:ascii="Arial" w:hAnsi="Arial" w:cs="Arial"/>
          <w:sz w:val="20"/>
          <w:szCs w:val="16"/>
        </w:rPr>
        <w:t xml:space="preserve"> indicated that the applicant followed the path of the car in line with that detection.</w:t>
      </w:r>
    </w:p>
    <w:p w14:paraId="74793F2D"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On the same date, a black Kia Cerato bearing the stolen Queensland plates was used in 3 burglaries committed in Moonee Ponds, Essendon and Attwood.</w:t>
      </w:r>
    </w:p>
    <w:p w14:paraId="6A799B1B"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18/02/2022 the stolen black Kia Cerato bearing the stolen Queensland plates was found burnt out in a suspicious fire at Clarkefield – </w:t>
      </w:r>
      <w:r w:rsidRPr="00C84356">
        <w:rPr>
          <w:rFonts w:ascii="Arial" w:hAnsi="Arial" w:cs="Arial"/>
          <w:b/>
          <w:bCs/>
          <w:sz w:val="20"/>
          <w:szCs w:val="16"/>
        </w:rPr>
        <w:t>the EBM data</w:t>
      </w:r>
      <w:r w:rsidRPr="00C84356">
        <w:rPr>
          <w:rFonts w:ascii="Arial" w:hAnsi="Arial" w:cs="Arial"/>
          <w:sz w:val="20"/>
          <w:szCs w:val="16"/>
        </w:rPr>
        <w:t xml:space="preserve"> linked the applicant’s mobile phone to the location shortly before the car was destroyed.</w:t>
      </w:r>
    </w:p>
    <w:p w14:paraId="56403B17" w14:textId="77777777" w:rsidR="00C84356" w:rsidRPr="00C84356" w:rsidRDefault="00C84356">
      <w:pPr>
        <w:pStyle w:val="ListParagraph"/>
        <w:numPr>
          <w:ilvl w:val="0"/>
          <w:numId w:val="153"/>
        </w:numPr>
        <w:ind w:left="454" w:hanging="454"/>
        <w:contextualSpacing/>
        <w:jc w:val="both"/>
        <w:rPr>
          <w:rFonts w:ascii="Arial" w:hAnsi="Arial" w:cs="Arial"/>
          <w:sz w:val="20"/>
        </w:rPr>
      </w:pPr>
      <w:r w:rsidRPr="00C84356">
        <w:rPr>
          <w:rFonts w:ascii="Arial" w:hAnsi="Arial" w:cs="Arial"/>
          <w:sz w:val="20"/>
          <w:szCs w:val="16"/>
        </w:rPr>
        <w:t>On 05/03/2022 when the applicant was arrested he was found to be in possession of a shotgun and a Mercedes car key remote control that were stolen during the burglary committed in Essendon on 08/02/2022.</w:t>
      </w:r>
    </w:p>
    <w:p w14:paraId="069E03D0" w14:textId="77777777"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In his rulings Judge Georgiou:</w:t>
      </w:r>
    </w:p>
    <w:p w14:paraId="7704E45A"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held that </w:t>
      </w:r>
      <w:r w:rsidRPr="00C84356">
        <w:rPr>
          <w:rFonts w:ascii="Arial" w:hAnsi="Arial" w:cs="Arial"/>
          <w:b/>
          <w:bCs/>
          <w:sz w:val="20"/>
          <w:szCs w:val="16"/>
        </w:rPr>
        <w:t>the EBM data</w:t>
      </w:r>
      <w:r w:rsidRPr="00C84356">
        <w:rPr>
          <w:rFonts w:ascii="Arial" w:hAnsi="Arial" w:cs="Arial"/>
          <w:sz w:val="20"/>
          <w:szCs w:val="16"/>
        </w:rPr>
        <w:t xml:space="preserve"> met the business records exception to the hearsay rule in s.69 of the </w:t>
      </w:r>
      <w:r w:rsidRPr="00C84356">
        <w:rPr>
          <w:rFonts w:ascii="Arial" w:hAnsi="Arial" w:cs="Arial"/>
          <w:i/>
          <w:iCs/>
          <w:sz w:val="20"/>
          <w:szCs w:val="16"/>
        </w:rPr>
        <w:t>Evidence Act 2008</w:t>
      </w:r>
      <w:r w:rsidRPr="00C84356">
        <w:rPr>
          <w:rFonts w:ascii="Arial" w:hAnsi="Arial" w:cs="Arial"/>
          <w:sz w:val="20"/>
          <w:szCs w:val="16"/>
        </w:rPr>
        <w:t>; and</w:t>
      </w:r>
    </w:p>
    <w:p w14:paraId="11B94DD4"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declined to exclude </w:t>
      </w:r>
      <w:r w:rsidRPr="00C84356">
        <w:rPr>
          <w:rFonts w:ascii="Arial" w:hAnsi="Arial" w:cs="Arial"/>
          <w:b/>
          <w:bCs/>
          <w:sz w:val="20"/>
          <w:szCs w:val="16"/>
        </w:rPr>
        <w:t>the base station evidence</w:t>
      </w:r>
      <w:r w:rsidRPr="00C84356">
        <w:rPr>
          <w:rFonts w:ascii="Arial" w:hAnsi="Arial" w:cs="Arial"/>
          <w:sz w:val="20"/>
          <w:szCs w:val="16"/>
        </w:rPr>
        <w:t xml:space="preserve"> or </w:t>
      </w:r>
      <w:r w:rsidRPr="00C84356">
        <w:rPr>
          <w:rFonts w:ascii="Arial" w:hAnsi="Arial" w:cs="Arial"/>
          <w:b/>
          <w:bCs/>
          <w:sz w:val="20"/>
          <w:szCs w:val="16"/>
        </w:rPr>
        <w:t>the reference table</w:t>
      </w:r>
      <w:r w:rsidRPr="00C84356">
        <w:rPr>
          <w:rFonts w:ascii="Arial" w:hAnsi="Arial" w:cs="Arial"/>
          <w:sz w:val="20"/>
          <w:szCs w:val="16"/>
        </w:rPr>
        <w:t xml:space="preserve"> under s.135 (General discretion to exclude evidence) or s.137 (Exclusion of prejudicial evidence in criminal proceedings) of the </w:t>
      </w:r>
      <w:r w:rsidRPr="00C84356">
        <w:rPr>
          <w:rFonts w:ascii="Arial" w:hAnsi="Arial" w:cs="Arial"/>
          <w:i/>
          <w:iCs/>
          <w:sz w:val="20"/>
          <w:szCs w:val="16"/>
        </w:rPr>
        <w:t>Evidence Act 2008</w:t>
      </w:r>
      <w:r w:rsidRPr="00C84356">
        <w:rPr>
          <w:rFonts w:ascii="Arial" w:hAnsi="Arial" w:cs="Arial"/>
          <w:sz w:val="20"/>
          <w:szCs w:val="16"/>
        </w:rPr>
        <w:t>.</w:t>
      </w:r>
    </w:p>
    <w:p w14:paraId="4167A9AF" w14:textId="7EBAACB4" w:rsidR="00C84356" w:rsidRPr="00C84356" w:rsidRDefault="007413D5" w:rsidP="00C84356">
      <w:pPr>
        <w:spacing w:before="120"/>
        <w:jc w:val="both"/>
        <w:rPr>
          <w:rFonts w:ascii="Arial" w:hAnsi="Arial" w:cs="Arial"/>
          <w:sz w:val="20"/>
          <w:szCs w:val="20"/>
        </w:rPr>
      </w:pPr>
      <w:r>
        <w:rPr>
          <w:rFonts w:ascii="Arial" w:hAnsi="Arial" w:cs="Arial"/>
          <w:sz w:val="20"/>
          <w:szCs w:val="20"/>
        </w:rPr>
        <w:t xml:space="preserve">In an interlocutory application under s.295(3)(a) of the </w:t>
      </w:r>
      <w:r w:rsidRPr="007413D5">
        <w:rPr>
          <w:rFonts w:ascii="Arial" w:hAnsi="Arial" w:cs="Arial"/>
          <w:i/>
          <w:iCs/>
          <w:sz w:val="20"/>
          <w:szCs w:val="20"/>
        </w:rPr>
        <w:t>Criminal Procedure Act 2009</w:t>
      </w:r>
      <w:r>
        <w:rPr>
          <w:rFonts w:ascii="Arial" w:hAnsi="Arial" w:cs="Arial"/>
          <w:sz w:val="20"/>
          <w:szCs w:val="20"/>
        </w:rPr>
        <w:t xml:space="preserve"> the applicant sought</w:t>
      </w:r>
      <w:r w:rsidR="00C84356" w:rsidRPr="00C84356">
        <w:rPr>
          <w:rFonts w:ascii="Arial" w:hAnsi="Arial" w:cs="Arial"/>
          <w:sz w:val="20"/>
          <w:szCs w:val="20"/>
        </w:rPr>
        <w:t xml:space="preserve"> leave to appeal against both rulings but in the Court of Appeal </w:t>
      </w:r>
      <w:r>
        <w:rPr>
          <w:rFonts w:ascii="Arial" w:hAnsi="Arial" w:cs="Arial"/>
          <w:sz w:val="20"/>
          <w:szCs w:val="20"/>
        </w:rPr>
        <w:t>he</w:t>
      </w:r>
      <w:r w:rsidR="00C84356" w:rsidRPr="00C84356">
        <w:rPr>
          <w:rFonts w:ascii="Arial" w:hAnsi="Arial" w:cs="Arial"/>
          <w:sz w:val="20"/>
          <w:szCs w:val="20"/>
        </w:rPr>
        <w:t xml:space="preserve"> abandoned the ‘busines</w:t>
      </w:r>
      <w:r w:rsidR="00C84356">
        <w:rPr>
          <w:rFonts w:ascii="Arial" w:hAnsi="Arial" w:cs="Arial"/>
          <w:sz w:val="20"/>
          <w:szCs w:val="20"/>
        </w:rPr>
        <w:t>s</w:t>
      </w:r>
      <w:r w:rsidR="00C84356" w:rsidRPr="00C84356">
        <w:rPr>
          <w:rFonts w:ascii="Arial" w:hAnsi="Arial" w:cs="Arial"/>
          <w:sz w:val="20"/>
          <w:szCs w:val="20"/>
        </w:rPr>
        <w:t xml:space="preserve"> records’ ground which had not been raised at first instance. The Court of Appeal said at [68] that this </w:t>
      </w:r>
      <w:r w:rsidR="00722C32">
        <w:rPr>
          <w:rFonts w:ascii="Arial" w:hAnsi="Arial" w:cs="Arial"/>
          <w:sz w:val="20"/>
          <w:szCs w:val="20"/>
        </w:rPr>
        <w:t>issue</w:t>
      </w:r>
      <w:r w:rsidR="00C84356" w:rsidRPr="00C84356">
        <w:rPr>
          <w:rFonts w:ascii="Arial" w:hAnsi="Arial" w:cs="Arial"/>
          <w:sz w:val="20"/>
          <w:szCs w:val="20"/>
        </w:rPr>
        <w:t xml:space="preserve"> will be a matter for the trial judge.</w:t>
      </w:r>
    </w:p>
    <w:p w14:paraId="3EC206C0" w14:textId="10D1C63E"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 xml:space="preserve">The Court of Appeal refused leave to appeal Judge Georgiou’s interlocutory ruling </w:t>
      </w:r>
      <w:r w:rsidR="00D97AC5">
        <w:rPr>
          <w:rFonts w:ascii="Arial" w:hAnsi="Arial" w:cs="Arial"/>
          <w:sz w:val="20"/>
          <w:szCs w:val="20"/>
        </w:rPr>
        <w:t>declining to exclude</w:t>
      </w:r>
      <w:r w:rsidRPr="00C84356">
        <w:rPr>
          <w:rFonts w:ascii="Arial" w:hAnsi="Arial" w:cs="Arial"/>
          <w:sz w:val="20"/>
          <w:szCs w:val="20"/>
        </w:rPr>
        <w:t xml:space="preserve">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00D97AC5">
        <w:rPr>
          <w:rFonts w:ascii="Arial" w:hAnsi="Arial" w:cs="Arial"/>
          <w:sz w:val="20"/>
          <w:szCs w:val="20"/>
        </w:rPr>
        <w:t>, a ruling it described at [62] as “correct”.</w:t>
      </w:r>
      <w:r w:rsidRPr="00C84356">
        <w:rPr>
          <w:rFonts w:ascii="Arial" w:hAnsi="Arial" w:cs="Arial"/>
          <w:sz w:val="20"/>
          <w:szCs w:val="20"/>
        </w:rPr>
        <w:t xml:space="preserve"> At</w:t>
      </w:r>
      <w:r w:rsidR="00D97AC5">
        <w:rPr>
          <w:rFonts w:ascii="Arial" w:hAnsi="Arial" w:cs="Arial"/>
          <w:sz w:val="20"/>
          <w:szCs w:val="20"/>
        </w:rPr>
        <w:t> </w:t>
      </w:r>
      <w:r w:rsidRPr="00C84356">
        <w:rPr>
          <w:rFonts w:ascii="Arial" w:hAnsi="Arial" w:cs="Arial"/>
          <w:sz w:val="20"/>
          <w:szCs w:val="20"/>
        </w:rPr>
        <w:t>[63]</w:t>
      </w:r>
      <w:r w:rsidR="00D97AC5">
        <w:rPr>
          <w:rFonts w:ascii="Arial" w:hAnsi="Arial" w:cs="Arial"/>
          <w:sz w:val="20"/>
          <w:szCs w:val="20"/>
        </w:rPr>
        <w:noBreakHyphen/>
      </w:r>
      <w:r w:rsidRPr="00C84356">
        <w:rPr>
          <w:rFonts w:ascii="Arial" w:hAnsi="Arial" w:cs="Arial"/>
          <w:sz w:val="20"/>
          <w:szCs w:val="20"/>
        </w:rPr>
        <w:t>[66] Priest, McLeish &amp; Orr JJA said [emphasis added]:</w:t>
      </w:r>
    </w:p>
    <w:p w14:paraId="3489B982" w14:textId="77777777" w:rsidR="00C84356" w:rsidRPr="00C84356" w:rsidRDefault="00C84356" w:rsidP="00440E22">
      <w:pPr>
        <w:spacing w:before="120"/>
        <w:ind w:left="454" w:right="454"/>
        <w:jc w:val="both"/>
        <w:rPr>
          <w:rFonts w:ascii="Arial" w:hAnsi="Arial" w:cs="Arial"/>
          <w:sz w:val="20"/>
          <w:szCs w:val="20"/>
        </w:rPr>
      </w:pPr>
      <w:r w:rsidRPr="00C84356">
        <w:rPr>
          <w:rFonts w:ascii="Arial" w:hAnsi="Arial" w:cs="Arial"/>
          <w:sz w:val="20"/>
          <w:szCs w:val="20"/>
        </w:rPr>
        <w:lastRenderedPageBreak/>
        <w:t xml:space="preserve">[63] “The </w:t>
      </w:r>
      <w:r w:rsidRPr="00C84356">
        <w:rPr>
          <w:rFonts w:ascii="Arial" w:hAnsi="Arial" w:cs="Arial"/>
          <w:b/>
          <w:bCs/>
          <w:sz w:val="20"/>
          <w:szCs w:val="20"/>
        </w:rPr>
        <w:t>base station evidence</w:t>
      </w:r>
      <w:r w:rsidRPr="00C84356">
        <w:rPr>
          <w:rFonts w:ascii="Arial" w:hAnsi="Arial" w:cs="Arial"/>
          <w:sz w:val="20"/>
          <w:szCs w:val="20"/>
        </w:rPr>
        <w:t xml:space="preserve"> is a piece of circumstantial evidence that bears on the probability that the applicant was one of the offenders who perpetrated the burglaries and the associated offences. When considered together with the other circumstantial evidence on which the prosecution relies, including </w:t>
      </w:r>
      <w:r w:rsidRPr="00C84356">
        <w:rPr>
          <w:rFonts w:ascii="Arial" w:hAnsi="Arial" w:cs="Arial"/>
          <w:b/>
          <w:bCs/>
          <w:sz w:val="20"/>
          <w:szCs w:val="20"/>
        </w:rPr>
        <w:t>the EBM data</w:t>
      </w:r>
      <w:r w:rsidRPr="00C84356">
        <w:rPr>
          <w:rFonts w:ascii="Arial" w:hAnsi="Arial" w:cs="Arial"/>
          <w:sz w:val="20"/>
          <w:szCs w:val="20"/>
        </w:rPr>
        <w:t xml:space="preserve">, the </w:t>
      </w:r>
      <w:r w:rsidRPr="00C84356">
        <w:rPr>
          <w:rFonts w:ascii="Arial" w:hAnsi="Arial" w:cs="Arial"/>
          <w:b/>
          <w:bCs/>
          <w:sz w:val="20"/>
          <w:szCs w:val="20"/>
        </w:rPr>
        <w:t>base station evidence</w:t>
      </w:r>
      <w:r w:rsidRPr="00C84356">
        <w:rPr>
          <w:rFonts w:ascii="Arial" w:hAnsi="Arial" w:cs="Arial"/>
          <w:sz w:val="20"/>
          <w:szCs w:val="20"/>
        </w:rPr>
        <w:t xml:space="preserve"> has considerable probative value. While it does not establish the precise location of the applicant’s phone at any particular point in time, when read together with </w:t>
      </w:r>
      <w:r w:rsidRPr="00C84356">
        <w:rPr>
          <w:rFonts w:ascii="Arial" w:hAnsi="Arial" w:cs="Arial"/>
          <w:b/>
          <w:bCs/>
          <w:sz w:val="20"/>
          <w:szCs w:val="20"/>
        </w:rPr>
        <w:t>the EBM data</w:t>
      </w:r>
      <w:r w:rsidRPr="00C84356">
        <w:rPr>
          <w:rFonts w:ascii="Arial" w:hAnsi="Arial" w:cs="Arial"/>
          <w:sz w:val="20"/>
          <w:szCs w:val="20"/>
        </w:rPr>
        <w:t>, it demonstrates that the applicant was located in the vicinity of particular base stations that are proximate to the sites of the burglaries and the arson at or around the times of the alleged offending.</w:t>
      </w:r>
    </w:p>
    <w:p w14:paraId="229E8E30"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[64] As the respondent accepted, both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Pr="00C84356">
        <w:rPr>
          <w:rFonts w:ascii="Arial" w:hAnsi="Arial" w:cs="Arial"/>
          <w:sz w:val="20"/>
          <w:szCs w:val="20"/>
        </w:rPr>
        <w:t xml:space="preserve"> — which brings </w:t>
      </w:r>
      <w:r w:rsidRPr="00C84356">
        <w:rPr>
          <w:rFonts w:ascii="Arial" w:hAnsi="Arial" w:cs="Arial"/>
          <w:b/>
          <w:bCs/>
          <w:sz w:val="20"/>
          <w:szCs w:val="20"/>
        </w:rPr>
        <w:t>the base station evidence</w:t>
      </w:r>
      <w:r w:rsidRPr="00C84356">
        <w:rPr>
          <w:rFonts w:ascii="Arial" w:hAnsi="Arial" w:cs="Arial"/>
          <w:sz w:val="20"/>
          <w:szCs w:val="20"/>
        </w:rPr>
        <w:t xml:space="preserve"> together with </w:t>
      </w:r>
      <w:r w:rsidRPr="00C84356">
        <w:rPr>
          <w:rFonts w:ascii="Arial" w:hAnsi="Arial" w:cs="Arial"/>
          <w:b/>
          <w:bCs/>
          <w:sz w:val="20"/>
          <w:szCs w:val="20"/>
        </w:rPr>
        <w:t>the EBM data</w:t>
      </w:r>
      <w:r w:rsidRPr="00C84356">
        <w:rPr>
          <w:rFonts w:ascii="Arial" w:hAnsi="Arial" w:cs="Arial"/>
          <w:sz w:val="20"/>
          <w:szCs w:val="20"/>
        </w:rPr>
        <w:t xml:space="preserve"> — are the result of a selective process. They are both premised on the choice the informant has made to focus on particular data points extracted from the much larger set of data points contained in </w:t>
      </w:r>
      <w:r w:rsidRPr="00C84356">
        <w:rPr>
          <w:rFonts w:ascii="Arial" w:hAnsi="Arial" w:cs="Arial"/>
          <w:b/>
          <w:bCs/>
          <w:sz w:val="20"/>
          <w:szCs w:val="20"/>
        </w:rPr>
        <w:t>the raw EBM data</w:t>
      </w:r>
      <w:r w:rsidRPr="00C84356">
        <w:rPr>
          <w:rFonts w:ascii="Arial" w:hAnsi="Arial" w:cs="Arial"/>
          <w:sz w:val="20"/>
          <w:szCs w:val="20"/>
        </w:rPr>
        <w:t xml:space="preserve">. In that sense, it is true that the reference table does not ‘tell the full story’ of all the base stations with which the applicant’s phone connected during and around the times of the burglaries and the arson and, therefore, of his likely location at these times. However, if the jury is also provided with a fair representation of </w:t>
      </w:r>
      <w:r w:rsidRPr="00C84356">
        <w:rPr>
          <w:rFonts w:ascii="Arial" w:hAnsi="Arial" w:cs="Arial"/>
          <w:b/>
          <w:bCs/>
          <w:sz w:val="20"/>
          <w:szCs w:val="20"/>
        </w:rPr>
        <w:t>the broader EBM data</w:t>
      </w:r>
      <w:r w:rsidRPr="00C84356">
        <w:rPr>
          <w:rFonts w:ascii="Arial" w:hAnsi="Arial" w:cs="Arial"/>
          <w:sz w:val="20"/>
          <w:szCs w:val="20"/>
        </w:rPr>
        <w:t xml:space="preserve"> during those periods, as the respondent indicates will occur, this will ameliorate any risk that the jury will be confused or misled into thinking that the reference table constitutes a comprehensive depiction of the base stations with which the applicant’s phone connected at the relevant times.</w:t>
      </w:r>
    </w:p>
    <w:p w14:paraId="37C198BC"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[65] Further, we are satisfied that the limitations of </w:t>
      </w:r>
      <w:r w:rsidRPr="00C84356">
        <w:rPr>
          <w:rFonts w:ascii="Arial" w:hAnsi="Arial" w:cs="Arial"/>
          <w:b/>
          <w:bCs/>
          <w:sz w:val="20"/>
          <w:szCs w:val="20"/>
        </w:rPr>
        <w:t>the reference table</w:t>
      </w:r>
      <w:r w:rsidRPr="00C84356">
        <w:rPr>
          <w:rFonts w:ascii="Arial" w:hAnsi="Arial" w:cs="Arial"/>
          <w:sz w:val="20"/>
          <w:szCs w:val="20"/>
        </w:rPr>
        <w:t xml:space="preserve"> and </w:t>
      </w:r>
      <w:r w:rsidRPr="00C84356">
        <w:rPr>
          <w:rFonts w:ascii="Arial" w:hAnsi="Arial" w:cs="Arial"/>
          <w:b/>
          <w:bCs/>
          <w:sz w:val="20"/>
          <w:szCs w:val="20"/>
        </w:rPr>
        <w:t>the base station evidence</w:t>
      </w:r>
      <w:r w:rsidRPr="00C84356">
        <w:rPr>
          <w:rFonts w:ascii="Arial" w:hAnsi="Arial" w:cs="Arial"/>
          <w:sz w:val="20"/>
          <w:szCs w:val="20"/>
        </w:rPr>
        <w:t xml:space="preserve"> are capable of being exposed in cross-examination, just as they were at the pre-trial hearing. The soundness of the informant’s decision to request analysis of only one base station for the majority of the burglaries (and two base stations for one of the burglaries) can be interrogated, as can the soundness of the process by which he selected each of those base stations. Equipped with </w:t>
      </w:r>
      <w:r w:rsidRPr="00C84356">
        <w:rPr>
          <w:rFonts w:ascii="Arial" w:hAnsi="Arial" w:cs="Arial"/>
          <w:b/>
          <w:bCs/>
          <w:sz w:val="20"/>
          <w:szCs w:val="20"/>
        </w:rPr>
        <w:t>the EBM data</w:t>
      </w:r>
      <w:r w:rsidRPr="00C84356">
        <w:rPr>
          <w:rFonts w:ascii="Arial" w:hAnsi="Arial" w:cs="Arial"/>
          <w:sz w:val="20"/>
          <w:szCs w:val="20"/>
        </w:rPr>
        <w:t>, the applicant’s counsel can draw attention to any of the base stations with which the applicant’s phone connected that are further removed from the locations of the burglaries. Counsel can also draw attention to any connections that otherwise appear anomalous, such as the connection with the Brighton Central base station around the time of the burglary in Point Cook. We are not persuaded that the applicant’s inability to produce ‘competing’ maps that depict arrows potentially pointing in different directions will occasion any material prejudice. As the judge explained, this evidence is not complex, and a jury will be well able to understand the limitations that flow from the informant’s selection of only certain data points for base station analysis.</w:t>
      </w:r>
    </w:p>
    <w:p w14:paraId="190D4136"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[66] As this Court said in </w:t>
      </w:r>
      <w:r w:rsidRPr="00C84356">
        <w:rPr>
          <w:rFonts w:ascii="Arial" w:hAnsi="Arial" w:cs="Arial"/>
          <w:i/>
          <w:iCs/>
          <w:sz w:val="20"/>
          <w:szCs w:val="20"/>
        </w:rPr>
        <w:t>Moreno (a pseudonym) v The King</w:t>
      </w:r>
      <w:r w:rsidRPr="00C84356">
        <w:rPr>
          <w:rFonts w:ascii="Arial" w:hAnsi="Arial" w:cs="Arial"/>
          <w:sz w:val="20"/>
          <w:szCs w:val="20"/>
        </w:rPr>
        <w:t xml:space="preserve"> [2023] VSCA 98 at [96]:</w:t>
      </w:r>
    </w:p>
    <w:p w14:paraId="2C8B7116" w14:textId="77777777" w:rsidR="00C84356" w:rsidRPr="00C84356" w:rsidRDefault="00C84356" w:rsidP="00C84356">
      <w:pPr>
        <w:spacing w:before="120"/>
        <w:ind w:left="907" w:right="907"/>
        <w:jc w:val="both"/>
        <w:rPr>
          <w:rFonts w:ascii="Arial" w:hAnsi="Arial" w:cs="Arial"/>
          <w:sz w:val="18"/>
          <w:szCs w:val="18"/>
        </w:rPr>
      </w:pPr>
      <w:r w:rsidRPr="00C84356">
        <w:rPr>
          <w:rFonts w:ascii="Arial" w:hAnsi="Arial" w:cs="Arial"/>
          <w:sz w:val="18"/>
          <w:szCs w:val="18"/>
        </w:rPr>
        <w:t>‘Where the flaws in the evidence will be obvious to the jury or can clearly be identified by the judge then they are unlikely to give rise to any significant prejudice and such prejudice as may exist will be capable of being addressed by direction.’”</w:t>
      </w:r>
    </w:p>
    <w:p w14:paraId="710AEDD3" w14:textId="77777777" w:rsidR="00C84356" w:rsidRDefault="00C84356" w:rsidP="00C84356">
      <w:pPr>
        <w:jc w:val="both"/>
        <w:rPr>
          <w:rFonts w:ascii="Arial" w:hAnsi="Arial" w:cs="Arial"/>
          <w:color w:val="000000"/>
          <w:sz w:val="20"/>
        </w:rPr>
      </w:pPr>
    </w:p>
    <w:p w14:paraId="3357260E" w14:textId="688DFC2F" w:rsidR="0099378C" w:rsidRDefault="0099378C" w:rsidP="00C84356">
      <w:pPr>
        <w:jc w:val="both"/>
        <w:rPr>
          <w:rFonts w:ascii="Arial" w:hAnsi="Arial" w:cs="Arial"/>
          <w:color w:val="000000"/>
          <w:sz w:val="20"/>
        </w:rPr>
      </w:pPr>
      <w:r w:rsidRPr="0099378C">
        <w:rPr>
          <w:rFonts w:ascii="Arial" w:hAnsi="Arial" w:cs="Arial"/>
          <w:sz w:val="20"/>
        </w:rPr>
        <w:t xml:space="preserve">In </w:t>
      </w:r>
      <w:r w:rsidRPr="00B853D7">
        <w:rPr>
          <w:rFonts w:ascii="Arial" w:hAnsi="Arial" w:cs="Arial"/>
          <w:i/>
          <w:iCs/>
          <w:sz w:val="20"/>
        </w:rPr>
        <w:t xml:space="preserve">R v Patterson (Ruling </w:t>
      </w:r>
      <w:r>
        <w:rPr>
          <w:rFonts w:ascii="Arial" w:hAnsi="Arial" w:cs="Arial"/>
          <w:i/>
          <w:iCs/>
          <w:sz w:val="20"/>
        </w:rPr>
        <w:t>2</w:t>
      </w:r>
      <w:r w:rsidRPr="00B853D7">
        <w:rPr>
          <w:rFonts w:ascii="Arial" w:hAnsi="Arial" w:cs="Arial"/>
          <w:i/>
          <w:iCs/>
          <w:sz w:val="20"/>
        </w:rPr>
        <w:t>)</w:t>
      </w:r>
      <w:r>
        <w:rPr>
          <w:rFonts w:ascii="Arial" w:hAnsi="Arial" w:cs="Arial"/>
          <w:sz w:val="20"/>
        </w:rPr>
        <w:t xml:space="preserve"> [2025] VSC 103 the accused had submitted that cell tower evidence intended to be led from Dr Sorrell by the prosecution </w:t>
      </w:r>
      <w:r w:rsidRPr="0099378C">
        <w:rPr>
          <w:rFonts w:ascii="Arial" w:hAnsi="Arial" w:cs="Arial"/>
          <w:sz w:val="20"/>
        </w:rPr>
        <w:t>was irrelevant (s 55, 56)</w:t>
      </w:r>
      <w:r>
        <w:rPr>
          <w:rFonts w:ascii="Arial" w:hAnsi="Arial" w:cs="Arial"/>
          <w:sz w:val="20"/>
        </w:rPr>
        <w:t xml:space="preserve">, alternatively </w:t>
      </w:r>
      <w:r w:rsidRPr="0099378C">
        <w:rPr>
          <w:rFonts w:ascii="Arial" w:hAnsi="Arial" w:cs="Arial"/>
          <w:sz w:val="20"/>
        </w:rPr>
        <w:t>that the probative value of the evidence was outweighed by the danger of unfair prejudice (s 137).</w:t>
      </w:r>
      <w:r>
        <w:rPr>
          <w:rFonts w:ascii="Arial" w:hAnsi="Arial" w:cs="Arial"/>
          <w:sz w:val="20"/>
        </w:rPr>
        <w:t xml:space="preserve"> In ruling that the evidence was admissible, Beale J said at [19]:</w:t>
      </w:r>
    </w:p>
    <w:p w14:paraId="285ABB19" w14:textId="2B0A65A5" w:rsidR="0099378C" w:rsidRPr="00C84356" w:rsidRDefault="0099378C" w:rsidP="0099378C">
      <w:pPr>
        <w:spacing w:before="60"/>
        <w:ind w:left="454" w:right="454"/>
        <w:jc w:val="both"/>
        <w:rPr>
          <w:rFonts w:ascii="Arial" w:hAnsi="Arial" w:cs="Arial"/>
          <w:sz w:val="20"/>
          <w:szCs w:val="20"/>
        </w:rPr>
      </w:pPr>
      <w:r>
        <w:rPr>
          <w:rFonts w:ascii="Arial" w:hAnsi="Arial" w:cs="Arial"/>
          <w:sz w:val="20"/>
          <w:szCs w:val="20"/>
        </w:rPr>
        <w:t>“</w:t>
      </w:r>
      <w:r w:rsidRPr="0099378C">
        <w:rPr>
          <w:rFonts w:ascii="Arial" w:hAnsi="Arial" w:cs="Arial"/>
          <w:color w:val="000000"/>
          <w:sz w:val="20"/>
        </w:rPr>
        <w:t>The impugned evidence does not prove that the accused visited Loch and Outtrim on the dates alleged: it rises no higher than the accused possibly visited those towns on those dates. But it is evidence of opportunity for the accused to have deliberately sourced death cap mushrooms for the fatal lunch at a time proximate to the lunch. As such it increases the probabilities of the accused having deliberately poisoned her lunch guests. A jury could reasonably reject the accused’s claim that she unwittingly sourced death cap mushrooms from an Asian grocery, given the extensive investigations by the Health Department and the non-reporting of other death cap mushrooms deaths or illnesses at the relevant time. The limitations of Dr Sorrell’s evidence are clearly articulated and easily understood. As such, it is unlikely that the jury will overvalue the evidence. Whilst the evidence is of modest probative value, I am not persuaded that its probative value is outweighed by the danger of unfair prejudice to the accused.</w:t>
      </w:r>
      <w:r>
        <w:rPr>
          <w:rFonts w:ascii="Arial" w:hAnsi="Arial" w:cs="Arial"/>
          <w:color w:val="000000"/>
          <w:sz w:val="20"/>
        </w:rPr>
        <w:t>”</w:t>
      </w:r>
    </w:p>
    <w:p w14:paraId="244AC0B5" w14:textId="77777777" w:rsidR="0099378C" w:rsidRDefault="0099378C" w:rsidP="00C84356">
      <w:pPr>
        <w:jc w:val="both"/>
        <w:rPr>
          <w:rFonts w:ascii="Arial" w:hAnsi="Arial" w:cs="Arial"/>
          <w:color w:val="000000"/>
          <w:sz w:val="20"/>
        </w:rPr>
      </w:pPr>
    </w:p>
    <w:p w14:paraId="1D37BA1D" w14:textId="1247D64A" w:rsidR="007A64B3" w:rsidRDefault="0086609B" w:rsidP="00F9358C">
      <w:pPr>
        <w:jc w:val="both"/>
        <w:rPr>
          <w:rFonts w:ascii="Arial" w:hAnsi="Arial" w:cs="Arial"/>
          <w:color w:val="000000"/>
          <w:sz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00C51A4B" w:rsidRPr="00C51A4B">
        <w:rPr>
          <w:rFonts w:ascii="Arial" w:hAnsi="Arial" w:cs="Arial"/>
          <w:i/>
          <w:iCs/>
          <w:color w:val="000000"/>
          <w:sz w:val="20"/>
          <w:szCs w:val="20"/>
        </w:rPr>
        <w:t>R v Crupi (Ruling No 3)</w:t>
      </w:r>
      <w:r w:rsidR="00C51A4B">
        <w:rPr>
          <w:rFonts w:ascii="Arial" w:hAnsi="Arial" w:cs="Arial"/>
          <w:color w:val="000000"/>
          <w:sz w:val="20"/>
          <w:szCs w:val="20"/>
        </w:rPr>
        <w:t xml:space="preserve"> [2020] VSC 783</w:t>
      </w:r>
      <w:r w:rsidR="00D43114">
        <w:rPr>
          <w:rFonts w:ascii="Arial" w:hAnsi="Arial" w:cs="Arial"/>
          <w:color w:val="000000"/>
          <w:sz w:val="20"/>
          <w:szCs w:val="20"/>
        </w:rPr>
        <w:t xml:space="preserve"> [summarised in </w:t>
      </w:r>
      <w:r w:rsidR="00D43114" w:rsidRPr="00D43114">
        <w:rPr>
          <w:rFonts w:ascii="Arial" w:hAnsi="Arial" w:cs="Arial"/>
          <w:b/>
          <w:bCs/>
          <w:color w:val="000000"/>
          <w:sz w:val="20"/>
          <w:szCs w:val="20"/>
          <w:shd w:val="clear" w:color="auto" w:fill="C5E0B3" w:themeFill="accent6" w:themeFillTint="66"/>
        </w:rPr>
        <w:t>section 10.</w:t>
      </w:r>
      <w:r w:rsidR="00BC1CA8">
        <w:rPr>
          <w:rFonts w:ascii="Arial" w:hAnsi="Arial" w:cs="Arial"/>
          <w:b/>
          <w:bCs/>
          <w:color w:val="000000"/>
          <w:sz w:val="20"/>
          <w:szCs w:val="20"/>
          <w:shd w:val="clear" w:color="auto" w:fill="C5E0B3" w:themeFill="accent6" w:themeFillTint="66"/>
        </w:rPr>
        <w:t>3.3.5</w:t>
      </w:r>
      <w:r w:rsidR="00BC1CA8" w:rsidRPr="00FB585A">
        <w:rPr>
          <w:rFonts w:ascii="Arial" w:hAnsi="Arial" w:cs="Arial"/>
          <w:b/>
          <w:color w:val="FFFFFF" w:themeColor="background1"/>
          <w:sz w:val="20"/>
          <w:szCs w:val="22"/>
          <w:shd w:val="clear" w:color="auto" w:fill="000000"/>
        </w:rPr>
        <w:t>C</w:t>
      </w:r>
      <w:r w:rsidR="00D43114">
        <w:rPr>
          <w:rFonts w:ascii="Arial" w:hAnsi="Arial" w:cs="Arial"/>
          <w:color w:val="000000"/>
          <w:sz w:val="20"/>
          <w:szCs w:val="20"/>
        </w:rPr>
        <w:t>]</w:t>
      </w:r>
      <w:r w:rsidR="00C51A4B">
        <w:rPr>
          <w:rFonts w:ascii="Arial" w:hAnsi="Arial" w:cs="Arial"/>
          <w:color w:val="000000"/>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r w:rsidR="00886CA7">
        <w:rPr>
          <w:rFonts w:ascii="Arial" w:hAnsi="Arial" w:cs="Arial"/>
          <w:color w:val="000000"/>
          <w:sz w:val="20"/>
          <w:szCs w:val="20"/>
        </w:rPr>
        <w:t xml:space="preserve">; </w:t>
      </w:r>
      <w:r w:rsidR="00886CA7" w:rsidRPr="00886CA7">
        <w:rPr>
          <w:rFonts w:ascii="Arial" w:hAnsi="Arial" w:cs="Arial"/>
          <w:i/>
          <w:iCs/>
          <w:color w:val="000000"/>
          <w:sz w:val="20"/>
          <w:szCs w:val="20"/>
        </w:rPr>
        <w:t>DPP v KT (Ruling 1)</w:t>
      </w:r>
      <w:r w:rsidR="00886CA7" w:rsidRPr="00886CA7">
        <w:rPr>
          <w:rFonts w:ascii="Arial" w:hAnsi="Arial" w:cs="Arial"/>
          <w:color w:val="000000"/>
          <w:sz w:val="20"/>
          <w:szCs w:val="20"/>
        </w:rPr>
        <w:t xml:space="preserve"> </w:t>
      </w:r>
      <w:r w:rsidR="00886CA7">
        <w:rPr>
          <w:rFonts w:ascii="Arial" w:hAnsi="Arial" w:cs="Arial"/>
          <w:color w:val="000000"/>
          <w:sz w:val="20"/>
          <w:szCs w:val="20"/>
        </w:rPr>
        <w:t>[2025] VSC 397</w:t>
      </w:r>
      <w:r w:rsidR="00964619">
        <w:rPr>
          <w:rFonts w:ascii="Arial" w:hAnsi="Arial" w:cs="Arial"/>
          <w:color w:val="000000"/>
          <w:sz w:val="20"/>
          <w:szCs w:val="20"/>
        </w:rPr>
        <w:t xml:space="preserve">; </w:t>
      </w:r>
      <w:r w:rsidR="00964619" w:rsidRPr="00964619">
        <w:rPr>
          <w:rFonts w:ascii="Arial" w:hAnsi="Arial" w:cs="Arial"/>
          <w:i/>
          <w:iCs/>
          <w:color w:val="000000"/>
          <w:sz w:val="20"/>
        </w:rPr>
        <w:t>Director of Public Prosecutions v Young (No 4)</w:t>
      </w:r>
      <w:r w:rsidR="00964619" w:rsidRPr="00964619">
        <w:rPr>
          <w:rFonts w:ascii="Arial" w:hAnsi="Arial" w:cs="Arial"/>
          <w:color w:val="000000"/>
          <w:sz w:val="20"/>
        </w:rPr>
        <w:t xml:space="preserve"> [2025] VSC 424</w:t>
      </w:r>
      <w:r w:rsidR="0040503D">
        <w:rPr>
          <w:rFonts w:ascii="Arial" w:hAnsi="Arial" w:cs="Arial"/>
          <w:sz w:val="20"/>
        </w:rPr>
        <w:t>.</w:t>
      </w:r>
    </w:p>
    <w:p w14:paraId="4FF5FE39" w14:textId="77777777" w:rsidR="00964619" w:rsidRDefault="00964619"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lastRenderedPageBreak/>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85" w:name="_3.5.3.3_Admissibility_of"/>
      <w:bookmarkStart w:id="586" w:name="B3533"/>
      <w:bookmarkEnd w:id="585"/>
      <w:bookmarkEnd w:id="586"/>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49DC2049"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Family Division.  However, s.8 of that Act provides</w:t>
      </w:r>
      <w:r w:rsidR="00DD0DA0" w:rsidRPr="00A31FFA">
        <w:rPr>
          <w:rFonts w:ascii="Arial" w:hAnsi="Arial" w:cs="Arial"/>
          <w:sz w:val="20"/>
        </w:rPr>
        <w:t>–</w:t>
      </w:r>
      <w:r>
        <w:rPr>
          <w:rFonts w:ascii="Arial" w:hAnsi="Arial" w:cs="Arial"/>
          <w:sz w:val="20"/>
        </w:rPr>
        <w:t xml:space="preserve">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5EB9BFDD" w:rsidR="00A4066A" w:rsidRDefault="00A4066A" w:rsidP="00A10E05">
      <w:pPr>
        <w:jc w:val="both"/>
        <w:rPr>
          <w:rFonts w:ascii="Arial" w:hAnsi="Arial" w:cs="Arial"/>
          <w:bCs/>
          <w:sz w:val="20"/>
        </w:rPr>
      </w:pPr>
      <w:r>
        <w:rPr>
          <w:rFonts w:ascii="Arial" w:hAnsi="Arial" w:cs="Arial"/>
          <w:bCs/>
          <w:sz w:val="20"/>
        </w:rPr>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sidR="00DD0DA0">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5484FD39"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r w:rsidR="00DD0DA0" w:rsidRPr="00A31FFA">
        <w:rPr>
          <w:rFonts w:ascii="Arial" w:hAnsi="Arial" w:cs="Arial"/>
          <w:sz w:val="20"/>
        </w:rPr>
        <w:t>–</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one of his children] in [X] shopping center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place">
        <w:smartTag w:uri="urn:schemas-microsoft-com:office:smarttags" w:element="City">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r w:rsidRPr="00544F20">
        <w:rPr>
          <w:rFonts w:ascii="Arial" w:hAnsi="Arial" w:cs="Arial"/>
          <w:i/>
          <w:sz w:val="20"/>
        </w:rPr>
        <w:t xml:space="preserve">Wajnberg v Raynor and </w:t>
      </w:r>
      <w:smartTag w:uri="urn:schemas-microsoft-com:office:smarttags" w:element="place">
        <w:smartTag w:uri="urn:schemas-microsoft-com:office:smarttags" w:element="City">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87" w:name="_3.5.3.4_The_hearsay"/>
      <w:bookmarkEnd w:id="587"/>
      <w:r>
        <w:rPr>
          <w:rFonts w:ascii="Arial" w:hAnsi="Arial" w:cs="Arial"/>
          <w:b/>
          <w:bCs/>
          <w:color w:val="000000"/>
          <w:sz w:val="20"/>
        </w:rPr>
        <w:lastRenderedPageBreak/>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28DF8972"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r w:rsidR="00116196">
        <w:rPr>
          <w:rFonts w:ascii="Arial" w:hAnsi="Arial" w:cs="Arial"/>
          <w:sz w:val="20"/>
          <w:szCs w:val="20"/>
        </w:rPr>
        <w:t xml:space="preserve">; </w:t>
      </w:r>
      <w:r w:rsidR="00116196" w:rsidRPr="00C84356">
        <w:rPr>
          <w:rFonts w:ascii="Arial" w:hAnsi="Arial" w:cs="Arial"/>
          <w:i/>
          <w:iCs/>
          <w:sz w:val="20"/>
          <w:szCs w:val="20"/>
        </w:rPr>
        <w:t>Wagner (a pseudonym) v The King</w:t>
      </w:r>
      <w:r w:rsidR="00116196" w:rsidRPr="00C84356">
        <w:rPr>
          <w:rFonts w:ascii="Arial" w:hAnsi="Arial" w:cs="Arial"/>
          <w:sz w:val="20"/>
          <w:szCs w:val="20"/>
        </w:rPr>
        <w:t xml:space="preserve"> [2025] VSCA 56</w:t>
      </w:r>
      <w:r w:rsidR="00116196">
        <w:rPr>
          <w:rFonts w:ascii="Arial" w:hAnsi="Arial" w:cs="Arial"/>
          <w:sz w:val="20"/>
          <w:szCs w:val="20"/>
        </w:rPr>
        <w:t xml:space="preserve"> at [6], [9]-[10] &amp; [68];</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C4C0D08"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r w:rsidR="00DD0DA0" w:rsidRPr="00A31FFA">
        <w:rPr>
          <w:rFonts w:ascii="Arial" w:hAnsi="Arial" w:cs="Arial"/>
          <w:sz w:val="20"/>
        </w:rPr>
        <w:t>–</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669CF3A6"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r w:rsidR="00DD0DA0" w:rsidRPr="00A31FFA">
        <w:rPr>
          <w:rFonts w:ascii="Arial" w:hAnsi="Arial" w:cs="Arial"/>
          <w:sz w:val="20"/>
        </w:rPr>
        <w:t>–</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19D49277"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Sajanesh Easwaralingham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r w:rsidR="00B853D7">
        <w:rPr>
          <w:rFonts w:ascii="Arial" w:hAnsi="Arial" w:cs="Arial"/>
          <w:sz w:val="20"/>
        </w:rPr>
        <w:t xml:space="preserve">; </w:t>
      </w:r>
      <w:r w:rsidR="00B853D7" w:rsidRPr="00B853D7">
        <w:rPr>
          <w:rFonts w:ascii="Arial" w:hAnsi="Arial" w:cs="Arial"/>
          <w:i/>
          <w:iCs/>
          <w:sz w:val="20"/>
        </w:rPr>
        <w:t>R v Patterson (Ruling 5)</w:t>
      </w:r>
      <w:r w:rsidR="00B853D7">
        <w:rPr>
          <w:rFonts w:ascii="Arial" w:hAnsi="Arial" w:cs="Arial"/>
          <w:sz w:val="20"/>
        </w:rPr>
        <w:t xml:space="preserve"> [2025] VSC 106</w:t>
      </w:r>
      <w:r w:rsidR="003E4759">
        <w:rPr>
          <w:rFonts w:ascii="Arial" w:hAnsi="Arial" w:cs="Arial"/>
          <w:sz w:val="20"/>
        </w:rPr>
        <w:t>.</w:t>
      </w:r>
    </w:p>
    <w:p w14:paraId="2FC275AF" w14:textId="77777777" w:rsidR="00D14C7D" w:rsidRDefault="00D14C7D" w:rsidP="00241128">
      <w:pPr>
        <w:jc w:val="both"/>
        <w:rPr>
          <w:rFonts w:ascii="Arial" w:hAnsi="Arial" w:cs="Arial"/>
          <w:color w:val="000000"/>
          <w:sz w:val="20"/>
        </w:rPr>
      </w:pPr>
    </w:p>
    <w:p w14:paraId="15ACBC1E" w14:textId="4FD0D0EE" w:rsidR="00123639" w:rsidRPr="00164487" w:rsidRDefault="00123639" w:rsidP="00123639">
      <w:pPr>
        <w:jc w:val="both"/>
        <w:rPr>
          <w:rFonts w:ascii="Arial" w:hAnsi="Arial" w:cs="Arial"/>
          <w:color w:val="000000"/>
          <w:sz w:val="20"/>
        </w:rPr>
      </w:pPr>
      <w:r>
        <w:rPr>
          <w:rFonts w:ascii="Arial" w:hAnsi="Arial" w:cs="Arial"/>
          <w:color w:val="000000"/>
          <w:sz w:val="20"/>
        </w:rPr>
        <w:lastRenderedPageBreak/>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r w:rsidR="00DD0DA0" w:rsidRPr="00A31FFA">
        <w:rPr>
          <w:rFonts w:ascii="Arial" w:hAnsi="Arial" w:cs="Arial"/>
          <w:sz w:val="20"/>
        </w:rPr>
        <w:t>–</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35E767B8"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r w:rsidR="00DD0DA0" w:rsidRPr="00A31FFA">
        <w:rPr>
          <w:rFonts w:ascii="Arial" w:hAnsi="Arial" w:cs="Arial"/>
          <w:sz w:val="20"/>
        </w:rPr>
        <w:t>–</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58A6C82A" w14:textId="77777777" w:rsidR="007B51A0" w:rsidRDefault="007B51A0" w:rsidP="007B51A0">
      <w:pPr>
        <w:jc w:val="both"/>
        <w:rPr>
          <w:rFonts w:ascii="Arial" w:hAnsi="Arial" w:cs="Arial"/>
          <w:sz w:val="20"/>
        </w:rPr>
      </w:pPr>
    </w:p>
    <w:p w14:paraId="157ADE9A" w14:textId="76170328" w:rsidR="000F2CE5" w:rsidRPr="009F25D4" w:rsidRDefault="000F2CE5" w:rsidP="000F2CE5">
      <w:pPr>
        <w:pStyle w:val="Heading3"/>
        <w:keepNext/>
        <w:spacing w:line="240" w:lineRule="auto"/>
        <w:rPr>
          <w:rFonts w:ascii="Arial" w:hAnsi="Arial" w:cs="Arial"/>
          <w:b/>
          <w:bCs/>
          <w:color w:val="000000"/>
          <w:sz w:val="20"/>
        </w:rPr>
      </w:pPr>
      <w:bookmarkStart w:id="588" w:name="_3.5.3.5_Expert_evidence"/>
      <w:bookmarkEnd w:id="588"/>
      <w:r w:rsidRPr="008C3BC8">
        <w:rPr>
          <w:rFonts w:ascii="Arial" w:hAnsi="Arial" w:cs="Arial"/>
          <w:b/>
          <w:bCs/>
          <w:color w:val="000000"/>
          <w:sz w:val="20"/>
        </w:rPr>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r w:rsidR="00346B40">
        <w:rPr>
          <w:rFonts w:ascii="Arial" w:hAnsi="Arial" w:cs="Arial"/>
          <w:b/>
          <w:color w:val="000000"/>
          <w:sz w:val="20"/>
        </w:rPr>
        <w:t>/Opinion evidence</w:t>
      </w:r>
    </w:p>
    <w:p w14:paraId="06B64D8D" w14:textId="2435BC8F"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Heydon JA; </w:t>
      </w:r>
      <w:r w:rsidRPr="00495449">
        <w:rPr>
          <w:rFonts w:ascii="Arial" w:hAnsi="Arial" w:cs="Arial"/>
          <w:bCs/>
          <w:i/>
          <w:sz w:val="20"/>
        </w:rPr>
        <w:t xml:space="preserve">Ocean Marine Mutual v Jetopay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Mackie &amp; Staff Pty Ltd v Glengollan Village for Aged People</w:t>
      </w:r>
      <w:r>
        <w:rPr>
          <w:rFonts w:ascii="Arial" w:hAnsi="Arial" w:cs="Arial"/>
          <w:bCs/>
          <w:sz w:val="20"/>
        </w:rPr>
        <w:t xml:space="preserve"> [2007] VSC 201 at [11]-[14] &amp; [30] per Habersberger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16196">
            <w:pPr>
              <w:keepNext/>
              <w:keepLines/>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lastRenderedPageBreak/>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lastRenderedPageBreak/>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F161C2">
      <w:pPr>
        <w:keepNext/>
        <w:keepLines/>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Jagot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r w:rsidRPr="00585686">
        <w:rPr>
          <w:rFonts w:ascii="Arial" w:hAnsi="Arial" w:cs="Arial"/>
          <w:sz w:val="20"/>
          <w:szCs w:val="20"/>
        </w:rPr>
        <w:t>Gageler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r w:rsidR="0048027E">
        <w:rPr>
          <w:rFonts w:ascii="Arial" w:hAnsi="Arial" w:cs="Arial"/>
          <w:sz w:val="20"/>
          <w:szCs w:val="20"/>
        </w:rPr>
        <w:t>Jagot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r w:rsidR="00722F42" w:rsidRPr="00722F42">
        <w:rPr>
          <w:rFonts w:ascii="Arial" w:hAnsi="Arial" w:cs="Arial"/>
          <w:i/>
          <w:iCs/>
          <w:sz w:val="20"/>
          <w:szCs w:val="20"/>
        </w:rPr>
        <w:t>Velevski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lastRenderedPageBreak/>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Kiefel CJ &amp; Gageler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Honeysett v The 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w:t>
      </w:r>
      <w:r w:rsidRPr="005C1DBA">
        <w:rPr>
          <w:rFonts w:ascii="Arial" w:hAnsi="Arial" w:cs="Arial"/>
          <w:sz w:val="20"/>
          <w:szCs w:val="20"/>
        </w:rPr>
        <w:lastRenderedPageBreak/>
        <w:t xml:space="preserve">(1876),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Velevski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make findings about disputed facts should the tribunal of fact be persuaded to accept and act upon the opinion</w:t>
      </w:r>
      <w:r w:rsidR="00AC6BFB" w:rsidRPr="00484192">
        <w:rPr>
          <w:rFonts w:ascii="Arial" w:hAnsi="Arial" w:cs="Arial"/>
          <w:b/>
          <w:bCs/>
          <w:sz w:val="20"/>
          <w:szCs w:val="20"/>
        </w:rPr>
        <w:t xml:space="preserve">: </w:t>
      </w:r>
      <w:r w:rsidR="00AC6BFB" w:rsidRPr="00484192">
        <w:rPr>
          <w:rFonts w:ascii="Arial" w:hAnsi="Arial" w:cs="Arial"/>
          <w:b/>
          <w:bCs/>
          <w:i/>
          <w:iCs/>
          <w:sz w:val="20"/>
          <w:szCs w:val="20"/>
        </w:rPr>
        <w:t>Velevski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r w:rsidR="005C1DBA" w:rsidRPr="00AC6BFB">
        <w:rPr>
          <w:rFonts w:ascii="Arial" w:hAnsi="Arial" w:cs="Arial"/>
          <w:b/>
          <w:bCs/>
          <w:i/>
          <w:iCs/>
          <w:sz w:val="20"/>
          <w:szCs w:val="20"/>
        </w:rPr>
        <w:t>Dasreef Pty Ltd v Hawchar</w:t>
      </w:r>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 xml:space="preserve">Nor is intuition. Writing extra-curially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r w:rsidR="0048027E" w:rsidRPr="005C1DBA">
        <w:rPr>
          <w:rFonts w:ascii="Arial" w:hAnsi="Arial" w:cs="Arial"/>
          <w:sz w:val="20"/>
          <w:szCs w:val="20"/>
        </w:rPr>
        <w:t xml:space="preserve">eg </w:t>
      </w:r>
      <w:r w:rsidR="0048027E" w:rsidRPr="0048027E">
        <w:rPr>
          <w:rFonts w:ascii="Arial" w:hAnsi="Arial" w:cs="Arial"/>
          <w:i/>
          <w:iCs/>
          <w:sz w:val="20"/>
          <w:szCs w:val="20"/>
        </w:rPr>
        <w:t>R v Jenkins; Ex parte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r w:rsidR="0048027E" w:rsidRPr="0048027E">
        <w:rPr>
          <w:rFonts w:ascii="Arial" w:hAnsi="Arial" w:cs="Arial"/>
          <w:i/>
          <w:iCs/>
          <w:sz w:val="20"/>
          <w:szCs w:val="20"/>
        </w:rPr>
        <w:t>Dasreef Pty Ltd v Hawchar</w:t>
      </w:r>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 xml:space="preserve">[h]owever valuable intuitive </w:t>
      </w:r>
      <w:r w:rsidR="005C1DBA" w:rsidRPr="005C1DBA">
        <w:rPr>
          <w:rFonts w:ascii="Arial" w:hAnsi="Arial" w:cs="Arial"/>
          <w:sz w:val="20"/>
          <w:szCs w:val="20"/>
        </w:rPr>
        <w:lastRenderedPageBreak/>
        <w:t>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r w:rsidR="00722F42" w:rsidRPr="00722F42">
        <w:rPr>
          <w:rFonts w:ascii="Arial" w:hAnsi="Arial" w:cs="Arial"/>
          <w:i/>
          <w:iCs/>
          <w:sz w:val="20"/>
          <w:szCs w:val="20"/>
        </w:rPr>
        <w:t>Dasreef Pty Ltd v Hawchar</w:t>
      </w:r>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r w:rsidR="00484192" w:rsidRPr="00484192">
        <w:rPr>
          <w:rFonts w:ascii="Arial" w:hAnsi="Arial" w:cs="Arial"/>
          <w:i/>
          <w:iCs/>
          <w:sz w:val="20"/>
          <w:szCs w:val="20"/>
        </w:rPr>
        <w:t>Dasreef Pty Ltd v Hawchar</w:t>
      </w:r>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r w:rsidR="007F4A62" w:rsidRPr="007F4A62">
        <w:rPr>
          <w:rFonts w:ascii="Arial" w:hAnsi="Arial" w:cs="Arial"/>
          <w:i/>
          <w:iCs/>
          <w:sz w:val="20"/>
          <w:szCs w:val="20"/>
        </w:rPr>
        <w:t>Dasreef Pty Ltd v Hawchar</w:t>
      </w:r>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r w:rsidR="007F4A62" w:rsidRPr="007F4A62">
        <w:rPr>
          <w:rFonts w:ascii="Arial" w:hAnsi="Arial" w:cs="Arial"/>
          <w:i/>
          <w:iCs/>
          <w:sz w:val="20"/>
          <w:szCs w:val="20"/>
        </w:rPr>
        <w:t>Aytugrul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w:t>
      </w:r>
      <w:r w:rsidR="005C1DBA" w:rsidRPr="005C1DBA">
        <w:rPr>
          <w:rFonts w:ascii="Arial" w:hAnsi="Arial" w:cs="Arial"/>
          <w:sz w:val="20"/>
          <w:szCs w:val="20"/>
        </w:rPr>
        <w:lastRenderedPageBreak/>
        <w:t>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dicta of Jagot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Winneke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[2001] FamCA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FamCA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w:t>
      </w:r>
      <w:r>
        <w:rPr>
          <w:rFonts w:ascii="Arial" w:hAnsi="Arial" w:cs="Arial"/>
          <w:bCs/>
          <w:sz w:val="20"/>
        </w:rPr>
        <w:lastRenderedPageBreak/>
        <w:t xml:space="preserve">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VChC 1 Power M referred with approval to the above dicta from </w:t>
      </w:r>
      <w:r w:rsidRPr="0041519A">
        <w:rPr>
          <w:rFonts w:ascii="Arial" w:hAnsi="Arial" w:cs="Arial"/>
          <w:i/>
          <w:sz w:val="20"/>
        </w:rPr>
        <w:t>Re W (Sex Abuse: Standard of Proof)</w:t>
      </w:r>
      <w:r>
        <w:rPr>
          <w:rFonts w:ascii="Arial" w:hAnsi="Arial" w:cs="Arial"/>
          <w:sz w:val="20"/>
        </w:rPr>
        <w:t xml:space="preserve"> [2004] FamCA 768 in a section discussing the limitations of the expert evidence adduced in that case.  Several clinical psychologists and an infant psychiatrist had been called to give expert evidence, part of which related to the ultimate issue, namely the frequency, duration and 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1C4E9E40"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w:t>
      </w:r>
      <w:r w:rsidR="00DD0DA0" w:rsidRPr="00A31FFA">
        <w:rPr>
          <w:rFonts w:ascii="Arial" w:hAnsi="Arial" w:cs="Arial"/>
          <w:sz w:val="20"/>
        </w:rPr>
        <w:t>–</w:t>
      </w:r>
      <w:r w:rsidRPr="00FC3025">
        <w:rPr>
          <w:rFonts w:ascii="Arial" w:hAnsi="Arial" w:cs="Arial"/>
          <w:sz w:val="20"/>
        </w:rPr>
        <w:t xml:space="preserve"> including the resilience </w:t>
      </w:r>
      <w:r w:rsidR="00DD0DA0" w:rsidRPr="00A31FFA">
        <w:rPr>
          <w:rFonts w:ascii="Arial" w:hAnsi="Arial" w:cs="Arial"/>
          <w:sz w:val="20"/>
        </w:rPr>
        <w:t>–</w:t>
      </w:r>
      <w:r w:rsidRPr="00FC3025">
        <w:rPr>
          <w:rFonts w:ascii="Arial" w:hAnsi="Arial" w:cs="Arial"/>
          <w:sz w:val="20"/>
        </w:rPr>
        <w:t xml:space="preserve"> of the particular individuals, prediction of risk of future harm and analysis of what is in the best interests of the particular child are inevitably much less certain</w:t>
      </w:r>
      <w:r>
        <w:rPr>
          <w:rFonts w:ascii="Arial" w:hAnsi="Arial" w:cs="Arial"/>
          <w:sz w:val="20"/>
        </w:rPr>
        <w:t>…</w:t>
      </w:r>
    </w:p>
    <w:p w14:paraId="0C6A82BC" w14:textId="6A56875D"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VChC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lastRenderedPageBreak/>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the father has not done a Mens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Heydon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w:t>
      </w:r>
      <w:r w:rsidRPr="00720FCE">
        <w:rPr>
          <w:rFonts w:ascii="Arial" w:hAnsi="Arial" w:cs="Arial"/>
          <w:sz w:val="20"/>
        </w:rPr>
        <w:lastRenderedPageBreak/>
        <w:t>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796591A5"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w:t>
      </w:r>
      <w:r w:rsidR="00DD0DA0" w:rsidRPr="00A31FFA">
        <w:rPr>
          <w:rFonts w:ascii="Arial" w:hAnsi="Arial" w:cs="Arial"/>
          <w:sz w:val="20"/>
        </w:rPr>
        <w:t>–</w:t>
      </w:r>
      <w:r w:rsidRPr="00F73ED3">
        <w:rPr>
          <w:rFonts w:ascii="Arial" w:hAnsi="Arial" w:cs="Arial"/>
          <w:sz w:val="18"/>
          <w:szCs w:val="18"/>
        </w:rPr>
        <w:t xml:space="preserv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the risk of future family violence perpetrated by the father is mitigated by an order mandating him to complete a Mens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4935C2">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Kotzmann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R v Klamo</w:t>
      </w:r>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r w:rsidRPr="0048529E">
        <w:rPr>
          <w:rFonts w:ascii="Arial" w:eastAsia="Book Antiqua" w:hAnsi="Arial" w:cs="Arial"/>
          <w:i/>
          <w:sz w:val="20"/>
          <w:szCs w:val="20"/>
        </w:rPr>
        <w:t>Velevski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89" w:name="_4.8.6_Attendance_of"/>
      <w:bookmarkStart w:id="590" w:name="B486"/>
      <w:bookmarkEnd w:id="589"/>
      <w:bookmarkEnd w:id="590"/>
    </w:p>
    <w:p w14:paraId="4A607DB4" w14:textId="4E10D514" w:rsidR="00346B40" w:rsidRDefault="00346B40" w:rsidP="005C1DBA">
      <w:pPr>
        <w:jc w:val="both"/>
        <w:rPr>
          <w:rFonts w:ascii="Arial" w:hAnsi="Arial" w:cs="Arial"/>
          <w:sz w:val="20"/>
          <w:szCs w:val="20"/>
        </w:rPr>
      </w:pPr>
      <w:r>
        <w:rPr>
          <w:rFonts w:ascii="Arial" w:hAnsi="Arial" w:cs="Arial"/>
          <w:sz w:val="20"/>
        </w:rPr>
        <w:t xml:space="preserve">As noted above, in </w:t>
      </w:r>
      <w:r w:rsidRPr="00346B40">
        <w:rPr>
          <w:rFonts w:ascii="Arial" w:hAnsi="Arial" w:cs="Arial"/>
          <w:i/>
          <w:iCs/>
          <w:sz w:val="20"/>
        </w:rPr>
        <w:t>Lang v The Queen</w:t>
      </w:r>
      <w:r>
        <w:rPr>
          <w:rFonts w:ascii="Arial" w:hAnsi="Arial" w:cs="Arial"/>
          <w:sz w:val="20"/>
        </w:rPr>
        <w:t xml:space="preserve"> [2023] HCA 29 at [5] Kiefel CJ &amp; Gageler J said: </w:t>
      </w:r>
      <w:r>
        <w:rPr>
          <w:rFonts w:ascii="Arial" w:hAnsi="Arial" w:cs="Arial"/>
          <w:sz w:val="20"/>
          <w:szCs w:val="20"/>
        </w:rPr>
        <w:t>“</w:t>
      </w:r>
      <w:r w:rsidRPr="005C1DBA">
        <w:rPr>
          <w:rFonts w:ascii="Arial" w:hAnsi="Arial" w:cs="Arial"/>
          <w:sz w:val="20"/>
          <w:szCs w:val="20"/>
        </w:rPr>
        <w:t>Expert evidence need not be opinion evidence</w:t>
      </w:r>
      <w:r>
        <w:rPr>
          <w:rFonts w:ascii="Arial" w:hAnsi="Arial" w:cs="Arial"/>
          <w:sz w:val="20"/>
          <w:szCs w:val="20"/>
        </w:rPr>
        <w:t xml:space="preserve">.” The converse is also true: compare ss.78 &amp; 79 </w:t>
      </w:r>
      <w:r w:rsidRPr="00346B40">
        <w:rPr>
          <w:rFonts w:ascii="Arial" w:hAnsi="Arial" w:cs="Arial"/>
          <w:i/>
          <w:iCs/>
          <w:sz w:val="20"/>
          <w:szCs w:val="20"/>
        </w:rPr>
        <w:t>Evidence Act 2008</w:t>
      </w:r>
      <w:r>
        <w:rPr>
          <w:rFonts w:ascii="Arial" w:hAnsi="Arial" w:cs="Arial"/>
          <w:sz w:val="20"/>
          <w:szCs w:val="20"/>
        </w:rPr>
        <w:t xml:space="preserve"> (Vic). In </w:t>
      </w:r>
      <w:r w:rsidRPr="00346B40">
        <w:rPr>
          <w:rFonts w:ascii="Arial" w:hAnsi="Arial" w:cs="Arial"/>
          <w:i/>
          <w:iCs/>
          <w:sz w:val="20"/>
          <w:szCs w:val="20"/>
        </w:rPr>
        <w:t>DPP v KT (Ruling 3)</w:t>
      </w:r>
      <w:r>
        <w:rPr>
          <w:rFonts w:ascii="Arial" w:hAnsi="Arial" w:cs="Arial"/>
          <w:sz w:val="20"/>
          <w:szCs w:val="20"/>
        </w:rPr>
        <w:t xml:space="preserve"> [2025] VSC 399 </w:t>
      </w:r>
      <w:r w:rsidR="00A91272">
        <w:rPr>
          <w:rFonts w:ascii="Arial" w:hAnsi="Arial" w:cs="Arial"/>
          <w:sz w:val="20"/>
          <w:szCs w:val="20"/>
        </w:rPr>
        <w:t xml:space="preserve">– a ruling given in a murder trial – </w:t>
      </w:r>
      <w:r>
        <w:rPr>
          <w:rFonts w:ascii="Arial" w:hAnsi="Arial" w:cs="Arial"/>
          <w:sz w:val="20"/>
          <w:szCs w:val="20"/>
        </w:rPr>
        <w:t>Fox</w:t>
      </w:r>
      <w:r w:rsidR="00A91272">
        <w:rPr>
          <w:rFonts w:ascii="Arial" w:hAnsi="Arial" w:cs="Arial"/>
          <w:sz w:val="20"/>
          <w:szCs w:val="20"/>
        </w:rPr>
        <w:t xml:space="preserve"> </w:t>
      </w:r>
      <w:r>
        <w:rPr>
          <w:rFonts w:ascii="Arial" w:hAnsi="Arial" w:cs="Arial"/>
          <w:sz w:val="20"/>
          <w:szCs w:val="20"/>
        </w:rPr>
        <w:t xml:space="preserve">J </w:t>
      </w:r>
      <w:r w:rsidR="00A91272">
        <w:rPr>
          <w:rFonts w:ascii="Arial" w:hAnsi="Arial" w:cs="Arial"/>
          <w:sz w:val="20"/>
          <w:szCs w:val="20"/>
        </w:rPr>
        <w:t xml:space="preserve">held that the defence was not permitted to adduce lay opinion evidence from a prosecution witness (who may or may not have seen at least the start of the interaction between the deceased and the accused) that the deceased ‘would have’ badly bashed the accused. </w:t>
      </w:r>
      <w:r w:rsidR="004935C2">
        <w:rPr>
          <w:rFonts w:ascii="Arial" w:hAnsi="Arial" w:cs="Arial"/>
          <w:sz w:val="20"/>
          <w:szCs w:val="20"/>
        </w:rPr>
        <w:t>At [13]-[20] – under the heading “</w:t>
      </w:r>
      <w:r w:rsidR="004935C2" w:rsidRPr="004935C2">
        <w:rPr>
          <w:rFonts w:ascii="Arial" w:hAnsi="Arial" w:cs="Arial"/>
          <w:b/>
          <w:bCs/>
          <w:sz w:val="20"/>
          <w:szCs w:val="20"/>
        </w:rPr>
        <w:t>Legislation and legal principles</w:t>
      </w:r>
      <w:r w:rsidR="004935C2">
        <w:rPr>
          <w:rFonts w:ascii="Arial" w:hAnsi="Arial" w:cs="Arial"/>
          <w:sz w:val="20"/>
          <w:szCs w:val="20"/>
        </w:rPr>
        <w:t xml:space="preserve">” – her Honour discussed ss.76-78 </w:t>
      </w:r>
      <w:r w:rsidR="004935C2" w:rsidRPr="00945BD7">
        <w:rPr>
          <w:rFonts w:ascii="Arial" w:hAnsi="Arial" w:cs="Arial"/>
          <w:i/>
          <w:iCs/>
          <w:sz w:val="20"/>
          <w:szCs w:val="20"/>
        </w:rPr>
        <w:t>Evidence Act 2008</w:t>
      </w:r>
      <w:r w:rsidR="004935C2">
        <w:rPr>
          <w:rFonts w:ascii="Arial" w:hAnsi="Arial" w:cs="Arial"/>
          <w:sz w:val="20"/>
          <w:szCs w:val="20"/>
        </w:rPr>
        <w:t xml:space="preserve"> and the analysis of s.78 by the High Court in the case of </w:t>
      </w:r>
      <w:r w:rsidR="004935C2" w:rsidRPr="004935C2">
        <w:rPr>
          <w:rFonts w:ascii="Arial" w:hAnsi="Arial" w:cs="Arial"/>
          <w:i/>
          <w:iCs/>
          <w:sz w:val="20"/>
          <w:szCs w:val="20"/>
        </w:rPr>
        <w:t>Lithgow City Council v Jackson</w:t>
      </w:r>
      <w:r w:rsidR="004935C2">
        <w:rPr>
          <w:rFonts w:ascii="Arial" w:hAnsi="Arial" w:cs="Arial"/>
          <w:sz w:val="20"/>
          <w:szCs w:val="20"/>
        </w:rPr>
        <w:t xml:space="preserve"> </w:t>
      </w:r>
      <w:r w:rsidR="004935C2" w:rsidRPr="004935C2">
        <w:rPr>
          <w:rFonts w:ascii="Arial" w:hAnsi="Arial" w:cs="Arial"/>
          <w:sz w:val="20"/>
          <w:szCs w:val="20"/>
        </w:rPr>
        <w:t>(2011) 244 CLR 352</w:t>
      </w:r>
      <w:r w:rsidR="00347572">
        <w:rPr>
          <w:rFonts w:ascii="Arial" w:hAnsi="Arial" w:cs="Arial"/>
          <w:sz w:val="20"/>
          <w:szCs w:val="20"/>
        </w:rPr>
        <w:t xml:space="preserve">; </w:t>
      </w:r>
      <w:r w:rsidR="00347572" w:rsidRPr="004935C2">
        <w:rPr>
          <w:rFonts w:ascii="Arial" w:hAnsi="Arial" w:cs="Arial"/>
          <w:sz w:val="20"/>
          <w:szCs w:val="20"/>
        </w:rPr>
        <w:t>[2011] HCA 36</w:t>
      </w:r>
      <w:r w:rsidR="004935C2">
        <w:rPr>
          <w:rFonts w:ascii="Arial" w:hAnsi="Arial" w:cs="Arial"/>
          <w:sz w:val="20"/>
          <w:szCs w:val="20"/>
        </w:rPr>
        <w:t xml:space="preserve">. At </w:t>
      </w:r>
      <w:r w:rsidR="004937E6">
        <w:rPr>
          <w:rFonts w:ascii="Arial" w:hAnsi="Arial" w:cs="Arial"/>
          <w:sz w:val="20"/>
          <w:szCs w:val="20"/>
        </w:rPr>
        <w:t>[21]</w:t>
      </w:r>
      <w:r w:rsidR="00CD4F49">
        <w:rPr>
          <w:rFonts w:ascii="Arial" w:hAnsi="Arial" w:cs="Arial"/>
          <w:sz w:val="20"/>
          <w:szCs w:val="20"/>
        </w:rPr>
        <w:t>-[24]</w:t>
      </w:r>
      <w:r w:rsidR="004937E6">
        <w:rPr>
          <w:rFonts w:ascii="Arial" w:hAnsi="Arial" w:cs="Arial"/>
          <w:sz w:val="20"/>
          <w:szCs w:val="20"/>
        </w:rPr>
        <w:t xml:space="preserve"> </w:t>
      </w:r>
      <w:r w:rsidR="004935C2">
        <w:rPr>
          <w:rFonts w:ascii="Arial" w:hAnsi="Arial" w:cs="Arial"/>
          <w:sz w:val="20"/>
          <w:szCs w:val="20"/>
        </w:rPr>
        <w:t>her Honour</w:t>
      </w:r>
      <w:r w:rsidR="004937E6">
        <w:rPr>
          <w:rFonts w:ascii="Arial" w:hAnsi="Arial" w:cs="Arial"/>
          <w:sz w:val="20"/>
          <w:szCs w:val="20"/>
        </w:rPr>
        <w:t xml:space="preserve"> </w:t>
      </w:r>
      <w:r w:rsidR="00CD4F49">
        <w:rPr>
          <w:rFonts w:ascii="Arial" w:hAnsi="Arial" w:cs="Arial"/>
          <w:sz w:val="20"/>
          <w:szCs w:val="20"/>
        </w:rPr>
        <w:t>said:</w:t>
      </w:r>
    </w:p>
    <w:p w14:paraId="76E15864" w14:textId="64EDEC56" w:rsidR="00CD4F49" w:rsidRDefault="00CD4F49" w:rsidP="00CD4F49">
      <w:pPr>
        <w:spacing w:before="60"/>
        <w:ind w:left="567" w:right="567"/>
        <w:jc w:val="both"/>
        <w:rPr>
          <w:rFonts w:ascii="Arial" w:hAnsi="Arial" w:cs="Arial"/>
          <w:sz w:val="20"/>
          <w:szCs w:val="20"/>
        </w:rPr>
      </w:pPr>
      <w:r>
        <w:rPr>
          <w:rFonts w:ascii="Arial" w:hAnsi="Arial" w:cs="Arial"/>
          <w:sz w:val="20"/>
        </w:rPr>
        <w:lastRenderedPageBreak/>
        <w:t>[21] “</w:t>
      </w:r>
      <w:r w:rsidRPr="004937E6">
        <w:rPr>
          <w:rFonts w:ascii="Arial" w:hAnsi="Arial" w:cs="Arial"/>
          <w:sz w:val="20"/>
          <w:szCs w:val="20"/>
        </w:rPr>
        <w:t xml:space="preserve">The first question is whether the evidence is relevant. </w:t>
      </w:r>
      <w:r w:rsidR="004935C2">
        <w:rPr>
          <w:rFonts w:ascii="Arial" w:hAnsi="Arial" w:cs="Arial"/>
          <w:sz w:val="20"/>
          <w:szCs w:val="20"/>
        </w:rPr>
        <w:t xml:space="preserve">[The witness] </w:t>
      </w:r>
      <w:r w:rsidRPr="004937E6">
        <w:rPr>
          <w:rFonts w:ascii="Arial" w:hAnsi="Arial" w:cs="Arial"/>
          <w:sz w:val="20"/>
          <w:szCs w:val="20"/>
        </w:rPr>
        <w:t>LJ’s view of what he thought would happen between Dr Gordon and KT cannot be used to infer or suggest that KT held the same view. Importantly, KT had a knife. It will be a matter for the jury to determine how, if at all, this impacted KT’s thinking. The disputed evidence is a theory, not just as to what would happen (</w:t>
      </w:r>
      <w:r w:rsidR="004935C2">
        <w:rPr>
          <w:rFonts w:ascii="Arial" w:hAnsi="Arial" w:cs="Arial"/>
          <w:sz w:val="20"/>
          <w:szCs w:val="20"/>
        </w:rPr>
        <w:t>‘</w:t>
      </w:r>
      <w:r w:rsidRPr="004937E6">
        <w:rPr>
          <w:rFonts w:ascii="Arial" w:hAnsi="Arial" w:cs="Arial"/>
          <w:sz w:val="20"/>
          <w:szCs w:val="20"/>
        </w:rPr>
        <w:t>the deceased would have bashed KT</w:t>
      </w:r>
      <w:r w:rsidR="004935C2">
        <w:rPr>
          <w:rFonts w:ascii="Arial" w:hAnsi="Arial" w:cs="Arial"/>
          <w:sz w:val="20"/>
          <w:szCs w:val="20"/>
        </w:rPr>
        <w:t>’</w:t>
      </w:r>
      <w:r w:rsidRPr="004937E6">
        <w:rPr>
          <w:rFonts w:ascii="Arial" w:hAnsi="Arial" w:cs="Arial"/>
          <w:sz w:val="20"/>
          <w:szCs w:val="20"/>
        </w:rPr>
        <w:t>), but also as to how KT would have been ‘bashed’ (‘badly’). LJ’s view, or theory, as to what would have occurred in a one-on-one fight is not relevant to the issue of what KT was thinking. It is arguably relevant to how Dr Gordon presented on this night. If approached in this way, many lay opinions would pass the test of relevance. Witnesses who were present at a scene could give their opinion on what they thought was going to happen next, based on what they had observed thus far.</w:t>
      </w:r>
    </w:p>
    <w:p w14:paraId="0CCC4FE0" w14:textId="1B285C76" w:rsidR="00CD4F49" w:rsidRDefault="00CD4F49" w:rsidP="00CD4F49">
      <w:pPr>
        <w:spacing w:before="60"/>
        <w:ind w:left="567" w:right="567"/>
        <w:jc w:val="both"/>
        <w:rPr>
          <w:rFonts w:ascii="Arial" w:hAnsi="Arial" w:cs="Arial"/>
          <w:sz w:val="20"/>
          <w:szCs w:val="20"/>
        </w:rPr>
      </w:pPr>
      <w:r>
        <w:rPr>
          <w:rFonts w:ascii="Arial" w:hAnsi="Arial" w:cs="Arial"/>
          <w:sz w:val="20"/>
          <w:szCs w:val="20"/>
        </w:rPr>
        <w:t xml:space="preserve">[22] </w:t>
      </w:r>
      <w:r w:rsidRPr="004937E6">
        <w:rPr>
          <w:rFonts w:ascii="Arial" w:hAnsi="Arial" w:cs="Arial"/>
          <w:sz w:val="20"/>
          <w:szCs w:val="20"/>
        </w:rPr>
        <w:t xml:space="preserve">If the evidence is relevant, I am very doubtful it comes within the meaning of ‘opinion’. The dividing line between a perception, an opinion, a theory, an inference, speculation and guesswork is not necessarily bright or clear. The Australian Law Reform Commission Interim Report 26 noted </w:t>
      </w:r>
      <w:r w:rsidR="004935C2">
        <w:rPr>
          <w:rFonts w:ascii="Arial" w:hAnsi="Arial" w:cs="Arial"/>
          <w:sz w:val="20"/>
          <w:szCs w:val="20"/>
        </w:rPr>
        <w:t xml:space="preserve">at [470] </w:t>
      </w:r>
      <w:r w:rsidRPr="004937E6">
        <w:rPr>
          <w:rFonts w:ascii="Arial" w:hAnsi="Arial" w:cs="Arial"/>
          <w:sz w:val="20"/>
          <w:szCs w:val="20"/>
        </w:rPr>
        <w:t>that the proposed s 78 revives the original rationale for lay opinion evidence, ‘based on the distinction between opinion based on the witness’ perception and mere uniformed speculation’.</w:t>
      </w:r>
      <w:r w:rsidR="004935C2">
        <w:rPr>
          <w:rFonts w:ascii="Arial" w:hAnsi="Arial" w:cs="Arial"/>
          <w:sz w:val="20"/>
          <w:szCs w:val="20"/>
        </w:rPr>
        <w:t xml:space="preserve"> </w:t>
      </w:r>
      <w:r w:rsidRPr="004937E6">
        <w:rPr>
          <w:rFonts w:ascii="Arial" w:hAnsi="Arial" w:cs="Arial"/>
          <w:sz w:val="20"/>
          <w:szCs w:val="20"/>
        </w:rPr>
        <w:t>In my view, LJ’s view about what the deceased ‘would have’ done to KT is speculation; it may be informed speculation, in the sense that LJ had knowledge or information as to how the deceased appeared and how he was behaving, but it is still speculation. For example, if a witness saw a vehicle driving at high speed and disappearing around a corner, and other evidence established that the vehicle struck a person 50 metres further along the roadway, the witness could not say that the vehicle ‘would have’ hit the person at high speed. That would be a theory, not an opinion. Perhaps a better example, more relevant to the facts of this case, is that if LJ had witnessed the accused become angry, approach the deceased and pull out his knife, LJ could not give evidence that the accused ‘would have’ stabbed the deceased.</w:t>
      </w:r>
    </w:p>
    <w:p w14:paraId="1A2E6F1E" w14:textId="2D0215AC" w:rsidR="00CD4F49" w:rsidRDefault="00CD4F49" w:rsidP="00CD4F49">
      <w:pPr>
        <w:spacing w:before="60"/>
        <w:ind w:left="567" w:right="567"/>
        <w:jc w:val="both"/>
        <w:rPr>
          <w:rFonts w:ascii="Arial" w:hAnsi="Arial" w:cs="Arial"/>
          <w:sz w:val="20"/>
          <w:szCs w:val="20"/>
        </w:rPr>
      </w:pPr>
      <w:r>
        <w:rPr>
          <w:rFonts w:ascii="Arial" w:hAnsi="Arial" w:cs="Arial"/>
          <w:sz w:val="20"/>
          <w:szCs w:val="20"/>
        </w:rPr>
        <w:t>[</w:t>
      </w:r>
      <w:r w:rsidRPr="004937E6">
        <w:rPr>
          <w:rFonts w:ascii="Arial" w:hAnsi="Arial" w:cs="Arial"/>
          <w:sz w:val="20"/>
          <w:szCs w:val="20"/>
        </w:rPr>
        <w:t>23</w:t>
      </w:r>
      <w:r>
        <w:rPr>
          <w:rFonts w:ascii="Arial" w:hAnsi="Arial" w:cs="Arial"/>
          <w:sz w:val="20"/>
          <w:szCs w:val="20"/>
        </w:rPr>
        <w:t>]</w:t>
      </w:r>
      <w:r w:rsidRPr="004937E6">
        <w:rPr>
          <w:rFonts w:ascii="Arial" w:hAnsi="Arial" w:cs="Arial"/>
          <w:sz w:val="20"/>
          <w:szCs w:val="20"/>
        </w:rPr>
        <w:t xml:space="preserve"> If I am wrong, and the evidence is an opinion, then I move to consider s 78(1)(a). Pursuant to that sub-section, it is necessary to identify the ‘matter or event’ which the person saw, heard or otherwise perceived. Here, LJ saw the deceased run towards KT with his head down, grab him and start to wrestle with him; that is the ‘matter or event’ upon which the opinion must be based. I accept that LJ’s opinion is based on this matter or event, which he witnessed. It may also be based on other matters or events he witnessed, such as the manner of the deceased’s driving. To the extent the opinion was based on LJ’s belief that the deceased used steroids, that would not be a ‘matter or event’ that LJ had heard, seen or otherwise perceived. It would be no more than a theory, and LJ would be using one theory to support another theory.</w:t>
      </w:r>
    </w:p>
    <w:p w14:paraId="3A33B64E" w14:textId="4D89C996" w:rsidR="00CD4F49" w:rsidRDefault="00CD4F49" w:rsidP="00CD4F49">
      <w:pPr>
        <w:spacing w:before="60"/>
        <w:ind w:left="567" w:right="567"/>
        <w:jc w:val="both"/>
        <w:rPr>
          <w:rFonts w:ascii="Arial" w:hAnsi="Arial" w:cs="Arial"/>
          <w:sz w:val="20"/>
        </w:rPr>
      </w:pPr>
      <w:r>
        <w:rPr>
          <w:rFonts w:ascii="Arial" w:hAnsi="Arial" w:cs="Arial"/>
          <w:sz w:val="20"/>
        </w:rPr>
        <w:t xml:space="preserve">[24] </w:t>
      </w:r>
      <w:r w:rsidRPr="004937E6">
        <w:rPr>
          <w:rFonts w:ascii="Arial" w:hAnsi="Arial" w:cs="Arial"/>
          <w:sz w:val="20"/>
          <w:szCs w:val="20"/>
        </w:rPr>
        <w:t xml:space="preserve">Finally, and accepting that the evidence is an opinion based on what LJ perceived, in my view the evidence is not necessary to obtain an adequate account or understanding of LJ’s perception of the events of this night. As the High Court stated in </w:t>
      </w:r>
      <w:r w:rsidRPr="004935C2">
        <w:rPr>
          <w:rFonts w:ascii="Arial" w:hAnsi="Arial" w:cs="Arial"/>
          <w:i/>
          <w:iCs/>
          <w:sz w:val="20"/>
          <w:szCs w:val="20"/>
        </w:rPr>
        <w:t>Lithgow City Council v Jackson</w:t>
      </w:r>
      <w:r w:rsidR="00945BD7">
        <w:rPr>
          <w:rFonts w:ascii="Arial" w:hAnsi="Arial" w:cs="Arial"/>
          <w:sz w:val="20"/>
          <w:szCs w:val="20"/>
        </w:rPr>
        <w:t xml:space="preserve"> at [51],</w:t>
      </w:r>
      <w:r w:rsidRPr="004937E6">
        <w:rPr>
          <w:rFonts w:ascii="Arial" w:hAnsi="Arial" w:cs="Arial"/>
          <w:sz w:val="20"/>
          <w:szCs w:val="20"/>
        </w:rPr>
        <w:t xml:space="preserve"> ‘the function of s 78(b) is to make up for incapacity of a witness to perceive the primary aspects of events and conditions, or to remember the perception, or to express the memory of that perception’. LJ is capable of expressing what he observed on this night. He is capable of expressing admissible opinions, such as the deceased appeared to be in a rage. There is no real risk that his observations and admissible opinions will not be adequately or fairly understood by the jury. In the circumstances, I am not satisfied that the evidence is necessary to obtain an adequate account or understanding of LJ’s perceptions at the time the deceased and accused interacted in the driveway.</w:t>
      </w:r>
      <w:r w:rsidR="004935C2">
        <w:rPr>
          <w:rFonts w:ascii="Arial" w:hAnsi="Arial" w:cs="Arial"/>
          <w:sz w:val="20"/>
          <w:szCs w:val="20"/>
        </w:rPr>
        <w:t>”</w:t>
      </w:r>
    </w:p>
    <w:p w14:paraId="26134B43" w14:textId="77777777" w:rsidR="00346B40" w:rsidRDefault="00346B40" w:rsidP="005C1DBA">
      <w:pPr>
        <w:jc w:val="both"/>
        <w:rPr>
          <w:rFonts w:ascii="Arial" w:hAnsi="Arial" w:cs="Arial"/>
          <w:sz w:val="20"/>
        </w:rPr>
      </w:pPr>
    </w:p>
    <w:p w14:paraId="0A012EC8" w14:textId="44653CDE" w:rsidR="004D7413" w:rsidRDefault="004D7413" w:rsidP="005C1DBA">
      <w:pPr>
        <w:jc w:val="both"/>
        <w:rPr>
          <w:rFonts w:ascii="Arial" w:hAnsi="Arial" w:cs="Arial"/>
          <w:sz w:val="20"/>
        </w:rPr>
      </w:pPr>
      <w:r>
        <w:rPr>
          <w:rFonts w:ascii="Arial" w:hAnsi="Arial" w:cs="Arial"/>
          <w:sz w:val="20"/>
        </w:rPr>
        <w:t xml:space="preserve">See also </w:t>
      </w:r>
      <w:r w:rsidRPr="004D7413">
        <w:rPr>
          <w:rFonts w:ascii="Arial" w:hAnsi="Arial" w:cs="Arial"/>
          <w:i/>
          <w:iCs/>
          <w:sz w:val="20"/>
        </w:rPr>
        <w:t>Teague &amp; Daley v DPP Cth</w:t>
      </w:r>
      <w:r>
        <w:rPr>
          <w:rFonts w:ascii="Arial" w:hAnsi="Arial" w:cs="Arial"/>
          <w:sz w:val="20"/>
        </w:rPr>
        <w:t xml:space="preserve"> [2025] VSCA 70 at [70]-[97] where the Court of Appeal – in an interlocutory appeal – held that a detective’s voice identification evidence that 6 recorded phone calls regarding the transportation of a consignment containing 111kg of methamphetamine was not admissible as lay opinion evidence, Priest &amp; T Forrest JJA holding that if all or the majority of </w:t>
      </w:r>
      <w:r w:rsidRPr="004D7413">
        <w:rPr>
          <w:rFonts w:ascii="Arial" w:hAnsi="Arial" w:cs="Arial"/>
          <w:sz w:val="20"/>
        </w:rPr>
        <w:t xml:space="preserve">voice recordings </w:t>
      </w:r>
      <w:r>
        <w:rPr>
          <w:rFonts w:ascii="Arial" w:hAnsi="Arial" w:cs="Arial"/>
          <w:sz w:val="20"/>
        </w:rPr>
        <w:t xml:space="preserve">are </w:t>
      </w:r>
      <w:r w:rsidRPr="004D7413">
        <w:rPr>
          <w:rFonts w:ascii="Arial" w:hAnsi="Arial" w:cs="Arial"/>
          <w:sz w:val="20"/>
        </w:rPr>
        <w:t xml:space="preserve">played to jury, </w:t>
      </w:r>
      <w:r>
        <w:rPr>
          <w:rFonts w:ascii="Arial" w:hAnsi="Arial" w:cs="Arial"/>
          <w:sz w:val="20"/>
        </w:rPr>
        <w:t>the d</w:t>
      </w:r>
      <w:r w:rsidRPr="004D7413">
        <w:rPr>
          <w:rFonts w:ascii="Arial" w:hAnsi="Arial" w:cs="Arial"/>
          <w:sz w:val="20"/>
        </w:rPr>
        <w:t xml:space="preserve">etective will be in no better position than </w:t>
      </w:r>
      <w:r>
        <w:rPr>
          <w:rFonts w:ascii="Arial" w:hAnsi="Arial" w:cs="Arial"/>
          <w:sz w:val="20"/>
        </w:rPr>
        <w:t xml:space="preserve">the </w:t>
      </w:r>
      <w:r w:rsidRPr="004D7413">
        <w:rPr>
          <w:rFonts w:ascii="Arial" w:hAnsi="Arial" w:cs="Arial"/>
          <w:sz w:val="20"/>
        </w:rPr>
        <w:t xml:space="preserve">jury to compare Teague’s voice with </w:t>
      </w:r>
      <w:r>
        <w:rPr>
          <w:rFonts w:ascii="Arial" w:hAnsi="Arial" w:cs="Arial"/>
          <w:sz w:val="20"/>
        </w:rPr>
        <w:t xml:space="preserve">the </w:t>
      </w:r>
      <w:r w:rsidRPr="004D7413">
        <w:rPr>
          <w:rFonts w:ascii="Arial" w:hAnsi="Arial" w:cs="Arial"/>
          <w:sz w:val="20"/>
        </w:rPr>
        <w:t>recorded voice.</w:t>
      </w:r>
    </w:p>
    <w:p w14:paraId="04648624" w14:textId="77777777" w:rsidR="004D7413" w:rsidRDefault="004D7413" w:rsidP="005C1DBA">
      <w:pPr>
        <w:jc w:val="both"/>
        <w:rPr>
          <w:rFonts w:ascii="Arial" w:hAnsi="Arial" w:cs="Arial"/>
          <w:sz w:val="20"/>
        </w:rPr>
      </w:pPr>
    </w:p>
    <w:p w14:paraId="6C4A5896" w14:textId="5A99CDFF" w:rsidR="0022246F" w:rsidRPr="009F25D4" w:rsidRDefault="0019386A" w:rsidP="0022246F">
      <w:pPr>
        <w:pStyle w:val="Heading3"/>
        <w:keepNext/>
        <w:spacing w:line="240" w:lineRule="auto"/>
        <w:rPr>
          <w:rFonts w:ascii="Arial" w:hAnsi="Arial" w:cs="Arial"/>
          <w:b/>
          <w:bCs/>
          <w:color w:val="000000"/>
          <w:sz w:val="20"/>
        </w:rPr>
      </w:pPr>
      <w:bookmarkStart w:id="591" w:name="_3.5.3.6_Other_cases"/>
      <w:bookmarkStart w:id="592" w:name="B3536"/>
      <w:bookmarkStart w:id="593" w:name="_3.5.3.5_Illegally_or"/>
      <w:bookmarkStart w:id="594" w:name="B3535"/>
      <w:bookmarkEnd w:id="591"/>
      <w:bookmarkEnd w:id="592"/>
      <w:bookmarkEnd w:id="593"/>
      <w:bookmarkEnd w:id="594"/>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612A145C"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r w:rsidR="00DD0DA0" w:rsidRPr="00A31FFA">
        <w:rPr>
          <w:rFonts w:ascii="Arial" w:hAnsi="Arial" w:cs="Arial"/>
          <w:sz w:val="20"/>
        </w:rPr>
        <w:t>–</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69273576"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lastRenderedPageBreak/>
        <w:t>(b)</w:t>
      </w:r>
      <w:r w:rsidRPr="00FD0640">
        <w:rPr>
          <w:rFonts w:ascii="Arial" w:hAnsi="Arial" w:cs="Arial"/>
          <w:color w:val="000000"/>
          <w:sz w:val="20"/>
        </w:rPr>
        <w:tab/>
        <w:t>in consequence of an impropriety or of a contravention of an Australian law</w:t>
      </w:r>
      <w:r w:rsidR="00DD0DA0" w:rsidRPr="00A31FFA">
        <w:rPr>
          <w:rFonts w:ascii="Arial" w:hAnsi="Arial" w:cs="Arial"/>
          <w:sz w:val="20"/>
        </w:rPr>
        <w:t>–</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FAA3965"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r w:rsidR="00DD0DA0" w:rsidRPr="00A31FFA">
        <w:rPr>
          <w:rFonts w:ascii="Arial" w:hAnsi="Arial" w:cs="Arial"/>
          <w:sz w:val="20"/>
        </w:rPr>
        <w:t>–</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12968DB3"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r w:rsidR="00DD0DA0" w:rsidRPr="00A31FFA">
        <w:rPr>
          <w:rFonts w:ascii="Arial" w:hAnsi="Arial" w:cs="Arial"/>
          <w:sz w:val="20"/>
        </w:rPr>
        <w: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whether the impropriety or contravention was contrary to or inconsistent with a right of a person recognized by the the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r w:rsidRPr="00063071">
        <w:rPr>
          <w:rFonts w:ascii="Arial" w:hAnsi="Arial" w:cs="Arial"/>
          <w:i/>
          <w:iCs/>
          <w:color w:val="000000"/>
          <w:sz w:val="20"/>
        </w:rPr>
        <w:t>voir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w:t>
      </w:r>
      <w:r w:rsidRPr="002A06EA">
        <w:rPr>
          <w:rFonts w:ascii="Arial" w:hAnsi="Arial" w:cs="Arial"/>
          <w:sz w:val="20"/>
          <w:szCs w:val="20"/>
        </w:rPr>
        <w:lastRenderedPageBreak/>
        <w:t xml:space="preserve">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95"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lastRenderedPageBreak/>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5E31F411"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There is nothing in the terms of a warrant that would permit a search for information as to the whereabouts of CM. The warrant solely covers the recovery of CM and not an unlimited search of premises whatever the purpose. Because of the invasive nature of a 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95"/>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96"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96"/>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lastRenderedPageBreak/>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61A4D2E9" w14:textId="77777777" w:rsidR="00C46F79" w:rsidRDefault="00C46F79" w:rsidP="00C46F79">
      <w:pPr>
        <w:jc w:val="both"/>
        <w:rPr>
          <w:rFonts w:ascii="Arial" w:hAnsi="Arial" w:cs="Arial"/>
          <w:sz w:val="20"/>
        </w:rPr>
      </w:pPr>
    </w:p>
    <w:p w14:paraId="0B3C1561" w14:textId="2380F5AC" w:rsidR="00C46F79" w:rsidRPr="008E5682" w:rsidRDefault="00C46F79" w:rsidP="00C46F79">
      <w:pPr>
        <w:jc w:val="both"/>
        <w:rPr>
          <w:rFonts w:ascii="Arial" w:hAnsi="Arial" w:cs="Arial"/>
          <w:sz w:val="20"/>
          <w:szCs w:val="20"/>
        </w:rPr>
      </w:pPr>
      <w:r w:rsidRPr="008E5682">
        <w:rPr>
          <w:rFonts w:ascii="Arial" w:hAnsi="Arial" w:cs="Arial"/>
          <w:sz w:val="20"/>
          <w:szCs w:val="20"/>
        </w:rPr>
        <w:t xml:space="preserve">See also </w:t>
      </w:r>
      <w:r w:rsidR="00542A14">
        <w:rPr>
          <w:rFonts w:ascii="Arial" w:hAnsi="Arial" w:cs="Arial"/>
          <w:i/>
          <w:iCs/>
          <w:sz w:val="20"/>
          <w:szCs w:val="20"/>
        </w:rPr>
        <w:t xml:space="preserve">Slaveski v Victoria </w:t>
      </w:r>
      <w:r w:rsidR="00542A14" w:rsidRPr="00542A14">
        <w:rPr>
          <w:rFonts w:ascii="Arial" w:hAnsi="Arial" w:cs="Arial"/>
          <w:sz w:val="20"/>
          <w:szCs w:val="20"/>
        </w:rPr>
        <w:t>[2010] VSC 441 at [</w:t>
      </w:r>
      <w:r w:rsidR="003921B9">
        <w:rPr>
          <w:rFonts w:ascii="Arial" w:hAnsi="Arial" w:cs="Arial"/>
          <w:sz w:val="20"/>
          <w:szCs w:val="20"/>
        </w:rPr>
        <w:t>89</w:t>
      </w:r>
      <w:r w:rsidR="00542A14" w:rsidRPr="00542A14">
        <w:rPr>
          <w:rFonts w:ascii="Arial" w:hAnsi="Arial" w:cs="Arial"/>
          <w:sz w:val="20"/>
          <w:szCs w:val="20"/>
        </w:rPr>
        <w:t>]-[</w:t>
      </w:r>
      <w:r w:rsidR="003921B9">
        <w:rPr>
          <w:rFonts w:ascii="Arial" w:hAnsi="Arial" w:cs="Arial"/>
          <w:sz w:val="20"/>
          <w:szCs w:val="20"/>
        </w:rPr>
        <w:t>220</w:t>
      </w:r>
      <w:r w:rsidR="00542A14" w:rsidRPr="00542A14">
        <w:rPr>
          <w:rFonts w:ascii="Arial" w:hAnsi="Arial" w:cs="Arial"/>
          <w:sz w:val="20"/>
          <w:szCs w:val="20"/>
        </w:rPr>
        <w:t xml:space="preserve">] summarized in </w:t>
      </w:r>
      <w:r w:rsidR="00542A14" w:rsidRPr="00542A14">
        <w:rPr>
          <w:rFonts w:ascii="Arial" w:hAnsi="Arial" w:cs="Arial"/>
          <w:b/>
          <w:bCs/>
          <w:sz w:val="20"/>
          <w:szCs w:val="20"/>
          <w:shd w:val="clear" w:color="auto" w:fill="C5E0B3" w:themeFill="accent6" w:themeFillTint="66"/>
        </w:rPr>
        <w:t>Part 7.2</w:t>
      </w:r>
      <w:r w:rsidR="00542A14" w:rsidRPr="00542A14">
        <w:rPr>
          <w:rFonts w:ascii="Arial" w:hAnsi="Arial" w:cs="Arial"/>
          <w:sz w:val="20"/>
          <w:szCs w:val="20"/>
        </w:rPr>
        <w:t>;</w:t>
      </w:r>
      <w:r w:rsidR="00542A14">
        <w:rPr>
          <w:rFonts w:ascii="Arial" w:hAnsi="Arial" w:cs="Arial"/>
          <w:i/>
          <w:iCs/>
          <w:sz w:val="20"/>
          <w:szCs w:val="20"/>
        </w:rPr>
        <w:t xml:space="preserve"> J</w:t>
      </w:r>
      <w:r w:rsidRPr="008E5682">
        <w:rPr>
          <w:rFonts w:ascii="Arial" w:hAnsi="Arial" w:cs="Arial"/>
          <w:i/>
          <w:iCs/>
          <w:sz w:val="20"/>
          <w:szCs w:val="20"/>
        </w:rPr>
        <w:t>ackson Elliot (a</w:t>
      </w:r>
      <w:r w:rsidR="00542A14">
        <w:rPr>
          <w:rFonts w:ascii="Arial" w:hAnsi="Arial" w:cs="Arial"/>
          <w:i/>
          <w:iCs/>
          <w:sz w:val="20"/>
          <w:szCs w:val="20"/>
        </w:rPr>
        <w:t> </w:t>
      </w:r>
      <w:r w:rsidRPr="008E5682">
        <w:rPr>
          <w:rFonts w:ascii="Arial" w:hAnsi="Arial" w:cs="Arial"/>
          <w:i/>
          <w:iCs/>
          <w:sz w:val="20"/>
          <w:szCs w:val="20"/>
        </w:rPr>
        <w:t>pseudonym) v The King</w:t>
      </w:r>
      <w:r w:rsidRPr="008E5682">
        <w:rPr>
          <w:rFonts w:ascii="Arial" w:hAnsi="Arial" w:cs="Arial"/>
          <w:sz w:val="20"/>
          <w:szCs w:val="20"/>
        </w:rPr>
        <w:t xml:space="preserve"> [2023] VSCA 48 at [30]-[32]; </w:t>
      </w:r>
      <w:r w:rsidRPr="008E5682">
        <w:rPr>
          <w:rFonts w:ascii="Arial" w:hAnsi="Arial" w:cs="Arial"/>
          <w:i/>
          <w:iCs/>
          <w:sz w:val="20"/>
          <w:szCs w:val="20"/>
        </w:rPr>
        <w:t>Duran (a pseudonym) v The King</w:t>
      </w:r>
      <w:r w:rsidRPr="008E5682">
        <w:rPr>
          <w:rFonts w:ascii="Arial" w:hAnsi="Arial" w:cs="Arial"/>
          <w:sz w:val="20"/>
          <w:szCs w:val="20"/>
        </w:rPr>
        <w:t xml:space="preserve"> [2023] VSCA 314 at [27]-[35];</w:t>
      </w:r>
      <w:r w:rsidRPr="008E5682">
        <w:rPr>
          <w:rFonts w:ascii="Arial" w:hAnsi="Arial" w:cs="Arial"/>
          <w:i/>
          <w:iCs/>
          <w:sz w:val="20"/>
          <w:szCs w:val="20"/>
        </w:rPr>
        <w:t xml:space="preserve"> CDPP v Carrick (a pseudonym)</w:t>
      </w:r>
      <w:r w:rsidRPr="008E5682">
        <w:rPr>
          <w:rFonts w:ascii="Arial" w:hAnsi="Arial" w:cs="Arial"/>
          <w:sz w:val="20"/>
          <w:szCs w:val="20"/>
        </w:rPr>
        <w:t xml:space="preserve"> [2023] VChC 2 at [85]-[89]; </w:t>
      </w:r>
      <w:r w:rsidRPr="008E5682">
        <w:rPr>
          <w:rFonts w:ascii="Arial" w:hAnsi="Arial" w:cs="Arial"/>
          <w:i/>
          <w:iCs/>
          <w:sz w:val="20"/>
          <w:szCs w:val="20"/>
        </w:rPr>
        <w:t>R v Lynn (Rulings 1-4)</w:t>
      </w:r>
      <w:r w:rsidRPr="008E5682">
        <w:rPr>
          <w:rFonts w:ascii="Arial" w:hAnsi="Arial" w:cs="Arial"/>
          <w:sz w:val="20"/>
          <w:szCs w:val="20"/>
        </w:rPr>
        <w:t xml:space="preserve"> [2024] VSC 373 </w:t>
      </w:r>
      <w:bookmarkStart w:id="597" w:name="_Hlk180498930"/>
      <w:r w:rsidRPr="008E5682">
        <w:rPr>
          <w:rFonts w:ascii="Arial" w:hAnsi="Arial" w:cs="Arial"/>
          <w:sz w:val="20"/>
          <w:szCs w:val="20"/>
        </w:rPr>
        <w:t xml:space="preserve">and footnotes 2-4 in </w:t>
      </w:r>
      <w:r w:rsidRPr="008E5682">
        <w:rPr>
          <w:rFonts w:ascii="Arial" w:hAnsi="Arial" w:cs="Arial"/>
          <w:i/>
          <w:iCs/>
          <w:sz w:val="20"/>
          <w:szCs w:val="20"/>
        </w:rPr>
        <w:t>R v Lynn</w:t>
      </w:r>
      <w:r w:rsidRPr="008E5682">
        <w:rPr>
          <w:rFonts w:ascii="Arial" w:hAnsi="Arial" w:cs="Arial"/>
          <w:sz w:val="20"/>
          <w:szCs w:val="20"/>
        </w:rPr>
        <w:t xml:space="preserve"> [2024] VSC 635.</w:t>
      </w:r>
      <w:bookmarkEnd w:id="597"/>
    </w:p>
    <w:p w14:paraId="1B0CF0D3" w14:textId="77777777" w:rsidR="00C46F79" w:rsidRPr="008E5682" w:rsidRDefault="00C46F79" w:rsidP="00C46F79">
      <w:pPr>
        <w:jc w:val="both"/>
        <w:rPr>
          <w:rFonts w:ascii="Arial" w:hAnsi="Arial" w:cs="Arial"/>
          <w:sz w:val="20"/>
          <w:szCs w:val="20"/>
        </w:rPr>
      </w:pPr>
    </w:p>
    <w:p w14:paraId="5A7F862C" w14:textId="77777777" w:rsidR="00C46F79" w:rsidRDefault="00C46F79" w:rsidP="00C46F79">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Pr>
          <w:rFonts w:ascii="Arial" w:hAnsi="Arial" w:cs="Arial"/>
          <w:sz w:val="20"/>
        </w:rPr>
        <w:noBreakHyphen/>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98" w:name="_3.5.3.6_Admissibility_of"/>
      <w:bookmarkStart w:id="599" w:name="_Hlk202261531"/>
      <w:bookmarkEnd w:id="598"/>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bookmarkEnd w:id="599"/>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841853">
      <w:pPr>
        <w:pStyle w:val="DraftSectionNote"/>
        <w:keepNext/>
        <w:keepLines/>
        <w:tabs>
          <w:tab w:val="right" w:pos="1304"/>
        </w:tabs>
        <w:ind w:left="567"/>
        <w:rPr>
          <w:rFonts w:ascii="Arial" w:hAnsi="Arial" w:cs="Arial"/>
          <w:b/>
          <w:sz w:val="18"/>
          <w:szCs w:val="18"/>
        </w:rPr>
      </w:pPr>
      <w:r w:rsidRPr="00C41908">
        <w:rPr>
          <w:rFonts w:ascii="Arial" w:hAnsi="Arial" w:cs="Arial"/>
          <w:b/>
          <w:sz w:val="18"/>
          <w:szCs w:val="18"/>
        </w:rPr>
        <w:lastRenderedPageBreak/>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48E8FA28" w14:textId="77777777" w:rsidR="006D01D1" w:rsidRDefault="006D01D1" w:rsidP="006D01D1">
      <w:pPr>
        <w:jc w:val="both"/>
        <w:rPr>
          <w:rFonts w:ascii="Arial" w:hAnsi="Arial" w:cs="Arial"/>
          <w:color w:val="000000"/>
          <w:sz w:val="20"/>
          <w:szCs w:val="20"/>
        </w:rPr>
      </w:pPr>
    </w:p>
    <w:p w14:paraId="186A052C" w14:textId="77777777" w:rsidR="006D01D1" w:rsidRDefault="006D01D1" w:rsidP="006D01D1">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2C497068" w14:textId="77777777" w:rsidR="006D01D1" w:rsidRDefault="006D01D1" w:rsidP="006D01D1">
      <w:pPr>
        <w:jc w:val="both"/>
        <w:rPr>
          <w:rFonts w:ascii="Arial" w:hAnsi="Arial" w:cs="Arial"/>
          <w:color w:val="000000"/>
          <w:sz w:val="20"/>
          <w:szCs w:val="20"/>
        </w:rPr>
      </w:pPr>
    </w:p>
    <w:p w14:paraId="2CD1A9FF" w14:textId="2940E892" w:rsidR="006D01D1" w:rsidRDefault="006D01D1" w:rsidP="006D01D1">
      <w:pPr>
        <w:jc w:val="both"/>
        <w:rPr>
          <w:rFonts w:ascii="Arial" w:hAnsi="Arial" w:cs="Arial"/>
          <w:color w:val="000000"/>
          <w:sz w:val="20"/>
          <w:szCs w:val="20"/>
        </w:rPr>
      </w:pPr>
      <w:bookmarkStart w:id="600" w:name="_Hlk202260795"/>
      <w:r>
        <w:rPr>
          <w:rFonts w:ascii="Arial" w:hAnsi="Arial" w:cs="Arial"/>
          <w:sz w:val="20"/>
          <w:szCs w:val="20"/>
        </w:rPr>
        <w:t xml:space="preserve">In </w:t>
      </w:r>
      <w:r w:rsidRPr="0066660A">
        <w:rPr>
          <w:rFonts w:ascii="Arial" w:hAnsi="Arial" w:cs="Arial"/>
          <w:i/>
          <w:iCs/>
          <w:sz w:val="20"/>
          <w:szCs w:val="20"/>
        </w:rPr>
        <w:t>Culibrk v The King</w:t>
      </w:r>
      <w:r>
        <w:rPr>
          <w:rFonts w:ascii="Arial" w:hAnsi="Arial" w:cs="Arial"/>
          <w:sz w:val="20"/>
          <w:szCs w:val="20"/>
        </w:rPr>
        <w:t xml:space="preserve"> [2025] VSCA 137 the applicant had been found guilty of multiple offences of burglary and theft. The prosecution had relied on coincidence evidence to prove his guilt. The Court of Appeal refused his application for an extension of time in which to seek leave to appeal, holding that the trial judge had not erred in finding that the coincidence evidence was significantly probative and that the use of coincidence evidence had not occasioned unfair prejudice. At [55]-[</w:t>
      </w:r>
      <w:r w:rsidR="00133DDB">
        <w:rPr>
          <w:rFonts w:ascii="Arial" w:hAnsi="Arial" w:cs="Arial"/>
          <w:sz w:val="20"/>
          <w:szCs w:val="20"/>
        </w:rPr>
        <w:t>60</w:t>
      </w:r>
      <w:r>
        <w:rPr>
          <w:rFonts w:ascii="Arial" w:hAnsi="Arial" w:cs="Arial"/>
          <w:sz w:val="20"/>
          <w:szCs w:val="20"/>
        </w:rPr>
        <w:t xml:space="preserve">] Walker, Taylor &amp; Osborn JJA </w:t>
      </w:r>
      <w:r w:rsidR="004C6D1B">
        <w:rPr>
          <w:rFonts w:ascii="Arial" w:hAnsi="Arial" w:cs="Arial"/>
          <w:sz w:val="20"/>
          <w:szCs w:val="20"/>
        </w:rPr>
        <w:t>summarise</w:t>
      </w:r>
      <w:r>
        <w:rPr>
          <w:rFonts w:ascii="Arial" w:hAnsi="Arial" w:cs="Arial"/>
          <w:sz w:val="20"/>
          <w:szCs w:val="20"/>
        </w:rPr>
        <w:t>d the principles involving the use of coincidence evidence:</w:t>
      </w:r>
    </w:p>
    <w:p w14:paraId="027370D6" w14:textId="2025C224" w:rsidR="006D01D1" w:rsidRDefault="006D01D1" w:rsidP="006D01D1">
      <w:pPr>
        <w:pStyle w:val="CCVNumberLevel1"/>
        <w:tabs>
          <w:tab w:val="clear" w:pos="1134"/>
        </w:tabs>
        <w:spacing w:before="60" w:after="0" w:line="240" w:lineRule="auto"/>
        <w:ind w:left="567" w:right="567" w:firstLine="0"/>
        <w:rPr>
          <w:rFonts w:cs="Arial"/>
          <w:color w:val="000000"/>
          <w:sz w:val="20"/>
        </w:rPr>
      </w:pPr>
      <w:r>
        <w:rPr>
          <w:rFonts w:cs="Arial"/>
          <w:sz w:val="20"/>
        </w:rPr>
        <w:t>[55] “</w:t>
      </w:r>
      <w:r w:rsidRPr="0066660A">
        <w:rPr>
          <w:rFonts w:cs="Arial"/>
          <w:color w:val="000000"/>
          <w:sz w:val="20"/>
        </w:rPr>
        <w:t>Coincidence evidence is evidence which uses the improbability of two or more events occurring coincidentally to prove, relevantly, that a person performed a particular act. The use of coincidence evidence relies on a process of inferential reasoning in which it is open to a jury to draw two inferences. First, from evidence of similarities between two or more events and the circumstances in which those events occurred, that it is improbable that the events occurred coincidentally. Secondly, from the improbability of such a coincidence, the existence of a relevant fact in issue.</w:t>
      </w:r>
    </w:p>
    <w:p w14:paraId="0148A808" w14:textId="7779CB69" w:rsidR="006D01D1" w:rsidRDefault="006D01D1" w:rsidP="006D01D1">
      <w:pPr>
        <w:pStyle w:val="CCVNumberLevel1"/>
        <w:tabs>
          <w:tab w:val="clear" w:pos="1134"/>
        </w:tabs>
        <w:spacing w:before="60" w:after="0" w:line="240" w:lineRule="auto"/>
        <w:ind w:left="567" w:right="567" w:firstLine="0"/>
        <w:rPr>
          <w:rFonts w:cs="Arial"/>
          <w:color w:val="000000"/>
          <w:sz w:val="20"/>
        </w:rPr>
      </w:pPr>
      <w:r>
        <w:rPr>
          <w:rFonts w:cs="Arial"/>
          <w:sz w:val="20"/>
        </w:rPr>
        <w:t xml:space="preserve">[56] </w:t>
      </w:r>
      <w:r w:rsidRPr="0066660A">
        <w:rPr>
          <w:rFonts w:cs="Arial"/>
          <w:color w:val="000000"/>
          <w:sz w:val="20"/>
        </w:rPr>
        <w:t xml:space="preserve">The coincidence rule in s 98 of the </w:t>
      </w:r>
      <w:r w:rsidRPr="006D01D1">
        <w:rPr>
          <w:rFonts w:cs="Arial"/>
          <w:i/>
          <w:iCs/>
          <w:color w:val="000000"/>
          <w:sz w:val="20"/>
        </w:rPr>
        <w:t>Evidence Act</w:t>
      </w:r>
      <w:r w:rsidRPr="0066660A">
        <w:rPr>
          <w:rFonts w:cs="Arial"/>
          <w:color w:val="000000"/>
          <w:sz w:val="20"/>
        </w:rPr>
        <w:t xml:space="preserve"> states that evidence is generally not admissible as coincidence evidence unless the party seeking to adduce it has given reasonable notice and the court thinks that the evidence will have significant probative value. Section 101 of the </w:t>
      </w:r>
      <w:r w:rsidRPr="006D01D1">
        <w:rPr>
          <w:rFonts w:cs="Arial"/>
          <w:i/>
          <w:iCs/>
          <w:color w:val="000000"/>
          <w:sz w:val="20"/>
        </w:rPr>
        <w:t>Evidence Act</w:t>
      </w:r>
      <w:r w:rsidRPr="0066660A">
        <w:rPr>
          <w:rFonts w:cs="Arial"/>
          <w:color w:val="000000"/>
          <w:sz w:val="20"/>
        </w:rPr>
        <w:t xml:space="preserve"> establishes that where the prosecution seeks to lead coincidence evidence about the accused, the evidence will only be admissible if its probative value substantially outweighs any prejudicial effect that it may have on the accused.</w:t>
      </w:r>
    </w:p>
    <w:p w14:paraId="62F2851E" w14:textId="1304C107" w:rsidR="006D01D1" w:rsidRDefault="006D01D1" w:rsidP="006D01D1">
      <w:pPr>
        <w:pStyle w:val="CCVNumberLevel1"/>
        <w:tabs>
          <w:tab w:val="clear" w:pos="1134"/>
        </w:tabs>
        <w:spacing w:before="60" w:after="0" w:line="240" w:lineRule="auto"/>
        <w:ind w:left="567" w:right="567" w:firstLine="0"/>
        <w:rPr>
          <w:rFonts w:cs="Arial"/>
          <w:sz w:val="20"/>
        </w:rPr>
      </w:pPr>
      <w:r>
        <w:rPr>
          <w:rFonts w:cs="Arial"/>
          <w:sz w:val="20"/>
        </w:rPr>
        <w:t xml:space="preserve">[57] </w:t>
      </w:r>
      <w:r w:rsidRPr="0066660A">
        <w:rPr>
          <w:rFonts w:cs="Arial"/>
          <w:color w:val="000000"/>
          <w:sz w:val="20"/>
        </w:rPr>
        <w:t xml:space="preserve">In </w:t>
      </w:r>
      <w:r w:rsidRPr="006D01D1">
        <w:rPr>
          <w:rFonts w:cs="Arial"/>
          <w:i/>
          <w:iCs/>
          <w:color w:val="000000"/>
          <w:sz w:val="20"/>
        </w:rPr>
        <w:t>CGL v DPP</w:t>
      </w:r>
      <w:r>
        <w:rPr>
          <w:rFonts w:cs="Arial"/>
          <w:i/>
          <w:iCs/>
          <w:color w:val="000000"/>
          <w:sz w:val="20"/>
        </w:rPr>
        <w:t xml:space="preserve"> </w:t>
      </w:r>
      <w:r w:rsidRPr="006D01D1">
        <w:rPr>
          <w:rFonts w:cs="Arial"/>
          <w:color w:val="000000"/>
          <w:sz w:val="20"/>
        </w:rPr>
        <w:t>(2010) 24 VR 486, 493 [22]; [2010] VSCA 26</w:t>
      </w:r>
      <w:r w:rsidRPr="0066660A">
        <w:rPr>
          <w:rFonts w:cs="Arial"/>
          <w:color w:val="000000"/>
          <w:sz w:val="20"/>
        </w:rPr>
        <w:t>, this Court summarised those legislative requirements as involving four questions:</w:t>
      </w:r>
    </w:p>
    <w:p w14:paraId="5089CEC7" w14:textId="77777777" w:rsidR="006D01D1" w:rsidRDefault="006D01D1" w:rsidP="00EC4653">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1.</w:t>
      </w:r>
      <w:r>
        <w:rPr>
          <w:rFonts w:ascii="Arial" w:hAnsi="Arial" w:cs="Arial"/>
          <w:color w:val="000000"/>
          <w:sz w:val="18"/>
          <w:szCs w:val="18"/>
        </w:rPr>
        <w:tab/>
      </w:r>
      <w:r w:rsidRPr="006D01D1">
        <w:rPr>
          <w:rFonts w:ascii="Arial" w:hAnsi="Arial" w:cs="Arial"/>
          <w:color w:val="000000"/>
          <w:sz w:val="18"/>
          <w:szCs w:val="18"/>
        </w:rPr>
        <w:t>Are the similarities in the specified events and/or in the circumstances in which they occurred such that it is improbable that the events occurred coincidentally?</w:t>
      </w:r>
    </w:p>
    <w:p w14:paraId="46316B8F" w14:textId="77777777" w:rsidR="006D01D1" w:rsidRDefault="006D01D1" w:rsidP="006D01D1">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2.</w:t>
      </w:r>
      <w:r>
        <w:rPr>
          <w:rFonts w:ascii="Arial" w:hAnsi="Arial" w:cs="Arial"/>
          <w:color w:val="000000"/>
          <w:sz w:val="18"/>
          <w:szCs w:val="18"/>
        </w:rPr>
        <w:tab/>
      </w:r>
      <w:r w:rsidRPr="006D01D1">
        <w:rPr>
          <w:rFonts w:ascii="Arial" w:hAnsi="Arial" w:cs="Arial"/>
          <w:color w:val="000000"/>
          <w:sz w:val="18"/>
          <w:szCs w:val="18"/>
        </w:rPr>
        <w:t xml:space="preserve">If so, would the evidence of those events and circumstances tend to prove that the accused: </w:t>
      </w:r>
    </w:p>
    <w:p w14:paraId="7A70AB00" w14:textId="1A750C38"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(a)</w:t>
      </w:r>
      <w:r>
        <w:rPr>
          <w:rFonts w:ascii="Arial" w:hAnsi="Arial" w:cs="Arial"/>
          <w:color w:val="000000"/>
          <w:sz w:val="18"/>
          <w:szCs w:val="18"/>
        </w:rPr>
        <w:tab/>
      </w:r>
      <w:r w:rsidRPr="006D01D1">
        <w:rPr>
          <w:rFonts w:ascii="Arial" w:hAnsi="Arial" w:cs="Arial"/>
          <w:color w:val="000000"/>
          <w:sz w:val="18"/>
          <w:szCs w:val="18"/>
        </w:rPr>
        <w:t>did the specified act; or</w:t>
      </w:r>
    </w:p>
    <w:p w14:paraId="2FE36C83" w14:textId="3B68DE44"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(b)</w:t>
      </w:r>
      <w:r>
        <w:rPr>
          <w:rFonts w:ascii="Arial" w:hAnsi="Arial" w:cs="Arial"/>
          <w:color w:val="000000"/>
          <w:sz w:val="18"/>
          <w:szCs w:val="18"/>
        </w:rPr>
        <w:tab/>
      </w:r>
      <w:r w:rsidRPr="006D01D1">
        <w:rPr>
          <w:rFonts w:ascii="Arial" w:hAnsi="Arial" w:cs="Arial"/>
          <w:color w:val="000000"/>
          <w:sz w:val="18"/>
          <w:szCs w:val="18"/>
        </w:rPr>
        <w:t>had the specified state of mind</w:t>
      </w:r>
    </w:p>
    <w:p w14:paraId="7B1376E1" w14:textId="77777777"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 xml:space="preserve">where doing that act or having that state of mind is a fact in issue or is relevant to a fact in issue? </w:t>
      </w:r>
    </w:p>
    <w:p w14:paraId="741537BE" w14:textId="5A122C10" w:rsidR="006D01D1" w:rsidRDefault="006D01D1" w:rsidP="00EC4653">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3.</w:t>
      </w:r>
      <w:r>
        <w:rPr>
          <w:rFonts w:ascii="Arial" w:hAnsi="Arial" w:cs="Arial"/>
          <w:color w:val="000000"/>
          <w:sz w:val="18"/>
          <w:szCs w:val="18"/>
        </w:rPr>
        <w:tab/>
      </w:r>
      <w:r w:rsidRPr="006D01D1">
        <w:rPr>
          <w:rFonts w:ascii="Arial" w:hAnsi="Arial" w:cs="Arial"/>
          <w:color w:val="000000"/>
          <w:sz w:val="18"/>
          <w:szCs w:val="18"/>
        </w:rPr>
        <w:t>If so, does the evidence have significant probative value, either by itself or having regard to other evidence adduced or sought to be adduce</w:t>
      </w:r>
      <w:r>
        <w:rPr>
          <w:rFonts w:ascii="Arial" w:hAnsi="Arial" w:cs="Arial"/>
          <w:color w:val="000000"/>
          <w:sz w:val="18"/>
          <w:szCs w:val="18"/>
        </w:rPr>
        <w:t>d</w:t>
      </w:r>
      <w:r w:rsidRPr="006D01D1">
        <w:rPr>
          <w:rFonts w:ascii="Arial" w:hAnsi="Arial" w:cs="Arial"/>
          <w:color w:val="000000"/>
          <w:sz w:val="18"/>
          <w:szCs w:val="18"/>
        </w:rPr>
        <w:t xml:space="preserve"> by the prosecution?</w:t>
      </w:r>
    </w:p>
    <w:p w14:paraId="21BC6303" w14:textId="7B523DEA" w:rsidR="006D01D1" w:rsidRPr="006D01D1" w:rsidRDefault="006D01D1" w:rsidP="006D01D1">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4.</w:t>
      </w:r>
      <w:r>
        <w:rPr>
          <w:rFonts w:ascii="Arial" w:hAnsi="Arial" w:cs="Arial"/>
          <w:color w:val="000000"/>
          <w:sz w:val="18"/>
          <w:szCs w:val="18"/>
        </w:rPr>
        <w:tab/>
      </w:r>
      <w:r w:rsidRPr="006D01D1">
        <w:rPr>
          <w:rFonts w:ascii="Arial" w:hAnsi="Arial" w:cs="Arial"/>
          <w:color w:val="000000"/>
          <w:sz w:val="18"/>
          <w:szCs w:val="18"/>
        </w:rPr>
        <w:t>If so, does the probative value of the evidence substantially outweigh any prejudicial effect it may have on the accused?</w:t>
      </w:r>
    </w:p>
    <w:p w14:paraId="5C35B459" w14:textId="63C54D05" w:rsidR="00133DDB" w:rsidRDefault="00133DDB" w:rsidP="00133DDB">
      <w:pPr>
        <w:pStyle w:val="CCVNumberLevel1"/>
        <w:tabs>
          <w:tab w:val="clear" w:pos="1134"/>
        </w:tabs>
        <w:spacing w:before="60" w:after="0" w:line="240" w:lineRule="auto"/>
        <w:ind w:left="567" w:right="567" w:firstLine="0"/>
        <w:rPr>
          <w:rFonts w:cs="Arial"/>
          <w:color w:val="000000"/>
          <w:sz w:val="20"/>
        </w:rPr>
      </w:pPr>
      <w:r>
        <w:rPr>
          <w:rFonts w:cs="Arial"/>
          <w:sz w:val="20"/>
        </w:rPr>
        <w:t xml:space="preserve">[58] </w:t>
      </w:r>
      <w:r w:rsidRPr="0066660A">
        <w:rPr>
          <w:rFonts w:cs="Arial"/>
          <w:color w:val="000000"/>
          <w:sz w:val="20"/>
        </w:rPr>
        <w:t xml:space="preserve">Sections 98 and 101 of the </w:t>
      </w:r>
      <w:r w:rsidRPr="00133DDB">
        <w:rPr>
          <w:rFonts w:cs="Arial"/>
          <w:i/>
          <w:iCs/>
          <w:color w:val="000000"/>
          <w:sz w:val="20"/>
        </w:rPr>
        <w:t>Evidence Act</w:t>
      </w:r>
      <w:r w:rsidRPr="0066660A">
        <w:rPr>
          <w:rFonts w:cs="Arial"/>
          <w:color w:val="000000"/>
          <w:sz w:val="20"/>
        </w:rPr>
        <w:t xml:space="preserve"> do not require a ‘striking similarity’ in circumstances before two or more events may be admitted as coincidence evidence. Rather, what is required is a sufficient ‘underlying unity’, which is dependent upon the facts in issue, the nature and circumstances of the other acts, the degree of similarity between the events, the relationship between any relevant parties and all the circumstances of the case</w:t>
      </w:r>
      <w:r>
        <w:rPr>
          <w:rFonts w:cs="Arial"/>
          <w:color w:val="000000"/>
          <w:sz w:val="20"/>
        </w:rPr>
        <w:t xml:space="preserve">: </w:t>
      </w:r>
      <w:r w:rsidRPr="00133DDB">
        <w:rPr>
          <w:rFonts w:cs="Arial"/>
          <w:i/>
          <w:iCs/>
          <w:color w:val="000000"/>
          <w:sz w:val="20"/>
        </w:rPr>
        <w:t>PG v The Queen</w:t>
      </w:r>
      <w:r>
        <w:rPr>
          <w:rFonts w:cs="Arial"/>
          <w:color w:val="000000"/>
          <w:sz w:val="20"/>
        </w:rPr>
        <w:t xml:space="preserve"> [2010] VSCA 289, [70]; see also </w:t>
      </w:r>
      <w:r w:rsidRPr="00133DDB">
        <w:rPr>
          <w:rFonts w:cs="Arial"/>
          <w:i/>
          <w:iCs/>
          <w:color w:val="000000"/>
          <w:sz w:val="20"/>
        </w:rPr>
        <w:t>CW v The Queen</w:t>
      </w:r>
      <w:r>
        <w:rPr>
          <w:rFonts w:cs="Arial"/>
          <w:color w:val="000000"/>
          <w:sz w:val="20"/>
        </w:rPr>
        <w:t xml:space="preserve"> [2010] VSCA 288.</w:t>
      </w:r>
    </w:p>
    <w:p w14:paraId="6BF5AA7F" w14:textId="4CE77569" w:rsidR="00133DDB" w:rsidRDefault="00133DDB" w:rsidP="00133DDB">
      <w:pPr>
        <w:pStyle w:val="CCVNumberLevel1"/>
        <w:tabs>
          <w:tab w:val="clear" w:pos="1134"/>
        </w:tabs>
        <w:spacing w:before="60" w:after="0" w:line="240" w:lineRule="auto"/>
        <w:ind w:left="567" w:right="567" w:firstLine="0"/>
        <w:rPr>
          <w:rFonts w:cs="Arial"/>
          <w:sz w:val="20"/>
        </w:rPr>
      </w:pPr>
      <w:r>
        <w:rPr>
          <w:rFonts w:cs="Arial"/>
          <w:sz w:val="20"/>
        </w:rPr>
        <w:t xml:space="preserve">[59] Thus, in </w:t>
      </w:r>
      <w:r w:rsidRPr="00133DDB">
        <w:rPr>
          <w:rFonts w:cs="Arial"/>
          <w:i/>
          <w:iCs/>
          <w:color w:val="000000"/>
          <w:sz w:val="20"/>
        </w:rPr>
        <w:t>PG</w:t>
      </w:r>
      <w:r w:rsidRPr="0066660A">
        <w:rPr>
          <w:rFonts w:cs="Arial"/>
          <w:color w:val="000000"/>
          <w:sz w:val="20"/>
        </w:rPr>
        <w:t>, Nettle JA said</w:t>
      </w:r>
      <w:r>
        <w:rPr>
          <w:rFonts w:cs="Arial"/>
          <w:color w:val="000000"/>
          <w:sz w:val="20"/>
        </w:rPr>
        <w:t xml:space="preserve"> at [71]</w:t>
      </w:r>
    </w:p>
    <w:p w14:paraId="2563B6BA" w14:textId="60F4B5D5" w:rsidR="00133DDB" w:rsidRDefault="00133DDB" w:rsidP="00133DDB">
      <w:pPr>
        <w:spacing w:before="60"/>
        <w:ind w:left="1021" w:right="1021"/>
        <w:jc w:val="both"/>
        <w:rPr>
          <w:rFonts w:ascii="Arial" w:hAnsi="Arial" w:cs="Arial"/>
          <w:color w:val="000000"/>
          <w:sz w:val="18"/>
          <w:szCs w:val="18"/>
        </w:rPr>
      </w:pPr>
      <w:r w:rsidRPr="00133DDB">
        <w:rPr>
          <w:rFonts w:ascii="Arial" w:hAnsi="Arial" w:cs="Arial"/>
          <w:color w:val="000000"/>
          <w:sz w:val="18"/>
          <w:szCs w:val="18"/>
        </w:rPr>
        <w:t xml:space="preserve">Sometimes, it will be a matter of striking similarity as between one act and another which bespeaks the underlying unity that makes evidence of the former admissible in proof of the latter. Sometimes, there will be something peculiar about the acts which makes evidence of one admissible in proof of the commission of the other. Sometimes, it will be the circumstances of the offending which makes evidence of one act admissible in proof </w:t>
      </w:r>
      <w:r w:rsidRPr="00133DDB">
        <w:rPr>
          <w:rFonts w:ascii="Arial" w:hAnsi="Arial" w:cs="Arial"/>
          <w:color w:val="000000"/>
          <w:sz w:val="18"/>
          <w:szCs w:val="18"/>
        </w:rPr>
        <w:lastRenderedPageBreak/>
        <w:t>of the other, and examples can be multiplied. In short, it is a question to be assessed in all the circumstances of the case, bearing in mind what has been said in previously decided cases as to what is sufficient in kindred circumstances.</w:t>
      </w:r>
    </w:p>
    <w:p w14:paraId="59D2705F" w14:textId="24646684" w:rsidR="00133DDB" w:rsidRDefault="00133DDB" w:rsidP="00133DDB">
      <w:pPr>
        <w:pStyle w:val="CCVNumberLevel1"/>
        <w:tabs>
          <w:tab w:val="clear" w:pos="1134"/>
        </w:tabs>
        <w:spacing w:before="60" w:after="0" w:line="240" w:lineRule="auto"/>
        <w:ind w:left="567" w:right="567" w:firstLine="0"/>
        <w:rPr>
          <w:rFonts w:cs="Arial"/>
          <w:sz w:val="20"/>
        </w:rPr>
      </w:pPr>
      <w:r>
        <w:rPr>
          <w:rFonts w:cs="Arial"/>
          <w:sz w:val="20"/>
        </w:rPr>
        <w:t xml:space="preserve">[60] Where a modus operandi used makes it likely that the same person is responsible for two or more particular offences, coincidence evidence may be used to establish the identity of the offender: </w:t>
      </w:r>
      <w:r w:rsidRPr="00133DDB">
        <w:rPr>
          <w:rFonts w:cs="Arial"/>
          <w:i/>
          <w:iCs/>
          <w:sz w:val="20"/>
        </w:rPr>
        <w:t>Pfennig v The Queen</w:t>
      </w:r>
      <w:r>
        <w:rPr>
          <w:rFonts w:cs="Arial"/>
          <w:sz w:val="20"/>
        </w:rPr>
        <w:t xml:space="preserve"> (1995) 182 CLR 461; [1995] HCA 7; </w:t>
      </w:r>
      <w:r w:rsidRPr="00133DDB">
        <w:rPr>
          <w:rFonts w:cs="Arial"/>
          <w:i/>
          <w:iCs/>
          <w:sz w:val="20"/>
        </w:rPr>
        <w:t>R v Dupas (No 2)</w:t>
      </w:r>
      <w:r>
        <w:rPr>
          <w:rFonts w:cs="Arial"/>
          <w:sz w:val="20"/>
        </w:rPr>
        <w:t xml:space="preserve"> (2005) 12 VR 601; [2005] VSCA 212. The evidence of connection between the modus operandi used on another occasion (or occasions) and the modus operandi of the charged offence must demonstrate more than the ‘stock in trade’ of that type of offending: </w:t>
      </w:r>
      <w:r w:rsidRPr="00133DDB">
        <w:rPr>
          <w:rFonts w:cs="Arial"/>
          <w:i/>
          <w:iCs/>
          <w:sz w:val="20"/>
        </w:rPr>
        <w:t>CW v The Queen</w:t>
      </w:r>
      <w:r>
        <w:rPr>
          <w:rFonts w:cs="Arial"/>
          <w:sz w:val="20"/>
        </w:rPr>
        <w:t xml:space="preserve"> [2010] VSCA 288, [24]. In such cases, the evidence can only be used if the jury is satisfied that both offences were committed </w:t>
      </w:r>
      <w:r w:rsidR="004C6D1B">
        <w:rPr>
          <w:rFonts w:cs="Arial"/>
          <w:sz w:val="20"/>
        </w:rPr>
        <w:t xml:space="preserve">by the same person and that the accused committed one of them: </w:t>
      </w:r>
      <w:r w:rsidR="004C6D1B" w:rsidRPr="00133DDB">
        <w:rPr>
          <w:rFonts w:cs="Arial"/>
          <w:i/>
          <w:iCs/>
          <w:sz w:val="20"/>
        </w:rPr>
        <w:t>Pfennig v The Queen</w:t>
      </w:r>
      <w:r w:rsidR="004C6D1B">
        <w:rPr>
          <w:rFonts w:cs="Arial"/>
          <w:sz w:val="20"/>
        </w:rPr>
        <w:t xml:space="preserve"> (1995) 182 CLR 461; [1995] HCA 7.</w:t>
      </w:r>
    </w:p>
    <w:p w14:paraId="5548816A" w14:textId="314A5FFD" w:rsidR="006D01D1" w:rsidRDefault="004C6D1B" w:rsidP="004C6D1B">
      <w:pPr>
        <w:spacing w:before="60"/>
        <w:jc w:val="both"/>
        <w:rPr>
          <w:rFonts w:ascii="Arial" w:hAnsi="Arial" w:cs="Arial"/>
          <w:color w:val="000000"/>
          <w:sz w:val="20"/>
          <w:szCs w:val="20"/>
        </w:rPr>
      </w:pPr>
      <w:r>
        <w:rPr>
          <w:rFonts w:ascii="Arial" w:hAnsi="Arial" w:cs="Arial"/>
          <w:color w:val="000000"/>
          <w:sz w:val="20"/>
          <w:szCs w:val="20"/>
        </w:rPr>
        <w:t>At [61]-[72] their Honours summarised the coincidence evidence that had been admitted against the applicant, leading their Honours to conclude at [73]-[74]:</w:t>
      </w:r>
    </w:p>
    <w:p w14:paraId="44F916A7" w14:textId="1ED7C99B" w:rsidR="004C6D1B" w:rsidRDefault="002D2AD1" w:rsidP="002D2AD1">
      <w:pPr>
        <w:pStyle w:val="ListParagraph"/>
        <w:numPr>
          <w:ilvl w:val="0"/>
          <w:numId w:val="137"/>
        </w:numPr>
        <w:ind w:left="357" w:hanging="357"/>
        <w:jc w:val="both"/>
        <w:rPr>
          <w:rFonts w:ascii="Arial" w:hAnsi="Arial" w:cs="Arial"/>
          <w:sz w:val="20"/>
        </w:rPr>
      </w:pPr>
      <w:r>
        <w:rPr>
          <w:rFonts w:ascii="Arial" w:hAnsi="Arial" w:cs="Arial"/>
          <w:sz w:val="20"/>
        </w:rPr>
        <w:t>T</w:t>
      </w:r>
      <w:r w:rsidR="004C6D1B">
        <w:rPr>
          <w:rFonts w:ascii="Arial" w:hAnsi="Arial" w:cs="Arial"/>
          <w:sz w:val="20"/>
        </w:rPr>
        <w:t xml:space="preserve">aken </w:t>
      </w:r>
      <w:r>
        <w:rPr>
          <w:rFonts w:ascii="Arial" w:hAnsi="Arial" w:cs="Arial"/>
          <w:sz w:val="20"/>
        </w:rPr>
        <w:t>as a while, the evidence of those events and circumstances tended to prove that the accused was involved in the offences charged. It had significant probative value. The judge was correct so to rule.</w:t>
      </w:r>
    </w:p>
    <w:p w14:paraId="49D61F17" w14:textId="7D49F25C" w:rsidR="002D2AD1" w:rsidRDefault="002D2AD1" w:rsidP="002D2AD1">
      <w:pPr>
        <w:pStyle w:val="ListParagraph"/>
        <w:numPr>
          <w:ilvl w:val="0"/>
          <w:numId w:val="137"/>
        </w:numPr>
        <w:ind w:left="357" w:hanging="357"/>
        <w:jc w:val="both"/>
        <w:rPr>
          <w:rFonts w:ascii="Arial" w:hAnsi="Arial" w:cs="Arial"/>
          <w:sz w:val="20"/>
        </w:rPr>
      </w:pPr>
      <w:r>
        <w:rPr>
          <w:rFonts w:ascii="Arial" w:hAnsi="Arial" w:cs="Arial"/>
          <w:sz w:val="20"/>
        </w:rPr>
        <w:t>Any prejudicial effect it carried was substantially outweighed by that significant probative value. The pathway of coincidence reasoning was logical and readily understood. It did not invite impermissible tendency reasoning. Defence counsel</w:t>
      </w:r>
      <w:r w:rsidR="00EC4653">
        <w:rPr>
          <w:rFonts w:ascii="Arial" w:hAnsi="Arial" w:cs="Arial"/>
          <w:sz w:val="20"/>
        </w:rPr>
        <w:t xml:space="preserve"> had argued</w:t>
      </w:r>
      <w:r>
        <w:rPr>
          <w:rFonts w:ascii="Arial" w:hAnsi="Arial" w:cs="Arial"/>
          <w:sz w:val="20"/>
        </w:rPr>
        <w:t xml:space="preserve"> that the coincidence that another or others was or were involved with co-accused Messenger – whom it was not disputed was involved in all six incidents the subject of the indictment </w:t>
      </w:r>
      <w:r w:rsidR="00E168EC">
        <w:rPr>
          <w:rFonts w:ascii="Arial" w:hAnsi="Arial" w:cs="Arial"/>
          <w:sz w:val="20"/>
        </w:rPr>
        <w:t>against the applicant –</w:t>
      </w:r>
      <w:r w:rsidR="00EC4653">
        <w:rPr>
          <w:rFonts w:ascii="Arial" w:hAnsi="Arial" w:cs="Arial"/>
          <w:sz w:val="20"/>
        </w:rPr>
        <w:t xml:space="preserve"> </w:t>
      </w:r>
      <w:r>
        <w:rPr>
          <w:rFonts w:ascii="Arial" w:hAnsi="Arial" w:cs="Arial"/>
          <w:sz w:val="20"/>
        </w:rPr>
        <w:t>was a reasonable possibility consistent with innocence</w:t>
      </w:r>
      <w:r w:rsidR="00EC4653" w:rsidRPr="00EC4653">
        <w:rPr>
          <w:rFonts w:ascii="Arial" w:hAnsi="Arial" w:cs="Arial"/>
          <w:sz w:val="20"/>
        </w:rPr>
        <w:t xml:space="preserve"> </w:t>
      </w:r>
      <w:r w:rsidR="00EC4653">
        <w:rPr>
          <w:rFonts w:ascii="Arial" w:hAnsi="Arial" w:cs="Arial"/>
          <w:sz w:val="20"/>
        </w:rPr>
        <w:t>notwithstanding the circumstances of the applicant’s arrest as detailed at [39]-[42].</w:t>
      </w:r>
      <w:r>
        <w:rPr>
          <w:rFonts w:ascii="Arial" w:hAnsi="Arial" w:cs="Arial"/>
          <w:sz w:val="20"/>
        </w:rPr>
        <w:t xml:space="preserve"> </w:t>
      </w:r>
      <w:r w:rsidR="00EC4653">
        <w:rPr>
          <w:rFonts w:ascii="Arial" w:hAnsi="Arial" w:cs="Arial"/>
          <w:sz w:val="20"/>
        </w:rPr>
        <w:t xml:space="preserve">His argument </w:t>
      </w:r>
      <w:r>
        <w:rPr>
          <w:rFonts w:ascii="Arial" w:hAnsi="Arial" w:cs="Arial"/>
          <w:sz w:val="20"/>
        </w:rPr>
        <w:t>was accurately summarised by the judge. It was open to the jury to reject that argument.</w:t>
      </w:r>
    </w:p>
    <w:p w14:paraId="7C081A61" w14:textId="77777777" w:rsidR="004C6D1B" w:rsidRDefault="004C6D1B" w:rsidP="00E168EC">
      <w:pPr>
        <w:jc w:val="both"/>
        <w:rPr>
          <w:rFonts w:ascii="Arial" w:hAnsi="Arial" w:cs="Arial"/>
          <w:color w:val="000000"/>
          <w:sz w:val="20"/>
          <w:szCs w:val="20"/>
        </w:rPr>
      </w:pPr>
    </w:p>
    <w:bookmarkEnd w:id="600"/>
    <w:p w14:paraId="2C0DD645" w14:textId="5ABABCC7"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w:t>
      </w:r>
      <w:r w:rsidR="006D01D1">
        <w:rPr>
          <w:rFonts w:ascii="Arial" w:hAnsi="Arial" w:cs="Arial"/>
          <w:sz w:val="20"/>
        </w:rPr>
        <w:t>wa</w:t>
      </w:r>
      <w:r>
        <w:rPr>
          <w:rFonts w:ascii="Arial" w:hAnsi="Arial" w:cs="Arial"/>
          <w:sz w:val="20"/>
        </w:rPr>
        <w:t xml:space="preserve">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lastRenderedPageBreak/>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w:t>
      </w:r>
      <w:r w:rsidRPr="00B82D7C">
        <w:rPr>
          <w:sz w:val="18"/>
          <w:szCs w:val="14"/>
        </w:rPr>
        <w:lastRenderedPageBreak/>
        <w:t>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a joint trial of the accused had been conducted with multiple complainants, each of whom gave evidence that the accused pursued sexual activity with them in circumstances where they did not consent. The High Court (Gleeson CJ, Gummow, Kirby, Hayne and Heydon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Gaudron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lastRenderedPageBreak/>
        <w:t>In</w:t>
      </w:r>
      <w:r w:rsidR="00587727" w:rsidRPr="000F2367">
        <w:rPr>
          <w:rFonts w:ascii="Arial" w:hAnsi="Arial" w:cs="Arial"/>
          <w:sz w:val="20"/>
          <w:szCs w:val="20"/>
        </w:rPr>
        <w:t xml:space="preserve"> </w:t>
      </w:r>
      <w:r w:rsidR="00587727" w:rsidRPr="000F2367">
        <w:rPr>
          <w:rFonts w:ascii="Arial" w:hAnsi="Arial" w:cs="Arial"/>
          <w:i/>
          <w:iCs/>
          <w:sz w:val="20"/>
          <w:szCs w:val="20"/>
        </w:rPr>
        <w:t>DPP v Roder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r w:rsidRPr="00943C7B">
        <w:rPr>
          <w:rFonts w:ascii="Arial" w:hAnsi="Arial" w:cs="Arial"/>
          <w:sz w:val="20"/>
          <w:szCs w:val="20"/>
        </w:rPr>
        <w:t xml:space="preserve">Gageler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r>
        <w:rPr>
          <w:rFonts w:ascii="Arial" w:hAnsi="Arial" w:cs="Arial"/>
          <w:sz w:val="20"/>
          <w:szCs w:val="20"/>
        </w:rPr>
        <w:t>J</w:t>
      </w:r>
      <w:r w:rsidRPr="00943C7B">
        <w:rPr>
          <w:rFonts w:ascii="Arial" w:hAnsi="Arial" w:cs="Arial"/>
          <w:sz w:val="20"/>
          <w:szCs w:val="20"/>
        </w:rPr>
        <w:t xml:space="preserve">agot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 xml:space="preserve">direct the jury to consider whether they are satisfied of the alleged tendency </w:t>
      </w:r>
      <w:r w:rsidRPr="006B1D82">
        <w:rPr>
          <w:rFonts w:cs="Arial"/>
          <w:sz w:val="20"/>
        </w:rPr>
        <w:lastRenderedPageBreak/>
        <w:t>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2ADC9757" w14:textId="77777777" w:rsidR="002768B3" w:rsidRDefault="002768B3" w:rsidP="002768B3">
      <w:pPr>
        <w:jc w:val="both"/>
        <w:rPr>
          <w:rFonts w:ascii="Arial" w:hAnsi="Arial" w:cs="Arial"/>
          <w:sz w:val="20"/>
        </w:rPr>
      </w:pPr>
    </w:p>
    <w:p w14:paraId="60176495" w14:textId="724A639E" w:rsidR="002768B3" w:rsidRDefault="002768B3" w:rsidP="002768B3">
      <w:pPr>
        <w:jc w:val="both"/>
        <w:rPr>
          <w:rFonts w:ascii="Arial" w:hAnsi="Arial" w:cs="Arial"/>
          <w:sz w:val="20"/>
        </w:rPr>
      </w:pPr>
      <w:r>
        <w:rPr>
          <w:rFonts w:ascii="Arial" w:hAnsi="Arial" w:cs="Arial"/>
          <w:sz w:val="20"/>
        </w:rPr>
        <w:t xml:space="preserve">In </w:t>
      </w:r>
      <w:r w:rsidRPr="00E456F6">
        <w:rPr>
          <w:rFonts w:ascii="Arial" w:hAnsi="Arial" w:cs="Arial"/>
          <w:i/>
          <w:iCs/>
          <w:sz w:val="20"/>
        </w:rPr>
        <w:t>Clifford v Missionaries of the Sacred Heart</w:t>
      </w:r>
      <w:r w:rsidRPr="00E456F6">
        <w:rPr>
          <w:rFonts w:ascii="Arial" w:hAnsi="Arial" w:cs="Arial"/>
          <w:sz w:val="20"/>
        </w:rPr>
        <w:t xml:space="preserve"> [2024] VSC 812 Tsalamandris J</w:t>
      </w:r>
      <w:r>
        <w:rPr>
          <w:rFonts w:ascii="Arial" w:hAnsi="Arial" w:cs="Arial"/>
          <w:sz w:val="20"/>
        </w:rPr>
        <w:t xml:space="preserve"> dismissed the plaintiff’s action in negligence based on allegations of abuse at a boarding school in the mid 1970s. At [175]-[176] her Honour discussed the principles relating to the admissibility and use of tendency evidence from two other students, Mr R and Mr P:</w:t>
      </w:r>
    </w:p>
    <w:p w14:paraId="7C7A87BC"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[175] “...In </w:t>
      </w:r>
      <w:r w:rsidRPr="00E456F6">
        <w:rPr>
          <w:rFonts w:cs="Arial"/>
          <w:i/>
          <w:iCs/>
          <w:sz w:val="20"/>
        </w:rPr>
        <w:t>Clancy v Plaintiffs A, B,C and D; Bird v Plaintiffs A, B, C and D</w:t>
      </w:r>
      <w:r>
        <w:rPr>
          <w:rFonts w:cs="Arial"/>
          <w:sz w:val="20"/>
        </w:rPr>
        <w:t xml:space="preserve"> [2022] NSWCA 119 at [40] (citations omitted), </w:t>
      </w:r>
      <w:r w:rsidRPr="00E456F6">
        <w:rPr>
          <w:rFonts w:cs="Arial"/>
          <w:sz w:val="20"/>
        </w:rPr>
        <w:t>the New South Wales Court of Appeal outlined the use to be made of tendency evidence adduced in a civil trial:</w:t>
      </w:r>
    </w:p>
    <w:p w14:paraId="03B62ED0" w14:textId="77777777" w:rsidR="002768B3" w:rsidRDefault="002768B3" w:rsidP="002768B3">
      <w:pPr>
        <w:pStyle w:val="CCVNumberLevel1"/>
        <w:tabs>
          <w:tab w:val="clear" w:pos="1134"/>
        </w:tabs>
        <w:spacing w:before="60" w:after="0" w:line="240" w:lineRule="auto"/>
        <w:ind w:left="1021" w:right="1021" w:firstLine="0"/>
        <w:rPr>
          <w:rFonts w:cs="Arial"/>
          <w:sz w:val="18"/>
          <w:szCs w:val="22"/>
        </w:rPr>
      </w:pPr>
      <w:r w:rsidRPr="00E456F6">
        <w:rPr>
          <w:rFonts w:cs="Arial"/>
          <w:sz w:val="18"/>
          <w:szCs w:val="18"/>
        </w:rPr>
        <w:t xml:space="preserve">Although, for the purposes of admissibility and determination as to whether the tendency evidence relied upon is of significant probative value within the meaning of s 97 of the </w:t>
      </w:r>
      <w:r w:rsidRPr="00EE604E">
        <w:rPr>
          <w:rFonts w:cs="Arial"/>
          <w:i/>
          <w:iCs/>
          <w:sz w:val="18"/>
          <w:szCs w:val="18"/>
        </w:rPr>
        <w:t>Evidence Act</w:t>
      </w:r>
      <w:r w:rsidRPr="00E456F6">
        <w:rPr>
          <w:rFonts w:cs="Arial"/>
          <w:sz w:val="18"/>
          <w:szCs w:val="18"/>
        </w:rPr>
        <w:t>, it is to be assumed that the evidence will</w:t>
      </w:r>
      <w:r>
        <w:rPr>
          <w:rFonts w:cs="Arial"/>
          <w:sz w:val="18"/>
          <w:szCs w:val="18"/>
        </w:rPr>
        <w:t xml:space="preserve"> </w:t>
      </w:r>
      <w:r w:rsidRPr="00E456F6">
        <w:rPr>
          <w:rFonts w:cs="Arial"/>
          <w:sz w:val="18"/>
          <w:szCs w:val="22"/>
        </w:rPr>
        <w:t xml:space="preserve">be accepted as correct, that does not mean that, for the purposes of its ultimate use by the trier of fact, the evidence or aspects of the evidence adduced as tendency evidence must be accepted. Acceptance of the tendency evidence relied upon by the Plaintiffs needed to have regard to </w:t>
      </w:r>
      <w:r w:rsidRPr="00EE604E">
        <w:rPr>
          <w:rFonts w:cs="Arial"/>
          <w:i/>
          <w:iCs/>
          <w:sz w:val="18"/>
          <w:szCs w:val="22"/>
        </w:rPr>
        <w:t>Briginshaw</w:t>
      </w:r>
      <w:r w:rsidRPr="00E456F6">
        <w:rPr>
          <w:rFonts w:cs="Arial"/>
          <w:sz w:val="18"/>
          <w:szCs w:val="22"/>
        </w:rPr>
        <w:t xml:space="preserve"> principles because of the nature of what was being claimed in that evidence. If the evidence should not have been accepted taking into account </w:t>
      </w:r>
      <w:r w:rsidRPr="00EE604E">
        <w:rPr>
          <w:rFonts w:cs="Arial"/>
          <w:i/>
          <w:iCs/>
          <w:sz w:val="18"/>
          <w:szCs w:val="22"/>
        </w:rPr>
        <w:t>Briginshaw</w:t>
      </w:r>
      <w:r w:rsidRPr="00E456F6">
        <w:rPr>
          <w:rFonts w:cs="Arial"/>
          <w:sz w:val="18"/>
          <w:szCs w:val="22"/>
        </w:rPr>
        <w:t>, then it could not be used to support the tendency asserted either by itself or in conjunction with other evidence.</w:t>
      </w:r>
    </w:p>
    <w:p w14:paraId="7F2E8A3F"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[176] </w:t>
      </w:r>
      <w:r w:rsidRPr="00EE604E">
        <w:rPr>
          <w:rFonts w:cs="Arial"/>
          <w:sz w:val="20"/>
          <w:szCs w:val="24"/>
        </w:rPr>
        <w:t>In closing oral submissions, the plaintiff’s counsel accepted that the principles in Clancy were applicable to my assessment of the evidence of Mr R and Mr P</w:t>
      </w:r>
      <w:r>
        <w:rPr>
          <w:rFonts w:cs="Arial"/>
          <w:sz w:val="20"/>
          <w:szCs w:val="24"/>
        </w:rPr>
        <w:t>.”</w:t>
      </w:r>
    </w:p>
    <w:p w14:paraId="3413419E" w14:textId="2895E5E6" w:rsidR="006B1D82" w:rsidRDefault="006B1D82" w:rsidP="0019386A">
      <w:pPr>
        <w:jc w:val="both"/>
        <w:rPr>
          <w:rFonts w:ascii="Arial" w:hAnsi="Arial" w:cs="Arial"/>
          <w:sz w:val="20"/>
          <w:szCs w:val="20"/>
        </w:rPr>
      </w:pPr>
    </w:p>
    <w:p w14:paraId="116E0F80" w14:textId="7868463B" w:rsidR="006728BA" w:rsidRDefault="00114134" w:rsidP="0019386A">
      <w:pPr>
        <w:jc w:val="both"/>
        <w:rPr>
          <w:rFonts w:ascii="Arial" w:hAnsi="Arial" w:cs="Arial"/>
          <w:sz w:val="20"/>
          <w:szCs w:val="20"/>
        </w:rPr>
      </w:pPr>
      <w:r>
        <w:rPr>
          <w:rFonts w:ascii="Arial" w:hAnsi="Arial" w:cs="Arial"/>
          <w:sz w:val="20"/>
          <w:szCs w:val="20"/>
        </w:rPr>
        <w:t xml:space="preserve">In </w:t>
      </w:r>
      <w:r w:rsidRPr="00A56007">
        <w:rPr>
          <w:rFonts w:ascii="Arial" w:hAnsi="Arial" w:cs="Arial"/>
          <w:i/>
          <w:iCs/>
          <w:sz w:val="20"/>
          <w:szCs w:val="20"/>
        </w:rPr>
        <w:t>Jacobs (a pseudonym) v The King</w:t>
      </w:r>
      <w:r>
        <w:rPr>
          <w:rFonts w:ascii="Arial" w:hAnsi="Arial" w:cs="Arial"/>
          <w:sz w:val="20"/>
          <w:szCs w:val="20"/>
        </w:rPr>
        <w:t xml:space="preserve"> [2024] VSCA 309 the Court of Appeal refused leave to appeal against an interlocutory ruling that evidence supporting 14 charges involving 3 complainants was cross-admissible </w:t>
      </w:r>
      <w:r w:rsidR="006728BA">
        <w:rPr>
          <w:rFonts w:ascii="Arial" w:hAnsi="Arial" w:cs="Arial"/>
          <w:sz w:val="20"/>
          <w:szCs w:val="20"/>
        </w:rPr>
        <w:t xml:space="preserve">as </w:t>
      </w:r>
      <w:r>
        <w:rPr>
          <w:rFonts w:ascii="Arial" w:hAnsi="Arial" w:cs="Arial"/>
          <w:sz w:val="20"/>
          <w:szCs w:val="20"/>
        </w:rPr>
        <w:t xml:space="preserve">tendency evidence of the accused’s sexual interest in the complainants and his willingness to act on that interest. </w:t>
      </w:r>
      <w:r w:rsidR="006728BA">
        <w:rPr>
          <w:rFonts w:ascii="Arial" w:hAnsi="Arial" w:cs="Arial"/>
          <w:sz w:val="20"/>
          <w:szCs w:val="20"/>
        </w:rPr>
        <w:t>Priest &amp; T Forrest JJA held</w:t>
      </w:r>
      <w:r>
        <w:rPr>
          <w:rFonts w:ascii="Arial" w:hAnsi="Arial" w:cs="Arial"/>
          <w:sz w:val="20"/>
          <w:szCs w:val="20"/>
        </w:rPr>
        <w:t xml:space="preserve"> that the evidence had significant probative value, that the charges were linked by familial connection and trust and that the risk to prejudice c</w:t>
      </w:r>
      <w:r w:rsidR="00593A96">
        <w:rPr>
          <w:rFonts w:ascii="Arial" w:hAnsi="Arial" w:cs="Arial"/>
          <w:sz w:val="20"/>
          <w:szCs w:val="20"/>
        </w:rPr>
        <w:t>ould</w:t>
      </w:r>
      <w:r>
        <w:rPr>
          <w:rFonts w:ascii="Arial" w:hAnsi="Arial" w:cs="Arial"/>
          <w:sz w:val="20"/>
          <w:szCs w:val="20"/>
        </w:rPr>
        <w:t xml:space="preserve"> be overcome with jury directions</w:t>
      </w:r>
      <w:r w:rsidR="006728BA">
        <w:rPr>
          <w:rFonts w:ascii="Arial" w:hAnsi="Arial" w:cs="Arial"/>
          <w:sz w:val="20"/>
          <w:szCs w:val="20"/>
        </w:rPr>
        <w:t>. In particular at [25] their Honours</w:t>
      </w:r>
      <w:r>
        <w:rPr>
          <w:rFonts w:ascii="Arial" w:hAnsi="Arial" w:cs="Arial"/>
          <w:sz w:val="20"/>
          <w:szCs w:val="20"/>
        </w:rPr>
        <w:t xml:space="preserve"> </w:t>
      </w:r>
      <w:r w:rsidR="006728BA">
        <w:rPr>
          <w:rFonts w:ascii="Arial" w:hAnsi="Arial" w:cs="Arial"/>
          <w:sz w:val="20"/>
          <w:szCs w:val="20"/>
        </w:rPr>
        <w:t xml:space="preserve">summed up the legal principles in s.97(1) &amp; 101(2) of the </w:t>
      </w:r>
      <w:r w:rsidR="006728BA" w:rsidRPr="006728BA">
        <w:rPr>
          <w:rFonts w:ascii="Arial" w:hAnsi="Arial" w:cs="Arial"/>
          <w:i/>
          <w:iCs/>
          <w:sz w:val="20"/>
          <w:szCs w:val="20"/>
        </w:rPr>
        <w:t>Evidence Act 2008</w:t>
      </w:r>
      <w:r w:rsidR="006728BA">
        <w:rPr>
          <w:rFonts w:ascii="Arial" w:hAnsi="Arial" w:cs="Arial"/>
          <w:sz w:val="20"/>
          <w:szCs w:val="20"/>
        </w:rPr>
        <w:t xml:space="preserve"> </w:t>
      </w:r>
      <w:r w:rsidR="00593A96">
        <w:rPr>
          <w:rFonts w:ascii="Arial" w:hAnsi="Arial" w:cs="Arial"/>
          <w:sz w:val="20"/>
          <w:szCs w:val="20"/>
        </w:rPr>
        <w:t xml:space="preserve">and the relevant case law </w:t>
      </w:r>
      <w:r w:rsidR="006728BA">
        <w:rPr>
          <w:rFonts w:ascii="Arial" w:hAnsi="Arial" w:cs="Arial"/>
          <w:sz w:val="20"/>
          <w:szCs w:val="20"/>
        </w:rPr>
        <w:t>as follows:</w:t>
      </w:r>
    </w:p>
    <w:p w14:paraId="32795D2E" w14:textId="78001DB2" w:rsidR="006728BA" w:rsidRPr="00943C7B" w:rsidRDefault="006728BA" w:rsidP="006728BA">
      <w:pPr>
        <w:pStyle w:val="CCVNumberLevel1"/>
        <w:tabs>
          <w:tab w:val="clear" w:pos="1134"/>
        </w:tabs>
        <w:spacing w:before="60" w:after="0" w:line="240" w:lineRule="auto"/>
        <w:ind w:left="567" w:right="567" w:firstLine="0"/>
        <w:rPr>
          <w:rFonts w:cs="Arial"/>
          <w:sz w:val="20"/>
        </w:rPr>
      </w:pPr>
      <w:r>
        <w:rPr>
          <w:rFonts w:cs="Arial"/>
          <w:sz w:val="20"/>
        </w:rPr>
        <w:t>“In short compass:</w:t>
      </w:r>
    </w:p>
    <w:p w14:paraId="6DC4D5E7" w14:textId="2E2AD82F" w:rsidR="00114134" w:rsidRDefault="006728BA"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Tendency evidence is a form of circumstantial evidence that invites inferential reasoning</w:t>
      </w:r>
      <w:r>
        <w:rPr>
          <w:rFonts w:ascii="Arial" w:hAnsi="Arial" w:cs="Arial"/>
          <w:sz w:val="20"/>
        </w:rPr>
        <w:t xml:space="preserve">: </w:t>
      </w:r>
      <w:r w:rsidRPr="006728BA">
        <w:rPr>
          <w:rFonts w:ascii="Arial" w:hAnsi="Arial" w:cs="Arial"/>
          <w:i/>
          <w:iCs/>
          <w:sz w:val="20"/>
        </w:rPr>
        <w:t>RWC v R</w:t>
      </w:r>
      <w:r w:rsidRPr="006728BA">
        <w:rPr>
          <w:rFonts w:ascii="Arial" w:hAnsi="Arial" w:cs="Arial"/>
          <w:sz w:val="20"/>
        </w:rPr>
        <w:t xml:space="preserve"> [2010] NSWCCA 332, [123]</w:t>
      </w:r>
      <w:r>
        <w:rPr>
          <w:rFonts w:ascii="Arial" w:hAnsi="Arial" w:cs="Arial"/>
          <w:sz w:val="20"/>
        </w:rPr>
        <w:t xml:space="preserve"> &amp; [151]-[152]</w:t>
      </w:r>
      <w:r w:rsidRPr="006728BA">
        <w:rPr>
          <w:rFonts w:ascii="Arial" w:hAnsi="Arial" w:cs="Arial"/>
          <w:sz w:val="20"/>
        </w:rPr>
        <w:t xml:space="preserve">. See also </w:t>
      </w:r>
      <w:r w:rsidRPr="006728BA">
        <w:rPr>
          <w:rFonts w:ascii="Arial" w:hAnsi="Arial" w:cs="Arial"/>
          <w:i/>
          <w:iCs/>
          <w:sz w:val="20"/>
        </w:rPr>
        <w:t>Elomar v The Queen</w:t>
      </w:r>
      <w:r w:rsidRPr="006728BA">
        <w:rPr>
          <w:rFonts w:ascii="Arial" w:hAnsi="Arial" w:cs="Arial"/>
          <w:sz w:val="20"/>
        </w:rPr>
        <w:t xml:space="preserve"> (2014) 316 ALR 206, 278 [360]; [2014] NSWCCA 303. In </w:t>
      </w:r>
      <w:r w:rsidRPr="0013683D">
        <w:rPr>
          <w:rFonts w:ascii="Arial" w:hAnsi="Arial" w:cs="Arial"/>
          <w:i/>
          <w:iCs/>
          <w:sz w:val="20"/>
        </w:rPr>
        <w:t>Hughes v The Queen</w:t>
      </w:r>
      <w:r w:rsidRPr="006728BA">
        <w:rPr>
          <w:rFonts w:ascii="Arial" w:hAnsi="Arial" w:cs="Arial"/>
          <w:sz w:val="20"/>
        </w:rPr>
        <w:t xml:space="preserve"> (2017) 263 CLR 338, 206 [70]–[71], Gageler J in his minority judgment observed that tendency reasoning is not deductive logic, but is a form of inferential or inductive reasoning.</w:t>
      </w:r>
      <w:r w:rsidR="0013683D">
        <w:rPr>
          <w:rFonts w:ascii="Arial" w:hAnsi="Arial" w:cs="Arial"/>
          <w:sz w:val="20"/>
        </w:rPr>
        <w:t xml:space="preserve"> </w:t>
      </w:r>
      <w:r w:rsidR="0013683D" w:rsidRPr="006728BA">
        <w:rPr>
          <w:rFonts w:ascii="Arial" w:hAnsi="Arial" w:cs="Arial"/>
          <w:sz w:val="20"/>
        </w:rPr>
        <w:t>The jury is asked to reason that a person who is shown to have a tendency to act in a particular way, or to have a particular state of mind, will behave in conformity with that tendency on other occasions. This makes it more probable that the person acted in that similar way on the charged occasion</w:t>
      </w:r>
      <w:r w:rsidR="0013683D">
        <w:rPr>
          <w:rFonts w:ascii="Arial" w:hAnsi="Arial" w:cs="Arial"/>
          <w:sz w:val="20"/>
        </w:rPr>
        <w:t xml:space="preserve">: </w:t>
      </w:r>
      <w:r w:rsidR="0013683D" w:rsidRPr="0013683D">
        <w:rPr>
          <w:rFonts w:ascii="Arial" w:hAnsi="Arial" w:cs="Arial"/>
          <w:i/>
          <w:iCs/>
          <w:sz w:val="20"/>
        </w:rPr>
        <w:t>Gardiner v The Queen</w:t>
      </w:r>
      <w:r w:rsidR="0013683D" w:rsidRPr="006728BA">
        <w:rPr>
          <w:rFonts w:ascii="Arial" w:hAnsi="Arial" w:cs="Arial"/>
          <w:sz w:val="20"/>
        </w:rPr>
        <w:t xml:space="preserve"> (2006) 162 A Crim R 233 [124]; [2006] NSWCCA 190.</w:t>
      </w:r>
    </w:p>
    <w:p w14:paraId="57B6BA15" w14:textId="3C409322"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To be admissible as tendency evidence, the Court must determine that the impugned evidence, taken by itself or in combination with other evidence, has significant probative value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s 97(1)(b).</w:t>
      </w:r>
    </w:p>
    <w:p w14:paraId="44718AF2" w14:textId="65112C0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‘Probative value’ means the extent to which the evidence could rationally affect the assessment of the probability of a fact in issue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Dictionary Pt 1</w:t>
      </w:r>
      <w:r>
        <w:rPr>
          <w:rFonts w:ascii="Arial" w:hAnsi="Arial" w:cs="Arial"/>
          <w:sz w:val="20"/>
        </w:rPr>
        <w:t>.</w:t>
      </w:r>
    </w:p>
    <w:p w14:paraId="44F3FC3E" w14:textId="5639E8C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Evidence will have ‘significant probative value’ if it could rationally affect the assessment of the probability of a fact in issue to a significant extent</w:t>
      </w:r>
      <w:r>
        <w:rPr>
          <w:rFonts w:ascii="Arial" w:hAnsi="Arial" w:cs="Arial"/>
          <w:sz w:val="20"/>
        </w:rPr>
        <w:t xml:space="preserve">: </w:t>
      </w:r>
      <w:r w:rsidRPr="00585A10">
        <w:rPr>
          <w:rFonts w:ascii="Arial" w:hAnsi="Arial" w:cs="Arial"/>
          <w:i/>
          <w:iCs/>
          <w:sz w:val="20"/>
        </w:rPr>
        <w:t>Hughes</w:t>
      </w:r>
      <w:r>
        <w:rPr>
          <w:rFonts w:ascii="Arial" w:hAnsi="Arial" w:cs="Arial"/>
          <w:sz w:val="20"/>
        </w:rPr>
        <w:t xml:space="preserve"> at 348 [16]; [2017] HCA 20. </w:t>
      </w:r>
      <w:r w:rsidRPr="006728BA">
        <w:rPr>
          <w:rFonts w:ascii="Arial" w:hAnsi="Arial" w:cs="Arial"/>
          <w:sz w:val="20"/>
        </w:rPr>
        <w:t>The evidence must be important or of consequence to that evaluation</w:t>
      </w:r>
      <w:r>
        <w:rPr>
          <w:rFonts w:ascii="Arial" w:hAnsi="Arial" w:cs="Arial"/>
          <w:sz w:val="20"/>
        </w:rPr>
        <w:t>: Ibid at 336 [41].</w:t>
      </w:r>
    </w:p>
    <w:p w14:paraId="44606197" w14:textId="6C8F9FCD"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It is necessary to identify with precision the tendency alleged and the facts in issue</w:t>
      </w:r>
      <w:r w:rsidR="0013683D">
        <w:rPr>
          <w:rFonts w:ascii="Arial" w:hAnsi="Arial" w:cs="Arial"/>
          <w:sz w:val="20"/>
        </w:rPr>
        <w:t xml:space="preserve">: </w:t>
      </w:r>
      <w:r w:rsidR="0013683D" w:rsidRPr="0013683D">
        <w:rPr>
          <w:rFonts w:ascii="Arial" w:hAnsi="Arial" w:cs="Arial"/>
          <w:i/>
          <w:iCs/>
          <w:sz w:val="20"/>
        </w:rPr>
        <w:t>Hughes</w:t>
      </w:r>
      <w:r w:rsidR="0013683D">
        <w:rPr>
          <w:rFonts w:ascii="Arial" w:hAnsi="Arial" w:cs="Arial"/>
          <w:sz w:val="20"/>
        </w:rPr>
        <w:t xml:space="preserve"> at </w:t>
      </w:r>
      <w:r w:rsidR="0013683D" w:rsidRPr="0013683D">
        <w:rPr>
          <w:rFonts w:ascii="Arial" w:hAnsi="Arial" w:cs="Arial"/>
          <w:sz w:val="20"/>
        </w:rPr>
        <w:t xml:space="preserve">363 [64]; [2017] HCA 20; </w:t>
      </w:r>
      <w:r w:rsidR="0013683D" w:rsidRPr="0013683D">
        <w:rPr>
          <w:rFonts w:ascii="Arial" w:hAnsi="Arial" w:cs="Arial"/>
          <w:i/>
          <w:iCs/>
          <w:sz w:val="20"/>
        </w:rPr>
        <w:t>Dempsey (a pseudonym) v The Queen</w:t>
      </w:r>
      <w:r w:rsidR="0013683D" w:rsidRPr="0013683D">
        <w:rPr>
          <w:rFonts w:ascii="Arial" w:hAnsi="Arial" w:cs="Arial"/>
          <w:sz w:val="20"/>
        </w:rPr>
        <w:t xml:space="preserve"> [2019] VSCA 224, [60].</w:t>
      </w:r>
    </w:p>
    <w:p w14:paraId="5C8278F9" w14:textId="38BEF8BA"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The assessment of ‘significant probative value’ involves an assessment of: (a) the extent to which the evidence supports the tendency; and (b) the extent to which the tendency makes more likely the facts constituting the charged offence</w:t>
      </w:r>
      <w:r w:rsidR="0013683D">
        <w:rPr>
          <w:rFonts w:ascii="Arial" w:hAnsi="Arial" w:cs="Arial"/>
          <w:sz w:val="20"/>
        </w:rPr>
        <w:t xml:space="preserve">: </w:t>
      </w:r>
      <w:r w:rsidR="0013683D" w:rsidRPr="0013683D">
        <w:rPr>
          <w:rFonts w:ascii="Arial" w:hAnsi="Arial" w:cs="Arial"/>
          <w:i/>
          <w:iCs/>
          <w:sz w:val="20"/>
        </w:rPr>
        <w:t>TL v The King</w:t>
      </w:r>
      <w:r w:rsidR="0013683D" w:rsidRPr="0013683D">
        <w:rPr>
          <w:rFonts w:ascii="Arial" w:hAnsi="Arial" w:cs="Arial"/>
          <w:sz w:val="20"/>
        </w:rPr>
        <w:t xml:space="preserve"> (2022) CLR 83, 95 [28]; [2022] HCA 35; </w:t>
      </w:r>
      <w:r w:rsidR="0013683D" w:rsidRPr="0013683D">
        <w:rPr>
          <w:rFonts w:ascii="Arial" w:hAnsi="Arial" w:cs="Arial"/>
          <w:i/>
          <w:iCs/>
          <w:sz w:val="20"/>
        </w:rPr>
        <w:t>Hughes</w:t>
      </w:r>
      <w:r w:rsidR="0013683D" w:rsidRPr="0013683D">
        <w:rPr>
          <w:rFonts w:ascii="Arial" w:hAnsi="Arial" w:cs="Arial"/>
          <w:sz w:val="20"/>
        </w:rPr>
        <w:t xml:space="preserve"> </w:t>
      </w:r>
      <w:r w:rsidR="00585A10">
        <w:rPr>
          <w:rFonts w:ascii="Arial" w:hAnsi="Arial" w:cs="Arial"/>
          <w:sz w:val="20"/>
        </w:rPr>
        <w:t xml:space="preserve">at </w:t>
      </w:r>
      <w:r w:rsidR="0013683D" w:rsidRPr="0013683D">
        <w:rPr>
          <w:rFonts w:ascii="Arial" w:hAnsi="Arial" w:cs="Arial"/>
          <w:sz w:val="20"/>
        </w:rPr>
        <w:t>356 [41].</w:t>
      </w:r>
    </w:p>
    <w:p w14:paraId="343C4556" w14:textId="3B1AA8EE" w:rsidR="00AD7480"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lastRenderedPageBreak/>
        <w:t>In a muti-complainant case, the question that arises is whether the evidence that the accused committed a sexual offence against one complainant is significantly probative of the accused having committed a sexual offence against another complainant</w:t>
      </w:r>
      <w:r w:rsidR="0013683D">
        <w:rPr>
          <w:rFonts w:ascii="Arial" w:hAnsi="Arial" w:cs="Arial"/>
          <w:sz w:val="20"/>
        </w:rPr>
        <w:t xml:space="preserve">: </w:t>
      </w:r>
      <w:r w:rsidR="0013683D" w:rsidRPr="00AD7480">
        <w:rPr>
          <w:rFonts w:ascii="Arial" w:hAnsi="Arial" w:cs="Arial"/>
          <w:i/>
          <w:iCs/>
          <w:sz w:val="20"/>
        </w:rPr>
        <w:t>R v Bauer</w:t>
      </w:r>
      <w:r w:rsidR="00AD7480">
        <w:rPr>
          <w:rFonts w:ascii="Arial" w:hAnsi="Arial" w:cs="Arial"/>
          <w:sz w:val="20"/>
        </w:rPr>
        <w:t xml:space="preserve"> </w:t>
      </w:r>
      <w:r w:rsidR="0013683D" w:rsidRPr="0013683D">
        <w:rPr>
          <w:rFonts w:ascii="Arial" w:hAnsi="Arial" w:cs="Arial"/>
          <w:sz w:val="20"/>
        </w:rPr>
        <w:t>(2018) 266 CLR 56, 87 [58]; [2018] HCA 40.</w:t>
      </w:r>
      <w:r w:rsidR="0013683D">
        <w:rPr>
          <w:rFonts w:ascii="Arial" w:hAnsi="Arial" w:cs="Arial"/>
          <w:sz w:val="20"/>
        </w:rPr>
        <w:t xml:space="preserve"> </w:t>
      </w:r>
      <w:r w:rsidRPr="0013683D">
        <w:rPr>
          <w:rFonts w:ascii="Arial" w:hAnsi="Arial" w:cs="Arial"/>
          <w:sz w:val="20"/>
        </w:rPr>
        <w:t>Ordinarily, there must be some feature of or about the offending which links the two together; if there is some common feature, it may demonstrate a tendency to act in a particular way, proof of which increases the likelihood that the account under consideration is true</w:t>
      </w:r>
      <w:r w:rsidR="00AD7480">
        <w:rPr>
          <w:rFonts w:ascii="Arial" w:hAnsi="Arial" w:cs="Arial"/>
          <w:sz w:val="20"/>
        </w:rPr>
        <w:t>: Ibid.</w:t>
      </w:r>
    </w:p>
    <w:p w14:paraId="1BC508FA" w14:textId="05565FB0" w:rsidR="00AD7480" w:rsidRDefault="006728BA" w:rsidP="002D1856">
      <w:pPr>
        <w:pStyle w:val="ListParagraph"/>
        <w:numPr>
          <w:ilvl w:val="0"/>
          <w:numId w:val="137"/>
        </w:numPr>
        <w:spacing w:before="40"/>
        <w:ind w:left="924" w:right="567" w:hanging="357"/>
        <w:jc w:val="both"/>
        <w:rPr>
          <w:rFonts w:ascii="Arial" w:hAnsi="Arial" w:cs="Arial"/>
          <w:sz w:val="20"/>
        </w:rPr>
      </w:pPr>
      <w:r w:rsidRPr="00AD7480">
        <w:rPr>
          <w:rFonts w:ascii="Arial" w:hAnsi="Arial" w:cs="Arial"/>
          <w:i/>
          <w:iCs/>
          <w:sz w:val="20"/>
        </w:rPr>
        <w:t>In Harris (a pseudonym) v The Queen</w:t>
      </w:r>
      <w:r w:rsidR="00AD7480">
        <w:rPr>
          <w:rFonts w:ascii="Arial" w:hAnsi="Arial" w:cs="Arial"/>
          <w:sz w:val="20"/>
        </w:rPr>
        <w:t xml:space="preserve"> [2024] VSCA 43, </w:t>
      </w:r>
      <w:r w:rsidRPr="0013683D">
        <w:rPr>
          <w:rFonts w:ascii="Arial" w:hAnsi="Arial" w:cs="Arial"/>
          <w:sz w:val="20"/>
        </w:rPr>
        <w:t xml:space="preserve">a critical underlying feature of the offending conduct was the domestic context in which the offending occurred: the applicant was either a parent or a carer. The relationship provided the opportunity and </w:t>
      </w:r>
      <w:r w:rsidR="00585A10">
        <w:rPr>
          <w:rFonts w:ascii="Arial" w:hAnsi="Arial" w:cs="Arial"/>
          <w:sz w:val="20"/>
        </w:rPr>
        <w:t xml:space="preserve"> </w:t>
      </w:r>
      <w:r w:rsidRPr="0013683D">
        <w:rPr>
          <w:rFonts w:ascii="Arial" w:hAnsi="Arial" w:cs="Arial"/>
          <w:sz w:val="20"/>
        </w:rPr>
        <w:t>explained the circumstances in which the applicant was prepared to act on his sexual interest</w:t>
      </w:r>
      <w:r w:rsidR="00AD7480">
        <w:rPr>
          <w:rFonts w:ascii="Arial" w:hAnsi="Arial" w:cs="Arial"/>
          <w:sz w:val="20"/>
        </w:rPr>
        <w:t>: Ibid at [68].</w:t>
      </w:r>
    </w:p>
    <w:p w14:paraId="779E4597" w14:textId="5DA1A5FF" w:rsidR="00114134" w:rsidRP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 xml:space="preserve">There is a risk that tendency evidence may be given too much weight, either as a result of a jury understanding the number of persons who share the tendency, or misapprehending whether the tendency contributed to the alleged act occurring. The evaluation of tendency evidence ‘may be clouded by the jury’s emotional response’ to it,and prejudice may also arise if an accused is required ‘to answer a raft of uncharged conduct stretching back, perhaps, over many years’. </w:t>
      </w:r>
      <w:r w:rsidR="00585A10">
        <w:rPr>
          <w:rFonts w:ascii="Arial" w:hAnsi="Arial" w:cs="Arial"/>
          <w:sz w:val="20"/>
        </w:rPr>
        <w:t xml:space="preserve">See </w:t>
      </w:r>
      <w:r w:rsidR="00585A10" w:rsidRPr="00585A10">
        <w:rPr>
          <w:rFonts w:ascii="Arial" w:hAnsi="Arial" w:cs="Arial"/>
          <w:i/>
          <w:iCs/>
          <w:sz w:val="20"/>
        </w:rPr>
        <w:t>Hughes</w:t>
      </w:r>
      <w:r w:rsidR="00585A10">
        <w:rPr>
          <w:rFonts w:ascii="Arial" w:hAnsi="Arial" w:cs="Arial"/>
          <w:sz w:val="20"/>
        </w:rPr>
        <w:t xml:space="preserve"> at 349 [17].”</w:t>
      </w:r>
    </w:p>
    <w:p w14:paraId="35796DBB" w14:textId="77777777" w:rsidR="00114134" w:rsidRDefault="00114134" w:rsidP="0019386A">
      <w:pPr>
        <w:jc w:val="both"/>
        <w:rPr>
          <w:rFonts w:ascii="Arial" w:hAnsi="Arial" w:cs="Arial"/>
          <w:sz w:val="20"/>
          <w:szCs w:val="20"/>
        </w:rPr>
      </w:pPr>
    </w:p>
    <w:p w14:paraId="1FB84C8F" w14:textId="598DB99D" w:rsidR="002768B3" w:rsidRDefault="002768B3" w:rsidP="0019386A">
      <w:pPr>
        <w:jc w:val="both"/>
        <w:rPr>
          <w:rFonts w:ascii="Arial" w:hAnsi="Arial" w:cs="Arial"/>
          <w:color w:val="000000"/>
          <w:sz w:val="20"/>
          <w:szCs w:val="20"/>
        </w:rPr>
      </w:pPr>
      <w:r>
        <w:rPr>
          <w:rFonts w:ascii="Arial" w:hAnsi="Arial" w:cs="Arial"/>
          <w:sz w:val="20"/>
          <w:szCs w:val="20"/>
        </w:rPr>
        <w:t xml:space="preserve">In </w:t>
      </w:r>
      <w:r w:rsidRPr="002768B3">
        <w:rPr>
          <w:rFonts w:ascii="Arial" w:hAnsi="Arial" w:cs="Arial"/>
          <w:i/>
          <w:iCs/>
          <w:sz w:val="20"/>
          <w:szCs w:val="20"/>
        </w:rPr>
        <w:t>DPP v Clifford (Ruling No 2)</w:t>
      </w:r>
      <w:r>
        <w:rPr>
          <w:rFonts w:ascii="Arial" w:hAnsi="Arial" w:cs="Arial"/>
          <w:sz w:val="20"/>
          <w:szCs w:val="20"/>
        </w:rPr>
        <w:t xml:space="preserve"> [2025] VSC 157 the 18 year old accused had been charged with murder. </w:t>
      </w:r>
      <w:r w:rsidR="00E56632">
        <w:rPr>
          <w:rFonts w:ascii="Arial" w:hAnsi="Arial" w:cs="Arial"/>
          <w:color w:val="000000"/>
          <w:sz w:val="20"/>
          <w:szCs w:val="20"/>
        </w:rPr>
        <w:t>He had stabbed the 40 year old victim seven times when confronted by the victim while searching inside the victim’s parked car. In a pre-trial hearing the prosecution sought to adduce two items of alleged tendency evidence:</w:t>
      </w:r>
    </w:p>
    <w:p w14:paraId="5A1B5189" w14:textId="62B033AF" w:rsidR="00E56632" w:rsidRDefault="00E56632" w:rsidP="0017796C">
      <w:pPr>
        <w:pStyle w:val="ListParagraph"/>
        <w:numPr>
          <w:ilvl w:val="0"/>
          <w:numId w:val="155"/>
        </w:numPr>
        <w:ind w:left="357" w:hanging="357"/>
        <w:jc w:val="both"/>
        <w:rPr>
          <w:rFonts w:ascii="Arial" w:hAnsi="Arial" w:cs="Arial"/>
          <w:color w:val="000000"/>
          <w:sz w:val="20"/>
        </w:rPr>
      </w:pPr>
      <w:r w:rsidRPr="00E56632">
        <w:rPr>
          <w:rFonts w:ascii="Arial" w:hAnsi="Arial" w:cs="Arial"/>
          <w:color w:val="000000"/>
          <w:sz w:val="20"/>
        </w:rPr>
        <w:t xml:space="preserve">that the accused </w:t>
      </w:r>
      <w:r>
        <w:rPr>
          <w:rFonts w:ascii="Arial" w:hAnsi="Arial" w:cs="Arial"/>
          <w:color w:val="000000"/>
          <w:sz w:val="20"/>
        </w:rPr>
        <w:t xml:space="preserve">had </w:t>
      </w:r>
      <w:r w:rsidRPr="00E56632">
        <w:rPr>
          <w:rFonts w:ascii="Arial" w:hAnsi="Arial" w:cs="Arial"/>
          <w:color w:val="000000"/>
          <w:sz w:val="20"/>
        </w:rPr>
        <w:t xml:space="preserve">pleaded guilty to </w:t>
      </w:r>
      <w:r>
        <w:rPr>
          <w:rFonts w:ascii="Arial" w:hAnsi="Arial" w:cs="Arial"/>
          <w:color w:val="000000"/>
          <w:sz w:val="20"/>
        </w:rPr>
        <w:t xml:space="preserve">earlier </w:t>
      </w:r>
      <w:r w:rsidRPr="00E56632">
        <w:rPr>
          <w:rFonts w:ascii="Arial" w:hAnsi="Arial" w:cs="Arial"/>
          <w:color w:val="000000"/>
          <w:sz w:val="20"/>
        </w:rPr>
        <w:t xml:space="preserve">charges including attempted theft, possession of a controlled weapon without lawful excuse, and assault with a weapon arising out of an </w:t>
      </w:r>
      <w:r>
        <w:rPr>
          <w:rFonts w:ascii="Arial" w:hAnsi="Arial" w:cs="Arial"/>
          <w:color w:val="000000"/>
          <w:sz w:val="20"/>
        </w:rPr>
        <w:t xml:space="preserve">earlier </w:t>
      </w:r>
      <w:r w:rsidRPr="00E56632">
        <w:rPr>
          <w:rFonts w:ascii="Arial" w:hAnsi="Arial" w:cs="Arial"/>
          <w:color w:val="000000"/>
          <w:sz w:val="20"/>
        </w:rPr>
        <w:t>incident in which he was confronted when attempting to steal from a vehicle and pulled a knife, pointing it at the victim;</w:t>
      </w:r>
    </w:p>
    <w:p w14:paraId="689D7272" w14:textId="78C2259F" w:rsidR="00E56632" w:rsidRPr="00E56632" w:rsidRDefault="00E56632" w:rsidP="0017796C">
      <w:pPr>
        <w:pStyle w:val="ListParagraph"/>
        <w:numPr>
          <w:ilvl w:val="0"/>
          <w:numId w:val="155"/>
        </w:numPr>
        <w:ind w:left="357" w:hanging="357"/>
        <w:jc w:val="both"/>
        <w:rPr>
          <w:rFonts w:ascii="Arial" w:hAnsi="Arial" w:cs="Arial"/>
          <w:color w:val="000000"/>
          <w:sz w:val="20"/>
        </w:rPr>
      </w:pPr>
      <w:r>
        <w:rPr>
          <w:rFonts w:ascii="Arial" w:hAnsi="Arial" w:cs="Arial"/>
          <w:color w:val="000000"/>
          <w:sz w:val="20"/>
        </w:rPr>
        <w:t xml:space="preserve">evidence of the accused’s admissions to a friend of his that </w:t>
      </w:r>
      <w:r w:rsidRPr="00E56632">
        <w:rPr>
          <w:rFonts w:ascii="Arial" w:hAnsi="Arial" w:cs="Arial"/>
          <w:color w:val="000000"/>
          <w:sz w:val="20"/>
        </w:rPr>
        <w:t>he had been breaking into cars on the night of the deceased’s death, that he was confronted by the deceased, and that during this confrontation he had pulled out ‘his’ knife and stabbed the deceased</w:t>
      </w:r>
      <w:r>
        <w:rPr>
          <w:rFonts w:ascii="Arial" w:hAnsi="Arial" w:cs="Arial"/>
          <w:color w:val="000000"/>
          <w:sz w:val="20"/>
        </w:rPr>
        <w:t>.</w:t>
      </w:r>
    </w:p>
    <w:p w14:paraId="3E5DFE93" w14:textId="77777777" w:rsidR="0017796C" w:rsidRDefault="00E56632" w:rsidP="00E56632">
      <w:pPr>
        <w:spacing w:before="120"/>
        <w:jc w:val="both"/>
        <w:rPr>
          <w:rFonts w:ascii="Arial" w:hAnsi="Arial" w:cs="Arial"/>
          <w:color w:val="000000"/>
          <w:sz w:val="20"/>
          <w:szCs w:val="20"/>
        </w:rPr>
      </w:pPr>
      <w:r>
        <w:rPr>
          <w:rFonts w:ascii="Arial" w:hAnsi="Arial" w:cs="Arial"/>
          <w:color w:val="000000"/>
          <w:sz w:val="20"/>
          <w:szCs w:val="20"/>
        </w:rPr>
        <w:t xml:space="preserve">After quoting at [29]-[30] dicta from </w:t>
      </w:r>
      <w:r w:rsidRPr="00E56632">
        <w:rPr>
          <w:rFonts w:ascii="Arial" w:hAnsi="Arial" w:cs="Arial"/>
          <w:i/>
          <w:iCs/>
          <w:color w:val="000000"/>
          <w:sz w:val="20"/>
          <w:szCs w:val="20"/>
        </w:rPr>
        <w:t>DPP (Vic) v Roder (a pseudonym)</w:t>
      </w:r>
      <w:r>
        <w:rPr>
          <w:rFonts w:ascii="Arial" w:hAnsi="Arial" w:cs="Arial"/>
          <w:color w:val="000000"/>
          <w:sz w:val="20"/>
          <w:szCs w:val="20"/>
        </w:rPr>
        <w:t xml:space="preserve"> (2024) 307 A Crim R 283 at [24] and </w:t>
      </w:r>
      <w:r w:rsidRPr="00E56632">
        <w:rPr>
          <w:rFonts w:ascii="Arial" w:hAnsi="Arial" w:cs="Arial"/>
          <w:i/>
          <w:iCs/>
          <w:color w:val="000000"/>
          <w:sz w:val="20"/>
          <w:szCs w:val="20"/>
        </w:rPr>
        <w:t>TL v The King</w:t>
      </w:r>
      <w:r>
        <w:rPr>
          <w:rFonts w:ascii="Arial" w:hAnsi="Arial" w:cs="Arial"/>
          <w:color w:val="000000"/>
          <w:sz w:val="20"/>
          <w:szCs w:val="20"/>
        </w:rPr>
        <w:t xml:space="preserve"> (2022) 275 CLR 83 at [29], Incerti J ultimately held </w:t>
      </w:r>
      <w:r w:rsidR="0017796C">
        <w:rPr>
          <w:rFonts w:ascii="Arial" w:hAnsi="Arial" w:cs="Arial"/>
          <w:color w:val="000000"/>
          <w:sz w:val="20"/>
          <w:szCs w:val="20"/>
        </w:rPr>
        <w:t>at [68] that–</w:t>
      </w:r>
    </w:p>
    <w:p w14:paraId="05F6866F"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the evidence of each of the two items detailed above was not admissible as tendency evidence; and</w:t>
      </w:r>
    </w:p>
    <w:p w14:paraId="7A952E21"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 xml:space="preserve">in any event she would have excluded it on the basis that its probative value does not </w:t>
      </w:r>
      <w:r w:rsidRPr="0017796C">
        <w:rPr>
          <w:rFonts w:ascii="Arial" w:hAnsi="Arial" w:cs="Arial"/>
          <w:color w:val="000000"/>
          <w:sz w:val="20"/>
        </w:rPr>
        <w:t>substantially outweigh the prejudicial effect it may have on the accused.</w:t>
      </w:r>
    </w:p>
    <w:p w14:paraId="3EC10C1E" w14:textId="3A05AE8D" w:rsidR="0017796C" w:rsidRDefault="0017796C" w:rsidP="0017796C">
      <w:pPr>
        <w:spacing w:before="120"/>
        <w:jc w:val="both"/>
        <w:rPr>
          <w:rFonts w:ascii="Arial" w:hAnsi="Arial" w:cs="Arial"/>
          <w:color w:val="000000"/>
          <w:sz w:val="20"/>
          <w:szCs w:val="20"/>
        </w:rPr>
      </w:pPr>
      <w:r>
        <w:rPr>
          <w:rFonts w:ascii="Arial" w:hAnsi="Arial" w:cs="Arial"/>
          <w:color w:val="000000"/>
          <w:sz w:val="20"/>
          <w:szCs w:val="20"/>
        </w:rPr>
        <w:t xml:space="preserve">The accused had </w:t>
      </w:r>
      <w:r w:rsidRPr="00E56632">
        <w:rPr>
          <w:rFonts w:ascii="Arial" w:hAnsi="Arial" w:cs="Arial"/>
          <w:color w:val="000000"/>
          <w:sz w:val="20"/>
          <w:szCs w:val="20"/>
        </w:rPr>
        <w:t xml:space="preserve">indicated </w:t>
      </w:r>
      <w:r>
        <w:rPr>
          <w:rFonts w:ascii="Arial" w:hAnsi="Arial" w:cs="Arial"/>
          <w:color w:val="000000"/>
          <w:sz w:val="20"/>
          <w:szCs w:val="20"/>
        </w:rPr>
        <w:t xml:space="preserve">at the pre-trial hearing </w:t>
      </w:r>
      <w:r w:rsidRPr="00E56632">
        <w:rPr>
          <w:rFonts w:ascii="Arial" w:hAnsi="Arial" w:cs="Arial"/>
          <w:color w:val="000000"/>
          <w:sz w:val="20"/>
          <w:szCs w:val="20"/>
        </w:rPr>
        <w:t>that he intend</w:t>
      </w:r>
      <w:r>
        <w:rPr>
          <w:rFonts w:ascii="Arial" w:hAnsi="Arial" w:cs="Arial"/>
          <w:color w:val="000000"/>
          <w:sz w:val="20"/>
          <w:szCs w:val="20"/>
        </w:rPr>
        <w:t>ed</w:t>
      </w:r>
      <w:r w:rsidRPr="00E56632">
        <w:rPr>
          <w:rFonts w:ascii="Arial" w:hAnsi="Arial" w:cs="Arial"/>
          <w:color w:val="000000"/>
          <w:sz w:val="20"/>
          <w:szCs w:val="20"/>
        </w:rPr>
        <w:t xml:space="preserve"> to plead guilty to manslaughter at the commencement of the trial.</w:t>
      </w:r>
      <w:r>
        <w:rPr>
          <w:rFonts w:ascii="Arial" w:hAnsi="Arial" w:cs="Arial"/>
          <w:color w:val="000000"/>
          <w:sz w:val="20"/>
          <w:szCs w:val="20"/>
        </w:rPr>
        <w:t xml:space="preserve"> Ultimately the prosecution accepted the plea. Her Honour’s sentencing remarks are detailed in </w:t>
      </w:r>
      <w:r w:rsidRPr="0017796C">
        <w:rPr>
          <w:rFonts w:ascii="Arial" w:hAnsi="Arial" w:cs="Arial"/>
          <w:b/>
          <w:bCs/>
          <w:color w:val="000000"/>
          <w:sz w:val="20"/>
          <w:szCs w:val="20"/>
          <w:shd w:val="clear" w:color="auto" w:fill="C5E0B3" w:themeFill="accent6" w:themeFillTint="66"/>
        </w:rPr>
        <w:t>section 11.2.22.1</w:t>
      </w:r>
      <w:r>
        <w:rPr>
          <w:rFonts w:ascii="Arial" w:hAnsi="Arial" w:cs="Arial"/>
          <w:color w:val="000000"/>
          <w:sz w:val="20"/>
          <w:szCs w:val="20"/>
        </w:rPr>
        <w:t>.</w:t>
      </w:r>
    </w:p>
    <w:p w14:paraId="27F8A4D5" w14:textId="77777777" w:rsidR="00E456F6" w:rsidRPr="006B1D82" w:rsidRDefault="00E456F6" w:rsidP="0019386A">
      <w:pPr>
        <w:jc w:val="both"/>
        <w:rPr>
          <w:rFonts w:ascii="Arial" w:hAnsi="Arial" w:cs="Arial"/>
          <w:sz w:val="20"/>
          <w:szCs w:val="20"/>
        </w:rPr>
      </w:pPr>
    </w:p>
    <w:p w14:paraId="1BA2090E" w14:textId="4717DC2C" w:rsidR="00630923" w:rsidRDefault="00976CB1" w:rsidP="00A44886">
      <w:pPr>
        <w:jc w:val="both"/>
        <w:rPr>
          <w:rFonts w:ascii="Arial" w:hAnsi="Arial" w:cs="Arial"/>
          <w:sz w:val="20"/>
        </w:rPr>
      </w:pPr>
      <w:bookmarkStart w:id="601" w:name="_3.5.3.8_Conflicting_evidence"/>
      <w:bookmarkStart w:id="602" w:name="_Hlk96415398"/>
      <w:bookmarkEnd w:id="601"/>
      <w:r>
        <w:rPr>
          <w:rFonts w:ascii="Arial" w:hAnsi="Arial" w:cs="Arial"/>
          <w:sz w:val="20"/>
          <w:szCs w:val="20"/>
        </w:rPr>
        <w:t>For further dicta on tendency evidence s</w:t>
      </w:r>
      <w:r w:rsidR="006B2259" w:rsidRPr="009B6C10">
        <w:rPr>
          <w:rFonts w:ascii="Arial" w:hAnsi="Arial" w:cs="Arial"/>
          <w:sz w:val="20"/>
          <w:szCs w:val="20"/>
        </w:rPr>
        <w:t xml:space="preserve">ee </w:t>
      </w:r>
      <w:r w:rsidR="006B2259" w:rsidRPr="009B6C10">
        <w:rPr>
          <w:rFonts w:ascii="Arial" w:hAnsi="Arial" w:cs="Arial"/>
          <w:i/>
          <w:iCs/>
          <w:sz w:val="20"/>
          <w:szCs w:val="20"/>
        </w:rPr>
        <w:t>Harlen (a pseudonym) v The King</w:t>
      </w:r>
      <w:r w:rsidR="006B2259"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DPP v Alhassan (Rulings 1 to 5)</w:t>
      </w:r>
      <w:r w:rsidR="00215CB5">
        <w:rPr>
          <w:rFonts w:ascii="Arial" w:hAnsi="Arial" w:cs="Arial"/>
          <w:sz w:val="20"/>
        </w:rPr>
        <w:t xml:space="preserve"> [2024] VSC 573 at [46]-[82] &amp; [83]-[99]</w:t>
      </w:r>
      <w:bookmarkStart w:id="603" w:name="_Hlk185238093"/>
      <w:r w:rsidR="007B0655">
        <w:rPr>
          <w:rFonts w:ascii="Arial" w:hAnsi="Arial" w:cs="Arial"/>
          <w:sz w:val="20"/>
        </w:rPr>
        <w:t xml:space="preserve">; </w:t>
      </w:r>
      <w:r w:rsidR="007B0655" w:rsidRPr="007B0655">
        <w:rPr>
          <w:rFonts w:ascii="Arial" w:hAnsi="Arial" w:cs="Arial"/>
          <w:i/>
          <w:iCs/>
          <w:sz w:val="20"/>
        </w:rPr>
        <w:t>DP (a pseudonym) v Bird</w:t>
      </w:r>
      <w:r w:rsidR="007B0655">
        <w:rPr>
          <w:rFonts w:ascii="Arial" w:hAnsi="Arial" w:cs="Arial"/>
          <w:sz w:val="20"/>
        </w:rPr>
        <w:t xml:space="preserve"> [2021] VSC 850 at [91]-[98]</w:t>
      </w:r>
      <w:r>
        <w:rPr>
          <w:rFonts w:ascii="Arial" w:hAnsi="Arial" w:cs="Arial"/>
          <w:sz w:val="20"/>
        </w:rPr>
        <w:t xml:space="preserve">; </w:t>
      </w:r>
      <w:r w:rsidRPr="00976CB1">
        <w:rPr>
          <w:rFonts w:ascii="Arial" w:hAnsi="Arial" w:cs="Arial"/>
          <w:i/>
          <w:iCs/>
          <w:sz w:val="20"/>
        </w:rPr>
        <w:t>Ward v The King</w:t>
      </w:r>
      <w:r>
        <w:rPr>
          <w:rFonts w:ascii="Arial" w:hAnsi="Arial" w:cs="Arial"/>
          <w:sz w:val="20"/>
        </w:rPr>
        <w:t xml:space="preserve"> [2025] VSCA 101 at [184]-[194]</w:t>
      </w:r>
      <w:r w:rsidR="00630923">
        <w:rPr>
          <w:rFonts w:ascii="Arial" w:hAnsi="Arial" w:cs="Arial"/>
          <w:sz w:val="20"/>
        </w:rPr>
        <w:t xml:space="preserve">; </w:t>
      </w:r>
      <w:r w:rsidR="00630923" w:rsidRPr="00630923">
        <w:rPr>
          <w:rFonts w:ascii="Arial" w:hAnsi="Arial" w:cs="Arial"/>
          <w:i/>
          <w:iCs/>
          <w:sz w:val="20"/>
          <w:szCs w:val="20"/>
        </w:rPr>
        <w:t>DPP v Mehdi &amp; Ors (Ruling 1)</w:t>
      </w:r>
      <w:r w:rsidR="00630923">
        <w:rPr>
          <w:rFonts w:ascii="Arial" w:hAnsi="Arial" w:cs="Arial"/>
          <w:sz w:val="20"/>
          <w:szCs w:val="20"/>
        </w:rPr>
        <w:t xml:space="preserve"> [2024] VSC 830 at [22]-[40]</w:t>
      </w:r>
      <w:r w:rsidR="009C60AB">
        <w:rPr>
          <w:rFonts w:ascii="Arial" w:hAnsi="Arial" w:cs="Arial"/>
          <w:sz w:val="20"/>
          <w:szCs w:val="20"/>
        </w:rPr>
        <w:t xml:space="preserve">; </w:t>
      </w:r>
      <w:r w:rsidR="009C60AB" w:rsidRPr="009C60AB">
        <w:rPr>
          <w:rFonts w:ascii="Arial" w:hAnsi="Arial" w:cs="Arial"/>
          <w:i/>
          <w:iCs/>
          <w:sz w:val="20"/>
          <w:szCs w:val="20"/>
        </w:rPr>
        <w:t>Poole (a pseudonym) v The King</w:t>
      </w:r>
      <w:r w:rsidR="009C60AB">
        <w:rPr>
          <w:rFonts w:ascii="Arial" w:hAnsi="Arial" w:cs="Arial"/>
          <w:sz w:val="20"/>
          <w:szCs w:val="20"/>
        </w:rPr>
        <w:t xml:space="preserve"> [2025] VSCA 127 at [19]-[26] &amp; [59]-[91]</w:t>
      </w:r>
      <w:r w:rsidR="00C62AB3">
        <w:rPr>
          <w:rFonts w:ascii="Arial" w:hAnsi="Arial" w:cs="Arial"/>
          <w:sz w:val="20"/>
          <w:szCs w:val="20"/>
        </w:rPr>
        <w:t xml:space="preserve">; </w:t>
      </w:r>
      <w:r w:rsidR="006F4F2A" w:rsidRPr="002A4FAE">
        <w:rPr>
          <w:rFonts w:ascii="Arial" w:hAnsi="Arial" w:cs="Arial"/>
          <w:i/>
          <w:iCs/>
          <w:sz w:val="20"/>
          <w:szCs w:val="20"/>
        </w:rPr>
        <w:t xml:space="preserve">R v Patterson (Ruling </w:t>
      </w:r>
      <w:r w:rsidR="006F4F2A">
        <w:rPr>
          <w:rFonts w:ascii="Arial" w:hAnsi="Arial" w:cs="Arial"/>
          <w:i/>
          <w:iCs/>
          <w:sz w:val="20"/>
          <w:szCs w:val="20"/>
        </w:rPr>
        <w:t>1</w:t>
      </w:r>
      <w:r w:rsidR="006F4F2A" w:rsidRPr="002A4FAE">
        <w:rPr>
          <w:rFonts w:ascii="Arial" w:hAnsi="Arial" w:cs="Arial"/>
          <w:i/>
          <w:iCs/>
          <w:sz w:val="20"/>
          <w:szCs w:val="20"/>
        </w:rPr>
        <w:t>)</w:t>
      </w:r>
      <w:r w:rsidR="006F4F2A" w:rsidRPr="002A4FAE">
        <w:rPr>
          <w:rFonts w:ascii="Arial" w:hAnsi="Arial" w:cs="Arial"/>
          <w:sz w:val="20"/>
          <w:szCs w:val="20"/>
        </w:rPr>
        <w:t xml:space="preserve"> [2025] VSC 10</w:t>
      </w:r>
      <w:r w:rsidR="006F4F2A">
        <w:rPr>
          <w:rFonts w:ascii="Arial" w:hAnsi="Arial" w:cs="Arial"/>
          <w:sz w:val="20"/>
          <w:szCs w:val="20"/>
        </w:rPr>
        <w:t>2 at [</w:t>
      </w:r>
      <w:r w:rsidR="005226EC">
        <w:rPr>
          <w:rFonts w:ascii="Arial" w:hAnsi="Arial" w:cs="Arial"/>
          <w:sz w:val="20"/>
          <w:szCs w:val="20"/>
        </w:rPr>
        <w:t>123] &amp; [</w:t>
      </w:r>
      <w:r w:rsidR="006F4F2A">
        <w:rPr>
          <w:rFonts w:ascii="Arial" w:hAnsi="Arial" w:cs="Arial"/>
          <w:sz w:val="20"/>
          <w:szCs w:val="20"/>
        </w:rPr>
        <w:t>1</w:t>
      </w:r>
      <w:r w:rsidR="005226EC">
        <w:rPr>
          <w:rFonts w:ascii="Arial" w:hAnsi="Arial" w:cs="Arial"/>
          <w:sz w:val="20"/>
          <w:szCs w:val="20"/>
        </w:rPr>
        <w:t>35</w:t>
      </w:r>
      <w:r w:rsidR="006F4F2A">
        <w:rPr>
          <w:rFonts w:ascii="Arial" w:hAnsi="Arial" w:cs="Arial"/>
          <w:sz w:val="20"/>
          <w:szCs w:val="20"/>
        </w:rPr>
        <w:t>]-[1</w:t>
      </w:r>
      <w:r w:rsidR="005226EC">
        <w:rPr>
          <w:rFonts w:ascii="Arial" w:hAnsi="Arial" w:cs="Arial"/>
          <w:sz w:val="20"/>
          <w:szCs w:val="20"/>
        </w:rPr>
        <w:t>39</w:t>
      </w:r>
      <w:r w:rsidR="006F4F2A">
        <w:rPr>
          <w:rFonts w:ascii="Arial" w:hAnsi="Arial" w:cs="Arial"/>
          <w:sz w:val="20"/>
          <w:szCs w:val="20"/>
        </w:rPr>
        <w:t xml:space="preserve">]; </w:t>
      </w:r>
      <w:r w:rsidR="00DE27F9" w:rsidRPr="002A4FAE">
        <w:rPr>
          <w:rFonts w:ascii="Arial" w:hAnsi="Arial" w:cs="Arial"/>
          <w:i/>
          <w:iCs/>
          <w:sz w:val="20"/>
          <w:szCs w:val="20"/>
        </w:rPr>
        <w:t xml:space="preserve">R v Patterson (Ruling </w:t>
      </w:r>
      <w:r w:rsidR="00DE27F9">
        <w:rPr>
          <w:rFonts w:ascii="Arial" w:hAnsi="Arial" w:cs="Arial"/>
          <w:i/>
          <w:iCs/>
          <w:sz w:val="20"/>
          <w:szCs w:val="20"/>
        </w:rPr>
        <w:t>3</w:t>
      </w:r>
      <w:r w:rsidR="00DE27F9" w:rsidRPr="002A4FAE">
        <w:rPr>
          <w:rFonts w:ascii="Arial" w:hAnsi="Arial" w:cs="Arial"/>
          <w:i/>
          <w:iCs/>
          <w:sz w:val="20"/>
          <w:szCs w:val="20"/>
        </w:rPr>
        <w:t>)</w:t>
      </w:r>
      <w:r w:rsidR="00DE27F9" w:rsidRPr="002A4FAE">
        <w:rPr>
          <w:rFonts w:ascii="Arial" w:hAnsi="Arial" w:cs="Arial"/>
          <w:sz w:val="20"/>
          <w:szCs w:val="20"/>
        </w:rPr>
        <w:t xml:space="preserve"> [2025] VSC 10</w:t>
      </w:r>
      <w:r w:rsidR="00DE27F9">
        <w:rPr>
          <w:rFonts w:ascii="Arial" w:hAnsi="Arial" w:cs="Arial"/>
          <w:sz w:val="20"/>
          <w:szCs w:val="20"/>
        </w:rPr>
        <w:t xml:space="preserve">4 at [14]-[15]; </w:t>
      </w:r>
      <w:r w:rsidR="002A4FAE" w:rsidRPr="002A4FAE">
        <w:rPr>
          <w:rFonts w:ascii="Arial" w:hAnsi="Arial" w:cs="Arial"/>
          <w:i/>
          <w:iCs/>
          <w:sz w:val="20"/>
          <w:szCs w:val="20"/>
        </w:rPr>
        <w:t>R v Patterson (Ruling 6)</w:t>
      </w:r>
      <w:r w:rsidR="002A4FAE" w:rsidRPr="002A4FAE">
        <w:rPr>
          <w:rFonts w:ascii="Arial" w:hAnsi="Arial" w:cs="Arial"/>
          <w:sz w:val="20"/>
          <w:szCs w:val="20"/>
        </w:rPr>
        <w:t xml:space="preserve"> [2025] VSC 108</w:t>
      </w:r>
      <w:r w:rsidR="002A4FAE">
        <w:rPr>
          <w:rFonts w:ascii="Arial" w:hAnsi="Arial" w:cs="Arial"/>
          <w:sz w:val="20"/>
          <w:szCs w:val="20"/>
        </w:rPr>
        <w:t xml:space="preserve"> {appeal dismissed: see </w:t>
      </w:r>
      <w:r w:rsidR="00C62AB3" w:rsidRPr="00C62AB3">
        <w:rPr>
          <w:rFonts w:ascii="Arial" w:hAnsi="Arial" w:cs="Arial"/>
          <w:i/>
          <w:iCs/>
          <w:sz w:val="20"/>
          <w:szCs w:val="20"/>
        </w:rPr>
        <w:t>DPP v Patterson</w:t>
      </w:r>
      <w:r w:rsidR="00C62AB3">
        <w:rPr>
          <w:rFonts w:ascii="Arial" w:hAnsi="Arial" w:cs="Arial"/>
          <w:sz w:val="20"/>
          <w:szCs w:val="20"/>
        </w:rPr>
        <w:t xml:space="preserve"> [2025] VSCA 82 at [</w:t>
      </w:r>
      <w:r w:rsidR="00FB6197">
        <w:rPr>
          <w:rFonts w:ascii="Arial" w:hAnsi="Arial" w:cs="Arial"/>
          <w:sz w:val="20"/>
          <w:szCs w:val="20"/>
        </w:rPr>
        <w:t>67</w:t>
      </w:r>
      <w:r w:rsidR="00C62AB3">
        <w:rPr>
          <w:rFonts w:ascii="Arial" w:hAnsi="Arial" w:cs="Arial"/>
          <w:sz w:val="20"/>
          <w:szCs w:val="20"/>
        </w:rPr>
        <w:t>]-[</w:t>
      </w:r>
      <w:r w:rsidR="00FB6197">
        <w:rPr>
          <w:rFonts w:ascii="Arial" w:hAnsi="Arial" w:cs="Arial"/>
          <w:sz w:val="20"/>
          <w:szCs w:val="20"/>
        </w:rPr>
        <w:t>78</w:t>
      </w:r>
      <w:r w:rsidR="00C62AB3">
        <w:rPr>
          <w:rFonts w:ascii="Arial" w:hAnsi="Arial" w:cs="Arial"/>
          <w:sz w:val="20"/>
          <w:szCs w:val="20"/>
        </w:rPr>
        <w:t>]</w:t>
      </w:r>
      <w:r w:rsidR="00FB6197">
        <w:rPr>
          <w:rFonts w:ascii="Arial" w:hAnsi="Arial" w:cs="Arial"/>
          <w:sz w:val="20"/>
          <w:szCs w:val="20"/>
        </w:rPr>
        <w:t>, [88]-[109] &amp; [113]-[127]</w:t>
      </w:r>
      <w:r w:rsidR="00C62AB3">
        <w:rPr>
          <w:rFonts w:ascii="Arial" w:hAnsi="Arial" w:cs="Arial"/>
          <w:sz w:val="20"/>
          <w:szCs w:val="20"/>
        </w:rPr>
        <w:t xml:space="preserve"> </w:t>
      </w:r>
      <w:r w:rsidR="00FB6197">
        <w:rPr>
          <w:rFonts w:ascii="Arial" w:hAnsi="Arial" w:cs="Arial"/>
          <w:sz w:val="20"/>
          <w:szCs w:val="20"/>
        </w:rPr>
        <w:t>per Emerton P &amp; T Forrest JA and</w:t>
      </w:r>
      <w:r w:rsidR="00C62AB3">
        <w:rPr>
          <w:rFonts w:ascii="Arial" w:hAnsi="Arial" w:cs="Arial"/>
          <w:sz w:val="20"/>
          <w:szCs w:val="20"/>
        </w:rPr>
        <w:t xml:space="preserve"> </w:t>
      </w:r>
      <w:r w:rsidR="00FB6197">
        <w:rPr>
          <w:rFonts w:ascii="Arial" w:hAnsi="Arial" w:cs="Arial"/>
          <w:sz w:val="20"/>
          <w:szCs w:val="20"/>
        </w:rPr>
        <w:t xml:space="preserve">at </w:t>
      </w:r>
      <w:r w:rsidR="00C62AB3">
        <w:rPr>
          <w:rFonts w:ascii="Arial" w:hAnsi="Arial" w:cs="Arial"/>
          <w:sz w:val="20"/>
          <w:szCs w:val="20"/>
        </w:rPr>
        <w:t>[</w:t>
      </w:r>
      <w:r w:rsidR="00FB6197">
        <w:rPr>
          <w:rFonts w:ascii="Arial" w:hAnsi="Arial" w:cs="Arial"/>
          <w:sz w:val="20"/>
          <w:szCs w:val="20"/>
        </w:rPr>
        <w:t>186</w:t>
      </w:r>
      <w:r w:rsidR="00C62AB3">
        <w:rPr>
          <w:rFonts w:ascii="Arial" w:hAnsi="Arial" w:cs="Arial"/>
          <w:sz w:val="20"/>
          <w:szCs w:val="20"/>
        </w:rPr>
        <w:t>]-[</w:t>
      </w:r>
      <w:r w:rsidR="00FB6197">
        <w:rPr>
          <w:rFonts w:ascii="Arial" w:hAnsi="Arial" w:cs="Arial"/>
          <w:sz w:val="20"/>
          <w:szCs w:val="20"/>
        </w:rPr>
        <w:t>236</w:t>
      </w:r>
      <w:r w:rsidR="00C62AB3">
        <w:rPr>
          <w:rFonts w:ascii="Arial" w:hAnsi="Arial" w:cs="Arial"/>
          <w:sz w:val="20"/>
          <w:szCs w:val="20"/>
        </w:rPr>
        <w:t>]</w:t>
      </w:r>
      <w:r w:rsidR="00FB6197">
        <w:rPr>
          <w:rFonts w:ascii="Arial" w:hAnsi="Arial" w:cs="Arial"/>
          <w:sz w:val="20"/>
          <w:szCs w:val="20"/>
        </w:rPr>
        <w:t xml:space="preserve"> per Priest</w:t>
      </w:r>
      <w:r w:rsidR="005226EC">
        <w:rPr>
          <w:rFonts w:ascii="Arial" w:hAnsi="Arial" w:cs="Arial"/>
          <w:sz w:val="20"/>
          <w:szCs w:val="20"/>
        </w:rPr>
        <w:t xml:space="preserve"> </w:t>
      </w:r>
      <w:r w:rsidR="00FB6197">
        <w:rPr>
          <w:rFonts w:ascii="Arial" w:hAnsi="Arial" w:cs="Arial"/>
          <w:sz w:val="20"/>
          <w:szCs w:val="20"/>
        </w:rPr>
        <w:t>JA</w:t>
      </w:r>
      <w:r w:rsidR="00DE27F9">
        <w:rPr>
          <w:rFonts w:ascii="Arial" w:hAnsi="Arial" w:cs="Arial"/>
          <w:sz w:val="20"/>
          <w:szCs w:val="20"/>
        </w:rPr>
        <w:t>}</w:t>
      </w:r>
      <w:r w:rsidR="00FB6197">
        <w:rPr>
          <w:rFonts w:ascii="Arial" w:hAnsi="Arial" w:cs="Arial"/>
          <w:sz w:val="20"/>
          <w:szCs w:val="20"/>
        </w:rPr>
        <w:t>.</w:t>
      </w:r>
    </w:p>
    <w:p w14:paraId="2AE7FBA7" w14:textId="77777777" w:rsidR="00630923" w:rsidRDefault="00630923" w:rsidP="00A44886">
      <w:pPr>
        <w:jc w:val="both"/>
        <w:rPr>
          <w:rFonts w:ascii="Arial" w:hAnsi="Arial" w:cs="Arial"/>
          <w:sz w:val="20"/>
        </w:rPr>
      </w:pPr>
    </w:p>
    <w:bookmarkEnd w:id="603"/>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bookmarkStart w:id="604" w:name="_3.5.3.8_Conflicting_evidence_1"/>
      <w:bookmarkEnd w:id="604"/>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nation and cross-examination take place months, if not years, after the incident, thereby blunting emotions associated with the criminal event. Score two against the judge and jury. Because of the long time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117 a fascinating case of a police officer who believed that he could prevent a polygraph lie-detector from working by placing bullets under the pneumograph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129309C2" w14:textId="4280F4F8" w:rsidR="00B61B1D" w:rsidRDefault="00B61B1D" w:rsidP="00AF5922">
      <w:pPr>
        <w:jc w:val="both"/>
        <w:rPr>
          <w:rFonts w:ascii="Arial" w:hAnsi="Arial" w:cs="Arial"/>
          <w:sz w:val="20"/>
          <w:szCs w:val="20"/>
        </w:rPr>
      </w:pPr>
      <w:r>
        <w:rPr>
          <w:rFonts w:ascii="Arial" w:hAnsi="Arial" w:cs="Arial"/>
          <w:sz w:val="20"/>
          <w:szCs w:val="20"/>
        </w:rPr>
        <w:t xml:space="preserve">In refusing leave to appeal in </w:t>
      </w:r>
      <w:proofErr w:type="spellStart"/>
      <w:r w:rsidRPr="00B61B1D">
        <w:rPr>
          <w:rFonts w:ascii="Arial" w:hAnsi="Arial" w:cs="Arial"/>
          <w:i/>
          <w:iCs/>
          <w:sz w:val="20"/>
          <w:szCs w:val="20"/>
        </w:rPr>
        <w:t>Eatertainment</w:t>
      </w:r>
      <w:proofErr w:type="spellEnd"/>
      <w:r w:rsidRPr="00B61B1D">
        <w:rPr>
          <w:rFonts w:ascii="Arial" w:hAnsi="Arial" w:cs="Arial"/>
          <w:i/>
          <w:iCs/>
          <w:sz w:val="20"/>
          <w:szCs w:val="20"/>
        </w:rPr>
        <w:t xml:space="preserve"> Group Pty Ltd v Curtis Family Developments Pty Ltd as trustee for The Curtis Family Trust</w:t>
      </w:r>
      <w:r>
        <w:rPr>
          <w:rFonts w:ascii="Arial" w:hAnsi="Arial" w:cs="Arial"/>
          <w:sz w:val="20"/>
          <w:szCs w:val="20"/>
        </w:rPr>
        <w:t xml:space="preserve"> [2025] VSCA 193 Kennedy, Walker &amp; Orr JJA said at [58]-[60]:</w:t>
      </w:r>
    </w:p>
    <w:p w14:paraId="56F9FD4C" w14:textId="4BF6C80D" w:rsidR="00B61B1D" w:rsidRDefault="00B61B1D" w:rsidP="00B61B1D">
      <w:pPr>
        <w:spacing w:before="80"/>
        <w:ind w:left="567" w:right="567"/>
        <w:jc w:val="both"/>
        <w:rPr>
          <w:rFonts w:ascii="Arial" w:hAnsi="Arial" w:cs="Arial"/>
          <w:sz w:val="20"/>
          <w:szCs w:val="20"/>
        </w:rPr>
      </w:pPr>
      <w:r>
        <w:rPr>
          <w:rFonts w:ascii="Arial" w:hAnsi="Arial" w:cs="Arial"/>
          <w:iCs/>
          <w:sz w:val="20"/>
        </w:rPr>
        <w:t>[58] “</w:t>
      </w:r>
      <w:r w:rsidRPr="00B61B1D">
        <w:rPr>
          <w:rFonts w:ascii="Arial" w:hAnsi="Arial" w:cs="Arial"/>
          <w:iCs/>
          <w:sz w:val="20"/>
        </w:rPr>
        <w:t>The only evidence that supported the new offsetting claim was the evidence of Mr</w:t>
      </w:r>
      <w:r>
        <w:rPr>
          <w:rFonts w:ascii="Arial" w:hAnsi="Arial" w:cs="Arial"/>
          <w:iCs/>
          <w:sz w:val="20"/>
        </w:rPr>
        <w:t> </w:t>
      </w:r>
      <w:proofErr w:type="spellStart"/>
      <w:r w:rsidRPr="00B61B1D">
        <w:rPr>
          <w:rFonts w:ascii="Arial" w:hAnsi="Arial" w:cs="Arial"/>
          <w:iCs/>
          <w:sz w:val="20"/>
        </w:rPr>
        <w:t>Pezaros</w:t>
      </w:r>
      <w:proofErr w:type="spellEnd"/>
      <w:r w:rsidRPr="00B61B1D">
        <w:rPr>
          <w:rFonts w:ascii="Arial" w:hAnsi="Arial" w:cs="Arial"/>
          <w:iCs/>
          <w:sz w:val="20"/>
        </w:rPr>
        <w:t xml:space="preserve"> in his affidavits dated 22 March 2024 and 3 May 2024. But we are not required simply to accept that </w:t>
      </w:r>
      <w:proofErr w:type="spellStart"/>
      <w:r w:rsidRPr="00B61B1D">
        <w:rPr>
          <w:rFonts w:ascii="Arial" w:hAnsi="Arial" w:cs="Arial"/>
          <w:iCs/>
          <w:sz w:val="20"/>
        </w:rPr>
        <w:t>Eatertainment</w:t>
      </w:r>
      <w:proofErr w:type="spellEnd"/>
      <w:r w:rsidRPr="00B61B1D">
        <w:rPr>
          <w:rFonts w:ascii="Arial" w:hAnsi="Arial" w:cs="Arial"/>
          <w:iCs/>
          <w:sz w:val="20"/>
        </w:rPr>
        <w:t xml:space="preserve"> has discharged its onus based on Mr </w:t>
      </w:r>
      <w:proofErr w:type="spellStart"/>
      <w:r w:rsidRPr="00B61B1D">
        <w:rPr>
          <w:rFonts w:ascii="Arial" w:hAnsi="Arial" w:cs="Arial"/>
          <w:iCs/>
          <w:sz w:val="20"/>
        </w:rPr>
        <w:t>Pezaros’s</w:t>
      </w:r>
      <w:proofErr w:type="spellEnd"/>
      <w:r w:rsidRPr="00B61B1D">
        <w:rPr>
          <w:rFonts w:ascii="Arial" w:hAnsi="Arial" w:cs="Arial"/>
          <w:iCs/>
          <w:sz w:val="20"/>
        </w:rPr>
        <w:t xml:space="preserve"> assertions about the conversations he says he had with Mr Curtis.</w:t>
      </w:r>
      <w:r>
        <w:rPr>
          <w:rFonts w:ascii="Arial" w:hAnsi="Arial" w:cs="Arial"/>
          <w:iCs/>
          <w:sz w:val="20"/>
        </w:rPr>
        <w:t xml:space="preserve"> As this Court </w:t>
      </w:r>
      <w:r w:rsidRPr="00B61B1D">
        <w:rPr>
          <w:rFonts w:ascii="Arial" w:hAnsi="Arial" w:cs="Arial"/>
          <w:sz w:val="20"/>
          <w:szCs w:val="20"/>
        </w:rPr>
        <w:t xml:space="preserve">observed in </w:t>
      </w:r>
      <w:r w:rsidRPr="00B61B1D">
        <w:rPr>
          <w:rFonts w:ascii="Arial" w:hAnsi="Arial" w:cs="Arial"/>
          <w:i/>
          <w:iCs/>
          <w:sz w:val="20"/>
          <w:szCs w:val="20"/>
        </w:rPr>
        <w:t xml:space="preserve">Malec Holdings Pty Ltd v </w:t>
      </w:r>
      <w:proofErr w:type="spellStart"/>
      <w:r w:rsidRPr="00B61B1D">
        <w:rPr>
          <w:rFonts w:ascii="Arial" w:hAnsi="Arial" w:cs="Arial"/>
          <w:i/>
          <w:iCs/>
          <w:sz w:val="20"/>
          <w:szCs w:val="20"/>
        </w:rPr>
        <w:t>Scotts</w:t>
      </w:r>
      <w:proofErr w:type="spellEnd"/>
      <w:r w:rsidRPr="00B61B1D">
        <w:rPr>
          <w:rFonts w:ascii="Arial" w:hAnsi="Arial" w:cs="Arial"/>
          <w:i/>
          <w:iCs/>
          <w:sz w:val="20"/>
          <w:szCs w:val="20"/>
        </w:rPr>
        <w:t xml:space="preserve"> Agencies Pty Ltd (in </w:t>
      </w:r>
      <w:proofErr w:type="spellStart"/>
      <w:r w:rsidRPr="00B61B1D">
        <w:rPr>
          <w:rFonts w:ascii="Arial" w:hAnsi="Arial" w:cs="Arial"/>
          <w:i/>
          <w:iCs/>
          <w:sz w:val="20"/>
          <w:szCs w:val="20"/>
        </w:rPr>
        <w:t>liq</w:t>
      </w:r>
      <w:proofErr w:type="spellEnd"/>
      <w:r w:rsidRPr="00B61B1D">
        <w:rPr>
          <w:rFonts w:ascii="Arial" w:hAnsi="Arial" w:cs="Arial"/>
          <w:i/>
          <w:iCs/>
          <w:sz w:val="20"/>
          <w:szCs w:val="20"/>
        </w:rPr>
        <w:t>)</w:t>
      </w:r>
      <w:r>
        <w:rPr>
          <w:rFonts w:ascii="Arial" w:hAnsi="Arial" w:cs="Arial"/>
          <w:sz w:val="20"/>
          <w:szCs w:val="20"/>
        </w:rPr>
        <w:t xml:space="preserve"> [2015] VSCA 330 at [50]:</w:t>
      </w:r>
    </w:p>
    <w:p w14:paraId="2B88FEBE" w14:textId="4FA1FB2F" w:rsidR="00B61B1D" w:rsidRPr="00B61B1D" w:rsidRDefault="00B61B1D" w:rsidP="00B61B1D">
      <w:pPr>
        <w:spacing w:before="80"/>
        <w:ind w:left="1021" w:right="1021"/>
        <w:jc w:val="both"/>
        <w:rPr>
          <w:rFonts w:ascii="Arial" w:hAnsi="Arial" w:cs="Arial"/>
          <w:sz w:val="18"/>
          <w:szCs w:val="18"/>
        </w:rPr>
      </w:pPr>
      <w:r w:rsidRPr="00B61B1D">
        <w:rPr>
          <w:rFonts w:ascii="Arial" w:hAnsi="Arial" w:cs="Arial"/>
          <w:sz w:val="18"/>
          <w:szCs w:val="18"/>
        </w:rPr>
        <w:t>The court is not required to accept uncritically every statement in an affidavit however equivocal, lacking in precision, inconsistent with undisputed contemporary documents or other statements by the same deponent, or inherently improbable in itself, it may be, as it may not have sufficient prima facie plausibility to merit further investigation as to its truth. The court is also not required to accept uncritically a patently feeble legal argument or an assertion of facts unsupported by evidence, although this should not be read as suggesting that the applicant must formally or comprehensively evidence the basis of its dispute or offsetting claim.</w:t>
      </w:r>
    </w:p>
    <w:p w14:paraId="6A8160DC" w14:textId="343AD249" w:rsidR="00B61B1D" w:rsidRDefault="00B61B1D" w:rsidP="00B61B1D">
      <w:pPr>
        <w:spacing w:before="80"/>
        <w:ind w:left="567" w:right="567"/>
        <w:jc w:val="both"/>
        <w:rPr>
          <w:rFonts w:ascii="Arial" w:hAnsi="Arial" w:cs="Arial"/>
          <w:sz w:val="20"/>
          <w:szCs w:val="20"/>
        </w:rPr>
      </w:pPr>
      <w:r>
        <w:rPr>
          <w:rFonts w:ascii="Arial" w:hAnsi="Arial" w:cs="Arial"/>
          <w:sz w:val="20"/>
          <w:szCs w:val="20"/>
        </w:rPr>
        <w:t xml:space="preserve">[59] </w:t>
      </w:r>
      <w:r w:rsidRPr="00B61B1D">
        <w:rPr>
          <w:rFonts w:ascii="Arial" w:hAnsi="Arial" w:cs="Arial"/>
          <w:sz w:val="20"/>
          <w:szCs w:val="20"/>
        </w:rPr>
        <w:t xml:space="preserve">In the present case, there was no other evidence to support Mr </w:t>
      </w:r>
      <w:proofErr w:type="spellStart"/>
      <w:r w:rsidRPr="00B61B1D">
        <w:rPr>
          <w:rFonts w:ascii="Arial" w:hAnsi="Arial" w:cs="Arial"/>
          <w:sz w:val="20"/>
          <w:szCs w:val="20"/>
        </w:rPr>
        <w:t>Pezaros’s</w:t>
      </w:r>
      <w:proofErr w:type="spellEnd"/>
      <w:r w:rsidRPr="00B61B1D">
        <w:rPr>
          <w:rFonts w:ascii="Arial" w:hAnsi="Arial" w:cs="Arial"/>
          <w:sz w:val="20"/>
          <w:szCs w:val="20"/>
        </w:rPr>
        <w:t xml:space="preserve"> evidence that Mr Curtis had made the two representations. In short, he relies upon an assertion of facts unsupported by independent evidence.</w:t>
      </w:r>
    </w:p>
    <w:p w14:paraId="455779D8" w14:textId="494C06CF" w:rsidR="00B61B1D" w:rsidRDefault="00B61B1D" w:rsidP="00B61B1D">
      <w:pPr>
        <w:spacing w:before="80"/>
        <w:ind w:left="567" w:right="567"/>
        <w:jc w:val="both"/>
        <w:rPr>
          <w:rFonts w:ascii="Arial" w:hAnsi="Arial" w:cs="Arial"/>
          <w:sz w:val="20"/>
          <w:szCs w:val="20"/>
        </w:rPr>
      </w:pPr>
      <w:r>
        <w:rPr>
          <w:rFonts w:ascii="Arial" w:hAnsi="Arial" w:cs="Arial"/>
          <w:sz w:val="20"/>
          <w:szCs w:val="20"/>
        </w:rPr>
        <w:t xml:space="preserve">[60] </w:t>
      </w:r>
      <w:r w:rsidRPr="00B61B1D">
        <w:rPr>
          <w:rFonts w:ascii="Arial" w:hAnsi="Arial" w:cs="Arial"/>
          <w:sz w:val="20"/>
          <w:szCs w:val="20"/>
        </w:rPr>
        <w:t>First, it is significant that there were no contemporaneous documents consistent with the two representations having been made</w:t>
      </w:r>
      <w:r>
        <w:rPr>
          <w:rFonts w:ascii="Arial" w:hAnsi="Arial" w:cs="Arial"/>
          <w:sz w:val="20"/>
          <w:szCs w:val="20"/>
        </w:rPr>
        <w:t>…”</w:t>
      </w:r>
    </w:p>
    <w:p w14:paraId="1862B487" w14:textId="77777777" w:rsidR="00B61B1D" w:rsidRDefault="00B61B1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r w:rsidRPr="00590A7D">
        <w:rPr>
          <w:rFonts w:ascii="Arial" w:hAnsi="Arial" w:cs="Arial"/>
          <w:i/>
          <w:iCs/>
          <w:color w:val="000000"/>
          <w:sz w:val="20"/>
          <w:szCs w:val="20"/>
        </w:rPr>
        <w:t>Effem Foods Pty Ltd v Lake Cumbeline Pty Ltd</w:t>
      </w:r>
      <w:r w:rsidRPr="00590A7D">
        <w:rPr>
          <w:rFonts w:ascii="Arial" w:hAnsi="Arial" w:cs="Arial"/>
          <w:color w:val="000000"/>
          <w:sz w:val="20"/>
          <w:szCs w:val="20"/>
        </w:rPr>
        <w:t> (1999) 161 ALR 599, [15]-[16], upholding the approach of Tamberlin J in the Federal Court of Australia, in </w:t>
      </w:r>
      <w:r w:rsidRPr="00590A7D">
        <w:rPr>
          <w:rFonts w:ascii="Arial" w:hAnsi="Arial" w:cs="Arial"/>
          <w:i/>
          <w:iCs/>
          <w:color w:val="000000"/>
          <w:sz w:val="20"/>
          <w:szCs w:val="20"/>
        </w:rPr>
        <w:t>Lake Cumbeline Pty Ltd v Effem Foods Pty Ltd (trading as Uncle Ben’s of Australia) </w:t>
      </w:r>
      <w:r w:rsidRPr="00590A7D">
        <w:rPr>
          <w:rFonts w:ascii="Arial" w:hAnsi="Arial" w:cs="Arial"/>
          <w:color w:val="000000"/>
          <w:sz w:val="20"/>
          <w:szCs w:val="20"/>
        </w:rPr>
        <w:t>(Federal Court of Australia, Tamberlin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r w:rsidRPr="00590A7D">
        <w:rPr>
          <w:rFonts w:ascii="Arial" w:hAnsi="Arial" w:cs="Arial"/>
          <w:i/>
          <w:iCs/>
          <w:color w:val="000000"/>
          <w:sz w:val="20"/>
          <w:szCs w:val="20"/>
        </w:rPr>
        <w:t>Gestmin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[2008] 1 Qd R 39, 48 [34] (‘[u]sually,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 xml:space="preserve">Grace </w:t>
      </w:r>
      <w:r w:rsidRPr="00590A7D">
        <w:rPr>
          <w:rFonts w:ascii="Arial" w:hAnsi="Arial" w:cs="Arial"/>
          <w:i/>
          <w:iCs/>
          <w:color w:val="000000"/>
          <w:sz w:val="20"/>
          <w:szCs w:val="20"/>
        </w:rPr>
        <w:lastRenderedPageBreak/>
        <w:t>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r w:rsidRPr="00590A7D">
        <w:rPr>
          <w:rFonts w:ascii="Arial" w:hAnsi="Arial" w:cs="Arial"/>
          <w:i/>
          <w:iCs/>
          <w:color w:val="000000"/>
          <w:sz w:val="20"/>
          <w:szCs w:val="20"/>
        </w:rPr>
        <w:t>Armagas Ltd v Mundogas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Société d’Avances Commerciales (Société Anonyme Egyptienne) v Merchants’ Marine Insurance Co (The Palitana)</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Re Klapsas; Klapsas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605"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[151] per Daly AsJ</w:t>
      </w:r>
      <w:r w:rsidR="002531BB" w:rsidRPr="002531BB">
        <w:rPr>
          <w:rFonts w:ascii="Arial" w:hAnsi="Arial" w:cs="Arial"/>
          <w:sz w:val="20"/>
          <w:szCs w:val="20"/>
        </w:rPr>
        <w:t xml:space="preserve">; </w:t>
      </w:r>
      <w:bookmarkEnd w:id="605"/>
      <w:r w:rsidR="002531BB" w:rsidRPr="002531BB">
        <w:rPr>
          <w:rFonts w:ascii="Arial" w:hAnsi="Arial" w:cs="Arial"/>
          <w:i/>
          <w:iCs/>
          <w:sz w:val="20"/>
          <w:szCs w:val="20"/>
        </w:rPr>
        <w:t>Glideware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AsJ.</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r w:rsidRPr="00A13DCA">
        <w:rPr>
          <w:rFonts w:ascii="Arial" w:hAnsi="Arial" w:cs="Arial"/>
          <w:i/>
          <w:iCs/>
          <w:color w:val="000000"/>
          <w:sz w:val="20"/>
          <w:szCs w:val="20"/>
          <w:shd w:val="clear" w:color="auto" w:fill="FFFFFF"/>
        </w:rPr>
        <w:t>Pacreef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606"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606"/>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lastRenderedPageBreak/>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‘[H]uman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r w:rsidRPr="00D92FA4">
        <w:rPr>
          <w:rFonts w:ascii="Arial" w:hAnsi="Arial" w:cs="Arial"/>
          <w:sz w:val="20"/>
          <w:szCs w:val="20"/>
        </w:rPr>
        <w:t xml:space="preserve">Gaudron,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‘Schuey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 xml:space="preserve">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w:t>
      </w:r>
      <w:r w:rsidRPr="00D92FA4">
        <w:rPr>
          <w:rFonts w:ascii="Arial" w:hAnsi="Arial" w:cs="Arial"/>
          <w:sz w:val="20"/>
          <w:szCs w:val="20"/>
        </w:rPr>
        <w:lastRenderedPageBreak/>
        <w:t>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(O’LoughlinJ).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Onassis and Calogeropoulos v Vergotis</w:t>
      </w:r>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r w:rsidRPr="008C7C9C">
        <w:rPr>
          <w:rFonts w:ascii="Arial" w:hAnsi="Arial" w:cs="Arial"/>
          <w:i/>
          <w:iCs/>
          <w:sz w:val="20"/>
          <w:szCs w:val="20"/>
        </w:rPr>
        <w:t>Gurappaji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7F9228DA" w:rsidR="00F10DC3" w:rsidRDefault="00BD1DC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[227] “G</w:t>
      </w:r>
      <w:r w:rsidRPr="00BD1DCC">
        <w:rPr>
          <w:rFonts w:ascii="Arial" w:hAnsi="Arial" w:cs="Arial"/>
          <w:sz w:val="20"/>
          <w:szCs w:val="20"/>
        </w:rPr>
        <w:t xml:space="preserve">iven the factual contest between the parties in large part centres on evidence of </w:t>
      </w:r>
      <w:r w:rsidR="00F10DC3" w:rsidRPr="00162CDC">
        <w:rPr>
          <w:rFonts w:ascii="Arial" w:hAnsi="Arial" w:cs="Arial"/>
          <w:sz w:val="20"/>
          <w:szCs w:val="20"/>
        </w:rPr>
        <w:t xml:space="preserve">conversations on the one hand, and inconsistent or incomplete documentary evidence on the other, the principles by which a court approaches the fact-finding exercise are worth restating. These principles apply to recollections of conversations where all parties give </w:t>
      </w:r>
      <w:r w:rsidR="00F10DC3" w:rsidRPr="00162CDC">
        <w:rPr>
          <w:rFonts w:ascii="Arial" w:hAnsi="Arial" w:cs="Arial"/>
          <w:sz w:val="20"/>
          <w:szCs w:val="20"/>
        </w:rPr>
        <w:lastRenderedPageBreak/>
        <w:t>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self interest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Re Kit Digital Australia Pty Ltd (in liq)</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Pr="002F1752" w:rsidRDefault="008C7C9C">
      <w:pPr>
        <w:jc w:val="both"/>
        <w:rPr>
          <w:rFonts w:ascii="Arial" w:hAnsi="Arial" w:cs="Arial"/>
          <w:sz w:val="20"/>
        </w:rPr>
      </w:pPr>
    </w:p>
    <w:p w14:paraId="20FFC698" w14:textId="2226CF10" w:rsidR="005D6DF0" w:rsidRPr="005D6DF0" w:rsidRDefault="002F1752" w:rsidP="005D6DF0">
      <w:pPr>
        <w:jc w:val="both"/>
        <w:rPr>
          <w:rFonts w:ascii="Arial" w:hAnsi="Arial" w:cs="Arial"/>
          <w:sz w:val="20"/>
        </w:rPr>
      </w:pPr>
      <w:r>
        <w:rPr>
          <w:rFonts w:ascii="Arial" w:hAnsi="Arial" w:cs="Arial"/>
          <w:sz w:val="20"/>
        </w:rPr>
        <w:t>A</w:t>
      </w:r>
      <w:r w:rsidR="005D6DF0">
        <w:rPr>
          <w:rFonts w:ascii="Arial" w:hAnsi="Arial" w:cs="Arial"/>
          <w:sz w:val="20"/>
        </w:rPr>
        <w:t xml:space="preserve"> powerful illustration of the value of objective evidence and a cautionary word on placing excessive weight on the</w:t>
      </w:r>
      <w:r w:rsidR="00E348A9">
        <w:rPr>
          <w:rFonts w:ascii="Arial" w:hAnsi="Arial" w:cs="Arial"/>
          <w:sz w:val="20"/>
        </w:rPr>
        <w:t xml:space="preserve"> general </w:t>
      </w:r>
      <w:r w:rsidR="005D6DF0">
        <w:rPr>
          <w:rFonts w:ascii="Arial" w:hAnsi="Arial" w:cs="Arial"/>
          <w:sz w:val="20"/>
        </w:rPr>
        <w:t xml:space="preserve">credibility of witnesses is to be found in the case of </w:t>
      </w:r>
      <w:r w:rsidR="005D6DF0" w:rsidRPr="005D6DF0">
        <w:rPr>
          <w:rFonts w:ascii="Arial" w:hAnsi="Arial" w:cs="Arial"/>
          <w:i/>
          <w:iCs/>
          <w:sz w:val="20"/>
        </w:rPr>
        <w:t>Gazzard v Metro Finance Pty Ltd</w:t>
      </w:r>
      <w:r w:rsidR="005D6DF0" w:rsidRPr="005D6DF0">
        <w:rPr>
          <w:rFonts w:ascii="Arial" w:hAnsi="Arial" w:cs="Arial"/>
          <w:sz w:val="20"/>
        </w:rPr>
        <w:t xml:space="preserve"> [2025] VCC 592</w:t>
      </w:r>
      <w:r w:rsidR="005D6DF0">
        <w:rPr>
          <w:rFonts w:ascii="Arial" w:hAnsi="Arial" w:cs="Arial"/>
          <w:sz w:val="20"/>
        </w:rPr>
        <w:t>. A</w:t>
      </w:r>
      <w:r w:rsidR="005D6DF0" w:rsidRPr="005D6DF0">
        <w:rPr>
          <w:rFonts w:ascii="Arial" w:hAnsi="Arial" w:cs="Arial"/>
          <w:sz w:val="20"/>
        </w:rPr>
        <w:t xml:space="preserve">fter a 5 day trial Judge Palmer found that the plaintiff Vera Gazzard was the owner of a Porsche which had been converted by the respondent and </w:t>
      </w:r>
      <w:r w:rsidR="00BB3EA0">
        <w:rPr>
          <w:rFonts w:ascii="Arial" w:hAnsi="Arial" w:cs="Arial"/>
          <w:sz w:val="20"/>
        </w:rPr>
        <w:t>ordered</w:t>
      </w:r>
      <w:r w:rsidR="005D6DF0" w:rsidRPr="005D6DF0">
        <w:rPr>
          <w:rFonts w:ascii="Arial" w:hAnsi="Arial" w:cs="Arial"/>
          <w:sz w:val="20"/>
        </w:rPr>
        <w:t xml:space="preserve"> judgment for Ms</w:t>
      </w:r>
      <w:r w:rsidR="00404D49">
        <w:rPr>
          <w:rFonts w:ascii="Arial" w:hAnsi="Arial" w:cs="Arial"/>
          <w:sz w:val="20"/>
        </w:rPr>
        <w:t> </w:t>
      </w:r>
      <w:r w:rsidR="005D6DF0" w:rsidRPr="005D6DF0">
        <w:rPr>
          <w:rFonts w:ascii="Arial" w:hAnsi="Arial" w:cs="Arial"/>
          <w:sz w:val="20"/>
        </w:rPr>
        <w:t>Gazzard in the sum of $114,816.</w:t>
      </w:r>
    </w:p>
    <w:p w14:paraId="778892EE" w14:textId="4A3BFEB5" w:rsidR="005D6DF0" w:rsidRPr="005D6DF0" w:rsidRDefault="00E348A9" w:rsidP="00E348A9">
      <w:pPr>
        <w:spacing w:before="60"/>
        <w:jc w:val="both"/>
        <w:rPr>
          <w:rFonts w:ascii="Arial" w:hAnsi="Arial" w:cs="Arial"/>
          <w:sz w:val="20"/>
        </w:rPr>
      </w:pPr>
      <w:r>
        <w:rPr>
          <w:rFonts w:ascii="Arial" w:hAnsi="Arial" w:cs="Arial"/>
          <w:sz w:val="20"/>
        </w:rPr>
        <w:t>Ms Gazzard succeeded in her action primarily on the basis of the objective evidence despite the fact that n</w:t>
      </w:r>
      <w:r w:rsidR="005D6DF0" w:rsidRPr="005D6DF0">
        <w:rPr>
          <w:rFonts w:ascii="Arial" w:hAnsi="Arial" w:cs="Arial"/>
          <w:sz w:val="20"/>
        </w:rPr>
        <w:t xml:space="preserve">either </w:t>
      </w:r>
      <w:r>
        <w:rPr>
          <w:rFonts w:ascii="Arial" w:hAnsi="Arial" w:cs="Arial"/>
          <w:sz w:val="20"/>
        </w:rPr>
        <w:t xml:space="preserve">she nor her primary witness </w:t>
      </w:r>
      <w:r w:rsidR="005D6DF0" w:rsidRPr="005D6DF0">
        <w:rPr>
          <w:rFonts w:ascii="Arial" w:hAnsi="Arial" w:cs="Arial"/>
          <w:sz w:val="20"/>
        </w:rPr>
        <w:t xml:space="preserve">Mr Ceylan </w:t>
      </w:r>
      <w:r w:rsidR="002F1752">
        <w:rPr>
          <w:rFonts w:ascii="Arial" w:hAnsi="Arial" w:cs="Arial"/>
          <w:sz w:val="20"/>
        </w:rPr>
        <w:t>– who may or may have been her boyfriend (see footnote 17) – pr</w:t>
      </w:r>
      <w:r w:rsidR="005D6DF0" w:rsidRPr="005D6DF0">
        <w:rPr>
          <w:rFonts w:ascii="Arial" w:hAnsi="Arial" w:cs="Arial"/>
          <w:sz w:val="20"/>
        </w:rPr>
        <w:t xml:space="preserve">esented to Judge Palmer as </w:t>
      </w:r>
      <w:r w:rsidR="00D0335C">
        <w:rPr>
          <w:rFonts w:ascii="Arial" w:hAnsi="Arial" w:cs="Arial"/>
          <w:sz w:val="20"/>
        </w:rPr>
        <w:t>witnesses of good credit</w:t>
      </w:r>
      <w:r w:rsidR="005D6DF0" w:rsidRPr="005D6DF0">
        <w:rPr>
          <w:rFonts w:ascii="Arial" w:hAnsi="Arial" w:cs="Arial"/>
          <w:sz w:val="20"/>
        </w:rPr>
        <w:t>:</w:t>
      </w:r>
    </w:p>
    <w:p w14:paraId="4D799E7C" w14:textId="34BF9963" w:rsidR="005D6DF0" w:rsidRPr="005D6DF0" w:rsidRDefault="009D5EF1" w:rsidP="009D5EF1">
      <w:pPr>
        <w:spacing w:before="60"/>
        <w:ind w:left="1021" w:right="567" w:hanging="454"/>
        <w:jc w:val="both"/>
        <w:rPr>
          <w:rFonts w:ascii="Arial" w:hAnsi="Arial" w:cs="Arial"/>
          <w:sz w:val="20"/>
        </w:rPr>
      </w:pPr>
      <w:r>
        <w:rPr>
          <w:rFonts w:ascii="Arial" w:hAnsi="Arial" w:cs="Arial"/>
          <w:sz w:val="20"/>
        </w:rPr>
        <w:lastRenderedPageBreak/>
        <w:t>[23]</w:t>
      </w:r>
      <w:r>
        <w:rPr>
          <w:rFonts w:ascii="Arial" w:hAnsi="Arial" w:cs="Arial"/>
          <w:sz w:val="20"/>
        </w:rPr>
        <w:tab/>
      </w:r>
      <w:r w:rsidR="005D6DF0" w:rsidRPr="005D6DF0">
        <w:rPr>
          <w:rFonts w:ascii="Arial" w:hAnsi="Arial" w:cs="Arial"/>
          <w:sz w:val="20"/>
        </w:rPr>
        <w:t>“Metro also raises numerous well-founded objections to the credibility of both Ms</w:t>
      </w:r>
      <w:r w:rsidR="00E348A9">
        <w:rPr>
          <w:rFonts w:ascii="Arial" w:hAnsi="Arial" w:cs="Arial"/>
          <w:sz w:val="20"/>
        </w:rPr>
        <w:t> </w:t>
      </w:r>
      <w:r w:rsidR="005D6DF0" w:rsidRPr="005D6DF0">
        <w:rPr>
          <w:rFonts w:ascii="Arial" w:hAnsi="Arial" w:cs="Arial"/>
          <w:sz w:val="20"/>
        </w:rPr>
        <w:t>Gazzard and Mr Ceylan. Mr Ceylan has spent time in prison for dishonesty offences, attempting to pervert the course of justice by trying to get a witness to change their statement, and obtaining financial advantage by a deception that involved getting finance for a car owned by someone else.</w:t>
      </w:r>
      <w:r w:rsidR="00E348A9">
        <w:rPr>
          <w:rFonts w:ascii="Arial" w:hAnsi="Arial" w:cs="Arial"/>
          <w:sz w:val="20"/>
        </w:rPr>
        <w:t xml:space="preserve"> </w:t>
      </w:r>
      <w:r w:rsidR="005D6DF0" w:rsidRPr="005D6DF0">
        <w:rPr>
          <w:rFonts w:ascii="Arial" w:hAnsi="Arial" w:cs="Arial"/>
          <w:sz w:val="20"/>
        </w:rPr>
        <w:t>That said, as a witness he seemed reasonably open and candid, and several times gave answers that contradicted Ms</w:t>
      </w:r>
      <w:r w:rsidR="00967753">
        <w:rPr>
          <w:rFonts w:ascii="Arial" w:hAnsi="Arial" w:cs="Arial"/>
          <w:sz w:val="20"/>
        </w:rPr>
        <w:t xml:space="preserve"> </w:t>
      </w:r>
      <w:r w:rsidR="005D6DF0" w:rsidRPr="005D6DF0">
        <w:rPr>
          <w:rFonts w:ascii="Arial" w:hAnsi="Arial" w:cs="Arial"/>
          <w:sz w:val="20"/>
        </w:rPr>
        <w:t>Gazzard’s testimony, suggesting that they had not colluded in their evidence.</w:t>
      </w:r>
    </w:p>
    <w:p w14:paraId="4DC1D5C9" w14:textId="21E04122" w:rsidR="005D6DF0" w:rsidRPr="005D6DF0" w:rsidRDefault="009D5EF1" w:rsidP="009D5EF1">
      <w:pPr>
        <w:spacing w:before="80"/>
        <w:ind w:left="1021" w:right="567" w:hanging="454"/>
        <w:jc w:val="both"/>
        <w:rPr>
          <w:rFonts w:ascii="Arial" w:hAnsi="Arial" w:cs="Arial"/>
          <w:sz w:val="20"/>
        </w:rPr>
      </w:pPr>
      <w:r>
        <w:rPr>
          <w:rFonts w:ascii="Arial" w:hAnsi="Arial" w:cs="Arial"/>
          <w:sz w:val="20"/>
        </w:rPr>
        <w:t>[24]</w:t>
      </w:r>
      <w:r>
        <w:rPr>
          <w:rFonts w:ascii="Arial" w:hAnsi="Arial" w:cs="Arial"/>
          <w:sz w:val="20"/>
        </w:rPr>
        <w:tab/>
      </w:r>
      <w:r w:rsidR="005D6DF0" w:rsidRPr="005D6DF0">
        <w:rPr>
          <w:rFonts w:ascii="Arial" w:hAnsi="Arial" w:cs="Arial"/>
          <w:sz w:val="20"/>
        </w:rPr>
        <w:t>Ms Gazzard’s testimony included non-responsive, evasive and sometimes demonstrably false answers. She had also engaged in various dubious schemes. For</w:t>
      </w:r>
      <w:r w:rsidR="002F1752">
        <w:rPr>
          <w:rFonts w:ascii="Arial" w:hAnsi="Arial" w:cs="Arial"/>
          <w:sz w:val="20"/>
        </w:rPr>
        <w:t> </w:t>
      </w:r>
      <w:r w:rsidR="005D6DF0" w:rsidRPr="005D6DF0">
        <w:rPr>
          <w:rFonts w:ascii="Arial" w:hAnsi="Arial" w:cs="Arial"/>
          <w:sz w:val="20"/>
        </w:rPr>
        <w:t>example:</w:t>
      </w:r>
    </w:p>
    <w:p w14:paraId="1AD648B6" w14:textId="77777777" w:rsidR="002F1752" w:rsidRDefault="005D6DF0" w:rsidP="00234037">
      <w:pPr>
        <w:numPr>
          <w:ilvl w:val="1"/>
          <w:numId w:val="160"/>
        </w:numPr>
        <w:ind w:left="1378" w:right="567" w:hanging="357"/>
        <w:jc w:val="both"/>
        <w:rPr>
          <w:rFonts w:ascii="Arial" w:hAnsi="Arial" w:cs="Arial"/>
          <w:sz w:val="20"/>
        </w:rPr>
      </w:pPr>
      <w:r w:rsidRPr="005D6DF0">
        <w:rPr>
          <w:rFonts w:ascii="Arial" w:hAnsi="Arial" w:cs="Arial"/>
          <w:sz w:val="20"/>
        </w:rPr>
        <w:t>She insisted that the primer that was clearly visible on the left front wheel arch of the Porsche in numerous photos, taken on different days and in different settings, was in fact a shadow or a reflection of light on the photograph.</w:t>
      </w:r>
      <w:bookmarkStart w:id="607" w:name="fnB56"/>
    </w:p>
    <w:p w14:paraId="633CD114" w14:textId="77777777" w:rsidR="002F1752" w:rsidRDefault="002F1752" w:rsidP="00234037">
      <w:pPr>
        <w:numPr>
          <w:ilvl w:val="1"/>
          <w:numId w:val="160"/>
        </w:numPr>
        <w:ind w:left="1378" w:right="567" w:hanging="357"/>
        <w:jc w:val="both"/>
        <w:rPr>
          <w:rFonts w:ascii="Arial" w:hAnsi="Arial" w:cs="Arial"/>
          <w:sz w:val="20"/>
        </w:rPr>
      </w:pPr>
      <w:r w:rsidRPr="005D6DF0">
        <w:rPr>
          <w:rFonts w:ascii="Arial" w:hAnsi="Arial" w:cs="Arial"/>
          <w:sz w:val="20"/>
        </w:rPr>
        <w:t>She admitted that information she had provided in a loan application was a lie.</w:t>
      </w:r>
    </w:p>
    <w:p w14:paraId="0843C693" w14:textId="77777777" w:rsidR="002F1752" w:rsidRDefault="002F1752" w:rsidP="00234037">
      <w:pPr>
        <w:numPr>
          <w:ilvl w:val="1"/>
          <w:numId w:val="160"/>
        </w:numPr>
        <w:ind w:left="1378" w:right="567" w:hanging="357"/>
        <w:jc w:val="both"/>
        <w:rPr>
          <w:rFonts w:ascii="Arial" w:hAnsi="Arial" w:cs="Arial"/>
          <w:sz w:val="20"/>
        </w:rPr>
      </w:pPr>
      <w:r w:rsidRPr="005D6DF0">
        <w:rPr>
          <w:rFonts w:ascii="Arial" w:hAnsi="Arial" w:cs="Arial"/>
          <w:sz w:val="20"/>
        </w:rPr>
        <w:t>She had permitted others, including both Sedat and Burak Ceylan, to complete documents or make representations on her behalf, relating to obtaining finance and insurance.</w:t>
      </w:r>
    </w:p>
    <w:p w14:paraId="5E10A106" w14:textId="77777777" w:rsidR="002F1752" w:rsidRDefault="002F1752" w:rsidP="00234037">
      <w:pPr>
        <w:numPr>
          <w:ilvl w:val="1"/>
          <w:numId w:val="160"/>
        </w:numPr>
        <w:ind w:left="1378" w:right="567" w:hanging="357"/>
        <w:jc w:val="both"/>
        <w:rPr>
          <w:rFonts w:ascii="Arial" w:hAnsi="Arial" w:cs="Arial"/>
          <w:sz w:val="20"/>
        </w:rPr>
      </w:pPr>
      <w:r w:rsidRPr="005D6DF0">
        <w:rPr>
          <w:rFonts w:ascii="Arial" w:hAnsi="Arial" w:cs="Arial"/>
          <w:sz w:val="20"/>
        </w:rPr>
        <w:t>She also submitted, or acquiesced to documents being submitted, in her name, which included false information.</w:t>
      </w:r>
    </w:p>
    <w:p w14:paraId="20335896" w14:textId="16F432AC" w:rsidR="005D6DF0" w:rsidRPr="005D6DF0" w:rsidRDefault="002F1752" w:rsidP="00234037">
      <w:pPr>
        <w:numPr>
          <w:ilvl w:val="1"/>
          <w:numId w:val="160"/>
        </w:numPr>
        <w:ind w:left="1378" w:right="567" w:hanging="357"/>
        <w:jc w:val="both"/>
        <w:rPr>
          <w:rFonts w:ascii="Arial" w:hAnsi="Arial" w:cs="Arial"/>
          <w:sz w:val="20"/>
        </w:rPr>
      </w:pPr>
      <w:r w:rsidRPr="005D6DF0">
        <w:rPr>
          <w:rFonts w:ascii="Arial" w:hAnsi="Arial" w:cs="Arial"/>
          <w:sz w:val="20"/>
        </w:rPr>
        <w:t>According to Mr Ceylan’s sentencing remarks, in July 2018 she had also been involved in an attempt by Mr Ceylan to pervert the course of justice.</w:t>
      </w:r>
      <w:hyperlink r:id="rId46" w:anchor="fn56" w:history="1"/>
      <w:bookmarkEnd w:id="607"/>
    </w:p>
    <w:p w14:paraId="03A14445" w14:textId="1419031A" w:rsidR="005D6DF0" w:rsidRPr="005D6DF0" w:rsidRDefault="009D5EF1" w:rsidP="009D5EF1">
      <w:pPr>
        <w:spacing w:before="60"/>
        <w:ind w:left="1021" w:right="567" w:hanging="454"/>
        <w:jc w:val="both"/>
        <w:rPr>
          <w:rFonts w:ascii="Arial" w:hAnsi="Arial" w:cs="Arial"/>
          <w:sz w:val="20"/>
        </w:rPr>
      </w:pPr>
      <w:r w:rsidRPr="009D5EF1">
        <w:rPr>
          <w:rFonts w:ascii="Arial" w:hAnsi="Arial" w:cs="Arial"/>
          <w:sz w:val="20"/>
        </w:rPr>
        <w:t>[25]</w:t>
      </w:r>
      <w:r w:rsidRPr="009D5EF1">
        <w:rPr>
          <w:rFonts w:ascii="Arial" w:hAnsi="Arial" w:cs="Arial"/>
          <w:sz w:val="20"/>
        </w:rPr>
        <w:tab/>
        <w:t xml:space="preserve"> </w:t>
      </w:r>
      <w:r w:rsidR="005D6DF0" w:rsidRPr="005D6DF0">
        <w:rPr>
          <w:rFonts w:ascii="Arial" w:hAnsi="Arial" w:cs="Arial"/>
          <w:b/>
          <w:bCs/>
          <w:sz w:val="20"/>
          <w:u w:val="single"/>
        </w:rPr>
        <w:t>I do not consider either Ms Gazzard or Mr Ceylan to be witnesses of good credit.</w:t>
      </w:r>
      <w:r w:rsidR="00E348A9" w:rsidRPr="00E348A9">
        <w:rPr>
          <w:rFonts w:ascii="Arial" w:hAnsi="Arial" w:cs="Arial"/>
          <w:b/>
          <w:bCs/>
          <w:sz w:val="20"/>
          <w:u w:val="single"/>
        </w:rPr>
        <w:t xml:space="preserve"> </w:t>
      </w:r>
      <w:r w:rsidR="005D6DF0" w:rsidRPr="005D6DF0">
        <w:rPr>
          <w:rFonts w:ascii="Arial" w:hAnsi="Arial" w:cs="Arial"/>
          <w:b/>
          <w:bCs/>
          <w:sz w:val="20"/>
          <w:u w:val="single"/>
        </w:rPr>
        <w:t>Nevertheless, just because a witness is untrustworthy does not mean that everything they say is a lie.</w:t>
      </w:r>
      <w:r w:rsidR="005D6DF0" w:rsidRPr="005D6DF0">
        <w:rPr>
          <w:rFonts w:ascii="Arial" w:hAnsi="Arial" w:cs="Arial"/>
          <w:sz w:val="20"/>
        </w:rPr>
        <w:t xml:space="preserve"> In this case, the objective evidence – in particular, the invoices issued by Pickles, and, most importantly, the fact that the Porsche was paid for with money from Ms Gazzard’s bank accounts – is consistent with their testimony that it was Ms Gazzard who bought the Porsche from Pickles. There is no objective evidence that is inconsistent with that conclusion. I therefore find that Ms</w:t>
      </w:r>
      <w:r w:rsidR="00E348A9">
        <w:rPr>
          <w:rFonts w:ascii="Arial" w:hAnsi="Arial" w:cs="Arial"/>
          <w:sz w:val="20"/>
        </w:rPr>
        <w:t xml:space="preserve"> </w:t>
      </w:r>
      <w:r w:rsidR="005D6DF0" w:rsidRPr="005D6DF0">
        <w:rPr>
          <w:rFonts w:ascii="Arial" w:hAnsi="Arial" w:cs="Arial"/>
          <w:sz w:val="20"/>
        </w:rPr>
        <w:t>Gazzard became the sole owner of the Porsche on or around 14 July 2017.”</w:t>
      </w:r>
      <w:r w:rsidR="00E348A9">
        <w:rPr>
          <w:rFonts w:ascii="Arial" w:hAnsi="Arial" w:cs="Arial"/>
          <w:sz w:val="20"/>
        </w:rPr>
        <w:t xml:space="preserve"> [footnotes omitted and emphasis added]</w:t>
      </w:r>
    </w:p>
    <w:p w14:paraId="17A18988" w14:textId="77777777" w:rsidR="005D6DF0" w:rsidRDefault="005D6DF0">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608" w:name="_3.5.3.9_Inadmissibility_without"/>
      <w:bookmarkEnd w:id="608"/>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lastRenderedPageBreak/>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609" w:name="_Hlk138924367"/>
      <w:r w:rsidRPr="00AD1396">
        <w:rPr>
          <w:rFonts w:ascii="Arial" w:hAnsi="Arial" w:cs="Arial"/>
          <w:sz w:val="20"/>
        </w:rPr>
        <w:t>information to which this section applies</w:t>
      </w:r>
      <w:bookmarkEnd w:id="609"/>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610" w:name="_Hlk106300027"/>
      <w:r w:rsidRPr="00AD1396">
        <w:rPr>
          <w:rFonts w:ascii="Arial" w:hAnsi="Arial" w:cs="Arial"/>
          <w:sz w:val="20"/>
        </w:rPr>
        <w:t>has complied with the requirements under section 32CA or 32CC (as the case requires) that are not waived</w:t>
      </w:r>
      <w:bookmarkEnd w:id="610"/>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lastRenderedPageBreak/>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611"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611"/>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612" w:name="_3.5.3.10__Common"/>
      <w:bookmarkEnd w:id="612"/>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lastRenderedPageBreak/>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In this regard, statements to the effect that a fact would be common knowledge or capable of judicial notice if it is ‘of a class that is so generally known as to give rise to the 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r w:rsidR="006543AD" w:rsidRPr="006543AD">
        <w:rPr>
          <w:rFonts w:ascii="Arial" w:hAnsi="Arial" w:cs="Arial"/>
          <w:i/>
          <w:iCs/>
          <w:sz w:val="20"/>
          <w:szCs w:val="20"/>
        </w:rPr>
        <w:t>Properjohn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 xml:space="preserve">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w:t>
      </w:r>
      <w:r w:rsidR="00660230" w:rsidRPr="00877E48">
        <w:rPr>
          <w:rFonts w:ascii="Arial" w:hAnsi="Arial" w:cs="Arial"/>
          <w:sz w:val="20"/>
        </w:rPr>
        <w:lastRenderedPageBreak/>
        <w:t>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5DF7C5C1" w14:textId="77777777" w:rsidR="00A240A5" w:rsidRDefault="00A240A5" w:rsidP="00A240A5">
      <w:pPr>
        <w:jc w:val="both"/>
        <w:rPr>
          <w:rFonts w:ascii="Arial" w:hAnsi="Arial" w:cs="Arial"/>
          <w:sz w:val="20"/>
        </w:rPr>
      </w:pPr>
    </w:p>
    <w:p w14:paraId="056A6C3C" w14:textId="57380378" w:rsidR="00A240A5" w:rsidRDefault="00A240A5" w:rsidP="00A240A5">
      <w:pPr>
        <w:pStyle w:val="Heading3"/>
        <w:keepNext/>
        <w:widowControl/>
        <w:spacing w:line="240" w:lineRule="auto"/>
        <w:ind w:left="737" w:hanging="737"/>
        <w:rPr>
          <w:rFonts w:ascii="Arial" w:hAnsi="Arial" w:cs="Arial"/>
          <w:sz w:val="20"/>
        </w:rPr>
      </w:pPr>
      <w:bookmarkStart w:id="613" w:name="_3.5.3.11__Admissibility"/>
      <w:bookmarkEnd w:id="613"/>
      <w:r w:rsidRPr="008C3BC8">
        <w:rPr>
          <w:rFonts w:ascii="Arial" w:hAnsi="Arial" w:cs="Arial"/>
          <w:b/>
          <w:bCs/>
          <w:color w:val="000000"/>
          <w:sz w:val="20"/>
        </w:rPr>
        <w:t>3.5.</w:t>
      </w:r>
      <w:r>
        <w:rPr>
          <w:rFonts w:ascii="Arial" w:hAnsi="Arial" w:cs="Arial"/>
          <w:b/>
          <w:bCs/>
          <w:color w:val="000000"/>
          <w:sz w:val="20"/>
        </w:rPr>
        <w:t>3.11</w:t>
      </w:r>
      <w:r>
        <w:rPr>
          <w:rFonts w:ascii="Arial" w:hAnsi="Arial" w:cs="Arial"/>
          <w:b/>
          <w:bCs/>
          <w:color w:val="000000"/>
          <w:sz w:val="20"/>
        </w:rPr>
        <w:tab/>
        <w:t xml:space="preserve"> Admissibility of evidence of distress</w:t>
      </w:r>
    </w:p>
    <w:p w14:paraId="1C5C61C6" w14:textId="7D777837" w:rsidR="00A240A5" w:rsidRDefault="00FB1B56" w:rsidP="00FB1B56">
      <w:pPr>
        <w:spacing w:before="120"/>
        <w:jc w:val="both"/>
        <w:rPr>
          <w:rFonts w:ascii="Arial" w:hAnsi="Arial" w:cs="Arial"/>
          <w:sz w:val="20"/>
        </w:rPr>
      </w:pPr>
      <w:r>
        <w:rPr>
          <w:rFonts w:ascii="Arial" w:hAnsi="Arial" w:cs="Arial"/>
          <w:sz w:val="20"/>
        </w:rPr>
        <w:t xml:space="preserve">The case of </w:t>
      </w:r>
      <w:r w:rsidRPr="00FB1B56">
        <w:rPr>
          <w:rFonts w:ascii="Arial" w:hAnsi="Arial" w:cs="Arial"/>
          <w:i/>
          <w:iCs/>
          <w:sz w:val="20"/>
        </w:rPr>
        <w:t>Tsalkos v The King</w:t>
      </w:r>
      <w:r>
        <w:rPr>
          <w:rFonts w:ascii="Arial" w:hAnsi="Arial" w:cs="Arial"/>
          <w:sz w:val="20"/>
        </w:rPr>
        <w:t xml:space="preserve"> [2024] VSCA 325 </w:t>
      </w:r>
      <w:r w:rsidR="00C27297">
        <w:rPr>
          <w:rFonts w:ascii="Arial" w:hAnsi="Arial" w:cs="Arial"/>
          <w:sz w:val="20"/>
        </w:rPr>
        <w:t>involv</w:t>
      </w:r>
      <w:r>
        <w:rPr>
          <w:rFonts w:ascii="Arial" w:hAnsi="Arial" w:cs="Arial"/>
          <w:sz w:val="20"/>
        </w:rPr>
        <w:t>es</w:t>
      </w:r>
      <w:r w:rsidRPr="00FB1B56">
        <w:rPr>
          <w:rFonts w:ascii="Arial" w:hAnsi="Arial" w:cs="Arial"/>
          <w:sz w:val="20"/>
        </w:rPr>
        <w:t xml:space="preserve"> the admissibility of evidence of the distress of a complainant </w:t>
      </w:r>
      <w:r>
        <w:rPr>
          <w:rFonts w:ascii="Arial" w:hAnsi="Arial" w:cs="Arial"/>
          <w:sz w:val="20"/>
        </w:rPr>
        <w:t xml:space="preserve">AB </w:t>
      </w:r>
      <w:r w:rsidRPr="00FB1B56">
        <w:rPr>
          <w:rFonts w:ascii="Arial" w:hAnsi="Arial" w:cs="Arial"/>
          <w:sz w:val="20"/>
        </w:rPr>
        <w:t>in a sexual offence trial</w:t>
      </w:r>
      <w:r w:rsidR="005D77F0">
        <w:rPr>
          <w:rFonts w:ascii="Arial" w:hAnsi="Arial" w:cs="Arial"/>
          <w:sz w:val="20"/>
        </w:rPr>
        <w:t xml:space="preserve"> (involving charges including kidnapping and rape with aggravating circumstances)</w:t>
      </w:r>
      <w:r w:rsidRPr="00FB1B56">
        <w:rPr>
          <w:rFonts w:ascii="Arial" w:hAnsi="Arial" w:cs="Arial"/>
          <w:sz w:val="20"/>
        </w:rPr>
        <w:t>, and the directions which should be given to a jury in respect of such evidence</w:t>
      </w:r>
      <w:r>
        <w:rPr>
          <w:rFonts w:ascii="Arial" w:hAnsi="Arial" w:cs="Arial"/>
          <w:sz w:val="20"/>
        </w:rPr>
        <w:t xml:space="preserve">. AB’s mother had given evidence </w:t>
      </w:r>
      <w:r w:rsidR="005D77F0">
        <w:rPr>
          <w:rFonts w:ascii="Arial" w:hAnsi="Arial" w:cs="Arial"/>
          <w:sz w:val="20"/>
        </w:rPr>
        <w:t>– referred to in the judgments as ‘</w:t>
      </w:r>
      <w:r w:rsidR="005D77F0" w:rsidRPr="00D604AC">
        <w:rPr>
          <w:rFonts w:ascii="Arial" w:hAnsi="Arial" w:cs="Arial"/>
          <w:b/>
          <w:bCs/>
          <w:sz w:val="20"/>
        </w:rPr>
        <w:t>distress evidence</w:t>
      </w:r>
      <w:r w:rsidR="005D77F0">
        <w:rPr>
          <w:rFonts w:ascii="Arial" w:hAnsi="Arial" w:cs="Arial"/>
          <w:sz w:val="20"/>
        </w:rPr>
        <w:t xml:space="preserve">’ – </w:t>
      </w:r>
      <w:r>
        <w:rPr>
          <w:rFonts w:ascii="Arial" w:hAnsi="Arial" w:cs="Arial"/>
          <w:sz w:val="20"/>
        </w:rPr>
        <w:t>about</w:t>
      </w:r>
      <w:r w:rsidR="005D77F0">
        <w:rPr>
          <w:rFonts w:ascii="Arial" w:hAnsi="Arial" w:cs="Arial"/>
          <w:sz w:val="20"/>
        </w:rPr>
        <w:t xml:space="preserve"> </w:t>
      </w:r>
      <w:r>
        <w:rPr>
          <w:rFonts w:ascii="Arial" w:hAnsi="Arial" w:cs="Arial"/>
          <w:sz w:val="20"/>
        </w:rPr>
        <w:t xml:space="preserve">what she observed of AB’s demeanour when she attended a hospital to </w:t>
      </w:r>
      <w:r w:rsidRPr="00FB1B56">
        <w:rPr>
          <w:rFonts w:ascii="Arial" w:hAnsi="Arial" w:cs="Arial"/>
          <w:sz w:val="20"/>
        </w:rPr>
        <w:t xml:space="preserve">offer support to AB in the morning after the night on which the alleged offences occurred. </w:t>
      </w:r>
      <w:r>
        <w:rPr>
          <w:rFonts w:ascii="Arial" w:hAnsi="Arial" w:cs="Arial"/>
          <w:sz w:val="20"/>
        </w:rPr>
        <w:t xml:space="preserve">The mother said that she </w:t>
      </w:r>
      <w:r w:rsidRPr="00FB1B56">
        <w:rPr>
          <w:rFonts w:ascii="Arial" w:hAnsi="Arial" w:cs="Arial"/>
          <w:sz w:val="20"/>
        </w:rPr>
        <w:t>walked into the cubicle and saw AB on the bed ‘very very distressed’. AB ‘was very very upset and very emotional’. AB told her mother that she had been raped, that she was with a friend, and that they got into a car with a man before he raped both of them. They were very frightened because he threatened them and he had a knife.</w:t>
      </w:r>
    </w:p>
    <w:p w14:paraId="1BBD0813" w14:textId="649386B1" w:rsidR="00A240A5" w:rsidRDefault="00CF787A" w:rsidP="005D77F0">
      <w:pPr>
        <w:spacing w:before="120"/>
        <w:jc w:val="both"/>
        <w:rPr>
          <w:rFonts w:ascii="Arial" w:hAnsi="Arial" w:cs="Arial"/>
          <w:sz w:val="20"/>
        </w:rPr>
      </w:pPr>
      <w:r>
        <w:rPr>
          <w:rFonts w:ascii="Arial" w:hAnsi="Arial" w:cs="Arial"/>
          <w:sz w:val="20"/>
        </w:rPr>
        <w:t xml:space="preserve">In a joint judgment </w:t>
      </w:r>
      <w:r w:rsidR="005D77F0">
        <w:rPr>
          <w:rFonts w:ascii="Arial" w:hAnsi="Arial" w:cs="Arial"/>
          <w:sz w:val="20"/>
        </w:rPr>
        <w:t xml:space="preserve">Emerton P, McLeish &amp; Boyce JJA </w:t>
      </w:r>
      <w:r>
        <w:rPr>
          <w:rFonts w:ascii="Arial" w:hAnsi="Arial" w:cs="Arial"/>
          <w:sz w:val="20"/>
        </w:rPr>
        <w:t>held that the appeal should be allowed, the convictions set aside and a new</w:t>
      </w:r>
      <w:r w:rsidR="004E32EA">
        <w:rPr>
          <w:rFonts w:ascii="Arial" w:hAnsi="Arial" w:cs="Arial"/>
          <w:sz w:val="20"/>
        </w:rPr>
        <w:t xml:space="preserve"> </w:t>
      </w:r>
      <w:r>
        <w:rPr>
          <w:rFonts w:ascii="Arial" w:hAnsi="Arial" w:cs="Arial"/>
          <w:sz w:val="20"/>
        </w:rPr>
        <w:t xml:space="preserve">trial ordered. In a separate judgment Priest JA made the same orders. Niall JA dissented, refusing leave to appeal against conviction. At </w:t>
      </w:r>
      <w:r w:rsidR="0079700E">
        <w:rPr>
          <w:rFonts w:ascii="Arial" w:hAnsi="Arial" w:cs="Arial"/>
          <w:sz w:val="20"/>
        </w:rPr>
        <w:t>[8]-[1</w:t>
      </w:r>
      <w:r w:rsidR="00D604AC">
        <w:rPr>
          <w:rFonts w:ascii="Arial" w:hAnsi="Arial" w:cs="Arial"/>
          <w:sz w:val="20"/>
        </w:rPr>
        <w:t>2</w:t>
      </w:r>
      <w:r w:rsidR="0079700E">
        <w:rPr>
          <w:rFonts w:ascii="Arial" w:hAnsi="Arial" w:cs="Arial"/>
          <w:sz w:val="20"/>
        </w:rPr>
        <w:t>]</w:t>
      </w:r>
      <w:r w:rsidR="00D604AC">
        <w:rPr>
          <w:rFonts w:ascii="Arial" w:hAnsi="Arial" w:cs="Arial"/>
          <w:sz w:val="20"/>
        </w:rPr>
        <w:t>, [</w:t>
      </w:r>
      <w:r w:rsidR="00C27297">
        <w:rPr>
          <w:rFonts w:ascii="Arial" w:hAnsi="Arial" w:cs="Arial"/>
          <w:sz w:val="20"/>
        </w:rPr>
        <w:t>23</w:t>
      </w:r>
      <w:r w:rsidR="00D604AC">
        <w:rPr>
          <w:rFonts w:ascii="Arial" w:hAnsi="Arial" w:cs="Arial"/>
          <w:sz w:val="20"/>
        </w:rPr>
        <w:t>]-[</w:t>
      </w:r>
      <w:r w:rsidR="00C27297">
        <w:rPr>
          <w:rFonts w:ascii="Arial" w:hAnsi="Arial" w:cs="Arial"/>
          <w:sz w:val="20"/>
        </w:rPr>
        <w:t>26</w:t>
      </w:r>
      <w:r w:rsidR="00D604AC">
        <w:rPr>
          <w:rFonts w:ascii="Arial" w:hAnsi="Arial" w:cs="Arial"/>
          <w:sz w:val="20"/>
        </w:rPr>
        <w:t>] &amp; [</w:t>
      </w:r>
      <w:r w:rsidR="00C27297">
        <w:rPr>
          <w:rFonts w:ascii="Arial" w:hAnsi="Arial" w:cs="Arial"/>
          <w:sz w:val="20"/>
        </w:rPr>
        <w:t>29</w:t>
      </w:r>
      <w:r w:rsidR="00D604AC">
        <w:rPr>
          <w:rFonts w:ascii="Arial" w:hAnsi="Arial" w:cs="Arial"/>
          <w:sz w:val="20"/>
        </w:rPr>
        <w:t>]-[</w:t>
      </w:r>
      <w:r w:rsidR="00C27297">
        <w:rPr>
          <w:rFonts w:ascii="Arial" w:hAnsi="Arial" w:cs="Arial"/>
          <w:sz w:val="20"/>
        </w:rPr>
        <w:t>30</w:t>
      </w:r>
      <w:r w:rsidR="00D604AC">
        <w:rPr>
          <w:rFonts w:ascii="Arial" w:hAnsi="Arial" w:cs="Arial"/>
          <w:sz w:val="20"/>
        </w:rPr>
        <w:t xml:space="preserve">] </w:t>
      </w:r>
      <w:r w:rsidR="0079700E">
        <w:rPr>
          <w:rFonts w:ascii="Arial" w:hAnsi="Arial" w:cs="Arial"/>
          <w:sz w:val="20"/>
        </w:rPr>
        <w:t>the plurality said</w:t>
      </w:r>
      <w:r w:rsidR="004E32EA">
        <w:rPr>
          <w:rFonts w:ascii="Arial" w:hAnsi="Arial" w:cs="Arial"/>
          <w:sz w:val="20"/>
        </w:rPr>
        <w:t xml:space="preserve"> [emphasis added]</w:t>
      </w:r>
      <w:r w:rsidR="0079700E">
        <w:rPr>
          <w:rFonts w:ascii="Arial" w:hAnsi="Arial" w:cs="Arial"/>
          <w:sz w:val="20"/>
        </w:rPr>
        <w:t>:</w:t>
      </w:r>
    </w:p>
    <w:p w14:paraId="077B20EF" w14:textId="7568FEAB" w:rsidR="00FB1B56" w:rsidRDefault="00CF787A" w:rsidP="005D77F0">
      <w:pPr>
        <w:spacing w:before="60"/>
        <w:ind w:left="567" w:right="567"/>
        <w:jc w:val="both"/>
        <w:rPr>
          <w:rFonts w:ascii="Arial" w:hAnsi="Arial" w:cs="Arial"/>
          <w:sz w:val="20"/>
        </w:rPr>
      </w:pPr>
      <w:r>
        <w:rPr>
          <w:rFonts w:ascii="Arial" w:hAnsi="Arial" w:cs="Arial"/>
          <w:sz w:val="20"/>
        </w:rPr>
        <w:t xml:space="preserve">[8] </w:t>
      </w:r>
      <w:r w:rsidR="005D77F0">
        <w:rPr>
          <w:rFonts w:ascii="Arial" w:hAnsi="Arial" w:cs="Arial"/>
          <w:sz w:val="20"/>
        </w:rPr>
        <w:t xml:space="preserve">“The distress evidence, and the circumstances and manner in which it was left to be used by the jury, is amply described in the judgments of Priest JA </w:t>
      </w:r>
      <w:r>
        <w:rPr>
          <w:rFonts w:ascii="Arial" w:hAnsi="Arial" w:cs="Arial"/>
          <w:sz w:val="20"/>
        </w:rPr>
        <w:t>and Niall JA. In short:</w:t>
      </w:r>
    </w:p>
    <w:p w14:paraId="561AE9F4" w14:textId="6C1E2810" w:rsidR="00FB1B56"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There was no dispute that the distress evidence was admissible as part of the context in which AB complained to her mother about having been raped.</w:t>
      </w:r>
    </w:p>
    <w:p w14:paraId="34362CDC" w14:textId="2A55D9FA"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However, the prosecutor told the jury in his closing address that they could use the distress evidence as ‘independent’ evidence of the events alleged by AB.</w:t>
      </w:r>
    </w:p>
    <w:p w14:paraId="77ECCCF4" w14:textId="4B08AC05"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In her charge, the judge recorded that the prosecution had invited the jury to use the distress evidence as indirect or circumstantial evidence supporting the case that AB and JJ did not consent to the sexual penetration.</w:t>
      </w:r>
    </w:p>
    <w:p w14:paraId="1BB6BBC1" w14:textId="4DD94C73" w:rsidR="00CF787A" w:rsidRP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 judge gave the jury a direction on distress, leaving it to the jury to determine whether AB’s distress was because she had been raped or for some other reason. Her Honour warned the jury that they could not use AB’s distress as indirect evidence supporting the charges unless satisfied that AB was distressed because of the alleged sexual offending and not for some other reason.</w:t>
      </w:r>
    </w:p>
    <w:p w14:paraId="2D6FA2F8" w14:textId="7147B7A7" w:rsidR="00D604AC" w:rsidRDefault="00D604AC" w:rsidP="00D604AC">
      <w:pPr>
        <w:spacing w:before="60"/>
        <w:ind w:left="567" w:right="567"/>
        <w:jc w:val="both"/>
        <w:rPr>
          <w:rFonts w:ascii="Arial" w:hAnsi="Arial" w:cs="Arial"/>
          <w:sz w:val="20"/>
        </w:rPr>
      </w:pPr>
      <w:r>
        <w:rPr>
          <w:rFonts w:ascii="Arial" w:hAnsi="Arial" w:cs="Arial"/>
          <w:sz w:val="20"/>
        </w:rPr>
        <w:t xml:space="preserve">[9] </w:t>
      </w:r>
      <w:r w:rsidRPr="00FB1B56">
        <w:rPr>
          <w:rFonts w:ascii="Arial" w:hAnsi="Arial" w:cs="Arial"/>
          <w:sz w:val="20"/>
        </w:rPr>
        <w:t>We understand the terms ‘independent’, ‘indirect’ and ‘circumstantial’ to be used interchangeably and to mean the same as ‘corroborative’, that is, evidence of the events alleged that is independent of the complainant and, in this case, the accompanying complaint to the mother.</w:t>
      </w:r>
    </w:p>
    <w:p w14:paraId="0507CAE8" w14:textId="44EAD4C7" w:rsidR="00D604AC" w:rsidRDefault="00D604AC" w:rsidP="00D604AC">
      <w:pPr>
        <w:spacing w:before="60"/>
        <w:ind w:left="567" w:right="567"/>
        <w:jc w:val="both"/>
        <w:rPr>
          <w:rFonts w:ascii="Arial" w:hAnsi="Arial" w:cs="Arial"/>
          <w:sz w:val="20"/>
        </w:rPr>
      </w:pPr>
      <w:r>
        <w:rPr>
          <w:rFonts w:ascii="Arial" w:hAnsi="Arial" w:cs="Arial"/>
          <w:sz w:val="20"/>
        </w:rPr>
        <w:t xml:space="preserve">[10] </w:t>
      </w:r>
      <w:r w:rsidRPr="00FB1B56">
        <w:rPr>
          <w:rFonts w:ascii="Arial" w:hAnsi="Arial" w:cs="Arial"/>
          <w:sz w:val="20"/>
        </w:rPr>
        <w:t>We agree with Priest JA that, having regard to the circumstances in which AB’s distress was observed, the distress evidence was not capable of being used by the jury as ‘independent’, ‘indirect’ or ‘circumstantial’ evidence of the events alleged by AB (as opposed to evidence of the context in which the complaint was made to the mother). Nonetheless, the jury was invited to do so by the prosecution and the judge left it to the jury to decide whether it was open for it to do so.</w:t>
      </w:r>
    </w:p>
    <w:p w14:paraId="571DEEC5" w14:textId="6B1D5840" w:rsidR="00D604AC" w:rsidRPr="00D604AC" w:rsidRDefault="00D604AC" w:rsidP="00D604AC">
      <w:pPr>
        <w:spacing w:before="60"/>
        <w:ind w:left="567" w:right="567"/>
        <w:jc w:val="both"/>
        <w:rPr>
          <w:rFonts w:ascii="Arial" w:hAnsi="Arial" w:cs="Arial"/>
          <w:b/>
          <w:bCs/>
          <w:i/>
          <w:iCs/>
          <w:sz w:val="20"/>
        </w:rPr>
      </w:pPr>
      <w:r w:rsidRPr="00D604AC">
        <w:rPr>
          <w:rFonts w:ascii="Arial" w:hAnsi="Arial" w:cs="Arial"/>
          <w:b/>
          <w:bCs/>
          <w:i/>
          <w:iCs/>
          <w:sz w:val="20"/>
        </w:rPr>
        <w:t>Use of evidence of distress</w:t>
      </w:r>
    </w:p>
    <w:p w14:paraId="090605FD" w14:textId="6535B366" w:rsidR="00D604AC" w:rsidRDefault="00D604AC" w:rsidP="00D604AC">
      <w:pPr>
        <w:spacing w:before="60"/>
        <w:ind w:left="567" w:right="567"/>
        <w:jc w:val="both"/>
        <w:rPr>
          <w:rFonts w:ascii="Arial" w:hAnsi="Arial" w:cs="Arial"/>
          <w:sz w:val="20"/>
        </w:rPr>
      </w:pPr>
      <w:r>
        <w:rPr>
          <w:rFonts w:ascii="Arial" w:hAnsi="Arial" w:cs="Arial"/>
          <w:sz w:val="20"/>
        </w:rPr>
        <w:t xml:space="preserve">[11] In </w:t>
      </w:r>
      <w:r w:rsidRPr="00D604AC">
        <w:rPr>
          <w:rFonts w:ascii="Arial" w:hAnsi="Arial" w:cs="Arial"/>
          <w:i/>
          <w:iCs/>
          <w:sz w:val="20"/>
        </w:rPr>
        <w:t>R v Sailor</w:t>
      </w:r>
      <w:r>
        <w:rPr>
          <w:rFonts w:ascii="Arial" w:hAnsi="Arial" w:cs="Arial"/>
          <w:sz w:val="20"/>
        </w:rPr>
        <w:t xml:space="preserve"> [1994] 2 Qd R 342 at 346, McPherson JA usefully described the evidentiary value of distress in the context of rape or sexual assault.  McPherson JA said:</w:t>
      </w:r>
    </w:p>
    <w:p w14:paraId="3E38C59F" w14:textId="276EDCC2" w:rsidR="00CF787A" w:rsidRPr="00D604AC" w:rsidRDefault="00D604AC" w:rsidP="00D604AC">
      <w:pPr>
        <w:spacing w:before="60"/>
        <w:ind w:left="1021" w:right="1021"/>
        <w:jc w:val="both"/>
        <w:rPr>
          <w:rFonts w:ascii="Arial" w:hAnsi="Arial" w:cs="Arial"/>
          <w:sz w:val="18"/>
          <w:szCs w:val="18"/>
        </w:rPr>
      </w:pPr>
      <w:r w:rsidRPr="00D604AC">
        <w:rPr>
          <w:rFonts w:ascii="Arial" w:hAnsi="Arial" w:cs="Arial"/>
          <w:sz w:val="18"/>
          <w:szCs w:val="18"/>
        </w:rPr>
        <w:t>Like bruising, bleeding, and torn clothing, distress is an aspect of the appearance or visible condition of the complainant that of itself is capable of providing independent confirmation of the complainant’s account of what happened to her.</w:t>
      </w:r>
    </w:p>
    <w:p w14:paraId="16746D54" w14:textId="6A5CC21C" w:rsidR="00D604AC" w:rsidRDefault="00D604AC" w:rsidP="00D604AC">
      <w:pPr>
        <w:spacing w:before="60"/>
        <w:ind w:left="567" w:right="567"/>
        <w:jc w:val="both"/>
        <w:rPr>
          <w:rFonts w:ascii="Arial" w:hAnsi="Arial" w:cs="Arial"/>
          <w:sz w:val="20"/>
        </w:rPr>
      </w:pPr>
      <w:r>
        <w:rPr>
          <w:rFonts w:ascii="Arial" w:hAnsi="Arial" w:cs="Arial"/>
          <w:sz w:val="20"/>
        </w:rPr>
        <w:t>See also 347-9 where Pincus JA proceeded on the basis that distress evidence is capable of constituting corroboration.</w:t>
      </w:r>
    </w:p>
    <w:p w14:paraId="35F21D4B" w14:textId="7E129A5E" w:rsidR="00D604AC" w:rsidRDefault="00D604AC" w:rsidP="00D604AC">
      <w:pPr>
        <w:spacing w:before="60"/>
        <w:ind w:left="567" w:right="567"/>
        <w:jc w:val="both"/>
        <w:rPr>
          <w:rFonts w:ascii="Arial" w:hAnsi="Arial" w:cs="Arial"/>
          <w:sz w:val="20"/>
        </w:rPr>
      </w:pPr>
      <w:r>
        <w:rPr>
          <w:rFonts w:ascii="Arial" w:hAnsi="Arial" w:cs="Arial"/>
          <w:sz w:val="20"/>
        </w:rPr>
        <w:lastRenderedPageBreak/>
        <w:t xml:space="preserve">[12] It has </w:t>
      </w:r>
      <w:r w:rsidRPr="00FB1B56">
        <w:rPr>
          <w:rFonts w:ascii="Arial" w:hAnsi="Arial" w:cs="Arial"/>
          <w:sz w:val="20"/>
        </w:rPr>
        <w:t>long been accepted that evidence of the distressed condition of a complainant after an alleged sexual offence can in certain circumstances be a form of circumstantial evidence that independently supports a complainant’s account</w:t>
      </w:r>
      <w:r>
        <w:rPr>
          <w:rFonts w:ascii="Arial" w:hAnsi="Arial" w:cs="Arial"/>
          <w:sz w:val="20"/>
        </w:rPr>
        <w:t xml:space="preserve">: see e.g. </w:t>
      </w:r>
      <w:r w:rsidRPr="00D604AC">
        <w:rPr>
          <w:rFonts w:ascii="Arial" w:hAnsi="Arial" w:cs="Arial"/>
          <w:i/>
          <w:iCs/>
          <w:sz w:val="20"/>
        </w:rPr>
        <w:t>R v Redpath</w:t>
      </w:r>
      <w:r>
        <w:rPr>
          <w:rFonts w:ascii="Arial" w:hAnsi="Arial" w:cs="Arial"/>
          <w:sz w:val="20"/>
        </w:rPr>
        <w:t xml:space="preserve"> (1962) 46 A Crim App R 319</w:t>
      </w:r>
      <w:r w:rsidRPr="00FB1B56">
        <w:rPr>
          <w:rFonts w:ascii="Arial" w:hAnsi="Arial" w:cs="Arial"/>
          <w:sz w:val="20"/>
        </w:rPr>
        <w:t>.</w:t>
      </w:r>
      <w:r>
        <w:rPr>
          <w:rFonts w:ascii="Arial" w:hAnsi="Arial" w:cs="Arial"/>
          <w:sz w:val="20"/>
        </w:rPr>
        <w:t xml:space="preserve"> </w:t>
      </w:r>
      <w:r w:rsidRPr="00FB1B56">
        <w:rPr>
          <w:rFonts w:ascii="Arial" w:hAnsi="Arial" w:cs="Arial"/>
          <w:sz w:val="20"/>
        </w:rPr>
        <w:t>In order to be admissible as such, however, it must be reasonably open to infer from the evidence that there is a causal connection between the distressed condition of the complainant and the alleged sexual offence</w:t>
      </w:r>
      <w:r w:rsidR="00C27297">
        <w:rPr>
          <w:rFonts w:ascii="Arial" w:hAnsi="Arial" w:cs="Arial"/>
          <w:sz w:val="20"/>
        </w:rPr>
        <w:t xml:space="preserve">: see e.g. </w:t>
      </w:r>
      <w:r w:rsidR="00C27297" w:rsidRPr="00C27297">
        <w:rPr>
          <w:rFonts w:ascii="Arial" w:hAnsi="Arial" w:cs="Arial"/>
          <w:i/>
          <w:iCs/>
          <w:sz w:val="20"/>
        </w:rPr>
        <w:t>R v Flannery</w:t>
      </w:r>
      <w:r w:rsidR="00C27297">
        <w:rPr>
          <w:rFonts w:ascii="Arial" w:hAnsi="Arial" w:cs="Arial"/>
          <w:sz w:val="20"/>
        </w:rPr>
        <w:t xml:space="preserve"> [1969] VR 586</w:t>
      </w:r>
      <w:r w:rsidRPr="00FB1B56">
        <w:rPr>
          <w:rFonts w:ascii="Arial" w:hAnsi="Arial" w:cs="Arial"/>
          <w:sz w:val="20"/>
        </w:rPr>
        <w:t>.</w:t>
      </w:r>
    </w:p>
    <w:p w14:paraId="780B5D61" w14:textId="79E88B35" w:rsidR="00C27297" w:rsidRDefault="00C27297" w:rsidP="00D604AC">
      <w:pPr>
        <w:spacing w:before="60"/>
        <w:ind w:left="567" w:right="567"/>
        <w:jc w:val="both"/>
        <w:rPr>
          <w:rFonts w:ascii="Arial" w:hAnsi="Arial" w:cs="Arial"/>
          <w:sz w:val="20"/>
        </w:rPr>
      </w:pPr>
      <w:r>
        <w:rPr>
          <w:rFonts w:ascii="Arial" w:hAnsi="Arial" w:cs="Arial"/>
          <w:sz w:val="20"/>
        </w:rPr>
        <w:t>...</w:t>
      </w:r>
    </w:p>
    <w:p w14:paraId="539EC95F" w14:textId="2AB90E6C" w:rsidR="00C27297" w:rsidRDefault="00C27297" w:rsidP="00C27297">
      <w:pPr>
        <w:spacing w:before="60"/>
        <w:ind w:left="567" w:right="567"/>
        <w:jc w:val="both"/>
        <w:rPr>
          <w:rFonts w:ascii="Arial" w:hAnsi="Arial" w:cs="Arial"/>
          <w:sz w:val="20"/>
        </w:rPr>
      </w:pPr>
      <w:r>
        <w:rPr>
          <w:rFonts w:ascii="Arial" w:hAnsi="Arial" w:cs="Arial"/>
          <w:sz w:val="20"/>
        </w:rPr>
        <w:t xml:space="preserve">[23] ...[I]f the reasonable inference from the evidence is that there was a causal connection between the alleged assault and the distressed condition, evidence of the latter </w:t>
      </w:r>
      <w:r w:rsidR="00FB1B56" w:rsidRPr="00FB1B56">
        <w:rPr>
          <w:rFonts w:ascii="Arial" w:hAnsi="Arial" w:cs="Arial"/>
          <w:sz w:val="20"/>
        </w:rPr>
        <w:t xml:space="preserve">is capable of constituting corroboration, that is, it may stand as independent evidence of the offending. Whether that inference may be drawn in any given case is the product of a number of different considerations. </w:t>
      </w:r>
      <w:r w:rsidR="00FB1B56" w:rsidRPr="00C27297">
        <w:rPr>
          <w:rFonts w:ascii="Arial" w:hAnsi="Arial" w:cs="Arial"/>
          <w:i/>
          <w:iCs/>
          <w:sz w:val="20"/>
        </w:rPr>
        <w:t>Flannery</w:t>
      </w:r>
      <w:r w:rsidR="00FB1B56" w:rsidRPr="00FB1B56">
        <w:rPr>
          <w:rFonts w:ascii="Arial" w:hAnsi="Arial" w:cs="Arial"/>
          <w:sz w:val="20"/>
        </w:rPr>
        <w:t xml:space="preserve"> sets out in broad terms the factors relevant to determining whether the necessary causal connection exists.</w:t>
      </w:r>
    </w:p>
    <w:p w14:paraId="76050E43" w14:textId="77777777" w:rsidR="00C27297"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24</w:t>
      </w:r>
      <w:r>
        <w:rPr>
          <w:rFonts w:ascii="Arial" w:hAnsi="Arial" w:cs="Arial"/>
          <w:sz w:val="20"/>
        </w:rPr>
        <w:t>]</w:t>
      </w:r>
      <w:r w:rsidR="00FB1B56" w:rsidRPr="00FB1B56">
        <w:rPr>
          <w:rFonts w:ascii="Arial" w:hAnsi="Arial" w:cs="Arial"/>
          <w:sz w:val="20"/>
        </w:rPr>
        <w:t xml:space="preserve"> The connection is to be assessed having regard to factors such as (a) the age of the complainant, (b) the time interval between the alleged assault and the distress, (c) the complainant’s conduct and appearance in the interim, and (d) the circumstances existing when the complainant is observed in the distressed condition. None of these factors stands alone. The question of connection depends on all the circumstances.</w:t>
      </w:r>
    </w:p>
    <w:p w14:paraId="7A5E9C2C" w14:textId="67B2E04D" w:rsidR="00FB1B56"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25</w:t>
      </w:r>
      <w:r>
        <w:rPr>
          <w:rFonts w:ascii="Arial" w:hAnsi="Arial" w:cs="Arial"/>
          <w:sz w:val="20"/>
        </w:rPr>
        <w:t>]</w:t>
      </w:r>
      <w:r w:rsidR="00FB1B56" w:rsidRPr="00FB1B56">
        <w:rPr>
          <w:rFonts w:ascii="Arial" w:hAnsi="Arial" w:cs="Arial"/>
          <w:sz w:val="20"/>
        </w:rPr>
        <w:t xml:space="preserve"> If, having regard to factors of this kind, no reasonable inference is open that there is a causal connection between the alleged events and the distress, evidence of distress is not capable of going to the jury as independent evidence of the events alleged.</w:t>
      </w:r>
    </w:p>
    <w:p w14:paraId="2CE2105B" w14:textId="00185F60" w:rsidR="00C27297" w:rsidRDefault="00C27297" w:rsidP="00C27297">
      <w:pPr>
        <w:spacing w:before="60"/>
        <w:ind w:left="567" w:right="567"/>
        <w:jc w:val="both"/>
        <w:rPr>
          <w:rFonts w:ascii="Arial" w:hAnsi="Arial" w:cs="Arial"/>
          <w:sz w:val="20"/>
        </w:rPr>
      </w:pPr>
      <w:r>
        <w:rPr>
          <w:rFonts w:ascii="Arial" w:hAnsi="Arial" w:cs="Arial"/>
          <w:sz w:val="20"/>
        </w:rPr>
        <w:t xml:space="preserve">[26] The temporal consideration in </w:t>
      </w:r>
      <w:r w:rsidRPr="00C27297">
        <w:rPr>
          <w:rFonts w:ascii="Arial" w:hAnsi="Arial" w:cs="Arial"/>
          <w:i/>
          <w:iCs/>
          <w:sz w:val="20"/>
        </w:rPr>
        <w:t>Flannery</w:t>
      </w:r>
      <w:r>
        <w:rPr>
          <w:rFonts w:ascii="Arial" w:hAnsi="Arial" w:cs="Arial"/>
          <w:sz w:val="20"/>
        </w:rPr>
        <w:t xml:space="preserve"> (factor (b) above) is fundamental to the character of distress evidence. Once again, McPherson JA’s judgment in </w:t>
      </w:r>
      <w:r w:rsidRPr="00C27297">
        <w:rPr>
          <w:rFonts w:ascii="Arial" w:hAnsi="Arial" w:cs="Arial"/>
          <w:i/>
          <w:iCs/>
          <w:sz w:val="20"/>
        </w:rPr>
        <w:t>Sailor</w:t>
      </w:r>
      <w:r>
        <w:rPr>
          <w:rFonts w:ascii="Arial" w:hAnsi="Arial" w:cs="Arial"/>
          <w:sz w:val="20"/>
        </w:rPr>
        <w:t xml:space="preserve"> is of assistance. Perhaps more than in the case of bruising, bleeding and torn clothing, the value of distress as independent evidence diminishes rapidly with the passing of time: </w:t>
      </w:r>
      <w:r w:rsidRPr="00C27297">
        <w:rPr>
          <w:rFonts w:ascii="Arial" w:hAnsi="Arial" w:cs="Arial"/>
          <w:i/>
          <w:iCs/>
          <w:sz w:val="20"/>
        </w:rPr>
        <w:t>Sailor</w:t>
      </w:r>
      <w:r>
        <w:rPr>
          <w:rFonts w:ascii="Arial" w:hAnsi="Arial" w:cs="Arial"/>
          <w:sz w:val="20"/>
        </w:rPr>
        <w:t xml:space="preserve"> at</w:t>
      </w:r>
      <w:r w:rsidR="00524B1D">
        <w:rPr>
          <w:rFonts w:ascii="Arial" w:hAnsi="Arial" w:cs="Arial"/>
          <w:sz w:val="20"/>
        </w:rPr>
        <w:t> </w:t>
      </w:r>
      <w:r>
        <w:rPr>
          <w:rFonts w:ascii="Arial" w:hAnsi="Arial" w:cs="Arial"/>
          <w:sz w:val="20"/>
        </w:rPr>
        <w:t xml:space="preserve">346.  The longer the interval from the alleged events, the more difficult it is to be sure that the distress is not due to some other intervening or unrelated </w:t>
      </w:r>
      <w:r w:rsidR="00F63206">
        <w:rPr>
          <w:rFonts w:ascii="Arial" w:hAnsi="Arial" w:cs="Arial"/>
          <w:sz w:val="20"/>
        </w:rPr>
        <w:t>cause:</w:t>
      </w:r>
    </w:p>
    <w:p w14:paraId="2383BBCD" w14:textId="48495BA5" w:rsidR="00F63206" w:rsidRPr="00D604AC" w:rsidRDefault="00F63206" w:rsidP="00F63206">
      <w:pPr>
        <w:spacing w:before="60"/>
        <w:ind w:left="1021" w:right="1021"/>
        <w:jc w:val="both"/>
        <w:rPr>
          <w:rFonts w:ascii="Arial" w:hAnsi="Arial" w:cs="Arial"/>
          <w:sz w:val="18"/>
          <w:szCs w:val="18"/>
        </w:rPr>
      </w:pPr>
      <w:r>
        <w:rPr>
          <w:rFonts w:ascii="Arial" w:hAnsi="Arial" w:cs="Arial"/>
          <w:sz w:val="18"/>
          <w:szCs w:val="18"/>
        </w:rPr>
        <w:t xml:space="preserve">Eventually a stage in time is reached where, without resorting to testimony of the complainant, it ceases to be possible to link the distress with its alleged cause. </w:t>
      </w:r>
      <w:r w:rsidRPr="00617801">
        <w:rPr>
          <w:rFonts w:ascii="Arial" w:hAnsi="Arial" w:cs="Arial"/>
          <w:sz w:val="16"/>
          <w:szCs w:val="16"/>
        </w:rPr>
        <w:t>{</w:t>
      </w:r>
      <w:r w:rsidRPr="00F63206">
        <w:rPr>
          <w:rFonts w:ascii="Arial" w:hAnsi="Arial" w:cs="Arial"/>
          <w:i/>
          <w:iCs/>
          <w:sz w:val="18"/>
          <w:szCs w:val="18"/>
        </w:rPr>
        <w:t>Sailor</w:t>
      </w:r>
      <w:r>
        <w:rPr>
          <w:rFonts w:ascii="Arial" w:hAnsi="Arial" w:cs="Arial"/>
          <w:sz w:val="18"/>
          <w:szCs w:val="18"/>
        </w:rPr>
        <w:t xml:space="preserve"> at pp.346 &amp; 349. See also </w:t>
      </w:r>
      <w:r w:rsidRPr="00F63206">
        <w:rPr>
          <w:rFonts w:ascii="Arial" w:hAnsi="Arial" w:cs="Arial"/>
          <w:i/>
          <w:iCs/>
          <w:sz w:val="18"/>
          <w:szCs w:val="18"/>
        </w:rPr>
        <w:t>Moana</w:t>
      </w:r>
      <w:r>
        <w:rPr>
          <w:rFonts w:ascii="Arial" w:hAnsi="Arial" w:cs="Arial"/>
          <w:sz w:val="18"/>
          <w:szCs w:val="18"/>
        </w:rPr>
        <w:t xml:space="preserve"> [1979] 1 NZLR 181, 185.}</w:t>
      </w:r>
    </w:p>
    <w:p w14:paraId="6A3BD1B9" w14:textId="77777777" w:rsidR="00524B1D" w:rsidRDefault="00524B1D" w:rsidP="00524B1D">
      <w:pPr>
        <w:spacing w:before="60"/>
        <w:ind w:left="567" w:right="567"/>
        <w:jc w:val="both"/>
        <w:rPr>
          <w:rFonts w:ascii="Arial" w:hAnsi="Arial" w:cs="Arial"/>
          <w:sz w:val="20"/>
        </w:rPr>
      </w:pPr>
      <w:r>
        <w:rPr>
          <w:rFonts w:ascii="Arial" w:hAnsi="Arial" w:cs="Arial"/>
          <w:sz w:val="20"/>
        </w:rPr>
        <w:t>...</w:t>
      </w:r>
    </w:p>
    <w:p w14:paraId="13E98A50" w14:textId="6279991D" w:rsidR="00524B1D" w:rsidRDefault="00524B1D" w:rsidP="00524B1D">
      <w:pPr>
        <w:spacing w:before="60"/>
        <w:ind w:left="567" w:right="567"/>
        <w:jc w:val="both"/>
        <w:rPr>
          <w:rFonts w:ascii="Arial" w:hAnsi="Arial" w:cs="Arial"/>
          <w:sz w:val="20"/>
        </w:rPr>
      </w:pPr>
      <w:r>
        <w:rPr>
          <w:rFonts w:ascii="Arial" w:hAnsi="Arial" w:cs="Arial"/>
          <w:sz w:val="20"/>
        </w:rPr>
        <w:t xml:space="preserve">[29] </w:t>
      </w:r>
      <w:r w:rsidRPr="004E32EA">
        <w:rPr>
          <w:rFonts w:ascii="Arial" w:hAnsi="Arial" w:cs="Arial"/>
          <w:b/>
          <w:bCs/>
          <w:sz w:val="20"/>
        </w:rPr>
        <w:t xml:space="preserve">The admissibility of distress evidence must be determined having regard to ss.55 &amp; 56 of the </w:t>
      </w:r>
      <w:r w:rsidRPr="004E32EA">
        <w:rPr>
          <w:rFonts w:ascii="Arial" w:hAnsi="Arial" w:cs="Arial"/>
          <w:b/>
          <w:bCs/>
          <w:i/>
          <w:iCs/>
          <w:sz w:val="20"/>
        </w:rPr>
        <w:t>Evidence Act 2008</w:t>
      </w:r>
      <w:r w:rsidRPr="004E32EA">
        <w:rPr>
          <w:rFonts w:ascii="Arial" w:hAnsi="Arial" w:cs="Arial"/>
          <w:b/>
          <w:bCs/>
          <w:sz w:val="20"/>
        </w:rPr>
        <w:t xml:space="preserve"> and exclusionary provisions such as ss.135, 136 &amp; 137. To be relevant, the distress evidence must be able to rationally affect the assessment of the probability of the existence of a fact in issue – in the present case, that AB did not consent to sexual penetration.</w:t>
      </w:r>
    </w:p>
    <w:p w14:paraId="3CDE17EB" w14:textId="65F80174" w:rsidR="00524B1D" w:rsidRDefault="00524B1D" w:rsidP="00524B1D">
      <w:pPr>
        <w:spacing w:before="60"/>
        <w:ind w:left="567" w:right="567"/>
        <w:jc w:val="both"/>
        <w:rPr>
          <w:rFonts w:ascii="Arial" w:hAnsi="Arial" w:cs="Arial"/>
          <w:sz w:val="20"/>
        </w:rPr>
      </w:pPr>
      <w:r>
        <w:rPr>
          <w:rFonts w:ascii="Arial" w:hAnsi="Arial" w:cs="Arial"/>
          <w:sz w:val="20"/>
        </w:rPr>
        <w:t xml:space="preserve">[30] Hence, in this case in order to be admissible as independent supportive evidence, the evidence of AB’s distress, when examined in the context of all the evidence to be adduced at trial {see </w:t>
      </w:r>
      <w:r w:rsidRPr="00617801">
        <w:rPr>
          <w:rFonts w:ascii="Arial" w:hAnsi="Arial" w:cs="Arial"/>
          <w:i/>
          <w:iCs/>
          <w:sz w:val="20"/>
        </w:rPr>
        <w:t>Flora</w:t>
      </w:r>
      <w:r>
        <w:rPr>
          <w:rFonts w:ascii="Arial" w:hAnsi="Arial" w:cs="Arial"/>
          <w:sz w:val="20"/>
        </w:rPr>
        <w:t xml:space="preserve"> (2013</w:t>
      </w:r>
      <w:r w:rsidR="00617801">
        <w:rPr>
          <w:rFonts w:ascii="Arial" w:hAnsi="Arial" w:cs="Arial"/>
          <w:sz w:val="20"/>
        </w:rPr>
        <w:t>)</w:t>
      </w:r>
      <w:r>
        <w:rPr>
          <w:rFonts w:ascii="Arial" w:hAnsi="Arial" w:cs="Arial"/>
          <w:sz w:val="20"/>
        </w:rPr>
        <w:t xml:space="preserve"> 233 A Crim R 320, 335-6 [79]-[80]; [2013] VSCA 192}, had to be rationally capable of being characterised as attributable to the sexual offending AB alleged, as distinct from having been caused by her fear or shame that her mother would find out the she and [her friend] JJ had been out on the streets of Melbourne for a number of days working as prostitutes. As will become clear, we do not consider that the evidence of AB’s distress possessed this capacity. But even if it did, we agree with Priest JA that if the distress evidence were to go to the jury on the basis that both factors were in play causing the distress, the probative value of AB’s distress as independent evidence would be slight, and would be outweighed by the danger of unfair prejudice, thereby engaging s.137 of the </w:t>
      </w:r>
      <w:r w:rsidRPr="00524B1D">
        <w:rPr>
          <w:rFonts w:ascii="Arial" w:hAnsi="Arial" w:cs="Arial"/>
          <w:i/>
          <w:iCs/>
          <w:sz w:val="20"/>
        </w:rPr>
        <w:t>Evidence Act</w:t>
      </w:r>
      <w:r>
        <w:rPr>
          <w:rFonts w:ascii="Arial" w:hAnsi="Arial" w:cs="Arial"/>
          <w:sz w:val="20"/>
        </w:rPr>
        <w:t>.”</w:t>
      </w:r>
    </w:p>
    <w:p w14:paraId="16DCD66D" w14:textId="77777777" w:rsidR="00466896" w:rsidRDefault="00466896" w:rsidP="00466896">
      <w:pPr>
        <w:jc w:val="both"/>
        <w:rPr>
          <w:rFonts w:ascii="Arial" w:hAnsi="Arial" w:cs="Arial"/>
          <w:sz w:val="20"/>
        </w:rPr>
      </w:pPr>
    </w:p>
    <w:p w14:paraId="5C0B4098" w14:textId="12555049" w:rsidR="00416D08" w:rsidRDefault="009B65FA" w:rsidP="00466896">
      <w:pPr>
        <w:jc w:val="both"/>
        <w:rPr>
          <w:rFonts w:ascii="Arial" w:hAnsi="Arial" w:cs="Arial"/>
          <w:sz w:val="20"/>
        </w:rPr>
      </w:pPr>
      <w:bookmarkStart w:id="614" w:name="_Hlk195009418"/>
      <w:r>
        <w:rPr>
          <w:rFonts w:ascii="Arial" w:hAnsi="Arial" w:cs="Arial"/>
          <w:sz w:val="20"/>
        </w:rPr>
        <w:t xml:space="preserve">In </w:t>
      </w:r>
      <w:r w:rsidR="00A305E3" w:rsidRPr="00A305E3">
        <w:rPr>
          <w:rFonts w:ascii="Arial" w:hAnsi="Arial" w:cs="Arial"/>
          <w:i/>
          <w:iCs/>
          <w:sz w:val="20"/>
        </w:rPr>
        <w:t xml:space="preserve">The King v </w:t>
      </w:r>
      <w:r w:rsidRPr="00A305E3">
        <w:rPr>
          <w:rFonts w:ascii="Arial" w:hAnsi="Arial" w:cs="Arial"/>
          <w:i/>
          <w:iCs/>
          <w:sz w:val="20"/>
        </w:rPr>
        <w:t>Churchill (a pseudonym)</w:t>
      </w:r>
      <w:r>
        <w:rPr>
          <w:rFonts w:ascii="Arial" w:hAnsi="Arial" w:cs="Arial"/>
          <w:sz w:val="20"/>
        </w:rPr>
        <w:t xml:space="preserve"> </w:t>
      </w:r>
      <w:r w:rsidR="00A305E3">
        <w:rPr>
          <w:rFonts w:ascii="Arial" w:hAnsi="Arial" w:cs="Arial"/>
          <w:sz w:val="20"/>
        </w:rPr>
        <w:t xml:space="preserve">[2025] HCA 11 </w:t>
      </w:r>
      <w:r w:rsidR="00B0043A" w:rsidRPr="00787056">
        <w:rPr>
          <w:rFonts w:ascii="Arial" w:hAnsi="Arial" w:cs="Arial"/>
          <w:sz w:val="20"/>
        </w:rPr>
        <w:t xml:space="preserve">the respondent </w:t>
      </w:r>
      <w:r w:rsidR="00B0043A">
        <w:rPr>
          <w:rFonts w:ascii="Arial" w:hAnsi="Arial" w:cs="Arial"/>
          <w:sz w:val="20"/>
        </w:rPr>
        <w:t>had been</w:t>
      </w:r>
      <w:r w:rsidR="00B0043A" w:rsidRPr="00787056">
        <w:rPr>
          <w:rFonts w:ascii="Arial" w:hAnsi="Arial" w:cs="Arial"/>
          <w:sz w:val="20"/>
        </w:rPr>
        <w:t xml:space="preserve"> found guilty </w:t>
      </w:r>
      <w:r w:rsidR="00B0043A">
        <w:rPr>
          <w:rFonts w:ascii="Arial" w:hAnsi="Arial" w:cs="Arial"/>
          <w:sz w:val="20"/>
        </w:rPr>
        <w:t xml:space="preserve">of two offences </w:t>
      </w:r>
      <w:r w:rsidR="00C84D54">
        <w:rPr>
          <w:rFonts w:ascii="Arial" w:hAnsi="Arial" w:cs="Arial"/>
          <w:sz w:val="20"/>
        </w:rPr>
        <w:t xml:space="preserve">of incest </w:t>
      </w:r>
      <w:r w:rsidR="00B0043A">
        <w:rPr>
          <w:rFonts w:ascii="Arial" w:hAnsi="Arial" w:cs="Arial"/>
          <w:sz w:val="20"/>
        </w:rPr>
        <w:t>in 2005 against hi</w:t>
      </w:r>
      <w:r w:rsidR="00B0043A" w:rsidRPr="00787056">
        <w:rPr>
          <w:rFonts w:ascii="Arial" w:hAnsi="Arial" w:cs="Arial"/>
          <w:sz w:val="20"/>
        </w:rPr>
        <w:t xml:space="preserve">s </w:t>
      </w:r>
      <w:r w:rsidR="00D15B45">
        <w:rPr>
          <w:rFonts w:ascii="Arial" w:hAnsi="Arial" w:cs="Arial"/>
          <w:sz w:val="20"/>
        </w:rPr>
        <w:t xml:space="preserve">then </w:t>
      </w:r>
      <w:r w:rsidR="00B0043A">
        <w:rPr>
          <w:rFonts w:ascii="Arial" w:hAnsi="Arial" w:cs="Arial"/>
          <w:sz w:val="20"/>
        </w:rPr>
        <w:t xml:space="preserve">13 or 14 year old stepdaughter. The </w:t>
      </w:r>
      <w:r w:rsidR="00A305E3">
        <w:rPr>
          <w:rFonts w:ascii="Arial" w:hAnsi="Arial" w:cs="Arial"/>
          <w:sz w:val="20"/>
        </w:rPr>
        <w:t xml:space="preserve">issue </w:t>
      </w:r>
      <w:r w:rsidR="00D15B45">
        <w:rPr>
          <w:rFonts w:ascii="Arial" w:hAnsi="Arial" w:cs="Arial"/>
          <w:sz w:val="20"/>
        </w:rPr>
        <w:t xml:space="preserve">on appeal </w:t>
      </w:r>
      <w:r w:rsidR="00A305E3">
        <w:rPr>
          <w:rFonts w:ascii="Arial" w:hAnsi="Arial" w:cs="Arial"/>
          <w:sz w:val="20"/>
        </w:rPr>
        <w:t xml:space="preserve">was in relation to directions given by the trial judge to the jury on </w:t>
      </w:r>
      <w:r w:rsidR="00787056">
        <w:rPr>
          <w:rFonts w:ascii="Arial" w:hAnsi="Arial" w:cs="Arial"/>
          <w:sz w:val="20"/>
        </w:rPr>
        <w:t xml:space="preserve">the use they could make of </w:t>
      </w:r>
      <w:r w:rsidR="00787056" w:rsidRPr="00A305E3">
        <w:rPr>
          <w:rFonts w:ascii="Arial" w:hAnsi="Arial" w:cs="Arial"/>
          <w:sz w:val="20"/>
        </w:rPr>
        <w:t>pre</w:t>
      </w:r>
      <w:r w:rsidR="00D85A73">
        <w:rPr>
          <w:rFonts w:ascii="Arial" w:hAnsi="Arial" w:cs="Arial"/>
          <w:sz w:val="20"/>
        </w:rPr>
        <w:t>-</w:t>
      </w:r>
      <w:r w:rsidR="00787056" w:rsidRPr="00A305E3">
        <w:rPr>
          <w:rFonts w:ascii="Arial" w:hAnsi="Arial" w:cs="Arial"/>
          <w:sz w:val="20"/>
        </w:rPr>
        <w:t xml:space="preserve">trial distress evidence </w:t>
      </w:r>
      <w:r w:rsidR="00787056">
        <w:rPr>
          <w:rFonts w:ascii="Arial" w:hAnsi="Arial" w:cs="Arial"/>
          <w:sz w:val="20"/>
        </w:rPr>
        <w:t xml:space="preserve">by </w:t>
      </w:r>
      <w:r w:rsidR="00B0043A">
        <w:rPr>
          <w:rFonts w:ascii="Arial" w:hAnsi="Arial" w:cs="Arial"/>
          <w:sz w:val="20"/>
        </w:rPr>
        <w:t>the</w:t>
      </w:r>
      <w:r w:rsidR="00787056">
        <w:rPr>
          <w:rFonts w:ascii="Arial" w:hAnsi="Arial" w:cs="Arial"/>
          <w:sz w:val="20"/>
        </w:rPr>
        <w:t xml:space="preserve"> complainant. </w:t>
      </w:r>
      <w:r w:rsidR="00416D08">
        <w:rPr>
          <w:rFonts w:ascii="Arial" w:hAnsi="Arial" w:cs="Arial"/>
          <w:sz w:val="20"/>
        </w:rPr>
        <w:t>The Court of Appeal had allowed the respondent’s appeal and quashed the convictions: see [2024] VSCA 151. The High Court allowed the Crown appeal, set aside the Court of Appeal’s orders quashing the convictions and dismissed the respondent’s appeal to the Court of Appeal. At [1]-[4] Gageler CJ, Gordon, Gleeson, Jagot &amp; Beech-Jones JJ said:</w:t>
      </w:r>
    </w:p>
    <w:p w14:paraId="03963EA9" w14:textId="30015DED" w:rsidR="00D15B45" w:rsidRDefault="00416D08" w:rsidP="00C50E61">
      <w:pPr>
        <w:spacing w:before="80"/>
        <w:ind w:left="567" w:right="567"/>
        <w:jc w:val="both"/>
        <w:rPr>
          <w:rFonts w:ascii="Arial" w:hAnsi="Arial" w:cs="Arial"/>
          <w:sz w:val="20"/>
        </w:rPr>
      </w:pPr>
      <w:r>
        <w:rPr>
          <w:rFonts w:ascii="Arial" w:hAnsi="Arial" w:cs="Arial"/>
          <w:sz w:val="20"/>
        </w:rPr>
        <w:t>[1] “</w:t>
      </w:r>
      <w:r w:rsidR="00787056"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00787056" w:rsidRPr="00787056">
        <w:rPr>
          <w:rFonts w:ascii="Arial" w:hAnsi="Arial" w:cs="Arial"/>
          <w:sz w:val="20"/>
        </w:rPr>
        <w:t xml:space="preserve">is whether, in a trial of a sexual offence governed by the </w:t>
      </w:r>
      <w:r w:rsidR="00787056" w:rsidRPr="00416D08">
        <w:rPr>
          <w:rFonts w:ascii="Arial" w:hAnsi="Arial" w:cs="Arial"/>
          <w:i/>
          <w:iCs/>
          <w:sz w:val="20"/>
        </w:rPr>
        <w:t>Evidence Act 2008</w:t>
      </w:r>
      <w:r w:rsidR="00787056" w:rsidRPr="00787056">
        <w:rPr>
          <w:rFonts w:ascii="Arial" w:hAnsi="Arial" w:cs="Arial"/>
          <w:sz w:val="20"/>
        </w:rPr>
        <w:t xml:space="preserve"> (Vic) and the </w:t>
      </w:r>
      <w:r w:rsidR="00787056" w:rsidRPr="00416D08">
        <w:rPr>
          <w:rFonts w:ascii="Arial" w:hAnsi="Arial" w:cs="Arial"/>
          <w:i/>
          <w:iCs/>
          <w:sz w:val="20"/>
        </w:rPr>
        <w:t>Jury Directions Act 2015</w:t>
      </w:r>
      <w:r w:rsidR="00787056" w:rsidRPr="00787056">
        <w:rPr>
          <w:rFonts w:ascii="Arial" w:hAnsi="Arial" w:cs="Arial"/>
          <w:sz w:val="20"/>
        </w:rPr>
        <w:t xml:space="preserve"> (Vic)</w:t>
      </w:r>
      <w:r>
        <w:rPr>
          <w:rFonts w:ascii="Arial" w:hAnsi="Arial" w:cs="Arial"/>
          <w:sz w:val="20"/>
        </w:rPr>
        <w:t xml:space="preserve"> [JDA]</w:t>
      </w:r>
      <w:r w:rsidR="00787056" w:rsidRPr="00787056">
        <w:rPr>
          <w:rFonts w:ascii="Arial" w:hAnsi="Arial" w:cs="Arial"/>
          <w:sz w:val="20"/>
        </w:rPr>
        <w:t>, where evidence that the complainant was distressed at the time of making a pre</w:t>
      </w:r>
      <w:r>
        <w:rPr>
          <w:rFonts w:ascii="Arial" w:hAnsi="Arial" w:cs="Arial"/>
          <w:sz w:val="20"/>
        </w:rPr>
        <w:noBreakHyphen/>
      </w:r>
      <w:r w:rsidR="00787056" w:rsidRPr="00787056">
        <w:rPr>
          <w:rFonts w:ascii="Arial" w:hAnsi="Arial" w:cs="Arial"/>
          <w:sz w:val="20"/>
        </w:rPr>
        <w:t xml:space="preserve">trial </w:t>
      </w:r>
      <w:r w:rsidR="00787056" w:rsidRPr="00787056">
        <w:rPr>
          <w:rFonts w:ascii="Arial" w:hAnsi="Arial" w:cs="Arial"/>
          <w:sz w:val="20"/>
        </w:rPr>
        <w:lastRenderedPageBreak/>
        <w:t xml:space="preserve">complaint was relied upon by the prosecution to support the complainant's version of events, there are </w:t>
      </w:r>
      <w:r w:rsidR="00C84D54">
        <w:rPr>
          <w:rFonts w:ascii="Arial" w:hAnsi="Arial" w:cs="Arial"/>
          <w:sz w:val="20"/>
        </w:rPr>
        <w:t>‘</w:t>
      </w:r>
      <w:r w:rsidR="00787056" w:rsidRPr="00787056">
        <w:rPr>
          <w:rFonts w:ascii="Arial" w:hAnsi="Arial" w:cs="Arial"/>
          <w:sz w:val="20"/>
        </w:rPr>
        <w:t>substantial and compelling reasons</w:t>
      </w:r>
      <w:r w:rsidR="00C84D54">
        <w:rPr>
          <w:rFonts w:ascii="Arial" w:hAnsi="Arial" w:cs="Arial"/>
          <w:sz w:val="20"/>
        </w:rPr>
        <w:t>’</w:t>
      </w:r>
      <w:r w:rsidR="00787056" w:rsidRPr="00787056">
        <w:rPr>
          <w:rFonts w:ascii="Arial" w:hAnsi="Arial" w:cs="Arial"/>
          <w:sz w:val="20"/>
        </w:rPr>
        <w:t xml:space="preserve"> </w:t>
      </w:r>
      <w:r>
        <w:rPr>
          <w:rFonts w:ascii="Arial" w:hAnsi="Arial" w:cs="Arial"/>
          <w:sz w:val="20"/>
        </w:rPr>
        <w:t xml:space="preserve">[s.16 JDA] </w:t>
      </w:r>
      <w:r w:rsidR="00787056" w:rsidRPr="00787056">
        <w:rPr>
          <w:rFonts w:ascii="Arial" w:hAnsi="Arial" w:cs="Arial"/>
          <w:sz w:val="20"/>
        </w:rPr>
        <w:t>for the trial judge to warn the jury that:</w:t>
      </w:r>
    </w:p>
    <w:p w14:paraId="5A9B5B59" w14:textId="3F3CACF7" w:rsidR="00D15B45" w:rsidRDefault="00787056" w:rsidP="00D15B45">
      <w:pPr>
        <w:ind w:left="924" w:right="567" w:hanging="357"/>
        <w:jc w:val="both"/>
        <w:rPr>
          <w:rFonts w:ascii="Arial" w:hAnsi="Arial" w:cs="Arial"/>
          <w:sz w:val="20"/>
        </w:rPr>
      </w:pPr>
      <w:r w:rsidRPr="00787056">
        <w:rPr>
          <w:rFonts w:ascii="Arial" w:hAnsi="Arial" w:cs="Arial"/>
          <w:sz w:val="20"/>
        </w:rPr>
        <w:t>(1)</w:t>
      </w:r>
      <w:r w:rsidR="00D15B45">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62E3A140" w14:textId="33344CF6" w:rsidR="00D15B45" w:rsidRDefault="00787056" w:rsidP="00D15B45">
      <w:pPr>
        <w:ind w:left="924" w:right="567" w:hanging="357"/>
        <w:jc w:val="both"/>
        <w:rPr>
          <w:rFonts w:ascii="Arial" w:hAnsi="Arial" w:cs="Arial"/>
          <w:sz w:val="20"/>
        </w:rPr>
      </w:pPr>
      <w:r w:rsidRPr="00787056">
        <w:rPr>
          <w:rFonts w:ascii="Arial" w:hAnsi="Arial" w:cs="Arial"/>
          <w:sz w:val="20"/>
        </w:rPr>
        <w:t>(2)</w:t>
      </w:r>
      <w:r w:rsidR="00D15B45">
        <w:rPr>
          <w:rFonts w:ascii="Arial" w:hAnsi="Arial" w:cs="Arial"/>
          <w:sz w:val="20"/>
        </w:rPr>
        <w:tab/>
      </w:r>
      <w:r w:rsidRPr="00787056">
        <w:rPr>
          <w:rFonts w:ascii="Arial" w:hAnsi="Arial" w:cs="Arial"/>
          <w:sz w:val="20"/>
        </w:rPr>
        <w:t>such evidence generally carries little weight.</w:t>
      </w:r>
    </w:p>
    <w:p w14:paraId="2AF02DDC" w14:textId="51ADED57" w:rsidR="00787056" w:rsidRDefault="00787056" w:rsidP="00D15B45">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5D82877C" w14:textId="56711E94" w:rsidR="00787056"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2</w:t>
      </w:r>
      <w:r>
        <w:rPr>
          <w:rFonts w:ascii="Arial" w:hAnsi="Arial" w:cs="Arial"/>
          <w:sz w:val="20"/>
        </w:rPr>
        <w:t>]</w:t>
      </w:r>
      <w:r w:rsidR="00787056"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00787056" w:rsidRPr="00C50E61">
        <w:rPr>
          <w:rFonts w:ascii="Arial" w:hAnsi="Arial" w:cs="Arial"/>
          <w:i/>
          <w:iCs/>
          <w:sz w:val="20"/>
        </w:rPr>
        <w:t>Crimes Act 1958</w:t>
      </w:r>
      <w:r w:rsidR="00787056"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00787056" w:rsidRPr="00C50E61">
        <w:rPr>
          <w:rFonts w:ascii="Arial" w:hAnsi="Arial" w:cs="Arial"/>
          <w:i/>
          <w:iCs/>
          <w:sz w:val="20"/>
        </w:rPr>
        <w:t xml:space="preserve">Criminal Procedure Act 2009 </w:t>
      </w:r>
      <w:r w:rsidR="00787056" w:rsidRPr="00787056">
        <w:rPr>
          <w:rFonts w:ascii="Arial" w:hAnsi="Arial" w:cs="Arial"/>
          <w:sz w:val="20"/>
        </w:rPr>
        <w:t>(Vic).</w:t>
      </w:r>
    </w:p>
    <w:p w14:paraId="678D9B3F" w14:textId="02DE1E5F" w:rsidR="00C50E61"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3</w:t>
      </w:r>
      <w:r>
        <w:rPr>
          <w:rFonts w:ascii="Arial" w:hAnsi="Arial" w:cs="Arial"/>
          <w:sz w:val="20"/>
        </w:rPr>
        <w:t>]</w:t>
      </w:r>
      <w:r w:rsidR="00787056"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00787056" w:rsidRPr="00C50E61">
        <w:rPr>
          <w:rFonts w:ascii="Arial" w:hAnsi="Arial" w:cs="Arial"/>
          <w:i/>
          <w:iCs/>
          <w:sz w:val="20"/>
        </w:rPr>
        <w:t>Evidence Act</w:t>
      </w:r>
      <w:r w:rsidR="00787056" w:rsidRPr="00787056">
        <w:rPr>
          <w:rFonts w:ascii="Arial" w:hAnsi="Arial" w:cs="Arial"/>
          <w:sz w:val="20"/>
        </w:rPr>
        <w:t xml:space="preserve"> on either or both of two bases: as evidence that, if accepted, could</w:t>
      </w:r>
      <w:r w:rsidR="00C84D54">
        <w:rPr>
          <w:rFonts w:ascii="Arial" w:hAnsi="Arial" w:cs="Arial"/>
          <w:sz w:val="20"/>
        </w:rPr>
        <w:t>–</w:t>
      </w:r>
    </w:p>
    <w:p w14:paraId="389E968C" w14:textId="7D119C13" w:rsidR="00C50E61" w:rsidRDefault="00C84D54">
      <w:pPr>
        <w:pStyle w:val="ListParagraph"/>
        <w:numPr>
          <w:ilvl w:val="0"/>
          <w:numId w:val="154"/>
        </w:numPr>
        <w:ind w:left="924" w:right="567" w:hanging="357"/>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00787056" w:rsidRPr="00C50E61">
        <w:rPr>
          <w:rFonts w:ascii="Arial" w:hAnsi="Arial" w:cs="Arial"/>
          <w:sz w:val="20"/>
        </w:rPr>
        <w:t>the</w:t>
      </w:r>
      <w:r w:rsidR="00C50E61" w:rsidRPr="00C50E61">
        <w:rPr>
          <w:rFonts w:ascii="Arial" w:hAnsi="Arial" w:cs="Arial"/>
          <w:sz w:val="20"/>
        </w:rPr>
        <w:t xml:space="preserve"> </w:t>
      </w:r>
      <w:r w:rsidR="00787056" w:rsidRPr="00C50E61">
        <w:rPr>
          <w:rFonts w:ascii="Arial" w:hAnsi="Arial" w:cs="Arial"/>
          <w:sz w:val="20"/>
        </w:rPr>
        <w:t>jury were to find a causal connection between the distress and the making of the complaint</w:t>
      </w:r>
      <w:r w:rsidR="00C50E61">
        <w:rPr>
          <w:rFonts w:ascii="Arial" w:hAnsi="Arial" w:cs="Arial"/>
          <w:sz w:val="20"/>
        </w:rPr>
        <w:t xml:space="preserve"> [s.55(2)(a) of the </w:t>
      </w:r>
      <w:r w:rsidR="00C50E61" w:rsidRPr="00C50E61">
        <w:rPr>
          <w:rFonts w:ascii="Arial" w:hAnsi="Arial" w:cs="Arial"/>
          <w:i/>
          <w:iCs/>
          <w:sz w:val="20"/>
        </w:rPr>
        <w:t>Evidence Act</w:t>
      </w:r>
      <w:r w:rsidR="00C50E61">
        <w:rPr>
          <w:rFonts w:ascii="Arial" w:hAnsi="Arial" w:cs="Arial"/>
          <w:sz w:val="20"/>
        </w:rPr>
        <w:t xml:space="preserve"> provides that evidence is not to be taken to be irrelevant only because it relates to the credibility of a witness]; and</w:t>
      </w:r>
    </w:p>
    <w:p w14:paraId="6E2E2801" w14:textId="1E3FE3ED" w:rsidR="00C50E61" w:rsidRDefault="00787056">
      <w:pPr>
        <w:pStyle w:val="ListParagraph"/>
        <w:numPr>
          <w:ilvl w:val="0"/>
          <w:numId w:val="154"/>
        </w:numPr>
        <w:ind w:left="924" w:right="567" w:hanging="357"/>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21EC8CF3" w14:textId="052541D7" w:rsidR="00787056" w:rsidRPr="00C50E61" w:rsidRDefault="00787056" w:rsidP="00C50E61">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sidR="00C50E61">
        <w:rPr>
          <w:rFonts w:ascii="Arial" w:hAnsi="Arial" w:cs="Arial"/>
          <w:sz w:val="20"/>
        </w:rPr>
        <w:t xml:space="preserve"> subject to the potential for exclusion or limitation in the circumstances of a particular case under ss.66, 135, 136 or 137 of the </w:t>
      </w:r>
      <w:r w:rsidR="00C50E61" w:rsidRPr="00C50E61">
        <w:rPr>
          <w:rFonts w:ascii="Arial" w:hAnsi="Arial" w:cs="Arial"/>
          <w:i/>
          <w:iCs/>
          <w:sz w:val="20"/>
        </w:rPr>
        <w:t>Evidence Act</w:t>
      </w:r>
      <w:r w:rsidR="00C50E61">
        <w:rPr>
          <w:rFonts w:ascii="Arial" w:hAnsi="Arial" w:cs="Arial"/>
          <w:sz w:val="20"/>
        </w:rPr>
        <w:t>.</w:t>
      </w:r>
    </w:p>
    <w:p w14:paraId="03399233" w14:textId="23F60134" w:rsidR="00787056" w:rsidRDefault="00C50E61" w:rsidP="00D15B45">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4</w:t>
      </w:r>
      <w:r>
        <w:rPr>
          <w:rFonts w:ascii="Arial" w:hAnsi="Arial" w:cs="Arial"/>
          <w:sz w:val="20"/>
        </w:rPr>
        <w:t>]</w:t>
      </w:r>
      <w:r w:rsidR="00787056" w:rsidRPr="00787056">
        <w:rPr>
          <w:rFonts w:ascii="Arial" w:hAnsi="Arial" w:cs="Arial"/>
          <w:sz w:val="20"/>
        </w:rPr>
        <w:t xml:space="preserve"> Evidence that a complainant was distressed at the time of making a pre-trial complaint is not evidence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sidR="00787056" w:rsidRPr="00787056">
        <w:rPr>
          <w:rFonts w:ascii="Arial" w:hAnsi="Arial" w:cs="Arial"/>
          <w:sz w:val="20"/>
        </w:rPr>
        <w:t xml:space="preserve"> under </w:t>
      </w:r>
      <w:r>
        <w:rPr>
          <w:rFonts w:ascii="Arial" w:hAnsi="Arial" w:cs="Arial"/>
          <w:sz w:val="20"/>
        </w:rPr>
        <w:t xml:space="preserve">s.31 of </w:t>
      </w:r>
      <w:r w:rsidR="00787056" w:rsidRPr="00787056">
        <w:rPr>
          <w:rFonts w:ascii="Arial" w:hAnsi="Arial" w:cs="Arial"/>
          <w:sz w:val="20"/>
        </w:rPr>
        <w:t xml:space="preserve">the </w:t>
      </w:r>
      <w:r w:rsidRPr="00C50E61">
        <w:rPr>
          <w:rFonts w:ascii="Arial" w:hAnsi="Arial" w:cs="Arial"/>
          <w:sz w:val="20"/>
        </w:rPr>
        <w:t>JDA.</w:t>
      </w:r>
      <w:r w:rsidR="00787056" w:rsidRPr="00787056">
        <w:rPr>
          <w:rFonts w:ascii="Arial" w:hAnsi="Arial" w:cs="Arial"/>
          <w:sz w:val="20"/>
        </w:rPr>
        <w:t xml:space="preserve"> Therefore, the </w:t>
      </w:r>
      <w:r w:rsidRPr="00C50E61">
        <w:rPr>
          <w:rFonts w:ascii="Arial" w:hAnsi="Arial" w:cs="Arial"/>
          <w:sz w:val="20"/>
        </w:rPr>
        <w:t>JDA</w:t>
      </w:r>
      <w:r w:rsidR="00787056" w:rsidRPr="00C50E61">
        <w:rPr>
          <w:rFonts w:ascii="Arial" w:hAnsi="Arial" w:cs="Arial"/>
          <w:sz w:val="20"/>
        </w:rPr>
        <w:t xml:space="preserve"> </w:t>
      </w:r>
      <w:r w:rsidR="00787056" w:rsidRPr="00787056">
        <w:rPr>
          <w:rFonts w:ascii="Arial" w:hAnsi="Arial" w:cs="Arial"/>
          <w:sz w:val="20"/>
        </w:rPr>
        <w:t xml:space="preserve">does not permit a prosecutor or defence counsel to request the trial judge to direct the jury that such evidence is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Pr>
          <w:rFonts w:ascii="Arial" w:hAnsi="Arial" w:cs="Arial"/>
          <w:sz w:val="20"/>
        </w:rPr>
        <w:t xml:space="preserve">: see s.34(1) of the JDA read with ss.32, 12 &amp; 14. </w:t>
      </w:r>
      <w:r w:rsidR="00787056" w:rsidRPr="00787056">
        <w:rPr>
          <w:rFonts w:ascii="Arial" w:hAnsi="Arial" w:cs="Arial"/>
          <w:sz w:val="20"/>
        </w:rPr>
        <w:t>Any rule of the common law to the contrary is abolished</w:t>
      </w:r>
      <w:r>
        <w:rPr>
          <w:rFonts w:ascii="Arial" w:hAnsi="Arial" w:cs="Arial"/>
          <w:sz w:val="20"/>
        </w:rPr>
        <w:t>: s.34(2) of the JDA</w:t>
      </w:r>
      <w:r w:rsidR="00787056" w:rsidRPr="00787056">
        <w:rPr>
          <w:rFonts w:ascii="Arial" w:hAnsi="Arial" w:cs="Arial"/>
          <w:sz w:val="20"/>
        </w:rPr>
        <w:t>.</w:t>
      </w:r>
      <w:r>
        <w:rPr>
          <w:rFonts w:ascii="Arial" w:hAnsi="Arial" w:cs="Arial"/>
          <w:sz w:val="20"/>
        </w:rPr>
        <w:t xml:space="preserve"> </w:t>
      </w:r>
      <w:r w:rsidR="00787056"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sidR="004B6122">
        <w:rPr>
          <w:rFonts w:ascii="Arial" w:hAnsi="Arial" w:cs="Arial"/>
          <w:sz w:val="20"/>
        </w:rPr>
        <w:t>: s.16 of the JDA.”</w:t>
      </w:r>
    </w:p>
    <w:bookmarkEnd w:id="614"/>
    <w:p w14:paraId="79958553" w14:textId="77777777" w:rsidR="00787056" w:rsidRDefault="00787056" w:rsidP="00466896">
      <w:pPr>
        <w:jc w:val="both"/>
        <w:rPr>
          <w:rFonts w:ascii="Arial" w:hAnsi="Arial" w:cs="Arial"/>
          <w:sz w:val="20"/>
        </w:rPr>
      </w:pPr>
    </w:p>
    <w:p w14:paraId="311AE02D" w14:textId="15BC7066" w:rsidR="00466896" w:rsidRDefault="00466896" w:rsidP="00466896">
      <w:pPr>
        <w:pStyle w:val="Heading3"/>
        <w:keepNext/>
        <w:widowControl/>
        <w:spacing w:line="240" w:lineRule="auto"/>
        <w:ind w:left="737" w:hanging="737"/>
        <w:rPr>
          <w:rFonts w:ascii="Arial" w:hAnsi="Arial" w:cs="Arial"/>
          <w:sz w:val="20"/>
        </w:rPr>
      </w:pPr>
      <w:bookmarkStart w:id="615" w:name="_3.5.3.12__Tendering"/>
      <w:bookmarkStart w:id="616" w:name="_Hlk189124062"/>
      <w:bookmarkEnd w:id="615"/>
      <w:r w:rsidRPr="008C3BC8">
        <w:rPr>
          <w:rFonts w:ascii="Arial" w:hAnsi="Arial" w:cs="Arial"/>
          <w:b/>
          <w:bCs/>
          <w:color w:val="000000"/>
          <w:sz w:val="20"/>
        </w:rPr>
        <w:t>3.5.</w:t>
      </w:r>
      <w:r>
        <w:rPr>
          <w:rFonts w:ascii="Arial" w:hAnsi="Arial" w:cs="Arial"/>
          <w:b/>
          <w:bCs/>
          <w:color w:val="000000"/>
          <w:sz w:val="20"/>
        </w:rPr>
        <w:t>3.12</w:t>
      </w:r>
      <w:r>
        <w:rPr>
          <w:rFonts w:ascii="Arial" w:hAnsi="Arial" w:cs="Arial"/>
          <w:b/>
          <w:bCs/>
          <w:color w:val="000000"/>
          <w:sz w:val="20"/>
        </w:rPr>
        <w:tab/>
        <w:t xml:space="preserve"> Tendering of documents</w:t>
      </w:r>
    </w:p>
    <w:p w14:paraId="729A11DA" w14:textId="4FE2B511" w:rsidR="00A77B0E" w:rsidRDefault="00A77B0E" w:rsidP="00466896">
      <w:pPr>
        <w:spacing w:before="120"/>
        <w:jc w:val="both"/>
        <w:rPr>
          <w:rFonts w:ascii="Arial" w:hAnsi="Arial" w:cs="Arial"/>
          <w:sz w:val="20"/>
        </w:rPr>
      </w:pPr>
      <w:r>
        <w:rPr>
          <w:rFonts w:ascii="Arial" w:hAnsi="Arial" w:cs="Arial"/>
          <w:sz w:val="20"/>
        </w:rPr>
        <w:t>Essentially a document may be tendered in an evidence-based case if:</w:t>
      </w:r>
    </w:p>
    <w:p w14:paraId="259FA185" w14:textId="50B64B53" w:rsid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t>
      </w:r>
      <w:r w:rsidR="004651AA">
        <w:rPr>
          <w:rFonts w:ascii="Arial" w:hAnsi="Arial" w:cs="Arial"/>
          <w:sz w:val="20"/>
        </w:rPr>
        <w:t>contains material that is</w:t>
      </w:r>
      <w:r w:rsidRPr="00A77B0E">
        <w:rPr>
          <w:rFonts w:ascii="Arial" w:hAnsi="Arial" w:cs="Arial"/>
          <w:sz w:val="20"/>
        </w:rPr>
        <w:t xml:space="preserve"> </w:t>
      </w:r>
      <w:r w:rsidRPr="004651AA">
        <w:rPr>
          <w:rFonts w:ascii="Arial" w:hAnsi="Arial" w:cs="Arial"/>
          <w:b/>
          <w:bCs/>
          <w:sz w:val="20"/>
        </w:rPr>
        <w:t>relevant</w:t>
      </w:r>
      <w:r w:rsidRPr="00A77B0E">
        <w:rPr>
          <w:rFonts w:ascii="Arial" w:hAnsi="Arial" w:cs="Arial"/>
          <w:sz w:val="20"/>
        </w:rPr>
        <w:t xml:space="preserve"> to the determination of one or more issues in the case</w:t>
      </w:r>
      <w:r>
        <w:rPr>
          <w:rFonts w:ascii="Arial" w:hAnsi="Arial" w:cs="Arial"/>
          <w:sz w:val="20"/>
        </w:rPr>
        <w:t>;</w:t>
      </w:r>
      <w:r w:rsidRPr="00A77B0E">
        <w:rPr>
          <w:rFonts w:ascii="Arial" w:hAnsi="Arial" w:cs="Arial"/>
          <w:sz w:val="20"/>
        </w:rPr>
        <w:t xml:space="preserve"> and</w:t>
      </w:r>
    </w:p>
    <w:p w14:paraId="7DF300FA" w14:textId="293C0192" w:rsidR="00A77B0E" w:rsidRP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would be </w:t>
      </w:r>
      <w:r w:rsidRPr="004651AA">
        <w:rPr>
          <w:rFonts w:ascii="Arial" w:hAnsi="Arial" w:cs="Arial"/>
          <w:b/>
          <w:bCs/>
          <w:sz w:val="20"/>
        </w:rPr>
        <w:t>procedurally fair</w:t>
      </w:r>
      <w:r w:rsidRPr="00A77B0E">
        <w:rPr>
          <w:rFonts w:ascii="Arial" w:hAnsi="Arial" w:cs="Arial"/>
          <w:sz w:val="20"/>
        </w:rPr>
        <w:t xml:space="preserve"> to all of the parties for the document to be received and considered by the court.</w:t>
      </w:r>
    </w:p>
    <w:p w14:paraId="7E1CD3A2" w14:textId="77777777" w:rsidR="00A77B0E" w:rsidRDefault="00A77B0E" w:rsidP="00A77B0E">
      <w:pPr>
        <w:jc w:val="both"/>
        <w:rPr>
          <w:rFonts w:ascii="Arial" w:hAnsi="Arial" w:cs="Arial"/>
          <w:sz w:val="20"/>
          <w:szCs w:val="20"/>
        </w:rPr>
      </w:pPr>
    </w:p>
    <w:p w14:paraId="7BC044A2" w14:textId="73288910" w:rsidR="00A77B0E" w:rsidRDefault="00A77B0E" w:rsidP="00A77B0E">
      <w:pPr>
        <w:jc w:val="both"/>
        <w:rPr>
          <w:rFonts w:ascii="Arial" w:hAnsi="Arial" w:cs="Arial"/>
          <w:sz w:val="20"/>
          <w:szCs w:val="20"/>
        </w:rPr>
      </w:pP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w:t>
      </w:r>
      <w:r w:rsidRPr="003B0602">
        <w:rPr>
          <w:rFonts w:ascii="Arial" w:hAnsi="Arial" w:cs="Arial"/>
          <w:b/>
          <w:bCs/>
          <w:sz w:val="20"/>
          <w:szCs w:val="20"/>
        </w:rPr>
        <w:t>relevant</w:t>
      </w:r>
      <w:r w:rsidRPr="00C41198">
        <w:rPr>
          <w:rFonts w:ascii="Arial" w:hAnsi="Arial" w:cs="Arial"/>
          <w:sz w:val="20"/>
          <w:szCs w:val="20"/>
        </w:rPr>
        <w:t xml:space="preserve"> in a proceeding if</w:t>
      </w:r>
      <w:r w:rsidR="00786256">
        <w:rPr>
          <w:rFonts w:ascii="Arial" w:hAnsi="Arial" w:cs="Arial"/>
          <w:sz w:val="20"/>
          <w:szCs w:val="20"/>
        </w:rPr>
        <w:t>, were it accepted, it</w:t>
      </w:r>
      <w:r w:rsidRPr="00C41198">
        <w:rPr>
          <w:rFonts w:ascii="Arial" w:hAnsi="Arial" w:cs="Arial"/>
          <w:sz w:val="20"/>
          <w:szCs w:val="20"/>
        </w:rPr>
        <w:t xml:space="preserve"> </w:t>
      </w:r>
      <w:r w:rsidR="00786256">
        <w:rPr>
          <w:rFonts w:ascii="Arial" w:hAnsi="Arial" w:cs="Arial"/>
          <w:sz w:val="20"/>
          <w:szCs w:val="20"/>
        </w:rPr>
        <w:t>“</w:t>
      </w:r>
      <w:r w:rsidRPr="00C41198">
        <w:rPr>
          <w:rFonts w:ascii="Arial" w:hAnsi="Arial" w:cs="Arial"/>
          <w:sz w:val="20"/>
          <w:szCs w:val="20"/>
        </w:rPr>
        <w:t>could rationally affect (directly or indirectly) the assessment of the probability of the existence of a fact in issue in the proceeding</w:t>
      </w:r>
      <w:r w:rsidR="004651AA">
        <w:rPr>
          <w:rFonts w:ascii="Arial" w:hAnsi="Arial" w:cs="Arial"/>
          <w:sz w:val="20"/>
          <w:szCs w:val="20"/>
        </w:rPr>
        <w:t>”</w:t>
      </w:r>
      <w:r w:rsidRPr="00C41198">
        <w:rPr>
          <w:rFonts w:ascii="Arial" w:hAnsi="Arial" w:cs="Arial"/>
          <w:sz w:val="20"/>
          <w:szCs w:val="20"/>
        </w:rPr>
        <w:t>.</w:t>
      </w:r>
    </w:p>
    <w:p w14:paraId="2572297E" w14:textId="77777777" w:rsidR="004651AA" w:rsidRDefault="004651AA" w:rsidP="00A77B0E">
      <w:pPr>
        <w:jc w:val="both"/>
        <w:rPr>
          <w:rFonts w:ascii="Arial" w:hAnsi="Arial" w:cs="Arial"/>
          <w:sz w:val="20"/>
          <w:szCs w:val="20"/>
        </w:rPr>
      </w:pPr>
    </w:p>
    <w:p w14:paraId="636C30B3" w14:textId="7AA96B21" w:rsidR="00A77B0E" w:rsidRDefault="004651AA" w:rsidP="00A77B0E">
      <w:pPr>
        <w:jc w:val="both"/>
        <w:rPr>
          <w:rFonts w:ascii="Arial" w:hAnsi="Arial" w:cs="Arial"/>
          <w:bCs/>
          <w:color w:val="000000"/>
          <w:sz w:val="20"/>
        </w:rPr>
      </w:pPr>
      <w:r>
        <w:rPr>
          <w:rFonts w:ascii="Arial" w:hAnsi="Arial" w:cs="Arial"/>
          <w:sz w:val="20"/>
        </w:rPr>
        <w:t xml:space="preserve">A wider-ranging discussion of </w:t>
      </w:r>
      <w:r w:rsidRPr="003B0602">
        <w:rPr>
          <w:rFonts w:ascii="Arial" w:hAnsi="Arial" w:cs="Arial"/>
          <w:b/>
          <w:bCs/>
          <w:sz w:val="20"/>
        </w:rPr>
        <w:t>procedural fairness</w:t>
      </w:r>
      <w:r>
        <w:rPr>
          <w:rFonts w:ascii="Arial" w:hAnsi="Arial" w:cs="Arial"/>
          <w:sz w:val="20"/>
        </w:rPr>
        <w:t xml:space="preserve"> is contained in </w:t>
      </w:r>
      <w:r w:rsidRPr="004651AA">
        <w:rPr>
          <w:rFonts w:ascii="Arial" w:hAnsi="Arial" w:cs="Arial"/>
          <w:b/>
          <w:bCs/>
          <w:sz w:val="20"/>
          <w:shd w:val="clear" w:color="auto" w:fill="C5E0B3" w:themeFill="accent6" w:themeFillTint="66"/>
        </w:rPr>
        <w:t>section 3.1.1</w:t>
      </w:r>
      <w:r>
        <w:rPr>
          <w:rFonts w:ascii="Arial" w:hAnsi="Arial" w:cs="Arial"/>
          <w:sz w:val="20"/>
        </w:rPr>
        <w:t xml:space="preserve"> above. </w:t>
      </w:r>
      <w:r w:rsidR="00786256">
        <w:rPr>
          <w:rFonts w:ascii="Arial" w:hAnsi="Arial" w:cs="Arial"/>
          <w:sz w:val="20"/>
        </w:rPr>
        <w:t xml:space="preserve">Of particular note is </w:t>
      </w:r>
      <w:r w:rsidR="00786256" w:rsidRPr="00701A60">
        <w:rPr>
          <w:rFonts w:ascii="Arial" w:hAnsi="Arial" w:cs="Arial"/>
          <w:bCs/>
          <w:i/>
          <w:iCs/>
          <w:color w:val="000000"/>
          <w:sz w:val="20"/>
        </w:rPr>
        <w:t>Konidaris v The Queen</w:t>
      </w:r>
      <w:r w:rsidR="00786256">
        <w:rPr>
          <w:rFonts w:ascii="Arial" w:hAnsi="Arial" w:cs="Arial"/>
          <w:bCs/>
          <w:color w:val="000000"/>
          <w:sz w:val="20"/>
        </w:rPr>
        <w:t xml:space="preserve"> [2021] VSCA 309 where the Court of Appeal held that </w:t>
      </w:r>
      <w:r w:rsidR="003B0602">
        <w:rPr>
          <w:rFonts w:ascii="Arial" w:hAnsi="Arial" w:cs="Arial"/>
          <w:bCs/>
          <w:color w:val="000000"/>
          <w:sz w:val="20"/>
        </w:rPr>
        <w:t xml:space="preserve">in the circumstances of that case the sentencing judge </w:t>
      </w:r>
      <w:r w:rsidR="00786256">
        <w:rPr>
          <w:rFonts w:ascii="Arial" w:hAnsi="Arial" w:cs="Arial"/>
          <w:bCs/>
          <w:color w:val="000000"/>
          <w:sz w:val="20"/>
        </w:rPr>
        <w:t>had failed to afford procedural fairness to the appellant by accessing and relying on a medical report not formally tendered or relied on in the plea and by using the report to make findings contrary to the expert evidence before the Court.</w:t>
      </w:r>
    </w:p>
    <w:p w14:paraId="5E36A20F" w14:textId="77777777" w:rsidR="00786256" w:rsidRDefault="00786256" w:rsidP="00A77B0E">
      <w:pPr>
        <w:jc w:val="both"/>
        <w:rPr>
          <w:rFonts w:ascii="Arial" w:hAnsi="Arial" w:cs="Arial"/>
          <w:bCs/>
          <w:color w:val="000000"/>
          <w:sz w:val="20"/>
        </w:rPr>
      </w:pPr>
    </w:p>
    <w:p w14:paraId="7E213E51" w14:textId="2F503EDB" w:rsidR="00A77B0E" w:rsidRDefault="00786256" w:rsidP="00786256">
      <w:pPr>
        <w:jc w:val="both"/>
        <w:rPr>
          <w:rFonts w:ascii="Arial" w:hAnsi="Arial" w:cs="Arial"/>
          <w:sz w:val="20"/>
        </w:rPr>
      </w:pPr>
      <w:r>
        <w:rPr>
          <w:rFonts w:ascii="Arial" w:hAnsi="Arial" w:cs="Arial"/>
          <w:sz w:val="20"/>
        </w:rPr>
        <w:lastRenderedPageBreak/>
        <w:t xml:space="preserve">In </w:t>
      </w:r>
      <w:r w:rsidRPr="00A77B0E">
        <w:rPr>
          <w:rFonts w:ascii="Arial" w:hAnsi="Arial" w:cs="Arial"/>
          <w:i/>
          <w:iCs/>
          <w:sz w:val="20"/>
        </w:rPr>
        <w:t>Oberoi v Douglas</w:t>
      </w:r>
      <w:r w:rsidRPr="00A77B0E">
        <w:rPr>
          <w:rFonts w:ascii="Arial" w:hAnsi="Arial" w:cs="Arial"/>
          <w:sz w:val="20"/>
        </w:rPr>
        <w:t xml:space="preserve"> [2025] VSC 7</w:t>
      </w:r>
      <w:r>
        <w:rPr>
          <w:rFonts w:ascii="Arial" w:hAnsi="Arial" w:cs="Arial"/>
          <w:sz w:val="20"/>
        </w:rPr>
        <w:t xml:space="preserve"> Gray J dismissed an application by </w:t>
      </w:r>
      <w:r w:rsidR="007D3DFE">
        <w:rPr>
          <w:rFonts w:ascii="Arial" w:hAnsi="Arial" w:cs="Arial"/>
          <w:sz w:val="20"/>
        </w:rPr>
        <w:t xml:space="preserve">the plaintiff </w:t>
      </w:r>
      <w:r>
        <w:rPr>
          <w:rFonts w:ascii="Arial" w:hAnsi="Arial" w:cs="Arial"/>
          <w:sz w:val="20"/>
        </w:rPr>
        <w:t xml:space="preserve">driver </w:t>
      </w:r>
      <w:r w:rsidR="00A77B0E" w:rsidRPr="00A77B0E">
        <w:rPr>
          <w:rFonts w:ascii="Arial" w:hAnsi="Arial" w:cs="Arial"/>
          <w:sz w:val="20"/>
        </w:rPr>
        <w:t xml:space="preserve">for judicial review of an </w:t>
      </w:r>
      <w:r>
        <w:rPr>
          <w:rFonts w:ascii="Arial" w:hAnsi="Arial" w:cs="Arial"/>
          <w:sz w:val="20"/>
        </w:rPr>
        <w:t xml:space="preserve">order </w:t>
      </w:r>
      <w:r w:rsidR="00A77B0E" w:rsidRPr="00A77B0E">
        <w:rPr>
          <w:rFonts w:ascii="Arial" w:hAnsi="Arial" w:cs="Arial"/>
          <w:sz w:val="20"/>
        </w:rPr>
        <w:t xml:space="preserve">imposing a four year </w:t>
      </w:r>
      <w:r w:rsidR="007D3DFE">
        <w:rPr>
          <w:rFonts w:ascii="Arial" w:hAnsi="Arial" w:cs="Arial"/>
          <w:sz w:val="20"/>
        </w:rPr>
        <w:t xml:space="preserve">licence </w:t>
      </w:r>
      <w:r w:rsidR="00A77B0E" w:rsidRPr="00A77B0E">
        <w:rPr>
          <w:rFonts w:ascii="Arial" w:hAnsi="Arial" w:cs="Arial"/>
          <w:sz w:val="20"/>
        </w:rPr>
        <w:t xml:space="preserve">disqualification for an offence under s 49(1)(e) of </w:t>
      </w:r>
      <w:r w:rsidR="00A77B0E" w:rsidRPr="00A77B0E">
        <w:rPr>
          <w:rFonts w:ascii="Arial" w:hAnsi="Arial" w:cs="Arial"/>
          <w:i/>
          <w:iCs/>
          <w:sz w:val="20"/>
        </w:rPr>
        <w:t>Road Safety Act 1986</w:t>
      </w:r>
      <w:r w:rsidR="00A77B0E" w:rsidRPr="00A77B0E">
        <w:rPr>
          <w:rFonts w:ascii="Arial" w:hAnsi="Arial" w:cs="Arial"/>
          <w:sz w:val="20"/>
        </w:rPr>
        <w:t xml:space="preserve"> [RSA] of refusing to comply with a requirement under s 55(1).</w:t>
      </w:r>
      <w:r>
        <w:rPr>
          <w:rFonts w:ascii="Arial" w:hAnsi="Arial" w:cs="Arial"/>
          <w:sz w:val="20"/>
        </w:rPr>
        <w:t xml:space="preserve"> </w:t>
      </w:r>
      <w:r w:rsidR="000C7ECE">
        <w:rPr>
          <w:rFonts w:ascii="Arial" w:hAnsi="Arial" w:cs="Arial"/>
          <w:sz w:val="20"/>
        </w:rPr>
        <w:t>T</w:t>
      </w:r>
      <w:r>
        <w:rPr>
          <w:rFonts w:ascii="Arial" w:hAnsi="Arial" w:cs="Arial"/>
          <w:sz w:val="20"/>
        </w:rPr>
        <w:t xml:space="preserve">he third ground on which the application for </w:t>
      </w:r>
      <w:r w:rsidR="00A77B0E" w:rsidRPr="00A77B0E">
        <w:rPr>
          <w:rFonts w:ascii="Arial" w:hAnsi="Arial" w:cs="Arial"/>
          <w:sz w:val="20"/>
        </w:rPr>
        <w:t>judicial review was based</w:t>
      </w:r>
      <w:r>
        <w:rPr>
          <w:rFonts w:ascii="Arial" w:hAnsi="Arial" w:cs="Arial"/>
          <w:sz w:val="20"/>
        </w:rPr>
        <w:t xml:space="preserve"> w</w:t>
      </w:r>
      <w:r w:rsidR="00A77B0E" w:rsidRPr="00A77B0E">
        <w:rPr>
          <w:rFonts w:ascii="Arial" w:hAnsi="Arial" w:cs="Arial"/>
          <w:sz w:val="20"/>
        </w:rPr>
        <w:t xml:space="preserve">as that the driver’s prior history certificate under s.84(1) of the </w:t>
      </w:r>
      <w:r w:rsidR="00A77B0E" w:rsidRPr="00A77B0E">
        <w:rPr>
          <w:rFonts w:ascii="Arial" w:hAnsi="Arial" w:cs="Arial"/>
          <w:i/>
          <w:iCs/>
          <w:sz w:val="20"/>
        </w:rPr>
        <w:t>R</w:t>
      </w:r>
      <w:r w:rsidRPr="007D3DFE">
        <w:rPr>
          <w:rFonts w:ascii="Arial" w:hAnsi="Arial" w:cs="Arial"/>
          <w:i/>
          <w:iCs/>
          <w:sz w:val="20"/>
        </w:rPr>
        <w:t>oad Safety Act 1986</w:t>
      </w:r>
      <w:r>
        <w:rPr>
          <w:rFonts w:ascii="Arial" w:hAnsi="Arial" w:cs="Arial"/>
          <w:sz w:val="20"/>
        </w:rPr>
        <w:t xml:space="preserve"> </w:t>
      </w:r>
      <w:r w:rsidR="003B0602">
        <w:rPr>
          <w:rFonts w:ascii="Arial" w:hAnsi="Arial" w:cs="Arial"/>
          <w:sz w:val="20"/>
        </w:rPr>
        <w:t xml:space="preserve">– </w:t>
      </w:r>
      <w:r>
        <w:rPr>
          <w:rFonts w:ascii="Arial" w:hAnsi="Arial" w:cs="Arial"/>
          <w:sz w:val="20"/>
        </w:rPr>
        <w:t>on</w:t>
      </w:r>
      <w:r w:rsidR="003B0602">
        <w:rPr>
          <w:rFonts w:ascii="Arial" w:hAnsi="Arial" w:cs="Arial"/>
          <w:sz w:val="20"/>
        </w:rPr>
        <w:t xml:space="preserve"> </w:t>
      </w:r>
      <w:r>
        <w:rPr>
          <w:rFonts w:ascii="Arial" w:hAnsi="Arial" w:cs="Arial"/>
          <w:sz w:val="20"/>
        </w:rPr>
        <w:t xml:space="preserve">which the sentencing judge had relied to base a 4y disqualification rather than a 2y one </w:t>
      </w:r>
      <w:r w:rsidR="003B0602">
        <w:rPr>
          <w:rFonts w:ascii="Arial" w:hAnsi="Arial" w:cs="Arial"/>
          <w:sz w:val="20"/>
        </w:rPr>
        <w:t xml:space="preserve">– </w:t>
      </w:r>
      <w:r>
        <w:rPr>
          <w:rFonts w:ascii="Arial" w:hAnsi="Arial" w:cs="Arial"/>
          <w:sz w:val="20"/>
        </w:rPr>
        <w:t>was</w:t>
      </w:r>
      <w:r w:rsidR="003B0602">
        <w:rPr>
          <w:rFonts w:ascii="Arial" w:hAnsi="Arial" w:cs="Arial"/>
          <w:sz w:val="20"/>
        </w:rPr>
        <w:t xml:space="preserve"> </w:t>
      </w:r>
      <w:r w:rsidR="00A77B0E" w:rsidRPr="00A77B0E">
        <w:rPr>
          <w:rFonts w:ascii="Arial" w:hAnsi="Arial" w:cs="Arial"/>
          <w:sz w:val="20"/>
        </w:rPr>
        <w:t>“not admissible” because it was “simply handed up by the prosecutor over the plaintiff’s objection and viewed … without being formally tendered as an exhibit for the prosecution … or marked as an exhibit”: see paragraph [94].</w:t>
      </w:r>
      <w:r>
        <w:rPr>
          <w:rFonts w:ascii="Arial" w:hAnsi="Arial" w:cs="Arial"/>
          <w:sz w:val="20"/>
        </w:rPr>
        <w:t xml:space="preserve"> In dismissing this third ground Gray J said at [95]-[10</w:t>
      </w:r>
      <w:r w:rsidR="00863F5C">
        <w:rPr>
          <w:rFonts w:ascii="Arial" w:hAnsi="Arial" w:cs="Arial"/>
          <w:sz w:val="20"/>
        </w:rPr>
        <w:t>3</w:t>
      </w:r>
      <w:r>
        <w:rPr>
          <w:rFonts w:ascii="Arial" w:hAnsi="Arial" w:cs="Arial"/>
          <w:sz w:val="20"/>
        </w:rPr>
        <w:t>]:</w:t>
      </w:r>
    </w:p>
    <w:p w14:paraId="1059C891" w14:textId="7BA4D4AA" w:rsidR="00786256" w:rsidRDefault="00786256" w:rsidP="00786256">
      <w:pPr>
        <w:spacing w:before="60"/>
        <w:ind w:left="567" w:right="567"/>
        <w:jc w:val="both"/>
        <w:rPr>
          <w:rFonts w:ascii="Arial" w:hAnsi="Arial" w:cs="Arial"/>
          <w:sz w:val="20"/>
        </w:rPr>
      </w:pPr>
      <w:r>
        <w:rPr>
          <w:rFonts w:ascii="Arial" w:hAnsi="Arial" w:cs="Arial"/>
          <w:sz w:val="20"/>
        </w:rPr>
        <w:t>[95] “</w:t>
      </w:r>
      <w:r w:rsidRPr="00786256">
        <w:rPr>
          <w:rFonts w:ascii="Arial" w:hAnsi="Arial" w:cs="Arial"/>
          <w:sz w:val="20"/>
        </w:rPr>
        <w:t>The originating motion contained no alternative claim that the County Court breached the rules of procedural fairness in connection with its handling of the certificate. This is significant. It means that the only issues before me are whether a formal and express</w:t>
      </w:r>
      <w:r>
        <w:rPr>
          <w:rFonts w:ascii="Arial" w:hAnsi="Arial" w:cs="Arial"/>
          <w:sz w:val="20"/>
        </w:rPr>
        <w:t xml:space="preserve"> </w:t>
      </w:r>
      <w:r w:rsidRPr="00786256">
        <w:rPr>
          <w:rFonts w:ascii="Arial" w:hAnsi="Arial" w:cs="Arial"/>
          <w:sz w:val="20"/>
        </w:rPr>
        <w:t>‘tender’ by the prosecution was required, and whether the certificate needed to be formally noted as received in evidence and marked as an exhibit. I am not required to determine whether any broader form of procedural unfairness occurred.</w:t>
      </w:r>
    </w:p>
    <w:p w14:paraId="1EB41C41" w14:textId="131BFAC9" w:rsidR="00786256" w:rsidRDefault="00786256" w:rsidP="007D3DFE">
      <w:pPr>
        <w:spacing w:before="60"/>
        <w:ind w:left="567" w:right="567"/>
        <w:jc w:val="both"/>
        <w:rPr>
          <w:rFonts w:ascii="Arial" w:hAnsi="Arial" w:cs="Arial"/>
          <w:sz w:val="20"/>
        </w:rPr>
      </w:pPr>
      <w:r>
        <w:rPr>
          <w:rFonts w:ascii="Arial" w:hAnsi="Arial" w:cs="Arial"/>
          <w:sz w:val="20"/>
        </w:rPr>
        <w:t xml:space="preserve">[96] </w:t>
      </w:r>
      <w:r w:rsidRPr="00786256">
        <w:rPr>
          <w:rFonts w:ascii="Arial" w:hAnsi="Arial" w:cs="Arial"/>
          <w:sz w:val="20"/>
        </w:rPr>
        <w:t xml:space="preserve">I was not taken to any case in which a court has decided whether any particular formal words of tender must be used by a party or legal representative in order to tender (or adduce) a document in evidence. The </w:t>
      </w:r>
      <w:r w:rsidRPr="00786256">
        <w:rPr>
          <w:rFonts w:ascii="Arial" w:hAnsi="Arial" w:cs="Arial"/>
          <w:i/>
          <w:iCs/>
          <w:sz w:val="20"/>
        </w:rPr>
        <w:t xml:space="preserve">Evidence Act </w:t>
      </w:r>
      <w:r w:rsidRPr="00786256">
        <w:rPr>
          <w:rFonts w:ascii="Arial" w:hAnsi="Arial" w:cs="Arial"/>
          <w:sz w:val="20"/>
        </w:rPr>
        <w:t>speaks of adducing evidence</w:t>
      </w:r>
      <w:r w:rsidR="007D3DFE">
        <w:rPr>
          <w:rFonts w:ascii="Arial" w:hAnsi="Arial" w:cs="Arial"/>
          <w:sz w:val="20"/>
        </w:rPr>
        <w:t xml:space="preserve"> (</w:t>
      </w:r>
      <w:r w:rsidRPr="00786256">
        <w:rPr>
          <w:rFonts w:ascii="Arial" w:hAnsi="Arial" w:cs="Arial"/>
          <w:sz w:val="20"/>
        </w:rPr>
        <w:t xml:space="preserve">Eg, </w:t>
      </w:r>
      <w:r w:rsidRPr="00786256">
        <w:rPr>
          <w:rFonts w:ascii="Arial" w:hAnsi="Arial" w:cs="Arial"/>
          <w:i/>
          <w:iCs/>
          <w:sz w:val="20"/>
        </w:rPr>
        <w:t xml:space="preserve">Evidence Act 2008 </w:t>
      </w:r>
      <w:r w:rsidRPr="00786256">
        <w:rPr>
          <w:rFonts w:ascii="Arial" w:hAnsi="Arial" w:cs="Arial"/>
          <w:sz w:val="20"/>
        </w:rPr>
        <w:t>ch 2 heading and ss 43, 46, 47, 48, 50 and 52</w:t>
      </w:r>
      <w:r w:rsidR="007D3DFE">
        <w:rPr>
          <w:rFonts w:ascii="Arial" w:hAnsi="Arial" w:cs="Arial"/>
          <w:sz w:val="20"/>
        </w:rPr>
        <w:t>),</w:t>
      </w:r>
      <w:r w:rsidRPr="00786256">
        <w:rPr>
          <w:rFonts w:ascii="Arial" w:hAnsi="Arial" w:cs="Arial"/>
          <w:sz w:val="20"/>
        </w:rPr>
        <w:t xml:space="preserve"> including by tendering documents </w:t>
      </w:r>
      <w:r w:rsidR="007D3DFE">
        <w:rPr>
          <w:rFonts w:ascii="Arial" w:hAnsi="Arial" w:cs="Arial"/>
          <w:sz w:val="20"/>
        </w:rPr>
        <w:t>(</w:t>
      </w:r>
      <w:r w:rsidRPr="00786256">
        <w:rPr>
          <w:rFonts w:ascii="Arial" w:hAnsi="Arial" w:cs="Arial"/>
          <w:sz w:val="20"/>
        </w:rPr>
        <w:t xml:space="preserve">Eg, </w:t>
      </w:r>
      <w:r w:rsidRPr="00786256">
        <w:rPr>
          <w:rFonts w:ascii="Arial" w:hAnsi="Arial" w:cs="Arial"/>
          <w:i/>
          <w:iCs/>
          <w:sz w:val="20"/>
        </w:rPr>
        <w:t>Ibid</w:t>
      </w:r>
      <w:r w:rsidRPr="00786256">
        <w:rPr>
          <w:rFonts w:ascii="Arial" w:hAnsi="Arial" w:cs="Arial"/>
          <w:sz w:val="20"/>
        </w:rPr>
        <w:t xml:space="preserve"> pt 2.2, ss 35, 37, 45, 48, 49 and 52</w:t>
      </w:r>
      <w:r w:rsidR="007D3DFE">
        <w:rPr>
          <w:rFonts w:ascii="Arial" w:hAnsi="Arial" w:cs="Arial"/>
          <w:sz w:val="20"/>
        </w:rPr>
        <w:t>)</w:t>
      </w:r>
      <w:r w:rsidRPr="00786256">
        <w:rPr>
          <w:rFonts w:ascii="Arial" w:hAnsi="Arial" w:cs="Arial"/>
          <w:sz w:val="20"/>
        </w:rPr>
        <w:t xml:space="preserve"> but it does so without prescribing what is required to be done or said to tender a document.</w:t>
      </w:r>
    </w:p>
    <w:p w14:paraId="03550E76" w14:textId="2C450251" w:rsidR="007D3DFE" w:rsidRDefault="007D3DFE" w:rsidP="007D3DFE">
      <w:pPr>
        <w:spacing w:before="60"/>
        <w:ind w:left="567" w:right="567"/>
        <w:jc w:val="both"/>
        <w:rPr>
          <w:rFonts w:ascii="Arial" w:hAnsi="Arial" w:cs="Arial"/>
          <w:sz w:val="20"/>
        </w:rPr>
      </w:pPr>
      <w:r>
        <w:rPr>
          <w:rFonts w:ascii="Arial" w:hAnsi="Arial" w:cs="Arial"/>
          <w:sz w:val="20"/>
        </w:rPr>
        <w:t xml:space="preserve">[97] </w:t>
      </w:r>
      <w:r w:rsidRPr="00786256">
        <w:rPr>
          <w:rFonts w:ascii="Arial" w:hAnsi="Arial" w:cs="Arial"/>
          <w:sz w:val="20"/>
        </w:rPr>
        <w:t>In my view, as a matter of elementary procedural fairness, parties to litigation must make it clear when they intend to tender a document. In this regard, best practice is to state one’s intention to tender the document in question by using the word ‘tender’. However, I do not think that there is a firm rule that the validity of a tender depends on the use of the word ‘tender’. A tender can be implied, provided it is clear what is happening. In my view, the question of whether a document has been validly tendered by a party depends on whether it was clear in all the circumstances that this is what was intended by that party.</w:t>
      </w:r>
    </w:p>
    <w:p w14:paraId="1A136AAD" w14:textId="7F0EE059" w:rsidR="00786256" w:rsidRDefault="007D3DFE" w:rsidP="007D3DFE">
      <w:pPr>
        <w:spacing w:before="60"/>
        <w:ind w:left="567" w:right="567"/>
        <w:jc w:val="both"/>
        <w:rPr>
          <w:rFonts w:ascii="Arial" w:hAnsi="Arial" w:cs="Arial"/>
          <w:sz w:val="20"/>
        </w:rPr>
      </w:pPr>
      <w:r>
        <w:rPr>
          <w:rFonts w:ascii="Arial" w:hAnsi="Arial" w:cs="Arial"/>
          <w:sz w:val="20"/>
        </w:rPr>
        <w:t xml:space="preserve">[98] </w:t>
      </w:r>
      <w:r w:rsidRPr="00786256">
        <w:rPr>
          <w:rFonts w:ascii="Arial" w:hAnsi="Arial" w:cs="Arial"/>
          <w:sz w:val="20"/>
        </w:rPr>
        <w:t>Here, although the prosecutor did not at any point state that he sought to ‘tender’ the certificate, it was clear to all concerned that this is what he intended. As noted in my factual findings above, at the hearing before his Honour Judge McInerney, the plaintiff’s legal representative stated her understanding that the prosecution was seeking to tender the certificate. Once Ms Davis had acknowledged that, it was unnecessary for the prosecution to repeat it. Later in the hearing, when his Honour asked the prosecutor for a copy of the certificate and this was provided, it was clear to all that the certificate had been tendered, subject to resolution of the admissibility issues raised on behalf of the plaintiff. No other characterisation of events is reasonably open. In these circumstances, there was no need for a further statement by Mr Trent that the certificate was being tendered either during the sentencing hearing</w:t>
      </w:r>
      <w:r>
        <w:rPr>
          <w:rFonts w:ascii="Arial" w:hAnsi="Arial" w:cs="Arial"/>
          <w:sz w:val="20"/>
        </w:rPr>
        <w:t xml:space="preserve"> </w:t>
      </w:r>
      <w:r w:rsidR="00786256" w:rsidRPr="00786256">
        <w:rPr>
          <w:rFonts w:ascii="Arial" w:hAnsi="Arial" w:cs="Arial"/>
          <w:sz w:val="20"/>
        </w:rPr>
        <w:t>on Friday 17 November 2023</w:t>
      </w:r>
      <w:r>
        <w:rPr>
          <w:rFonts w:ascii="Arial" w:hAnsi="Arial" w:cs="Arial"/>
          <w:sz w:val="20"/>
        </w:rPr>
        <w:t>,</w:t>
      </w:r>
      <w:r w:rsidR="00786256" w:rsidRPr="00786256">
        <w:rPr>
          <w:rFonts w:ascii="Arial" w:hAnsi="Arial" w:cs="Arial"/>
          <w:sz w:val="20"/>
        </w:rPr>
        <w:t xml:space="preserve"> or in the written submissions provided over the weekend on the question of the certificate’s admissibility, or after his Honour delivered his ruling relating to the certificate the following Tuesday. </w:t>
      </w:r>
    </w:p>
    <w:p w14:paraId="1BB4758C" w14:textId="19B90DA2" w:rsidR="00786256" w:rsidRPr="00786256" w:rsidRDefault="007D3DFE" w:rsidP="007D3DFE">
      <w:pPr>
        <w:spacing w:before="60"/>
        <w:ind w:left="567" w:right="567"/>
        <w:jc w:val="both"/>
        <w:rPr>
          <w:rFonts w:ascii="Arial" w:hAnsi="Arial" w:cs="Arial"/>
          <w:sz w:val="20"/>
        </w:rPr>
      </w:pPr>
      <w:r>
        <w:rPr>
          <w:rFonts w:ascii="Arial" w:hAnsi="Arial" w:cs="Arial"/>
          <w:sz w:val="20"/>
        </w:rPr>
        <w:t xml:space="preserve">[99] The ruling </w:t>
      </w:r>
      <w:r w:rsidR="00786256" w:rsidRPr="00786256">
        <w:rPr>
          <w:rFonts w:ascii="Arial" w:hAnsi="Arial" w:cs="Arial"/>
          <w:sz w:val="20"/>
        </w:rPr>
        <w:t>did not expressly state a conclusion that the certificate was ‘admissible’ but did identify Ms Davis’s objection to the prosecution’s reliance on the RSA certificate, and moreover identified Ms Davis’ reliance in that regard on ‘s 78(2A)’ of the CPA, which must be understood as an intended reference to s 77(2A). Having identified these matters, his Honour said:</w:t>
      </w:r>
    </w:p>
    <w:p w14:paraId="46692F5E" w14:textId="0F74D95A" w:rsidR="007D3DFE" w:rsidRPr="007D3DFE" w:rsidRDefault="007D3DFE" w:rsidP="007D3DFE">
      <w:pPr>
        <w:spacing w:before="60"/>
        <w:ind w:left="1021" w:right="1021"/>
        <w:jc w:val="both"/>
        <w:rPr>
          <w:rFonts w:ascii="Arial" w:hAnsi="Arial" w:cs="Arial"/>
          <w:sz w:val="18"/>
          <w:szCs w:val="22"/>
        </w:rPr>
      </w:pPr>
      <w:r w:rsidRPr="00786256">
        <w:rPr>
          <w:rFonts w:ascii="Arial" w:hAnsi="Arial" w:cs="Arial"/>
          <w:sz w:val="18"/>
          <w:szCs w:val="22"/>
        </w:rPr>
        <w:t>The problem with that of course is that what the prosecution rely on is not a criminal record insofar as the requirements of the Criminal Procedure Act is concerned. But the prosecution rely on s84(1) … of the Road Safety Act to prove an earlier offence and penalty.</w:t>
      </w:r>
    </w:p>
    <w:p w14:paraId="2C3A55C4" w14:textId="44418EF8" w:rsidR="007D3DFE" w:rsidRDefault="007D3DFE" w:rsidP="007D3DFE">
      <w:pPr>
        <w:spacing w:before="60"/>
        <w:ind w:left="567" w:right="567"/>
        <w:jc w:val="both"/>
        <w:rPr>
          <w:rFonts w:ascii="Arial" w:hAnsi="Arial" w:cs="Arial"/>
          <w:sz w:val="20"/>
        </w:rPr>
      </w:pPr>
      <w:r>
        <w:rPr>
          <w:rFonts w:ascii="Arial" w:hAnsi="Arial" w:cs="Arial"/>
          <w:sz w:val="20"/>
        </w:rPr>
        <w:t xml:space="preserve">[100] </w:t>
      </w:r>
      <w:r w:rsidRPr="00786256">
        <w:rPr>
          <w:rFonts w:ascii="Arial" w:hAnsi="Arial" w:cs="Arial"/>
          <w:sz w:val="20"/>
        </w:rPr>
        <w:t>It was sufficiently clear from this statement that his Honour was overruling the objection on the basis that the RSA certificate had the character of a certificate under s</w:t>
      </w:r>
      <w:r>
        <w:rPr>
          <w:rFonts w:ascii="Arial" w:hAnsi="Arial" w:cs="Arial"/>
          <w:sz w:val="20"/>
        </w:rPr>
        <w:t> </w:t>
      </w:r>
      <w:r w:rsidRPr="00786256">
        <w:rPr>
          <w:rFonts w:ascii="Arial" w:hAnsi="Arial" w:cs="Arial"/>
          <w:sz w:val="20"/>
        </w:rPr>
        <w:t>84(1) of the RSA. The overruling of the objection amounted to its admission into evidence.</w:t>
      </w:r>
    </w:p>
    <w:p w14:paraId="55BAD2EA" w14:textId="074ADBEC" w:rsidR="007D3DFE" w:rsidRDefault="007D3DFE" w:rsidP="007D3DFE">
      <w:pPr>
        <w:spacing w:before="60"/>
        <w:ind w:left="567" w:right="567"/>
        <w:jc w:val="both"/>
        <w:rPr>
          <w:rFonts w:ascii="Arial" w:hAnsi="Arial" w:cs="Arial"/>
          <w:sz w:val="20"/>
        </w:rPr>
      </w:pPr>
      <w:r>
        <w:rPr>
          <w:rFonts w:ascii="Arial" w:hAnsi="Arial" w:cs="Arial"/>
          <w:sz w:val="20"/>
        </w:rPr>
        <w:t xml:space="preserve">[101] </w:t>
      </w:r>
      <w:r w:rsidRPr="00786256">
        <w:rPr>
          <w:rFonts w:ascii="Arial" w:hAnsi="Arial" w:cs="Arial"/>
          <w:sz w:val="20"/>
        </w:rPr>
        <w:t>Likewise, there was no need for the certificate to be marked as an exhibit in order for it to be ‘admissible’. I was not taken to any decided case in support of the plaintiff’s argument in this regard. The attempt to relate the marking of an exhibit to the question of admissibility is in any event illogical. In my view, the question of admissibility was an anterior question, and is not capable of being affected by whether the document was or was not ultimately marked as exhibit.</w:t>
      </w:r>
    </w:p>
    <w:p w14:paraId="01356168" w14:textId="5E491E40" w:rsidR="007D3DFE" w:rsidRDefault="007D3DFE" w:rsidP="007D3DFE">
      <w:pPr>
        <w:spacing w:before="60"/>
        <w:ind w:left="567" w:right="567"/>
        <w:jc w:val="both"/>
        <w:rPr>
          <w:rFonts w:ascii="Arial" w:hAnsi="Arial" w:cs="Arial"/>
          <w:sz w:val="20"/>
        </w:rPr>
      </w:pPr>
      <w:r>
        <w:rPr>
          <w:rFonts w:ascii="Arial" w:hAnsi="Arial" w:cs="Arial"/>
          <w:sz w:val="20"/>
        </w:rPr>
        <w:t xml:space="preserve">[102] </w:t>
      </w:r>
      <w:r w:rsidRPr="00786256">
        <w:rPr>
          <w:rFonts w:ascii="Arial" w:hAnsi="Arial" w:cs="Arial"/>
          <w:sz w:val="20"/>
        </w:rPr>
        <w:t xml:space="preserve">In case the plaintiff did not intend to advance this strand of his argument in the manner addressed in the preceding paragraph, I have also considered whether — absent formal identification as an exhibit — a document should not be taken to have been adduced or </w:t>
      </w:r>
      <w:r w:rsidRPr="00786256">
        <w:rPr>
          <w:rFonts w:ascii="Arial" w:hAnsi="Arial" w:cs="Arial"/>
          <w:sz w:val="20"/>
        </w:rPr>
        <w:lastRenderedPageBreak/>
        <w:t>accepted into evidence. I do not think there is any such rule. As in the case of the tendering of documents, no doubt a court should make it clear to all concerned when a tendered document is accepted into evidence and when it is not.</w:t>
      </w:r>
      <w:r>
        <w:rPr>
          <w:rFonts w:ascii="Arial" w:hAnsi="Arial" w:cs="Arial"/>
          <w:sz w:val="20"/>
        </w:rPr>
        <w:t xml:space="preserve"> </w:t>
      </w:r>
      <w:r w:rsidRPr="00786256">
        <w:rPr>
          <w:rFonts w:ascii="Arial" w:hAnsi="Arial" w:cs="Arial"/>
          <w:sz w:val="20"/>
        </w:rPr>
        <w:t>But there may be ways in which that can occur without specifically and formally marking a document as an exhibit.</w:t>
      </w:r>
    </w:p>
    <w:p w14:paraId="13D79943" w14:textId="369B63F7" w:rsidR="007D3DFE" w:rsidRPr="00786256" w:rsidRDefault="00863F5C" w:rsidP="007D3DFE">
      <w:pPr>
        <w:spacing w:before="60"/>
        <w:ind w:left="567" w:right="567"/>
        <w:jc w:val="both"/>
        <w:rPr>
          <w:rFonts w:ascii="Arial" w:hAnsi="Arial" w:cs="Arial"/>
          <w:sz w:val="20"/>
        </w:rPr>
      </w:pPr>
      <w:r>
        <w:rPr>
          <w:rFonts w:ascii="Arial" w:hAnsi="Arial" w:cs="Arial"/>
          <w:sz w:val="20"/>
        </w:rPr>
        <w:t xml:space="preserve">[103] </w:t>
      </w:r>
      <w:r w:rsidRPr="00786256">
        <w:rPr>
          <w:rFonts w:ascii="Arial" w:hAnsi="Arial" w:cs="Arial"/>
          <w:sz w:val="20"/>
        </w:rPr>
        <w:t>Here, as already noted, it was clear to all that the prosecution were tendering the certificate, subject to the validity or admissibility issues raised by the plaintiff. It was clear from his Honour’s ruling on 21 November 2022 that those issues were resolved in favour of the prosecution. His Honour ruled that the certificate was not invalid and that it would be taken into account, resulting in a longer minimum period of driver disqualification for the plaintiff. His Honour did not need to make a further, formal, statement that he was admitting the certificate into evidence. His ruling clearly implied that he was doing so, as explained above. If there was any doubt about the ruling carrying that implication, then his Honour’s further explanation to the plaintiff (to the effect that the plaintiff would be subject to a four year driver disqualification) should have dispelled that doubt. It was clear in all the circumstances that the certificate was received into evidence by his Honour.</w:t>
      </w:r>
      <w:r>
        <w:rPr>
          <w:rFonts w:ascii="Arial" w:hAnsi="Arial" w:cs="Arial"/>
          <w:sz w:val="20"/>
        </w:rPr>
        <w:t>”</w:t>
      </w:r>
    </w:p>
    <w:p w14:paraId="77875582" w14:textId="6CF4BF23" w:rsidR="007D3DFE" w:rsidRDefault="00863F5C" w:rsidP="00863F5C">
      <w:pPr>
        <w:spacing w:before="60"/>
        <w:jc w:val="both"/>
        <w:rPr>
          <w:rFonts w:ascii="Arial" w:hAnsi="Arial" w:cs="Arial"/>
          <w:sz w:val="20"/>
        </w:rPr>
      </w:pPr>
      <w:r>
        <w:rPr>
          <w:rFonts w:ascii="Arial" w:hAnsi="Arial" w:cs="Arial"/>
          <w:sz w:val="20"/>
        </w:rPr>
        <w:t>Gray J concluded at [104] with the following comment on “best practice” when documents are tendered:</w:t>
      </w:r>
    </w:p>
    <w:p w14:paraId="0848E4FD" w14:textId="49AABB2A" w:rsidR="00863F5C" w:rsidRPr="00786256" w:rsidRDefault="00863F5C" w:rsidP="00863F5C">
      <w:pPr>
        <w:spacing w:before="60"/>
        <w:ind w:left="567" w:right="567"/>
        <w:jc w:val="both"/>
        <w:rPr>
          <w:rFonts w:ascii="Arial" w:hAnsi="Arial" w:cs="Arial"/>
          <w:sz w:val="20"/>
        </w:rPr>
      </w:pPr>
      <w:r>
        <w:rPr>
          <w:rFonts w:ascii="Arial" w:hAnsi="Arial" w:cs="Arial"/>
          <w:sz w:val="20"/>
        </w:rPr>
        <w:t xml:space="preserve">[104] </w:t>
      </w:r>
      <w:r w:rsidRPr="00786256">
        <w:rPr>
          <w:rFonts w:ascii="Arial" w:hAnsi="Arial" w:cs="Arial"/>
          <w:sz w:val="20"/>
        </w:rPr>
        <w:t>The best practice of parties clearly stating when documents are being tendered, and the best practice of the courts marking such documents as exhibits when they are received into evidence, no doubt are adopted because they are well adapted to ensuring that procedural fairness is accorded. But this does not mean that every failure to adhere to these practices is procedurally unfair. Provided a tender is clearly implied, and provided it is clear when a document is received into evidence, it may be that no breach of procedural fairness will have occurred. In any event, given the way the grounds were framed, I was not required to determine any claim of denial of procedural fairness. It is unnecessary for me to say anything further on that issue.</w:t>
      </w:r>
      <w:r>
        <w:rPr>
          <w:rFonts w:ascii="Arial" w:hAnsi="Arial" w:cs="Arial"/>
          <w:sz w:val="20"/>
        </w:rPr>
        <w:t>”</w:t>
      </w:r>
    </w:p>
    <w:p w14:paraId="7F5B55DE" w14:textId="77777777" w:rsidR="00F46FEB" w:rsidRPr="00836E86" w:rsidRDefault="00F46FEB" w:rsidP="00641166">
      <w:pPr>
        <w:jc w:val="both"/>
        <w:rPr>
          <w:rFonts w:ascii="Arial" w:hAnsi="Arial" w:cs="Arial"/>
          <w:sz w:val="20"/>
        </w:rPr>
      </w:pPr>
      <w:bookmarkStart w:id="617" w:name="_3.5.3.13_Application_of"/>
      <w:bookmarkEnd w:id="617"/>
    </w:p>
    <w:bookmarkEnd w:id="616"/>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618" w:name="_3.5.4_Contested_Criminal"/>
      <w:bookmarkStart w:id="619" w:name="_Toc30649715"/>
      <w:bookmarkStart w:id="620" w:name="_Toc30651652"/>
      <w:bookmarkStart w:id="621" w:name="_Toc30652636"/>
      <w:bookmarkStart w:id="622" w:name="_Toc30652734"/>
      <w:bookmarkStart w:id="623" w:name="_Toc30654079"/>
      <w:bookmarkStart w:id="624" w:name="_Toc30654430"/>
      <w:bookmarkStart w:id="625" w:name="_Toc30655049"/>
      <w:bookmarkStart w:id="626" w:name="_Toc30655306"/>
      <w:bookmarkStart w:id="627" w:name="_Toc30656984"/>
      <w:bookmarkStart w:id="628" w:name="_Toc30661733"/>
      <w:bookmarkStart w:id="629" w:name="_Toc30666421"/>
      <w:bookmarkStart w:id="630" w:name="_Toc30666651"/>
      <w:bookmarkStart w:id="631" w:name="_Toc30667826"/>
      <w:bookmarkStart w:id="632" w:name="_Toc30669204"/>
      <w:bookmarkStart w:id="633" w:name="_Toc30671420"/>
      <w:bookmarkStart w:id="634" w:name="_Toc30673947"/>
      <w:bookmarkStart w:id="635" w:name="_Toc30691169"/>
      <w:bookmarkStart w:id="636" w:name="_Toc30691540"/>
      <w:bookmarkStart w:id="637" w:name="_Toc30691920"/>
      <w:bookmarkStart w:id="638" w:name="_Toc30692679"/>
      <w:bookmarkStart w:id="639" w:name="_Toc30693058"/>
      <w:bookmarkStart w:id="640" w:name="_Toc30693436"/>
      <w:bookmarkStart w:id="641" w:name="_Toc30693815"/>
      <w:bookmarkStart w:id="642" w:name="_Toc30694196"/>
      <w:bookmarkStart w:id="643" w:name="_Toc30698785"/>
      <w:bookmarkStart w:id="644" w:name="_Toc30699163"/>
      <w:bookmarkStart w:id="645" w:name="_Toc30699548"/>
      <w:bookmarkStart w:id="646" w:name="_Toc30700703"/>
      <w:bookmarkStart w:id="647" w:name="_Toc30701090"/>
      <w:bookmarkStart w:id="648" w:name="_Toc30743699"/>
      <w:bookmarkStart w:id="649" w:name="_Toc30754521"/>
      <w:bookmarkStart w:id="650" w:name="_Toc30756961"/>
      <w:bookmarkStart w:id="651" w:name="_Toc30757510"/>
      <w:bookmarkStart w:id="652" w:name="_Toc30757910"/>
      <w:bookmarkStart w:id="653" w:name="_Toc30762671"/>
      <w:bookmarkStart w:id="654" w:name="_Toc30767325"/>
      <w:bookmarkStart w:id="655" w:name="_Toc34823341"/>
      <w:bookmarkEnd w:id="602"/>
      <w:bookmarkEnd w:id="618"/>
      <w:r>
        <w:rPr>
          <w:rFonts w:ascii="Arial" w:hAnsi="Arial" w:cs="Arial"/>
          <w:b/>
          <w:bCs/>
          <w:sz w:val="20"/>
        </w:rPr>
        <w:lastRenderedPageBreak/>
        <w:t>3.5.4</w:t>
      </w:r>
      <w:r>
        <w:rPr>
          <w:rFonts w:ascii="Arial" w:hAnsi="Arial" w:cs="Arial"/>
          <w:b/>
          <w:bCs/>
          <w:sz w:val="20"/>
        </w:rPr>
        <w:tab/>
        <w:t>Contested Criminal Division case</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CE3B42C" w14:textId="24926C85" w:rsidR="00EB58D5" w:rsidRPr="009F25D4" w:rsidRDefault="00EB58D5" w:rsidP="00EB58D5">
      <w:pPr>
        <w:pStyle w:val="Heading3"/>
        <w:keepNext/>
        <w:spacing w:after="120" w:line="240" w:lineRule="auto"/>
        <w:rPr>
          <w:rFonts w:ascii="Arial" w:hAnsi="Arial" w:cs="Arial"/>
          <w:b/>
          <w:bCs/>
          <w:color w:val="000000"/>
          <w:sz w:val="20"/>
        </w:rPr>
      </w:pPr>
      <w:bookmarkStart w:id="656" w:name="_3.5.4.1_The_usual"/>
      <w:bookmarkEnd w:id="656"/>
      <w:r w:rsidRPr="00520380">
        <w:rPr>
          <w:rFonts w:ascii="Arial" w:hAnsi="Arial" w:cs="Arial"/>
          <w:b/>
          <w:sz w:val="20"/>
        </w:rPr>
        <w:t>3.5.</w:t>
      </w:r>
      <w:r>
        <w:rPr>
          <w:rFonts w:ascii="Arial" w:hAnsi="Arial" w:cs="Arial"/>
          <w:b/>
          <w:sz w:val="20"/>
        </w:rPr>
        <w:t>4</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Gaudron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address…[A]ll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R v Apostilidis</w:t>
      </w:r>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Heydon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R v Chimirri</w:t>
      </w:r>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lastRenderedPageBreak/>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US v Lutwak</w:t>
      </w:r>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(Gaudron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(fn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Cannon v Tahche</w:t>
      </w:r>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xml:space="preserve">: R v Hanson [2005] </w:t>
      </w:r>
      <w:r w:rsidR="00C37348">
        <w:rPr>
          <w:rFonts w:ascii="Arial" w:hAnsi="Arial" w:cs="Arial"/>
          <w:sz w:val="20"/>
          <w:szCs w:val="18"/>
        </w:rPr>
        <w:lastRenderedPageBreak/>
        <w:t>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R v Kerbaitch</w:t>
      </w:r>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Victoria Legal Aid v Beljajev</w:t>
      </w:r>
      <w:r>
        <w:rPr>
          <w:rFonts w:ascii="Arial" w:hAnsi="Arial" w:cs="Arial"/>
          <w:iCs/>
          <w:sz w:val="20"/>
        </w:rPr>
        <w:t xml:space="preserve"> [1999] 3 VR 764 at 772 per Winneke P.; </w:t>
      </w:r>
      <w:r w:rsidRPr="001D728B">
        <w:rPr>
          <w:rFonts w:ascii="Arial" w:hAnsi="Arial" w:cs="Arial"/>
          <w:i/>
          <w:iCs/>
          <w:sz w:val="20"/>
        </w:rPr>
        <w:t>A-G (NSW) v X</w:t>
      </w:r>
      <w:r>
        <w:rPr>
          <w:rFonts w:ascii="Arial" w:hAnsi="Arial" w:cs="Arial"/>
          <w:iCs/>
          <w:sz w:val="20"/>
        </w:rPr>
        <w:t xml:space="preserve"> (2000) 49 NSWLR 653 at 688 per Mason P and </w:t>
      </w:r>
      <w:r w:rsidRPr="001D728B">
        <w:rPr>
          <w:rFonts w:ascii="Arial" w:hAnsi="Arial" w:cs="Arial"/>
          <w:i/>
          <w:iCs/>
          <w:sz w:val="20"/>
        </w:rPr>
        <w:t>Bayeh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57" w:name="_Toc30651653"/>
      <w:bookmarkStart w:id="658" w:name="_Toc30652637"/>
      <w:bookmarkStart w:id="659" w:name="_Toc30652735"/>
      <w:bookmarkStart w:id="660" w:name="_Toc30654080"/>
      <w:bookmarkStart w:id="661" w:name="_Toc30654431"/>
      <w:bookmarkStart w:id="662" w:name="_Toc30655050"/>
      <w:bookmarkStart w:id="663" w:name="_Toc30655307"/>
      <w:bookmarkStart w:id="664" w:name="_Toc30656985"/>
      <w:bookmarkStart w:id="665" w:name="_Toc30661734"/>
      <w:bookmarkStart w:id="666" w:name="_Toc30666422"/>
      <w:bookmarkStart w:id="667" w:name="_Toc30666652"/>
      <w:bookmarkStart w:id="668" w:name="_Toc30667827"/>
      <w:bookmarkStart w:id="669" w:name="_Toc30669205"/>
      <w:bookmarkStart w:id="670" w:name="_Toc30671421"/>
      <w:bookmarkStart w:id="671" w:name="_Toc30673948"/>
      <w:bookmarkStart w:id="672" w:name="_Toc30691170"/>
      <w:bookmarkStart w:id="673" w:name="_Toc30691541"/>
      <w:bookmarkStart w:id="674" w:name="_Toc30691921"/>
      <w:bookmarkStart w:id="675" w:name="_Toc30692680"/>
      <w:bookmarkStart w:id="676" w:name="_Toc30693059"/>
      <w:bookmarkStart w:id="677" w:name="_Toc30693437"/>
      <w:bookmarkStart w:id="678" w:name="_Toc30693816"/>
      <w:bookmarkStart w:id="679" w:name="_Toc30694197"/>
      <w:bookmarkStart w:id="680" w:name="_Toc30698786"/>
      <w:bookmarkStart w:id="681" w:name="_Toc30699164"/>
      <w:bookmarkStart w:id="682" w:name="_Toc30699549"/>
      <w:bookmarkStart w:id="683" w:name="_Toc30700704"/>
      <w:bookmarkStart w:id="684" w:name="_Toc30701091"/>
      <w:bookmarkStart w:id="685" w:name="_Toc30743700"/>
      <w:bookmarkStart w:id="686" w:name="_Toc30754522"/>
      <w:bookmarkStart w:id="687" w:name="_Toc30756962"/>
      <w:bookmarkStart w:id="688" w:name="_Toc30757511"/>
      <w:bookmarkStart w:id="689" w:name="_Toc30757911"/>
      <w:bookmarkStart w:id="690" w:name="_Toc30762672"/>
      <w:bookmarkStart w:id="691" w:name="_Toc30767326"/>
      <w:bookmarkStart w:id="692" w:name="_Toc34823342"/>
    </w:p>
    <w:p w14:paraId="6F311421" w14:textId="583C2CB6" w:rsidR="00F46FEB" w:rsidRPr="00666FA7" w:rsidRDefault="00F46FEB" w:rsidP="00F46FEB">
      <w:pPr>
        <w:pStyle w:val="Heading3"/>
        <w:keepNext/>
        <w:spacing w:line="240" w:lineRule="auto"/>
        <w:rPr>
          <w:rFonts w:ascii="Arial" w:hAnsi="Arial" w:cs="Arial"/>
          <w:b/>
          <w:bCs/>
          <w:sz w:val="20"/>
          <w:lang w:val="en-AU"/>
        </w:rPr>
      </w:pPr>
      <w:bookmarkStart w:id="693" w:name="_3.5.4.2_Application_of"/>
      <w:bookmarkEnd w:id="693"/>
      <w:r>
        <w:rPr>
          <w:rFonts w:ascii="Arial" w:hAnsi="Arial" w:cs="Arial"/>
          <w:b/>
          <w:bCs/>
          <w:sz w:val="20"/>
        </w:rPr>
        <w:t>3.5.</w:t>
      </w:r>
      <w:r w:rsidR="00EB58D5">
        <w:rPr>
          <w:rFonts w:ascii="Arial" w:hAnsi="Arial" w:cs="Arial"/>
          <w:b/>
          <w:bCs/>
          <w:sz w:val="20"/>
        </w:rPr>
        <w:t>4</w:t>
      </w:r>
      <w:r>
        <w:rPr>
          <w:rFonts w:ascii="Arial" w:hAnsi="Arial" w:cs="Arial"/>
          <w:b/>
          <w:bCs/>
          <w:sz w:val="20"/>
        </w:rPr>
        <w:t>.</w:t>
      </w:r>
      <w:r w:rsidR="00EB58D5">
        <w:rPr>
          <w:rFonts w:ascii="Arial" w:hAnsi="Arial" w:cs="Arial"/>
          <w:b/>
          <w:bCs/>
          <w:sz w:val="20"/>
        </w:rPr>
        <w:t>2</w:t>
      </w:r>
      <w:r>
        <w:rPr>
          <w:rFonts w:ascii="Arial" w:hAnsi="Arial" w:cs="Arial"/>
          <w:b/>
          <w:bCs/>
          <w:sz w:val="20"/>
        </w:rPr>
        <w:t xml:space="preserve"> Application of Part 8.2 of the Criminal Procedure Act 2009</w:t>
      </w:r>
    </w:p>
    <w:p w14:paraId="48DE27E1" w14:textId="77777777" w:rsidR="00F46FEB" w:rsidRDefault="00F46FEB" w:rsidP="00F46FEB">
      <w:pPr>
        <w:jc w:val="both"/>
        <w:rPr>
          <w:rFonts w:ascii="Arial" w:hAnsi="Arial" w:cs="Arial"/>
          <w:sz w:val="20"/>
        </w:rPr>
      </w:pPr>
    </w:p>
    <w:p w14:paraId="0DACC02D" w14:textId="00856C4C" w:rsidR="00F46FEB" w:rsidRDefault="00F46FEB" w:rsidP="00F46FEB">
      <w:pPr>
        <w:jc w:val="both"/>
        <w:rPr>
          <w:rFonts w:ascii="Arial" w:hAnsi="Arial" w:cs="Arial"/>
          <w:sz w:val="20"/>
        </w:rPr>
      </w:pPr>
      <w:r>
        <w:rPr>
          <w:rFonts w:ascii="Arial" w:hAnsi="Arial" w:cs="Arial"/>
          <w:sz w:val="20"/>
        </w:rPr>
        <w:t xml:space="preserve">Part 8.2 of the </w:t>
      </w:r>
      <w:r w:rsidRPr="00CE3CBF">
        <w:rPr>
          <w:rFonts w:ascii="Arial" w:hAnsi="Arial" w:cs="Arial"/>
          <w:i/>
          <w:iCs/>
          <w:sz w:val="20"/>
        </w:rPr>
        <w:t>Criminal Procedure Act 2009</w:t>
      </w:r>
      <w:r>
        <w:rPr>
          <w:rFonts w:ascii="Arial" w:hAnsi="Arial" w:cs="Arial"/>
          <w:sz w:val="20"/>
        </w:rPr>
        <w:t xml:space="preserve"> [CPA] contains provisions governing the giving of evidence by certain witnesses in </w:t>
      </w:r>
      <w:r w:rsidR="00891897">
        <w:rPr>
          <w:rFonts w:ascii="Arial" w:hAnsi="Arial" w:cs="Arial"/>
          <w:sz w:val="20"/>
        </w:rPr>
        <w:t>various</w:t>
      </w:r>
      <w:r>
        <w:rPr>
          <w:rFonts w:ascii="Arial" w:hAnsi="Arial" w:cs="Arial"/>
          <w:sz w:val="20"/>
        </w:rPr>
        <w:t xml:space="preserve"> types of contested criminal proceedings</w:t>
      </w:r>
      <w:r w:rsidR="00B97558">
        <w:rPr>
          <w:rFonts w:ascii="Arial" w:hAnsi="Arial" w:cs="Arial"/>
          <w:sz w:val="20"/>
        </w:rPr>
        <w:t xml:space="preserve"> and </w:t>
      </w:r>
      <w:r w:rsidR="00E449BE">
        <w:rPr>
          <w:rFonts w:ascii="Arial" w:hAnsi="Arial" w:cs="Arial"/>
          <w:sz w:val="20"/>
        </w:rPr>
        <w:t xml:space="preserve">– </w:t>
      </w:r>
      <w:r w:rsidR="00B97558">
        <w:rPr>
          <w:rFonts w:ascii="Arial" w:hAnsi="Arial" w:cs="Arial"/>
          <w:sz w:val="20"/>
        </w:rPr>
        <w:t>in</w:t>
      </w:r>
      <w:r w:rsidR="00E449BE">
        <w:rPr>
          <w:rFonts w:ascii="Arial" w:hAnsi="Arial" w:cs="Arial"/>
          <w:sz w:val="20"/>
        </w:rPr>
        <w:t xml:space="preserve"> </w:t>
      </w:r>
      <w:r w:rsidR="00B97558">
        <w:rPr>
          <w:rFonts w:ascii="Arial" w:hAnsi="Arial" w:cs="Arial"/>
          <w:sz w:val="20"/>
        </w:rPr>
        <w:t xml:space="preserve">a few instances </w:t>
      </w:r>
      <w:r w:rsidR="00E449BE">
        <w:rPr>
          <w:rFonts w:ascii="Arial" w:hAnsi="Arial" w:cs="Arial"/>
          <w:sz w:val="20"/>
        </w:rPr>
        <w:t xml:space="preserve">– </w:t>
      </w:r>
      <w:r w:rsidR="00B97558">
        <w:rPr>
          <w:rFonts w:ascii="Arial" w:hAnsi="Arial" w:cs="Arial"/>
          <w:sz w:val="20"/>
        </w:rPr>
        <w:t>Family</w:t>
      </w:r>
      <w:r w:rsidR="00E449BE">
        <w:rPr>
          <w:rFonts w:ascii="Arial" w:hAnsi="Arial" w:cs="Arial"/>
          <w:sz w:val="20"/>
        </w:rPr>
        <w:t xml:space="preserve"> </w:t>
      </w:r>
      <w:r w:rsidR="00B97558">
        <w:rPr>
          <w:rFonts w:ascii="Arial" w:hAnsi="Arial" w:cs="Arial"/>
          <w:sz w:val="20"/>
        </w:rPr>
        <w:t>Division proceedings</w:t>
      </w:r>
      <w:r>
        <w:rPr>
          <w:rFonts w:ascii="Arial" w:hAnsi="Arial" w:cs="Arial"/>
          <w:sz w:val="20"/>
        </w:rPr>
        <w:t>. The provisions include–</w:t>
      </w:r>
    </w:p>
    <w:p w14:paraId="3755453B"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7A82F516" w14:textId="77777777" w:rsidTr="006010C0">
        <w:trPr>
          <w:trHeight w:val="700"/>
        </w:trPr>
        <w:tc>
          <w:tcPr>
            <w:tcW w:w="9071" w:type="dxa"/>
            <w:gridSpan w:val="2"/>
            <w:shd w:val="clear" w:color="auto" w:fill="000000" w:themeFill="text1"/>
          </w:tcPr>
          <w:p w14:paraId="4CD48050" w14:textId="77777777" w:rsidR="00707E1B" w:rsidRPr="002251EE" w:rsidRDefault="00707E1B" w:rsidP="006010C0">
            <w:pPr>
              <w:jc w:val="center"/>
              <w:rPr>
                <w:rFonts w:ascii="Arial" w:hAnsi="Arial" w:cs="Arial"/>
                <w:b/>
                <w:bCs/>
                <w:sz w:val="20"/>
              </w:rPr>
            </w:pPr>
            <w:r w:rsidRPr="00C31AA5">
              <w:rPr>
                <w:rFonts w:ascii="Arial" w:hAnsi="Arial" w:cs="Arial"/>
                <w:b/>
                <w:bCs/>
                <w:color w:val="000000" w:themeColor="text1"/>
                <w:sz w:val="20"/>
                <w:shd w:val="clear" w:color="auto" w:fill="FFFF00"/>
              </w:rPr>
              <w:lastRenderedPageBreak/>
              <w:t>Part 8.2 Division 2</w:t>
            </w:r>
          </w:p>
          <w:p w14:paraId="05FA9DC3" w14:textId="7C9A6805" w:rsidR="00707E1B" w:rsidRPr="002251EE" w:rsidRDefault="00707E1B" w:rsidP="006010C0">
            <w:pPr>
              <w:jc w:val="center"/>
              <w:rPr>
                <w:rFonts w:ascii="Arial" w:hAnsi="Arial" w:cs="Arial"/>
                <w:b/>
                <w:bCs/>
                <w:sz w:val="20"/>
              </w:rPr>
            </w:pPr>
            <w:r w:rsidRPr="002251EE">
              <w:rPr>
                <w:rFonts w:ascii="Arial" w:hAnsi="Arial" w:cs="Arial"/>
                <w:b/>
                <w:bCs/>
                <w:sz w:val="20"/>
              </w:rPr>
              <w:t xml:space="preserve">Evidence </w:t>
            </w:r>
            <w:r>
              <w:rPr>
                <w:rFonts w:ascii="Arial" w:hAnsi="Arial" w:cs="Arial"/>
                <w:b/>
                <w:bCs/>
                <w:sz w:val="20"/>
              </w:rPr>
              <w:t xml:space="preserve">by </w:t>
            </w:r>
            <w:r w:rsidRPr="002251EE">
              <w:rPr>
                <w:rFonts w:ascii="Arial" w:hAnsi="Arial" w:cs="Arial"/>
                <w:b/>
                <w:bCs/>
                <w:sz w:val="20"/>
              </w:rPr>
              <w:t>complainant</w:t>
            </w:r>
            <w:r>
              <w:rPr>
                <w:rFonts w:ascii="Arial" w:hAnsi="Arial" w:cs="Arial"/>
                <w:b/>
                <w:bCs/>
                <w:sz w:val="20"/>
              </w:rPr>
              <w:t xml:space="preserve">s in a criminal proceeding that relates (wholly or partly) to a charge for a </w:t>
            </w:r>
            <w:r w:rsidR="00B311A4">
              <w:rPr>
                <w:rFonts w:ascii="Arial" w:hAnsi="Arial" w:cs="Arial"/>
                <w:b/>
                <w:bCs/>
                <w:sz w:val="20"/>
              </w:rPr>
              <w:t>sexu</w:t>
            </w:r>
            <w:r>
              <w:rPr>
                <w:rFonts w:ascii="Arial" w:hAnsi="Arial" w:cs="Arial"/>
                <w:b/>
                <w:bCs/>
                <w:sz w:val="20"/>
              </w:rPr>
              <w:t>al offence</w:t>
            </w:r>
            <w:r w:rsidR="00B311A4">
              <w:rPr>
                <w:rFonts w:ascii="Arial" w:hAnsi="Arial" w:cs="Arial"/>
                <w:b/>
                <w:bCs/>
                <w:sz w:val="20"/>
              </w:rPr>
              <w:t xml:space="preserve"> (as defined in s.4(1) of the CPA and set out in </w:t>
            </w:r>
            <w:r w:rsidR="00B311A4" w:rsidRPr="00B311A4">
              <w:rPr>
                <w:rFonts w:ascii="Arial" w:hAnsi="Arial" w:cs="Arial"/>
                <w:b/>
                <w:bCs/>
                <w:sz w:val="20"/>
                <w:shd w:val="clear" w:color="auto" w:fill="C5E0B3" w:themeFill="accent6" w:themeFillTint="66"/>
              </w:rPr>
              <w:t>section 3.</w:t>
            </w:r>
            <w:r w:rsidR="00B311A4">
              <w:rPr>
                <w:rFonts w:ascii="Arial" w:hAnsi="Arial" w:cs="Arial"/>
                <w:b/>
                <w:bCs/>
                <w:sz w:val="20"/>
                <w:shd w:val="clear" w:color="auto" w:fill="C5E0B3" w:themeFill="accent6" w:themeFillTint="66"/>
              </w:rPr>
              <w:t>5</w:t>
            </w:r>
            <w:r w:rsidR="00B311A4" w:rsidRPr="00B311A4">
              <w:rPr>
                <w:rFonts w:ascii="Arial" w:hAnsi="Arial" w:cs="Arial"/>
                <w:b/>
                <w:bCs/>
                <w:sz w:val="20"/>
                <w:shd w:val="clear" w:color="auto" w:fill="C5E0B3" w:themeFill="accent6" w:themeFillTint="66"/>
              </w:rPr>
              <w:t>.5</w:t>
            </w:r>
            <w:r w:rsidR="00B311A4">
              <w:rPr>
                <w:rFonts w:ascii="Arial" w:hAnsi="Arial" w:cs="Arial"/>
                <w:b/>
                <w:bCs/>
                <w:sz w:val="20"/>
              </w:rPr>
              <w:t>).</w:t>
            </w:r>
          </w:p>
        </w:tc>
      </w:tr>
      <w:tr w:rsidR="00F46FEB" w14:paraId="53A953CC" w14:textId="77777777" w:rsidTr="00FE7228">
        <w:tc>
          <w:tcPr>
            <w:tcW w:w="1247" w:type="dxa"/>
            <w:tcBorders>
              <w:top w:val="nil"/>
              <w:bottom w:val="single" w:sz="4" w:space="0" w:color="auto"/>
              <w:right w:val="single" w:sz="4" w:space="0" w:color="auto"/>
            </w:tcBorders>
          </w:tcPr>
          <w:p w14:paraId="57B1BA1D" w14:textId="77777777" w:rsidR="00F46FEB" w:rsidRDefault="00F46FEB" w:rsidP="006010C0">
            <w:pPr>
              <w:jc w:val="center"/>
              <w:rPr>
                <w:rFonts w:ascii="Arial" w:hAnsi="Arial" w:cs="Arial"/>
                <w:sz w:val="20"/>
              </w:rPr>
            </w:pPr>
            <w:r>
              <w:rPr>
                <w:rFonts w:ascii="Arial" w:hAnsi="Arial" w:cs="Arial"/>
                <w:sz w:val="20"/>
              </w:rPr>
              <w:t>s.339</w:t>
            </w:r>
          </w:p>
        </w:tc>
        <w:tc>
          <w:tcPr>
            <w:tcW w:w="7824" w:type="dxa"/>
            <w:tcBorders>
              <w:top w:val="single" w:sz="4" w:space="0" w:color="auto"/>
              <w:left w:val="single" w:sz="4" w:space="0" w:color="auto"/>
              <w:bottom w:val="single" w:sz="4" w:space="0" w:color="auto"/>
            </w:tcBorders>
            <w:shd w:val="clear" w:color="auto" w:fill="DDDDDD"/>
          </w:tcPr>
          <w:p w14:paraId="583DBDDB" w14:textId="1DB738D3"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2</w:t>
            </w:r>
          </w:p>
        </w:tc>
      </w:tr>
      <w:tr w:rsidR="00F46FEB" w14:paraId="001B0FF9" w14:textId="77777777" w:rsidTr="00FE7228">
        <w:tc>
          <w:tcPr>
            <w:tcW w:w="1247" w:type="dxa"/>
            <w:tcBorders>
              <w:top w:val="single" w:sz="4" w:space="0" w:color="auto"/>
              <w:bottom w:val="single" w:sz="4" w:space="0" w:color="auto"/>
              <w:right w:val="single" w:sz="4" w:space="0" w:color="auto"/>
            </w:tcBorders>
          </w:tcPr>
          <w:p w14:paraId="22009FC3" w14:textId="77777777" w:rsidR="00F46FEB" w:rsidRDefault="00F46FEB" w:rsidP="006010C0">
            <w:pPr>
              <w:jc w:val="center"/>
              <w:rPr>
                <w:rFonts w:ascii="Arial" w:hAnsi="Arial" w:cs="Arial"/>
                <w:sz w:val="20"/>
              </w:rPr>
            </w:pPr>
            <w:r>
              <w:rPr>
                <w:rFonts w:ascii="Arial" w:hAnsi="Arial" w:cs="Arial"/>
                <w:sz w:val="20"/>
              </w:rPr>
              <w:t>s.340</w:t>
            </w:r>
          </w:p>
        </w:tc>
        <w:tc>
          <w:tcPr>
            <w:tcW w:w="7824" w:type="dxa"/>
            <w:tcBorders>
              <w:top w:val="single" w:sz="4" w:space="0" w:color="auto"/>
              <w:left w:val="single" w:sz="4" w:space="0" w:color="auto"/>
              <w:bottom w:val="single" w:sz="4" w:space="0" w:color="auto"/>
            </w:tcBorders>
            <w:shd w:val="clear" w:color="auto" w:fill="DDDDDD"/>
          </w:tcPr>
          <w:p w14:paraId="0CFDCFD7" w14:textId="77777777" w:rsidR="00F46FEB" w:rsidRPr="002216EF" w:rsidRDefault="00F46FEB" w:rsidP="002216EF">
            <w:pPr>
              <w:jc w:val="center"/>
              <w:rPr>
                <w:rFonts w:ascii="Arial" w:hAnsi="Arial" w:cs="Arial"/>
                <w:b/>
                <w:bCs/>
                <w:sz w:val="20"/>
              </w:rPr>
            </w:pPr>
            <w:r w:rsidRPr="002216EF">
              <w:rPr>
                <w:rFonts w:ascii="Arial" w:hAnsi="Arial" w:cs="Arial"/>
                <w:b/>
                <w:bCs/>
                <w:sz w:val="20"/>
              </w:rPr>
              <w:t>Definition of ‘sexual history evidence’</w:t>
            </w:r>
          </w:p>
        </w:tc>
      </w:tr>
      <w:tr w:rsidR="00F46FEB" w14:paraId="2A8A138F" w14:textId="77777777" w:rsidTr="00FE7228">
        <w:tc>
          <w:tcPr>
            <w:tcW w:w="1247" w:type="dxa"/>
            <w:tcBorders>
              <w:top w:val="single" w:sz="4" w:space="0" w:color="auto"/>
              <w:bottom w:val="single" w:sz="4" w:space="0" w:color="auto"/>
              <w:right w:val="single" w:sz="4" w:space="0" w:color="auto"/>
            </w:tcBorders>
          </w:tcPr>
          <w:p w14:paraId="29408505" w14:textId="77777777" w:rsidR="00F46FEB" w:rsidRDefault="00F46FEB" w:rsidP="006010C0">
            <w:pPr>
              <w:jc w:val="center"/>
              <w:rPr>
                <w:rFonts w:ascii="Arial" w:hAnsi="Arial" w:cs="Arial"/>
                <w:sz w:val="20"/>
              </w:rPr>
            </w:pPr>
            <w:r>
              <w:rPr>
                <w:rFonts w:ascii="Arial" w:hAnsi="Arial" w:cs="Arial"/>
                <w:sz w:val="20"/>
              </w:rPr>
              <w:t>s.341</w:t>
            </w:r>
          </w:p>
        </w:tc>
        <w:tc>
          <w:tcPr>
            <w:tcW w:w="7824" w:type="dxa"/>
            <w:tcBorders>
              <w:top w:val="single" w:sz="4" w:space="0" w:color="auto"/>
              <w:left w:val="single" w:sz="4" w:space="0" w:color="auto"/>
            </w:tcBorders>
          </w:tcPr>
          <w:p w14:paraId="2B3BE830"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Prohibition on questions and evidence concerning sexual reputation of complainant</w:t>
            </w:r>
          </w:p>
          <w:p w14:paraId="3447335C" w14:textId="77777777" w:rsidR="00F46FEB" w:rsidRDefault="00F46FEB" w:rsidP="006010C0">
            <w:pPr>
              <w:spacing w:after="20"/>
              <w:jc w:val="both"/>
              <w:rPr>
                <w:rFonts w:ascii="Arial" w:hAnsi="Arial" w:cs="Arial"/>
                <w:sz w:val="20"/>
              </w:rPr>
            </w:pPr>
            <w:r w:rsidRPr="000A2C86">
              <w:rPr>
                <w:rFonts w:ascii="Arial" w:hAnsi="Arial" w:cs="Arial"/>
                <w:sz w:val="20"/>
                <w:szCs w:val="20"/>
              </w:rPr>
              <w:t>The court must not allow any questions as to, or admit any evidence of, the sexual reputation of the complainant.</w:t>
            </w:r>
          </w:p>
        </w:tc>
      </w:tr>
      <w:tr w:rsidR="00F46FEB" w14:paraId="4BA2DB97" w14:textId="77777777" w:rsidTr="00FE7228">
        <w:tc>
          <w:tcPr>
            <w:tcW w:w="1247" w:type="dxa"/>
            <w:tcBorders>
              <w:top w:val="single" w:sz="4" w:space="0" w:color="auto"/>
              <w:bottom w:val="single" w:sz="4" w:space="0" w:color="auto"/>
              <w:right w:val="single" w:sz="4" w:space="0" w:color="auto"/>
            </w:tcBorders>
          </w:tcPr>
          <w:p w14:paraId="0E1D2533" w14:textId="77777777" w:rsidR="00F46FEB" w:rsidRDefault="00F46FEB" w:rsidP="006010C0">
            <w:pPr>
              <w:jc w:val="center"/>
              <w:rPr>
                <w:rFonts w:ascii="Arial" w:hAnsi="Arial" w:cs="Arial"/>
                <w:sz w:val="20"/>
              </w:rPr>
            </w:pPr>
            <w:r>
              <w:rPr>
                <w:rFonts w:ascii="Arial" w:hAnsi="Arial" w:cs="Arial"/>
                <w:sz w:val="20"/>
              </w:rPr>
              <w:t>s.342</w:t>
            </w:r>
          </w:p>
        </w:tc>
        <w:tc>
          <w:tcPr>
            <w:tcW w:w="7824" w:type="dxa"/>
            <w:tcBorders>
              <w:left w:val="single" w:sz="4" w:space="0" w:color="auto"/>
            </w:tcBorders>
          </w:tcPr>
          <w:p w14:paraId="0F28DD9D"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Restriction on questions and evidence concerning complainant's sexual activities</w:t>
            </w:r>
          </w:p>
          <w:p w14:paraId="2DCA7979" w14:textId="77777777" w:rsidR="00F46FEB" w:rsidRDefault="00F46FEB" w:rsidP="006010C0">
            <w:pPr>
              <w:spacing w:after="20"/>
              <w:jc w:val="both"/>
              <w:rPr>
                <w:rFonts w:ascii="Arial" w:hAnsi="Arial" w:cs="Arial"/>
                <w:sz w:val="20"/>
              </w:rPr>
            </w:pPr>
            <w:r w:rsidRPr="000A2C86">
              <w:rPr>
                <w:rFonts w:ascii="Arial" w:hAnsi="Arial" w:cs="Arial"/>
                <w:sz w:val="20"/>
                <w:szCs w:val="20"/>
              </w:rPr>
              <w:t>The complainant must not be cross-examined, and</w:t>
            </w:r>
            <w:r>
              <w:rPr>
                <w:rFonts w:ascii="Arial" w:hAnsi="Arial" w:cs="Arial"/>
                <w:sz w:val="20"/>
                <w:szCs w:val="20"/>
              </w:rPr>
              <w:t xml:space="preserve"> </w:t>
            </w:r>
            <w:r w:rsidRPr="000A2C86">
              <w:rPr>
                <w:rFonts w:ascii="Arial" w:hAnsi="Arial" w:cs="Arial"/>
                <w:sz w:val="20"/>
                <w:szCs w:val="20"/>
              </w:rPr>
              <w:t>the court must not admit any evidence, as to</w:t>
            </w:r>
            <w:r>
              <w:rPr>
                <w:rFonts w:ascii="Arial" w:hAnsi="Arial" w:cs="Arial"/>
                <w:sz w:val="20"/>
                <w:szCs w:val="20"/>
              </w:rPr>
              <w:t xml:space="preserve"> </w:t>
            </w:r>
            <w:r w:rsidRPr="000A2C86">
              <w:rPr>
                <w:rFonts w:ascii="Arial" w:hAnsi="Arial" w:cs="Arial"/>
                <w:sz w:val="20"/>
                <w:szCs w:val="20"/>
              </w:rPr>
              <w:t>the sexual activities (whether consensual or non-consensual) of the complainant (other than those to which the charge relates), without the leave of the court.</w:t>
            </w:r>
          </w:p>
        </w:tc>
      </w:tr>
      <w:tr w:rsidR="00F46FEB" w14:paraId="3AEEE3D2" w14:textId="77777777" w:rsidTr="00FE7228">
        <w:tc>
          <w:tcPr>
            <w:tcW w:w="1247" w:type="dxa"/>
            <w:tcBorders>
              <w:top w:val="single" w:sz="4" w:space="0" w:color="auto"/>
              <w:bottom w:val="single" w:sz="4" w:space="0" w:color="auto"/>
              <w:right w:val="single" w:sz="4" w:space="0" w:color="auto"/>
            </w:tcBorders>
          </w:tcPr>
          <w:p w14:paraId="41CF1861" w14:textId="77777777" w:rsidR="00F46FEB" w:rsidRDefault="00F46FEB" w:rsidP="006010C0">
            <w:pPr>
              <w:jc w:val="center"/>
              <w:rPr>
                <w:rFonts w:ascii="Arial" w:hAnsi="Arial" w:cs="Arial"/>
                <w:sz w:val="20"/>
              </w:rPr>
            </w:pPr>
            <w:r>
              <w:rPr>
                <w:rFonts w:ascii="Arial" w:hAnsi="Arial" w:cs="Arial"/>
                <w:sz w:val="20"/>
              </w:rPr>
              <w:t>s.343</w:t>
            </w:r>
          </w:p>
        </w:tc>
        <w:tc>
          <w:tcPr>
            <w:tcW w:w="7824" w:type="dxa"/>
            <w:tcBorders>
              <w:left w:val="single" w:sz="4" w:space="0" w:color="auto"/>
            </w:tcBorders>
          </w:tcPr>
          <w:p w14:paraId="40E729FD"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Admissibility of sexual history evidence</w:t>
            </w:r>
          </w:p>
          <w:p w14:paraId="7F42A633" w14:textId="77777777" w:rsidR="00F46FEB" w:rsidRDefault="00F46FEB" w:rsidP="006010C0">
            <w:pPr>
              <w:spacing w:after="20"/>
              <w:jc w:val="both"/>
              <w:rPr>
                <w:rFonts w:ascii="Arial" w:hAnsi="Arial" w:cs="Arial"/>
                <w:sz w:val="20"/>
              </w:rPr>
            </w:pPr>
            <w:r w:rsidRPr="000A2C86">
              <w:rPr>
                <w:rFonts w:ascii="Arial" w:hAnsi="Arial" w:cs="Arial"/>
                <w:sz w:val="20"/>
                <w:szCs w:val="20"/>
              </w:rPr>
              <w:t>Sexual history evidence is not admissible to support an inference that the complainant is the type of person who is more likely to have consented to the sexual activity to which the charge relates.</w:t>
            </w:r>
          </w:p>
        </w:tc>
      </w:tr>
      <w:tr w:rsidR="00F46FEB" w14:paraId="76F00BAD" w14:textId="77777777" w:rsidTr="00FE7228">
        <w:tc>
          <w:tcPr>
            <w:tcW w:w="1247" w:type="dxa"/>
            <w:tcBorders>
              <w:top w:val="single" w:sz="4" w:space="0" w:color="auto"/>
              <w:bottom w:val="single" w:sz="4" w:space="0" w:color="auto"/>
              <w:right w:val="single" w:sz="4" w:space="0" w:color="auto"/>
            </w:tcBorders>
          </w:tcPr>
          <w:p w14:paraId="79A6BB57" w14:textId="77777777" w:rsidR="00F46FEB" w:rsidRDefault="00F46FEB" w:rsidP="006010C0">
            <w:pPr>
              <w:jc w:val="center"/>
              <w:rPr>
                <w:rFonts w:ascii="Arial" w:hAnsi="Arial" w:cs="Arial"/>
                <w:sz w:val="20"/>
              </w:rPr>
            </w:pPr>
            <w:r>
              <w:rPr>
                <w:rFonts w:ascii="Arial" w:hAnsi="Arial" w:cs="Arial"/>
                <w:sz w:val="20"/>
              </w:rPr>
              <w:t>s.344</w:t>
            </w:r>
          </w:p>
        </w:tc>
        <w:tc>
          <w:tcPr>
            <w:tcW w:w="7824" w:type="dxa"/>
            <w:tcBorders>
              <w:left w:val="single" w:sz="4" w:space="0" w:color="auto"/>
            </w:tcBorders>
          </w:tcPr>
          <w:p w14:paraId="0C6DE076"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under s.342 CPA</w:t>
            </w:r>
          </w:p>
          <w:p w14:paraId="6E48B90D" w14:textId="38630A33" w:rsidR="00F46FEB" w:rsidRDefault="00F46FEB" w:rsidP="006010C0">
            <w:pPr>
              <w:jc w:val="both"/>
              <w:rPr>
                <w:rFonts w:ascii="Arial" w:hAnsi="Arial" w:cs="Arial"/>
                <w:sz w:val="20"/>
              </w:rPr>
            </w:pPr>
            <w:r>
              <w:rPr>
                <w:rFonts w:ascii="Arial" w:hAnsi="Arial" w:cs="Arial"/>
                <w:sz w:val="20"/>
              </w:rPr>
              <w:t xml:space="preserve">Section 344 sets out the filing </w:t>
            </w:r>
            <w:r w:rsidR="006A48E1">
              <w:rPr>
                <w:rFonts w:ascii="Arial" w:hAnsi="Arial" w:cs="Arial"/>
                <w:sz w:val="20"/>
              </w:rPr>
              <w:t xml:space="preserve">and service </w:t>
            </w:r>
            <w:r>
              <w:rPr>
                <w:rFonts w:ascii="Arial" w:hAnsi="Arial" w:cs="Arial"/>
                <w:sz w:val="20"/>
              </w:rPr>
              <w:t>requirements for an application for leave under s.342.</w:t>
            </w:r>
          </w:p>
        </w:tc>
      </w:tr>
      <w:tr w:rsidR="00F46FEB" w14:paraId="389A023E" w14:textId="77777777" w:rsidTr="00FE7228">
        <w:tc>
          <w:tcPr>
            <w:tcW w:w="1247" w:type="dxa"/>
            <w:tcBorders>
              <w:top w:val="single" w:sz="4" w:space="0" w:color="auto"/>
              <w:bottom w:val="single" w:sz="4" w:space="0" w:color="auto"/>
              <w:right w:val="single" w:sz="4" w:space="0" w:color="auto"/>
            </w:tcBorders>
          </w:tcPr>
          <w:p w14:paraId="71FCD1AC" w14:textId="77777777" w:rsidR="00F46FEB" w:rsidRDefault="00F46FEB" w:rsidP="006010C0">
            <w:pPr>
              <w:jc w:val="center"/>
              <w:rPr>
                <w:rFonts w:ascii="Arial" w:hAnsi="Arial" w:cs="Arial"/>
                <w:sz w:val="20"/>
              </w:rPr>
            </w:pPr>
            <w:r>
              <w:rPr>
                <w:rFonts w:ascii="Arial" w:hAnsi="Arial" w:cs="Arial"/>
                <w:sz w:val="20"/>
              </w:rPr>
              <w:t>s.345</w:t>
            </w:r>
          </w:p>
        </w:tc>
        <w:tc>
          <w:tcPr>
            <w:tcW w:w="7824" w:type="dxa"/>
            <w:tcBorders>
              <w:left w:val="single" w:sz="4" w:space="0" w:color="auto"/>
            </w:tcBorders>
          </w:tcPr>
          <w:p w14:paraId="0B04ADFF"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out of time</w:t>
            </w:r>
          </w:p>
          <w:p w14:paraId="4D93C283" w14:textId="77777777" w:rsidR="00F46FEB" w:rsidRDefault="00F46FEB" w:rsidP="006010C0">
            <w:pPr>
              <w:spacing w:after="20"/>
              <w:jc w:val="both"/>
              <w:rPr>
                <w:rFonts w:ascii="Arial" w:hAnsi="Arial" w:cs="Arial"/>
                <w:sz w:val="20"/>
              </w:rPr>
            </w:pPr>
            <w:r w:rsidRPr="000A2C86">
              <w:rPr>
                <w:rFonts w:ascii="Arial" w:hAnsi="Arial" w:cs="Arial"/>
                <w:sz w:val="20"/>
                <w:szCs w:val="20"/>
              </w:rPr>
              <w:t>If it is in the interests of justice to do so, the court may hear and determine an application for leave under section 342 after the expiry of the relevant time limit specified in section 344.</w:t>
            </w:r>
          </w:p>
        </w:tc>
      </w:tr>
      <w:tr w:rsidR="00F46FEB" w14:paraId="69F4CB99" w14:textId="77777777" w:rsidTr="00FE7228">
        <w:tc>
          <w:tcPr>
            <w:tcW w:w="1247" w:type="dxa"/>
            <w:tcBorders>
              <w:top w:val="single" w:sz="4" w:space="0" w:color="auto"/>
              <w:bottom w:val="single" w:sz="4" w:space="0" w:color="auto"/>
              <w:right w:val="single" w:sz="4" w:space="0" w:color="auto"/>
            </w:tcBorders>
          </w:tcPr>
          <w:p w14:paraId="0754D886" w14:textId="77777777" w:rsidR="00F46FEB" w:rsidRDefault="00F46FEB" w:rsidP="006010C0">
            <w:pPr>
              <w:jc w:val="center"/>
              <w:rPr>
                <w:rFonts w:ascii="Arial" w:hAnsi="Arial" w:cs="Arial"/>
                <w:sz w:val="20"/>
              </w:rPr>
            </w:pPr>
            <w:r>
              <w:rPr>
                <w:rFonts w:ascii="Arial" w:hAnsi="Arial" w:cs="Arial"/>
                <w:sz w:val="20"/>
              </w:rPr>
              <w:t>s.346</w:t>
            </w:r>
          </w:p>
        </w:tc>
        <w:tc>
          <w:tcPr>
            <w:tcW w:w="7824" w:type="dxa"/>
            <w:tcBorders>
              <w:left w:val="single" w:sz="4" w:space="0" w:color="auto"/>
              <w:bottom w:val="single" w:sz="4" w:space="0" w:color="auto"/>
            </w:tcBorders>
          </w:tcPr>
          <w:p w14:paraId="5D03318B"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Contents of application for leave under s.342 CPA</w:t>
            </w:r>
          </w:p>
          <w:p w14:paraId="5E90896C" w14:textId="77777777" w:rsidR="00F46FEB" w:rsidRDefault="00F46FEB" w:rsidP="006010C0">
            <w:pPr>
              <w:jc w:val="both"/>
              <w:rPr>
                <w:rFonts w:ascii="Arial" w:hAnsi="Arial" w:cs="Arial"/>
                <w:sz w:val="20"/>
              </w:rPr>
            </w:pPr>
            <w:r w:rsidRPr="000A2C86">
              <w:rPr>
                <w:rFonts w:ascii="Arial" w:hAnsi="Arial" w:cs="Arial"/>
                <w:sz w:val="20"/>
                <w:szCs w:val="20"/>
              </w:rPr>
              <w:t>An application for leave under section 342 must be in writing and set out the matters required by subsection (2) or (3), as the case requires.</w:t>
            </w:r>
          </w:p>
        </w:tc>
      </w:tr>
      <w:tr w:rsidR="00FE7228" w14:paraId="79C6C347" w14:textId="77777777" w:rsidTr="006010C0">
        <w:tc>
          <w:tcPr>
            <w:tcW w:w="1247" w:type="dxa"/>
            <w:vMerge w:val="restart"/>
            <w:tcBorders>
              <w:top w:val="single" w:sz="4" w:space="0" w:color="auto"/>
              <w:right w:val="single" w:sz="4" w:space="0" w:color="auto"/>
            </w:tcBorders>
          </w:tcPr>
          <w:p w14:paraId="6F33A4D7" w14:textId="77777777" w:rsidR="00FE7228" w:rsidRDefault="00FE7228" w:rsidP="006010C0">
            <w:pPr>
              <w:jc w:val="center"/>
              <w:rPr>
                <w:rFonts w:ascii="Arial" w:hAnsi="Arial" w:cs="Arial"/>
                <w:sz w:val="20"/>
              </w:rPr>
            </w:pPr>
            <w:r>
              <w:rPr>
                <w:rFonts w:ascii="Arial" w:hAnsi="Arial" w:cs="Arial"/>
                <w:sz w:val="20"/>
              </w:rPr>
              <w:t>s.347</w:t>
            </w:r>
          </w:p>
        </w:tc>
        <w:tc>
          <w:tcPr>
            <w:tcW w:w="7824" w:type="dxa"/>
            <w:tcBorders>
              <w:top w:val="single" w:sz="4" w:space="0" w:color="auto"/>
              <w:left w:val="single" w:sz="4" w:space="0" w:color="auto"/>
              <w:bottom w:val="single" w:sz="4" w:space="0" w:color="auto"/>
            </w:tcBorders>
            <w:shd w:val="clear" w:color="auto" w:fill="DDDDDD"/>
          </w:tcPr>
          <w:p w14:paraId="2B47BA67" w14:textId="77777777" w:rsidR="00FE7228" w:rsidRDefault="00FE7228" w:rsidP="006010C0">
            <w:pPr>
              <w:jc w:val="center"/>
              <w:rPr>
                <w:rFonts w:ascii="Arial" w:hAnsi="Arial" w:cs="Arial"/>
                <w:sz w:val="20"/>
              </w:rPr>
            </w:pPr>
            <w:r w:rsidRPr="000A2C86">
              <w:rPr>
                <w:rFonts w:ascii="Arial" w:hAnsi="Arial" w:cs="Arial"/>
                <w:b/>
                <w:sz w:val="20"/>
                <w:szCs w:val="20"/>
              </w:rPr>
              <w:t>Waiver of requirement to apply for leave in writing</w:t>
            </w:r>
          </w:p>
        </w:tc>
      </w:tr>
      <w:tr w:rsidR="00FE7228" w14:paraId="426292BF" w14:textId="77777777" w:rsidTr="00FE7228">
        <w:tc>
          <w:tcPr>
            <w:tcW w:w="1247" w:type="dxa"/>
            <w:vMerge/>
            <w:tcBorders>
              <w:bottom w:val="single" w:sz="4" w:space="0" w:color="auto"/>
              <w:right w:val="single" w:sz="4" w:space="0" w:color="auto"/>
            </w:tcBorders>
          </w:tcPr>
          <w:p w14:paraId="593E6E08" w14:textId="77777777" w:rsidR="00FE7228" w:rsidRDefault="00FE7228" w:rsidP="006010C0">
            <w:pPr>
              <w:jc w:val="center"/>
              <w:rPr>
                <w:rFonts w:ascii="Arial" w:hAnsi="Arial" w:cs="Arial"/>
                <w:sz w:val="20"/>
              </w:rPr>
            </w:pPr>
          </w:p>
        </w:tc>
        <w:tc>
          <w:tcPr>
            <w:tcW w:w="7824" w:type="dxa"/>
            <w:tcBorders>
              <w:top w:val="single" w:sz="4" w:space="0" w:color="auto"/>
              <w:left w:val="single" w:sz="4" w:space="0" w:color="auto"/>
            </w:tcBorders>
          </w:tcPr>
          <w:p w14:paraId="4B1010D5" w14:textId="77777777" w:rsidR="00FE7228" w:rsidRDefault="00FE7228" w:rsidP="006010C0">
            <w:pPr>
              <w:jc w:val="both"/>
              <w:rPr>
                <w:rFonts w:ascii="Arial" w:hAnsi="Arial" w:cs="Arial"/>
                <w:sz w:val="20"/>
              </w:rPr>
            </w:pPr>
            <w:r w:rsidRPr="000A2C86">
              <w:rPr>
                <w:rFonts w:ascii="Arial" w:hAnsi="Arial" w:cs="Arial"/>
                <w:sz w:val="20"/>
                <w:szCs w:val="20"/>
              </w:rPr>
              <w:t>If it is in the interests of justice to do so, the court may waive the requirement that an application for leave under section 342 be made in writing.</w:t>
            </w:r>
          </w:p>
        </w:tc>
      </w:tr>
      <w:tr w:rsidR="00F46FEB" w14:paraId="251DE651" w14:textId="77777777" w:rsidTr="00FE7228">
        <w:tc>
          <w:tcPr>
            <w:tcW w:w="1247" w:type="dxa"/>
            <w:tcBorders>
              <w:top w:val="single" w:sz="4" w:space="0" w:color="auto"/>
              <w:bottom w:val="single" w:sz="4" w:space="0" w:color="auto"/>
              <w:right w:val="single" w:sz="4" w:space="0" w:color="auto"/>
            </w:tcBorders>
          </w:tcPr>
          <w:p w14:paraId="5AA47B48" w14:textId="77777777" w:rsidR="00F46FEB" w:rsidRDefault="00F46FEB" w:rsidP="006010C0">
            <w:pPr>
              <w:jc w:val="center"/>
              <w:rPr>
                <w:rFonts w:ascii="Arial" w:hAnsi="Arial" w:cs="Arial"/>
                <w:sz w:val="20"/>
              </w:rPr>
            </w:pPr>
            <w:r>
              <w:rPr>
                <w:rFonts w:ascii="Arial" w:hAnsi="Arial" w:cs="Arial"/>
                <w:sz w:val="20"/>
              </w:rPr>
              <w:t>s.348</w:t>
            </w:r>
          </w:p>
        </w:tc>
        <w:tc>
          <w:tcPr>
            <w:tcW w:w="7824" w:type="dxa"/>
            <w:tcBorders>
              <w:left w:val="single" w:sz="4" w:space="0" w:color="auto"/>
              <w:bottom w:val="single" w:sz="4" w:space="0" w:color="auto"/>
            </w:tcBorders>
          </w:tcPr>
          <w:p w14:paraId="731A6773"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Hearing of application for leave under s.342 CPA</w:t>
            </w:r>
          </w:p>
          <w:p w14:paraId="56FF8F00" w14:textId="77777777" w:rsidR="00F46FEB" w:rsidRDefault="00F46FEB" w:rsidP="006010C0">
            <w:pPr>
              <w:spacing w:after="20"/>
              <w:jc w:val="both"/>
              <w:rPr>
                <w:rFonts w:ascii="Arial" w:hAnsi="Arial" w:cs="Arial"/>
                <w:sz w:val="20"/>
              </w:rPr>
            </w:pPr>
            <w:r w:rsidRPr="000A2C86">
              <w:rPr>
                <w:rFonts w:ascii="Arial" w:hAnsi="Arial" w:cs="Arial"/>
                <w:sz w:val="20"/>
                <w:szCs w:val="20"/>
              </w:rPr>
              <w:t>An application for leave under section 342 must be heard in the absence of the jury (if any) and, if the accused so requests, in the absence of the complainant.</w:t>
            </w:r>
          </w:p>
        </w:tc>
      </w:tr>
      <w:tr w:rsidR="00F46FEB" w14:paraId="05BE32E8" w14:textId="77777777" w:rsidTr="00FE7228">
        <w:trPr>
          <w:trHeight w:val="1703"/>
        </w:trPr>
        <w:tc>
          <w:tcPr>
            <w:tcW w:w="1247" w:type="dxa"/>
            <w:vMerge w:val="restart"/>
            <w:tcBorders>
              <w:top w:val="single" w:sz="4" w:space="0" w:color="auto"/>
              <w:bottom w:val="nil"/>
              <w:right w:val="single" w:sz="4" w:space="0" w:color="auto"/>
            </w:tcBorders>
          </w:tcPr>
          <w:p w14:paraId="071979CF" w14:textId="77777777" w:rsidR="00F46FEB" w:rsidRDefault="00F46FEB" w:rsidP="006010C0">
            <w:pPr>
              <w:jc w:val="center"/>
              <w:rPr>
                <w:rFonts w:ascii="Arial" w:hAnsi="Arial" w:cs="Arial"/>
                <w:sz w:val="20"/>
              </w:rPr>
            </w:pPr>
            <w:r>
              <w:rPr>
                <w:rFonts w:ascii="Arial" w:hAnsi="Arial" w:cs="Arial"/>
                <w:sz w:val="20"/>
              </w:rPr>
              <w:t>s.349</w:t>
            </w:r>
          </w:p>
        </w:tc>
        <w:tc>
          <w:tcPr>
            <w:tcW w:w="7824" w:type="dxa"/>
            <w:tcBorders>
              <w:left w:val="single" w:sz="4" w:space="0" w:color="auto"/>
            </w:tcBorders>
          </w:tcPr>
          <w:p w14:paraId="7762BF81"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both"/>
              <w:rPr>
                <w:rFonts w:ascii="Arial" w:hAnsi="Arial" w:cs="Arial"/>
                <w:sz w:val="20"/>
                <w:szCs w:val="20"/>
              </w:rPr>
            </w:pPr>
            <w:r>
              <w:rPr>
                <w:rFonts w:ascii="Arial" w:hAnsi="Arial" w:cs="Arial"/>
                <w:b/>
                <w:sz w:val="20"/>
                <w:szCs w:val="20"/>
              </w:rPr>
              <w:t>Determination of application for leave under s.342 CPA during summary hearing, committal proceeding or trial</w:t>
            </w:r>
          </w:p>
          <w:p w14:paraId="2259B8BE" w14:textId="77777777" w:rsidR="00F46FEB" w:rsidRPr="000A2C86" w:rsidRDefault="00F46FEB" w:rsidP="006010C0">
            <w:pPr>
              <w:jc w:val="both"/>
              <w:rPr>
                <w:rFonts w:ascii="Arial" w:hAnsi="Arial" w:cs="Arial"/>
                <w:sz w:val="20"/>
                <w:szCs w:val="20"/>
              </w:rPr>
            </w:pPr>
            <w:r w:rsidRPr="000A2C86">
              <w:rPr>
                <w:rFonts w:ascii="Arial" w:hAnsi="Arial" w:cs="Arial"/>
                <w:sz w:val="20"/>
                <w:szCs w:val="20"/>
              </w:rPr>
              <w:t>In the course of a summary hearing, committal proceeding or trial, the court must not grant leave under section 342 unless it is satisfied that the evidence has substantial relevance to a fact in issue and that it is in the interests of justice to allow the cross-examination or to admit the evidence, having regard to—</w:t>
            </w:r>
          </w:p>
          <w:p w14:paraId="671114AE"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whether the probative value of the evidence outweighs the distress, humiliation and embarrassment that the complainant may experience as a result of the cross-examination or the admission of the evidence, in view of the age of the complainant and the number and nature of the questions that the complainant is likely to be asked; and</w:t>
            </w:r>
          </w:p>
          <w:p w14:paraId="1553583E"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the risk that the evidence may arouse in the jury discriminatory belief or bias, prejudice, sympathy or hostility; and</w:t>
            </w:r>
          </w:p>
          <w:p w14:paraId="396CEDC2"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(c)</w:t>
            </w:r>
            <w:r w:rsidRPr="000A2C86">
              <w:rPr>
                <w:rFonts w:ascii="Arial" w:hAnsi="Arial" w:cs="Arial"/>
                <w:sz w:val="20"/>
                <w:szCs w:val="20"/>
              </w:rPr>
              <w:tab/>
              <w:t>the need to respect the complainant's personal dignity and privacy; and</w:t>
            </w:r>
          </w:p>
          <w:p w14:paraId="22E9FDE6" w14:textId="77777777" w:rsidR="00F46FEB" w:rsidRDefault="00F46FEB" w:rsidP="006010C0">
            <w:pPr>
              <w:ind w:left="454" w:hanging="454"/>
              <w:jc w:val="both"/>
              <w:rPr>
                <w:rFonts w:ascii="Arial" w:hAnsi="Arial" w:cs="Arial"/>
                <w:sz w:val="20"/>
              </w:rPr>
            </w:pPr>
            <w:r w:rsidRPr="000A2C86">
              <w:rPr>
                <w:rFonts w:ascii="Arial" w:hAnsi="Arial" w:cs="Arial"/>
                <w:sz w:val="20"/>
                <w:szCs w:val="20"/>
              </w:rPr>
              <w:t>(d)</w:t>
            </w:r>
            <w:r w:rsidRPr="000A2C86">
              <w:rPr>
                <w:rFonts w:ascii="Arial" w:hAnsi="Arial" w:cs="Arial"/>
                <w:sz w:val="20"/>
                <w:szCs w:val="20"/>
              </w:rPr>
              <w:tab/>
              <w:t>the right of the accused to fully answer and defend the charge.</w:t>
            </w:r>
          </w:p>
        </w:tc>
      </w:tr>
      <w:tr w:rsidR="00F46FEB" w14:paraId="23F2F360" w14:textId="77777777" w:rsidTr="00FE7228">
        <w:tc>
          <w:tcPr>
            <w:tcW w:w="1247" w:type="dxa"/>
            <w:vMerge/>
            <w:tcBorders>
              <w:top w:val="nil"/>
              <w:bottom w:val="single" w:sz="8" w:space="0" w:color="auto"/>
              <w:right w:val="single" w:sz="4" w:space="0" w:color="auto"/>
            </w:tcBorders>
          </w:tcPr>
          <w:p w14:paraId="6CB3934B" w14:textId="77777777" w:rsidR="00F46FEB" w:rsidRDefault="00F46FEB" w:rsidP="006010C0">
            <w:pPr>
              <w:jc w:val="center"/>
              <w:rPr>
                <w:rFonts w:ascii="Arial" w:hAnsi="Arial" w:cs="Arial"/>
                <w:sz w:val="20"/>
              </w:rPr>
            </w:pPr>
          </w:p>
        </w:tc>
        <w:tc>
          <w:tcPr>
            <w:tcW w:w="7824" w:type="dxa"/>
            <w:tcBorders>
              <w:left w:val="single" w:sz="4" w:space="0" w:color="auto"/>
              <w:bottom w:val="single" w:sz="8" w:space="0" w:color="auto"/>
            </w:tcBorders>
            <w:shd w:val="clear" w:color="auto" w:fill="DDDDDD"/>
          </w:tcPr>
          <w:p w14:paraId="40269A1C" w14:textId="77777777" w:rsidR="00F46FEB" w:rsidRPr="009F1124" w:rsidRDefault="00F46FEB" w:rsidP="006010C0">
            <w:pPr>
              <w:jc w:val="both"/>
              <w:rPr>
                <w:rFonts w:ascii="Arial" w:hAnsi="Arial" w:cs="Arial"/>
                <w:bCs/>
                <w:sz w:val="20"/>
                <w:szCs w:val="20"/>
              </w:rPr>
            </w:pPr>
            <w:r w:rsidRPr="004931B8">
              <w:rPr>
                <w:rFonts w:ascii="Arial" w:hAnsi="Arial" w:cs="Arial"/>
                <w:bCs/>
                <w:sz w:val="20"/>
                <w:szCs w:val="20"/>
              </w:rPr>
              <w:t xml:space="preserve">In </w:t>
            </w:r>
            <w:r w:rsidRPr="00804F02">
              <w:rPr>
                <w:rFonts w:ascii="Arial" w:hAnsi="Arial" w:cs="Arial"/>
                <w:bCs/>
                <w:i/>
                <w:iCs/>
                <w:sz w:val="20"/>
                <w:szCs w:val="20"/>
              </w:rPr>
              <w:t>Bloomfield (a pseudonym) v The King</w:t>
            </w:r>
            <w:r>
              <w:rPr>
                <w:rFonts w:ascii="Arial" w:hAnsi="Arial" w:cs="Arial"/>
                <w:bCs/>
                <w:sz w:val="20"/>
                <w:szCs w:val="20"/>
              </w:rPr>
              <w:t xml:space="preserve"> [2025] VSCA 98 the Court of Appeal allowed an interlocutory appeal against a decision of the trial judge refusing leave to cross-examine the complainant about sexual activities where the complainant had made prior complaints of sexual abuse in circumstances similar to the present complaint. The trial judge had not been satisfied that the evidence of prior complaints was substantially relevant to a fact in issue. In granting leave to cross-examine the Court of Appeal held that the complaints were sufficiently similar to permit inferential reasoning and it was in the interests of justice to allow the applicant to cross-examine the complainant about the prior complaints.</w:t>
            </w:r>
          </w:p>
        </w:tc>
      </w:tr>
      <w:tr w:rsidR="00F46FEB" w14:paraId="0C830CDF" w14:textId="77777777" w:rsidTr="00FE7228">
        <w:tc>
          <w:tcPr>
            <w:tcW w:w="1247" w:type="dxa"/>
            <w:tcBorders>
              <w:top w:val="single" w:sz="8" w:space="0" w:color="auto"/>
              <w:bottom w:val="single" w:sz="4" w:space="0" w:color="auto"/>
              <w:right w:val="single" w:sz="8" w:space="0" w:color="auto"/>
            </w:tcBorders>
          </w:tcPr>
          <w:p w14:paraId="3A6F5D20" w14:textId="77777777" w:rsidR="00F46FEB" w:rsidRDefault="00F46FEB" w:rsidP="006010C0">
            <w:pPr>
              <w:jc w:val="center"/>
              <w:rPr>
                <w:rFonts w:ascii="Arial" w:hAnsi="Arial" w:cs="Arial"/>
                <w:sz w:val="20"/>
              </w:rPr>
            </w:pPr>
            <w:r>
              <w:rPr>
                <w:rFonts w:ascii="Arial" w:hAnsi="Arial" w:cs="Arial"/>
                <w:sz w:val="20"/>
              </w:rPr>
              <w:lastRenderedPageBreak/>
              <w:t>s.350</w:t>
            </w:r>
          </w:p>
        </w:tc>
        <w:tc>
          <w:tcPr>
            <w:tcW w:w="7824" w:type="dxa"/>
            <w:tcBorders>
              <w:top w:val="single" w:sz="8" w:space="0" w:color="auto"/>
              <w:left w:val="single" w:sz="8" w:space="0" w:color="auto"/>
              <w:bottom w:val="single" w:sz="4" w:space="0" w:color="auto"/>
            </w:tcBorders>
          </w:tcPr>
          <w:p w14:paraId="5D5477C1" w14:textId="77777777" w:rsidR="00F46FEB" w:rsidRPr="0097498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Determination of application for leave under s.342 CPA during sentencing hearing</w:t>
            </w:r>
          </w:p>
        </w:tc>
      </w:tr>
      <w:tr w:rsidR="00F46FEB" w14:paraId="32FCB09B" w14:textId="77777777" w:rsidTr="00FE7228">
        <w:tc>
          <w:tcPr>
            <w:tcW w:w="1247" w:type="dxa"/>
            <w:tcBorders>
              <w:top w:val="single" w:sz="4" w:space="0" w:color="auto"/>
              <w:bottom w:val="single" w:sz="4" w:space="0" w:color="auto"/>
              <w:right w:val="single" w:sz="4" w:space="0" w:color="auto"/>
            </w:tcBorders>
          </w:tcPr>
          <w:p w14:paraId="1A916DC1" w14:textId="77777777" w:rsidR="00F46FEB" w:rsidRDefault="00F46FEB" w:rsidP="006010C0">
            <w:pPr>
              <w:jc w:val="center"/>
              <w:rPr>
                <w:rFonts w:ascii="Arial" w:hAnsi="Arial" w:cs="Arial"/>
                <w:sz w:val="20"/>
              </w:rPr>
            </w:pPr>
            <w:r>
              <w:rPr>
                <w:rFonts w:ascii="Arial" w:hAnsi="Arial" w:cs="Arial"/>
                <w:sz w:val="20"/>
              </w:rPr>
              <w:t>s.351</w:t>
            </w:r>
          </w:p>
        </w:tc>
        <w:tc>
          <w:tcPr>
            <w:tcW w:w="7824" w:type="dxa"/>
            <w:tcBorders>
              <w:top w:val="single" w:sz="4" w:space="0" w:color="auto"/>
              <w:left w:val="single" w:sz="4" w:space="0" w:color="auto"/>
              <w:bottom w:val="single" w:sz="4" w:space="0" w:color="auto"/>
            </w:tcBorders>
          </w:tcPr>
          <w:p w14:paraId="582C3511" w14:textId="77777777" w:rsidR="00F46FEB" w:rsidRPr="0097498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Court must state reasons if leave under s.342 CPA granted</w:t>
            </w:r>
          </w:p>
        </w:tc>
      </w:tr>
      <w:tr w:rsidR="00F46FEB" w14:paraId="6DA6AB8E" w14:textId="77777777" w:rsidTr="00FE7228">
        <w:tblPrEx>
          <w:tblBorders>
            <w:insideH w:val="single" w:sz="4" w:space="0" w:color="auto"/>
            <w:insideV w:val="single" w:sz="4" w:space="0" w:color="auto"/>
          </w:tblBorders>
        </w:tblPrEx>
        <w:tc>
          <w:tcPr>
            <w:tcW w:w="1247" w:type="dxa"/>
            <w:tcBorders>
              <w:top w:val="single" w:sz="4" w:space="0" w:color="auto"/>
            </w:tcBorders>
          </w:tcPr>
          <w:p w14:paraId="23100593" w14:textId="77777777" w:rsidR="00F46FEB" w:rsidRDefault="00F46FEB" w:rsidP="006010C0">
            <w:pPr>
              <w:jc w:val="center"/>
              <w:rPr>
                <w:rFonts w:ascii="Arial" w:hAnsi="Arial" w:cs="Arial"/>
                <w:sz w:val="20"/>
              </w:rPr>
            </w:pPr>
            <w:r>
              <w:rPr>
                <w:rFonts w:ascii="Arial" w:hAnsi="Arial" w:cs="Arial"/>
                <w:sz w:val="20"/>
              </w:rPr>
              <w:t>s.352</w:t>
            </w:r>
          </w:p>
        </w:tc>
        <w:tc>
          <w:tcPr>
            <w:tcW w:w="7824" w:type="dxa"/>
          </w:tcPr>
          <w:p w14:paraId="38B29505"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Limitation on sexual history evidence</w:t>
            </w:r>
          </w:p>
          <w:p w14:paraId="360BB8A2" w14:textId="77777777" w:rsidR="00F46FEB" w:rsidRPr="000A2C86" w:rsidRDefault="00F46FEB" w:rsidP="006010C0">
            <w:pPr>
              <w:jc w:val="both"/>
              <w:rPr>
                <w:rFonts w:ascii="Arial" w:hAnsi="Arial" w:cs="Arial"/>
                <w:sz w:val="20"/>
                <w:szCs w:val="20"/>
              </w:rPr>
            </w:pPr>
            <w:r w:rsidRPr="000A2C86">
              <w:rPr>
                <w:rFonts w:ascii="Arial" w:hAnsi="Arial" w:cs="Arial"/>
                <w:sz w:val="20"/>
                <w:szCs w:val="20"/>
              </w:rPr>
              <w:t>Sexual history evidence is not to be regarded—</w:t>
            </w:r>
          </w:p>
          <w:p w14:paraId="7AB6F431"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as having a substantial relevance to the facts in issue by virtue of any inferences it may raise as to general disposition; or</w:t>
            </w:r>
          </w:p>
          <w:p w14:paraId="57C2F7BB" w14:textId="77777777" w:rsidR="00F46FEB" w:rsidRPr="009F1124" w:rsidRDefault="00F46FEB" w:rsidP="006010C0">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as being proper matter for cross-examination as to credit unless, because of special circumstances, it would be likely materially to impair confidence in the reliability of the evidence of the complainant.</w:t>
            </w:r>
          </w:p>
        </w:tc>
      </w:tr>
    </w:tbl>
    <w:p w14:paraId="2E1052A2"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22A79AC9" w14:textId="77777777" w:rsidTr="006010C0">
        <w:tc>
          <w:tcPr>
            <w:tcW w:w="9071" w:type="dxa"/>
            <w:gridSpan w:val="2"/>
            <w:shd w:val="clear" w:color="auto" w:fill="000000" w:themeFill="text1"/>
          </w:tcPr>
          <w:p w14:paraId="32931BB1" w14:textId="178466AC" w:rsidR="00707E1B" w:rsidRDefault="00707E1B"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3</w:t>
            </w:r>
          </w:p>
          <w:p w14:paraId="5F56DEA0" w14:textId="67989388" w:rsidR="00707E1B" w:rsidRPr="002251EE" w:rsidRDefault="00B311A4" w:rsidP="006010C0">
            <w:pPr>
              <w:jc w:val="center"/>
              <w:rPr>
                <w:rFonts w:ascii="Arial" w:hAnsi="Arial" w:cs="Arial"/>
                <w:b/>
                <w:bCs/>
                <w:sz w:val="20"/>
              </w:rPr>
            </w:pPr>
            <w:r>
              <w:rPr>
                <w:rFonts w:ascii="Arial" w:hAnsi="Arial" w:cs="Arial"/>
                <w:b/>
                <w:bCs/>
                <w:sz w:val="20"/>
              </w:rPr>
              <w:t xml:space="preserve">Cross-examination of </w:t>
            </w:r>
            <w:r w:rsidR="00707E1B">
              <w:rPr>
                <w:rFonts w:ascii="Arial" w:hAnsi="Arial" w:cs="Arial"/>
                <w:b/>
                <w:bCs/>
                <w:sz w:val="20"/>
              </w:rPr>
              <w:t xml:space="preserve"> a protected witness in a criminal proceeding that relates (wholly or partly) to a</w:t>
            </w:r>
            <w:r>
              <w:rPr>
                <w:rFonts w:ascii="Arial" w:hAnsi="Arial" w:cs="Arial"/>
                <w:b/>
                <w:bCs/>
                <w:sz w:val="20"/>
              </w:rPr>
              <w:t xml:space="preserve"> </w:t>
            </w:r>
            <w:r w:rsidR="00707E1B">
              <w:rPr>
                <w:rFonts w:ascii="Arial" w:hAnsi="Arial" w:cs="Arial"/>
                <w:b/>
                <w:bCs/>
                <w:sz w:val="20"/>
              </w:rPr>
              <w:t>charge for a sexual offence or an offence where the offending conduct consists of family violence within the meaning of the</w:t>
            </w:r>
            <w:r>
              <w:rPr>
                <w:rFonts w:ascii="Arial" w:hAnsi="Arial" w:cs="Arial"/>
                <w:b/>
                <w:bCs/>
                <w:sz w:val="20"/>
              </w:rPr>
              <w:t xml:space="preserve"> </w:t>
            </w:r>
            <w:r w:rsidR="00707E1B" w:rsidRPr="008F23CD">
              <w:rPr>
                <w:rFonts w:ascii="Arial" w:hAnsi="Arial" w:cs="Arial"/>
                <w:b/>
                <w:bCs/>
                <w:i/>
                <w:iCs/>
                <w:sz w:val="20"/>
              </w:rPr>
              <w:t>Family</w:t>
            </w:r>
            <w:r>
              <w:rPr>
                <w:rFonts w:ascii="Arial" w:hAnsi="Arial" w:cs="Arial"/>
                <w:b/>
                <w:bCs/>
                <w:i/>
                <w:iCs/>
                <w:sz w:val="20"/>
              </w:rPr>
              <w:t xml:space="preserve"> </w:t>
            </w:r>
            <w:r w:rsidR="00707E1B" w:rsidRPr="008F23CD">
              <w:rPr>
                <w:rFonts w:ascii="Arial" w:hAnsi="Arial" w:cs="Arial"/>
                <w:b/>
                <w:bCs/>
                <w:i/>
                <w:iCs/>
                <w:sz w:val="20"/>
              </w:rPr>
              <w:t>Violence</w:t>
            </w:r>
            <w:r>
              <w:rPr>
                <w:rFonts w:ascii="Arial" w:hAnsi="Arial" w:cs="Arial"/>
                <w:b/>
                <w:bCs/>
                <w:i/>
                <w:iCs/>
                <w:sz w:val="20"/>
              </w:rPr>
              <w:t xml:space="preserve"> </w:t>
            </w:r>
            <w:r w:rsidR="00707E1B" w:rsidRPr="008F23CD">
              <w:rPr>
                <w:rFonts w:ascii="Arial" w:hAnsi="Arial" w:cs="Arial"/>
                <w:b/>
                <w:bCs/>
                <w:i/>
                <w:iCs/>
                <w:sz w:val="20"/>
              </w:rPr>
              <w:t>Protection Act 2008</w:t>
            </w:r>
            <w:r w:rsidR="00707E1B" w:rsidRPr="0008741D">
              <w:rPr>
                <w:rFonts w:ascii="Arial" w:hAnsi="Arial" w:cs="Arial"/>
                <w:b/>
                <w:bCs/>
                <w:sz w:val="20"/>
              </w:rPr>
              <w:t xml:space="preserve"> [FVPA]</w:t>
            </w:r>
            <w:r w:rsidR="00814753">
              <w:rPr>
                <w:rFonts w:ascii="Arial" w:hAnsi="Arial" w:cs="Arial"/>
                <w:b/>
                <w:bCs/>
                <w:sz w:val="20"/>
              </w:rPr>
              <w:t>.</w:t>
            </w:r>
          </w:p>
        </w:tc>
      </w:tr>
      <w:tr w:rsidR="00F46FEB" w14:paraId="19E1CE3D" w14:textId="77777777" w:rsidTr="00FE7228">
        <w:tc>
          <w:tcPr>
            <w:tcW w:w="1247" w:type="dxa"/>
            <w:tcBorders>
              <w:top w:val="nil"/>
              <w:bottom w:val="single" w:sz="4" w:space="0" w:color="auto"/>
              <w:right w:val="single" w:sz="4" w:space="0" w:color="auto"/>
            </w:tcBorders>
          </w:tcPr>
          <w:p w14:paraId="12E9D1C3" w14:textId="77777777" w:rsidR="00F46FEB" w:rsidRDefault="00F46FEB" w:rsidP="006010C0">
            <w:pPr>
              <w:jc w:val="center"/>
              <w:rPr>
                <w:rFonts w:ascii="Arial" w:hAnsi="Arial" w:cs="Arial"/>
                <w:sz w:val="20"/>
              </w:rPr>
            </w:pPr>
            <w:r>
              <w:rPr>
                <w:rFonts w:ascii="Arial" w:hAnsi="Arial" w:cs="Arial"/>
                <w:sz w:val="20"/>
              </w:rPr>
              <w:t>s.353</w:t>
            </w:r>
          </w:p>
        </w:tc>
        <w:tc>
          <w:tcPr>
            <w:tcW w:w="7824" w:type="dxa"/>
            <w:tcBorders>
              <w:left w:val="single" w:sz="4" w:space="0" w:color="auto"/>
            </w:tcBorders>
            <w:shd w:val="clear" w:color="auto" w:fill="DDDDDD"/>
          </w:tcPr>
          <w:p w14:paraId="2F20D6EB" w14:textId="740851ED"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3</w:t>
            </w:r>
          </w:p>
        </w:tc>
      </w:tr>
      <w:tr w:rsidR="00F46FEB" w14:paraId="681A6504" w14:textId="77777777" w:rsidTr="00FE7228">
        <w:tc>
          <w:tcPr>
            <w:tcW w:w="1247" w:type="dxa"/>
            <w:tcBorders>
              <w:top w:val="single" w:sz="4" w:space="0" w:color="auto"/>
              <w:bottom w:val="single" w:sz="4" w:space="0" w:color="auto"/>
              <w:right w:val="single" w:sz="4" w:space="0" w:color="auto"/>
            </w:tcBorders>
          </w:tcPr>
          <w:p w14:paraId="06B1BDF9" w14:textId="77777777" w:rsidR="00F46FEB" w:rsidRDefault="00F46FEB" w:rsidP="006010C0">
            <w:pPr>
              <w:jc w:val="center"/>
              <w:rPr>
                <w:rFonts w:ascii="Arial" w:hAnsi="Arial" w:cs="Arial"/>
                <w:sz w:val="20"/>
              </w:rPr>
            </w:pPr>
            <w:r>
              <w:rPr>
                <w:rFonts w:ascii="Arial" w:hAnsi="Arial" w:cs="Arial"/>
                <w:sz w:val="20"/>
              </w:rPr>
              <w:t>s.354</w:t>
            </w:r>
          </w:p>
        </w:tc>
        <w:tc>
          <w:tcPr>
            <w:tcW w:w="7824" w:type="dxa"/>
            <w:tcBorders>
              <w:left w:val="single" w:sz="4" w:space="0" w:color="auto"/>
            </w:tcBorders>
          </w:tcPr>
          <w:p w14:paraId="2F13F0B7" w14:textId="77777777" w:rsidR="00F46FEB" w:rsidRDefault="00F46FEB" w:rsidP="00891897">
            <w:pPr>
              <w:pStyle w:val="ListParagraph"/>
              <w:numPr>
                <w:ilvl w:val="0"/>
                <w:numId w:val="158"/>
              </w:numPr>
              <w:ind w:left="357" w:hanging="357"/>
              <w:jc w:val="both"/>
              <w:rPr>
                <w:rFonts w:ascii="Arial" w:hAnsi="Arial" w:cs="Arial"/>
                <w:sz w:val="20"/>
              </w:rPr>
            </w:pPr>
            <w:r w:rsidRPr="00891897">
              <w:rPr>
                <w:rFonts w:ascii="Arial" w:hAnsi="Arial" w:cs="Arial"/>
                <w:sz w:val="20"/>
              </w:rPr>
              <w:t>Definition of ‘</w:t>
            </w:r>
            <w:r w:rsidR="00891897">
              <w:rPr>
                <w:rFonts w:ascii="Arial" w:hAnsi="Arial" w:cs="Arial"/>
                <w:sz w:val="20"/>
              </w:rPr>
              <w:t>family member</w:t>
            </w:r>
            <w:r w:rsidRPr="00891897">
              <w:rPr>
                <w:rFonts w:ascii="Arial" w:hAnsi="Arial" w:cs="Arial"/>
                <w:sz w:val="20"/>
              </w:rPr>
              <w:t>’</w:t>
            </w:r>
            <w:r w:rsidR="00891897">
              <w:rPr>
                <w:rFonts w:ascii="Arial" w:hAnsi="Arial" w:cs="Arial"/>
                <w:sz w:val="20"/>
              </w:rPr>
              <w:t>, in relation to the complainant or the accused.</w:t>
            </w:r>
          </w:p>
          <w:p w14:paraId="13E8B155" w14:textId="4E8043E0" w:rsidR="00891897" w:rsidRDefault="00B311A4" w:rsidP="00891897">
            <w:pPr>
              <w:pStyle w:val="ListParagraph"/>
              <w:numPr>
                <w:ilvl w:val="0"/>
                <w:numId w:val="158"/>
              </w:numPr>
              <w:ind w:left="357" w:hanging="357"/>
              <w:jc w:val="both"/>
              <w:rPr>
                <w:rFonts w:ascii="Arial" w:hAnsi="Arial" w:cs="Arial"/>
                <w:sz w:val="20"/>
              </w:rPr>
            </w:pPr>
            <w:r>
              <w:rPr>
                <w:rFonts w:ascii="Arial" w:hAnsi="Arial" w:cs="Arial"/>
                <w:sz w:val="20"/>
              </w:rPr>
              <w:t xml:space="preserve">Definition of </w:t>
            </w:r>
            <w:r w:rsidR="00891897">
              <w:rPr>
                <w:rFonts w:ascii="Arial" w:hAnsi="Arial" w:cs="Arial"/>
                <w:sz w:val="20"/>
              </w:rPr>
              <w:t>‘</w:t>
            </w:r>
            <w:r>
              <w:rPr>
                <w:rFonts w:ascii="Arial" w:hAnsi="Arial" w:cs="Arial"/>
                <w:sz w:val="20"/>
              </w:rPr>
              <w:t>p</w:t>
            </w:r>
            <w:r w:rsidR="00891897">
              <w:rPr>
                <w:rFonts w:ascii="Arial" w:hAnsi="Arial" w:cs="Arial"/>
                <w:sz w:val="20"/>
              </w:rPr>
              <w:t xml:space="preserve">rotected witness’ </w:t>
            </w:r>
            <w:r>
              <w:rPr>
                <w:rFonts w:ascii="Arial" w:hAnsi="Arial" w:cs="Arial"/>
                <w:sz w:val="20"/>
              </w:rPr>
              <w:t xml:space="preserve">which </w:t>
            </w:r>
            <w:r w:rsidR="00891897">
              <w:rPr>
                <w:rFonts w:ascii="Arial" w:hAnsi="Arial" w:cs="Arial"/>
                <w:sz w:val="20"/>
              </w:rPr>
              <w:t>means</w:t>
            </w:r>
            <w:r w:rsidR="00CF1F55" w:rsidRPr="000A2C86">
              <w:rPr>
                <w:rFonts w:ascii="Arial" w:hAnsi="Arial" w:cs="Arial"/>
                <w:sz w:val="20"/>
              </w:rPr>
              <w:t>—</w:t>
            </w:r>
          </w:p>
          <w:p w14:paraId="7C39D3AC" w14:textId="3ED78400" w:rsidR="00CF1F55" w:rsidRDefault="00CF1F55" w:rsidP="00CF1F55">
            <w:pPr>
              <w:pStyle w:val="ListParagraph"/>
              <w:numPr>
                <w:ilvl w:val="0"/>
                <w:numId w:val="159"/>
              </w:numPr>
              <w:jc w:val="both"/>
              <w:rPr>
                <w:rFonts w:ascii="Arial" w:hAnsi="Arial" w:cs="Arial"/>
                <w:sz w:val="20"/>
              </w:rPr>
            </w:pPr>
            <w:r>
              <w:rPr>
                <w:rFonts w:ascii="Arial" w:hAnsi="Arial" w:cs="Arial"/>
                <w:sz w:val="20"/>
              </w:rPr>
              <w:t>the complainant; or</w:t>
            </w:r>
          </w:p>
          <w:p w14:paraId="71C9F039"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complainant; or</w:t>
            </w:r>
          </w:p>
          <w:p w14:paraId="2A36DC5D"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accused; or</w:t>
            </w:r>
          </w:p>
          <w:p w14:paraId="6BD1BBB1" w14:textId="1B592508" w:rsidR="00CF1F55" w:rsidRPr="00891897" w:rsidRDefault="00CF1F55" w:rsidP="00CF1F55">
            <w:pPr>
              <w:pStyle w:val="ListParagraph"/>
              <w:numPr>
                <w:ilvl w:val="0"/>
                <w:numId w:val="159"/>
              </w:numPr>
              <w:spacing w:after="20"/>
              <w:ind w:left="714" w:hanging="357"/>
              <w:jc w:val="both"/>
              <w:rPr>
                <w:rFonts w:ascii="Arial" w:hAnsi="Arial" w:cs="Arial"/>
                <w:sz w:val="20"/>
              </w:rPr>
            </w:pPr>
            <w:r>
              <w:rPr>
                <w:rFonts w:ascii="Arial" w:hAnsi="Arial" w:cs="Arial"/>
                <w:sz w:val="20"/>
              </w:rPr>
              <w:t>any other witness whom the court declares under s.355 to be a protected witness.</w:t>
            </w:r>
          </w:p>
        </w:tc>
      </w:tr>
      <w:tr w:rsidR="00891897" w14:paraId="03132DB0" w14:textId="77777777" w:rsidTr="00FE7228">
        <w:tblPrEx>
          <w:tblBorders>
            <w:insideH w:val="single" w:sz="4" w:space="0" w:color="auto"/>
            <w:insideV w:val="single" w:sz="4" w:space="0" w:color="auto"/>
          </w:tblBorders>
        </w:tblPrEx>
        <w:tc>
          <w:tcPr>
            <w:tcW w:w="1247" w:type="dxa"/>
            <w:tcBorders>
              <w:top w:val="single" w:sz="4" w:space="0" w:color="auto"/>
            </w:tcBorders>
          </w:tcPr>
          <w:p w14:paraId="21501721" w14:textId="39A5E8BC" w:rsidR="00891897" w:rsidRDefault="00891897" w:rsidP="006010C0">
            <w:pPr>
              <w:jc w:val="center"/>
              <w:rPr>
                <w:rFonts w:ascii="Arial" w:hAnsi="Arial" w:cs="Arial"/>
                <w:sz w:val="20"/>
              </w:rPr>
            </w:pPr>
            <w:r>
              <w:rPr>
                <w:rFonts w:ascii="Arial" w:hAnsi="Arial" w:cs="Arial"/>
                <w:sz w:val="20"/>
              </w:rPr>
              <w:t>s.355</w:t>
            </w:r>
          </w:p>
        </w:tc>
        <w:tc>
          <w:tcPr>
            <w:tcW w:w="7824" w:type="dxa"/>
            <w:shd w:val="clear" w:color="auto" w:fill="DDDDDD"/>
          </w:tcPr>
          <w:p w14:paraId="18940F14" w14:textId="74AC6443" w:rsidR="00891897" w:rsidRPr="00CF1F55" w:rsidRDefault="00CF1F55" w:rsidP="00CF1F55">
            <w:pPr>
              <w:jc w:val="center"/>
              <w:rPr>
                <w:rFonts w:ascii="Arial" w:hAnsi="Arial" w:cs="Arial"/>
                <w:b/>
                <w:bCs/>
                <w:sz w:val="20"/>
              </w:rPr>
            </w:pPr>
            <w:r w:rsidRPr="00CF1F55">
              <w:rPr>
                <w:rFonts w:ascii="Arial" w:hAnsi="Arial" w:cs="Arial"/>
                <w:b/>
                <w:bCs/>
                <w:sz w:val="20"/>
              </w:rPr>
              <w:t>Court may at any time declare a witness to be a protected witness</w:t>
            </w:r>
          </w:p>
        </w:tc>
      </w:tr>
      <w:tr w:rsidR="00891897" w14:paraId="3C3CB4CF" w14:textId="77777777" w:rsidTr="00891897">
        <w:tblPrEx>
          <w:tblBorders>
            <w:insideH w:val="single" w:sz="4" w:space="0" w:color="auto"/>
            <w:insideV w:val="single" w:sz="4" w:space="0" w:color="auto"/>
          </w:tblBorders>
        </w:tblPrEx>
        <w:tc>
          <w:tcPr>
            <w:tcW w:w="1247" w:type="dxa"/>
          </w:tcPr>
          <w:p w14:paraId="11CC6DFD" w14:textId="64CAA485" w:rsidR="00891897" w:rsidRDefault="00891897" w:rsidP="006010C0">
            <w:pPr>
              <w:jc w:val="center"/>
              <w:rPr>
                <w:rFonts w:ascii="Arial" w:hAnsi="Arial" w:cs="Arial"/>
                <w:sz w:val="20"/>
              </w:rPr>
            </w:pPr>
            <w:r>
              <w:rPr>
                <w:rFonts w:ascii="Arial" w:hAnsi="Arial" w:cs="Arial"/>
                <w:sz w:val="20"/>
              </w:rPr>
              <w:t>s.356</w:t>
            </w:r>
          </w:p>
        </w:tc>
        <w:tc>
          <w:tcPr>
            <w:tcW w:w="7824" w:type="dxa"/>
            <w:shd w:val="clear" w:color="auto" w:fill="DDDDDD"/>
          </w:tcPr>
          <w:p w14:paraId="6AA44D77" w14:textId="59EBD965" w:rsidR="00891897" w:rsidRPr="00891897" w:rsidRDefault="00891897" w:rsidP="00891897">
            <w:pPr>
              <w:jc w:val="center"/>
              <w:rPr>
                <w:rFonts w:ascii="Arial" w:hAnsi="Arial" w:cs="Arial"/>
                <w:b/>
                <w:bCs/>
                <w:sz w:val="20"/>
              </w:rPr>
            </w:pPr>
            <w:r>
              <w:rPr>
                <w:rFonts w:ascii="Arial" w:hAnsi="Arial" w:cs="Arial"/>
                <w:b/>
                <w:bCs/>
                <w:sz w:val="20"/>
              </w:rPr>
              <w:t>Protected witness must not be cross-examined by accused in person</w:t>
            </w:r>
          </w:p>
        </w:tc>
      </w:tr>
      <w:tr w:rsidR="00891897" w14:paraId="762DD67E" w14:textId="77777777" w:rsidTr="00891897">
        <w:tblPrEx>
          <w:tblBorders>
            <w:insideH w:val="single" w:sz="4" w:space="0" w:color="auto"/>
            <w:insideV w:val="single" w:sz="4" w:space="0" w:color="auto"/>
          </w:tblBorders>
        </w:tblPrEx>
        <w:tc>
          <w:tcPr>
            <w:tcW w:w="1247" w:type="dxa"/>
          </w:tcPr>
          <w:p w14:paraId="7FF13639" w14:textId="6DF41B09" w:rsidR="00891897" w:rsidRDefault="00891897" w:rsidP="006010C0">
            <w:pPr>
              <w:jc w:val="center"/>
              <w:rPr>
                <w:rFonts w:ascii="Arial" w:hAnsi="Arial" w:cs="Arial"/>
                <w:sz w:val="20"/>
              </w:rPr>
            </w:pPr>
            <w:r>
              <w:rPr>
                <w:rFonts w:ascii="Arial" w:hAnsi="Arial" w:cs="Arial"/>
                <w:sz w:val="20"/>
              </w:rPr>
              <w:t>s.357</w:t>
            </w:r>
          </w:p>
        </w:tc>
        <w:tc>
          <w:tcPr>
            <w:tcW w:w="7824" w:type="dxa"/>
            <w:shd w:val="clear" w:color="auto" w:fill="DDDDDD"/>
          </w:tcPr>
          <w:p w14:paraId="63BA1E6B" w14:textId="3E28D86D" w:rsidR="00891897" w:rsidRPr="00891897" w:rsidRDefault="00891897" w:rsidP="00891897">
            <w:pPr>
              <w:jc w:val="center"/>
              <w:rPr>
                <w:rFonts w:ascii="Arial" w:hAnsi="Arial" w:cs="Arial"/>
                <w:b/>
                <w:bCs/>
                <w:sz w:val="20"/>
              </w:rPr>
            </w:pPr>
            <w:r w:rsidRPr="00891897">
              <w:rPr>
                <w:rFonts w:ascii="Arial" w:hAnsi="Arial" w:cs="Arial"/>
                <w:b/>
                <w:bCs/>
                <w:sz w:val="20"/>
              </w:rPr>
              <w:t>Procedure when accused is not legally represented</w:t>
            </w:r>
          </w:p>
        </w:tc>
      </w:tr>
      <w:tr w:rsidR="00891897" w14:paraId="3EC1BC35" w14:textId="77777777" w:rsidTr="00891897">
        <w:tblPrEx>
          <w:tblBorders>
            <w:insideH w:val="single" w:sz="4" w:space="0" w:color="auto"/>
            <w:insideV w:val="single" w:sz="4" w:space="0" w:color="auto"/>
          </w:tblBorders>
        </w:tblPrEx>
        <w:tc>
          <w:tcPr>
            <w:tcW w:w="1247" w:type="dxa"/>
          </w:tcPr>
          <w:p w14:paraId="578AA7FE" w14:textId="42431A5B" w:rsidR="00891897" w:rsidRDefault="00891897" w:rsidP="006010C0">
            <w:pPr>
              <w:jc w:val="center"/>
              <w:rPr>
                <w:rFonts w:ascii="Arial" w:hAnsi="Arial" w:cs="Arial"/>
                <w:sz w:val="20"/>
              </w:rPr>
            </w:pPr>
            <w:r>
              <w:rPr>
                <w:rFonts w:ascii="Arial" w:hAnsi="Arial" w:cs="Arial"/>
                <w:sz w:val="20"/>
              </w:rPr>
              <w:t>s.358</w:t>
            </w:r>
          </w:p>
        </w:tc>
        <w:tc>
          <w:tcPr>
            <w:tcW w:w="7824" w:type="dxa"/>
            <w:shd w:val="clear" w:color="auto" w:fill="DDDDDD"/>
          </w:tcPr>
          <w:p w14:paraId="7D5B9DCD" w14:textId="2A3788EC" w:rsidR="00891897" w:rsidRPr="00891897" w:rsidRDefault="00891897" w:rsidP="00891897">
            <w:pPr>
              <w:jc w:val="center"/>
              <w:rPr>
                <w:rFonts w:ascii="Arial" w:hAnsi="Arial" w:cs="Arial"/>
                <w:b/>
                <w:bCs/>
                <w:sz w:val="20"/>
              </w:rPr>
            </w:pPr>
            <w:r w:rsidRPr="00891897">
              <w:rPr>
                <w:rFonts w:ascii="Arial" w:hAnsi="Arial" w:cs="Arial"/>
                <w:b/>
                <w:bCs/>
                <w:sz w:val="20"/>
              </w:rPr>
              <w:t>Jury warning concerning legal representation for cross-examination</w:t>
            </w:r>
          </w:p>
        </w:tc>
      </w:tr>
    </w:tbl>
    <w:p w14:paraId="57A24410"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21FA82A" w14:textId="77777777" w:rsidTr="006010C0">
        <w:tc>
          <w:tcPr>
            <w:tcW w:w="9071" w:type="dxa"/>
            <w:tcBorders>
              <w:bottom w:val="nil"/>
            </w:tcBorders>
            <w:shd w:val="clear" w:color="auto" w:fill="000000" w:themeFill="text1"/>
          </w:tcPr>
          <w:p w14:paraId="1FD333D4" w14:textId="0FED2661" w:rsidR="00B97558" w:rsidRDefault="00B97558" w:rsidP="0008741D">
            <w:pPr>
              <w:jc w:val="center"/>
              <w:rPr>
                <w:rFonts w:ascii="Arial" w:hAnsi="Arial" w:cs="Arial"/>
                <w:b/>
                <w:bCs/>
                <w:sz w:val="20"/>
              </w:rPr>
            </w:pPr>
            <w:r w:rsidRPr="00C31AA5">
              <w:rPr>
                <w:rFonts w:ascii="Arial" w:hAnsi="Arial" w:cs="Arial"/>
                <w:b/>
                <w:bCs/>
                <w:color w:val="000000" w:themeColor="text1"/>
                <w:sz w:val="20"/>
                <w:shd w:val="clear" w:color="auto" w:fill="FFFF00"/>
              </w:rPr>
              <w:t>Part 8.2 Division 4</w:t>
            </w:r>
          </w:p>
          <w:p w14:paraId="7CE757C9" w14:textId="6360A637" w:rsidR="00B97558" w:rsidRPr="002251EE" w:rsidRDefault="00B97558" w:rsidP="0008741D">
            <w:pPr>
              <w:jc w:val="center"/>
              <w:rPr>
                <w:rFonts w:ascii="Arial" w:hAnsi="Arial" w:cs="Arial"/>
                <w:b/>
                <w:bCs/>
                <w:sz w:val="20"/>
              </w:rPr>
            </w:pPr>
            <w:r>
              <w:rPr>
                <w:rFonts w:ascii="Arial" w:hAnsi="Arial" w:cs="Arial"/>
                <w:b/>
                <w:bCs/>
                <w:sz w:val="20"/>
              </w:rPr>
              <w:t xml:space="preserve">Alternative arrangements for giving evidence in a criminal proceeding that relates (wholly or partly) to a charge for a sexual offence or an offence where the offending conduct consists of family violence within the meaning of the </w:t>
            </w:r>
            <w:r w:rsidRPr="0008741D">
              <w:rPr>
                <w:rFonts w:ascii="Arial" w:hAnsi="Arial" w:cs="Arial"/>
                <w:b/>
                <w:bCs/>
                <w:sz w:val="20"/>
              </w:rPr>
              <w:t>FVPA</w:t>
            </w:r>
            <w:r>
              <w:rPr>
                <w:rFonts w:ascii="Arial" w:hAnsi="Arial" w:cs="Arial"/>
                <w:b/>
                <w:bCs/>
                <w:sz w:val="20"/>
              </w:rPr>
              <w:t xml:space="preserve"> or an offence against ss.17(1) or 19</w:t>
            </w:r>
            <w:r w:rsidR="00814753">
              <w:rPr>
                <w:rFonts w:ascii="Arial" w:hAnsi="Arial" w:cs="Arial"/>
                <w:b/>
                <w:bCs/>
                <w:sz w:val="20"/>
              </w:rPr>
              <w:t xml:space="preserve"> of the</w:t>
            </w:r>
            <w:r>
              <w:rPr>
                <w:rFonts w:ascii="Arial" w:hAnsi="Arial" w:cs="Arial"/>
                <w:b/>
                <w:bCs/>
                <w:sz w:val="20"/>
              </w:rPr>
              <w:t xml:space="preserve"> </w:t>
            </w:r>
            <w:r w:rsidRPr="00247079">
              <w:rPr>
                <w:rFonts w:ascii="Arial" w:hAnsi="Arial" w:cs="Arial"/>
                <w:b/>
                <w:bCs/>
                <w:i/>
                <w:iCs/>
                <w:sz w:val="20"/>
              </w:rPr>
              <w:t>Summary Offences Act 1966</w:t>
            </w:r>
            <w:r>
              <w:rPr>
                <w:rFonts w:ascii="Arial" w:hAnsi="Arial" w:cs="Arial"/>
                <w:b/>
                <w:bCs/>
                <w:i/>
                <w:iCs/>
                <w:sz w:val="20"/>
              </w:rPr>
              <w:t xml:space="preserve"> </w:t>
            </w:r>
            <w:r w:rsidRPr="00247079">
              <w:rPr>
                <w:rFonts w:ascii="Arial" w:hAnsi="Arial" w:cs="Arial"/>
                <w:b/>
                <w:bCs/>
                <w:sz w:val="20"/>
              </w:rPr>
              <w:t>[SOA]</w:t>
            </w:r>
            <w:r w:rsidR="00814753">
              <w:rPr>
                <w:rFonts w:ascii="Arial" w:hAnsi="Arial" w:cs="Arial"/>
                <w:b/>
                <w:bCs/>
                <w:sz w:val="20"/>
              </w:rPr>
              <w:t>.</w:t>
            </w:r>
          </w:p>
        </w:tc>
      </w:tr>
      <w:tr w:rsidR="00CF1F55" w14:paraId="3CA7AC79" w14:textId="77777777" w:rsidTr="00CF1F55">
        <w:tc>
          <w:tcPr>
            <w:tcW w:w="9071" w:type="dxa"/>
            <w:shd w:val="clear" w:color="auto" w:fill="C5E0B3" w:themeFill="accent6" w:themeFillTint="66"/>
          </w:tcPr>
          <w:p w14:paraId="3C73AC59" w14:textId="57E307FC" w:rsidR="00CF1F55" w:rsidRPr="00CF1F55" w:rsidRDefault="00247079" w:rsidP="00CF1F55">
            <w:pPr>
              <w:jc w:val="center"/>
              <w:rPr>
                <w:rFonts w:ascii="Arial" w:hAnsi="Arial" w:cs="Arial"/>
                <w:b/>
                <w:bCs/>
                <w:sz w:val="20"/>
              </w:rPr>
            </w:pPr>
            <w:r>
              <w:rPr>
                <w:rFonts w:ascii="Arial" w:hAnsi="Arial" w:cs="Arial"/>
                <w:b/>
                <w:bCs/>
                <w:sz w:val="20"/>
              </w:rPr>
              <w:t>For details s</w:t>
            </w:r>
            <w:r w:rsidR="00CF1F55" w:rsidRPr="00CF1F55">
              <w:rPr>
                <w:rFonts w:ascii="Arial" w:hAnsi="Arial" w:cs="Arial"/>
                <w:b/>
                <w:bCs/>
                <w:sz w:val="20"/>
              </w:rPr>
              <w:t xml:space="preserve">ee </w:t>
            </w:r>
            <w:r w:rsidR="005B005D">
              <w:rPr>
                <w:rFonts w:ascii="Arial" w:hAnsi="Arial" w:cs="Arial"/>
                <w:b/>
                <w:bCs/>
                <w:sz w:val="20"/>
              </w:rPr>
              <w:t>sub</w:t>
            </w:r>
            <w:r w:rsidR="00CF1F55" w:rsidRPr="00CF1F55">
              <w:rPr>
                <w:rFonts w:ascii="Arial" w:hAnsi="Arial" w:cs="Arial"/>
                <w:b/>
                <w:bCs/>
                <w:sz w:val="20"/>
              </w:rPr>
              <w:t>section 3.5.</w:t>
            </w:r>
            <w:r w:rsidR="00A265E1">
              <w:rPr>
                <w:rFonts w:ascii="Arial" w:hAnsi="Arial" w:cs="Arial"/>
                <w:b/>
                <w:bCs/>
                <w:sz w:val="20"/>
              </w:rPr>
              <w:t>12</w:t>
            </w:r>
            <w:r w:rsidR="00CF1F55" w:rsidRPr="00CF1F55">
              <w:rPr>
                <w:rFonts w:ascii="Arial" w:hAnsi="Arial" w:cs="Arial"/>
                <w:b/>
                <w:bCs/>
                <w:sz w:val="20"/>
              </w:rPr>
              <w:t>.</w:t>
            </w:r>
            <w:r w:rsidR="00A265E1">
              <w:rPr>
                <w:rFonts w:ascii="Arial" w:hAnsi="Arial" w:cs="Arial"/>
                <w:b/>
                <w:bCs/>
                <w:sz w:val="20"/>
              </w:rPr>
              <w:t>3</w:t>
            </w:r>
            <w:r w:rsidR="00CF1F55" w:rsidRPr="00CF1F55">
              <w:rPr>
                <w:rFonts w:ascii="Arial" w:hAnsi="Arial" w:cs="Arial"/>
                <w:b/>
                <w:bCs/>
                <w:sz w:val="20"/>
              </w:rPr>
              <w:t>.</w:t>
            </w:r>
          </w:p>
        </w:tc>
      </w:tr>
    </w:tbl>
    <w:p w14:paraId="0719EC16"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639E2B71" w14:textId="77777777" w:rsidTr="006010C0">
        <w:tc>
          <w:tcPr>
            <w:tcW w:w="9071" w:type="dxa"/>
            <w:tcBorders>
              <w:bottom w:val="nil"/>
            </w:tcBorders>
            <w:shd w:val="clear" w:color="auto" w:fill="000000" w:themeFill="text1"/>
          </w:tcPr>
          <w:p w14:paraId="6426E032" w14:textId="4BA2CEE1" w:rsidR="00B97558" w:rsidRDefault="00B97558" w:rsidP="00A378AE">
            <w:pPr>
              <w:jc w:val="center"/>
              <w:rPr>
                <w:rFonts w:ascii="Arial" w:hAnsi="Arial" w:cs="Arial"/>
                <w:b/>
                <w:bCs/>
                <w:sz w:val="20"/>
              </w:rPr>
            </w:pPr>
            <w:r w:rsidRPr="00C31AA5">
              <w:rPr>
                <w:rFonts w:ascii="Arial" w:hAnsi="Arial" w:cs="Arial"/>
                <w:b/>
                <w:bCs/>
                <w:color w:val="000000" w:themeColor="text1"/>
                <w:sz w:val="20"/>
                <w:shd w:val="clear" w:color="auto" w:fill="FFFF00"/>
              </w:rPr>
              <w:t>Part 8.2 Division 5</w:t>
            </w:r>
          </w:p>
          <w:p w14:paraId="7A106FCE" w14:textId="0DD575B5" w:rsidR="00B97558" w:rsidRPr="002251EE" w:rsidRDefault="00B97558" w:rsidP="00A378AE">
            <w:pPr>
              <w:jc w:val="center"/>
              <w:rPr>
                <w:rFonts w:ascii="Arial" w:hAnsi="Arial" w:cs="Arial"/>
                <w:b/>
                <w:bCs/>
                <w:sz w:val="20"/>
              </w:rPr>
            </w:pPr>
            <w:r>
              <w:rPr>
                <w:rFonts w:ascii="Arial" w:hAnsi="Arial" w:cs="Arial"/>
                <w:b/>
                <w:bCs/>
                <w:sz w:val="20"/>
              </w:rPr>
              <w:t>Use o</w:t>
            </w:r>
            <w:r w:rsidR="00814753">
              <w:rPr>
                <w:rFonts w:ascii="Arial" w:hAnsi="Arial" w:cs="Arial"/>
                <w:b/>
                <w:bCs/>
                <w:sz w:val="20"/>
              </w:rPr>
              <w:t>f</w:t>
            </w:r>
            <w:r>
              <w:rPr>
                <w:rFonts w:ascii="Arial" w:hAnsi="Arial" w:cs="Arial"/>
                <w:b/>
                <w:bCs/>
                <w:sz w:val="20"/>
              </w:rPr>
              <w:t xml:space="preserve"> recorded evidence-in-chief of children or cognitively impaired witnesses in sexual offence, assault and family violence matters</w:t>
            </w:r>
            <w:r w:rsidR="00814753">
              <w:rPr>
                <w:rFonts w:ascii="Arial" w:hAnsi="Arial" w:cs="Arial"/>
                <w:b/>
                <w:bCs/>
                <w:sz w:val="20"/>
              </w:rPr>
              <w:t>.</w:t>
            </w:r>
          </w:p>
        </w:tc>
      </w:tr>
      <w:tr w:rsidR="005B005D" w14:paraId="068268F0" w14:textId="77777777" w:rsidTr="006010C0">
        <w:tc>
          <w:tcPr>
            <w:tcW w:w="9071" w:type="dxa"/>
            <w:shd w:val="clear" w:color="auto" w:fill="C5E0B3" w:themeFill="accent6" w:themeFillTint="66"/>
          </w:tcPr>
          <w:p w14:paraId="182CB758" w14:textId="662D94A2" w:rsidR="005B005D" w:rsidRPr="00CF1F55" w:rsidRDefault="005B005D"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section </w:t>
            </w:r>
            <w:r>
              <w:rPr>
                <w:rFonts w:ascii="Arial" w:hAnsi="Arial" w:cs="Arial"/>
                <w:b/>
                <w:bCs/>
                <w:sz w:val="20"/>
              </w:rPr>
              <w:t>3.5.5 &amp; subsection 3.5.5.1</w:t>
            </w:r>
            <w:r w:rsidR="00707E1B">
              <w:rPr>
                <w:rFonts w:ascii="Arial" w:hAnsi="Arial" w:cs="Arial"/>
                <w:b/>
                <w:bCs/>
                <w:sz w:val="20"/>
              </w:rPr>
              <w:t>.</w:t>
            </w:r>
          </w:p>
        </w:tc>
      </w:tr>
    </w:tbl>
    <w:p w14:paraId="669279DF" w14:textId="77777777" w:rsidR="00F46FEB" w:rsidRDefault="00F46FEB" w:rsidP="00F46FEB">
      <w:pPr>
        <w:rPr>
          <w:rFonts w:ascii="Arial" w:hAnsi="Arial" w:cs="Arial"/>
          <w:sz w:val="20"/>
          <w:szCs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39BFB616" w14:textId="77777777" w:rsidTr="006010C0">
        <w:tc>
          <w:tcPr>
            <w:tcW w:w="9071" w:type="dxa"/>
            <w:tcBorders>
              <w:bottom w:val="nil"/>
            </w:tcBorders>
            <w:shd w:val="clear" w:color="auto" w:fill="000000" w:themeFill="text1"/>
          </w:tcPr>
          <w:p w14:paraId="41915B77" w14:textId="0B0D9F4F"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6</w:t>
            </w:r>
          </w:p>
          <w:p w14:paraId="6E4A76E2" w14:textId="51115F8B" w:rsidR="00B97558" w:rsidRPr="002251EE" w:rsidRDefault="00B97558" w:rsidP="006010C0">
            <w:pPr>
              <w:jc w:val="center"/>
              <w:rPr>
                <w:rFonts w:ascii="Arial" w:hAnsi="Arial" w:cs="Arial"/>
                <w:b/>
                <w:bCs/>
                <w:sz w:val="20"/>
              </w:rPr>
            </w:pPr>
            <w:r>
              <w:rPr>
                <w:rFonts w:ascii="Arial" w:hAnsi="Arial" w:cs="Arial"/>
                <w:b/>
                <w:bCs/>
                <w:sz w:val="20"/>
              </w:rPr>
              <w:t>Procedure and rules for witnesses who are children or cognitively impaired complainants in a criminal proceeding that relates (wholly or partly) to a charge</w:t>
            </w:r>
            <w:r w:rsidR="00814753">
              <w:rPr>
                <w:rFonts w:ascii="Arial" w:hAnsi="Arial" w:cs="Arial"/>
                <w:b/>
                <w:bCs/>
                <w:sz w:val="20"/>
              </w:rPr>
              <w:t xml:space="preserve"> </w:t>
            </w:r>
            <w:r>
              <w:rPr>
                <w:rFonts w:ascii="Arial" w:hAnsi="Arial" w:cs="Arial"/>
                <w:b/>
                <w:bCs/>
                <w:sz w:val="20"/>
              </w:rPr>
              <w:t xml:space="preserve">for a </w:t>
            </w:r>
            <w:r w:rsidR="00814753">
              <w:rPr>
                <w:rFonts w:ascii="Arial" w:hAnsi="Arial" w:cs="Arial"/>
                <w:b/>
                <w:bCs/>
                <w:sz w:val="20"/>
              </w:rPr>
              <w:t>sexu</w:t>
            </w:r>
            <w:r>
              <w:rPr>
                <w:rFonts w:ascii="Arial" w:hAnsi="Arial" w:cs="Arial"/>
                <w:b/>
                <w:bCs/>
                <w:sz w:val="20"/>
              </w:rPr>
              <w:t>al offence</w:t>
            </w:r>
            <w:r w:rsidR="00814753">
              <w:rPr>
                <w:rFonts w:ascii="Arial" w:hAnsi="Arial" w:cs="Arial"/>
                <w:b/>
                <w:bCs/>
                <w:sz w:val="20"/>
              </w:rPr>
              <w:t>.</w:t>
            </w:r>
          </w:p>
        </w:tc>
      </w:tr>
      <w:tr w:rsidR="005B005D" w14:paraId="0213C6F5" w14:textId="77777777" w:rsidTr="006010C0">
        <w:tc>
          <w:tcPr>
            <w:tcW w:w="9071" w:type="dxa"/>
            <w:shd w:val="clear" w:color="auto" w:fill="C5E0B3" w:themeFill="accent6" w:themeFillTint="66"/>
          </w:tcPr>
          <w:p w14:paraId="00D18CD0" w14:textId="6A07BF93" w:rsidR="005B005D" w:rsidRPr="00CF1F55" w:rsidRDefault="005B005D"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3.5.5.1</w:t>
            </w:r>
            <w:r w:rsidR="00707E1B">
              <w:rPr>
                <w:rFonts w:ascii="Arial" w:hAnsi="Arial" w:cs="Arial"/>
                <w:b/>
                <w:bCs/>
                <w:sz w:val="20"/>
              </w:rPr>
              <w:t>.</w:t>
            </w:r>
          </w:p>
        </w:tc>
      </w:tr>
    </w:tbl>
    <w:p w14:paraId="410FDFCF" w14:textId="77777777" w:rsidR="00657C22" w:rsidRPr="00657C22" w:rsidRDefault="00657C22" w:rsidP="00F46FEB">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771DF57C" w14:textId="77777777" w:rsidTr="006010C0">
        <w:tc>
          <w:tcPr>
            <w:tcW w:w="9071" w:type="dxa"/>
            <w:tcBorders>
              <w:bottom w:val="nil"/>
            </w:tcBorders>
            <w:shd w:val="clear" w:color="auto" w:fill="000000" w:themeFill="text1"/>
          </w:tcPr>
          <w:p w14:paraId="4C80E441" w14:textId="440967DE"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w:t>
            </w:r>
          </w:p>
          <w:p w14:paraId="6CB50216" w14:textId="228B3994" w:rsidR="00B97558" w:rsidRPr="002251EE" w:rsidRDefault="00B97558" w:rsidP="006010C0">
            <w:pPr>
              <w:jc w:val="center"/>
              <w:rPr>
                <w:rFonts w:ascii="Arial" w:hAnsi="Arial" w:cs="Arial"/>
                <w:b/>
                <w:bCs/>
                <w:sz w:val="20"/>
              </w:rPr>
            </w:pPr>
            <w:r>
              <w:rPr>
                <w:rFonts w:ascii="Arial" w:hAnsi="Arial" w:cs="Arial"/>
                <w:b/>
                <w:bCs/>
                <w:sz w:val="20"/>
              </w:rPr>
              <w:t>Admission of recorded evidence of complainant (other than a complainant whose evidence has been taken at a special hearing under Division 6) given in a trial for sexual offences</w:t>
            </w:r>
            <w:r w:rsidR="00814753">
              <w:rPr>
                <w:rFonts w:ascii="Arial" w:hAnsi="Arial" w:cs="Arial"/>
                <w:b/>
                <w:bCs/>
                <w:sz w:val="20"/>
              </w:rPr>
              <w:t>.</w:t>
            </w:r>
          </w:p>
        </w:tc>
      </w:tr>
      <w:tr w:rsidR="00707E1B" w14:paraId="4FFD0859" w14:textId="77777777" w:rsidTr="006010C0">
        <w:tc>
          <w:tcPr>
            <w:tcW w:w="9071" w:type="dxa"/>
            <w:shd w:val="clear" w:color="auto" w:fill="C5E0B3" w:themeFill="accent6" w:themeFillTint="66"/>
          </w:tcPr>
          <w:p w14:paraId="45EA7E53" w14:textId="464D6270" w:rsidR="00707E1B" w:rsidRPr="00CF1F55" w:rsidRDefault="00707E1B"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3B3DFE16"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3373736" w14:textId="77777777" w:rsidTr="006010C0">
        <w:tc>
          <w:tcPr>
            <w:tcW w:w="9071" w:type="dxa"/>
            <w:tcBorders>
              <w:bottom w:val="nil"/>
            </w:tcBorders>
            <w:shd w:val="clear" w:color="auto" w:fill="000000" w:themeFill="text1"/>
          </w:tcPr>
          <w:p w14:paraId="6F86C8E2" w14:textId="38FBDF4F"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7A</w:t>
            </w:r>
          </w:p>
          <w:p w14:paraId="72737AB4" w14:textId="522CB3B0" w:rsidR="00B97558" w:rsidRPr="002251EE" w:rsidRDefault="00B97558" w:rsidP="006010C0">
            <w:pPr>
              <w:jc w:val="center"/>
              <w:rPr>
                <w:rFonts w:ascii="Arial" w:hAnsi="Arial" w:cs="Arial"/>
                <w:b/>
                <w:bCs/>
                <w:sz w:val="20"/>
              </w:rPr>
            </w:pPr>
            <w:r>
              <w:rPr>
                <w:rFonts w:ascii="Arial" w:hAnsi="Arial" w:cs="Arial"/>
                <w:b/>
                <w:bCs/>
                <w:sz w:val="20"/>
              </w:rPr>
              <w:t>Admission of recorded evidence of complainant given in a summary hearing by the Children’s Court of certain sexual offences</w:t>
            </w:r>
            <w:r w:rsidR="00814753">
              <w:rPr>
                <w:rFonts w:ascii="Arial" w:hAnsi="Arial" w:cs="Arial"/>
                <w:b/>
                <w:bCs/>
                <w:sz w:val="20"/>
              </w:rPr>
              <w:t>.</w:t>
            </w:r>
          </w:p>
        </w:tc>
      </w:tr>
      <w:tr w:rsidR="00FE7228" w14:paraId="2BE73A67" w14:textId="77777777" w:rsidTr="00FE7228">
        <w:tblPrEx>
          <w:tblBorders>
            <w:insideH w:val="single" w:sz="4" w:space="0" w:color="auto"/>
            <w:insideV w:val="single" w:sz="4" w:space="0" w:color="auto"/>
          </w:tblBorders>
        </w:tblPrEx>
        <w:tc>
          <w:tcPr>
            <w:tcW w:w="9071" w:type="dxa"/>
            <w:shd w:val="clear" w:color="auto" w:fill="C5E0B3" w:themeFill="accent6" w:themeFillTint="66"/>
          </w:tcPr>
          <w:p w14:paraId="555EAB87" w14:textId="77777777" w:rsidR="00FE7228" w:rsidRPr="00CF1F55" w:rsidRDefault="00FE7228"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1733AD39"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05400A9D" w14:textId="77777777" w:rsidTr="006010C0">
        <w:tc>
          <w:tcPr>
            <w:tcW w:w="9071" w:type="dxa"/>
            <w:tcBorders>
              <w:bottom w:val="nil"/>
            </w:tcBorders>
            <w:shd w:val="clear" w:color="auto" w:fill="000000" w:themeFill="text1"/>
          </w:tcPr>
          <w:p w14:paraId="01D01F5A" w14:textId="3F279553"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7B</w:t>
            </w:r>
          </w:p>
          <w:p w14:paraId="3748F732" w14:textId="17F6475F" w:rsidR="00B97558" w:rsidRPr="002251EE" w:rsidRDefault="00B97558" w:rsidP="006010C0">
            <w:pPr>
              <w:jc w:val="center"/>
              <w:rPr>
                <w:rFonts w:ascii="Arial" w:hAnsi="Arial" w:cs="Arial"/>
                <w:b/>
                <w:bCs/>
                <w:sz w:val="20"/>
              </w:rPr>
            </w:pPr>
            <w:r>
              <w:rPr>
                <w:rFonts w:ascii="Arial" w:hAnsi="Arial" w:cs="Arial"/>
                <w:b/>
                <w:bCs/>
                <w:sz w:val="20"/>
              </w:rPr>
              <w:t>Admission of recorded evidence-in-chief of complainant in family violence offence proceedings</w:t>
            </w:r>
            <w:r w:rsidR="00814753">
              <w:rPr>
                <w:rFonts w:ascii="Arial" w:hAnsi="Arial" w:cs="Arial"/>
                <w:b/>
                <w:bCs/>
                <w:sz w:val="20"/>
              </w:rPr>
              <w:t>.</w:t>
            </w:r>
          </w:p>
        </w:tc>
      </w:tr>
      <w:tr w:rsidR="00B97558" w14:paraId="73F2F109" w14:textId="77777777" w:rsidTr="00B97558">
        <w:tblPrEx>
          <w:tblBorders>
            <w:insideH w:val="single" w:sz="4" w:space="0" w:color="auto"/>
            <w:insideV w:val="single" w:sz="4" w:space="0" w:color="auto"/>
          </w:tblBorders>
        </w:tblPrEx>
        <w:tc>
          <w:tcPr>
            <w:tcW w:w="9071" w:type="dxa"/>
            <w:shd w:val="clear" w:color="auto" w:fill="C5E0B3" w:themeFill="accent6" w:themeFillTint="66"/>
          </w:tcPr>
          <w:p w14:paraId="29EC93E8" w14:textId="77777777" w:rsidR="00B97558" w:rsidRPr="00CF1F55" w:rsidRDefault="00B97558"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57616DB9" w14:textId="77777777" w:rsidR="00657C22" w:rsidRPr="00657C22" w:rsidRDefault="00657C22" w:rsidP="00F46FEB">
      <w:pPr>
        <w:rPr>
          <w:rFonts w:ascii="Arial" w:hAnsi="Arial" w:cs="Arial"/>
          <w:sz w:val="20"/>
        </w:rPr>
      </w:pPr>
    </w:p>
    <w:p w14:paraId="1C5A3EE0" w14:textId="4FBB248D" w:rsidR="00F46FEB" w:rsidRDefault="00F46FEB" w:rsidP="00F46FEB">
      <w:pPr>
        <w:rPr>
          <w:rFonts w:ascii="Arial" w:hAnsi="Arial" w:cs="Arial"/>
          <w:b/>
          <w:bCs/>
          <w:kern w:val="28"/>
          <w:sz w:val="20"/>
          <w:szCs w:val="20"/>
          <w:lang w:val="en-GB"/>
        </w:rPr>
      </w:pPr>
      <w:r>
        <w:rPr>
          <w:rFonts w:ascii="Arial" w:hAnsi="Arial" w:cs="Arial"/>
          <w:b/>
          <w:bCs/>
          <w:sz w:val="20"/>
        </w:rPr>
        <w:br w:type="page"/>
      </w:r>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lastRenderedPageBreak/>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00122115">
        <w:rPr>
          <w:rFonts w:ascii="Arial" w:hAnsi="Arial" w:cs="Arial"/>
          <w:b/>
          <w:bCs/>
          <w:sz w:val="20"/>
        </w:rPr>
        <w:t>cases</w:t>
      </w:r>
    </w:p>
    <w:p w14:paraId="6281B4B8" w14:textId="6D5E5056"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w:t>
      </w:r>
      <w:r w:rsidR="00B311A4">
        <w:rPr>
          <w:rFonts w:ascii="Arial" w:hAnsi="Arial" w:cs="Arial"/>
          <w:sz w:val="20"/>
        </w:rPr>
        <w:t> </w:t>
      </w:r>
      <w:r w:rsidR="00066CC5">
        <w:rPr>
          <w:rFonts w:ascii="Arial" w:hAnsi="Arial" w:cs="Arial"/>
          <w:sz w:val="20"/>
        </w:rPr>
        <w:t>the</w:t>
      </w:r>
      <w:r w:rsidR="00B311A4">
        <w:rPr>
          <w:rFonts w:ascii="Arial" w:hAnsi="Arial" w:cs="Arial"/>
          <w:sz w:val="20"/>
        </w:rPr>
        <w:t> </w:t>
      </w:r>
      <w:r w:rsidR="00066CC5">
        <w:rPr>
          <w:rFonts w:ascii="Arial" w:hAnsi="Arial" w:cs="Arial"/>
          <w:sz w:val="20"/>
        </w:rPr>
        <w:t xml:space="preserve">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r w:rsidR="00DD0DA0" w:rsidRPr="00A31FFA">
        <w:rPr>
          <w:rFonts w:ascii="Arial" w:hAnsi="Arial" w:cs="Arial"/>
          <w:sz w:val="20"/>
        </w:rPr>
        <w:t>–</w:t>
      </w:r>
    </w:p>
    <w:p w14:paraId="20D2CF28" w14:textId="473A58BF"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r w:rsidR="00DD0DA0" w:rsidRPr="00A31FFA">
        <w:rPr>
          <w:rFonts w:ascii="Arial" w:hAnsi="Arial" w:cs="Arial"/>
          <w:sz w:val="20"/>
        </w:rPr>
        <w: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4A3C8039"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r w:rsidR="00DD0DA0" w:rsidRPr="00A31FFA">
        <w:rPr>
          <w:rFonts w:ascii="Arial" w:hAnsi="Arial" w:cs="Arial"/>
          <w:sz w:val="20"/>
        </w:rPr>
        <w:t>–</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134F5A11"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r w:rsidR="00DD0DA0" w:rsidRPr="00A31FFA">
        <w:rPr>
          <w:rFonts w:ascii="Arial" w:hAnsi="Arial" w:cs="Arial"/>
          <w:sz w:val="20"/>
        </w:rPr>
        <w:t>–</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61E79C4A"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C31AA5">
        <w:rPr>
          <w:rFonts w:ascii="Arial" w:hAnsi="Arial" w:cs="Arial"/>
          <w:color w:val="000000"/>
          <w:sz w:val="20"/>
        </w:rPr>
        <w:t xml:space="preserve">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94" w:name="_3.5.5.1_Evidence-in-chief_in"/>
      <w:bookmarkStart w:id="695" w:name="B3551"/>
      <w:bookmarkStart w:id="696" w:name="_3.5.5.1_Use_of"/>
      <w:bookmarkEnd w:id="694"/>
      <w:bookmarkEnd w:id="695"/>
      <w:bookmarkEnd w:id="696"/>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C9D6B57" w:rsidR="00E15762" w:rsidRDefault="00120AA9" w:rsidP="00120AA9">
      <w:pPr>
        <w:spacing w:before="120"/>
        <w:jc w:val="both"/>
        <w:rPr>
          <w:rFonts w:ascii="Arial" w:hAnsi="Arial" w:cs="Arial"/>
          <w:sz w:val="20"/>
        </w:rPr>
      </w:pPr>
      <w:r w:rsidRPr="00C31AA5">
        <w:rPr>
          <w:rFonts w:ascii="Arial" w:hAnsi="Arial" w:cs="Arial"/>
          <w:b/>
          <w:bCs/>
          <w:color w:val="000000" w:themeColor="text1"/>
          <w:sz w:val="20"/>
          <w:shd w:val="clear" w:color="auto" w:fill="FFFF00"/>
        </w:rPr>
        <w:t xml:space="preserve">Division 5 (ss.366-368) of </w:t>
      </w:r>
      <w:r w:rsidR="00481276" w:rsidRPr="00C31AA5">
        <w:rPr>
          <w:rFonts w:ascii="Arial" w:hAnsi="Arial" w:cs="Arial"/>
          <w:b/>
          <w:bCs/>
          <w:color w:val="000000" w:themeColor="text1"/>
          <w:sz w:val="20"/>
          <w:shd w:val="clear" w:color="auto" w:fill="FFFF00"/>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r w:rsidR="00FD5F44" w:rsidRPr="00A31FFA">
        <w:rPr>
          <w:rFonts w:ascii="Arial" w:hAnsi="Arial" w:cs="Arial"/>
          <w:sz w:val="20"/>
        </w:rPr>
        <w:t>–</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3746EB16"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FD5F44" w:rsidRPr="00A31FFA">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6A236EAA"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r w:rsidR="00FD5F44" w:rsidRPr="00A31FFA">
        <w:rPr>
          <w:rFonts w:ascii="Arial" w:hAnsi="Arial" w:cs="Arial"/>
          <w:sz w:val="20"/>
        </w:rPr>
        <w:t>–</w:t>
      </w:r>
    </w:p>
    <w:p w14:paraId="5DB408AD" w14:textId="4A2E5472"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5B005D">
        <w:rPr>
          <w:rFonts w:ascii="Arial" w:hAnsi="Arial" w:cs="Arial"/>
          <w:sz w:val="20"/>
        </w:rPr>
        <w:t xml:space="preserve">: see regulations 6-13 of the </w:t>
      </w:r>
      <w:r w:rsidR="005B005D" w:rsidRPr="00E3289B">
        <w:rPr>
          <w:rFonts w:ascii="Arial" w:hAnsi="Arial" w:cs="Arial"/>
          <w:i/>
          <w:iCs/>
          <w:sz w:val="20"/>
        </w:rPr>
        <w:t>Criminal Procedure Regulations 2020</w:t>
      </w:r>
      <w:r w:rsidR="005B005D">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Winneke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w:t>
      </w:r>
      <w:r w:rsidR="00AC5998">
        <w:rPr>
          <w:rFonts w:ascii="Arial" w:hAnsi="Arial" w:cs="Arial"/>
          <w:sz w:val="20"/>
        </w:rPr>
        <w:lastRenderedPageBreak/>
        <w:t xml:space="preserve">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06358919" w14:textId="5DB713FE" w:rsidR="00447687" w:rsidRPr="00447687" w:rsidRDefault="00481276" w:rsidP="00447687">
      <w:pPr>
        <w:jc w:val="both"/>
        <w:rPr>
          <w:rFonts w:ascii="Arial" w:hAnsi="Arial" w:cs="Arial"/>
          <w:sz w:val="20"/>
          <w:szCs w:val="20"/>
        </w:rPr>
      </w:pPr>
      <w:r w:rsidRPr="00C31AA5">
        <w:rPr>
          <w:rFonts w:ascii="Arial" w:hAnsi="Arial" w:cs="Arial"/>
          <w:b/>
          <w:bCs/>
          <w:color w:val="000000" w:themeColor="text1"/>
          <w:sz w:val="20"/>
          <w:shd w:val="clear" w:color="auto" w:fill="FFFF00"/>
        </w:rPr>
        <w:t>Division 6 (ss.369-376</w:t>
      </w:r>
      <w:r w:rsidR="00C31AA5">
        <w:rPr>
          <w:rFonts w:ascii="Arial" w:hAnsi="Arial" w:cs="Arial"/>
          <w:b/>
          <w:bCs/>
          <w:color w:val="000000" w:themeColor="text1"/>
          <w:sz w:val="20"/>
          <w:shd w:val="clear" w:color="auto" w:fill="FFFF00"/>
        </w:rPr>
        <w:t xml:space="preserve"> and former s.377</w:t>
      </w:r>
      <w:r w:rsidRPr="00C31AA5">
        <w:rPr>
          <w:rFonts w:ascii="Arial" w:hAnsi="Arial" w:cs="Arial"/>
          <w:b/>
          <w:bCs/>
          <w:color w:val="000000" w:themeColor="text1"/>
          <w:sz w:val="20"/>
          <w:shd w:val="clear" w:color="auto" w:fill="FFFF00"/>
        </w:rPr>
        <w:t>)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14021370" w14:textId="77777777" w:rsidR="00066CC5" w:rsidRDefault="00066CC5" w:rsidP="00066CC5">
      <w:pPr>
        <w:jc w:val="both"/>
        <w:rPr>
          <w:rFonts w:ascii="Arial" w:hAnsi="Arial" w:cs="Arial"/>
          <w:sz w:val="20"/>
        </w:rPr>
      </w:pPr>
    </w:p>
    <w:p w14:paraId="2EB06A6F" w14:textId="3BCA7D54" w:rsidR="00066CC5" w:rsidRDefault="00066CC5" w:rsidP="00066CC5">
      <w:pPr>
        <w:jc w:val="both"/>
        <w:rPr>
          <w:rFonts w:ascii="Arial" w:hAnsi="Arial" w:cs="Arial"/>
          <w:sz w:val="20"/>
        </w:rPr>
      </w:pPr>
      <w:r>
        <w:rPr>
          <w:rFonts w:ascii="Arial" w:hAnsi="Arial" w:cs="Arial"/>
          <w:sz w:val="20"/>
        </w:rPr>
        <w:t>Under ss.369-370 the whole of the evidence (including cross-examination and re-examination) of a complainant who</w:t>
      </w:r>
      <w:r w:rsidR="00FD5F44" w:rsidRPr="00A31FFA">
        <w:rPr>
          <w:rFonts w:ascii="Arial" w:hAnsi="Arial" w:cs="Arial"/>
          <w:sz w:val="20"/>
        </w:rPr>
        <w:t>–</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6B43607D"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r w:rsidR="00FD5F44" w:rsidRPr="00A31FFA">
        <w:rPr>
          <w:rFonts w:ascii="Arial" w:hAnsi="Arial" w:cs="Arial"/>
          <w:sz w:val="20"/>
        </w:rPr>
        <w:t>–</w:t>
      </w:r>
    </w:p>
    <w:p w14:paraId="00A05F18" w14:textId="40986EC4"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r w:rsidR="00FD5F44" w:rsidRPr="00A31FFA">
        <w:rPr>
          <w:rFonts w:ascii="Arial" w:hAnsi="Arial" w:cs="Arial"/>
          <w:sz w:val="20"/>
        </w:rPr>
        <w:t>–</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10946C9C"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r w:rsidR="00FD5F44" w:rsidRPr="00A31FFA">
        <w:rPr>
          <w:rFonts w:ascii="Arial" w:hAnsi="Arial" w:cs="Arial"/>
          <w:sz w:val="20"/>
        </w:rPr>
        <w: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is aware of the right to have his or her evidence taken at a special hearing under Division 6 of Part 8.2 and audiovisually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1D324D0F"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r w:rsidR="005B005D">
        <w:rPr>
          <w:rFonts w:ascii="Arial" w:hAnsi="Arial" w:cs="Arial"/>
          <w:sz w:val="20"/>
        </w:rPr>
        <w:t xml:space="preserve"> Section 377 previously provided an exception to the hearsay rule in relation to previous representations made by a complainant under 18 years in certain circumstances. This matter is now provided for in s.66 of the </w:t>
      </w:r>
      <w:r w:rsidR="005B005D" w:rsidRPr="00657C22">
        <w:rPr>
          <w:rFonts w:ascii="Arial" w:hAnsi="Arial" w:cs="Arial"/>
          <w:i/>
          <w:iCs/>
          <w:sz w:val="20"/>
        </w:rPr>
        <w:t>Evidence Act 2008</w:t>
      </w:r>
      <w:r w:rsidR="005B005D">
        <w:rPr>
          <w:rFonts w:ascii="Arial" w:hAnsi="Arial" w:cs="Arial"/>
          <w:sz w:val="20"/>
        </w:rPr>
        <w:t>.</w:t>
      </w:r>
    </w:p>
    <w:p w14:paraId="7452307A" w14:textId="77777777" w:rsidR="00DE379A" w:rsidRDefault="00DE379A" w:rsidP="00DE379A">
      <w:pPr>
        <w:jc w:val="both"/>
        <w:rPr>
          <w:rFonts w:ascii="Arial" w:hAnsi="Arial" w:cs="Arial"/>
          <w:sz w:val="20"/>
        </w:rPr>
      </w:pPr>
    </w:p>
    <w:p w14:paraId="101A9D41" w14:textId="3D9EDFBE" w:rsidR="00DE379A" w:rsidRPr="009F25D4" w:rsidRDefault="00DE379A" w:rsidP="00DE379A">
      <w:pPr>
        <w:pStyle w:val="Heading3"/>
        <w:keepNext/>
        <w:spacing w:line="240" w:lineRule="auto"/>
        <w:rPr>
          <w:rFonts w:ascii="Arial" w:hAnsi="Arial" w:cs="Arial"/>
          <w:b/>
          <w:bCs/>
          <w:color w:val="000000"/>
          <w:sz w:val="20"/>
        </w:rPr>
      </w:pPr>
      <w:bookmarkStart w:id="697" w:name="_3.5.5.2_Evidence_in"/>
      <w:bookmarkStart w:id="698" w:name="B3552"/>
      <w:bookmarkStart w:id="699" w:name="_3.5.5.2_Use_of"/>
      <w:bookmarkEnd w:id="697"/>
      <w:bookmarkEnd w:id="698"/>
      <w:bookmarkEnd w:id="699"/>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sidR="00BB1C44">
        <w:rPr>
          <w:rFonts w:ascii="Arial" w:hAnsi="Arial" w:cs="Arial"/>
          <w:b/>
          <w:sz w:val="20"/>
        </w:rPr>
        <w:t xml:space="preserve">more </w:t>
      </w:r>
      <w:r>
        <w:rPr>
          <w:rFonts w:ascii="Arial" w:hAnsi="Arial" w:cs="Arial"/>
          <w:b/>
          <w:sz w:val="20"/>
        </w:rPr>
        <w:t>generally</w:t>
      </w:r>
    </w:p>
    <w:p w14:paraId="16FD943C" w14:textId="01DD0BC7"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C31AA5">
        <w:rPr>
          <w:rFonts w:ascii="Arial" w:hAnsi="Arial" w:cs="Arial"/>
          <w:b/>
          <w:bCs/>
          <w:color w:val="000000" w:themeColor="text1"/>
          <w:sz w:val="20"/>
          <w:shd w:val="clear" w:color="auto" w:fill="FFFF00"/>
        </w:rPr>
        <w:t>Division 7 (ss.378-38</w:t>
      </w:r>
      <w:r w:rsidR="00BB62AF" w:rsidRPr="00C31AA5">
        <w:rPr>
          <w:rFonts w:ascii="Arial" w:hAnsi="Arial" w:cs="Arial"/>
          <w:b/>
          <w:bCs/>
          <w:color w:val="000000" w:themeColor="text1"/>
          <w:sz w:val="20"/>
          <w:shd w:val="clear" w:color="auto" w:fill="FFFF00"/>
        </w:rPr>
        <w:t>7</w:t>
      </w:r>
      <w:r w:rsidR="00481276" w:rsidRPr="00C31AA5">
        <w:rPr>
          <w:rFonts w:ascii="Arial" w:hAnsi="Arial" w:cs="Arial"/>
          <w:b/>
          <w:bCs/>
          <w:color w:val="000000" w:themeColor="text1"/>
          <w:sz w:val="20"/>
          <w:shd w:val="clear" w:color="auto" w:fill="FFFF00"/>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FD5F44" w:rsidRPr="00A31FFA">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6EFC7A42" w:rsidR="00BB62AF" w:rsidRDefault="002D1BA6" w:rsidP="00BB62AF">
      <w:pPr>
        <w:jc w:val="both"/>
        <w:rPr>
          <w:rFonts w:ascii="Arial" w:hAnsi="Arial" w:cs="Arial"/>
          <w:sz w:val="20"/>
        </w:rPr>
      </w:pPr>
      <w:r>
        <w:rPr>
          <w:rFonts w:ascii="Arial" w:hAnsi="Arial" w:cs="Arial"/>
          <w:sz w:val="20"/>
        </w:rPr>
        <w:t>These provisions have no application 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24B37951" w14:textId="77777777" w:rsidR="003B1399" w:rsidRDefault="003B1399" w:rsidP="003B1399">
      <w:pPr>
        <w:jc w:val="both"/>
        <w:rPr>
          <w:rFonts w:ascii="Arial" w:hAnsi="Arial" w:cs="Arial"/>
          <w:sz w:val="20"/>
        </w:rPr>
      </w:pPr>
    </w:p>
    <w:p w14:paraId="1441E215" w14:textId="2615AA99"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r w:rsidR="00FD5F44" w:rsidRPr="00A31FFA">
        <w:rPr>
          <w:rFonts w:ascii="Arial" w:hAnsi="Arial" w:cs="Arial"/>
          <w:sz w:val="20"/>
        </w:rPr>
        <w: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CB5C4C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FD5F44" w:rsidRPr="00A31FFA">
        <w:rPr>
          <w:rFonts w:ascii="Arial" w:hAnsi="Arial" w:cs="Arial"/>
          <w:sz w:val="20"/>
        </w:rPr>
        <w:t>–</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0BE6083E"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r w:rsidR="00FD5F44" w:rsidRPr="00A31FFA">
        <w:rPr>
          <w:rFonts w:ascii="Arial" w:hAnsi="Arial" w:cs="Arial"/>
          <w:sz w:val="20"/>
        </w:rPr>
        <w: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lastRenderedPageBreak/>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7A (ss.387A</w:t>
      </w:r>
      <w:r w:rsidR="00CF21A2" w:rsidRPr="00C31AA5">
        <w:rPr>
          <w:rFonts w:ascii="Arial" w:hAnsi="Arial" w:cs="Arial"/>
          <w:b/>
          <w:bCs/>
          <w:color w:val="000000" w:themeColor="text1"/>
          <w:sz w:val="20"/>
          <w:shd w:val="clear" w:color="auto" w:fill="FFFF00"/>
        </w:rPr>
        <w:t xml:space="preserve"> &amp; </w:t>
      </w:r>
      <w:r w:rsidR="009B4F19" w:rsidRPr="00C31AA5">
        <w:rPr>
          <w:rFonts w:ascii="Arial" w:hAnsi="Arial" w:cs="Arial"/>
          <w:b/>
          <w:bCs/>
          <w:color w:val="000000" w:themeColor="text1"/>
          <w:sz w:val="20"/>
          <w:shd w:val="clear" w:color="auto" w:fill="FFFF00"/>
        </w:rPr>
        <w:t>B</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3347E3A6" w:rsidR="002E4AE1" w:rsidRDefault="00A77FBB" w:rsidP="002E4AE1">
      <w:pPr>
        <w:jc w:val="both"/>
        <w:rPr>
          <w:rFonts w:ascii="Arial" w:hAnsi="Arial" w:cs="Arial"/>
          <w:sz w:val="20"/>
        </w:rPr>
      </w:pPr>
      <w:r>
        <w:rPr>
          <w:rFonts w:ascii="Arial" w:hAnsi="Arial" w:cs="Arial"/>
          <w:sz w:val="20"/>
        </w:rPr>
        <w:t xml:space="preserve">Section 387B provides that </w:t>
      </w:r>
      <w:r w:rsidR="00FA7DB6" w:rsidRPr="00A77FBB">
        <w:rPr>
          <w:rFonts w:ascii="Arial" w:hAnsi="Arial" w:cs="Arial"/>
          <w:b/>
          <w:bCs/>
          <w:sz w:val="20"/>
          <w:highlight w:val="yellow"/>
        </w:rPr>
        <w:t>Division 7</w:t>
      </w:r>
      <w:r w:rsidR="00FA7DB6">
        <w:rPr>
          <w:rFonts w:ascii="Arial" w:hAnsi="Arial" w:cs="Arial"/>
          <w:sz w:val="20"/>
        </w:rPr>
        <w:t xml:space="preserve"> (other than s.378) applies with relevant modifications to the admissibility of a recording of the complainant’s evidence in a summary hearing in the Children’s Court.</w:t>
      </w:r>
    </w:p>
    <w:p w14:paraId="7C6C2792" w14:textId="5BB7E359"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7B (ss.387</w:t>
      </w:r>
      <w:r w:rsidR="00775924" w:rsidRPr="00C31AA5">
        <w:rPr>
          <w:rFonts w:ascii="Arial" w:hAnsi="Arial" w:cs="Arial"/>
          <w:b/>
          <w:bCs/>
          <w:color w:val="000000" w:themeColor="text1"/>
          <w:sz w:val="20"/>
          <w:shd w:val="clear" w:color="auto" w:fill="FFFF00"/>
        </w:rPr>
        <w:t>C-387P</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r w:rsidR="00FD5F44" w:rsidRPr="00A31FFA">
        <w:rPr>
          <w:rFonts w:ascii="Arial" w:hAnsi="Arial" w:cs="Arial"/>
          <w:sz w:val="20"/>
        </w:rPr>
        <w:t>–</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s.37(2), 37A(2),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7C585601"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r w:rsidR="00FD5F44" w:rsidRPr="00A31FFA">
        <w:rPr>
          <w:rFonts w:ascii="Arial" w:hAnsi="Arial" w:cs="Arial"/>
          <w:sz w:val="20"/>
        </w:rPr>
        <w: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62B21FAA"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r w:rsidR="00FD5F44" w:rsidRPr="00A31FFA">
        <w:rPr>
          <w:rFonts w:ascii="Arial" w:hAnsi="Arial" w:cs="Arial"/>
          <w:sz w:val="20"/>
        </w:rPr>
        <w: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4980CD59"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sidR="00FD5F44" w:rsidRPr="00A31FFA">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.387F(2)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700" w:name="_3.5.6_Contested_Family"/>
      <w:bookmarkStart w:id="701" w:name="B356"/>
      <w:bookmarkStart w:id="702" w:name="_Toc30651654"/>
      <w:bookmarkStart w:id="703" w:name="_Toc30652638"/>
      <w:bookmarkStart w:id="704" w:name="_Toc30652736"/>
      <w:bookmarkStart w:id="705" w:name="_Toc30654081"/>
      <w:bookmarkStart w:id="706" w:name="_Toc30654432"/>
      <w:bookmarkStart w:id="707" w:name="_Toc30655051"/>
      <w:bookmarkStart w:id="708" w:name="_Toc30655308"/>
      <w:bookmarkStart w:id="709" w:name="_Toc30656986"/>
      <w:bookmarkStart w:id="710" w:name="_Toc30661735"/>
      <w:bookmarkStart w:id="711" w:name="_Toc30666423"/>
      <w:bookmarkStart w:id="712" w:name="_Toc30666653"/>
      <w:bookmarkStart w:id="713" w:name="_Toc30667828"/>
      <w:bookmarkStart w:id="714" w:name="_Toc30669206"/>
      <w:bookmarkStart w:id="715" w:name="_Toc30671422"/>
      <w:bookmarkStart w:id="716" w:name="_Toc30673949"/>
      <w:bookmarkStart w:id="717" w:name="_Toc30691171"/>
      <w:bookmarkStart w:id="718" w:name="_Toc30691542"/>
      <w:bookmarkStart w:id="719" w:name="_Toc30691922"/>
      <w:bookmarkStart w:id="720" w:name="_Toc30692681"/>
      <w:bookmarkStart w:id="721" w:name="_Toc30693060"/>
      <w:bookmarkStart w:id="722" w:name="_Toc30693438"/>
      <w:bookmarkStart w:id="723" w:name="_Toc30693817"/>
      <w:bookmarkStart w:id="724" w:name="_Toc30694198"/>
      <w:bookmarkStart w:id="725" w:name="_Toc30698787"/>
      <w:bookmarkStart w:id="726" w:name="_Toc30699165"/>
      <w:bookmarkStart w:id="727" w:name="_Toc30699550"/>
      <w:bookmarkStart w:id="728" w:name="_Toc30700705"/>
      <w:bookmarkStart w:id="729" w:name="_Toc30701092"/>
      <w:bookmarkStart w:id="730" w:name="_Toc30743701"/>
      <w:bookmarkStart w:id="731" w:name="_Toc30754523"/>
      <w:bookmarkStart w:id="732" w:name="_Toc30756963"/>
      <w:bookmarkStart w:id="733" w:name="_Toc30757512"/>
      <w:bookmarkStart w:id="734" w:name="_Toc30757912"/>
      <w:bookmarkStart w:id="735" w:name="_Toc30762673"/>
      <w:bookmarkStart w:id="736" w:name="_Toc30767327"/>
      <w:bookmarkStart w:id="737" w:name="_Toc34823343"/>
      <w:bookmarkStart w:id="738" w:name="_Toc40580922"/>
      <w:bookmarkStart w:id="739" w:name="_Toc40581326"/>
      <w:bookmarkStart w:id="740" w:name="_Toc40581814"/>
      <w:bookmarkStart w:id="741" w:name="_Toc30651655"/>
      <w:bookmarkStart w:id="742" w:name="_Toc30652639"/>
      <w:bookmarkStart w:id="743" w:name="_Toc30652737"/>
      <w:bookmarkStart w:id="744" w:name="_Toc30654082"/>
      <w:bookmarkStart w:id="745" w:name="_Toc30654433"/>
      <w:bookmarkStart w:id="746" w:name="_Toc30655052"/>
      <w:bookmarkStart w:id="747" w:name="_Toc30655309"/>
      <w:bookmarkStart w:id="748" w:name="_Toc30656987"/>
      <w:bookmarkStart w:id="749" w:name="_Toc30661736"/>
      <w:bookmarkStart w:id="750" w:name="_Toc30666424"/>
      <w:bookmarkStart w:id="751" w:name="_Toc30666654"/>
      <w:bookmarkStart w:id="752" w:name="_Toc30667829"/>
      <w:bookmarkStart w:id="753" w:name="_Toc30669207"/>
      <w:bookmarkStart w:id="754" w:name="_Toc30671423"/>
      <w:bookmarkStart w:id="755" w:name="_Toc30673950"/>
      <w:bookmarkStart w:id="756" w:name="_Toc30691172"/>
      <w:bookmarkStart w:id="757" w:name="_Toc30691543"/>
      <w:bookmarkStart w:id="758" w:name="_Toc30691923"/>
      <w:bookmarkStart w:id="759" w:name="_Toc30692682"/>
      <w:bookmarkStart w:id="760" w:name="_Toc30693061"/>
      <w:bookmarkStart w:id="761" w:name="_Toc30693439"/>
      <w:bookmarkStart w:id="762" w:name="_Toc30693818"/>
      <w:bookmarkStart w:id="763" w:name="_Toc30694199"/>
      <w:bookmarkStart w:id="764" w:name="_Toc30698788"/>
      <w:bookmarkStart w:id="765" w:name="_Toc30699166"/>
      <w:bookmarkStart w:id="766" w:name="_Toc30699551"/>
      <w:bookmarkStart w:id="767" w:name="_Toc30700706"/>
      <w:bookmarkStart w:id="768" w:name="_Toc30701093"/>
      <w:bookmarkStart w:id="769" w:name="_Toc30743702"/>
      <w:bookmarkStart w:id="770" w:name="_Toc30754524"/>
      <w:bookmarkStart w:id="771" w:name="_Toc30756964"/>
      <w:bookmarkStart w:id="772" w:name="_Toc30757513"/>
      <w:bookmarkStart w:id="773" w:name="_Toc30757913"/>
      <w:bookmarkStart w:id="774" w:name="_Toc30762674"/>
      <w:bookmarkStart w:id="775" w:name="_Toc30767328"/>
      <w:bookmarkStart w:id="776" w:name="_Toc34823344"/>
      <w:bookmarkEnd w:id="700"/>
      <w:bookmarkEnd w:id="701"/>
      <w:r>
        <w:rPr>
          <w:rFonts w:ascii="Arial" w:hAnsi="Arial" w:cs="Arial"/>
          <w:b/>
          <w:bCs/>
          <w:sz w:val="20"/>
        </w:rPr>
        <w:t>3.5.6</w:t>
      </w:r>
      <w:r>
        <w:rPr>
          <w:rFonts w:ascii="Arial" w:hAnsi="Arial" w:cs="Arial"/>
          <w:b/>
          <w:bCs/>
          <w:sz w:val="20"/>
        </w:rPr>
        <w:tab/>
        <w:t>Contested Family Division case</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77" w:name="_3.5.6.1_The_usual"/>
      <w:bookmarkStart w:id="778" w:name="B3561"/>
      <w:bookmarkEnd w:id="777"/>
      <w:bookmarkEnd w:id="778"/>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Heydon J</w:t>
      </w:r>
      <w:r w:rsidR="00182570">
        <w:rPr>
          <w:rFonts w:ascii="Arial" w:hAnsi="Arial" w:cs="Arial"/>
          <w:sz w:val="20"/>
        </w:rPr>
        <w:t xml:space="preserve">.  Where there are conflicting accounts or material, </w:t>
      </w:r>
      <w:r w:rsidR="00182570">
        <w:rPr>
          <w:rFonts w:ascii="Arial" w:hAnsi="Arial" w:cs="Arial"/>
          <w:sz w:val="20"/>
        </w:rPr>
        <w:lastRenderedPageBreak/>
        <w:t>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r w:rsidR="007A3695" w:rsidRPr="007A3695">
        <w:rPr>
          <w:rFonts w:ascii="Arial" w:hAnsi="Arial" w:cs="Arial"/>
          <w:i/>
          <w:iCs/>
          <w:sz w:val="20"/>
        </w:rPr>
        <w:t>Eumeralla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31AA5">
      <w:pPr>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esp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79" w:name="_3.5.6.2_Informal_procedure"/>
      <w:bookmarkStart w:id="780" w:name="B3562"/>
      <w:bookmarkEnd w:id="779"/>
      <w:bookmarkEnd w:id="780"/>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r w:rsidR="00052871" w:rsidRPr="00741D02">
        <w:rPr>
          <w:rFonts w:ascii="Arial" w:hAnsi="Arial" w:cs="Arial"/>
          <w:i/>
          <w:iCs/>
          <w:sz w:val="20"/>
        </w:rPr>
        <w:t xml:space="preserve">parte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(Cth)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r w:rsidRPr="00741D02">
        <w:rPr>
          <w:rFonts w:ascii="Arial" w:hAnsi="Arial" w:cs="Arial"/>
          <w:i/>
          <w:iCs/>
          <w:sz w:val="20"/>
        </w:rPr>
        <w:t>parte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Re JRL; Ex parte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w:t>
      </w:r>
      <w:r>
        <w:rPr>
          <w:rFonts w:ascii="Arial" w:hAnsi="Arial" w:cs="Arial"/>
          <w:iCs/>
          <w:sz w:val="20"/>
        </w:rPr>
        <w:lastRenderedPageBreak/>
        <w:t xml:space="preserve">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275FC817" w:rsidR="00D9355C" w:rsidRDefault="00D9355C" w:rsidP="00D17F43">
      <w:pPr>
        <w:jc w:val="both"/>
        <w:rPr>
          <w:rFonts w:ascii="Arial" w:hAnsi="Arial" w:cs="Arial"/>
          <w:sz w:val="20"/>
        </w:rPr>
      </w:pPr>
      <w:r>
        <w:rPr>
          <w:rFonts w:ascii="Arial" w:hAnsi="Arial" w:cs="Arial"/>
          <w:sz w:val="20"/>
        </w:rPr>
        <w:t>In</w:t>
      </w:r>
      <w:r w:rsidR="009406A5">
        <w:rPr>
          <w:rFonts w:ascii="Arial" w:hAnsi="Arial" w:cs="Arial"/>
          <w:sz w:val="20"/>
        </w:rPr>
        <w:t xml:space="preserve">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delivered at a conference in Capetown,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w:t>
      </w:r>
      <w:r>
        <w:rPr>
          <w:rFonts w:ascii="Arial" w:hAnsi="Arial" w:cs="Arial"/>
          <w:sz w:val="20"/>
        </w:rPr>
        <w:lastRenderedPageBreak/>
        <w:t xml:space="preserve">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81" w:name="_3.5.6.3_Section_215B"/>
      <w:bookmarkStart w:id="782" w:name="_3.5.6.3_Management_of"/>
      <w:bookmarkStart w:id="783" w:name="B3563"/>
      <w:bookmarkEnd w:id="781"/>
      <w:bookmarkEnd w:id="782"/>
      <w:bookmarkEnd w:id="783"/>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r w:rsidR="00AB2E5E" w:rsidRPr="00741D02">
        <w:rPr>
          <w:rFonts w:ascii="Arial" w:hAnsi="Arial" w:cs="Arial"/>
          <w:i/>
          <w:iCs/>
          <w:sz w:val="20"/>
        </w:rPr>
        <w:t>parte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15E63D88"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r w:rsidR="00FD5F44" w:rsidRPr="00A31FFA">
        <w:rPr>
          <w:rFonts w:ascii="Arial" w:hAnsi="Arial" w:cs="Arial"/>
          <w:sz w:val="20"/>
        </w:rPr>
        <w: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Family Violence Protection Act 2008</w:t>
      </w:r>
      <w:r>
        <w:rPr>
          <w:rFonts w:ascii="Arial" w:hAnsi="Arial" w:cs="Arial"/>
          <w:color w:val="000000"/>
          <w:sz w:val="20"/>
          <w:lang w:val="en-US"/>
        </w:rPr>
        <w:t>;</w:t>
      </w:r>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(Cth)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Street">
        <w:smartTag w:uri="urn:schemas-microsoft-com:office:smarttags" w:element="address">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w:t>
      </w:r>
      <w:r>
        <w:rPr>
          <w:rFonts w:ascii="Arial" w:hAnsi="Arial" w:cs="Arial"/>
          <w:iCs/>
          <w:sz w:val="20"/>
        </w:rPr>
        <w:lastRenderedPageBreak/>
        <w:t xml:space="preserve">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(Cth) which was inserted by the </w:t>
      </w:r>
      <w:r w:rsidRPr="0058675C">
        <w:rPr>
          <w:rFonts w:ascii="Arial" w:hAnsi="Arial" w:cs="Arial"/>
          <w:i/>
          <w:sz w:val="20"/>
        </w:rPr>
        <w:t>Family Law Amendment (Shared Parental Responsibility) Act 2006</w:t>
      </w:r>
      <w:r>
        <w:rPr>
          <w:rFonts w:ascii="Arial" w:hAnsi="Arial" w:cs="Arial"/>
          <w:iCs/>
          <w:sz w:val="20"/>
        </w:rPr>
        <w:t xml:space="preserve"> (Cth).</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Street">
        <w:smartTag w:uri="urn:schemas-microsoft-com:office:smarttags" w:element="address">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84" w:name="_3.5.6.4_Obligation_to"/>
      <w:bookmarkStart w:id="785" w:name="B3564"/>
      <w:bookmarkEnd w:id="784"/>
      <w:bookmarkEnd w:id="785"/>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2811765C"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FD5F44" w:rsidRPr="00A31FFA">
        <w:rPr>
          <w:rFonts w:ascii="Arial" w:hAnsi="Arial" w:cs="Arial"/>
          <w:sz w:val="20"/>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r w:rsidR="004C360E">
        <w:rPr>
          <w:rFonts w:ascii="Arial" w:hAnsi="Arial" w:cs="Arial"/>
          <w:color w:val="000000"/>
          <w:sz w:val="20"/>
          <w:lang w:val="en-US"/>
        </w:rPr>
        <w:t xml:space="preserve">all of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Susteren v Packaje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w:t>
      </w:r>
      <w:r w:rsidRPr="000F6283">
        <w:rPr>
          <w:rFonts w:ascii="Arial" w:hAnsi="Arial" w:cs="Arial"/>
          <w:sz w:val="20"/>
          <w:szCs w:val="20"/>
        </w:rPr>
        <w:lastRenderedPageBreak/>
        <w:t>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FamCAFC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parte Customs Officers Association of </w:t>
      </w:r>
      <w:smartTag w:uri="urn:schemas-microsoft-com:office:smarttags" w:element="place">
        <w:smartTag w:uri="urn:schemas-microsoft-com:office:smarttags" w:element="country-region">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Re JRL; Ex parte CJL</w:t>
      </w:r>
      <w:r>
        <w:rPr>
          <w:rFonts w:ascii="Arial" w:hAnsi="Arial" w:cs="Arial"/>
          <w:bCs/>
          <w:sz w:val="20"/>
        </w:rPr>
        <w:t xml:space="preserve"> (1986) 161 CLR 342; </w:t>
      </w:r>
      <w:r w:rsidRPr="00061CF0">
        <w:rPr>
          <w:rFonts w:ascii="Arial" w:hAnsi="Arial" w:cs="Arial"/>
          <w:bCs/>
          <w:i/>
          <w:sz w:val="20"/>
        </w:rPr>
        <w:t>J v Leischke</w:t>
      </w:r>
      <w:r>
        <w:rPr>
          <w:rFonts w:ascii="Arial" w:hAnsi="Arial" w:cs="Arial"/>
          <w:bCs/>
          <w:sz w:val="20"/>
        </w:rPr>
        <w:t xml:space="preserve"> (1987) 162 CLR 447.  The process adopted in the LAT, particularly on Day 1, gives no warrant to compromise fairness and the usual requirements must be met.  These are that 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86"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Re Pochi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Deputy Industrial Injuries Commissioner; ex parte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Re Pochi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xml:space="preserve"> (2003) 20 VAR 227, 235.  But courts or tribunals operating under such provisions are not required to apply </w:t>
      </w:r>
      <w:r w:rsidRPr="00A24DDE">
        <w:rPr>
          <w:rFonts w:ascii="Arial" w:hAnsi="Arial" w:cs="Arial"/>
          <w:color w:val="000000"/>
          <w:sz w:val="20"/>
          <w:szCs w:val="20"/>
          <w:bdr w:val="none" w:sz="0" w:space="0" w:color="auto" w:frame="1"/>
        </w:rPr>
        <w:lastRenderedPageBreak/>
        <w:t>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248 per Starke J and 256 per Evatt J; </w:t>
      </w:r>
      <w:r w:rsidRPr="00A24DDE">
        <w:rPr>
          <w:rFonts w:ascii="Arial" w:hAnsi="Arial" w:cs="Arial"/>
          <w:i/>
          <w:iCs/>
          <w:color w:val="000000"/>
          <w:sz w:val="20"/>
          <w:szCs w:val="20"/>
          <w:bdr w:val="none" w:sz="0" w:space="0" w:color="auto" w:frame="1"/>
        </w:rPr>
        <w:t>Wajnberg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J v Leischke</w:t>
      </w:r>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 xml:space="preserve">Four Aboriginal children were removed from their grandmother’s home by the Secretary of the Department of Human Services because they were in need of protection. They were then placed separately in out of home care with non-Aboriginal families. No </w:t>
      </w:r>
      <w:r w:rsidRPr="003A5D77">
        <w:rPr>
          <w:rFonts w:ascii="Arial" w:hAnsi="Arial" w:cs="Arial"/>
          <w:bCs/>
          <w:color w:val="000000"/>
          <w:sz w:val="20"/>
        </w:rPr>
        <w:lastRenderedPageBreak/>
        <w:t>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86"/>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 xml:space="preserve">In certain cases it may be necessary for the </w:t>
      </w:r>
      <w:r w:rsidRPr="00390D54">
        <w:rPr>
          <w:rFonts w:ascii="Arial" w:hAnsi="Arial" w:cs="Arial"/>
          <w:b/>
          <w:bCs/>
          <w:sz w:val="20"/>
          <w:szCs w:val="20"/>
        </w:rPr>
        <w:lastRenderedPageBreak/>
        <w:t>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Brennan J in </w:t>
      </w:r>
      <w:r w:rsidRPr="00367E55">
        <w:rPr>
          <w:rFonts w:ascii="Arial" w:hAnsi="Arial" w:cs="Arial"/>
          <w:i/>
          <w:sz w:val="20"/>
          <w:szCs w:val="20"/>
        </w:rPr>
        <w:t>J v Lieschke</w:t>
      </w:r>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r w:rsidR="007526D0" w:rsidRPr="007526D0">
        <w:rPr>
          <w:rFonts w:ascii="Arial" w:hAnsi="Arial" w:cs="Arial"/>
          <w:i/>
          <w:sz w:val="20"/>
          <w:szCs w:val="20"/>
        </w:rPr>
        <w:t>parte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62932109"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r w:rsidR="00FD5F44" w:rsidRPr="00A31FFA">
        <w:rPr>
          <w:rFonts w:ascii="Arial" w:hAnsi="Arial" w:cs="Arial"/>
          <w:sz w:val="20"/>
        </w:rPr>
        <w:t>–</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r w:rsidR="00AB2E5E" w:rsidRPr="00EE4465">
        <w:rPr>
          <w:rFonts w:ascii="Arial" w:hAnsi="Arial" w:cs="Arial"/>
          <w:i/>
          <w:sz w:val="20"/>
        </w:rPr>
        <w:t>Macdiggers Pty Ltd v Maria Dickinson and Peter Dickinson</w:t>
      </w:r>
      <w:r w:rsidR="007A12D2">
        <w:rPr>
          <w:rFonts w:ascii="Arial" w:hAnsi="Arial" w:cs="Arial"/>
          <w:sz w:val="20"/>
        </w:rPr>
        <w:t xml:space="preserve"> [2008] VSC 576 at [23]</w:t>
      </w:r>
      <w:r w:rsidR="007A12D2">
        <w:rPr>
          <w:rFonts w:ascii="Arial" w:hAnsi="Arial" w:cs="Arial"/>
          <w:sz w:val="20"/>
        </w:rPr>
        <w:noBreakHyphen/>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R v Kerbaitch</w:t>
      </w:r>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87" w:name="_3.5.6.5_Tips_for"/>
      <w:bookmarkEnd w:id="787"/>
      <w:r>
        <w:rPr>
          <w:rFonts w:ascii="Arial" w:hAnsi="Arial" w:cs="Arial"/>
          <w:b/>
          <w:bCs/>
          <w:sz w:val="20"/>
        </w:rPr>
        <w:lastRenderedPageBreak/>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88"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88"/>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v Coswello</w:t>
      </w:r>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VChC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89" w:name="_3.5.7_The_Less"/>
      <w:bookmarkStart w:id="790" w:name="B357"/>
      <w:bookmarkStart w:id="791" w:name="_3.5.7_Gaol_order"/>
      <w:bookmarkStart w:id="792" w:name="_3.5.7_Compelling_production"/>
      <w:bookmarkEnd w:id="789"/>
      <w:bookmarkEnd w:id="790"/>
      <w:bookmarkEnd w:id="791"/>
      <w:bookmarkEnd w:id="792"/>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93" w:name="_Ref525641622"/>
      <w:r>
        <w:rPr>
          <w:bCs/>
          <w:lang w:eastAsia="en-AU" w:bidi="en-AU"/>
        </w:rPr>
        <w:tab/>
      </w:r>
      <w:bookmarkStart w:id="794"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93"/>
      <w:bookmarkEnd w:id="794"/>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An order for the removal of a prisoner under subregulation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55I(3) of the Act, while a prisoner who is ordered to be brought before a court or coroner is absent from a prison, the prisoner is in the legal custody of the person or persons having custody of the prisoner under the order made under subregulation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The person who has custody of a prisoner under subregulation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(Cth)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4AD5CD4" w14:textId="1464E0A4" w:rsidR="00B21DA4" w:rsidRDefault="00B21DA4" w:rsidP="00685B88">
      <w:pPr>
        <w:pStyle w:val="Heading3"/>
        <w:keepNext/>
        <w:keepLines/>
        <w:spacing w:after="120" w:line="240" w:lineRule="auto"/>
        <w:rPr>
          <w:rFonts w:ascii="Arial" w:hAnsi="Arial" w:cs="Arial"/>
          <w:b/>
          <w:bCs/>
          <w:sz w:val="20"/>
        </w:rPr>
      </w:pPr>
      <w:bookmarkStart w:id="795" w:name="_3.5.8_Use_of_1"/>
      <w:bookmarkEnd w:id="795"/>
      <w:r>
        <w:rPr>
          <w:rFonts w:ascii="Arial" w:hAnsi="Arial" w:cs="Arial"/>
          <w:b/>
          <w:bCs/>
          <w:sz w:val="20"/>
        </w:rPr>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5707635F"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r w:rsidR="00A77FBB">
        <w:rPr>
          <w:rFonts w:ascii="Arial" w:hAnsi="Arial" w:cs="Arial"/>
          <w:sz w:val="20"/>
        </w:rPr>
        <w:t xml:space="preserve">: see </w:t>
      </w:r>
      <w:r w:rsidR="00A77FBB" w:rsidRPr="00A77FBB">
        <w:rPr>
          <w:rFonts w:ascii="Arial" w:hAnsi="Arial" w:cs="Arial"/>
          <w:b/>
          <w:bCs/>
          <w:sz w:val="20"/>
          <w:shd w:val="clear" w:color="auto" w:fill="C5E0B3" w:themeFill="accent6" w:themeFillTint="66"/>
        </w:rPr>
        <w:t>section 3.5.5.2</w:t>
      </w:r>
      <w:r w:rsidR="00A77FBB">
        <w:rPr>
          <w:rFonts w:ascii="Arial" w:hAnsi="Arial" w:cs="Arial"/>
          <w:sz w:val="20"/>
        </w:rPr>
        <w:t xml:space="preserve"> above.</w:t>
      </w:r>
    </w:p>
    <w:p w14:paraId="72BC2932" w14:textId="77777777" w:rsidR="00036D92" w:rsidRDefault="00036D92" w:rsidP="002F68AE">
      <w:pPr>
        <w:jc w:val="both"/>
        <w:rPr>
          <w:rFonts w:ascii="Arial" w:hAnsi="Arial" w:cs="Arial"/>
          <w:sz w:val="20"/>
        </w:rPr>
      </w:pPr>
    </w:p>
    <w:p w14:paraId="6243850E" w14:textId="313156E0"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r w:rsidR="00FD5F44" w:rsidRPr="00A31FFA">
        <w:rPr>
          <w:rFonts w:ascii="Arial" w:hAnsi="Arial" w:cs="Arial"/>
          <w:sz w:val="20"/>
        </w:rPr>
        <w:t>–</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14A13992"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r w:rsidR="00FD5F44" w:rsidRPr="00A31FFA">
        <w:rPr>
          <w:rFonts w:ascii="Arial" w:hAnsi="Arial" w:cs="Arial"/>
          <w:sz w:val="20"/>
        </w:rPr>
        <w:t>–</w:t>
      </w:r>
    </w:p>
    <w:p w14:paraId="47F9F88E" w14:textId="77777777" w:rsidR="00734FFF" w:rsidRDefault="00734FFF" w:rsidP="000F1151">
      <w:pPr>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Default="009B2C8B" w:rsidP="0099353B">
      <w:pPr>
        <w:jc w:val="both"/>
        <w:rPr>
          <w:rFonts w:ascii="Arial" w:hAnsi="Arial" w:cs="Arial"/>
          <w:sz w:val="20"/>
        </w:rPr>
      </w:pPr>
    </w:p>
    <w:p w14:paraId="6FDE5B1A" w14:textId="77777777" w:rsidR="009D1D64" w:rsidRPr="00BD3BA0" w:rsidRDefault="009D1D64" w:rsidP="009D1D64">
      <w:pPr>
        <w:jc w:val="center"/>
        <w:rPr>
          <w:rFonts w:ascii="Arial" w:hAnsi="Arial" w:cs="Arial"/>
          <w:b/>
          <w:bCs/>
          <w:sz w:val="22"/>
          <w:szCs w:val="28"/>
        </w:rPr>
      </w:pPr>
      <w:r w:rsidRPr="00BD3BA0">
        <w:rPr>
          <w:rFonts w:ascii="Arial" w:hAnsi="Arial" w:cs="Arial"/>
          <w:b/>
          <w:bCs/>
          <w:sz w:val="22"/>
          <w:szCs w:val="28"/>
        </w:rPr>
        <w:t>THE REST OF THIS PAGE IS BLANK</w:t>
      </w:r>
    </w:p>
    <w:p w14:paraId="4059EEE1" w14:textId="77777777" w:rsidR="009D1D64" w:rsidRDefault="009D1D64" w:rsidP="009D1D64">
      <w:pPr>
        <w:rPr>
          <w:rFonts w:ascii="Arial" w:hAnsi="Arial" w:cs="Arial"/>
          <w:sz w:val="20"/>
        </w:rPr>
      </w:pPr>
    </w:p>
    <w:p w14:paraId="0C92B302" w14:textId="77777777" w:rsidR="009D1D64" w:rsidRDefault="009D1D64">
      <w:pPr>
        <w:rPr>
          <w:rFonts w:ascii="Arial" w:hAnsi="Arial" w:cs="Arial"/>
          <w:b/>
          <w:bCs/>
          <w:color w:val="000000"/>
          <w:kern w:val="28"/>
          <w:sz w:val="20"/>
          <w:szCs w:val="20"/>
          <w:lang w:val="en-GB"/>
        </w:rPr>
      </w:pPr>
      <w:bookmarkStart w:id="796" w:name="_3.5.9_Production_of"/>
      <w:bookmarkStart w:id="797" w:name="B359"/>
      <w:bookmarkEnd w:id="796"/>
      <w:bookmarkEnd w:id="797"/>
      <w:r>
        <w:rPr>
          <w:rFonts w:ascii="Arial" w:hAnsi="Arial" w:cs="Arial"/>
          <w:b/>
          <w:bCs/>
          <w:color w:val="000000"/>
          <w:sz w:val="20"/>
        </w:rPr>
        <w:br w:type="page"/>
      </w:r>
    </w:p>
    <w:p w14:paraId="11017296" w14:textId="3CD9DA26" w:rsidR="0099353B" w:rsidRPr="009F25D4" w:rsidRDefault="0099353B" w:rsidP="0099353B">
      <w:pPr>
        <w:pStyle w:val="Heading3"/>
        <w:keepNext/>
        <w:spacing w:after="120" w:line="240" w:lineRule="auto"/>
        <w:rPr>
          <w:rFonts w:ascii="Arial" w:hAnsi="Arial" w:cs="Arial"/>
          <w:b/>
          <w:bCs/>
          <w:color w:val="000000"/>
          <w:sz w:val="20"/>
        </w:rPr>
      </w:pPr>
      <w:r w:rsidRPr="009F25D4">
        <w:rPr>
          <w:rFonts w:ascii="Arial" w:hAnsi="Arial" w:cs="Arial"/>
          <w:b/>
          <w:bCs/>
          <w:color w:val="000000"/>
          <w:sz w:val="20"/>
        </w:rPr>
        <w:lastRenderedPageBreak/>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Hayne, Heydon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answers to interrogatories, documents produced on subpoena, documents produced for the purposes of taxation of costs</w:t>
      </w:r>
      <w:bookmarkStart w:id="798"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98"/>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Re Clarinda Pty Ltd (in liq)</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Springfield Nominees Pty Ltd v Bridgelands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99" w:name="_3.5.9.1__Production"/>
      <w:bookmarkStart w:id="800" w:name="_Hlk188525439"/>
      <w:bookmarkEnd w:id="799"/>
      <w:r w:rsidRPr="009F25D4">
        <w:rPr>
          <w:rFonts w:ascii="Arial" w:hAnsi="Arial" w:cs="Arial"/>
          <w:b/>
          <w:bCs/>
          <w:color w:val="000000"/>
          <w:sz w:val="20"/>
        </w:rPr>
        <w:t>3.5.9.1  Production under sub-poena</w:t>
      </w:r>
    </w:p>
    <w:p w14:paraId="07CEAD42" w14:textId="43E73AED" w:rsidR="003F4824" w:rsidRDefault="003F4824" w:rsidP="00132D91">
      <w:pPr>
        <w:spacing w:before="120"/>
        <w:jc w:val="both"/>
        <w:rPr>
          <w:rFonts w:ascii="Arial" w:hAnsi="Arial" w:cs="Arial"/>
          <w:color w:val="000000"/>
          <w:sz w:val="20"/>
        </w:rPr>
      </w:pPr>
      <w:r>
        <w:rPr>
          <w:rFonts w:ascii="Arial" w:hAnsi="Arial" w:cs="Arial"/>
          <w:color w:val="000000"/>
          <w:sz w:val="20"/>
        </w:rPr>
        <w:t>In a paper entitled “</w:t>
      </w:r>
      <w:r w:rsidRPr="003F4824">
        <w:rPr>
          <w:rFonts w:ascii="Arial" w:hAnsi="Arial" w:cs="Arial"/>
          <w:b/>
          <w:bCs/>
          <w:color w:val="000000"/>
          <w:sz w:val="20"/>
        </w:rPr>
        <w:t>Subpoena Challenges</w:t>
      </w:r>
      <w:r>
        <w:rPr>
          <w:rFonts w:ascii="Arial" w:hAnsi="Arial" w:cs="Arial"/>
          <w:color w:val="000000"/>
          <w:sz w:val="20"/>
        </w:rPr>
        <w:t>” dated 24/02/2018 Magistrate John O’Callaghan wrote at p.1:</w:t>
      </w:r>
    </w:p>
    <w:p w14:paraId="7891DB9F" w14:textId="15368754" w:rsidR="003F4824" w:rsidRPr="0040353D" w:rsidRDefault="003F4824" w:rsidP="003F4824">
      <w:pPr>
        <w:spacing w:before="60"/>
        <w:ind w:left="454" w:right="454"/>
        <w:jc w:val="both"/>
        <w:rPr>
          <w:rFonts w:ascii="Arial" w:hAnsi="Arial" w:cs="Arial"/>
          <w:iCs/>
          <w:color w:val="000000"/>
          <w:sz w:val="20"/>
        </w:rPr>
      </w:pPr>
      <w:r>
        <w:rPr>
          <w:rFonts w:ascii="Arial" w:hAnsi="Arial" w:cs="Arial"/>
          <w:iCs/>
          <w:color w:val="000000"/>
          <w:sz w:val="20"/>
        </w:rPr>
        <w:t xml:space="preserve">“Whilst the criminal procedure rules and civil rules [of the various courts] provide for disclosure obligations, there is no obligation on third parties to provide relevant documents or material to any of the parties to the criminal or civil case. Accordingly, a subpoena is the only way [for] an accused or party in civil proceedings to compulsorily obtain relevant information from third parties: </w:t>
      </w:r>
      <w:r w:rsidRPr="003F4824">
        <w:rPr>
          <w:rFonts w:ascii="Arial" w:hAnsi="Arial" w:cs="Arial"/>
          <w:i/>
          <w:color w:val="000000"/>
          <w:sz w:val="20"/>
        </w:rPr>
        <w:t>R v Mokbel (Ruling No 1)</w:t>
      </w:r>
      <w:r>
        <w:rPr>
          <w:rFonts w:ascii="Arial" w:hAnsi="Arial" w:cs="Arial"/>
          <w:iCs/>
          <w:color w:val="000000"/>
          <w:sz w:val="20"/>
        </w:rPr>
        <w:t xml:space="preserve"> [2005] VSC 410.”</w:t>
      </w:r>
    </w:p>
    <w:p w14:paraId="7EADC539" w14:textId="07768BB5" w:rsidR="003F4824" w:rsidRDefault="003F4824" w:rsidP="00132D91">
      <w:pPr>
        <w:spacing w:before="120"/>
        <w:jc w:val="both"/>
        <w:rPr>
          <w:rFonts w:ascii="Arial" w:hAnsi="Arial" w:cs="Arial"/>
          <w:color w:val="000000"/>
          <w:sz w:val="20"/>
        </w:rPr>
      </w:pPr>
      <w:r>
        <w:rPr>
          <w:rFonts w:ascii="Arial" w:hAnsi="Arial" w:cs="Arial"/>
          <w:color w:val="000000"/>
          <w:sz w:val="20"/>
        </w:rPr>
        <w:t xml:space="preserve">At pp.4-6 his Honour summarised the </w:t>
      </w:r>
      <w:r w:rsidR="000920EB">
        <w:rPr>
          <w:rFonts w:ascii="Arial" w:hAnsi="Arial" w:cs="Arial"/>
          <w:color w:val="000000"/>
          <w:sz w:val="20"/>
        </w:rPr>
        <w:t>“</w:t>
      </w:r>
      <w:r w:rsidRPr="000920EB">
        <w:rPr>
          <w:rFonts w:ascii="Arial" w:hAnsi="Arial" w:cs="Arial"/>
          <w:b/>
          <w:bCs/>
          <w:color w:val="000000"/>
          <w:sz w:val="20"/>
        </w:rPr>
        <w:t xml:space="preserve">Basic </w:t>
      </w:r>
      <w:r w:rsidR="000920EB" w:rsidRPr="000920EB">
        <w:rPr>
          <w:rFonts w:ascii="Arial" w:hAnsi="Arial" w:cs="Arial"/>
          <w:b/>
          <w:bCs/>
          <w:color w:val="000000"/>
          <w:sz w:val="20"/>
        </w:rPr>
        <w:t>p</w:t>
      </w:r>
      <w:r w:rsidRPr="000920EB">
        <w:rPr>
          <w:rFonts w:ascii="Arial" w:hAnsi="Arial" w:cs="Arial"/>
          <w:b/>
          <w:bCs/>
          <w:color w:val="000000"/>
          <w:sz w:val="20"/>
        </w:rPr>
        <w:t>rinciples applicable to a subpoena contest</w:t>
      </w:r>
      <w:r w:rsidR="000920EB">
        <w:rPr>
          <w:rFonts w:ascii="Arial" w:hAnsi="Arial" w:cs="Arial"/>
          <w:color w:val="000000"/>
          <w:sz w:val="20"/>
        </w:rPr>
        <w:t>”</w:t>
      </w:r>
      <w:r>
        <w:rPr>
          <w:rFonts w:ascii="Arial" w:hAnsi="Arial" w:cs="Arial"/>
          <w:color w:val="000000"/>
          <w:sz w:val="20"/>
        </w:rPr>
        <w:t xml:space="preserve"> as follows:</w:t>
      </w:r>
    </w:p>
    <w:p w14:paraId="78F02353" w14:textId="34CC0684" w:rsidR="000920EB" w:rsidRPr="0040353D" w:rsidRDefault="000920EB" w:rsidP="000920EB">
      <w:pPr>
        <w:spacing w:before="60"/>
        <w:ind w:left="454" w:right="454"/>
        <w:jc w:val="both"/>
        <w:rPr>
          <w:rFonts w:ascii="Arial" w:hAnsi="Arial" w:cs="Arial"/>
          <w:iCs/>
          <w:color w:val="000000"/>
          <w:sz w:val="20"/>
        </w:rPr>
      </w:pPr>
      <w:r>
        <w:rPr>
          <w:rFonts w:ascii="Arial" w:hAnsi="Arial" w:cs="Arial"/>
          <w:iCs/>
          <w:color w:val="000000"/>
          <w:sz w:val="20"/>
        </w:rPr>
        <w:t>“In determining a subpoena contest, the following are the basic principles that the court must apply [</w:t>
      </w:r>
      <w:r w:rsidRPr="000920EB">
        <w:rPr>
          <w:rFonts w:ascii="Arial" w:hAnsi="Arial" w:cs="Arial"/>
          <w:i/>
          <w:color w:val="000000"/>
          <w:sz w:val="20"/>
        </w:rPr>
        <w:t>Matthews v SPI Electricity Pty Ltd (No 12)</w:t>
      </w:r>
      <w:r>
        <w:rPr>
          <w:rFonts w:ascii="Arial" w:hAnsi="Arial" w:cs="Arial"/>
          <w:iCs/>
          <w:color w:val="000000"/>
          <w:sz w:val="20"/>
        </w:rPr>
        <w:t xml:space="preserve"> [2014] VSC 131 [9]; </w:t>
      </w:r>
      <w:r w:rsidRPr="000920EB">
        <w:rPr>
          <w:rFonts w:ascii="Arial" w:hAnsi="Arial" w:cs="Arial"/>
          <w:i/>
          <w:color w:val="000000"/>
          <w:sz w:val="20"/>
        </w:rPr>
        <w:t>Webb v Wheatley</w:t>
      </w:r>
      <w:r>
        <w:rPr>
          <w:rFonts w:ascii="Arial" w:hAnsi="Arial" w:cs="Arial"/>
          <w:iCs/>
          <w:color w:val="000000"/>
          <w:sz w:val="20"/>
        </w:rPr>
        <w:t xml:space="preserve"> [2015] VSC 153]:</w:t>
      </w:r>
    </w:p>
    <w:p w14:paraId="5DB36A2B" w14:textId="4CF1D132" w:rsidR="003F4824" w:rsidRPr="00653C5B" w:rsidRDefault="000920E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It is necessary for the party at whose request the witness summons was issued to identify expressly and precisely the legitimate forensic purpose for which access to the document is sought [</w:t>
      </w:r>
      <w:r w:rsidRPr="00653C5B">
        <w:rPr>
          <w:rFonts w:ascii="Arial" w:hAnsi="Arial" w:cs="Arial"/>
          <w:i/>
          <w:iCs/>
          <w:color w:val="000000"/>
          <w:sz w:val="20"/>
        </w:rPr>
        <w:t>R v Saleam</w:t>
      </w:r>
      <w:r>
        <w:rPr>
          <w:rFonts w:ascii="Arial" w:hAnsi="Arial" w:cs="Arial"/>
          <w:color w:val="000000"/>
          <w:sz w:val="20"/>
        </w:rPr>
        <w:t xml:space="preserve"> </w:t>
      </w:r>
      <w:r w:rsidR="00653C5B">
        <w:rPr>
          <w:rFonts w:ascii="Arial" w:hAnsi="Arial" w:cs="Arial"/>
          <w:color w:val="000000"/>
          <w:sz w:val="20"/>
        </w:rPr>
        <w:t xml:space="preserve">(1989) 16 NSWLR 14; </w:t>
      </w:r>
      <w:r w:rsidR="00653C5B" w:rsidRPr="003F4824">
        <w:rPr>
          <w:rFonts w:ascii="Arial" w:hAnsi="Arial" w:cs="Arial"/>
          <w:i/>
          <w:color w:val="000000"/>
          <w:sz w:val="20"/>
        </w:rPr>
        <w:t>R v Mokbel (Ruling No 1)</w:t>
      </w:r>
      <w:r w:rsidR="00653C5B">
        <w:rPr>
          <w:rFonts w:ascii="Arial" w:hAnsi="Arial" w:cs="Arial"/>
          <w:iCs/>
          <w:color w:val="000000"/>
          <w:sz w:val="20"/>
        </w:rPr>
        <w:t xml:space="preserve"> [2005] VSC 410, [45]; </w:t>
      </w:r>
      <w:r w:rsidR="00653C5B" w:rsidRPr="00653C5B">
        <w:rPr>
          <w:rFonts w:ascii="Arial" w:hAnsi="Arial" w:cs="Arial"/>
          <w:i/>
          <w:color w:val="000000"/>
          <w:sz w:val="20"/>
        </w:rPr>
        <w:t>Principal Registrar of the Supreme Court of New South Wales v Tastan</w:t>
      </w:r>
      <w:r w:rsidR="00653C5B">
        <w:rPr>
          <w:rFonts w:ascii="Arial" w:hAnsi="Arial" w:cs="Arial"/>
          <w:iCs/>
          <w:color w:val="000000"/>
          <w:sz w:val="20"/>
        </w:rPr>
        <w:t xml:space="preserve"> (1994) A Crim R 498, 504; </w:t>
      </w:r>
      <w:r w:rsidR="00653C5B" w:rsidRPr="00653C5B">
        <w:rPr>
          <w:rFonts w:ascii="Arial" w:hAnsi="Arial" w:cs="Arial"/>
          <w:i/>
          <w:color w:val="000000"/>
          <w:sz w:val="20"/>
        </w:rPr>
        <w:t>R v Sergi</w:t>
      </w:r>
      <w:r w:rsidR="00653C5B">
        <w:rPr>
          <w:rFonts w:ascii="Arial" w:hAnsi="Arial" w:cs="Arial"/>
          <w:iCs/>
          <w:color w:val="000000"/>
          <w:sz w:val="20"/>
        </w:rPr>
        <w:t xml:space="preserve"> [1998] 1 Qd R 536; </w:t>
      </w:r>
      <w:r w:rsidR="00653C5B" w:rsidRPr="00653C5B">
        <w:rPr>
          <w:rFonts w:ascii="Arial" w:hAnsi="Arial" w:cs="Arial"/>
          <w:i/>
          <w:color w:val="000000"/>
          <w:sz w:val="20"/>
        </w:rPr>
        <w:t>NSW Commissioner of Police v Tuxford</w:t>
      </w:r>
      <w:r w:rsidR="00653C5B">
        <w:rPr>
          <w:rFonts w:ascii="Arial" w:hAnsi="Arial" w:cs="Arial"/>
          <w:iCs/>
          <w:color w:val="000000"/>
          <w:sz w:val="20"/>
        </w:rPr>
        <w:t xml:space="preserve"> [2002] NSWCA 139, [22]; </w:t>
      </w:r>
      <w:r w:rsidR="00653C5B" w:rsidRPr="00653C5B">
        <w:rPr>
          <w:rFonts w:ascii="Arial" w:hAnsi="Arial" w:cs="Arial"/>
          <w:i/>
          <w:color w:val="000000"/>
          <w:sz w:val="20"/>
        </w:rPr>
        <w:t>Re Don</w:t>
      </w:r>
      <w:r w:rsidR="00653C5B">
        <w:rPr>
          <w:rFonts w:ascii="Arial" w:hAnsi="Arial" w:cs="Arial"/>
          <w:iCs/>
          <w:color w:val="000000"/>
          <w:sz w:val="20"/>
        </w:rPr>
        <w:t xml:space="preserve"> [2006] NSWSC 1125, [26].</w:t>
      </w:r>
    </w:p>
    <w:p w14:paraId="55A574CE" w14:textId="0A923B88" w:rsidR="00653C5B" w:rsidRPr="00653C5B"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The identification of such a legitimate forensic purpose is to be considered by the court withot inspecting the documents sought to be produced: </w:t>
      </w:r>
      <w:r w:rsidRPr="00653C5B">
        <w:rPr>
          <w:rFonts w:ascii="Arial" w:hAnsi="Arial" w:cs="Arial"/>
          <w:i/>
          <w:color w:val="000000"/>
          <w:sz w:val="20"/>
        </w:rPr>
        <w:t>Attorney-General for NSW v Stuart</w:t>
      </w:r>
      <w:r>
        <w:rPr>
          <w:rFonts w:ascii="Arial" w:hAnsi="Arial" w:cs="Arial"/>
          <w:iCs/>
          <w:color w:val="000000"/>
          <w:sz w:val="20"/>
        </w:rPr>
        <w:t xml:space="preserve"> (1994) 34 NSWLR 667,681. But see </w:t>
      </w:r>
      <w:r w:rsidRPr="00653C5B">
        <w:rPr>
          <w:rFonts w:ascii="Arial" w:hAnsi="Arial" w:cs="Arial"/>
          <w:i/>
          <w:color w:val="000000"/>
          <w:sz w:val="20"/>
        </w:rPr>
        <w:t>Woolworths Ltd v Svajcer</w:t>
      </w:r>
      <w:r>
        <w:rPr>
          <w:rFonts w:ascii="Arial" w:hAnsi="Arial" w:cs="Arial"/>
          <w:iCs/>
          <w:color w:val="000000"/>
          <w:sz w:val="20"/>
        </w:rPr>
        <w:t xml:space="preserve"> [2013] VSCA 270 at [40]-[47].</w:t>
      </w:r>
    </w:p>
    <w:p w14:paraId="2598D1A4" w14:textId="21F3311D" w:rsidR="00653C5B" w:rsidRPr="00D05B74"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lastRenderedPageBreak/>
        <w:t>The applicant for the witness summons must also satisfy the court that it is ‘on the cards’ [</w:t>
      </w:r>
      <w:r w:rsidRPr="00653C5B">
        <w:rPr>
          <w:rFonts w:ascii="Arial" w:hAnsi="Arial" w:cs="Arial"/>
          <w:i/>
          <w:color w:val="000000"/>
          <w:sz w:val="20"/>
        </w:rPr>
        <w:t>Alister v The Queen</w:t>
      </w:r>
      <w:r>
        <w:rPr>
          <w:rFonts w:ascii="Arial" w:hAnsi="Arial" w:cs="Arial"/>
          <w:iCs/>
          <w:color w:val="000000"/>
          <w:sz w:val="20"/>
        </w:rPr>
        <w:t xml:space="preserve"> (1984) 154 CLR 404, 414], or that there is a ‘reasonable possibility’ [</w:t>
      </w:r>
      <w:r w:rsidRPr="00653C5B">
        <w:rPr>
          <w:rFonts w:ascii="Arial" w:hAnsi="Arial" w:cs="Arial"/>
          <w:i/>
          <w:color w:val="000000"/>
          <w:sz w:val="20"/>
        </w:rPr>
        <w:t>DPP v Selway (Ruling No 2)</w:t>
      </w:r>
      <w:r>
        <w:rPr>
          <w:rFonts w:ascii="Arial" w:hAnsi="Arial" w:cs="Arial"/>
          <w:iCs/>
          <w:color w:val="000000"/>
          <w:sz w:val="20"/>
        </w:rPr>
        <w:t xml:space="preserve"> (2007) 16 VR 508, [10]; </w:t>
      </w:r>
      <w:r w:rsidRPr="00653C5B">
        <w:rPr>
          <w:rFonts w:ascii="Arial" w:hAnsi="Arial" w:cs="Arial"/>
          <w:i/>
          <w:color w:val="000000"/>
          <w:sz w:val="20"/>
        </w:rPr>
        <w:t>Ragg v Magistrates’ Court of Victoria</w:t>
      </w:r>
      <w:r>
        <w:rPr>
          <w:rFonts w:ascii="Arial" w:hAnsi="Arial" w:cs="Arial"/>
          <w:iCs/>
          <w:color w:val="000000"/>
          <w:sz w:val="20"/>
        </w:rPr>
        <w:t xml:space="preserve"> (2008) 18 VR 300, [96]], that the documents sought under the subpoena ‘will materially assist the defence’ [</w:t>
      </w:r>
      <w:r w:rsidRPr="00653C5B">
        <w:rPr>
          <w:rFonts w:ascii="Arial" w:hAnsi="Arial" w:cs="Arial"/>
          <w:i/>
          <w:color w:val="000000"/>
          <w:sz w:val="20"/>
        </w:rPr>
        <w:t>Attorney-General (NSW) v Chidgey</w:t>
      </w:r>
      <w:r>
        <w:rPr>
          <w:rFonts w:ascii="Arial" w:hAnsi="Arial" w:cs="Arial"/>
          <w:iCs/>
          <w:color w:val="000000"/>
          <w:sz w:val="20"/>
        </w:rPr>
        <w:t xml:space="preserve"> (2008) 182 A Crim R 536, [5], [62], [64]; </w:t>
      </w:r>
      <w:r w:rsidRPr="00653C5B">
        <w:rPr>
          <w:rFonts w:ascii="Arial" w:hAnsi="Arial" w:cs="Arial"/>
          <w:i/>
          <w:iCs/>
          <w:color w:val="000000"/>
          <w:sz w:val="20"/>
        </w:rPr>
        <w:t xml:space="preserve">R v </w:t>
      </w:r>
      <w:r w:rsidRPr="003F4824">
        <w:rPr>
          <w:rFonts w:ascii="Arial" w:hAnsi="Arial" w:cs="Arial"/>
          <w:i/>
          <w:color w:val="000000"/>
          <w:sz w:val="20"/>
        </w:rPr>
        <w:t>Mokbel (Ruling No 1)</w:t>
      </w:r>
      <w:r>
        <w:rPr>
          <w:rFonts w:ascii="Arial" w:hAnsi="Arial" w:cs="Arial"/>
          <w:iCs/>
          <w:color w:val="000000"/>
          <w:sz w:val="20"/>
        </w:rPr>
        <w:t xml:space="preserve"> [2005] VSC 410, [45];</w:t>
      </w:r>
      <w:r w:rsidR="00D05B74">
        <w:rPr>
          <w:rFonts w:ascii="Arial" w:hAnsi="Arial" w:cs="Arial"/>
          <w:iCs/>
          <w:color w:val="000000"/>
          <w:sz w:val="20"/>
        </w:rPr>
        <w:t xml:space="preserve"> </w:t>
      </w:r>
      <w:r w:rsidR="00D05B74">
        <w:rPr>
          <w:rFonts w:ascii="Arial" w:hAnsi="Arial" w:cs="Arial"/>
          <w:i/>
          <w:iCs/>
          <w:color w:val="000000"/>
          <w:sz w:val="20"/>
        </w:rPr>
        <w:t>R v S</w:t>
      </w:r>
      <w:r w:rsidR="00D05B74" w:rsidRPr="00653C5B">
        <w:rPr>
          <w:rFonts w:ascii="Arial" w:hAnsi="Arial" w:cs="Arial"/>
          <w:i/>
          <w:iCs/>
          <w:color w:val="000000"/>
          <w:sz w:val="20"/>
        </w:rPr>
        <w:t>aleam</w:t>
      </w:r>
      <w:r w:rsidR="00D05B74">
        <w:rPr>
          <w:rFonts w:ascii="Arial" w:hAnsi="Arial" w:cs="Arial"/>
          <w:color w:val="000000"/>
          <w:sz w:val="20"/>
        </w:rPr>
        <w:t xml:space="preserve"> (1989) 16 NSWLR 14, 18; </w:t>
      </w:r>
      <w:r w:rsidR="00D05B74" w:rsidRPr="003F4824">
        <w:rPr>
          <w:rFonts w:ascii="Arial" w:hAnsi="Arial" w:cs="Arial"/>
          <w:i/>
          <w:color w:val="000000"/>
          <w:sz w:val="20"/>
        </w:rPr>
        <w:t>R v</w:t>
      </w:r>
      <w:r w:rsidR="00D05B74">
        <w:rPr>
          <w:rFonts w:ascii="Arial" w:hAnsi="Arial" w:cs="Arial"/>
          <w:i/>
          <w:color w:val="000000"/>
          <w:sz w:val="20"/>
        </w:rPr>
        <w:t xml:space="preserve"> Saleam </w:t>
      </w:r>
      <w:r w:rsidR="00D05B74" w:rsidRPr="00D05B74">
        <w:rPr>
          <w:rFonts w:ascii="Arial" w:hAnsi="Arial" w:cs="Arial"/>
          <w:iCs/>
          <w:color w:val="000000"/>
          <w:sz w:val="20"/>
        </w:rPr>
        <w:t>[1999] NSWCCA 86, [11]</w:t>
      </w:r>
      <w:r w:rsidR="00D05B74">
        <w:rPr>
          <w:rFonts w:ascii="Arial" w:hAnsi="Arial" w:cs="Arial"/>
          <w:iCs/>
          <w:color w:val="000000"/>
          <w:sz w:val="20"/>
        </w:rPr>
        <w:t xml:space="preserve">; </w:t>
      </w:r>
      <w:r w:rsidR="00D05B74" w:rsidRPr="00D05B74">
        <w:rPr>
          <w:rFonts w:ascii="Arial" w:hAnsi="Arial" w:cs="Arial"/>
          <w:i/>
          <w:color w:val="000000"/>
          <w:sz w:val="20"/>
        </w:rPr>
        <w:t>Alister v The Queen</w:t>
      </w:r>
      <w:r w:rsidR="00D05B74">
        <w:rPr>
          <w:rFonts w:ascii="Arial" w:hAnsi="Arial" w:cs="Arial"/>
          <w:iCs/>
          <w:color w:val="000000"/>
          <w:sz w:val="20"/>
        </w:rPr>
        <w:t xml:space="preserve"> (1984) 154 CLR 404, 414].</w:t>
      </w:r>
    </w:p>
    <w:p w14:paraId="5F306F1C" w14:textId="56FF84DB" w:rsidR="00D05B74"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A ‘fishing expedition’ is not a legitimate forensic purpose and will not be permitted: </w:t>
      </w:r>
      <w:r w:rsidRPr="00D05B74">
        <w:rPr>
          <w:rFonts w:ascii="Arial" w:hAnsi="Arial" w:cs="Arial"/>
          <w:i/>
          <w:color w:val="000000"/>
          <w:sz w:val="20"/>
        </w:rPr>
        <w:t>Alister v The Queen</w:t>
      </w:r>
      <w:r>
        <w:rPr>
          <w:rFonts w:ascii="Arial" w:hAnsi="Arial" w:cs="Arial"/>
          <w:iCs/>
          <w:color w:val="000000"/>
          <w:sz w:val="20"/>
        </w:rPr>
        <w:t xml:space="preserve"> (1984) 154 CLR 404; </w:t>
      </w:r>
      <w:r>
        <w:rPr>
          <w:rFonts w:ascii="Arial" w:hAnsi="Arial" w:cs="Arial"/>
          <w:i/>
          <w:iCs/>
          <w:color w:val="000000"/>
          <w:sz w:val="20"/>
        </w:rPr>
        <w:t>R v S</w:t>
      </w:r>
      <w:r w:rsidRPr="00653C5B">
        <w:rPr>
          <w:rFonts w:ascii="Arial" w:hAnsi="Arial" w:cs="Arial"/>
          <w:i/>
          <w:iCs/>
          <w:color w:val="000000"/>
          <w:sz w:val="20"/>
        </w:rPr>
        <w:t>aleam</w:t>
      </w:r>
      <w:r>
        <w:rPr>
          <w:rFonts w:ascii="Arial" w:hAnsi="Arial" w:cs="Arial"/>
          <w:color w:val="000000"/>
          <w:sz w:val="20"/>
        </w:rPr>
        <w:t xml:space="preserve"> (1989) 16 NSWLR 14, 17; </w:t>
      </w:r>
      <w:r w:rsidRPr="00D05B74">
        <w:rPr>
          <w:rFonts w:ascii="Arial" w:hAnsi="Arial" w:cs="Arial"/>
          <w:i/>
          <w:iCs/>
          <w:color w:val="000000"/>
          <w:sz w:val="20"/>
        </w:rPr>
        <w:t>Commissioner for Railways v Small</w:t>
      </w:r>
      <w:r>
        <w:rPr>
          <w:rFonts w:ascii="Arial" w:hAnsi="Arial" w:cs="Arial"/>
          <w:color w:val="000000"/>
          <w:sz w:val="20"/>
        </w:rPr>
        <w:t xml:space="preserve"> (1938) 38 SR (NSW) 564,575; </w:t>
      </w:r>
      <w:r w:rsidRPr="00D05B74">
        <w:rPr>
          <w:rFonts w:ascii="Arial" w:hAnsi="Arial" w:cs="Arial"/>
          <w:i/>
          <w:iCs/>
          <w:color w:val="000000"/>
          <w:sz w:val="20"/>
        </w:rPr>
        <w:t>Re Don</w:t>
      </w:r>
      <w:r>
        <w:rPr>
          <w:rFonts w:ascii="Arial" w:hAnsi="Arial" w:cs="Arial"/>
          <w:color w:val="000000"/>
          <w:sz w:val="20"/>
        </w:rPr>
        <w:t xml:space="preserve"> [2006] NSWSC 1125, [26].</w:t>
      </w:r>
    </w:p>
    <w:p w14:paraId="311C5E3F" w14:textId="457CBDED" w:rsidR="00D05B74" w:rsidRPr="00A247A6"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The relevance of a document to the proceeding </w:t>
      </w:r>
      <w:r w:rsidR="00A247A6">
        <w:rPr>
          <w:rFonts w:ascii="Arial" w:hAnsi="Arial" w:cs="Arial"/>
          <w:color w:val="000000"/>
          <w:sz w:val="20"/>
        </w:rPr>
        <w:t xml:space="preserve">alone will not substantiate an assertion of legitimate forensic purpose: </w:t>
      </w:r>
      <w:r w:rsidR="00A247A6" w:rsidRPr="00653C5B">
        <w:rPr>
          <w:rFonts w:ascii="Arial" w:hAnsi="Arial" w:cs="Arial"/>
          <w:i/>
          <w:color w:val="000000"/>
          <w:sz w:val="20"/>
        </w:rPr>
        <w:t>Attorney-General (NSW) v Chidgey</w:t>
      </w:r>
      <w:r w:rsidR="00A247A6">
        <w:rPr>
          <w:rFonts w:ascii="Arial" w:hAnsi="Arial" w:cs="Arial"/>
          <w:iCs/>
          <w:color w:val="000000"/>
          <w:sz w:val="20"/>
        </w:rPr>
        <w:t xml:space="preserve"> (2008) 182 A Crim R 536, [59]. There is no legitimate forensic purpose if the party is seeking to obtain documents to see whether they may be of relevance or of assistance in his or her defence: </w:t>
      </w:r>
      <w:r w:rsidR="00A247A6" w:rsidRPr="00A247A6">
        <w:rPr>
          <w:rFonts w:ascii="Arial" w:hAnsi="Arial" w:cs="Arial"/>
          <w:i/>
          <w:color w:val="000000"/>
          <w:sz w:val="20"/>
        </w:rPr>
        <w:t>Carroll v Attorney-General (NSW)</w:t>
      </w:r>
      <w:r w:rsidR="00A247A6">
        <w:rPr>
          <w:rFonts w:ascii="Arial" w:hAnsi="Arial" w:cs="Arial"/>
          <w:iCs/>
          <w:color w:val="000000"/>
          <w:sz w:val="20"/>
        </w:rPr>
        <w:t xml:space="preserve"> (1993) 70 A Crim R 162,181.</w:t>
      </w:r>
    </w:p>
    <w:p w14:paraId="24FD9D5A" w14:textId="770544CF" w:rsidR="00A247A6"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A mere assertion of bad faith by an applicant or that something might be found demonstrating bad faith is not enough – the criteria set out in (c) must be satisfied.</w:t>
      </w:r>
    </w:p>
    <w:p w14:paraId="5E2944A6" w14:textId="56C7A321" w:rsidR="00A247A6" w:rsidRPr="00C1093A"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In criminal proceedings a ‘more liberal’ view is taken by a court in respect of the application of the test.  Special weight is to be </w:t>
      </w:r>
      <w:r w:rsidR="00C1093A">
        <w:rPr>
          <w:rFonts w:ascii="Arial" w:hAnsi="Arial" w:cs="Arial"/>
          <w:color w:val="000000"/>
          <w:sz w:val="20"/>
        </w:rPr>
        <w:t xml:space="preserve">given to the fact that the documents may assist the defence of the accused: </w:t>
      </w:r>
      <w:r w:rsidR="00C1093A" w:rsidRPr="00C1093A">
        <w:rPr>
          <w:rFonts w:ascii="Arial" w:hAnsi="Arial" w:cs="Arial"/>
          <w:i/>
          <w:iCs/>
          <w:color w:val="000000"/>
          <w:sz w:val="20"/>
        </w:rPr>
        <w:t>Sankey v Whitlam</w:t>
      </w:r>
      <w:r w:rsidR="00C1093A">
        <w:rPr>
          <w:rFonts w:ascii="Arial" w:hAnsi="Arial" w:cs="Arial"/>
          <w:color w:val="000000"/>
          <w:sz w:val="20"/>
        </w:rPr>
        <w:t xml:space="preserve"> (1978) 142 CLR 1, 42, 62; </w:t>
      </w:r>
      <w:r w:rsidR="00C1093A" w:rsidRPr="00D05B74">
        <w:rPr>
          <w:rFonts w:ascii="Arial" w:hAnsi="Arial" w:cs="Arial"/>
          <w:i/>
          <w:color w:val="000000"/>
          <w:sz w:val="20"/>
        </w:rPr>
        <w:t>Alister v The Queen</w:t>
      </w:r>
      <w:r w:rsidR="00C1093A">
        <w:rPr>
          <w:rFonts w:ascii="Arial" w:hAnsi="Arial" w:cs="Arial"/>
          <w:iCs/>
          <w:color w:val="000000"/>
          <w:sz w:val="20"/>
        </w:rPr>
        <w:t xml:space="preserve"> (1984) 154 CLR 404, 414, 454-456; </w:t>
      </w:r>
      <w:r w:rsidR="00C1093A">
        <w:rPr>
          <w:rFonts w:ascii="Arial" w:hAnsi="Arial" w:cs="Arial"/>
          <w:i/>
          <w:iCs/>
          <w:color w:val="000000"/>
          <w:sz w:val="20"/>
        </w:rPr>
        <w:t>R v S</w:t>
      </w:r>
      <w:r w:rsidR="00C1093A" w:rsidRPr="00653C5B">
        <w:rPr>
          <w:rFonts w:ascii="Arial" w:hAnsi="Arial" w:cs="Arial"/>
          <w:i/>
          <w:iCs/>
          <w:color w:val="000000"/>
          <w:sz w:val="20"/>
        </w:rPr>
        <w:t>aleam</w:t>
      </w:r>
      <w:r w:rsidR="00C1093A">
        <w:rPr>
          <w:rFonts w:ascii="Arial" w:hAnsi="Arial" w:cs="Arial"/>
          <w:color w:val="000000"/>
          <w:sz w:val="20"/>
        </w:rPr>
        <w:t xml:space="preserve"> (1989) 16 NSWLR 14, 17; </w:t>
      </w:r>
      <w:r w:rsidR="00C1093A" w:rsidRPr="003F4824">
        <w:rPr>
          <w:rFonts w:ascii="Arial" w:hAnsi="Arial" w:cs="Arial"/>
          <w:i/>
          <w:color w:val="000000"/>
          <w:sz w:val="20"/>
        </w:rPr>
        <w:t>R v Mokbel (Ruling No 1)</w:t>
      </w:r>
      <w:r w:rsidR="00C1093A">
        <w:rPr>
          <w:rFonts w:ascii="Arial" w:hAnsi="Arial" w:cs="Arial"/>
          <w:iCs/>
          <w:color w:val="000000"/>
          <w:sz w:val="20"/>
        </w:rPr>
        <w:t xml:space="preserve"> [2005] VSC 410, [40].</w:t>
      </w:r>
    </w:p>
    <w:p w14:paraId="3A39D566" w14:textId="19FC945A" w:rsidR="00C1093A" w:rsidRPr="000920EB" w:rsidRDefault="00C1093A"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Where a party fails to demonstrate a legitimate forensic purpose, the Court should refuse access to the documents and set aside the witness summons: </w:t>
      </w:r>
      <w:r>
        <w:rPr>
          <w:rFonts w:ascii="Arial" w:hAnsi="Arial" w:cs="Arial"/>
          <w:i/>
          <w:iCs/>
          <w:color w:val="000000"/>
          <w:sz w:val="20"/>
        </w:rPr>
        <w:t>R v S</w:t>
      </w:r>
      <w:r w:rsidRPr="00653C5B">
        <w:rPr>
          <w:rFonts w:ascii="Arial" w:hAnsi="Arial" w:cs="Arial"/>
          <w:i/>
          <w:iCs/>
          <w:color w:val="000000"/>
          <w:sz w:val="20"/>
        </w:rPr>
        <w:t>aleam</w:t>
      </w:r>
      <w:r>
        <w:rPr>
          <w:rFonts w:ascii="Arial" w:hAnsi="Arial" w:cs="Arial"/>
          <w:color w:val="000000"/>
          <w:sz w:val="20"/>
        </w:rPr>
        <w:t xml:space="preserve"> (1989) 16 NSWLR 14, 18; </w:t>
      </w:r>
      <w:r w:rsidRPr="00653C5B">
        <w:rPr>
          <w:rFonts w:ascii="Arial" w:hAnsi="Arial" w:cs="Arial"/>
          <w:i/>
          <w:color w:val="000000"/>
          <w:sz w:val="20"/>
        </w:rPr>
        <w:t>R v Sergi</w:t>
      </w:r>
      <w:r>
        <w:rPr>
          <w:rFonts w:ascii="Arial" w:hAnsi="Arial" w:cs="Arial"/>
          <w:iCs/>
          <w:color w:val="000000"/>
          <w:sz w:val="20"/>
        </w:rPr>
        <w:t xml:space="preserve"> [1998] 1 Qd R 536; </w:t>
      </w:r>
      <w:r w:rsidRPr="003F4824">
        <w:rPr>
          <w:rFonts w:ascii="Arial" w:hAnsi="Arial" w:cs="Arial"/>
          <w:i/>
          <w:color w:val="000000"/>
          <w:sz w:val="20"/>
        </w:rPr>
        <w:t>R v</w:t>
      </w:r>
      <w:r>
        <w:rPr>
          <w:rFonts w:ascii="Arial" w:hAnsi="Arial" w:cs="Arial"/>
          <w:i/>
          <w:color w:val="000000"/>
          <w:sz w:val="20"/>
        </w:rPr>
        <w:t xml:space="preserve"> Saleam </w:t>
      </w:r>
      <w:r w:rsidRPr="00D05B74">
        <w:rPr>
          <w:rFonts w:ascii="Arial" w:hAnsi="Arial" w:cs="Arial"/>
          <w:iCs/>
          <w:color w:val="000000"/>
          <w:sz w:val="20"/>
        </w:rPr>
        <w:t>[1999] NSWCCA 86, [11]</w:t>
      </w:r>
      <w:r>
        <w:rPr>
          <w:rFonts w:ascii="Arial" w:hAnsi="Arial" w:cs="Arial"/>
          <w:iCs/>
          <w:color w:val="000000"/>
          <w:sz w:val="20"/>
        </w:rPr>
        <w:t>.”</w:t>
      </w:r>
    </w:p>
    <w:p w14:paraId="15FB4C7B" w14:textId="19A420A8" w:rsidR="003F4824" w:rsidRDefault="00C1093A" w:rsidP="00C1093A">
      <w:pPr>
        <w:spacing w:before="120"/>
        <w:jc w:val="both"/>
        <w:rPr>
          <w:rFonts w:ascii="Arial" w:hAnsi="Arial" w:cs="Arial"/>
          <w:color w:val="000000"/>
          <w:sz w:val="20"/>
        </w:rPr>
      </w:pPr>
      <w:r>
        <w:rPr>
          <w:rFonts w:ascii="Arial" w:hAnsi="Arial" w:cs="Arial"/>
          <w:color w:val="000000"/>
          <w:sz w:val="20"/>
        </w:rPr>
        <w:t xml:space="preserve">See also </w:t>
      </w:r>
      <w:r w:rsidRPr="00C5494A">
        <w:rPr>
          <w:rFonts w:ascii="Arial" w:hAnsi="Arial" w:cs="Arial"/>
          <w:i/>
          <w:iCs/>
          <w:sz w:val="20"/>
          <w:szCs w:val="20"/>
        </w:rPr>
        <w:t>ACN 096 450 770 (f</w:t>
      </w:r>
      <w:r>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 [20] per Derham AsJ</w:t>
      </w:r>
      <w:r w:rsidR="007E0FE2">
        <w:rPr>
          <w:rFonts w:ascii="Arial" w:hAnsi="Arial" w:cs="Arial"/>
          <w:sz w:val="20"/>
          <w:szCs w:val="20"/>
        </w:rPr>
        <w:t xml:space="preserve">; </w:t>
      </w:r>
      <w:r w:rsidR="007E0FE2" w:rsidRPr="005022CC">
        <w:rPr>
          <w:rFonts w:ascii="Arial" w:hAnsi="Arial" w:cs="Arial"/>
          <w:i/>
          <w:color w:val="000000"/>
          <w:sz w:val="20"/>
          <w:szCs w:val="20"/>
        </w:rPr>
        <w:t>Commissioner of the Australian Federal Police v Magistrates’ Court of Victoria</w:t>
      </w:r>
      <w:r w:rsidR="007E0FE2" w:rsidRPr="005022CC">
        <w:rPr>
          <w:rFonts w:ascii="Arial" w:hAnsi="Arial" w:cs="Arial"/>
          <w:color w:val="000000"/>
          <w:sz w:val="20"/>
          <w:szCs w:val="20"/>
        </w:rPr>
        <w:t xml:space="preserve"> [2011] VSC 3 at [28]</w:t>
      </w:r>
      <w:r w:rsidR="007E0FE2">
        <w:rPr>
          <w:rFonts w:ascii="Arial" w:hAnsi="Arial" w:cs="Arial"/>
          <w:color w:val="000000"/>
          <w:sz w:val="20"/>
          <w:szCs w:val="20"/>
        </w:rPr>
        <w:t xml:space="preserve"> per J Forrest J</w:t>
      </w:r>
      <w:r w:rsidR="00277ADB">
        <w:rPr>
          <w:rFonts w:ascii="Arial" w:hAnsi="Arial" w:cs="Arial"/>
          <w:color w:val="000000"/>
          <w:sz w:val="20"/>
          <w:szCs w:val="20"/>
        </w:rPr>
        <w:t xml:space="preserve">; </w:t>
      </w:r>
      <w:r w:rsidR="00277ADB" w:rsidRPr="00277ADB">
        <w:rPr>
          <w:rFonts w:ascii="Arial" w:hAnsi="Arial" w:cs="Arial"/>
          <w:i/>
          <w:iCs/>
          <w:color w:val="000000"/>
          <w:sz w:val="20"/>
          <w:szCs w:val="20"/>
        </w:rPr>
        <w:t>Madafferi v The King</w:t>
      </w:r>
      <w:r w:rsidR="00277ADB">
        <w:rPr>
          <w:rFonts w:ascii="Arial" w:hAnsi="Arial" w:cs="Arial"/>
          <w:color w:val="000000"/>
          <w:sz w:val="20"/>
          <w:szCs w:val="20"/>
        </w:rPr>
        <w:t xml:space="preserve"> [2025] VSCA 114 at [5] per McCann JR.</w:t>
      </w:r>
    </w:p>
    <w:bookmarkEnd w:id="800"/>
    <w:p w14:paraId="236F7418" w14:textId="77777777" w:rsidR="00277ADB" w:rsidRDefault="00277ADB" w:rsidP="003F4824">
      <w:pPr>
        <w:jc w:val="both"/>
        <w:rPr>
          <w:rFonts w:ascii="Arial" w:hAnsi="Arial" w:cs="Arial"/>
          <w:color w:val="000000"/>
          <w:sz w:val="20"/>
        </w:rPr>
      </w:pPr>
    </w:p>
    <w:p w14:paraId="5D261D0A" w14:textId="46AA0437" w:rsidR="0007078B" w:rsidRDefault="0007078B" w:rsidP="003F4824">
      <w:pPr>
        <w:jc w:val="both"/>
        <w:rPr>
          <w:rFonts w:ascii="Arial" w:hAnsi="Arial" w:cs="Arial"/>
          <w:color w:val="000000"/>
          <w:sz w:val="20"/>
        </w:rPr>
      </w:pPr>
      <w:r>
        <w:rPr>
          <w:rFonts w:ascii="Arial" w:hAnsi="Arial" w:cs="Arial"/>
          <w:color w:val="000000"/>
          <w:sz w:val="20"/>
        </w:rPr>
        <w:t>The provisions governing witness summonses to produce and to give evidence in proceedings in the Family Division of the Children’s Court are contained in paragraphs [38]-[45] of Practice Direction No 1 of 2025. In particular paragraphs [39]-[41] provide:</w:t>
      </w:r>
    </w:p>
    <w:p w14:paraId="337306FE" w14:textId="15C93805" w:rsidR="0007078B" w:rsidRDefault="0007078B" w:rsidP="0007078B">
      <w:pPr>
        <w:spacing w:before="60"/>
        <w:ind w:left="454" w:right="454"/>
        <w:jc w:val="both"/>
        <w:rPr>
          <w:rFonts w:ascii="Arial" w:hAnsi="Arial" w:cs="Arial"/>
          <w:sz w:val="20"/>
        </w:rPr>
      </w:pPr>
      <w:r>
        <w:rPr>
          <w:rFonts w:ascii="Arial" w:hAnsi="Arial" w:cs="Arial"/>
          <w:sz w:val="20"/>
          <w:szCs w:val="20"/>
        </w:rPr>
        <w:t>[39] “</w:t>
      </w:r>
      <w:r>
        <w:rPr>
          <w:rFonts w:ascii="Arial" w:hAnsi="Arial" w:cs="Arial"/>
          <w:sz w:val="20"/>
        </w:rPr>
        <w:t xml:space="preserve">Witness summons to produce (including a witness summons to produce and give evidence) must be filed in the CMS portal. </w:t>
      </w:r>
      <w:r w:rsidRPr="0007078B">
        <w:rPr>
          <w:rFonts w:ascii="Arial" w:hAnsi="Arial" w:cs="Arial"/>
          <w:color w:val="000000"/>
          <w:sz w:val="20"/>
        </w:rPr>
        <w:t>Unless otherwise ordered, the return date of the summons to produce is to be no less than 14 days before the next hearing date.</w:t>
      </w:r>
    </w:p>
    <w:p w14:paraId="08D46BAC" w14:textId="77777777" w:rsidR="0007078B" w:rsidRDefault="0007078B" w:rsidP="00C24890">
      <w:pPr>
        <w:spacing w:before="60"/>
        <w:ind w:left="454" w:right="454"/>
        <w:jc w:val="both"/>
        <w:rPr>
          <w:rFonts w:ascii="Arial" w:hAnsi="Arial" w:cs="Arial"/>
          <w:color w:val="000000"/>
          <w:sz w:val="20"/>
        </w:rPr>
      </w:pPr>
      <w:r>
        <w:rPr>
          <w:rFonts w:ascii="Arial" w:hAnsi="Arial" w:cs="Arial"/>
          <w:sz w:val="20"/>
        </w:rPr>
        <w:t xml:space="preserve">[40] </w:t>
      </w:r>
      <w:r w:rsidRPr="0007078B">
        <w:rPr>
          <w:rFonts w:ascii="Arial" w:hAnsi="Arial" w:cs="Arial"/>
          <w:color w:val="000000"/>
          <w:sz w:val="20"/>
        </w:rPr>
        <w:t>The issuing party must file in the CMS portal as soon as practicable after service upon the producing party:</w:t>
      </w:r>
    </w:p>
    <w:p w14:paraId="20965452" w14:textId="519224B1" w:rsidR="0007078B" w:rsidRDefault="0007078B" w:rsidP="00C24890">
      <w:pPr>
        <w:ind w:left="908" w:right="454" w:hanging="454"/>
        <w:jc w:val="both"/>
        <w:rPr>
          <w:rFonts w:ascii="Arial" w:hAnsi="Arial" w:cs="Arial"/>
          <w:color w:val="000000"/>
          <w:sz w:val="20"/>
        </w:rPr>
      </w:pPr>
      <w:r w:rsidRPr="0007078B">
        <w:rPr>
          <w:rFonts w:ascii="Arial" w:hAnsi="Arial" w:cs="Arial"/>
          <w:color w:val="000000"/>
          <w:sz w:val="20"/>
        </w:rPr>
        <w:t>a.</w:t>
      </w:r>
      <w:r w:rsidR="00C24890">
        <w:rPr>
          <w:rFonts w:ascii="Arial" w:hAnsi="Arial" w:cs="Arial"/>
          <w:color w:val="000000"/>
          <w:sz w:val="20"/>
        </w:rPr>
        <w:tab/>
      </w:r>
      <w:r w:rsidRPr="0007078B">
        <w:rPr>
          <w:rFonts w:ascii="Arial" w:hAnsi="Arial" w:cs="Arial"/>
          <w:color w:val="000000"/>
          <w:sz w:val="20"/>
        </w:rPr>
        <w:t>an affidavit or declaration of service upon the producing party; and</w:t>
      </w:r>
    </w:p>
    <w:p w14:paraId="5EE012F1" w14:textId="1FE09900" w:rsidR="0007078B" w:rsidRDefault="0007078B" w:rsidP="00C24890">
      <w:pPr>
        <w:ind w:left="908" w:right="454" w:hanging="454"/>
        <w:jc w:val="both"/>
        <w:rPr>
          <w:rFonts w:ascii="Arial" w:hAnsi="Arial" w:cs="Arial"/>
          <w:sz w:val="20"/>
          <w:szCs w:val="20"/>
        </w:rPr>
      </w:pPr>
      <w:r w:rsidRPr="0007078B">
        <w:rPr>
          <w:rFonts w:ascii="Arial" w:hAnsi="Arial" w:cs="Arial"/>
          <w:color w:val="000000"/>
          <w:sz w:val="20"/>
        </w:rPr>
        <w:t>b.</w:t>
      </w:r>
      <w:r w:rsidR="00C24890">
        <w:rPr>
          <w:rFonts w:ascii="Arial" w:hAnsi="Arial" w:cs="Arial"/>
          <w:color w:val="000000"/>
          <w:sz w:val="20"/>
        </w:rPr>
        <w:tab/>
      </w:r>
      <w:r w:rsidRPr="0007078B">
        <w:rPr>
          <w:rFonts w:ascii="Arial" w:hAnsi="Arial" w:cs="Arial"/>
          <w:color w:val="000000"/>
          <w:sz w:val="20"/>
        </w:rPr>
        <w:t>confirmation that all legal practitioners for the parties to the proceedings and any parties who are self-represented have been provided a copy of the issued subpoena.</w:t>
      </w:r>
    </w:p>
    <w:p w14:paraId="55438B21" w14:textId="1BDEA2D2" w:rsidR="0007078B" w:rsidRDefault="0007078B" w:rsidP="00C24890">
      <w:pPr>
        <w:spacing w:before="60"/>
        <w:ind w:left="454" w:right="454"/>
        <w:jc w:val="both"/>
        <w:rPr>
          <w:rFonts w:ascii="Arial" w:hAnsi="Arial" w:cs="Arial"/>
          <w:sz w:val="20"/>
          <w:szCs w:val="20"/>
        </w:rPr>
      </w:pPr>
      <w:r>
        <w:rPr>
          <w:rFonts w:ascii="Arial" w:hAnsi="Arial" w:cs="Arial"/>
          <w:sz w:val="20"/>
          <w:szCs w:val="20"/>
        </w:rPr>
        <w:t>[</w:t>
      </w:r>
      <w:r w:rsidR="00C24890">
        <w:rPr>
          <w:rFonts w:ascii="Arial" w:hAnsi="Arial" w:cs="Arial"/>
          <w:sz w:val="20"/>
          <w:szCs w:val="20"/>
        </w:rPr>
        <w:t>41</w:t>
      </w:r>
      <w:r>
        <w:rPr>
          <w:rFonts w:ascii="Arial" w:hAnsi="Arial" w:cs="Arial"/>
          <w:sz w:val="20"/>
          <w:szCs w:val="20"/>
        </w:rPr>
        <w:t>]</w:t>
      </w:r>
      <w:r w:rsidR="00C24890">
        <w:rPr>
          <w:rFonts w:ascii="Arial" w:hAnsi="Arial" w:cs="Arial"/>
          <w:sz w:val="20"/>
          <w:szCs w:val="20"/>
        </w:rPr>
        <w:t xml:space="preserve"> </w:t>
      </w:r>
      <w:r w:rsidR="00C24890" w:rsidRPr="0007078B">
        <w:rPr>
          <w:rFonts w:ascii="Arial" w:hAnsi="Arial" w:cs="Arial"/>
          <w:color w:val="000000"/>
          <w:sz w:val="20"/>
        </w:rPr>
        <w:t>Where DFFH or an authorised Aboriginal agency is an addressee (recipient) of a witness summons to produce they must produce the document or thing by filing in the CMS portal unless it is impracticable to do so</w:t>
      </w:r>
      <w:r w:rsidRPr="003F685D">
        <w:rPr>
          <w:rFonts w:ascii="Arial" w:hAnsi="Arial" w:cs="Arial"/>
          <w:sz w:val="20"/>
          <w:szCs w:val="20"/>
        </w:rPr>
        <w:t>.</w:t>
      </w:r>
      <w:r>
        <w:rPr>
          <w:rFonts w:ascii="Arial" w:hAnsi="Arial" w:cs="Arial"/>
          <w:sz w:val="20"/>
          <w:szCs w:val="20"/>
        </w:rPr>
        <w:t>”</w:t>
      </w:r>
    </w:p>
    <w:p w14:paraId="145AFD11" w14:textId="77777777" w:rsidR="0007078B" w:rsidRDefault="0007078B" w:rsidP="003F4824">
      <w:pPr>
        <w:jc w:val="both"/>
        <w:rPr>
          <w:rFonts w:ascii="Arial" w:hAnsi="Arial" w:cs="Arial"/>
          <w:color w:val="000000"/>
          <w:sz w:val="20"/>
        </w:rPr>
      </w:pPr>
    </w:p>
    <w:p w14:paraId="5F7BAFF0" w14:textId="1ED96B6F" w:rsidR="00A16185" w:rsidRPr="0040353D" w:rsidRDefault="00A16185" w:rsidP="003F4824">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lastRenderedPageBreak/>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C24890" w:rsidRDefault="005942F2" w:rsidP="00A13B31">
      <w:pPr>
        <w:spacing w:before="60"/>
        <w:ind w:left="907" w:right="907"/>
        <w:jc w:val="both"/>
        <w:rPr>
          <w:rFonts w:ascii="Arial" w:hAnsi="Arial" w:cs="Arial"/>
          <w:iCs/>
          <w:color w:val="000000"/>
          <w:sz w:val="18"/>
        </w:rPr>
      </w:pPr>
      <w:r w:rsidRPr="00C24890">
        <w:rPr>
          <w:rFonts w:ascii="Arial" w:hAnsi="Arial" w:cs="Arial"/>
          <w:iCs/>
          <w:color w:val="000000"/>
          <w:sz w:val="18"/>
        </w:rPr>
        <w:t>‘</w:t>
      </w:r>
      <w:r w:rsidRPr="00C24890">
        <w:rPr>
          <w:rFonts w:ascii="Arial" w:hAnsi="Arial" w:cs="Arial"/>
          <w:color w:val="000000"/>
          <w:sz w:val="18"/>
          <w:szCs w:val="22"/>
        </w:rPr>
        <w:t xml:space="preserve">As Jordan CJ pointed out in </w:t>
      </w:r>
      <w:r w:rsidRPr="00C24890">
        <w:rPr>
          <w:rFonts w:ascii="Arial" w:hAnsi="Arial" w:cs="Arial"/>
          <w:i/>
          <w:color w:val="000000"/>
          <w:sz w:val="18"/>
          <w:szCs w:val="22"/>
        </w:rPr>
        <w:t>Small</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as appears in </w:t>
      </w:r>
      <w:r w:rsidRPr="00C24890">
        <w:rPr>
          <w:rFonts w:ascii="Arial" w:hAnsi="Arial" w:cs="Arial"/>
          <w:i/>
          <w:color w:val="000000"/>
          <w:sz w:val="18"/>
          <w:szCs w:val="22"/>
        </w:rPr>
        <w:t>Birchett</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241D7771"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AsJ in </w:t>
      </w:r>
      <w:r w:rsidRPr="00C5494A">
        <w:rPr>
          <w:rFonts w:ascii="Arial" w:hAnsi="Arial" w:cs="Arial"/>
          <w:i/>
          <w:iCs/>
          <w:sz w:val="20"/>
          <w:szCs w:val="20"/>
        </w:rPr>
        <w:t>ACN 096 450 770 (f</w:t>
      </w:r>
      <w:r w:rsidR="00C1093A">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(a)</w:t>
      </w:r>
      <w:r w:rsidRPr="00C24890">
        <w:rPr>
          <w:rFonts w:ascii="Arial" w:hAnsi="Arial" w:cs="Arial"/>
          <w:sz w:val="18"/>
          <w:szCs w:val="18"/>
        </w:rPr>
        <w:tab/>
        <w:t>it is necessary for the party at whose request the subpoena was issued to identify expressly and precisely the legitimate forensic purpose for which access to the documents is sought;</w:t>
      </w:r>
    </w:p>
    <w:p w14:paraId="09A71372" w14:textId="119645D4"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(b)</w:t>
      </w:r>
      <w:r w:rsidRPr="00C24890">
        <w:rPr>
          <w:rFonts w:ascii="Arial" w:hAnsi="Arial" w:cs="Arial"/>
          <w:sz w:val="18"/>
          <w:szCs w:val="18"/>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(c)</w:t>
      </w:r>
      <w:r w:rsidRPr="00C24890">
        <w:rPr>
          <w:rFonts w:ascii="Arial" w:hAnsi="Arial" w:cs="Arial"/>
          <w:sz w:val="18"/>
          <w:szCs w:val="18"/>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(d)</w:t>
      </w:r>
      <w:r w:rsidRPr="00C24890">
        <w:rPr>
          <w:rFonts w:ascii="Arial" w:hAnsi="Arial" w:cs="Arial"/>
          <w:sz w:val="18"/>
          <w:szCs w:val="18"/>
        </w:rPr>
        <w:tab/>
        <w:t>a ‘fishing expedition’ is not a legitimate forensic purpose and will not be permitted;</w:t>
      </w:r>
    </w:p>
    <w:p w14:paraId="790C021D" w14:textId="62EF1723"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(e)</w:t>
      </w:r>
      <w:r w:rsidRPr="00C24890">
        <w:rPr>
          <w:rFonts w:ascii="Arial" w:hAnsi="Arial" w:cs="Arial"/>
          <w:sz w:val="18"/>
          <w:szCs w:val="18"/>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(f)</w:t>
      </w:r>
      <w:r w:rsidRPr="00C24890">
        <w:rPr>
          <w:rFonts w:ascii="Arial" w:hAnsi="Arial" w:cs="Arial"/>
          <w:sz w:val="18"/>
          <w:szCs w:val="18"/>
        </w:rPr>
        <w:tab/>
        <w:t>a mere assertion of bad faith by an applicant or that something might be found demonstrating bad faith is not enough – the criteria set out in (c) must be satisfied; and</w:t>
      </w:r>
    </w:p>
    <w:p w14:paraId="5971E91A" w14:textId="0B6688DF"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(g)</w:t>
      </w:r>
      <w:r w:rsidRPr="00C24890">
        <w:rPr>
          <w:rFonts w:ascii="Arial" w:hAnsi="Arial" w:cs="Arial"/>
          <w:sz w:val="18"/>
          <w:szCs w:val="18"/>
        </w:rPr>
        <w:tab/>
      </w:r>
      <w:r w:rsidR="005E2285" w:rsidRPr="00C24890">
        <w:rPr>
          <w:rFonts w:ascii="Arial" w:hAnsi="Arial" w:cs="Arial"/>
          <w:sz w:val="18"/>
          <w:szCs w:val="18"/>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R v Saleam</w:t>
      </w:r>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the analysis of Cav</w:t>
      </w:r>
      <w:r w:rsidR="00FF256F">
        <w:rPr>
          <w:rFonts w:ascii="Arial" w:hAnsi="Arial" w:cs="Arial"/>
          <w:color w:val="000000"/>
          <w:sz w:val="20"/>
        </w:rPr>
        <w:t>a</w:t>
      </w:r>
      <w:r w:rsidRPr="004C09F7">
        <w:rPr>
          <w:rFonts w:ascii="Arial" w:hAnsi="Arial" w:cs="Arial"/>
          <w:color w:val="000000"/>
          <w:sz w:val="20"/>
        </w:rPr>
        <w:t>nough</w:t>
      </w:r>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 xml:space="preserve">documents that are stored only in electronic form by or on behalf of a government agency are not ‘documents of an agency’ at all within the meaning of the </w:t>
      </w:r>
      <w:r w:rsidR="006834E4" w:rsidRPr="004C09F7">
        <w:rPr>
          <w:rFonts w:ascii="Arial" w:hAnsi="Arial" w:cs="Arial"/>
          <w:sz w:val="20"/>
          <w:szCs w:val="20"/>
        </w:rPr>
        <w:lastRenderedPageBreak/>
        <w:t>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Cavanough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r w:rsidR="006A0225" w:rsidRPr="004C09F7">
        <w:rPr>
          <w:rFonts w:ascii="Arial" w:hAnsi="Arial" w:cs="Arial"/>
          <w:sz w:val="20"/>
          <w:szCs w:val="20"/>
        </w:rPr>
        <w:t>Cavanough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C24890" w:rsidRDefault="00950258" w:rsidP="00950258">
      <w:pPr>
        <w:spacing w:before="60"/>
        <w:ind w:left="454" w:right="454"/>
        <w:jc w:val="both"/>
        <w:rPr>
          <w:rFonts w:ascii="Arial" w:hAnsi="Arial" w:cs="Arial"/>
          <w:iCs/>
          <w:color w:val="000000"/>
          <w:sz w:val="18"/>
          <w:szCs w:val="22"/>
        </w:rPr>
      </w:pPr>
      <w:r w:rsidRPr="00C24890">
        <w:rPr>
          <w:rFonts w:ascii="Arial" w:hAnsi="Arial" w:cs="Arial"/>
          <w:iCs/>
          <w:color w:val="000000"/>
          <w:sz w:val="18"/>
          <w:szCs w:val="22"/>
        </w:rPr>
        <w:t>“</w:t>
      </w:r>
      <w:r w:rsidRPr="00C24890">
        <w:rPr>
          <w:rFonts w:ascii="Arial" w:hAnsi="Arial" w:cs="Arial"/>
          <w:sz w:val="18"/>
          <w:szCs w:val="18"/>
        </w:rPr>
        <w:t>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59AFDC2A" w14:textId="77777777" w:rsidR="009B1652" w:rsidRPr="00C24890" w:rsidRDefault="009B1652" w:rsidP="009B1652">
      <w:pPr>
        <w:jc w:val="both"/>
        <w:rPr>
          <w:rFonts w:ascii="Arial" w:hAnsi="Arial" w:cs="Arial"/>
          <w:color w:val="000000"/>
          <w:sz w:val="18"/>
          <w:szCs w:val="22"/>
        </w:rPr>
      </w:pPr>
    </w:p>
    <w:p w14:paraId="0E75A1F6" w14:textId="77777777" w:rsidR="009B1652" w:rsidRDefault="009B1652" w:rsidP="009B1652">
      <w:pPr>
        <w:jc w:val="both"/>
        <w:rPr>
          <w:rFonts w:ascii="Arial" w:hAnsi="Arial" w:cs="Arial"/>
          <w:sz w:val="20"/>
          <w:szCs w:val="20"/>
        </w:rPr>
      </w:pPr>
      <w:r w:rsidRPr="005022CC">
        <w:rPr>
          <w:rFonts w:ascii="Arial" w:hAnsi="Arial" w:cs="Arial"/>
          <w:color w:val="000000"/>
          <w:sz w:val="20"/>
        </w:rPr>
        <w:t>Pursuant to s.190 of the CYFA, details which might tend to identify a notifier are generally removed from documents produced by D</w:t>
      </w:r>
      <w:r>
        <w:rPr>
          <w:rFonts w:ascii="Arial" w:hAnsi="Arial" w:cs="Arial"/>
          <w:color w:val="000000"/>
          <w:sz w:val="20"/>
        </w:rPr>
        <w:t>FFH</w:t>
      </w:r>
      <w:r w:rsidRPr="005022CC">
        <w:rPr>
          <w:rFonts w:ascii="Arial" w:hAnsi="Arial" w:cs="Arial"/>
          <w:color w:val="000000"/>
          <w:sz w:val="20"/>
        </w:rPr>
        <w:t xml:space="preserve"> under sub-poena. </w:t>
      </w: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r w:rsidRPr="00A70D0C">
        <w:rPr>
          <w:rFonts w:ascii="Arial" w:hAnsi="Arial" w:cs="Arial"/>
          <w:i/>
          <w:iCs/>
          <w:sz w:val="20"/>
          <w:szCs w:val="20"/>
        </w:rPr>
        <w:t>Erenshaw v The State of Victoria</w:t>
      </w:r>
      <w:r>
        <w:rPr>
          <w:rFonts w:ascii="Arial" w:hAnsi="Arial" w:cs="Arial"/>
          <w:sz w:val="20"/>
          <w:szCs w:val="20"/>
        </w:rPr>
        <w:t xml:space="preserve"> [2024] VSC 626.</w:t>
      </w:r>
    </w:p>
    <w:p w14:paraId="1C428726" w14:textId="77777777" w:rsidR="009B1652" w:rsidRDefault="009B1652"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not be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21BCDFD1"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an issue arose in respect of a claim of client legal privilege. Matthew</w:t>
      </w:r>
      <w:r w:rsidR="00AF3FDC">
        <w:rPr>
          <w:rFonts w:ascii="Arial" w:hAnsi="Arial" w:cs="Arial"/>
          <w:sz w:val="20"/>
          <w:szCs w:val="20"/>
        </w:rPr>
        <w:t>s</w:t>
      </w:r>
      <w:r>
        <w:rPr>
          <w:rFonts w:ascii="Arial" w:hAnsi="Arial" w:cs="Arial"/>
          <w:sz w:val="20"/>
          <w:szCs w:val="20"/>
        </w:rPr>
        <w:t xml:space="preserve"> AsJ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r w:rsidRPr="0059676A">
        <w:rPr>
          <w:rFonts w:ascii="Arial" w:eastAsia="Book Antiqua" w:hAnsi="Arial" w:cs="Arial"/>
          <w:i/>
          <w:sz w:val="20"/>
          <w:szCs w:val="20"/>
        </w:rPr>
        <w:t xml:space="preserve">Samenic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eastAsia="Book Antiqua" w:hAnsi="Arial" w:cs="Arial"/>
          <w:sz w:val="18"/>
          <w:szCs w:val="18"/>
        </w:rPr>
        <w:t>“</w:t>
      </w:r>
      <w:r w:rsidRPr="00D352C5">
        <w:rPr>
          <w:rFonts w:ascii="Arial" w:hAnsi="Arial" w:cs="Arial"/>
          <w:sz w:val="18"/>
          <w:szCs w:val="18"/>
        </w:rPr>
        <w:t>Purpose</w:t>
      </w:r>
      <w:r w:rsidRPr="00D352C5">
        <w:rPr>
          <w:rFonts w:ascii="Arial" w:eastAsia="Book Antiqua" w:hAnsi="Arial" w:cs="Arial"/>
          <w:sz w:val="18"/>
          <w:szCs w:val="18"/>
        </w:rPr>
        <w:t>”</w:t>
      </w:r>
      <w:r w:rsidRPr="00D352C5">
        <w:rPr>
          <w:rFonts w:ascii="Arial" w:hAnsi="Arial" w:cs="Arial"/>
          <w:sz w:val="18"/>
          <w:szCs w:val="18"/>
        </w:rPr>
        <w:t xml:space="preserve"> in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means the purpose which led to the creation of the document or the making of the communication. </w:t>
      </w:r>
    </w:p>
    <w:p w14:paraId="4488481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is the purpose which was the ruling, prevailing or most influential purpose at the time the document was brought into existence. </w:t>
      </w:r>
    </w:p>
    <w:p w14:paraId="3B42B3A9" w14:textId="5B83638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There can be only 1 dominant purpose.  If there are 2 purposes of equal weight, neither fits the description of a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w:t>
      </w:r>
    </w:p>
    <w:p w14:paraId="065A9143" w14:textId="54C5FA91"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If a dominant purpose existed, that dominant purpose must be determined objectively, having regard to the evidence, the nature of the document and the parties</w:t>
      </w:r>
      <w:r w:rsidRPr="00D352C5">
        <w:rPr>
          <w:rFonts w:ascii="Arial" w:eastAsia="Book Antiqua" w:hAnsi="Arial" w:cs="Arial"/>
          <w:sz w:val="18"/>
          <w:szCs w:val="18"/>
        </w:rPr>
        <w:t>’</w:t>
      </w:r>
      <w:r w:rsidRPr="00D352C5">
        <w:rPr>
          <w:rFonts w:ascii="Arial" w:hAnsi="Arial" w:cs="Arial"/>
          <w:sz w:val="18"/>
          <w:szCs w:val="18"/>
        </w:rPr>
        <w:t xml:space="preserve"> submissions.  That said, evidence of the subjective purpose of the person making the communication or creating the document is relevant.</w:t>
      </w:r>
    </w:p>
    <w:p w14:paraId="4A2A77AC" w14:textId="1F17A6C9"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lastRenderedPageBreak/>
        <w:t>Ordinarily, the relevant purpose is that of the person who brings into existence the document which includes the privileged communication, but this will not always be the case.</w:t>
      </w:r>
    </w:p>
    <w:p w14:paraId="69662E81" w14:textId="28CA2E16"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As the test is directed towards the purpose of bringing the document into existence, a copy of a non-privileged document may be privileged.</w:t>
      </w:r>
    </w:p>
    <w:p w14:paraId="6F56C187" w14:textId="6758E320"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The material relied upon by the person claiming privilege must be focused and specific.  Formulaic and bare conclusory assertions are not sufficient.</w:t>
      </w:r>
    </w:p>
    <w:p w14:paraId="580E4167" w14:textId="3C248C0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test.</w:t>
      </w:r>
    </w:p>
    <w:p w14:paraId="53E1ED5A" w14:textId="11CD1E94"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With respect to litigation privilege, for a proceeding to be </w:t>
      </w:r>
      <w:r w:rsidRPr="00D352C5">
        <w:rPr>
          <w:rFonts w:ascii="Arial" w:eastAsia="Book Antiqua" w:hAnsi="Arial" w:cs="Arial"/>
          <w:sz w:val="18"/>
          <w:szCs w:val="18"/>
        </w:rPr>
        <w:t>“</w:t>
      </w:r>
      <w:r w:rsidRPr="00D352C5">
        <w:rPr>
          <w:rFonts w:ascii="Arial" w:hAnsi="Arial" w:cs="Arial"/>
          <w:sz w:val="18"/>
          <w:szCs w:val="18"/>
        </w:rPr>
        <w:t>anticipated or pending</w:t>
      </w:r>
      <w:r w:rsidRPr="00D352C5">
        <w:rPr>
          <w:rFonts w:ascii="Arial" w:eastAsia="Book Antiqua" w:hAnsi="Arial" w:cs="Arial"/>
          <w:sz w:val="18"/>
          <w:szCs w:val="18"/>
        </w:rPr>
        <w:t>”</w:t>
      </w:r>
      <w:r w:rsidRPr="00D352C5">
        <w:rPr>
          <w:rFonts w:ascii="Arial" w:hAnsi="Arial" w:cs="Arial"/>
          <w:sz w:val="18"/>
          <w:szCs w:val="18"/>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A law firm or a company may be a </w:t>
      </w:r>
      <w:r w:rsidRPr="00D352C5">
        <w:rPr>
          <w:rFonts w:ascii="Arial" w:eastAsia="Book Antiqua" w:hAnsi="Arial" w:cs="Arial"/>
          <w:sz w:val="18"/>
          <w:szCs w:val="18"/>
        </w:rPr>
        <w:t>“</w:t>
      </w:r>
      <w:r w:rsidRPr="00D352C5">
        <w:rPr>
          <w:rFonts w:ascii="Arial" w:hAnsi="Arial" w:cs="Arial"/>
          <w:sz w:val="18"/>
          <w:szCs w:val="18"/>
        </w:rPr>
        <w:t>client</w:t>
      </w:r>
      <w:r w:rsidRPr="00D352C5">
        <w:rPr>
          <w:rFonts w:ascii="Arial" w:eastAsia="Book Antiqua" w:hAnsi="Arial" w:cs="Arial"/>
          <w:sz w:val="18"/>
          <w:szCs w:val="18"/>
        </w:rPr>
        <w:t>”</w:t>
      </w:r>
      <w:r w:rsidRPr="00D352C5">
        <w:rPr>
          <w:rFonts w:ascii="Arial" w:hAnsi="Arial" w:cs="Arial"/>
          <w:sz w:val="18"/>
          <w:szCs w:val="18"/>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r w:rsidR="00656542" w:rsidRPr="0028556C">
        <w:rPr>
          <w:rFonts w:ascii="Arial" w:hAnsi="Arial" w:cs="Arial"/>
          <w:i/>
          <w:iCs/>
          <w:sz w:val="20"/>
          <w:szCs w:val="20"/>
        </w:rPr>
        <w:t>Quebani Pty Ltd &amp; Anor v McDonald’s Australia Limited</w:t>
      </w:r>
      <w:r w:rsidR="00656542" w:rsidRPr="0028556C">
        <w:rPr>
          <w:rFonts w:ascii="Arial" w:hAnsi="Arial" w:cs="Arial"/>
          <w:sz w:val="20"/>
          <w:szCs w:val="20"/>
        </w:rPr>
        <w:t xml:space="preserve"> [2023] 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r w:rsidR="00E4326E" w:rsidRPr="00E4326E">
        <w:rPr>
          <w:rFonts w:ascii="Arial" w:hAnsi="Arial" w:cs="Arial"/>
          <w:i/>
          <w:iCs/>
          <w:sz w:val="20"/>
          <w:szCs w:val="20"/>
        </w:rPr>
        <w:t>liq)</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Default="00011663" w:rsidP="0057380D">
      <w:pPr>
        <w:jc w:val="both"/>
        <w:rPr>
          <w:rFonts w:ascii="Arial" w:hAnsi="Arial" w:cs="Arial"/>
          <w:color w:val="000000"/>
          <w:sz w:val="20"/>
          <w:szCs w:val="20"/>
        </w:rPr>
      </w:pPr>
    </w:p>
    <w:p w14:paraId="46F461A0" w14:textId="6727C991" w:rsidR="009B1652" w:rsidRDefault="009B1652" w:rsidP="0057380D">
      <w:pPr>
        <w:jc w:val="both"/>
        <w:rPr>
          <w:rFonts w:ascii="Arial" w:hAnsi="Arial" w:cs="Arial"/>
          <w:color w:val="000000"/>
          <w:sz w:val="20"/>
          <w:szCs w:val="20"/>
        </w:rPr>
      </w:pPr>
      <w:r w:rsidRPr="005022CC">
        <w:rPr>
          <w:rFonts w:ascii="Arial" w:hAnsi="Arial" w:cs="Arial"/>
          <w:color w:val="000000"/>
          <w:sz w:val="20"/>
        </w:rPr>
        <w:t xml:space="preserve">In </w:t>
      </w:r>
      <w:r w:rsidRPr="005022CC">
        <w:rPr>
          <w:rFonts w:ascii="Arial" w:hAnsi="Arial" w:cs="Arial"/>
          <w:i/>
          <w:color w:val="000000"/>
          <w:sz w:val="20"/>
        </w:rPr>
        <w:t>Oxfordshire County Council v M</w:t>
      </w:r>
      <w:r w:rsidRPr="005022CC">
        <w:rPr>
          <w:rFonts w:ascii="Arial" w:hAnsi="Arial" w:cs="Arial"/>
          <w:color w:val="000000"/>
          <w:sz w:val="20"/>
        </w:rPr>
        <w:t xml:space="preserve"> [1994] </w:t>
      </w:r>
      <w:r>
        <w:rPr>
          <w:rFonts w:ascii="Arial" w:hAnsi="Arial" w:cs="Arial"/>
          <w:color w:val="000000"/>
          <w:sz w:val="20"/>
        </w:rPr>
        <w:t>I</w:t>
      </w:r>
      <w:r w:rsidRPr="005022CC">
        <w:rPr>
          <w:rFonts w:ascii="Arial" w:hAnsi="Arial" w:cs="Arial"/>
          <w:color w:val="000000"/>
          <w:sz w:val="20"/>
        </w:rPr>
        <w:t xml:space="preserve"> 151 it was held that in proceedings under the </w:t>
      </w:r>
      <w:r w:rsidRPr="00A82F40">
        <w:rPr>
          <w:rFonts w:ascii="Arial" w:hAnsi="Arial" w:cs="Arial"/>
          <w:i/>
          <w:iCs/>
          <w:color w:val="000000"/>
          <w:sz w:val="20"/>
        </w:rPr>
        <w:t>Children Act 1989</w:t>
      </w:r>
      <w:r w:rsidRPr="00A82F40">
        <w:rPr>
          <w:rFonts w:ascii="Arial" w:hAnsi="Arial" w:cs="Arial"/>
          <w:color w:val="000000"/>
          <w:sz w:val="20"/>
        </w:rPr>
        <w:t xml:space="preserve"> (UK)</w:t>
      </w:r>
      <w:r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6E4DB1D1" w14:textId="77777777" w:rsidR="009B1652" w:rsidRDefault="009B1652" w:rsidP="0057380D">
      <w:pPr>
        <w:jc w:val="both"/>
        <w:rPr>
          <w:rFonts w:ascii="Arial" w:hAnsi="Arial" w:cs="Arial"/>
          <w:color w:val="000000"/>
          <w:sz w:val="20"/>
          <w:szCs w:val="20"/>
        </w:rPr>
      </w:pPr>
    </w:p>
    <w:p w14:paraId="74198C39" w14:textId="70EB6B7C" w:rsidR="008A7D13" w:rsidRDefault="00436D8C" w:rsidP="0057380D">
      <w:pPr>
        <w:jc w:val="both"/>
        <w:rPr>
          <w:rFonts w:ascii="Arial" w:hAnsi="Arial" w:cs="Arial"/>
          <w:color w:val="000000"/>
          <w:sz w:val="20"/>
          <w:szCs w:val="20"/>
        </w:rPr>
      </w:pPr>
      <w:r>
        <w:rPr>
          <w:rFonts w:ascii="Arial" w:hAnsi="Arial" w:cs="Arial"/>
          <w:color w:val="000000"/>
          <w:sz w:val="20"/>
          <w:szCs w:val="20"/>
        </w:rPr>
        <w:t xml:space="preserve">In </w:t>
      </w:r>
      <w:r w:rsidRPr="00436D8C">
        <w:rPr>
          <w:rFonts w:ascii="Arial" w:hAnsi="Arial" w:cs="Arial"/>
          <w:i/>
          <w:iCs/>
          <w:color w:val="000000"/>
          <w:sz w:val="20"/>
          <w:szCs w:val="20"/>
        </w:rPr>
        <w:t>Berih v Homes Victoria (No 3)</w:t>
      </w:r>
      <w:r w:rsidRPr="00436D8C">
        <w:rPr>
          <w:rFonts w:ascii="Arial" w:hAnsi="Arial" w:cs="Arial"/>
          <w:color w:val="000000"/>
          <w:sz w:val="20"/>
          <w:szCs w:val="20"/>
        </w:rPr>
        <w:t xml:space="preserve"> [2025] VSC 30</w:t>
      </w:r>
      <w:r>
        <w:rPr>
          <w:rFonts w:ascii="Arial" w:hAnsi="Arial" w:cs="Arial"/>
          <w:color w:val="000000"/>
          <w:sz w:val="20"/>
          <w:szCs w:val="20"/>
        </w:rPr>
        <w:t xml:space="preserve"> the </w:t>
      </w:r>
      <w:r w:rsidR="001728D2">
        <w:rPr>
          <w:rFonts w:ascii="Arial" w:hAnsi="Arial" w:cs="Arial"/>
          <w:color w:val="000000"/>
          <w:sz w:val="20"/>
          <w:szCs w:val="20"/>
        </w:rPr>
        <w:t xml:space="preserve">plaintiff had called for the production of documents submitted to Cabinet and </w:t>
      </w:r>
      <w:r w:rsidR="007873C8">
        <w:rPr>
          <w:rFonts w:ascii="Arial" w:hAnsi="Arial" w:cs="Arial"/>
          <w:color w:val="000000"/>
          <w:sz w:val="20"/>
          <w:szCs w:val="20"/>
        </w:rPr>
        <w:t>associated</w:t>
      </w:r>
      <w:r w:rsidR="008A7D13">
        <w:rPr>
          <w:rFonts w:ascii="Arial" w:hAnsi="Arial" w:cs="Arial"/>
          <w:color w:val="000000"/>
          <w:sz w:val="20"/>
          <w:szCs w:val="20"/>
        </w:rPr>
        <w:t xml:space="preserve"> </w:t>
      </w:r>
      <w:r w:rsidR="001728D2">
        <w:rPr>
          <w:rFonts w:ascii="Arial" w:hAnsi="Arial" w:cs="Arial"/>
          <w:color w:val="000000"/>
          <w:sz w:val="20"/>
          <w:szCs w:val="20"/>
        </w:rPr>
        <w:t>preparatory documents</w:t>
      </w:r>
      <w:r w:rsidR="008A7D13">
        <w:rPr>
          <w:rFonts w:ascii="Arial" w:hAnsi="Arial" w:cs="Arial"/>
          <w:color w:val="000000"/>
          <w:sz w:val="20"/>
          <w:szCs w:val="20"/>
        </w:rPr>
        <w:t xml:space="preserve"> </w:t>
      </w:r>
      <w:r w:rsidR="007873C8">
        <w:rPr>
          <w:rFonts w:ascii="Arial" w:hAnsi="Arial" w:cs="Arial"/>
          <w:color w:val="000000"/>
          <w:sz w:val="20"/>
          <w:szCs w:val="20"/>
        </w:rPr>
        <w:t>relating</w:t>
      </w:r>
      <w:r w:rsidR="008A7D13">
        <w:rPr>
          <w:rFonts w:ascii="Arial" w:hAnsi="Arial" w:cs="Arial"/>
          <w:color w:val="000000"/>
          <w:sz w:val="20"/>
          <w:szCs w:val="20"/>
        </w:rPr>
        <w:t xml:space="preserve"> to </w:t>
      </w:r>
      <w:r w:rsidR="008A7D13" w:rsidRPr="008A7D13">
        <w:rPr>
          <w:rFonts w:ascii="Arial" w:hAnsi="Arial" w:cs="Arial"/>
          <w:color w:val="000000"/>
          <w:sz w:val="20"/>
          <w:szCs w:val="20"/>
        </w:rPr>
        <w:t>the demolition and redevelopment of three public housing towers located in Flemington and North</w:t>
      </w:r>
      <w:r w:rsidR="008A7D13">
        <w:rPr>
          <w:rFonts w:ascii="Arial" w:hAnsi="Arial" w:cs="Arial"/>
          <w:color w:val="000000"/>
          <w:sz w:val="20"/>
          <w:szCs w:val="20"/>
        </w:rPr>
        <w:t xml:space="preserve"> Melbourne</w:t>
      </w:r>
      <w:r w:rsidR="001728D2">
        <w:rPr>
          <w:rFonts w:ascii="Arial" w:hAnsi="Arial" w:cs="Arial"/>
          <w:color w:val="000000"/>
          <w:sz w:val="20"/>
          <w:szCs w:val="20"/>
        </w:rPr>
        <w:t xml:space="preserve">. </w:t>
      </w:r>
      <w:r w:rsidR="008A7D13">
        <w:rPr>
          <w:rFonts w:ascii="Arial" w:hAnsi="Arial" w:cs="Arial"/>
          <w:color w:val="000000"/>
          <w:sz w:val="20"/>
          <w:szCs w:val="20"/>
        </w:rPr>
        <w:t>A</w:t>
      </w:r>
      <w:r w:rsidR="00651D61">
        <w:rPr>
          <w:rFonts w:ascii="Arial" w:hAnsi="Arial" w:cs="Arial"/>
          <w:color w:val="000000"/>
          <w:sz w:val="20"/>
          <w:szCs w:val="20"/>
        </w:rPr>
        <w:t>f</w:t>
      </w:r>
      <w:r w:rsidR="008A7D13">
        <w:rPr>
          <w:rFonts w:ascii="Arial" w:hAnsi="Arial" w:cs="Arial"/>
          <w:color w:val="000000"/>
          <w:sz w:val="20"/>
          <w:szCs w:val="20"/>
        </w:rPr>
        <w:t xml:space="preserve">ter citing a key passage from the judgment of the plurality in </w:t>
      </w:r>
      <w:r w:rsidR="008A7D13" w:rsidRPr="008A7D13">
        <w:rPr>
          <w:rFonts w:ascii="Arial" w:hAnsi="Arial" w:cs="Arial"/>
          <w:i/>
          <w:iCs/>
          <w:color w:val="000000"/>
          <w:sz w:val="20"/>
          <w:szCs w:val="20"/>
        </w:rPr>
        <w:t>Commonwealth v Northern Land Council</w:t>
      </w:r>
      <w:r w:rsidR="008A7D13">
        <w:rPr>
          <w:rFonts w:ascii="Arial" w:hAnsi="Arial" w:cs="Arial"/>
          <w:color w:val="000000"/>
          <w:sz w:val="20"/>
          <w:szCs w:val="20"/>
        </w:rPr>
        <w:t xml:space="preserve"> </w:t>
      </w:r>
      <w:r w:rsidR="008A7D13" w:rsidRPr="008A7D13">
        <w:rPr>
          <w:rFonts w:ascii="Arial" w:hAnsi="Arial" w:cs="Arial"/>
          <w:color w:val="000000"/>
          <w:sz w:val="20"/>
          <w:szCs w:val="20"/>
        </w:rPr>
        <w:t xml:space="preserve">(1993) 176 CLR 604 </w:t>
      </w:r>
      <w:r w:rsidR="008A7D13">
        <w:rPr>
          <w:rFonts w:ascii="Arial" w:hAnsi="Arial" w:cs="Arial"/>
          <w:color w:val="000000"/>
          <w:sz w:val="20"/>
          <w:szCs w:val="20"/>
        </w:rPr>
        <w:t>at 615</w:t>
      </w:r>
      <w:r w:rsidR="007873C8">
        <w:rPr>
          <w:rFonts w:ascii="Arial" w:hAnsi="Arial" w:cs="Arial"/>
          <w:color w:val="000000"/>
          <w:sz w:val="20"/>
          <w:szCs w:val="20"/>
        </w:rPr>
        <w:t>,</w:t>
      </w:r>
      <w:r w:rsidR="008A7D13">
        <w:rPr>
          <w:rFonts w:ascii="Arial" w:hAnsi="Arial" w:cs="Arial"/>
          <w:color w:val="000000"/>
          <w:sz w:val="20"/>
          <w:szCs w:val="20"/>
        </w:rPr>
        <w:t xml:space="preserve"> Keogh J </w:t>
      </w:r>
      <w:r w:rsidR="00457EBA">
        <w:rPr>
          <w:rFonts w:ascii="Arial" w:hAnsi="Arial" w:cs="Arial"/>
          <w:color w:val="000000"/>
          <w:sz w:val="20"/>
          <w:szCs w:val="20"/>
        </w:rPr>
        <w:t>sai</w:t>
      </w:r>
      <w:r w:rsidR="008A7D13">
        <w:rPr>
          <w:rFonts w:ascii="Arial" w:hAnsi="Arial" w:cs="Arial"/>
          <w:color w:val="000000"/>
          <w:sz w:val="20"/>
          <w:szCs w:val="20"/>
        </w:rPr>
        <w:t>d</w:t>
      </w:r>
      <w:r w:rsidR="00651D61">
        <w:rPr>
          <w:rFonts w:ascii="Arial" w:hAnsi="Arial" w:cs="Arial"/>
          <w:color w:val="000000"/>
          <w:sz w:val="20"/>
          <w:szCs w:val="20"/>
        </w:rPr>
        <w:t xml:space="preserve"> at [48]</w:t>
      </w:r>
      <w:r w:rsidR="008A7D13">
        <w:rPr>
          <w:rFonts w:ascii="Arial" w:hAnsi="Arial" w:cs="Arial"/>
          <w:color w:val="000000"/>
          <w:sz w:val="20"/>
          <w:szCs w:val="20"/>
        </w:rPr>
        <w:t>:</w:t>
      </w:r>
    </w:p>
    <w:p w14:paraId="1D4BED30" w14:textId="6419C086"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8A7D13">
        <w:rPr>
          <w:rFonts w:ascii="Arial" w:hAnsi="Arial" w:cs="Arial"/>
          <w:color w:val="000000"/>
          <w:sz w:val="20"/>
          <w:szCs w:val="20"/>
        </w:rPr>
        <w:t>The plurality noted that where immunity was sought for a class of documents, it was on the basis that disclosure ‘would be injurious to the public interest, whatever the contents’. The immunity from disclosure of such a class is not absolute. The public interest in immunity must ‘be weighed against the competing public interest in the proper administration of justice, which may be impaired by the denial to a court of access to relevant and otherwise admissible evidence.</w:t>
      </w:r>
      <w:r>
        <w:rPr>
          <w:rFonts w:ascii="Arial" w:hAnsi="Arial" w:cs="Arial"/>
          <w:color w:val="000000"/>
          <w:sz w:val="20"/>
          <w:szCs w:val="20"/>
        </w:rPr>
        <w:t>”</w:t>
      </w:r>
    </w:p>
    <w:p w14:paraId="2E905F34" w14:textId="062CB197" w:rsidR="008A7D13" w:rsidRDefault="00457EBA" w:rsidP="00457EBA">
      <w:pPr>
        <w:spacing w:before="60"/>
        <w:jc w:val="both"/>
        <w:rPr>
          <w:rFonts w:ascii="Arial" w:hAnsi="Arial" w:cs="Arial"/>
          <w:color w:val="000000"/>
          <w:sz w:val="20"/>
          <w:szCs w:val="20"/>
        </w:rPr>
      </w:pPr>
      <w:r>
        <w:rPr>
          <w:rFonts w:ascii="Arial" w:hAnsi="Arial" w:cs="Arial"/>
          <w:color w:val="000000"/>
          <w:sz w:val="20"/>
          <w:szCs w:val="20"/>
        </w:rPr>
        <w:t xml:space="preserve">At [49] &amp; [51] his Honour also referred with approval to dicta of John Dixon J in </w:t>
      </w:r>
      <w:r w:rsidRPr="00457EBA">
        <w:rPr>
          <w:rFonts w:ascii="Arial" w:hAnsi="Arial" w:cs="Arial"/>
          <w:i/>
          <w:iCs/>
          <w:color w:val="000000"/>
          <w:sz w:val="20"/>
          <w:szCs w:val="20"/>
        </w:rPr>
        <w:t>Murdesk Investments Pty Ltd v Secretary to the Department of Business and Innovation</w:t>
      </w:r>
      <w:r>
        <w:rPr>
          <w:rFonts w:ascii="Arial" w:hAnsi="Arial" w:cs="Arial"/>
          <w:i/>
          <w:iCs/>
          <w:color w:val="000000"/>
          <w:sz w:val="20"/>
          <w:szCs w:val="20"/>
        </w:rPr>
        <w:t xml:space="preserve"> </w:t>
      </w:r>
      <w:r w:rsidRPr="008A7D13">
        <w:rPr>
          <w:rFonts w:ascii="Arial" w:hAnsi="Arial" w:cs="Arial"/>
          <w:color w:val="000000"/>
          <w:sz w:val="20"/>
          <w:szCs w:val="20"/>
        </w:rPr>
        <w:t>[2011] VSC 436</w:t>
      </w:r>
      <w:r>
        <w:rPr>
          <w:rFonts w:ascii="Arial" w:hAnsi="Arial" w:cs="Arial"/>
          <w:color w:val="000000"/>
          <w:sz w:val="20"/>
          <w:szCs w:val="20"/>
        </w:rPr>
        <w:t xml:space="preserve"> at [22]-[23] and of Macaulay J in </w:t>
      </w:r>
      <w:r w:rsidRPr="00457EBA">
        <w:rPr>
          <w:rFonts w:ascii="Arial" w:hAnsi="Arial" w:cs="Arial"/>
          <w:i/>
          <w:iCs/>
          <w:color w:val="000000"/>
          <w:sz w:val="20"/>
          <w:szCs w:val="20"/>
        </w:rPr>
        <w:t>Kamasaee v Commonwealth of Australia (Nos 3 and 5)</w:t>
      </w:r>
      <w:r>
        <w:rPr>
          <w:rFonts w:ascii="Arial" w:hAnsi="Arial" w:cs="Arial"/>
          <w:color w:val="000000"/>
          <w:sz w:val="20"/>
          <w:szCs w:val="20"/>
        </w:rPr>
        <w:t xml:space="preserve"> </w:t>
      </w:r>
      <w:r w:rsidRPr="00457EBA">
        <w:rPr>
          <w:rFonts w:ascii="Arial" w:hAnsi="Arial" w:cs="Arial"/>
          <w:color w:val="000000"/>
          <w:sz w:val="20"/>
          <w:szCs w:val="20"/>
        </w:rPr>
        <w:t>(2016) 52 VR 322</w:t>
      </w:r>
      <w:r>
        <w:rPr>
          <w:rFonts w:ascii="Arial" w:hAnsi="Arial" w:cs="Arial"/>
          <w:color w:val="000000"/>
          <w:sz w:val="20"/>
          <w:szCs w:val="20"/>
        </w:rPr>
        <w:t>, noting at [50]:</w:t>
      </w:r>
    </w:p>
    <w:p w14:paraId="04752F37" w14:textId="45FF43DC"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457EBA">
        <w:rPr>
          <w:rFonts w:ascii="Arial" w:hAnsi="Arial" w:cs="Arial"/>
          <w:color w:val="000000"/>
          <w:sz w:val="20"/>
          <w:szCs w:val="20"/>
        </w:rPr>
        <w:t>There is a public interest in protecting from disclosure papers that have been brought into existence as part of a government process directed to obtaining a Cabinet decision on a matter of policy</w:t>
      </w:r>
      <w:r>
        <w:rPr>
          <w:rFonts w:ascii="Arial" w:hAnsi="Arial" w:cs="Arial"/>
          <w:color w:val="000000"/>
          <w:sz w:val="20"/>
          <w:szCs w:val="20"/>
        </w:rPr>
        <w:t xml:space="preserve">: </w:t>
      </w:r>
      <w:r w:rsidRPr="00457EBA">
        <w:rPr>
          <w:rFonts w:ascii="Arial" w:hAnsi="Arial" w:cs="Arial"/>
          <w:i/>
          <w:iCs/>
          <w:color w:val="000000"/>
          <w:sz w:val="20"/>
          <w:szCs w:val="20"/>
        </w:rPr>
        <w:t>Matthews v SPI Electricity Pty Ltd (No 11)</w:t>
      </w:r>
      <w:r w:rsidRPr="00457EBA">
        <w:rPr>
          <w:rFonts w:ascii="Arial" w:hAnsi="Arial" w:cs="Arial"/>
          <w:color w:val="000000"/>
          <w:sz w:val="20"/>
          <w:szCs w:val="20"/>
        </w:rPr>
        <w:t xml:space="preserve"> [2014] VSC 65 </w:t>
      </w:r>
      <w:r>
        <w:rPr>
          <w:rFonts w:ascii="Arial" w:hAnsi="Arial" w:cs="Arial"/>
          <w:color w:val="000000"/>
          <w:sz w:val="20"/>
          <w:szCs w:val="20"/>
        </w:rPr>
        <w:t xml:space="preserve">per </w:t>
      </w:r>
      <w:r w:rsidRPr="00457EBA">
        <w:rPr>
          <w:rFonts w:ascii="Arial" w:hAnsi="Arial" w:cs="Arial"/>
          <w:color w:val="000000"/>
          <w:sz w:val="20"/>
          <w:szCs w:val="20"/>
        </w:rPr>
        <w:t>Derham AsJ</w:t>
      </w:r>
      <w:r>
        <w:rPr>
          <w:rFonts w:ascii="Arial" w:hAnsi="Arial" w:cs="Arial"/>
          <w:color w:val="000000"/>
          <w:sz w:val="20"/>
          <w:szCs w:val="20"/>
        </w:rPr>
        <w:t xml:space="preserve"> at [24].”</w:t>
      </w:r>
    </w:p>
    <w:p w14:paraId="72E1BE64" w14:textId="7FC461C6" w:rsidR="007873C8" w:rsidRDefault="001728D2" w:rsidP="00AF3FDC">
      <w:pPr>
        <w:spacing w:before="120"/>
        <w:jc w:val="both"/>
        <w:rPr>
          <w:rFonts w:ascii="Arial" w:hAnsi="Arial" w:cs="Arial"/>
          <w:color w:val="000000"/>
          <w:sz w:val="20"/>
          <w:szCs w:val="20"/>
        </w:rPr>
      </w:pPr>
      <w:r>
        <w:rPr>
          <w:rFonts w:ascii="Arial" w:hAnsi="Arial" w:cs="Arial"/>
          <w:color w:val="000000"/>
          <w:sz w:val="20"/>
          <w:szCs w:val="20"/>
        </w:rPr>
        <w:t xml:space="preserve">Keogh J </w:t>
      </w:r>
      <w:r w:rsidR="00AF3FDC">
        <w:rPr>
          <w:rFonts w:ascii="Arial" w:hAnsi="Arial" w:cs="Arial"/>
          <w:color w:val="000000"/>
          <w:sz w:val="20"/>
          <w:szCs w:val="20"/>
        </w:rPr>
        <w:t xml:space="preserve">accepted at [84]-[85] that the plaintiff had demonstrated a legitimate forensic purpose in having the Cabinet documents available for his use but held at [88] that </w:t>
      </w:r>
      <w:r w:rsidR="001F07FA">
        <w:rPr>
          <w:rFonts w:ascii="Arial" w:hAnsi="Arial" w:cs="Arial"/>
          <w:color w:val="000000"/>
          <w:sz w:val="20"/>
          <w:szCs w:val="20"/>
        </w:rPr>
        <w:t xml:space="preserve">pursuant to s.130(5)(a) of the </w:t>
      </w:r>
      <w:r w:rsidR="001F07FA" w:rsidRPr="007873C8">
        <w:rPr>
          <w:rFonts w:ascii="Arial" w:hAnsi="Arial" w:cs="Arial"/>
          <w:i/>
          <w:iCs/>
          <w:color w:val="000000"/>
          <w:sz w:val="20"/>
          <w:szCs w:val="20"/>
        </w:rPr>
        <w:t>Evidence Act 2008</w:t>
      </w:r>
      <w:r w:rsidR="001F07FA">
        <w:rPr>
          <w:rFonts w:ascii="Arial" w:hAnsi="Arial" w:cs="Arial"/>
          <w:color w:val="000000"/>
          <w:sz w:val="20"/>
          <w:szCs w:val="20"/>
        </w:rPr>
        <w:t xml:space="preserve"> </w:t>
      </w:r>
      <w:r w:rsidR="007873C8">
        <w:rPr>
          <w:rFonts w:ascii="Arial" w:hAnsi="Arial" w:cs="Arial"/>
          <w:color w:val="000000"/>
          <w:sz w:val="20"/>
          <w:szCs w:val="20"/>
        </w:rPr>
        <w:t xml:space="preserve">he was “not satisfied </w:t>
      </w:r>
      <w:r w:rsidR="00AF3FDC">
        <w:rPr>
          <w:rFonts w:ascii="Arial" w:hAnsi="Arial" w:cs="Arial"/>
          <w:color w:val="000000"/>
          <w:sz w:val="20"/>
          <w:szCs w:val="20"/>
        </w:rPr>
        <w:t xml:space="preserve">the documents </w:t>
      </w:r>
      <w:r w:rsidR="007873C8">
        <w:rPr>
          <w:rFonts w:ascii="Arial" w:hAnsi="Arial" w:cs="Arial"/>
          <w:color w:val="000000"/>
          <w:sz w:val="20"/>
          <w:szCs w:val="20"/>
        </w:rPr>
        <w:t>are</w:t>
      </w:r>
      <w:r w:rsidR="00AF3FDC">
        <w:rPr>
          <w:rFonts w:ascii="Arial" w:hAnsi="Arial" w:cs="Arial"/>
          <w:color w:val="000000"/>
          <w:sz w:val="20"/>
          <w:szCs w:val="20"/>
        </w:rPr>
        <w:t xml:space="preserve"> important </w:t>
      </w:r>
      <w:r w:rsidR="007873C8">
        <w:rPr>
          <w:rFonts w:ascii="Arial" w:hAnsi="Arial" w:cs="Arial"/>
          <w:color w:val="000000"/>
          <w:sz w:val="20"/>
          <w:szCs w:val="20"/>
        </w:rPr>
        <w:t xml:space="preserve">to the outcome of the proceeding”. His Honour held at [55] &amp; [74] </w:t>
      </w:r>
      <w:r>
        <w:rPr>
          <w:rFonts w:ascii="Arial" w:hAnsi="Arial" w:cs="Arial"/>
          <w:color w:val="000000"/>
          <w:sz w:val="20"/>
          <w:szCs w:val="20"/>
        </w:rPr>
        <w:t xml:space="preserve">that the documents sought were likely to reveal the content of current and </w:t>
      </w:r>
      <w:r>
        <w:rPr>
          <w:rFonts w:ascii="Arial" w:hAnsi="Arial" w:cs="Arial"/>
          <w:color w:val="000000"/>
          <w:sz w:val="20"/>
          <w:szCs w:val="20"/>
        </w:rPr>
        <w:lastRenderedPageBreak/>
        <w:t>controversial Cabinet committee deliberations</w:t>
      </w:r>
      <w:r w:rsidR="007873C8">
        <w:rPr>
          <w:rFonts w:ascii="Arial" w:hAnsi="Arial" w:cs="Arial"/>
          <w:color w:val="000000"/>
          <w:sz w:val="20"/>
          <w:szCs w:val="20"/>
        </w:rPr>
        <w:t xml:space="preserve">. Ultimately his Honour held that the </w:t>
      </w:r>
      <w:r w:rsidR="007873C8" w:rsidRPr="007873C8">
        <w:rPr>
          <w:rFonts w:ascii="Arial" w:hAnsi="Arial" w:cs="Arial"/>
          <w:color w:val="000000"/>
          <w:sz w:val="20"/>
          <w:szCs w:val="20"/>
        </w:rPr>
        <w:t xml:space="preserve">Cabinet Submission documents </w:t>
      </w:r>
      <w:r w:rsidR="001F07FA">
        <w:rPr>
          <w:rFonts w:ascii="Arial" w:hAnsi="Arial" w:cs="Arial"/>
          <w:color w:val="000000"/>
          <w:sz w:val="20"/>
          <w:szCs w:val="20"/>
        </w:rPr>
        <w:t>we</w:t>
      </w:r>
      <w:r w:rsidR="007873C8" w:rsidRPr="007873C8">
        <w:rPr>
          <w:rFonts w:ascii="Arial" w:hAnsi="Arial" w:cs="Arial"/>
          <w:color w:val="000000"/>
          <w:sz w:val="20"/>
          <w:szCs w:val="20"/>
        </w:rPr>
        <w:t>re immune from disclosure</w:t>
      </w:r>
      <w:r w:rsidR="007873C8">
        <w:rPr>
          <w:rFonts w:ascii="Arial" w:hAnsi="Arial" w:cs="Arial"/>
          <w:color w:val="000000"/>
          <w:sz w:val="20"/>
          <w:szCs w:val="20"/>
        </w:rPr>
        <w:t>, concluding at [92]:</w:t>
      </w:r>
    </w:p>
    <w:p w14:paraId="5CB8C55D" w14:textId="2ADD7DFF" w:rsidR="007873C8" w:rsidRPr="0059676A" w:rsidRDefault="007873C8" w:rsidP="007873C8">
      <w:pPr>
        <w:spacing w:before="60"/>
        <w:ind w:left="454" w:right="454"/>
        <w:jc w:val="both"/>
        <w:rPr>
          <w:rFonts w:ascii="Arial" w:hAnsi="Arial" w:cs="Arial"/>
          <w:iCs/>
          <w:color w:val="000000"/>
          <w:sz w:val="20"/>
          <w:szCs w:val="20"/>
        </w:rPr>
      </w:pPr>
      <w:r>
        <w:rPr>
          <w:rFonts w:ascii="Arial" w:hAnsi="Arial" w:cs="Arial"/>
          <w:iCs/>
          <w:color w:val="000000"/>
          <w:sz w:val="20"/>
          <w:szCs w:val="20"/>
        </w:rPr>
        <w:t>“</w:t>
      </w:r>
      <w:r w:rsidRPr="007873C8">
        <w:rPr>
          <w:rFonts w:ascii="Arial" w:hAnsi="Arial" w:cs="Arial"/>
          <w:iCs/>
          <w:color w:val="000000"/>
          <w:sz w:val="20"/>
          <w:szCs w:val="20"/>
        </w:rPr>
        <w:t>The public interest in disclosing the documents weighs more heavily in the circumstances of this proceeding, which concerns the housing rights of vulnerable community members</w:t>
      </w:r>
      <w:r>
        <w:rPr>
          <w:rFonts w:ascii="Arial" w:hAnsi="Arial" w:cs="Arial"/>
          <w:iCs/>
          <w:color w:val="000000"/>
          <w:sz w:val="20"/>
          <w:szCs w:val="20"/>
        </w:rPr>
        <w:t xml:space="preserve">: see s.130(5)(cc) </w:t>
      </w:r>
      <w:r w:rsidRPr="007873C8">
        <w:rPr>
          <w:rFonts w:ascii="Arial" w:hAnsi="Arial" w:cs="Arial"/>
          <w:i/>
          <w:color w:val="000000"/>
          <w:sz w:val="20"/>
          <w:szCs w:val="20"/>
        </w:rPr>
        <w:t>Evidence Act 2008</w:t>
      </w:r>
      <w:r w:rsidRPr="007873C8">
        <w:rPr>
          <w:rFonts w:ascii="Arial" w:hAnsi="Arial" w:cs="Arial"/>
          <w:iCs/>
          <w:color w:val="000000"/>
          <w:sz w:val="20"/>
          <w:szCs w:val="20"/>
        </w:rPr>
        <w:t>. However, taking into account the above matters, I conclude that the public interest in disclosure of the documents is not sufficient to outweigh the public interest in maintaining the confidentiality of Cabinet documents relating to a matter that is current and controversial.</w:t>
      </w:r>
      <w:r>
        <w:rPr>
          <w:rFonts w:ascii="Arial" w:hAnsi="Arial" w:cs="Arial"/>
          <w:iCs/>
          <w:color w:val="000000"/>
          <w:sz w:val="20"/>
          <w:szCs w:val="20"/>
        </w:rPr>
        <w:t>”</w:t>
      </w:r>
    </w:p>
    <w:p w14:paraId="73553ED2" w14:textId="77777777" w:rsidR="00436D8C" w:rsidRPr="0028556C" w:rsidRDefault="00436D8C"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801"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were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801"/>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42A28E55"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Saleam</w:t>
      </w:r>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r w:rsidR="00174E0B" w:rsidRPr="00061EA1">
        <w:rPr>
          <w:rFonts w:ascii="Arial" w:hAnsi="Arial" w:cs="Arial"/>
          <w:i/>
          <w:color w:val="000000"/>
          <w:sz w:val="20"/>
          <w:szCs w:val="20"/>
        </w:rPr>
        <w:t xml:space="preserve">Dolheguy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r w:rsidR="005B1C54" w:rsidRPr="005B1C54">
        <w:rPr>
          <w:rFonts w:ascii="Arial" w:hAnsi="Arial" w:cs="Arial"/>
          <w:i/>
          <w:iCs/>
          <w:sz w:val="20"/>
          <w:szCs w:val="20"/>
        </w:rPr>
        <w:t>Madafferi v The King [No 2]</w:t>
      </w:r>
      <w:r w:rsidR="005B1C54">
        <w:rPr>
          <w:rFonts w:ascii="Arial" w:hAnsi="Arial" w:cs="Arial"/>
          <w:sz w:val="20"/>
          <w:szCs w:val="20"/>
        </w:rPr>
        <w:t xml:space="preserve"> [2024] VSCA 14</w:t>
      </w:r>
      <w:r w:rsidR="00D456A8">
        <w:rPr>
          <w:rFonts w:ascii="Arial" w:hAnsi="Arial" w:cs="Arial"/>
          <w:sz w:val="20"/>
          <w:szCs w:val="20"/>
        </w:rPr>
        <w:t xml:space="preserve">; </w:t>
      </w:r>
      <w:r w:rsidR="00D456A8" w:rsidRPr="00D456A8">
        <w:rPr>
          <w:rFonts w:ascii="Arial" w:hAnsi="Arial" w:cs="Arial"/>
          <w:i/>
          <w:iCs/>
          <w:sz w:val="20"/>
          <w:szCs w:val="20"/>
        </w:rPr>
        <w:t>Wawryk v Mercedes-Benz Australia/Pacific Pty Ltd (Subpoena Ruling)</w:t>
      </w:r>
      <w:r w:rsidR="00D456A8">
        <w:rPr>
          <w:rFonts w:ascii="Arial" w:hAnsi="Arial" w:cs="Arial"/>
          <w:sz w:val="20"/>
          <w:szCs w:val="20"/>
        </w:rPr>
        <w:t xml:space="preserve"> [2024] VSC 120 at [11]-[27].</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802"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802"/>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Ragg v Magistrates’ Court &amp; Corcoris</w:t>
      </w:r>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Fitt</w:t>
      </w:r>
      <w:r w:rsidR="00067BEE" w:rsidRPr="00067BEE">
        <w:rPr>
          <w:rFonts w:ascii="Arial" w:hAnsi="Arial" w:cs="Arial"/>
          <w:i/>
          <w:sz w:val="20"/>
        </w:rPr>
        <w:t xml:space="preserve"> v </w:t>
      </w:r>
      <w:smartTag w:uri="urn:schemas-microsoft-com:office:smarttags" w:element="place">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Tahche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R v Saleam</w:t>
      </w:r>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Saleam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Johnson v Poppeliers</w:t>
      </w:r>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&amp; Corcoris</w:t>
      </w:r>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place">
        <w:smartTag w:uri="urn:schemas-microsoft-com:office:smarttags" w:element="Stat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R v Saleam</w:t>
      </w:r>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r w:rsidRPr="00813B7E">
        <w:rPr>
          <w:rFonts w:ascii="Arial" w:hAnsi="Arial" w:cs="Arial"/>
          <w:i/>
          <w:iCs/>
          <w:sz w:val="20"/>
          <w:szCs w:val="20"/>
        </w:rPr>
        <w:t>Madafferi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r w:rsidRPr="007E5209">
        <w:rPr>
          <w:rFonts w:ascii="Arial" w:hAnsi="Arial" w:cs="Arial"/>
          <w:i/>
          <w:iCs/>
          <w:sz w:val="20"/>
        </w:rPr>
        <w:t>Madafferi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rsidP="009B1652">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Basten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r w:rsidRPr="0087543E">
        <w:rPr>
          <w:rFonts w:ascii="Arial" w:eastAsia="Book Antiqua" w:hAnsi="Arial" w:cs="Arial"/>
          <w:i/>
          <w:sz w:val="20"/>
          <w:szCs w:val="20"/>
        </w:rPr>
        <w:t>Cerrah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r w:rsidR="005549E2">
        <w:rPr>
          <w:rFonts w:ascii="Arial" w:hAnsi="Arial" w:cs="Arial"/>
          <w:sz w:val="20"/>
        </w:rPr>
        <w:t xml:space="preserve">Gageler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r w:rsidRPr="009E52F1">
        <w:rPr>
          <w:rFonts w:ascii="Arial" w:hAnsi="Arial" w:cs="Arial"/>
          <w:i/>
          <w:iCs/>
          <w:sz w:val="20"/>
        </w:rPr>
        <w:t>Madafferi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r w:rsidR="00BB0A6A" w:rsidRPr="00BB0A6A">
        <w:rPr>
          <w:rFonts w:ascii="Arial" w:hAnsi="Arial" w:cs="Arial"/>
          <w:i/>
          <w:iCs/>
          <w:sz w:val="20"/>
        </w:rPr>
        <w:t>Madafferi</w:t>
      </w:r>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R v Benbrika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803"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803"/>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r w:rsidR="006B2259" w:rsidRPr="006B2259">
        <w:rPr>
          <w:rFonts w:ascii="Arial" w:hAnsi="Arial" w:cs="Arial"/>
          <w:i/>
          <w:iCs/>
          <w:sz w:val="20"/>
          <w:szCs w:val="20"/>
        </w:rPr>
        <w:t>Farac</w:t>
      </w:r>
      <w:r w:rsidR="006B2259">
        <w:rPr>
          <w:rFonts w:ascii="Arial" w:hAnsi="Arial" w:cs="Arial"/>
          <w:i/>
          <w:iCs/>
          <w:sz w:val="20"/>
          <w:szCs w:val="20"/>
        </w:rPr>
        <w:t>hi</w:t>
      </w:r>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r w:rsidRPr="002B76AE">
        <w:rPr>
          <w:rFonts w:ascii="Arial" w:hAnsi="Arial" w:cs="Arial"/>
          <w:i/>
          <w:iCs/>
          <w:sz w:val="20"/>
        </w:rPr>
        <w:t>Madafferi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Heydon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r w:rsidRPr="00D32006">
        <w:rPr>
          <w:rFonts w:ascii="Arial" w:hAnsi="Arial" w:cs="Arial"/>
          <w:sz w:val="20"/>
          <w:szCs w:val="20"/>
        </w:rPr>
        <w:t xml:space="preserve">AsJ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804" w:name="_3.5.9.2__Pre-hearing"/>
      <w:bookmarkStart w:id="805" w:name="B3592"/>
      <w:bookmarkEnd w:id="804"/>
      <w:bookmarkEnd w:id="805"/>
      <w:r w:rsidRPr="009F25D4">
        <w:rPr>
          <w:rFonts w:ascii="Arial" w:hAnsi="Arial" w:cs="Arial"/>
          <w:b/>
          <w:bCs/>
          <w:color w:val="000000"/>
          <w:sz w:val="20"/>
        </w:rPr>
        <w:t>3.5.9.2  Pre-hearing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59BA99F8"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r w:rsidR="00E97F49" w:rsidRPr="00E97F49">
        <w:rPr>
          <w:rFonts w:ascii="Arial" w:hAnsi="Arial" w:cs="Arial"/>
          <w:i/>
          <w:iCs/>
          <w:color w:val="000000"/>
          <w:sz w:val="20"/>
        </w:rPr>
        <w:t>Cvetanovski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FD5F44" w:rsidRPr="00A31FFA">
        <w:rPr>
          <w:rFonts w:ascii="Arial" w:hAnsi="Arial" w:cs="Arial"/>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806" w:name="_3.5.9.3__Production"/>
      <w:bookmarkStart w:id="807" w:name="B3593"/>
      <w:bookmarkEnd w:id="806"/>
      <w:bookmarkEnd w:id="807"/>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w:t>
      </w:r>
      <w:r w:rsidRPr="009F25D4">
        <w:rPr>
          <w:rFonts w:ascii="Arial" w:hAnsi="Arial" w:cs="Arial"/>
          <w:color w:val="000000"/>
          <w:sz w:val="20"/>
        </w:rPr>
        <w:lastRenderedPageBreak/>
        <w:t xml:space="preserve">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the inherent power of the Court seised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34E22F8" w:rsidR="00F730A1" w:rsidRDefault="00F730A1" w:rsidP="007C10BC">
      <w:pPr>
        <w:jc w:val="both"/>
        <w:rPr>
          <w:rFonts w:ascii="Arial" w:hAnsi="Arial" w:cs="Arial"/>
          <w:sz w:val="20"/>
        </w:rPr>
      </w:pPr>
      <w:r>
        <w:rPr>
          <w:rFonts w:ascii="Arial" w:hAnsi="Arial" w:cs="Arial"/>
          <w:sz w:val="20"/>
        </w:rPr>
        <w:t xml:space="preserve">As from </w:t>
      </w:r>
      <w:r w:rsidR="00FE13E6">
        <w:rPr>
          <w:rFonts w:ascii="Arial" w:hAnsi="Arial" w:cs="Arial"/>
          <w:sz w:val="20"/>
        </w:rPr>
        <w:t>01</w:t>
      </w:r>
      <w:r>
        <w:rPr>
          <w:rFonts w:ascii="Arial" w:hAnsi="Arial" w:cs="Arial"/>
          <w:sz w:val="20"/>
        </w:rPr>
        <w:t>/0</w:t>
      </w:r>
      <w:r w:rsidR="00FE13E6">
        <w:rPr>
          <w:rFonts w:ascii="Arial" w:hAnsi="Arial" w:cs="Arial"/>
          <w:sz w:val="20"/>
        </w:rPr>
        <w:t>1</w:t>
      </w:r>
      <w:r>
        <w:rPr>
          <w:rFonts w:ascii="Arial" w:hAnsi="Arial" w:cs="Arial"/>
          <w:sz w:val="20"/>
        </w:rPr>
        <w:t>/20</w:t>
      </w:r>
      <w:r w:rsidR="00C15213">
        <w:rPr>
          <w:rFonts w:ascii="Arial" w:hAnsi="Arial" w:cs="Arial"/>
          <w:sz w:val="20"/>
        </w:rPr>
        <w:t>2</w:t>
      </w:r>
      <w:r w:rsidR="00FE13E6">
        <w:rPr>
          <w:rFonts w:ascii="Arial" w:hAnsi="Arial" w:cs="Arial"/>
          <w:sz w:val="20"/>
        </w:rPr>
        <w:t>5</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FE13E6">
        <w:rPr>
          <w:rFonts w:ascii="Arial" w:hAnsi="Arial" w:cs="Arial"/>
          <w:sz w:val="20"/>
        </w:rPr>
        <w:t>5</w:t>
      </w:r>
      <w:r>
        <w:rPr>
          <w:rFonts w:ascii="Arial" w:hAnsi="Arial" w:cs="Arial"/>
          <w:sz w:val="20"/>
        </w:rPr>
        <w:t xml:space="preserve"> provides</w:t>
      </w:r>
      <w:r w:rsidR="003F685D">
        <w:rPr>
          <w:rFonts w:ascii="Arial" w:hAnsi="Arial" w:cs="Arial"/>
          <w:sz w:val="20"/>
        </w:rPr>
        <w:t xml:space="preserve"> in paragraphs [2</w:t>
      </w:r>
      <w:r w:rsidR="00FE13E6">
        <w:rPr>
          <w:rFonts w:ascii="Arial" w:hAnsi="Arial" w:cs="Arial"/>
          <w:sz w:val="20"/>
        </w:rPr>
        <w:t>5</w:t>
      </w:r>
      <w:r w:rsidR="003F685D">
        <w:rPr>
          <w:rFonts w:ascii="Arial" w:hAnsi="Arial" w:cs="Arial"/>
          <w:sz w:val="20"/>
        </w:rPr>
        <w:t>]-[27]</w:t>
      </w:r>
      <w:r>
        <w:rPr>
          <w:rFonts w:ascii="Arial" w:hAnsi="Arial" w:cs="Arial"/>
          <w:sz w:val="20"/>
        </w:rPr>
        <w:t>:</w:t>
      </w:r>
    </w:p>
    <w:p w14:paraId="58AD2568" w14:textId="7DFCBC47" w:rsidR="00FE13E6" w:rsidRDefault="0011696D" w:rsidP="0007078B">
      <w:pPr>
        <w:spacing w:before="60"/>
        <w:ind w:left="454" w:right="454"/>
        <w:jc w:val="both"/>
        <w:rPr>
          <w:rFonts w:ascii="Arial" w:hAnsi="Arial" w:cs="Arial"/>
          <w:sz w:val="20"/>
        </w:rPr>
      </w:pPr>
      <w:bookmarkStart w:id="808" w:name="_3.5.10_Children_as"/>
      <w:bookmarkStart w:id="809" w:name="B3510"/>
      <w:bookmarkEnd w:id="808"/>
      <w:bookmarkEnd w:id="809"/>
      <w:r>
        <w:rPr>
          <w:rFonts w:ascii="Arial" w:hAnsi="Arial" w:cs="Arial"/>
          <w:sz w:val="20"/>
          <w:szCs w:val="20"/>
        </w:rPr>
        <w:t>[2</w:t>
      </w:r>
      <w:r w:rsidR="00FE13E6">
        <w:rPr>
          <w:rFonts w:ascii="Arial" w:hAnsi="Arial" w:cs="Arial"/>
          <w:sz w:val="20"/>
          <w:szCs w:val="20"/>
        </w:rPr>
        <w:t>5</w:t>
      </w:r>
      <w:r>
        <w:rPr>
          <w:rFonts w:ascii="Arial" w:hAnsi="Arial" w:cs="Arial"/>
          <w:sz w:val="20"/>
          <w:szCs w:val="20"/>
        </w:rPr>
        <w:t>] “</w:t>
      </w:r>
      <w:r w:rsidR="00FE13E6" w:rsidRPr="00FE13E6">
        <w:rPr>
          <w:rFonts w:ascii="Arial" w:hAnsi="Arial" w:cs="Arial"/>
          <w:sz w:val="20"/>
        </w:rPr>
        <w:t>DFFH or an authorised Aboriginal agency must file, when relevant, the Form B and upload all relevant CRIS notes (redacted or otherwise) on the CMS portal</w:t>
      </w:r>
      <w:r w:rsidR="0007078B">
        <w:rPr>
          <w:rFonts w:ascii="Arial" w:hAnsi="Arial" w:cs="Arial"/>
          <w:sz w:val="20"/>
        </w:rPr>
        <w:t>.</w:t>
      </w:r>
    </w:p>
    <w:p w14:paraId="2C3AF40D" w14:textId="5B65EFB5" w:rsidR="0011696D" w:rsidRDefault="00FE13E6" w:rsidP="0007078B">
      <w:pPr>
        <w:spacing w:before="60"/>
        <w:ind w:left="454" w:right="454"/>
        <w:jc w:val="both"/>
        <w:rPr>
          <w:rFonts w:ascii="Arial" w:hAnsi="Arial" w:cs="Arial"/>
          <w:sz w:val="20"/>
          <w:szCs w:val="20"/>
        </w:rPr>
      </w:pPr>
      <w:r>
        <w:rPr>
          <w:rFonts w:ascii="Arial" w:hAnsi="Arial" w:cs="Arial"/>
          <w:sz w:val="20"/>
        </w:rPr>
        <w:t xml:space="preserve">[26] </w:t>
      </w:r>
      <w:r w:rsidRPr="00FE13E6">
        <w:rPr>
          <w:rFonts w:ascii="Arial" w:hAnsi="Arial" w:cs="Arial"/>
          <w:sz w:val="20"/>
        </w:rPr>
        <w:t>DFFH or an authorised Aboriginal agency must provide all self-represented parties the CRIS notes that are uploaded on the CMS portal.</w:t>
      </w:r>
    </w:p>
    <w:p w14:paraId="59FCD8A6" w14:textId="542597F6" w:rsidR="003F685D" w:rsidRDefault="0011696D" w:rsidP="0007078B">
      <w:pPr>
        <w:spacing w:before="60"/>
        <w:ind w:left="454" w:righ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At the conclusion of the hearing, a</w:t>
      </w:r>
      <w:r w:rsidR="00FE13E6">
        <w:rPr>
          <w:rFonts w:ascii="Arial" w:hAnsi="Arial" w:cs="Arial"/>
          <w:sz w:val="20"/>
          <w:szCs w:val="20"/>
        </w:rPr>
        <w:t>n</w:t>
      </w:r>
      <w:r w:rsidR="0007078B">
        <w:rPr>
          <w:rFonts w:ascii="Arial" w:hAnsi="Arial" w:cs="Arial"/>
          <w:sz w:val="20"/>
          <w:szCs w:val="20"/>
        </w:rPr>
        <w:t>y</w:t>
      </w:r>
      <w:r w:rsidR="003F685D" w:rsidRPr="003F685D">
        <w:rPr>
          <w:rFonts w:ascii="Arial" w:hAnsi="Arial" w:cs="Arial"/>
          <w:sz w:val="20"/>
          <w:szCs w:val="20"/>
        </w:rPr>
        <w:t xml:space="preserve"> electronic copies of the CRIS notes and other documents must be permanently deleted, and any </w:t>
      </w:r>
      <w:r w:rsidR="00FE13E6">
        <w:rPr>
          <w:rFonts w:ascii="Arial" w:hAnsi="Arial" w:cs="Arial"/>
          <w:sz w:val="20"/>
          <w:szCs w:val="20"/>
        </w:rPr>
        <w:t>printed</w:t>
      </w:r>
      <w:r w:rsidR="003F685D" w:rsidRPr="003F685D">
        <w:rPr>
          <w:rFonts w:ascii="Arial" w:hAnsi="Arial" w:cs="Arial"/>
          <w:sz w:val="20"/>
          <w:szCs w:val="20"/>
        </w:rPr>
        <w:t xml:space="preserve"> copies returned to the legal representative of DFFH</w:t>
      </w:r>
      <w:r w:rsidR="00FE13E6">
        <w:rPr>
          <w:rFonts w:ascii="Arial" w:hAnsi="Arial" w:cs="Arial"/>
          <w:sz w:val="20"/>
          <w:szCs w:val="20"/>
        </w:rPr>
        <w:t xml:space="preserve"> or the authorised Aboriginal agency</w:t>
      </w:r>
      <w:r w:rsidR="003F685D" w:rsidRPr="003F685D">
        <w:rPr>
          <w:rFonts w:ascii="Arial" w:hAnsi="Arial" w:cs="Arial"/>
          <w:sz w:val="20"/>
          <w:szCs w:val="20"/>
        </w:rPr>
        <w:t xml:space="preserve"> unless the Court otherwise orders.</w:t>
      </w:r>
      <w:r>
        <w:rPr>
          <w:rFonts w:ascii="Arial" w:hAnsi="Arial" w:cs="Arial"/>
          <w:sz w:val="20"/>
          <w:szCs w:val="20"/>
        </w:rPr>
        <w:t>”</w:t>
      </w:r>
    </w:p>
    <w:p w14:paraId="5698CE2C" w14:textId="77777777" w:rsidR="0064116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810" w:name="_3.5.10.1__Ensuring"/>
      <w:bookmarkEnd w:id="810"/>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811" w:name="_A_WITNESS_SUMMONSES"/>
      <w:bookmarkEnd w:id="811"/>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812"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812"/>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13" w:name="_B_WITNESS_SUMMONSES"/>
      <w:bookmarkEnd w:id="813"/>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14" w:name="_C_NOTICES_TO"/>
      <w:bookmarkEnd w:id="814"/>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815" w:name="_3.5.10.2__Compellability"/>
      <w:bookmarkEnd w:id="815"/>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46F7127A" w:rsidR="00B40317" w:rsidRDefault="00B40317" w:rsidP="00B40317">
      <w:pPr>
        <w:ind w:left="567" w:right="567"/>
        <w:jc w:val="both"/>
        <w:rPr>
          <w:rFonts w:ascii="Arial" w:hAnsi="Arial" w:cs="Arial"/>
          <w:sz w:val="20"/>
        </w:rPr>
      </w:pPr>
      <w:r>
        <w:rPr>
          <w:rFonts w:ascii="Arial" w:hAnsi="Arial" w:cs="Arial"/>
          <w:sz w:val="20"/>
        </w:rPr>
        <w:t>“Except as otherwise provided by this Act</w:t>
      </w:r>
      <w:r w:rsidR="00FD5F44" w:rsidRPr="00A31FFA">
        <w:rPr>
          <w:rFonts w:ascii="Arial" w:hAnsi="Arial" w:cs="Arial"/>
          <w:sz w:val="20"/>
        </w:rPr>
        <w: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Kirk v Industrial Relations Commission of New South Wales; Kirk Group Holdings Pty Ltd v WorkCover Authority of New South Wales (Inspector Childs)</w:t>
      </w:r>
      <w:r>
        <w:rPr>
          <w:rFonts w:ascii="Arial" w:hAnsi="Arial" w:cs="Arial"/>
          <w:sz w:val="20"/>
        </w:rPr>
        <w:t xml:space="preserve"> [2010] HCA 1 at [51] per French CJ, Gummow, Hayne, Crennan, Kiefel &amp; Bell JJ and at [114] per Heydon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816" w:name="_B_ATTEMPTED_ARMED"/>
      <w:bookmarkEnd w:id="816"/>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817" w:name="_3.5.10.1__Competence"/>
      <w:bookmarkStart w:id="818" w:name="B35101"/>
      <w:bookmarkEnd w:id="817"/>
      <w:bookmarkEnd w:id="818"/>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064C4278"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r w:rsidR="00FD5F44" w:rsidRPr="00A31FFA">
        <w:rPr>
          <w:rFonts w:ascii="Arial" w:hAnsi="Arial" w:cs="Arial"/>
          <w:sz w:val="20"/>
        </w:rPr>
        <w:t>–</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00FF5B3F"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r w:rsidR="00FD5F44" w:rsidRPr="00A31FFA">
        <w:rPr>
          <w:rFonts w:ascii="Arial" w:hAnsi="Arial" w:cs="Arial"/>
          <w:sz w:val="20"/>
        </w:rPr>
        <w: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1646ED9"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r w:rsidR="00FD5F44" w:rsidRPr="00A31FFA">
        <w:rPr>
          <w:rFonts w:ascii="Arial" w:hAnsi="Arial" w:cs="Arial"/>
          <w:sz w:val="20"/>
        </w:rPr>
        <w:t>–</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Martin v Amaca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7B7FB8C6"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r w:rsidR="00FD5F44" w:rsidRPr="00A31FFA">
        <w:rPr>
          <w:rFonts w:ascii="Arial" w:hAnsi="Arial" w:cs="Arial"/>
          <w:sz w:val="20"/>
        </w:rPr>
        <w: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59597CC0"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r w:rsidR="00FD5F44" w:rsidRPr="00A31FFA">
        <w:rPr>
          <w:rFonts w:ascii="Arial" w:hAnsi="Arial" w:cs="Arial"/>
          <w:sz w:val="20"/>
        </w:rPr>
        <w: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2CD227D0"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63A78625"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r w:rsidR="00FD5F44" w:rsidRPr="00A31FFA">
        <w:rPr>
          <w:rFonts w:ascii="Arial" w:hAnsi="Arial" w:cs="Arial"/>
          <w:sz w:val="20"/>
        </w:rPr>
        <w: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1172E72"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r w:rsidR="00FD5F44" w:rsidRPr="00A31FFA">
        <w:rPr>
          <w:rFonts w:ascii="Arial" w:hAnsi="Arial" w:cs="Arial"/>
          <w:sz w:val="20"/>
        </w:rPr>
        <w: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819" w:name="_3.5.10.3__Children"/>
      <w:bookmarkEnd w:id="819"/>
      <w:r>
        <w:rPr>
          <w:rFonts w:ascii="Arial" w:hAnsi="Arial" w:cs="Arial"/>
          <w:b/>
          <w:bCs/>
          <w:sz w:val="20"/>
        </w:rPr>
        <w:t>3.5.10.3</w:t>
      </w:r>
      <w:r>
        <w:rPr>
          <w:rFonts w:ascii="Arial" w:hAnsi="Arial" w:cs="Arial"/>
          <w:b/>
          <w:bCs/>
          <w:sz w:val="20"/>
        </w:rPr>
        <w:tab/>
        <w:t>Children as witnesses in court cases</w:t>
      </w:r>
    </w:p>
    <w:p w14:paraId="366BFDC1" w14:textId="1310713D"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place">
        <w:smartTag w:uri="urn:schemas-microsoft-com:office:smarttags" w:element="City">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w:t>
      </w:r>
      <w:r w:rsidR="00E55EA7">
        <w:rPr>
          <w:rFonts w:ascii="Arial" w:hAnsi="Arial" w:cs="Arial"/>
          <w:sz w:val="20"/>
        </w:rPr>
        <w:t xml:space="preserve">of the </w:t>
      </w:r>
      <w:r w:rsidR="00E55EA7" w:rsidRPr="003B3AA1">
        <w:rPr>
          <w:rFonts w:ascii="Arial" w:hAnsi="Arial" w:cs="Arial"/>
          <w:i/>
          <w:iCs/>
          <w:color w:val="000000"/>
          <w:sz w:val="20"/>
        </w:rPr>
        <w:t>Evidence Act 2008</w:t>
      </w:r>
      <w:r w:rsidR="00E55EA7">
        <w:rPr>
          <w:rFonts w:ascii="Arial" w:hAnsi="Arial" w:cs="Arial"/>
          <w:color w:val="000000"/>
          <w:sz w:val="20"/>
        </w:rPr>
        <w:t xml:space="preserve"> (Vic) </w:t>
      </w:r>
      <w:r w:rsidR="00A80955">
        <w:rPr>
          <w:rFonts w:ascii="Arial" w:hAnsi="Arial" w:cs="Arial"/>
          <w:sz w:val="20"/>
        </w:rPr>
        <w:t>apply to both child and adult witnesses.</w:t>
      </w:r>
    </w:p>
    <w:p w14:paraId="0FAA2FB3" w14:textId="77777777" w:rsidR="00812268" w:rsidRPr="00836E86" w:rsidRDefault="00812268" w:rsidP="00812268">
      <w:pPr>
        <w:jc w:val="both"/>
        <w:rPr>
          <w:rFonts w:ascii="Arial" w:hAnsi="Arial" w:cs="Arial"/>
          <w:sz w:val="20"/>
        </w:rPr>
      </w:pPr>
      <w:bookmarkStart w:id="820" w:name="_3.5.10.3__Claim"/>
      <w:bookmarkEnd w:id="820"/>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Timeless Sunrise Pty Ltd v BigJ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Roberts were precluded from questioning Mr Buchorn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r w:rsidR="00595FF5">
        <w:rPr>
          <w:rFonts w:ascii="Arial" w:hAnsi="Arial" w:cs="Arial"/>
          <w:i/>
          <w:iCs/>
          <w:sz w:val="20"/>
        </w:rPr>
        <w:t xml:space="preserve">Villan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Villan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r w:rsidRPr="007672DA">
        <w:rPr>
          <w:rFonts w:ascii="Arial" w:hAnsi="Arial" w:cs="Arial"/>
          <w:i/>
          <w:iCs/>
          <w:sz w:val="20"/>
        </w:rPr>
        <w:t>Kontis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821" w:name="_3.5.10.5__Leave"/>
      <w:bookmarkStart w:id="822" w:name="_3.5.11_Oaths_and"/>
      <w:bookmarkStart w:id="823" w:name="B3511"/>
      <w:bookmarkEnd w:id="821"/>
      <w:bookmarkEnd w:id="822"/>
      <w:bookmarkEnd w:id="823"/>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824" w:name="_3.5.12_Appearance_or"/>
      <w:bookmarkStart w:id="825" w:name="B3512"/>
      <w:bookmarkEnd w:id="824"/>
      <w:bookmarkEnd w:id="825"/>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826" w:name="_3.5.12.1__Appearance"/>
      <w:bookmarkStart w:id="827" w:name="B35121"/>
      <w:bookmarkEnd w:id="826"/>
      <w:bookmarkEnd w:id="827"/>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Winneke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Grege v Grege &amp; Ors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Ghosn v Principle Focus Pty Ltd &amp; Ors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28" w:name="_3.5.12.2__Appearance"/>
      <w:bookmarkStart w:id="829" w:name="B35122"/>
      <w:bookmarkEnd w:id="828"/>
      <w:bookmarkEnd w:id="829"/>
      <w:r>
        <w:rPr>
          <w:rFonts w:ascii="Arial" w:hAnsi="Arial" w:cs="Arial"/>
          <w:b/>
          <w:bCs/>
          <w:sz w:val="20"/>
        </w:rPr>
        <w:t>3.5.12.2  Appearance etc. by an accused in a criminal or associated proceeding</w:t>
      </w:r>
    </w:p>
    <w:p w14:paraId="181816F6" w14:textId="22BE87BC"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 xml:space="preserve">must appear, or be brought, physically before the court.  Section 42P(1)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r w:rsidR="00FD5F44" w:rsidRPr="00A31FFA">
        <w:rPr>
          <w:rFonts w:ascii="Arial" w:hAnsi="Arial" w:cs="Arial"/>
          <w:sz w:val="20"/>
        </w:rPr>
        <w:t>–</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30" w:name="_3.5.12.3__Alternative"/>
      <w:bookmarkStart w:id="831" w:name="B35123"/>
      <w:bookmarkEnd w:id="830"/>
      <w:bookmarkEnd w:id="831"/>
      <w:r>
        <w:rPr>
          <w:rFonts w:ascii="Arial" w:hAnsi="Arial" w:cs="Arial"/>
          <w:b/>
          <w:bCs/>
          <w:sz w:val="20"/>
        </w:rPr>
        <w:t>3.5.12.3  Alternative arrangements for giving evidence in certain criminal proceedings</w:t>
      </w:r>
    </w:p>
    <w:p w14:paraId="51A2401D" w14:textId="392BE861"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r w:rsidR="00FD5F44" w:rsidRPr="00A31FFA">
        <w:rPr>
          <w:rFonts w:ascii="Arial" w:hAnsi="Arial" w:cs="Arial"/>
          <w:sz w:val="20"/>
        </w:rPr>
        <w:t>–</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6B255F0D"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r w:rsidR="00FD5F44" w:rsidRPr="00A31FFA">
        <w:rPr>
          <w:rFonts w:ascii="Arial" w:hAnsi="Arial" w:cs="Arial"/>
          <w:sz w:val="20"/>
        </w:rPr>
        <w:t>–</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3B6A4BDE"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r w:rsidR="00FD5F44" w:rsidRPr="00A31FFA">
        <w:rPr>
          <w:rFonts w:ascii="Arial" w:hAnsi="Arial" w:cs="Arial"/>
          <w:sz w:val="20"/>
        </w:rPr>
        <w:t>–</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6961A7FC"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r w:rsidR="00FD5F44" w:rsidRPr="00A31FFA">
        <w:rPr>
          <w:rFonts w:ascii="Arial" w:hAnsi="Arial" w:cs="Arial"/>
          <w:sz w:val="20"/>
        </w:rPr>
        <w:t>–</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7061BD03"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r w:rsidR="00FD5F44" w:rsidRPr="00A31FFA">
        <w:rPr>
          <w:rFonts w:ascii="Arial" w:hAnsi="Arial" w:cs="Arial"/>
          <w:sz w:val="20"/>
        </w:rPr>
        <w:t>–</w:t>
      </w:r>
    </w:p>
    <w:p w14:paraId="26F276FC" w14:textId="53901ACE" w:rsidR="002F03EC" w:rsidRDefault="00BB6106" w:rsidP="00CA085E">
      <w:pPr>
        <w:jc w:val="both"/>
        <w:rPr>
          <w:rFonts w:ascii="Arial" w:hAnsi="Arial" w:cs="Arial"/>
          <w:sz w:val="20"/>
        </w:rPr>
      </w:pPr>
      <w:r>
        <w:rPr>
          <w:rFonts w:ascii="Arial" w:hAnsi="Arial" w:cs="Arial"/>
          <w:sz w:val="20"/>
        </w:rPr>
        <w:t>unless</w:t>
      </w:r>
      <w:r w:rsidR="00FD5F44" w:rsidRPr="00A31FFA">
        <w:rPr>
          <w:rFonts w:ascii="Arial" w:hAnsi="Arial" w:cs="Arial"/>
          <w:sz w:val="20"/>
        </w:rPr>
        <w:t>–</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9977AC8"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w:t>
      </w:r>
      <w:r w:rsidR="005F5739">
        <w:rPr>
          <w:rFonts w:ascii="Arial" w:eastAsia="Book Antiqua" w:hAnsi="Arial" w:cs="Arial"/>
          <w:sz w:val="20"/>
          <w:szCs w:val="20"/>
        </w:rPr>
        <w:t>e</w:t>
      </w:r>
      <w:r w:rsidR="00B7560B" w:rsidRPr="00B7560B">
        <w:rPr>
          <w:rFonts w:ascii="Arial" w:eastAsia="Book Antiqua" w:hAnsi="Arial" w:cs="Arial"/>
          <w:sz w:val="20"/>
          <w:szCs w:val="20"/>
        </w:rPr>
        <w:t>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32" w:name="_3.5.13_The_rule"/>
      <w:bookmarkStart w:id="833" w:name="B3513"/>
      <w:bookmarkEnd w:id="832"/>
      <w:bookmarkEnd w:id="833"/>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R v Coswello</w:t>
      </w:r>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(1997) 76 FCR 9, 102 (Von Doussa,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there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place">
        <w:smartTag w:uri="urn:schemas-microsoft-com:office:smarttags" w:element="country-region">
          <w:r w:rsidRPr="001A0C2D">
            <w:rPr>
              <w:rFonts w:ascii="Arial" w:hAnsi="Arial" w:cs="Arial"/>
              <w:i/>
              <w:sz w:val="20"/>
            </w:rPr>
            <w:t>Australia</w:t>
          </w:r>
        </w:smartTag>
      </w:smartTag>
      <w:r w:rsidRPr="001A0C2D">
        <w:rPr>
          <w:rFonts w:ascii="Arial" w:hAnsi="Arial" w:cs="Arial"/>
          <w:i/>
          <w:sz w:val="20"/>
        </w:rPr>
        <w:t xml:space="preserve">) Ltd v Dascorp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Curwen v Vanbreck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601E98F2"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Qd R 290, 291.  Sometimes it will need to be extensive.  But where the defence case consists only in a denial of the witness’s allegations, without  positive evidence or hypothesis of an alternative version of events {cf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w:t>
      </w:r>
      <w:r w:rsidR="00FD5F44" w:rsidRPr="00A31FFA">
        <w:rPr>
          <w:rFonts w:ascii="Arial" w:hAnsi="Arial" w:cs="Arial"/>
          <w:sz w:val="20"/>
        </w:rPr>
        <w:t>–</w:t>
      </w:r>
      <w:r w:rsidRPr="00F81B96">
        <w:rPr>
          <w:rFonts w:ascii="Arial" w:hAnsi="Arial" w:cs="Arial"/>
          <w:color w:val="000000"/>
          <w:sz w:val="20"/>
          <w:szCs w:val="20"/>
        </w:rPr>
        <w:t xml:space="preserve"> alternative hypothesis}, the puttage may not need go far and, possibly, may not be necessary at all if defence counsel has made clear from the manner in which the defence case is conducted that the witness’s evidence will be contested.”</w:t>
      </w:r>
    </w:p>
    <w:p w14:paraId="1F9549AB" w14:textId="77777777" w:rsidR="006E5C27" w:rsidRDefault="006E5C27" w:rsidP="00DE0CC3">
      <w:pPr>
        <w:jc w:val="both"/>
        <w:rPr>
          <w:rFonts w:ascii="Arial" w:hAnsi="Arial" w:cs="Arial"/>
          <w:color w:val="000000"/>
          <w:sz w:val="20"/>
        </w:rPr>
      </w:pPr>
    </w:p>
    <w:p w14:paraId="57242D8E" w14:textId="31B0051E" w:rsidR="008B5BC8" w:rsidRDefault="008B5BC8" w:rsidP="00DE0CC3">
      <w:pPr>
        <w:jc w:val="both"/>
        <w:rPr>
          <w:rFonts w:ascii="Arial" w:hAnsi="Arial" w:cs="Arial"/>
          <w:color w:val="000000"/>
          <w:sz w:val="20"/>
        </w:rPr>
      </w:pPr>
      <w:r>
        <w:rPr>
          <w:rFonts w:ascii="Arial" w:hAnsi="Arial" w:cs="Arial"/>
          <w:color w:val="000000"/>
          <w:sz w:val="20"/>
        </w:rPr>
        <w:t xml:space="preserve">In </w:t>
      </w:r>
      <w:r w:rsidRPr="00C50B71">
        <w:rPr>
          <w:rFonts w:ascii="Arial" w:hAnsi="Arial" w:cs="Arial"/>
          <w:i/>
          <w:iCs/>
          <w:sz w:val="20"/>
        </w:rPr>
        <w:t>Police Member 1 (a pseudonym) &amp; Anor v Antonios Sajih Mokbel &amp; Anor</w:t>
      </w:r>
      <w:r>
        <w:rPr>
          <w:rFonts w:ascii="Arial" w:hAnsi="Arial" w:cs="Arial"/>
          <w:sz w:val="20"/>
        </w:rPr>
        <w:t xml:space="preserve"> [2025] VSCA 34 [summarised in </w:t>
      </w:r>
      <w:r w:rsidRPr="008B5BC8">
        <w:rPr>
          <w:rFonts w:ascii="Arial" w:hAnsi="Arial" w:cs="Arial"/>
          <w:b/>
          <w:bCs/>
          <w:sz w:val="20"/>
          <w:shd w:val="clear" w:color="auto" w:fill="C5E0B3" w:themeFill="accent6" w:themeFillTint="66"/>
        </w:rPr>
        <w:t>section 2.8.2</w:t>
      </w:r>
      <w:r>
        <w:rPr>
          <w:rFonts w:ascii="Arial" w:hAnsi="Arial" w:cs="Arial"/>
          <w:sz w:val="20"/>
        </w:rPr>
        <w:t xml:space="preserve">], the </w:t>
      </w:r>
      <w:r w:rsidR="00793538">
        <w:rPr>
          <w:rFonts w:ascii="Arial" w:hAnsi="Arial" w:cs="Arial"/>
          <w:sz w:val="20"/>
        </w:rPr>
        <w:t xml:space="preserve">issue of the </w:t>
      </w:r>
      <w:r w:rsidRPr="008B5BC8">
        <w:rPr>
          <w:rFonts w:ascii="Arial" w:hAnsi="Arial" w:cs="Arial"/>
          <w:i/>
          <w:iCs/>
          <w:sz w:val="20"/>
        </w:rPr>
        <w:t>Browne v Dunn</w:t>
      </w:r>
      <w:r>
        <w:rPr>
          <w:rFonts w:ascii="Arial" w:hAnsi="Arial" w:cs="Arial"/>
          <w:sz w:val="20"/>
        </w:rPr>
        <w:t xml:space="preserve"> </w:t>
      </w:r>
      <w:r w:rsidR="00793538">
        <w:rPr>
          <w:rFonts w:ascii="Arial" w:hAnsi="Arial" w:cs="Arial"/>
          <w:sz w:val="20"/>
        </w:rPr>
        <w:t>rul</w:t>
      </w:r>
      <w:r>
        <w:rPr>
          <w:rFonts w:ascii="Arial" w:hAnsi="Arial" w:cs="Arial"/>
          <w:sz w:val="20"/>
        </w:rPr>
        <w:t xml:space="preserve">e arose in a </w:t>
      </w:r>
      <w:r w:rsidR="00E00B29">
        <w:rPr>
          <w:rFonts w:ascii="Arial" w:hAnsi="Arial" w:cs="Arial"/>
          <w:sz w:val="20"/>
        </w:rPr>
        <w:t xml:space="preserve">rather </w:t>
      </w:r>
      <w:r w:rsidR="00793538">
        <w:rPr>
          <w:rFonts w:ascii="Arial" w:hAnsi="Arial" w:cs="Arial"/>
          <w:sz w:val="20"/>
        </w:rPr>
        <w:t>unconventional</w:t>
      </w:r>
      <w:r>
        <w:rPr>
          <w:rFonts w:ascii="Arial" w:hAnsi="Arial" w:cs="Arial"/>
          <w:sz w:val="20"/>
        </w:rPr>
        <w:t xml:space="preserve"> way. At</w:t>
      </w:r>
      <w:r w:rsidR="00793538">
        <w:rPr>
          <w:rFonts w:ascii="Arial" w:hAnsi="Arial" w:cs="Arial"/>
          <w:sz w:val="20"/>
        </w:rPr>
        <w:t xml:space="preserve"> </w:t>
      </w:r>
      <w:r>
        <w:rPr>
          <w:rFonts w:ascii="Arial" w:hAnsi="Arial" w:cs="Arial"/>
          <w:sz w:val="20"/>
        </w:rPr>
        <w:t>[75]</w:t>
      </w:r>
      <w:r w:rsidR="0055578F">
        <w:rPr>
          <w:rFonts w:ascii="Arial" w:hAnsi="Arial" w:cs="Arial"/>
          <w:sz w:val="20"/>
        </w:rPr>
        <w:t>-</w:t>
      </w:r>
      <w:r>
        <w:rPr>
          <w:rFonts w:ascii="Arial" w:hAnsi="Arial" w:cs="Arial"/>
          <w:sz w:val="20"/>
        </w:rPr>
        <w:t>[76] Niall CJ, Emerton P &amp; J Forrest AJA said</w:t>
      </w:r>
      <w:r w:rsidR="00793538">
        <w:rPr>
          <w:rFonts w:ascii="Arial" w:hAnsi="Arial" w:cs="Arial"/>
          <w:sz w:val="20"/>
        </w:rPr>
        <w:t xml:space="preserve"> of the rule</w:t>
      </w:r>
      <w:r>
        <w:rPr>
          <w:rFonts w:ascii="Arial" w:hAnsi="Arial" w:cs="Arial"/>
          <w:sz w:val="20"/>
        </w:rPr>
        <w:t>:</w:t>
      </w:r>
    </w:p>
    <w:p w14:paraId="72E6D02E" w14:textId="77777777" w:rsidR="008B5BC8" w:rsidRDefault="008B5BC8" w:rsidP="008B5BC8">
      <w:pPr>
        <w:spacing w:before="120"/>
        <w:ind w:left="567" w:right="567"/>
        <w:jc w:val="both"/>
        <w:rPr>
          <w:rFonts w:ascii="Arial" w:hAnsi="Arial" w:cs="Arial"/>
          <w:color w:val="000000"/>
          <w:sz w:val="20"/>
        </w:rPr>
      </w:pPr>
      <w:r>
        <w:rPr>
          <w:rFonts w:ascii="Arial" w:hAnsi="Arial" w:cs="Arial"/>
          <w:color w:val="000000"/>
          <w:sz w:val="20"/>
          <w:szCs w:val="20"/>
        </w:rPr>
        <w:t>[75] “</w:t>
      </w:r>
      <w:r w:rsidRPr="008B5BC8">
        <w:rPr>
          <w:rFonts w:ascii="Arial" w:hAnsi="Arial" w:cs="Arial"/>
          <w:color w:val="000000"/>
          <w:sz w:val="20"/>
        </w:rPr>
        <w:t xml:space="preserve">In our view, the police members’ submissions misunderstand the nature of the rule in </w:t>
      </w:r>
      <w:r w:rsidRPr="008B5BC8">
        <w:rPr>
          <w:rFonts w:ascii="Arial" w:hAnsi="Arial" w:cs="Arial"/>
          <w:i/>
          <w:iCs/>
          <w:color w:val="000000"/>
          <w:sz w:val="20"/>
        </w:rPr>
        <w:t>Browne v Dunn</w:t>
      </w:r>
      <w:r w:rsidRPr="008B5BC8">
        <w:rPr>
          <w:rFonts w:ascii="Arial" w:hAnsi="Arial" w:cs="Arial"/>
          <w:color w:val="000000"/>
          <w:sz w:val="20"/>
        </w:rPr>
        <w:t xml:space="preserve"> (with any asserted ‘right’) and the consequences of non-compliance. The basis of the rule is that of fairness. The rule does not confer on a witness independent rights of the kind asserted by the police members. It is an obligation upon counsel in adversarial litigation (civil and, to a modified extent, criminal) requiring counsel, in the event that they wish to contradict the version of a witness called by their opponent, to put the version for which counsel (and their client) contends</w:t>
      </w:r>
      <w:r>
        <w:rPr>
          <w:rFonts w:ascii="Arial" w:hAnsi="Arial" w:cs="Arial"/>
          <w:color w:val="000000"/>
          <w:sz w:val="20"/>
        </w:rPr>
        <w:t xml:space="preserve">: </w:t>
      </w:r>
      <w:r w:rsidRPr="008B5BC8">
        <w:rPr>
          <w:rFonts w:ascii="Arial" w:hAnsi="Arial" w:cs="Arial"/>
          <w:i/>
          <w:iCs/>
          <w:color w:val="000000"/>
          <w:sz w:val="20"/>
        </w:rPr>
        <w:t>R v Coswello</w:t>
      </w:r>
      <w:r w:rsidRPr="008B5BC8">
        <w:rPr>
          <w:rFonts w:ascii="Arial" w:hAnsi="Arial" w:cs="Arial"/>
          <w:color w:val="000000"/>
          <w:sz w:val="20"/>
        </w:rPr>
        <w:t xml:space="preserve"> [2009] VSCA 300, [3]–[10]; </w:t>
      </w:r>
      <w:r w:rsidRPr="008B5BC8">
        <w:rPr>
          <w:rFonts w:ascii="Arial" w:hAnsi="Arial" w:cs="Arial"/>
          <w:i/>
          <w:iCs/>
          <w:color w:val="000000"/>
          <w:sz w:val="20"/>
        </w:rPr>
        <w:t>R v Thompson</w:t>
      </w:r>
      <w:r w:rsidRPr="008B5BC8">
        <w:rPr>
          <w:rFonts w:ascii="Arial" w:hAnsi="Arial" w:cs="Arial"/>
          <w:color w:val="000000"/>
          <w:sz w:val="20"/>
        </w:rPr>
        <w:t xml:space="preserve"> (2008) 21 VR 135, 157 [111]–[112]; [2008] VSCA 144. It binds counsel and operates as between parties to the litigation. It does not provide a corollary right to a party or a witness.</w:t>
      </w:r>
    </w:p>
    <w:p w14:paraId="6520BDFF" w14:textId="16ABD063" w:rsidR="008B5BC8" w:rsidRPr="008B5BC8" w:rsidRDefault="008B5BC8" w:rsidP="008B5BC8">
      <w:pPr>
        <w:spacing w:before="120"/>
        <w:ind w:left="567" w:right="567"/>
        <w:jc w:val="both"/>
        <w:rPr>
          <w:rFonts w:ascii="Arial" w:hAnsi="Arial" w:cs="Arial"/>
          <w:color w:val="000000"/>
          <w:sz w:val="20"/>
          <w:szCs w:val="20"/>
        </w:rPr>
      </w:pPr>
      <w:r>
        <w:rPr>
          <w:rFonts w:ascii="Arial" w:hAnsi="Arial" w:cs="Arial"/>
          <w:color w:val="000000"/>
          <w:sz w:val="20"/>
        </w:rPr>
        <w:t>[</w:t>
      </w:r>
      <w:r w:rsidRPr="008B5BC8">
        <w:rPr>
          <w:rFonts w:ascii="Arial" w:hAnsi="Arial" w:cs="Arial"/>
          <w:color w:val="000000"/>
          <w:sz w:val="20"/>
        </w:rPr>
        <w:t>76</w:t>
      </w:r>
      <w:r>
        <w:rPr>
          <w:rFonts w:ascii="Arial" w:hAnsi="Arial" w:cs="Arial"/>
          <w:color w:val="000000"/>
          <w:sz w:val="20"/>
        </w:rPr>
        <w:t>]</w:t>
      </w:r>
      <w:r w:rsidRPr="008B5BC8">
        <w:rPr>
          <w:rFonts w:ascii="Arial" w:hAnsi="Arial" w:cs="Arial"/>
          <w:color w:val="000000"/>
          <w:sz w:val="20"/>
        </w:rPr>
        <w:t xml:space="preserve"> As a general proposition, when counsel breaches the rule in </w:t>
      </w:r>
      <w:r w:rsidRPr="008B5BC8">
        <w:rPr>
          <w:rFonts w:ascii="Arial" w:hAnsi="Arial" w:cs="Arial"/>
          <w:i/>
          <w:iCs/>
          <w:color w:val="000000"/>
          <w:sz w:val="20"/>
        </w:rPr>
        <w:t>Browne v Dunn</w:t>
      </w:r>
      <w:r w:rsidRPr="008B5BC8">
        <w:rPr>
          <w:rFonts w:ascii="Arial" w:hAnsi="Arial" w:cs="Arial"/>
          <w:color w:val="000000"/>
          <w:sz w:val="20"/>
        </w:rPr>
        <w:t>, it is up to the opposing party, through counsel, to raise the breach and argue as to what course should be undertaken to remedy it. The judge must then determine what is to be done. One solution is to re-call the witness, who is then given the opportunity to accept or contradict the opposing version. Another is to direct the jury to consider the fact that the witness was not challenged on this issue or given the opportunity to rebut the proposition, and that that should be taken into account in weighing up the opposing versions. In some cases there may be no need for any direction or re-call as it is patently apparent that the witness would not accept the contrary proposition.</w:t>
      </w:r>
      <w:r>
        <w:rPr>
          <w:rFonts w:ascii="Arial" w:hAnsi="Arial" w:cs="Arial"/>
          <w:color w:val="000000"/>
          <w:sz w:val="20"/>
        </w:rPr>
        <w:t>”</w:t>
      </w:r>
    </w:p>
    <w:p w14:paraId="2682CC68" w14:textId="77777777" w:rsidR="008B5BC8" w:rsidRPr="00F81B96" w:rsidRDefault="008B5BC8"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lastRenderedPageBreak/>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R v Edward Drash</w:t>
      </w:r>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r w:rsidR="003113DF" w:rsidRPr="00EE27CA">
        <w:rPr>
          <w:rFonts w:ascii="Arial" w:hAnsi="Arial" w:cs="Arial"/>
          <w:i/>
          <w:color w:val="000000"/>
          <w:sz w:val="20"/>
          <w:szCs w:val="20"/>
        </w:rPr>
        <w:t>Pasqualotto v Pasqualotto</w:t>
      </w:r>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34"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34"/>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35" w:name="_3.5.14_The_rule"/>
      <w:bookmarkEnd w:id="835"/>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r w:rsidRPr="000E5165">
        <w:rPr>
          <w:rFonts w:ascii="Arial" w:hAnsi="Arial" w:cs="Arial"/>
          <w:sz w:val="20"/>
          <w:szCs w:val="20"/>
        </w:rPr>
        <w:t xml:space="preserve">Heydon,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7"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8"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9"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36" w:name="_ftnref50"/>
      <w:r w:rsidR="00E4755A" w:rsidRPr="00E4755A">
        <w:rPr>
          <w:rFonts w:ascii="Arial" w:hAnsi="Arial" w:cs="Arial"/>
          <w:color w:val="000000" w:themeColor="text1"/>
          <w:sz w:val="20"/>
          <w:szCs w:val="20"/>
        </w:rPr>
        <w:t xml:space="preserve">: </w:t>
      </w:r>
      <w:hyperlink r:id="rId50" w:history="1">
        <w:r w:rsidR="00E4755A" w:rsidRPr="00E4755A">
          <w:rPr>
            <w:rStyle w:val="Hyperlink"/>
            <w:rFonts w:ascii="Arial" w:hAnsi="Arial" w:cs="Arial"/>
            <w:i/>
            <w:iCs/>
            <w:color w:val="000000" w:themeColor="text1"/>
            <w:sz w:val="20"/>
            <w:szCs w:val="20"/>
            <w:u w:val="none"/>
          </w:rPr>
          <w:t>Commercial Union Assurance Co of Australia Ltd v Ferrcom Pty Ltd</w:t>
        </w:r>
      </w:hyperlink>
      <w:r w:rsidR="00E4755A" w:rsidRPr="00E4755A">
        <w:rPr>
          <w:rFonts w:ascii="Arial" w:hAnsi="Arial" w:cs="Arial"/>
          <w:color w:val="000000" w:themeColor="text1"/>
          <w:sz w:val="20"/>
          <w:szCs w:val="20"/>
        </w:rPr>
        <w:t> (1991) 22 NSWLR 389 at </w:t>
      </w:r>
      <w:hyperlink r:id="rId51"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36"/>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w:t>
      </w:r>
      <w:r w:rsidRPr="008C3BC8">
        <w:rPr>
          <w:rFonts w:ascii="Arial" w:hAnsi="Arial" w:cs="Arial"/>
          <w:color w:val="000000"/>
          <w:sz w:val="20"/>
          <w:szCs w:val="20"/>
        </w:rPr>
        <w:lastRenderedPageBreak/>
        <w:t xml:space="preserve">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r w:rsidR="002F575D" w:rsidRPr="008C3BC8">
        <w:rPr>
          <w:rFonts w:ascii="Arial" w:hAnsi="Arial" w:cs="Arial"/>
          <w:i/>
          <w:color w:val="000000"/>
          <w:sz w:val="20"/>
          <w:szCs w:val="20"/>
        </w:rPr>
        <w:t>Weissensteiner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r w:rsidRPr="008C3BC8">
        <w:rPr>
          <w:rFonts w:ascii="Arial" w:hAnsi="Arial" w:cs="Arial"/>
          <w:i/>
          <w:color w:val="000000"/>
          <w:sz w:val="20"/>
          <w:szCs w:val="20"/>
        </w:rPr>
        <w:t>Weissensteiner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Tenth Vandy Pty Ltd &amp; Anor v Natwest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lastRenderedPageBreak/>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Gaudron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r w:rsidRPr="00BE3CDF">
        <w:rPr>
          <w:rFonts w:ascii="Arial" w:hAnsi="Arial" w:cs="Arial"/>
          <w:sz w:val="20"/>
        </w:rPr>
        <w:t>Gaudron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r w:rsidRPr="00BE3CDF">
        <w:rPr>
          <w:rFonts w:ascii="Arial" w:hAnsi="Arial" w:cs="Arial"/>
          <w:sz w:val="20"/>
        </w:rPr>
        <w:t xml:space="preserve">Gaudron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R v Apostilides</w:t>
      </w:r>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lastRenderedPageBreak/>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VChC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34B420D7" w14:textId="27D14146" w:rsidR="00555F51" w:rsidRDefault="006B6441" w:rsidP="00DE0CC3">
      <w:pPr>
        <w:jc w:val="both"/>
        <w:rPr>
          <w:rFonts w:ascii="Arial" w:hAnsi="Arial" w:cs="Arial"/>
          <w:bCs/>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37"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37"/>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Transonic Travel Pty Ltd v Tilakee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Shininggarden Pty Ltd v Omega Building Group Pty Ltd</w:t>
      </w:r>
      <w:r w:rsidR="00D624D1">
        <w:rPr>
          <w:rFonts w:ascii="Arial" w:hAnsi="Arial" w:cs="Arial"/>
          <w:bCs/>
          <w:color w:val="000000"/>
          <w:sz w:val="20"/>
          <w:szCs w:val="20"/>
        </w:rPr>
        <w:t xml:space="preserve"> [2024] VSC 583 at [30]-[42]</w:t>
      </w:r>
      <w:r w:rsidR="00893059">
        <w:rPr>
          <w:rFonts w:ascii="Arial" w:hAnsi="Arial" w:cs="Arial"/>
          <w:bCs/>
          <w:color w:val="000000"/>
          <w:sz w:val="20"/>
          <w:szCs w:val="20"/>
        </w:rPr>
        <w:t xml:space="preserve">; </w:t>
      </w:r>
      <w:r w:rsidR="00893059" w:rsidRPr="00893059">
        <w:rPr>
          <w:rFonts w:ascii="Arial" w:hAnsi="Arial" w:cs="Arial"/>
          <w:bCs/>
          <w:i/>
          <w:iCs/>
          <w:color w:val="000000"/>
          <w:sz w:val="20"/>
          <w:szCs w:val="20"/>
        </w:rPr>
        <w:t>DP (a pseudonym) v Bird</w:t>
      </w:r>
      <w:r w:rsidR="00893059">
        <w:rPr>
          <w:rFonts w:ascii="Arial" w:hAnsi="Arial" w:cs="Arial"/>
          <w:bCs/>
          <w:color w:val="000000"/>
          <w:sz w:val="20"/>
          <w:szCs w:val="20"/>
        </w:rPr>
        <w:t xml:space="preserve"> [2021] </w:t>
      </w:r>
      <w:r w:rsidR="00893059">
        <w:rPr>
          <w:rFonts w:ascii="Arial" w:hAnsi="Arial" w:cs="Arial"/>
          <w:bCs/>
          <w:color w:val="000000"/>
          <w:sz w:val="20"/>
          <w:szCs w:val="20"/>
        </w:rPr>
        <w:lastRenderedPageBreak/>
        <w:t>VSC 850 at [74], [385], [387], [392]-[395], [398] &amp; [410]</w:t>
      </w:r>
      <w:r w:rsidR="00555F51">
        <w:rPr>
          <w:rFonts w:ascii="Arial" w:hAnsi="Arial" w:cs="Arial"/>
          <w:bCs/>
          <w:color w:val="000000"/>
          <w:sz w:val="20"/>
          <w:szCs w:val="20"/>
        </w:rPr>
        <w:t xml:space="preserve">; </w:t>
      </w:r>
      <w:r w:rsidR="00555F51" w:rsidRPr="00555F51">
        <w:rPr>
          <w:rFonts w:ascii="Arial" w:hAnsi="Arial" w:cs="Arial"/>
          <w:bCs/>
          <w:i/>
          <w:iCs/>
          <w:color w:val="000000"/>
          <w:sz w:val="20"/>
          <w:szCs w:val="20"/>
        </w:rPr>
        <w:t>Kairouz v Jasper Nominees Pty Ltd</w:t>
      </w:r>
      <w:r w:rsidR="00555F51">
        <w:rPr>
          <w:rFonts w:ascii="Arial" w:hAnsi="Arial" w:cs="Arial"/>
          <w:bCs/>
          <w:color w:val="000000"/>
          <w:sz w:val="20"/>
          <w:szCs w:val="20"/>
        </w:rPr>
        <w:t xml:space="preserve"> [2025] VSCA 16 at [168]-[173].</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38" w:name="_3.5.15_Unfavourable_witnesses"/>
      <w:bookmarkStart w:id="839" w:name="B3515"/>
      <w:bookmarkEnd w:id="838"/>
      <w:bookmarkEnd w:id="839"/>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40" w:name="_3.6_Statutory_interpretation"/>
      <w:bookmarkStart w:id="841" w:name="B36"/>
      <w:bookmarkStart w:id="842" w:name="_3.6_Statutory_interpretation_1"/>
      <w:bookmarkStart w:id="843" w:name="_Toc30608808"/>
      <w:bookmarkStart w:id="844" w:name="_Toc30610022"/>
      <w:bookmarkStart w:id="845" w:name="_Toc30610266"/>
      <w:bookmarkStart w:id="846" w:name="_Toc30638420"/>
      <w:bookmarkStart w:id="847" w:name="_Toc30644229"/>
      <w:bookmarkStart w:id="848" w:name="_Toc30644632"/>
      <w:bookmarkStart w:id="849" w:name="_Toc30645182"/>
      <w:bookmarkStart w:id="850" w:name="_Toc30646393"/>
      <w:bookmarkStart w:id="851" w:name="_Toc30646688"/>
      <w:bookmarkStart w:id="852" w:name="_Toc30646799"/>
      <w:bookmarkStart w:id="853" w:name="_Toc30648156"/>
      <w:bookmarkStart w:id="854" w:name="_Toc30649054"/>
      <w:bookmarkStart w:id="855" w:name="_Toc30649130"/>
      <w:bookmarkStart w:id="856" w:name="_Toc30649391"/>
      <w:bookmarkStart w:id="857" w:name="_Toc30649716"/>
      <w:bookmarkStart w:id="858" w:name="_Toc30651656"/>
      <w:bookmarkStart w:id="859" w:name="_Toc30652640"/>
      <w:bookmarkStart w:id="860" w:name="_Toc30652738"/>
      <w:bookmarkStart w:id="861" w:name="_Toc30654083"/>
      <w:bookmarkStart w:id="862" w:name="_Toc30654434"/>
      <w:bookmarkStart w:id="863" w:name="_Toc30655053"/>
      <w:bookmarkStart w:id="864" w:name="_Toc30655310"/>
      <w:bookmarkStart w:id="865" w:name="_Toc30656988"/>
      <w:bookmarkStart w:id="866" w:name="_Toc30661737"/>
      <w:bookmarkStart w:id="867" w:name="_Toc30666425"/>
      <w:bookmarkStart w:id="868" w:name="_Toc30666655"/>
      <w:bookmarkStart w:id="869" w:name="_Toc30667830"/>
      <w:bookmarkStart w:id="870" w:name="_Toc30669208"/>
      <w:bookmarkStart w:id="871" w:name="_Toc30671424"/>
      <w:bookmarkStart w:id="872" w:name="_Toc30673951"/>
      <w:bookmarkStart w:id="873" w:name="_Toc30691173"/>
      <w:bookmarkStart w:id="874" w:name="_Toc30691544"/>
      <w:bookmarkStart w:id="875" w:name="_Toc30691924"/>
      <w:bookmarkStart w:id="876" w:name="_Toc30692683"/>
      <w:bookmarkStart w:id="877" w:name="_Toc30693062"/>
      <w:bookmarkStart w:id="878" w:name="_Toc30693440"/>
      <w:bookmarkStart w:id="879" w:name="_Toc30693819"/>
      <w:bookmarkStart w:id="880" w:name="_Toc30694200"/>
      <w:bookmarkStart w:id="881" w:name="_Toc30698789"/>
      <w:bookmarkStart w:id="882" w:name="_Toc30699167"/>
      <w:bookmarkStart w:id="883" w:name="_Toc30699552"/>
      <w:bookmarkStart w:id="884" w:name="_Toc30700707"/>
      <w:bookmarkStart w:id="885" w:name="_Toc30701094"/>
      <w:bookmarkStart w:id="886" w:name="_Toc30743703"/>
      <w:bookmarkStart w:id="887" w:name="_Toc30754525"/>
      <w:bookmarkStart w:id="888" w:name="_Toc30756965"/>
      <w:bookmarkStart w:id="889" w:name="_Toc30757514"/>
      <w:bookmarkStart w:id="890" w:name="_Toc30757914"/>
      <w:bookmarkStart w:id="891" w:name="_Toc30762675"/>
      <w:bookmarkStart w:id="892" w:name="_Toc30767329"/>
      <w:bookmarkStart w:id="893" w:name="_Toc34823345"/>
      <w:bookmarkStart w:id="894" w:name="_Toc58831507"/>
      <w:bookmarkEnd w:id="840"/>
      <w:bookmarkEnd w:id="841"/>
      <w:bookmarkEnd w:id="842"/>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(Cth)</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(Cth)</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6E10E562"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w:t>
      </w:r>
      <w:r w:rsidRPr="00A616AE">
        <w:rPr>
          <w:rFonts w:ascii="Arial" w:hAnsi="Arial" w:cs="Arial"/>
          <w:sz w:val="18"/>
          <w:szCs w:val="18"/>
        </w:rPr>
        <w:lastRenderedPageBreak/>
        <w:t>Barwick</w:t>
      </w:r>
      <w:r w:rsidR="00420D6C">
        <w:rPr>
          <w:rFonts w:ascii="Arial" w:hAnsi="Arial" w:cs="Arial"/>
          <w:sz w:val="18"/>
          <w:szCs w:val="18"/>
        </w:rPr>
        <w:t> </w:t>
      </w:r>
      <w:r w:rsidRPr="00A616AE">
        <w:rPr>
          <w:rFonts w:ascii="Arial" w:hAnsi="Arial" w:cs="Arial"/>
          <w:sz w:val="18"/>
          <w:szCs w:val="18"/>
        </w:rPr>
        <w:t>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Commissioner for Railways (NSW) v Aqalianos</w:t>
      </w:r>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Qd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lastRenderedPageBreak/>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4E27B870"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FD5F44" w:rsidRPr="00A31FFA">
        <w:rPr>
          <w:rFonts w:ascii="Arial" w:hAnsi="Arial" w:cs="Arial"/>
          <w:sz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Mills v Meeking</w:t>
      </w:r>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54C4F65B" w14:textId="77777777" w:rsidR="00452120" w:rsidRDefault="00452120" w:rsidP="00177B34">
      <w:pPr>
        <w:jc w:val="both"/>
        <w:rPr>
          <w:rFonts w:ascii="Arial" w:hAnsi="Arial" w:cs="Arial"/>
          <w:sz w:val="20"/>
        </w:rPr>
      </w:pPr>
    </w:p>
    <w:p w14:paraId="2A551ABB" w14:textId="617D92BB" w:rsidR="008958A4" w:rsidRDefault="008958A4" w:rsidP="00177B34">
      <w:pPr>
        <w:jc w:val="both"/>
        <w:rPr>
          <w:rFonts w:ascii="Arial" w:hAnsi="Arial" w:cs="Arial"/>
          <w:sz w:val="20"/>
        </w:rPr>
      </w:pPr>
      <w:r w:rsidRPr="008958A4">
        <w:rPr>
          <w:rFonts w:ascii="Arial" w:hAnsi="Arial" w:cs="Arial"/>
          <w:sz w:val="20"/>
        </w:rPr>
        <w:t xml:space="preserve">In </w:t>
      </w:r>
      <w:r w:rsidRPr="008958A4">
        <w:rPr>
          <w:rFonts w:ascii="Arial" w:hAnsi="Arial" w:cs="Arial"/>
          <w:i/>
          <w:iCs/>
          <w:sz w:val="20"/>
        </w:rPr>
        <w:t>Beyond Rest Collingwood Pty Ltd v Beams Projects Pty Ltd</w:t>
      </w:r>
      <w:r w:rsidRPr="008958A4">
        <w:rPr>
          <w:rFonts w:ascii="Arial" w:hAnsi="Arial" w:cs="Arial"/>
          <w:sz w:val="20"/>
        </w:rPr>
        <w:t xml:space="preserve"> [2025] VSC 291</w:t>
      </w:r>
      <w:r>
        <w:rPr>
          <w:rFonts w:ascii="Arial" w:hAnsi="Arial" w:cs="Arial"/>
          <w:sz w:val="20"/>
        </w:rPr>
        <w:t xml:space="preserve"> at [51]-[52] Niall CJ summarised the principles of statutory construction as follows:</w:t>
      </w:r>
    </w:p>
    <w:p w14:paraId="5882C174" w14:textId="6B89F1D9" w:rsidR="008958A4" w:rsidRDefault="008958A4" w:rsidP="00210CF9">
      <w:pPr>
        <w:spacing w:before="120"/>
        <w:ind w:left="1021" w:right="567" w:hanging="454"/>
        <w:jc w:val="both"/>
        <w:rPr>
          <w:rFonts w:ascii="Arial" w:hAnsi="Arial" w:cs="Arial"/>
          <w:sz w:val="20"/>
        </w:rPr>
      </w:pPr>
      <w:r>
        <w:rPr>
          <w:rFonts w:ascii="Arial" w:hAnsi="Arial" w:cs="Arial"/>
          <w:sz w:val="20"/>
          <w:szCs w:val="20"/>
        </w:rPr>
        <w:t>[51]</w:t>
      </w:r>
      <w:r w:rsidR="00210CF9">
        <w:rPr>
          <w:rFonts w:ascii="Arial" w:hAnsi="Arial" w:cs="Arial"/>
          <w:sz w:val="20"/>
          <w:szCs w:val="20"/>
        </w:rPr>
        <w:tab/>
      </w:r>
      <w:r>
        <w:rPr>
          <w:rFonts w:ascii="Arial" w:hAnsi="Arial" w:cs="Arial"/>
          <w:sz w:val="20"/>
          <w:szCs w:val="20"/>
        </w:rPr>
        <w:t>“</w:t>
      </w:r>
      <w:r w:rsidR="008A3047" w:rsidRPr="008958A4">
        <w:rPr>
          <w:rFonts w:ascii="Arial" w:hAnsi="Arial" w:cs="Arial"/>
          <w:sz w:val="20"/>
        </w:rPr>
        <w:t xml:space="preserve">There is no dispute about the applicable principles applying equally to contracts and deeds under seal. They were summarised by the Court of Appeal in </w:t>
      </w:r>
      <w:r w:rsidR="008A3047" w:rsidRPr="008A3047">
        <w:rPr>
          <w:rFonts w:ascii="Arial" w:hAnsi="Arial" w:cs="Arial"/>
          <w:i/>
          <w:iCs/>
          <w:sz w:val="20"/>
        </w:rPr>
        <w:t>VS Property &amp; Holding Pty Ltd v Zurzolo</w:t>
      </w:r>
      <w:r w:rsidR="008A3047">
        <w:rPr>
          <w:rFonts w:ascii="Arial" w:hAnsi="Arial" w:cs="Arial"/>
          <w:sz w:val="20"/>
        </w:rPr>
        <w:t xml:space="preserve"> [2024] VSCA 199 at [54] – summarising </w:t>
      </w:r>
      <w:r w:rsidR="008A3047" w:rsidRPr="008A3047">
        <w:rPr>
          <w:rFonts w:ascii="Arial" w:hAnsi="Arial" w:cs="Arial"/>
          <w:i/>
          <w:iCs/>
          <w:sz w:val="20"/>
        </w:rPr>
        <w:t>Adaz Nominees Pty Ltd v Castleway Pty Ltd</w:t>
      </w:r>
      <w:r w:rsidR="008A3047" w:rsidRPr="008958A4">
        <w:rPr>
          <w:rFonts w:ascii="Arial" w:hAnsi="Arial" w:cs="Arial"/>
          <w:sz w:val="20"/>
        </w:rPr>
        <w:t xml:space="preserve"> [2020] VSCA 201</w:t>
      </w:r>
      <w:r w:rsidR="008A3047">
        <w:rPr>
          <w:rFonts w:ascii="Arial" w:hAnsi="Arial" w:cs="Arial"/>
          <w:sz w:val="20"/>
        </w:rPr>
        <w:t xml:space="preserve"> at </w:t>
      </w:r>
      <w:r w:rsidR="008A3047" w:rsidRPr="008958A4">
        <w:rPr>
          <w:rFonts w:ascii="Arial" w:hAnsi="Arial" w:cs="Arial"/>
          <w:sz w:val="20"/>
        </w:rPr>
        <w:t>[70]</w:t>
      </w:r>
      <w:r w:rsidR="008A3047">
        <w:rPr>
          <w:rFonts w:ascii="Arial" w:hAnsi="Arial" w:cs="Arial"/>
          <w:sz w:val="20"/>
        </w:rPr>
        <w:t xml:space="preserve"> – in t</w:t>
      </w:r>
      <w:r w:rsidR="008A3047" w:rsidRPr="008958A4">
        <w:rPr>
          <w:rFonts w:ascii="Arial" w:hAnsi="Arial" w:cs="Arial"/>
          <w:sz w:val="20"/>
        </w:rPr>
        <w:t>he following way:</w:t>
      </w:r>
    </w:p>
    <w:p w14:paraId="2F41ABAE" w14:textId="691D4750"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(a)</w:t>
      </w:r>
      <w:r>
        <w:rPr>
          <w:rFonts w:ascii="Arial" w:hAnsi="Arial" w:cs="Arial"/>
          <w:sz w:val="18"/>
          <w:szCs w:val="22"/>
        </w:rPr>
        <w:tab/>
      </w:r>
      <w:r w:rsidRPr="008A3047">
        <w:rPr>
          <w:rFonts w:ascii="Arial" w:hAnsi="Arial" w:cs="Arial"/>
          <w:sz w:val="18"/>
          <w:szCs w:val="22"/>
        </w:rPr>
        <w:t>In determining the meaning of the terms of a commercial contract, it is necessary to ask what a reasonable businessperson would have understood those terms to mean. To answer that question, ‘the reasonable businessperson [is] placed in the position of the parties’, and the Court applies the following principles:</w:t>
      </w:r>
    </w:p>
    <w:p w14:paraId="4932A36B" w14:textId="231313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(b)</w:t>
      </w:r>
      <w:r>
        <w:rPr>
          <w:rFonts w:ascii="Arial" w:hAnsi="Arial" w:cs="Arial"/>
          <w:sz w:val="18"/>
          <w:szCs w:val="22"/>
        </w:rPr>
        <w:tab/>
      </w:r>
      <w:r w:rsidRPr="008A3047">
        <w:rPr>
          <w:rFonts w:ascii="Arial" w:hAnsi="Arial" w:cs="Arial"/>
          <w:sz w:val="18"/>
          <w:szCs w:val="22"/>
        </w:rPr>
        <w:t>The rights and liabilities of parties under a provision of a contract are determined objectively. The subjective intentions of the parties are irrelevant.</w:t>
      </w:r>
    </w:p>
    <w:p w14:paraId="2D9D6A36" w14:textId="7D68AB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(c)</w:t>
      </w:r>
      <w:r>
        <w:rPr>
          <w:rFonts w:ascii="Arial" w:hAnsi="Arial" w:cs="Arial"/>
          <w:sz w:val="18"/>
          <w:szCs w:val="22"/>
        </w:rPr>
        <w:tab/>
      </w:r>
      <w:r w:rsidRPr="008A3047">
        <w:rPr>
          <w:rFonts w:ascii="Arial" w:hAnsi="Arial" w:cs="Arial"/>
          <w:sz w:val="18"/>
          <w:szCs w:val="22"/>
        </w:rPr>
        <w:t>The objective approach requires reference to the text and its ordinary meaning, together with:</w:t>
      </w:r>
    </w:p>
    <w:p w14:paraId="61519A57" w14:textId="2EDEF8F5"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w:t>
      </w:r>
      <w:r>
        <w:rPr>
          <w:rFonts w:ascii="Arial" w:hAnsi="Arial" w:cs="Arial"/>
          <w:sz w:val="18"/>
          <w:szCs w:val="22"/>
        </w:rPr>
        <w:tab/>
      </w:r>
      <w:r w:rsidRPr="008A3047">
        <w:rPr>
          <w:rFonts w:ascii="Arial" w:hAnsi="Arial" w:cs="Arial"/>
          <w:sz w:val="18"/>
          <w:szCs w:val="22"/>
        </w:rPr>
        <w:t>the context, being the entire text of the contract including matters referred to in the text; and</w:t>
      </w:r>
    </w:p>
    <w:p w14:paraId="543F56A3" w14:textId="1ED75B58"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(ii)</w:t>
      </w:r>
      <w:r>
        <w:rPr>
          <w:rFonts w:ascii="Arial" w:hAnsi="Arial" w:cs="Arial"/>
          <w:sz w:val="18"/>
          <w:szCs w:val="22"/>
        </w:rPr>
        <w:tab/>
      </w:r>
      <w:r w:rsidRPr="008A3047">
        <w:rPr>
          <w:rFonts w:ascii="Arial" w:hAnsi="Arial" w:cs="Arial"/>
          <w:sz w:val="18"/>
          <w:szCs w:val="22"/>
        </w:rPr>
        <w:t>the purpose of the contract and/or the clause in question.</w:t>
      </w:r>
    </w:p>
    <w:p w14:paraId="2FC0ECCE" w14:textId="5B4D844A"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(d)</w:t>
      </w:r>
      <w:r>
        <w:rPr>
          <w:rFonts w:ascii="Arial" w:hAnsi="Arial" w:cs="Arial"/>
          <w:sz w:val="18"/>
          <w:szCs w:val="22"/>
        </w:rPr>
        <w:tab/>
      </w:r>
      <w:r w:rsidRPr="008A3047">
        <w:rPr>
          <w:rFonts w:ascii="Arial" w:hAnsi="Arial" w:cs="Arial"/>
          <w:sz w:val="18"/>
          <w:szCs w:val="22"/>
        </w:rPr>
        <w:t>These matters will ordinarily be identified by reference to the contract alone, but evidence of mutually known objective background circumstances relevant to the purpose is admissible ‘no matter how clear the “ordinary meaning” of the words’. Identification of purpose may allow admission of evidence of the genesis of the transaction, the background, the context and the market in which the parties are operating.</w:t>
      </w:r>
    </w:p>
    <w:p w14:paraId="4C94B97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(e)</w:t>
      </w:r>
      <w:r>
        <w:rPr>
          <w:rFonts w:ascii="Arial" w:hAnsi="Arial" w:cs="Arial"/>
          <w:sz w:val="18"/>
          <w:szCs w:val="22"/>
        </w:rPr>
        <w:tab/>
      </w:r>
      <w:r w:rsidRPr="008A3047">
        <w:rPr>
          <w:rFonts w:ascii="Arial" w:hAnsi="Arial" w:cs="Arial"/>
          <w:sz w:val="18"/>
          <w:szCs w:val="22"/>
        </w:rPr>
        <w:t>Unless a contrary intention appears in the contract, the court is entitled to approach the task of interpretation on the assumption that the parties intended to produce a commercial result, and should construe it so as to avoid a commercial nonsense. However, the court does not weigh the commerciality of the agreement, and business common sense is a topic on which reasonable minds may differ.</w:t>
      </w:r>
    </w:p>
    <w:p w14:paraId="5BC2BD04"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(f)</w:t>
      </w:r>
      <w:r>
        <w:rPr>
          <w:rFonts w:ascii="Arial" w:hAnsi="Arial" w:cs="Arial"/>
          <w:sz w:val="18"/>
          <w:szCs w:val="22"/>
        </w:rPr>
        <w:tab/>
      </w:r>
      <w:r w:rsidRPr="008A3047">
        <w:rPr>
          <w:rFonts w:ascii="Arial" w:hAnsi="Arial" w:cs="Arial"/>
          <w:sz w:val="18"/>
          <w:szCs w:val="22"/>
        </w:rPr>
        <w:t>If the language used in the contract ‘is ambiguous or susceptible of more than one meaning’, then evidence of surrounding circumstances external to the contract is admissible to assist with interpretation of the language in question.</w:t>
      </w:r>
    </w:p>
    <w:p w14:paraId="7F735C1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(g)</w:t>
      </w:r>
      <w:r>
        <w:rPr>
          <w:rFonts w:ascii="Arial" w:hAnsi="Arial" w:cs="Arial"/>
          <w:sz w:val="18"/>
          <w:szCs w:val="22"/>
        </w:rPr>
        <w:tab/>
      </w:r>
      <w:r w:rsidRPr="008A3047">
        <w:rPr>
          <w:rFonts w:ascii="Arial" w:hAnsi="Arial" w:cs="Arial"/>
          <w:sz w:val="18"/>
          <w:szCs w:val="22"/>
        </w:rPr>
        <w:t>However, ‘evidence of the parties’ statements and actions reflecting their actual intentions and expectations’ is inadmissible. Although evidence of prior negotiations is admissible to establish objective background facts known to both parties and the subject matter of the contract, evidence of negotiations reflective of actual intentions and expectations is not receivable.</w:t>
      </w:r>
    </w:p>
    <w:p w14:paraId="1ED1D580" w14:textId="4E66BDB8" w:rsidR="00210CF9"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(h)</w:t>
      </w:r>
      <w:r>
        <w:rPr>
          <w:rFonts w:ascii="Arial" w:hAnsi="Arial" w:cs="Arial"/>
          <w:sz w:val="18"/>
          <w:szCs w:val="22"/>
        </w:rPr>
        <w:tab/>
      </w:r>
      <w:r w:rsidRPr="008A3047">
        <w:rPr>
          <w:rFonts w:ascii="Arial" w:hAnsi="Arial" w:cs="Arial"/>
          <w:sz w:val="18"/>
          <w:szCs w:val="22"/>
        </w:rPr>
        <w:t>Post-contractual conduct is inadmissible to construe the terms of the contract. However, the parties’ subsequent communications may be relevant to determine whether the parties intended to enter into a binding contract.</w:t>
      </w:r>
    </w:p>
    <w:p w14:paraId="337DA328" w14:textId="57377905" w:rsidR="00210CF9" w:rsidRDefault="00210CF9" w:rsidP="00210CF9">
      <w:pPr>
        <w:spacing w:before="120"/>
        <w:ind w:left="1021" w:right="567"/>
        <w:jc w:val="both"/>
        <w:rPr>
          <w:rFonts w:ascii="Arial" w:hAnsi="Arial" w:cs="Arial"/>
          <w:sz w:val="20"/>
        </w:rPr>
      </w:pPr>
      <w:r>
        <w:rPr>
          <w:rFonts w:ascii="Arial" w:hAnsi="Arial" w:cs="Arial"/>
          <w:sz w:val="20"/>
        </w:rPr>
        <w:t xml:space="preserve">See also </w:t>
      </w:r>
      <w:r w:rsidRPr="00210CF9">
        <w:rPr>
          <w:rFonts w:ascii="Arial" w:hAnsi="Arial" w:cs="Arial"/>
          <w:i/>
          <w:iCs/>
          <w:sz w:val="20"/>
        </w:rPr>
        <w:t>Electricity Generation Corporation v Woodside Energy Ltd</w:t>
      </w:r>
      <w:r w:rsidRPr="008958A4">
        <w:rPr>
          <w:rFonts w:ascii="Arial" w:hAnsi="Arial" w:cs="Arial"/>
          <w:sz w:val="20"/>
        </w:rPr>
        <w:t xml:space="preserve"> (2014) 251 CLR 640</w:t>
      </w:r>
      <w:r>
        <w:rPr>
          <w:rFonts w:ascii="Arial" w:hAnsi="Arial" w:cs="Arial"/>
          <w:sz w:val="20"/>
        </w:rPr>
        <w:t xml:space="preserve"> at </w:t>
      </w:r>
      <w:r w:rsidRPr="008958A4">
        <w:rPr>
          <w:rFonts w:ascii="Arial" w:hAnsi="Arial" w:cs="Arial"/>
          <w:sz w:val="20"/>
        </w:rPr>
        <w:t xml:space="preserve">[35]; [2014] HCA 7; </w:t>
      </w:r>
      <w:r w:rsidRPr="00210CF9">
        <w:rPr>
          <w:rFonts w:ascii="Arial" w:hAnsi="Arial" w:cs="Arial"/>
          <w:i/>
          <w:iCs/>
          <w:sz w:val="20"/>
        </w:rPr>
        <w:t>Mount Bruce Mining Pty Ltd v Wright Prospecting Pty Ltd</w:t>
      </w:r>
      <w:r w:rsidRPr="008958A4">
        <w:rPr>
          <w:rFonts w:ascii="Arial" w:hAnsi="Arial" w:cs="Arial"/>
          <w:sz w:val="20"/>
        </w:rPr>
        <w:t xml:space="preserve"> </w:t>
      </w:r>
      <w:r w:rsidRPr="008958A4">
        <w:rPr>
          <w:rFonts w:ascii="Arial" w:hAnsi="Arial" w:cs="Arial"/>
          <w:sz w:val="20"/>
        </w:rPr>
        <w:lastRenderedPageBreak/>
        <w:t>(2015) 256 CLR 104</w:t>
      </w:r>
      <w:r>
        <w:rPr>
          <w:rFonts w:ascii="Arial" w:hAnsi="Arial" w:cs="Arial"/>
          <w:sz w:val="20"/>
        </w:rPr>
        <w:t xml:space="preserve"> at </w:t>
      </w:r>
      <w:r w:rsidRPr="008958A4">
        <w:rPr>
          <w:rFonts w:ascii="Arial" w:hAnsi="Arial" w:cs="Arial"/>
          <w:sz w:val="20"/>
        </w:rPr>
        <w:t xml:space="preserve">[47]; [2015] HCA 37; </w:t>
      </w:r>
      <w:r w:rsidRPr="00210CF9">
        <w:rPr>
          <w:rFonts w:ascii="Arial" w:hAnsi="Arial" w:cs="Arial"/>
          <w:i/>
          <w:iCs/>
          <w:sz w:val="20"/>
        </w:rPr>
        <w:t>Ecosse Property Holdings Pty Ltd v Gee Dee Nominees Pty Ltd</w:t>
      </w:r>
      <w:r w:rsidRPr="008958A4">
        <w:rPr>
          <w:rFonts w:ascii="Arial" w:hAnsi="Arial" w:cs="Arial"/>
          <w:sz w:val="20"/>
        </w:rPr>
        <w:t xml:space="preserve"> (2017) 261 CLR 544</w:t>
      </w:r>
      <w:r>
        <w:rPr>
          <w:rFonts w:ascii="Arial" w:hAnsi="Arial" w:cs="Arial"/>
          <w:sz w:val="20"/>
        </w:rPr>
        <w:t xml:space="preserve"> at</w:t>
      </w:r>
      <w:r w:rsidRPr="008958A4">
        <w:rPr>
          <w:rFonts w:ascii="Arial" w:hAnsi="Arial" w:cs="Arial"/>
          <w:sz w:val="20"/>
        </w:rPr>
        <w:t xml:space="preserve"> [16]; [2017] HCA 12.</w:t>
      </w:r>
    </w:p>
    <w:p w14:paraId="00B3AF85" w14:textId="384E4B42" w:rsidR="008958A4" w:rsidRPr="00210CF9" w:rsidRDefault="00210CF9" w:rsidP="00210CF9">
      <w:pPr>
        <w:spacing w:before="120"/>
        <w:ind w:left="1021" w:right="567" w:hanging="454"/>
        <w:jc w:val="both"/>
        <w:rPr>
          <w:rFonts w:ascii="Arial" w:hAnsi="Arial" w:cs="Arial"/>
          <w:sz w:val="20"/>
          <w:szCs w:val="20"/>
        </w:rPr>
      </w:pPr>
      <w:r w:rsidRPr="00210CF9">
        <w:rPr>
          <w:rFonts w:ascii="Arial" w:hAnsi="Arial" w:cs="Arial"/>
          <w:sz w:val="20"/>
          <w:szCs w:val="20"/>
        </w:rPr>
        <w:t>[</w:t>
      </w:r>
      <w:r w:rsidR="008A3047" w:rsidRPr="00210CF9">
        <w:rPr>
          <w:rFonts w:ascii="Arial" w:hAnsi="Arial" w:cs="Arial"/>
          <w:sz w:val="20"/>
          <w:szCs w:val="20"/>
        </w:rPr>
        <w:t>52</w:t>
      </w:r>
      <w:r w:rsidRPr="00210CF9">
        <w:rPr>
          <w:rFonts w:ascii="Arial" w:hAnsi="Arial" w:cs="Arial"/>
          <w:sz w:val="20"/>
          <w:szCs w:val="20"/>
        </w:rPr>
        <w:t>]</w:t>
      </w:r>
      <w:r w:rsidRPr="00210CF9">
        <w:rPr>
          <w:rFonts w:ascii="Arial" w:hAnsi="Arial" w:cs="Arial"/>
          <w:sz w:val="20"/>
          <w:szCs w:val="20"/>
        </w:rPr>
        <w:tab/>
      </w:r>
      <w:r w:rsidR="008A3047" w:rsidRPr="00210CF9">
        <w:rPr>
          <w:rFonts w:ascii="Arial" w:hAnsi="Arial" w:cs="Arial"/>
          <w:sz w:val="20"/>
          <w:szCs w:val="20"/>
        </w:rPr>
        <w:t>In addition, and to the extent possible, clauses within a contract are to</w:t>
      </w:r>
      <w:r w:rsidRPr="00210CF9">
        <w:rPr>
          <w:rFonts w:ascii="Arial" w:hAnsi="Arial" w:cs="Arial"/>
          <w:sz w:val="20"/>
          <w:szCs w:val="20"/>
        </w:rPr>
        <w:t xml:space="preserve"> be construed harmoniously with each other</w:t>
      </w:r>
      <w:r>
        <w:rPr>
          <w:rFonts w:ascii="Arial" w:hAnsi="Arial" w:cs="Arial"/>
          <w:sz w:val="20"/>
          <w:szCs w:val="20"/>
        </w:rPr>
        <w:t xml:space="preserve">: </w:t>
      </w:r>
      <w:r w:rsidRPr="00210CF9">
        <w:rPr>
          <w:rFonts w:ascii="Arial" w:hAnsi="Arial" w:cs="Arial"/>
          <w:i/>
          <w:iCs/>
          <w:sz w:val="20"/>
        </w:rPr>
        <w:t>Wilkie v Gordian Runoff Ltd</w:t>
      </w:r>
      <w:r w:rsidRPr="008958A4">
        <w:rPr>
          <w:rFonts w:ascii="Arial" w:hAnsi="Arial" w:cs="Arial"/>
          <w:sz w:val="20"/>
        </w:rPr>
        <w:t xml:space="preserve"> (2005) 221 CLR 522</w:t>
      </w:r>
      <w:r>
        <w:rPr>
          <w:rFonts w:ascii="Arial" w:hAnsi="Arial" w:cs="Arial"/>
          <w:sz w:val="20"/>
        </w:rPr>
        <w:t xml:space="preserve"> at [16]</w:t>
      </w:r>
      <w:r w:rsidRPr="008958A4">
        <w:rPr>
          <w:rFonts w:ascii="Arial" w:hAnsi="Arial" w:cs="Arial"/>
          <w:sz w:val="20"/>
        </w:rPr>
        <w:t>; [2005] HCA 17</w:t>
      </w:r>
      <w:r w:rsidRPr="00210CF9">
        <w:rPr>
          <w:rFonts w:ascii="Arial" w:hAnsi="Arial" w:cs="Arial"/>
          <w:sz w:val="20"/>
          <w:szCs w:val="20"/>
        </w:rPr>
        <w:t>7</w:t>
      </w:r>
      <w:r>
        <w:rPr>
          <w:rFonts w:ascii="Arial" w:hAnsi="Arial" w:cs="Arial"/>
          <w:sz w:val="20"/>
          <w:szCs w:val="20"/>
        </w:rPr>
        <w:t>.</w:t>
      </w:r>
      <w:r w:rsidRPr="00210CF9">
        <w:rPr>
          <w:rFonts w:ascii="Arial" w:hAnsi="Arial" w:cs="Arial"/>
          <w:sz w:val="20"/>
          <w:szCs w:val="20"/>
        </w:rPr>
        <w:t xml:space="preserve"> However, if there is any inconsistency between terms</w:t>
      </w:r>
      <w:r>
        <w:rPr>
          <w:rFonts w:ascii="Arial" w:hAnsi="Arial" w:cs="Arial"/>
          <w:sz w:val="20"/>
          <w:szCs w:val="20"/>
        </w:rPr>
        <w:t xml:space="preserve"> then the specific clause will prevail over the general clause: </w:t>
      </w:r>
      <w:r w:rsidRPr="00BD5D62">
        <w:rPr>
          <w:rFonts w:ascii="Arial" w:hAnsi="Arial" w:cs="Arial"/>
          <w:i/>
          <w:iCs/>
          <w:sz w:val="20"/>
          <w:szCs w:val="20"/>
        </w:rPr>
        <w:t>Hume Steel Ltd v Attorney-General (Vic)</w:t>
      </w:r>
      <w:r>
        <w:rPr>
          <w:rFonts w:ascii="Arial" w:hAnsi="Arial" w:cs="Arial"/>
          <w:sz w:val="20"/>
          <w:szCs w:val="20"/>
        </w:rPr>
        <w:t xml:space="preserve"> (1927) 39 CLR 455, 465-6; [1927] HCA 24.”</w:t>
      </w:r>
    </w:p>
    <w:p w14:paraId="3C2FE797" w14:textId="77777777" w:rsidR="008958A4" w:rsidRDefault="008958A4" w:rsidP="00177B34">
      <w:pPr>
        <w:jc w:val="both"/>
        <w:rPr>
          <w:rFonts w:ascii="Arial" w:hAnsi="Arial" w:cs="Arial"/>
          <w:sz w:val="20"/>
        </w:rPr>
      </w:pPr>
    </w:p>
    <w:p w14:paraId="22A5504C" w14:textId="14AF6491" w:rsidR="00DB7E9B" w:rsidRDefault="00DB7E9B" w:rsidP="00177B34">
      <w:pPr>
        <w:jc w:val="both"/>
        <w:rPr>
          <w:rFonts w:ascii="Arial" w:hAnsi="Arial" w:cs="Arial"/>
          <w:sz w:val="20"/>
        </w:rPr>
      </w:pPr>
      <w:r>
        <w:rPr>
          <w:rFonts w:ascii="Arial" w:hAnsi="Arial" w:cs="Arial"/>
          <w:sz w:val="20"/>
        </w:rPr>
        <w:t xml:space="preserve">See also </w:t>
      </w:r>
      <w:bookmarkStart w:id="895"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95"/>
      <w:r w:rsidR="00BF69A5">
        <w:rPr>
          <w:rFonts w:ascii="Arial" w:hAnsi="Arial" w:cs="Arial"/>
          <w:sz w:val="20"/>
        </w:rPr>
        <w:t xml:space="preserve">; </w:t>
      </w:r>
      <w:r w:rsidR="00B63A6B" w:rsidRPr="00B63A6B">
        <w:rPr>
          <w:rFonts w:ascii="Arial" w:hAnsi="Arial" w:cs="Arial"/>
          <w:i/>
          <w:iCs/>
          <w:sz w:val="20"/>
        </w:rPr>
        <w:t>D</w:t>
      </w:r>
      <w:r w:rsidR="004C7D62">
        <w:rPr>
          <w:rFonts w:ascii="Arial" w:hAnsi="Arial" w:cs="Arial"/>
          <w:i/>
          <w:iCs/>
          <w:sz w:val="20"/>
        </w:rPr>
        <w:t xml:space="preserve">; </w:t>
      </w:r>
      <w:r w:rsidR="00B63A6B" w:rsidRPr="00B63A6B">
        <w:rPr>
          <w:rFonts w:ascii="Arial" w:hAnsi="Arial" w:cs="Arial"/>
          <w:i/>
          <w:iCs/>
          <w:sz w:val="20"/>
        </w:rPr>
        <w:t>P (Cth) v Falco (a pseudonym)</w:t>
      </w:r>
      <w:r w:rsidR="00B63A6B">
        <w:rPr>
          <w:rFonts w:ascii="Arial" w:hAnsi="Arial" w:cs="Arial"/>
          <w:sz w:val="20"/>
        </w:rPr>
        <w:t xml:space="preserve"> [2024] VSCA 247 at [51]-[71]</w:t>
      </w:r>
      <w:r w:rsidR="004C7D62">
        <w:rPr>
          <w:rFonts w:ascii="Arial" w:hAnsi="Arial" w:cs="Arial"/>
          <w:sz w:val="20"/>
        </w:rPr>
        <w:t xml:space="preserve">; </w:t>
      </w:r>
      <w:r w:rsidR="004C7D62" w:rsidRPr="004C7D62">
        <w:rPr>
          <w:rFonts w:ascii="Arial" w:hAnsi="Arial" w:cs="Arial"/>
          <w:i/>
          <w:iCs/>
          <w:sz w:val="20"/>
        </w:rPr>
        <w:t>Jomaring Pty Ltd &amp; Kingston v Head, Transport for Victoria</w:t>
      </w:r>
      <w:r w:rsidR="004C7D62">
        <w:rPr>
          <w:rFonts w:ascii="Arial" w:hAnsi="Arial" w:cs="Arial"/>
          <w:sz w:val="20"/>
        </w:rPr>
        <w:t xml:space="preserve"> [2025] VSCA at [29]</w:t>
      </w:r>
      <w:r w:rsidR="004C7D62">
        <w:rPr>
          <w:rFonts w:ascii="Arial" w:hAnsi="Arial" w:cs="Arial"/>
          <w:sz w:val="20"/>
        </w:rPr>
        <w:noBreakHyphen/>
        <w:t>[32].</w:t>
      </w:r>
    </w:p>
    <w:p w14:paraId="58868AB9" w14:textId="77777777" w:rsidR="004C7D62" w:rsidRDefault="004C7D62" w:rsidP="00177B34">
      <w:pPr>
        <w:jc w:val="both"/>
        <w:rPr>
          <w:rFonts w:ascii="Arial" w:hAnsi="Arial" w:cs="Arial"/>
          <w:sz w:val="20"/>
        </w:rPr>
      </w:pPr>
    </w:p>
    <w:p w14:paraId="285A8586" w14:textId="16521C21" w:rsidR="00480757" w:rsidRDefault="00480757" w:rsidP="00177B34">
      <w:pPr>
        <w:jc w:val="both"/>
        <w:rPr>
          <w:rFonts w:ascii="Arial" w:hAnsi="Arial" w:cs="Arial"/>
          <w:sz w:val="20"/>
        </w:rPr>
      </w:pPr>
      <w:bookmarkStart w:id="896" w:name="_Hlk206061349"/>
      <w:r>
        <w:rPr>
          <w:rFonts w:ascii="Arial" w:hAnsi="Arial" w:cs="Arial"/>
          <w:sz w:val="20"/>
        </w:rPr>
        <w:t xml:space="preserve">And note the conflicting approaches in </w:t>
      </w:r>
      <w:r w:rsidRPr="00480757">
        <w:rPr>
          <w:rFonts w:ascii="Arial" w:hAnsi="Arial" w:cs="Arial"/>
          <w:i/>
          <w:iCs/>
          <w:sz w:val="20"/>
        </w:rPr>
        <w:t>Laming v Electoral Commissioner of the Australian Electoral Commission</w:t>
      </w:r>
      <w:r w:rsidRPr="00480757">
        <w:rPr>
          <w:rFonts w:ascii="Arial" w:hAnsi="Arial" w:cs="Arial"/>
          <w:sz w:val="20"/>
        </w:rPr>
        <w:t xml:space="preserve"> [2025] HCA 31</w:t>
      </w:r>
      <w:r w:rsidR="008531B5">
        <w:rPr>
          <w:rFonts w:ascii="Arial" w:hAnsi="Arial" w:cs="Arial"/>
          <w:sz w:val="20"/>
        </w:rPr>
        <w:t xml:space="preserve"> </w:t>
      </w:r>
      <w:r>
        <w:rPr>
          <w:rFonts w:ascii="Arial" w:hAnsi="Arial" w:cs="Arial"/>
          <w:sz w:val="20"/>
        </w:rPr>
        <w:t xml:space="preserve">of the plurality (Gageler CJ, Gleeson &amp; Jago JJ) </w:t>
      </w:r>
      <w:r w:rsidR="00061852">
        <w:rPr>
          <w:rFonts w:ascii="Arial" w:hAnsi="Arial" w:cs="Arial"/>
          <w:sz w:val="20"/>
        </w:rPr>
        <w:t xml:space="preserve">at [20]-[44] </w:t>
      </w:r>
      <w:r>
        <w:rPr>
          <w:rFonts w:ascii="Arial" w:hAnsi="Arial" w:cs="Arial"/>
          <w:sz w:val="20"/>
        </w:rPr>
        <w:t>and of Edelman J in dissent</w:t>
      </w:r>
      <w:r w:rsidR="001219C7">
        <w:rPr>
          <w:rFonts w:ascii="Arial" w:hAnsi="Arial" w:cs="Arial"/>
          <w:sz w:val="20"/>
        </w:rPr>
        <w:t>, especially</w:t>
      </w:r>
      <w:r>
        <w:rPr>
          <w:rFonts w:ascii="Arial" w:hAnsi="Arial" w:cs="Arial"/>
          <w:sz w:val="20"/>
        </w:rPr>
        <w:t xml:space="preserve"> at [1</w:t>
      </w:r>
      <w:r w:rsidR="001219C7">
        <w:rPr>
          <w:rFonts w:ascii="Arial" w:hAnsi="Arial" w:cs="Arial"/>
          <w:sz w:val="20"/>
        </w:rPr>
        <w:t>29</w:t>
      </w:r>
      <w:r>
        <w:rPr>
          <w:rFonts w:ascii="Arial" w:hAnsi="Arial" w:cs="Arial"/>
          <w:sz w:val="20"/>
        </w:rPr>
        <w:t>]-[130].</w:t>
      </w:r>
    </w:p>
    <w:bookmarkEnd w:id="896"/>
    <w:p w14:paraId="17E99057" w14:textId="643B7133" w:rsidR="00480757" w:rsidRDefault="00480757"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r w:rsidR="00170A99">
        <w:rPr>
          <w:rFonts w:ascii="Arial" w:hAnsi="Arial" w:cs="Arial"/>
          <w:sz w:val="20"/>
          <w:szCs w:val="20"/>
        </w:rPr>
        <w:t>G</w:t>
      </w:r>
      <w:r w:rsidR="00170A99" w:rsidRPr="004D1ED3">
        <w:rPr>
          <w:rFonts w:ascii="Arial" w:hAnsi="Arial" w:cs="Arial"/>
          <w:sz w:val="20"/>
          <w:szCs w:val="20"/>
        </w:rPr>
        <w:t xml:space="preserve">ageler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r w:rsidR="00170A99">
        <w:rPr>
          <w:rFonts w:ascii="Arial" w:hAnsi="Arial" w:cs="Arial"/>
          <w:sz w:val="20"/>
          <w:szCs w:val="20"/>
        </w:rPr>
        <w:t>J</w:t>
      </w:r>
      <w:r w:rsidR="00170A99" w:rsidRPr="004D1ED3">
        <w:rPr>
          <w:rFonts w:ascii="Arial" w:hAnsi="Arial" w:cs="Arial"/>
          <w:sz w:val="20"/>
          <w:szCs w:val="20"/>
        </w:rPr>
        <w:t xml:space="preserve">agot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r>
        <w:rPr>
          <w:rFonts w:ascii="Arial" w:hAnsi="Arial" w:cs="Arial"/>
          <w:sz w:val="20"/>
          <w:szCs w:val="20"/>
        </w:rPr>
        <w:t>G</w:t>
      </w:r>
      <w:r w:rsidRPr="004D1ED3">
        <w:rPr>
          <w:rFonts w:ascii="Arial" w:hAnsi="Arial" w:cs="Arial"/>
          <w:sz w:val="20"/>
          <w:szCs w:val="20"/>
        </w:rPr>
        <w:t xml:space="preserve">ageler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r>
        <w:rPr>
          <w:rFonts w:ascii="Arial" w:hAnsi="Arial" w:cs="Arial"/>
          <w:sz w:val="20"/>
          <w:szCs w:val="20"/>
        </w:rPr>
        <w:t>J</w:t>
      </w:r>
      <w:r w:rsidRPr="004D1ED3">
        <w:rPr>
          <w:rFonts w:ascii="Arial" w:hAnsi="Arial" w:cs="Arial"/>
          <w:sz w:val="20"/>
          <w:szCs w:val="20"/>
        </w:rPr>
        <w:t xml:space="preserve">agot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Gaudron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Basten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w:t>
      </w:r>
      <w:r w:rsidR="00130028">
        <w:rPr>
          <w:rFonts w:ascii="Arial" w:hAnsi="Arial" w:cs="Arial"/>
          <w:sz w:val="20"/>
        </w:rPr>
        <w:lastRenderedPageBreak/>
        <w:t xml:space="preserve">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eg,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(Gageler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Heydon,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r w:rsidRPr="003F031E">
        <w:rPr>
          <w:rFonts w:ascii="Arial" w:hAnsi="Arial" w:cs="Arial"/>
          <w:i/>
          <w:iCs/>
          <w:sz w:val="20"/>
          <w:szCs w:val="20"/>
        </w:rPr>
        <w:t>Lordianto</w:t>
      </w:r>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(Cth)</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r w:rsidRPr="0033471C">
        <w:rPr>
          <w:rFonts w:ascii="Arial" w:hAnsi="Arial" w:cs="Arial"/>
          <w:i/>
          <w:iCs/>
          <w:sz w:val="20"/>
          <w:szCs w:val="20"/>
        </w:rPr>
        <w:t>Lordianto</w:t>
      </w:r>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55578F">
      <w:pPr>
        <w:keepNext/>
        <w:keepLines/>
        <w:jc w:val="both"/>
        <w:rPr>
          <w:rFonts w:ascii="Arial" w:hAnsi="Arial" w:cs="Arial"/>
          <w:sz w:val="20"/>
        </w:rPr>
      </w:pPr>
      <w:r>
        <w:rPr>
          <w:rFonts w:ascii="Arial" w:hAnsi="Arial" w:cs="Arial"/>
          <w:sz w:val="20"/>
        </w:rPr>
        <w:t xml:space="preserve">In </w:t>
      </w:r>
      <w:bookmarkStart w:id="897"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97"/>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Heydon,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xml:space="preserve">…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w:t>
      </w:r>
      <w:r w:rsidR="00075798" w:rsidRPr="00075798">
        <w:rPr>
          <w:rFonts w:ascii="Arial" w:hAnsi="Arial" w:cs="Arial"/>
          <w:sz w:val="18"/>
          <w:szCs w:val="18"/>
        </w:rPr>
        <w:lastRenderedPageBreak/>
        <w:t>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Default="00E6177D" w:rsidP="00641166">
      <w:pPr>
        <w:jc w:val="both"/>
        <w:rPr>
          <w:rFonts w:ascii="Arial" w:hAnsi="Arial" w:cs="Arial"/>
          <w:sz w:val="20"/>
        </w:rPr>
      </w:pPr>
      <w:bookmarkStart w:id="898" w:name="_Hlk185252576"/>
    </w:p>
    <w:p w14:paraId="3A2AEB3B" w14:textId="59F11874" w:rsidR="00FE59A5" w:rsidRDefault="00FE59A5" w:rsidP="00641166">
      <w:pPr>
        <w:jc w:val="both"/>
        <w:rPr>
          <w:rFonts w:ascii="Arial" w:hAnsi="Arial" w:cs="Arial"/>
          <w:sz w:val="20"/>
        </w:rPr>
      </w:pPr>
      <w:r>
        <w:rPr>
          <w:rFonts w:ascii="Arial" w:hAnsi="Arial" w:cs="Arial"/>
          <w:sz w:val="20"/>
        </w:rPr>
        <w:t xml:space="preserve">In </w:t>
      </w:r>
      <w:r w:rsidRPr="00FE59A5">
        <w:rPr>
          <w:rFonts w:ascii="Arial" w:hAnsi="Arial" w:cs="Arial"/>
          <w:i/>
          <w:iCs/>
          <w:sz w:val="20"/>
        </w:rPr>
        <w:t>Lew v Blacher</w:t>
      </w:r>
      <w:r>
        <w:rPr>
          <w:rFonts w:ascii="Arial" w:hAnsi="Arial" w:cs="Arial"/>
          <w:sz w:val="20"/>
        </w:rPr>
        <w:t xml:space="preserve"> [2024] VSCA 304 the respondent arbiter had made a finding of misconduct against the app</w:t>
      </w:r>
      <w:r w:rsidR="00B359EA">
        <w:rPr>
          <w:rFonts w:ascii="Arial" w:hAnsi="Arial" w:cs="Arial"/>
          <w:sz w:val="20"/>
        </w:rPr>
        <w:t>ellant</w:t>
      </w:r>
      <w:r>
        <w:rPr>
          <w:rFonts w:ascii="Arial" w:hAnsi="Arial" w:cs="Arial"/>
          <w:sz w:val="20"/>
        </w:rPr>
        <w:t xml:space="preserve"> councillor</w:t>
      </w:r>
      <w:r w:rsidR="00E4085C">
        <w:rPr>
          <w:rFonts w:ascii="Arial" w:hAnsi="Arial" w:cs="Arial"/>
          <w:sz w:val="20"/>
        </w:rPr>
        <w:t xml:space="preserve">, holding </w:t>
      </w:r>
      <w:r>
        <w:rPr>
          <w:rFonts w:ascii="Arial" w:hAnsi="Arial" w:cs="Arial"/>
          <w:sz w:val="20"/>
        </w:rPr>
        <w:t xml:space="preserve">that his remarks made in a social media post on his private account “amounted to abusive </w:t>
      </w:r>
      <w:r w:rsidRPr="00FE59A5">
        <w:rPr>
          <w:rFonts w:ascii="Arial" w:hAnsi="Arial" w:cs="Arial"/>
          <w:sz w:val="20"/>
        </w:rPr>
        <w:t>behaviour which breached Clause 1(c)</w:t>
      </w:r>
      <w:r>
        <w:rPr>
          <w:rFonts w:ascii="Arial" w:hAnsi="Arial" w:cs="Arial"/>
          <w:sz w:val="20"/>
        </w:rPr>
        <w:t>”</w:t>
      </w:r>
      <w:r w:rsidRPr="00FE59A5">
        <w:rPr>
          <w:rFonts w:ascii="Arial" w:hAnsi="Arial" w:cs="Arial"/>
          <w:sz w:val="20"/>
        </w:rPr>
        <w:t xml:space="preserve"> of the </w:t>
      </w:r>
      <w:r>
        <w:rPr>
          <w:rFonts w:ascii="Arial" w:hAnsi="Arial" w:cs="Arial"/>
          <w:sz w:val="20"/>
        </w:rPr>
        <w:t>Stonnington Code</w:t>
      </w:r>
      <w:r w:rsidRPr="00FE59A5">
        <w:rPr>
          <w:rFonts w:ascii="Arial" w:hAnsi="Arial" w:cs="Arial"/>
          <w:sz w:val="20"/>
        </w:rPr>
        <w:t xml:space="preserve"> of Conduct. </w:t>
      </w:r>
      <w:r>
        <w:rPr>
          <w:rFonts w:ascii="Arial" w:hAnsi="Arial" w:cs="Arial"/>
          <w:sz w:val="20"/>
        </w:rPr>
        <w:t>In</w:t>
      </w:r>
      <w:r w:rsidR="00E4085C">
        <w:rPr>
          <w:rFonts w:ascii="Arial" w:hAnsi="Arial" w:cs="Arial"/>
          <w:sz w:val="20"/>
        </w:rPr>
        <w:t> </w:t>
      </w:r>
      <w:r>
        <w:rPr>
          <w:rFonts w:ascii="Arial" w:hAnsi="Arial" w:cs="Arial"/>
          <w:sz w:val="20"/>
        </w:rPr>
        <w:t>dismissing the appeal, Kennedy, Kaye &amp; Kenny JJA said at [44]:</w:t>
      </w:r>
    </w:p>
    <w:p w14:paraId="6811F72F" w14:textId="2B5CAAAA" w:rsidR="00FE59A5" w:rsidRDefault="00FE59A5" w:rsidP="00FE59A5">
      <w:pPr>
        <w:spacing w:before="60"/>
        <w:ind w:left="567" w:right="567"/>
        <w:jc w:val="both"/>
        <w:rPr>
          <w:rFonts w:ascii="Arial" w:hAnsi="Arial" w:cs="Arial"/>
          <w:sz w:val="20"/>
        </w:rPr>
      </w:pPr>
      <w:r>
        <w:rPr>
          <w:rFonts w:ascii="Arial" w:hAnsi="Arial" w:cs="Arial"/>
          <w:sz w:val="20"/>
        </w:rPr>
        <w:t xml:space="preserve">“The High Court has addressed the proper approach to statutory construction in numerous cases over the last decade or so.  For present purposes, it suffices to refer to a statement by Kiefel CJ and Keane J in </w:t>
      </w:r>
      <w:r w:rsidRPr="00D34F4F">
        <w:rPr>
          <w:rFonts w:ascii="Arial" w:hAnsi="Arial" w:cs="Arial"/>
          <w:i/>
          <w:iCs/>
          <w:sz w:val="20"/>
        </w:rPr>
        <w:t>R v A2</w:t>
      </w:r>
      <w:r>
        <w:rPr>
          <w:rFonts w:ascii="Arial" w:hAnsi="Arial" w:cs="Arial"/>
          <w:sz w:val="20"/>
        </w:rPr>
        <w:t xml:space="preserve"> </w:t>
      </w:r>
      <w:r w:rsidR="004973B0" w:rsidRPr="00075798">
        <w:rPr>
          <w:rFonts w:ascii="Arial" w:hAnsi="Arial" w:cs="Arial"/>
          <w:sz w:val="20"/>
        </w:rPr>
        <w:t>(2019) 269 CLR 507</w:t>
      </w:r>
      <w:r w:rsidR="004973B0">
        <w:rPr>
          <w:rFonts w:ascii="Arial" w:hAnsi="Arial" w:cs="Arial"/>
          <w:sz w:val="20"/>
        </w:rPr>
        <w:t xml:space="preserve"> at 521 [32]-[33] where their Honours described the accepted approach in the following terms:</w:t>
      </w:r>
    </w:p>
    <w:p w14:paraId="222039DD" w14:textId="77777777" w:rsidR="004973B0" w:rsidRDefault="004973B0" w:rsidP="004973B0">
      <w:pPr>
        <w:spacing w:before="60"/>
        <w:ind w:left="1021" w:right="1021"/>
        <w:jc w:val="both"/>
        <w:rPr>
          <w:rFonts w:ascii="Arial" w:hAnsi="Arial" w:cs="Arial"/>
          <w:sz w:val="18"/>
          <w:szCs w:val="18"/>
        </w:rPr>
      </w:pPr>
      <w:r>
        <w:rPr>
          <w:rFonts w:ascii="Arial" w:hAnsi="Arial" w:cs="Arial"/>
          <w:sz w:val="18"/>
          <w:szCs w:val="18"/>
        </w:rPr>
        <w:t xml:space="preserve">‘The method to be applied in construing a statute to ascertain the intended meaning of the words used is well settled. </w:t>
      </w:r>
      <w:r w:rsidRPr="004973B0">
        <w:rPr>
          <w:rFonts w:ascii="Arial" w:hAnsi="Arial" w:cs="Arial"/>
          <w:sz w:val="18"/>
          <w:szCs w:val="18"/>
        </w:rPr>
        <w:t>It commences with a consideration of the words of the provision itself, but it does not end there. A literal approach to construction, which requires the courts to obey the ordinary meaning or usage of the words of a provision, even if the result is improbable, has long been eschewed by this Court. It is now accepted that even words having an apparently clear ordinary or grammatical meaning may be ascribed a different legal meaning after the process of construction is complete. This is because consideration of the context for the provision may point to factors that tend against the ordinary usage of the words of the provision.</w:t>
      </w:r>
    </w:p>
    <w:p w14:paraId="53B16C85" w14:textId="288C987B" w:rsidR="004973B0" w:rsidRPr="00075798" w:rsidRDefault="004973B0" w:rsidP="004973B0">
      <w:pPr>
        <w:spacing w:before="60"/>
        <w:ind w:left="1021" w:right="1021"/>
        <w:jc w:val="both"/>
        <w:rPr>
          <w:rFonts w:ascii="Arial" w:hAnsi="Arial" w:cs="Arial"/>
          <w:sz w:val="18"/>
          <w:szCs w:val="18"/>
        </w:rPr>
      </w:pPr>
      <w:r w:rsidRPr="004973B0">
        <w:rPr>
          <w:rFonts w:ascii="Arial" w:hAnsi="Arial" w:cs="Arial"/>
          <w:sz w:val="18"/>
          <w:szCs w:val="18"/>
        </w:rPr>
        <w:t>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w:t>
      </w:r>
      <w:r>
        <w:rPr>
          <w:rFonts w:ascii="Arial" w:hAnsi="Arial" w:cs="Arial"/>
          <w:sz w:val="18"/>
          <w:szCs w:val="18"/>
        </w:rPr>
        <w:t>..’</w:t>
      </w:r>
      <w:r w:rsidR="00B5168E">
        <w:rPr>
          <w:rFonts w:ascii="Arial" w:hAnsi="Arial" w:cs="Arial"/>
          <w:sz w:val="18"/>
          <w:szCs w:val="18"/>
        </w:rPr>
        <w:t>.</w:t>
      </w:r>
      <w:r>
        <w:rPr>
          <w:rFonts w:ascii="Arial" w:hAnsi="Arial" w:cs="Arial"/>
          <w:sz w:val="18"/>
          <w:szCs w:val="18"/>
        </w:rPr>
        <w:t>”</w:t>
      </w:r>
    </w:p>
    <w:p w14:paraId="2FE09C15" w14:textId="77777777" w:rsidR="00FE59A5" w:rsidRDefault="00FE59A5" w:rsidP="00641166">
      <w:pPr>
        <w:jc w:val="both"/>
        <w:rPr>
          <w:rFonts w:ascii="Arial" w:hAnsi="Arial" w:cs="Arial"/>
          <w:sz w:val="20"/>
        </w:rPr>
      </w:pPr>
    </w:p>
    <w:p w14:paraId="37B8E2F2" w14:textId="77777777" w:rsidR="00197F05" w:rsidRDefault="00197F05" w:rsidP="00197F05">
      <w:pPr>
        <w:jc w:val="both"/>
        <w:rPr>
          <w:rFonts w:ascii="Arial" w:hAnsi="Arial" w:cs="Arial"/>
          <w:sz w:val="20"/>
        </w:rPr>
      </w:pPr>
      <w:r>
        <w:rPr>
          <w:rFonts w:ascii="Arial" w:hAnsi="Arial" w:cs="Arial"/>
          <w:sz w:val="20"/>
        </w:rPr>
        <w:t xml:space="preserve">In </w:t>
      </w:r>
      <w:r w:rsidRPr="00F31417">
        <w:rPr>
          <w:rFonts w:ascii="Arial" w:hAnsi="Arial" w:cs="Arial"/>
          <w:i/>
          <w:iCs/>
          <w:color w:val="000000"/>
          <w:sz w:val="20"/>
        </w:rPr>
        <w:t>Tricarico v Victorian Legal Services Board (No 2)</w:t>
      </w:r>
      <w:r w:rsidRPr="00F31417">
        <w:rPr>
          <w:rFonts w:ascii="Arial" w:hAnsi="Arial" w:cs="Arial"/>
          <w:color w:val="000000"/>
          <w:sz w:val="20"/>
        </w:rPr>
        <w:t xml:space="preserve"> [2025] VSC 242</w:t>
      </w:r>
      <w:r>
        <w:rPr>
          <w:rFonts w:ascii="Arial" w:hAnsi="Arial" w:cs="Arial"/>
          <w:color w:val="000000"/>
          <w:sz w:val="20"/>
        </w:rPr>
        <w:t xml:space="preserve"> </w:t>
      </w:r>
      <w:r>
        <w:rPr>
          <w:rFonts w:ascii="Arial" w:hAnsi="Arial" w:cs="Arial"/>
          <w:sz w:val="20"/>
        </w:rPr>
        <w:t>Gray J set out the g</w:t>
      </w:r>
      <w:r w:rsidRPr="00332F98">
        <w:rPr>
          <w:rFonts w:ascii="Arial" w:hAnsi="Arial" w:cs="Arial"/>
          <w:sz w:val="20"/>
        </w:rPr>
        <w:t>eneral principles of statutory interpretation</w:t>
      </w:r>
      <w:r w:rsidRPr="00332F98">
        <w:rPr>
          <w:rFonts w:ascii="Arial" w:hAnsi="Arial" w:cs="Arial"/>
          <w:color w:val="000000"/>
          <w:sz w:val="20"/>
        </w:rPr>
        <w:t xml:space="preserve"> </w:t>
      </w:r>
      <w:r>
        <w:rPr>
          <w:rFonts w:ascii="Arial" w:hAnsi="Arial" w:cs="Arial"/>
          <w:color w:val="000000"/>
          <w:sz w:val="20"/>
        </w:rPr>
        <w:t>at [40]-[43] as follows:</w:t>
      </w:r>
    </w:p>
    <w:p w14:paraId="4AE73E0C" w14:textId="77777777" w:rsidR="00197F05" w:rsidRDefault="00197F05" w:rsidP="00197F05">
      <w:pPr>
        <w:spacing w:before="60"/>
        <w:ind w:left="567" w:right="567"/>
        <w:jc w:val="both"/>
        <w:rPr>
          <w:rFonts w:ascii="Arial" w:hAnsi="Arial" w:cs="Arial"/>
          <w:sz w:val="20"/>
        </w:rPr>
      </w:pPr>
      <w:r>
        <w:rPr>
          <w:rFonts w:ascii="Arial" w:hAnsi="Arial" w:cs="Arial"/>
          <w:sz w:val="20"/>
        </w:rPr>
        <w:t>[40] “</w:t>
      </w:r>
      <w:r w:rsidRPr="00452120">
        <w:rPr>
          <w:rFonts w:ascii="Arial" w:hAnsi="Arial" w:cs="Arial"/>
          <w:sz w:val="20"/>
        </w:rPr>
        <w:t>The statutory interpretation process must begin with the text used</w:t>
      </w:r>
      <w:r>
        <w:rPr>
          <w:rFonts w:ascii="Arial" w:hAnsi="Arial" w:cs="Arial"/>
          <w:sz w:val="20"/>
        </w:rPr>
        <w:t xml:space="preserve">: </w:t>
      </w:r>
      <w:r w:rsidRPr="00332F98">
        <w:rPr>
          <w:rFonts w:ascii="Arial" w:hAnsi="Arial" w:cs="Arial"/>
          <w:i/>
          <w:iCs/>
          <w:sz w:val="20"/>
        </w:rPr>
        <w:t>R v A2</w:t>
      </w:r>
      <w:r w:rsidRPr="00452120">
        <w:rPr>
          <w:rFonts w:ascii="Arial" w:hAnsi="Arial" w:cs="Arial"/>
          <w:sz w:val="20"/>
        </w:rPr>
        <w:t xml:space="preserve"> (2019) 269 CLR 507, [32]; </w:t>
      </w:r>
      <w:r w:rsidRPr="00332F98">
        <w:rPr>
          <w:rFonts w:ascii="Arial" w:hAnsi="Arial" w:cs="Arial"/>
          <w:i/>
          <w:iCs/>
          <w:sz w:val="20"/>
        </w:rPr>
        <w:t>Alcan (NT) Alumina Pty Ltd v Commissioner of Territory Revenue</w:t>
      </w:r>
      <w:r w:rsidRPr="00452120">
        <w:rPr>
          <w:rFonts w:ascii="Arial" w:hAnsi="Arial" w:cs="Arial"/>
          <w:sz w:val="20"/>
        </w:rPr>
        <w:t xml:space="preserve"> (2009) 239 CLR 27, [47]; </w:t>
      </w:r>
      <w:r w:rsidRPr="00332F98">
        <w:rPr>
          <w:rFonts w:ascii="Arial" w:hAnsi="Arial" w:cs="Arial"/>
          <w:i/>
          <w:iCs/>
          <w:sz w:val="20"/>
        </w:rPr>
        <w:t>Federal Commissioner of Taxation v Consolidated Media Holdings Ltd</w:t>
      </w:r>
      <w:r w:rsidRPr="00452120">
        <w:rPr>
          <w:rFonts w:ascii="Arial" w:hAnsi="Arial" w:cs="Arial"/>
          <w:sz w:val="20"/>
        </w:rPr>
        <w:t xml:space="preserve"> (2012) 250 CLR 503, [39]; </w:t>
      </w:r>
      <w:r w:rsidRPr="00332F98">
        <w:rPr>
          <w:rFonts w:ascii="Arial" w:hAnsi="Arial" w:cs="Arial"/>
          <w:i/>
          <w:iCs/>
          <w:sz w:val="20"/>
        </w:rPr>
        <w:t>Thiess v Collector of Customs</w:t>
      </w:r>
      <w:r w:rsidRPr="00452120">
        <w:rPr>
          <w:rFonts w:ascii="Arial" w:hAnsi="Arial" w:cs="Arial"/>
          <w:sz w:val="20"/>
        </w:rPr>
        <w:t xml:space="preserve"> (2014) 250 CLR 664, [22]; </w:t>
      </w:r>
      <w:r w:rsidRPr="00332F98">
        <w:rPr>
          <w:rFonts w:ascii="Arial" w:hAnsi="Arial" w:cs="Arial"/>
          <w:i/>
          <w:iCs/>
          <w:sz w:val="20"/>
        </w:rPr>
        <w:t>Treasurer of Victoria v Tabcorp Holdings Ltd</w:t>
      </w:r>
      <w:r w:rsidRPr="00452120">
        <w:rPr>
          <w:rFonts w:ascii="Arial" w:hAnsi="Arial" w:cs="Arial"/>
          <w:sz w:val="20"/>
        </w:rPr>
        <w:t xml:space="preserve"> [2014] VSCA 143, [99]–[102]. Where the words of a provision are clear, unambiguous, and can be intelligibly applied to the subject matter, the provision must be given its ordinary and grammatical meaning — in such cases, Parliament’s intention has been expressed ‘with unambiguous clarity in the language used’</w:t>
      </w:r>
      <w:r>
        <w:rPr>
          <w:rFonts w:ascii="Arial" w:hAnsi="Arial" w:cs="Arial"/>
          <w:sz w:val="20"/>
        </w:rPr>
        <w:t xml:space="preserve">: </w:t>
      </w:r>
      <w:r w:rsidRPr="00332F98">
        <w:rPr>
          <w:rFonts w:ascii="Arial" w:hAnsi="Arial" w:cs="Arial"/>
          <w:i/>
          <w:iCs/>
          <w:sz w:val="20"/>
        </w:rPr>
        <w:t>Tabcorp</w:t>
      </w:r>
      <w:r>
        <w:rPr>
          <w:rFonts w:ascii="Arial" w:hAnsi="Arial" w:cs="Arial"/>
          <w:sz w:val="20"/>
        </w:rPr>
        <w:t xml:space="preserve"> [2], [6].</w:t>
      </w:r>
    </w:p>
    <w:p w14:paraId="24442DEC"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41</w:t>
      </w:r>
      <w:r>
        <w:rPr>
          <w:rFonts w:ascii="Arial" w:hAnsi="Arial" w:cs="Arial"/>
          <w:sz w:val="20"/>
        </w:rPr>
        <w:t>]</w:t>
      </w:r>
      <w:r w:rsidRPr="00452120">
        <w:rPr>
          <w:rFonts w:ascii="Arial" w:hAnsi="Arial" w:cs="Arial"/>
          <w:sz w:val="20"/>
        </w:rPr>
        <w:t xml:space="preserve"> The text must be interpreted in its context, and context should be considered at first instance, rather than at a later stage when ambiguity might arise</w:t>
      </w:r>
      <w:r>
        <w:rPr>
          <w:rFonts w:ascii="Arial" w:hAnsi="Arial" w:cs="Arial"/>
          <w:sz w:val="20"/>
        </w:rPr>
        <w:t xml:space="preserve">: </w:t>
      </w:r>
      <w:r w:rsidRPr="00332F98">
        <w:rPr>
          <w:rFonts w:ascii="Arial" w:hAnsi="Arial" w:cs="Arial"/>
          <w:i/>
          <w:iCs/>
          <w:sz w:val="20"/>
        </w:rPr>
        <w:t>CIC Insurance Ltd v Bankstown Football Club Ltd</w:t>
      </w:r>
      <w:r w:rsidRPr="00452120">
        <w:rPr>
          <w:rFonts w:ascii="Arial" w:hAnsi="Arial" w:cs="Arial"/>
          <w:sz w:val="20"/>
        </w:rPr>
        <w:t xml:space="preserve"> (1997) 187 CLR 384, 408. The context includes the purpose Parliament intended to achieve, as discerned from the legislation itself, and relevant extrinsic material</w:t>
      </w:r>
      <w:r>
        <w:rPr>
          <w:rFonts w:ascii="Arial" w:hAnsi="Arial" w:cs="Arial"/>
          <w:sz w:val="20"/>
        </w:rPr>
        <w:t xml:space="preserve">: </w:t>
      </w:r>
      <w:r w:rsidRPr="00332F98">
        <w:rPr>
          <w:rFonts w:ascii="Arial" w:hAnsi="Arial" w:cs="Arial"/>
          <w:i/>
          <w:iCs/>
          <w:sz w:val="20"/>
        </w:rPr>
        <w:t>Project Blue Sky Inc v Australian Broadcasting Authority</w:t>
      </w:r>
      <w:r w:rsidRPr="00452120">
        <w:rPr>
          <w:rFonts w:ascii="Arial" w:hAnsi="Arial" w:cs="Arial"/>
          <w:sz w:val="20"/>
        </w:rPr>
        <w:t xml:space="preserve"> (1998) 194 CLR 355, [69].</w:t>
      </w:r>
      <w:r>
        <w:rPr>
          <w:rFonts w:ascii="Arial" w:hAnsi="Arial" w:cs="Arial"/>
          <w:sz w:val="20"/>
        </w:rPr>
        <w:t xml:space="preserve"> </w:t>
      </w:r>
      <w:r w:rsidRPr="00452120">
        <w:rPr>
          <w:rFonts w:ascii="Arial" w:hAnsi="Arial" w:cs="Arial"/>
          <w:sz w:val="20"/>
        </w:rPr>
        <w:t>The legislative context includes the statute as a whole, with an assumption that Parliament intends interrelated provisions to operate coherently, giving effect to ‘harmonious goals’</w:t>
      </w:r>
      <w:r>
        <w:rPr>
          <w:rFonts w:ascii="Arial" w:hAnsi="Arial" w:cs="Arial"/>
          <w:sz w:val="20"/>
        </w:rPr>
        <w:t xml:space="preserve">: </w:t>
      </w:r>
      <w:r w:rsidRPr="00332F98">
        <w:rPr>
          <w:rFonts w:ascii="Arial" w:hAnsi="Arial" w:cs="Arial"/>
          <w:i/>
          <w:iCs/>
          <w:sz w:val="20"/>
        </w:rPr>
        <w:t>Project Blue Sky</w:t>
      </w:r>
      <w:r w:rsidRPr="00452120">
        <w:rPr>
          <w:rFonts w:ascii="Arial" w:hAnsi="Arial" w:cs="Arial"/>
          <w:sz w:val="20"/>
        </w:rPr>
        <w:t xml:space="preserve"> [69]</w:t>
      </w:r>
      <w:r>
        <w:rPr>
          <w:rFonts w:ascii="Arial" w:hAnsi="Arial" w:cs="Arial"/>
          <w:sz w:val="20"/>
        </w:rPr>
        <w:t>-</w:t>
      </w:r>
      <w:r w:rsidRPr="00452120">
        <w:rPr>
          <w:rFonts w:ascii="Arial" w:hAnsi="Arial" w:cs="Arial"/>
          <w:sz w:val="20"/>
        </w:rPr>
        <w:t>[70].</w:t>
      </w:r>
    </w:p>
    <w:p w14:paraId="66A28F39"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42</w:t>
      </w:r>
      <w:r>
        <w:rPr>
          <w:rFonts w:ascii="Arial" w:hAnsi="Arial" w:cs="Arial"/>
          <w:sz w:val="20"/>
        </w:rPr>
        <w:t>]</w:t>
      </w:r>
      <w:r w:rsidRPr="00452120">
        <w:rPr>
          <w:rFonts w:ascii="Arial" w:hAnsi="Arial" w:cs="Arial"/>
          <w:sz w:val="20"/>
        </w:rPr>
        <w:t xml:space="preserve"> To discern legislative intention, it may be instructive to consider the legislative history and antecedents of the provision in question</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 </w:t>
      </w:r>
      <w:r w:rsidRPr="00142BE8">
        <w:rPr>
          <w:rFonts w:ascii="Arial" w:hAnsi="Arial" w:cs="Arial"/>
          <w:i/>
          <w:iCs/>
          <w:sz w:val="20"/>
        </w:rPr>
        <w:t>Tabcorp</w:t>
      </w:r>
      <w:r w:rsidRPr="00452120">
        <w:rPr>
          <w:rFonts w:ascii="Arial" w:hAnsi="Arial" w:cs="Arial"/>
          <w:sz w:val="20"/>
        </w:rPr>
        <w:t xml:space="preserve"> [2].</w:t>
      </w:r>
      <w:r>
        <w:rPr>
          <w:rFonts w:ascii="Arial" w:hAnsi="Arial" w:cs="Arial"/>
          <w:sz w:val="20"/>
        </w:rPr>
        <w:t xml:space="preserve"> </w:t>
      </w:r>
      <w:r w:rsidRPr="00452120">
        <w:rPr>
          <w:rFonts w:ascii="Arial" w:hAnsi="Arial" w:cs="Arial"/>
          <w:sz w:val="20"/>
        </w:rPr>
        <w:t>Legislative history and extrinsic materials cannot displace the meaning of the statutory text</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w:t>
      </w:r>
    </w:p>
    <w:p w14:paraId="055D6B68"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43</w:t>
      </w:r>
      <w:r>
        <w:rPr>
          <w:rFonts w:ascii="Arial" w:hAnsi="Arial" w:cs="Arial"/>
          <w:sz w:val="20"/>
        </w:rPr>
        <w:t>]</w:t>
      </w:r>
      <w:r w:rsidRPr="00452120">
        <w:rPr>
          <w:rFonts w:ascii="Arial" w:hAnsi="Arial" w:cs="Arial"/>
          <w:sz w:val="20"/>
        </w:rPr>
        <w:t xml:space="preserve"> It is assumed that Parliament intends discretions conferred under statute to be exercised in accordance with the rules of reason and justice</w:t>
      </w:r>
      <w:r>
        <w:rPr>
          <w:rFonts w:ascii="Arial" w:hAnsi="Arial" w:cs="Arial"/>
          <w:sz w:val="20"/>
        </w:rPr>
        <w:t xml:space="preserve">: </w:t>
      </w:r>
      <w:r w:rsidRPr="00142BE8">
        <w:rPr>
          <w:rFonts w:ascii="Arial" w:hAnsi="Arial" w:cs="Arial"/>
          <w:i/>
          <w:iCs/>
          <w:sz w:val="20"/>
        </w:rPr>
        <w:t>Minister for Immigration and Citizenship v Li</w:t>
      </w:r>
      <w:r w:rsidRPr="00452120">
        <w:rPr>
          <w:rFonts w:ascii="Arial" w:hAnsi="Arial" w:cs="Arial"/>
          <w:sz w:val="20"/>
        </w:rPr>
        <w:t xml:space="preserve"> (2013) 249 CLR 332; [2013] HCA 18, [23]–[24]</w:t>
      </w:r>
      <w:r>
        <w:rPr>
          <w:rFonts w:ascii="Arial" w:hAnsi="Arial" w:cs="Arial"/>
          <w:sz w:val="20"/>
        </w:rPr>
        <w:t xml:space="preserve">, </w:t>
      </w:r>
      <w:r w:rsidRPr="00452120">
        <w:rPr>
          <w:rFonts w:ascii="Arial" w:hAnsi="Arial" w:cs="Arial"/>
          <w:sz w:val="20"/>
        </w:rPr>
        <w:t>[63]–[66]</w:t>
      </w:r>
      <w:r>
        <w:rPr>
          <w:rFonts w:ascii="Arial" w:hAnsi="Arial" w:cs="Arial"/>
          <w:sz w:val="20"/>
        </w:rPr>
        <w:t xml:space="preserve"> &amp; [88]-[90]</w:t>
      </w:r>
      <w:r w:rsidRPr="00452120">
        <w:rPr>
          <w:rFonts w:ascii="Arial" w:hAnsi="Arial" w:cs="Arial"/>
          <w:sz w:val="20"/>
        </w:rPr>
        <w:t xml:space="preserve">; </w:t>
      </w:r>
      <w:r w:rsidRPr="00142BE8">
        <w:rPr>
          <w:rFonts w:ascii="Arial" w:hAnsi="Arial" w:cs="Arial"/>
          <w:i/>
          <w:iCs/>
          <w:sz w:val="20"/>
        </w:rPr>
        <w:t>Sharp v Wakefield</w:t>
      </w:r>
      <w:r w:rsidRPr="00452120">
        <w:rPr>
          <w:rFonts w:ascii="Arial" w:hAnsi="Arial" w:cs="Arial"/>
          <w:sz w:val="20"/>
        </w:rPr>
        <w:t xml:space="preserve"> [1891] AC 173, 179.</w:t>
      </w:r>
      <w:r>
        <w:rPr>
          <w:rFonts w:ascii="Arial" w:hAnsi="Arial" w:cs="Arial"/>
          <w:sz w:val="20"/>
        </w:rPr>
        <w:t xml:space="preserve"> </w:t>
      </w:r>
      <w:r w:rsidRPr="00452120">
        <w:rPr>
          <w:rFonts w:ascii="Arial" w:hAnsi="Arial" w:cs="Arial"/>
          <w:sz w:val="20"/>
        </w:rPr>
        <w:t>Absent clear statutory intention to the contrary, it is an implied condition of an exercise of power adversely affecting a person’s interests that they be accorded procedural fairness</w:t>
      </w:r>
      <w:r>
        <w:rPr>
          <w:rFonts w:ascii="Arial" w:hAnsi="Arial" w:cs="Arial"/>
          <w:sz w:val="20"/>
        </w:rPr>
        <w:t xml:space="preserve">: </w:t>
      </w:r>
      <w:r w:rsidRPr="00452120">
        <w:rPr>
          <w:rFonts w:ascii="Arial" w:hAnsi="Arial" w:cs="Arial"/>
          <w:sz w:val="20"/>
        </w:rPr>
        <w:t xml:space="preserve">Eg </w:t>
      </w:r>
      <w:r w:rsidRPr="00142BE8">
        <w:rPr>
          <w:rFonts w:ascii="Arial" w:hAnsi="Arial" w:cs="Arial"/>
          <w:i/>
          <w:iCs/>
          <w:sz w:val="20"/>
        </w:rPr>
        <w:t>Kioa v West</w:t>
      </w:r>
      <w:r w:rsidRPr="00452120">
        <w:rPr>
          <w:rFonts w:ascii="Arial" w:hAnsi="Arial" w:cs="Arial"/>
          <w:sz w:val="20"/>
        </w:rPr>
        <w:t xml:space="preserve"> (1985) 159 CLR 550, 585</w:t>
      </w:r>
      <w:r>
        <w:rPr>
          <w:rFonts w:ascii="Arial" w:hAnsi="Arial" w:cs="Arial"/>
          <w:sz w:val="20"/>
        </w:rPr>
        <w:t xml:space="preserve"> &amp;</w:t>
      </w:r>
      <w:r w:rsidRPr="00452120">
        <w:rPr>
          <w:rFonts w:ascii="Arial" w:hAnsi="Arial" w:cs="Arial"/>
          <w:sz w:val="20"/>
        </w:rPr>
        <w:t xml:space="preserve"> 609–616; </w:t>
      </w:r>
      <w:r w:rsidRPr="00142BE8">
        <w:rPr>
          <w:rFonts w:ascii="Arial" w:hAnsi="Arial" w:cs="Arial"/>
          <w:i/>
          <w:iCs/>
          <w:sz w:val="20"/>
        </w:rPr>
        <w:t>CNY17 v Minister for Immigration and Border Protection</w:t>
      </w:r>
      <w:r w:rsidRPr="00452120">
        <w:rPr>
          <w:rFonts w:ascii="Arial" w:hAnsi="Arial" w:cs="Arial"/>
          <w:sz w:val="20"/>
        </w:rPr>
        <w:t xml:space="preserve"> (2019) 268 CLR 76, [16].</w:t>
      </w:r>
      <w:r>
        <w:rPr>
          <w:rFonts w:ascii="Arial" w:hAnsi="Arial" w:cs="Arial"/>
          <w:sz w:val="20"/>
        </w:rPr>
        <w:t>”</w:t>
      </w:r>
    </w:p>
    <w:p w14:paraId="76F51B33" w14:textId="77777777" w:rsidR="00197F05" w:rsidRDefault="00197F05" w:rsidP="00641166">
      <w:pPr>
        <w:jc w:val="both"/>
        <w:rPr>
          <w:rFonts w:ascii="Arial" w:hAnsi="Arial" w:cs="Arial"/>
          <w:sz w:val="20"/>
        </w:rPr>
      </w:pPr>
    </w:p>
    <w:p w14:paraId="0707A6FF" w14:textId="358F8F0C" w:rsidR="00136AF4" w:rsidRDefault="00136AF4" w:rsidP="00641166">
      <w:pPr>
        <w:jc w:val="both"/>
        <w:rPr>
          <w:rFonts w:ascii="Arial" w:hAnsi="Arial" w:cs="Arial"/>
          <w:color w:val="000000"/>
          <w:sz w:val="20"/>
        </w:rPr>
      </w:pPr>
      <w:r w:rsidRPr="00136AF4">
        <w:rPr>
          <w:rFonts w:ascii="Arial" w:hAnsi="Arial" w:cs="Arial"/>
          <w:color w:val="000000"/>
          <w:sz w:val="20"/>
        </w:rPr>
        <w:t xml:space="preserve">In </w:t>
      </w:r>
      <w:r w:rsidRPr="00875262">
        <w:rPr>
          <w:rFonts w:ascii="Arial" w:hAnsi="Arial" w:cs="Arial"/>
          <w:i/>
          <w:iCs/>
          <w:color w:val="000000"/>
          <w:sz w:val="20"/>
        </w:rPr>
        <w:t>1559 High Street Pty Ltd v Camillo Builders Pty Ltd &amp; Ors</w:t>
      </w:r>
      <w:r w:rsidRPr="00875262">
        <w:rPr>
          <w:rFonts w:ascii="Arial" w:hAnsi="Arial" w:cs="Arial"/>
          <w:color w:val="000000"/>
          <w:sz w:val="20"/>
        </w:rPr>
        <w:t xml:space="preserve"> [2025] VSC 244</w:t>
      </w:r>
      <w:r>
        <w:rPr>
          <w:rFonts w:ascii="Arial" w:hAnsi="Arial" w:cs="Arial"/>
          <w:color w:val="000000"/>
          <w:sz w:val="20"/>
        </w:rPr>
        <w:t xml:space="preserve"> the primary issue was whether </w:t>
      </w:r>
      <w:r w:rsidR="003E05F2">
        <w:rPr>
          <w:rFonts w:ascii="Arial" w:hAnsi="Arial" w:cs="Arial"/>
          <w:color w:val="000000"/>
          <w:sz w:val="20"/>
        </w:rPr>
        <w:t>certain</w:t>
      </w:r>
      <w:r>
        <w:rPr>
          <w:rFonts w:ascii="Arial" w:hAnsi="Arial" w:cs="Arial"/>
          <w:color w:val="000000"/>
          <w:sz w:val="20"/>
        </w:rPr>
        <w:t xml:space="preserve"> provisions of the </w:t>
      </w:r>
      <w:r w:rsidRPr="00136AF4">
        <w:rPr>
          <w:rFonts w:ascii="Arial" w:hAnsi="Arial" w:cs="Arial"/>
          <w:i/>
          <w:iCs/>
          <w:sz w:val="20"/>
        </w:rPr>
        <w:t xml:space="preserve">Building and Construction Industry Security of Payment Act 2002 </w:t>
      </w:r>
      <w:r w:rsidRPr="00B91928">
        <w:rPr>
          <w:rFonts w:ascii="Arial" w:hAnsi="Arial" w:cs="Arial"/>
          <w:sz w:val="20"/>
        </w:rPr>
        <w:t>(Vic)</w:t>
      </w:r>
      <w:r>
        <w:rPr>
          <w:rFonts w:ascii="Arial" w:hAnsi="Arial" w:cs="Arial"/>
          <w:i/>
          <w:iCs/>
          <w:sz w:val="20"/>
        </w:rPr>
        <w:t xml:space="preserve"> </w:t>
      </w:r>
      <w:r w:rsidRPr="00136AF4">
        <w:rPr>
          <w:rFonts w:ascii="Arial" w:hAnsi="Arial" w:cs="Arial"/>
          <w:sz w:val="20"/>
        </w:rPr>
        <w:t xml:space="preserve">are inconsistent with </w:t>
      </w:r>
      <w:r w:rsidR="003E05F2">
        <w:rPr>
          <w:rFonts w:ascii="Arial" w:hAnsi="Arial" w:cs="Arial"/>
          <w:sz w:val="20"/>
        </w:rPr>
        <w:t>certain</w:t>
      </w:r>
      <w:r>
        <w:rPr>
          <w:rFonts w:ascii="Arial" w:hAnsi="Arial" w:cs="Arial"/>
          <w:sz w:val="20"/>
        </w:rPr>
        <w:t xml:space="preserve"> provisions of the </w:t>
      </w:r>
      <w:r w:rsidRPr="00136AF4">
        <w:rPr>
          <w:rFonts w:ascii="Arial" w:hAnsi="Arial" w:cs="Arial"/>
          <w:sz w:val="20"/>
        </w:rPr>
        <w:t xml:space="preserve">Australian Consumer Law as set out in Schedule 2 to the </w:t>
      </w:r>
      <w:r w:rsidRPr="00136AF4">
        <w:rPr>
          <w:rFonts w:ascii="Arial" w:hAnsi="Arial" w:cs="Arial"/>
          <w:i/>
          <w:iCs/>
          <w:sz w:val="20"/>
        </w:rPr>
        <w:t xml:space="preserve">Competition and Consumer Act 2020 </w:t>
      </w:r>
      <w:r w:rsidRPr="00B91928">
        <w:rPr>
          <w:rFonts w:ascii="Arial" w:hAnsi="Arial" w:cs="Arial"/>
          <w:sz w:val="20"/>
        </w:rPr>
        <w:t>(Cth)</w:t>
      </w:r>
      <w:r w:rsidRPr="00136AF4">
        <w:rPr>
          <w:rFonts w:ascii="Arial" w:hAnsi="Arial" w:cs="Arial"/>
          <w:sz w:val="20"/>
        </w:rPr>
        <w:t xml:space="preserve"> and </w:t>
      </w:r>
      <w:r>
        <w:rPr>
          <w:rFonts w:ascii="Arial" w:hAnsi="Arial" w:cs="Arial"/>
          <w:sz w:val="20"/>
        </w:rPr>
        <w:t xml:space="preserve">hence are </w:t>
      </w:r>
      <w:r w:rsidRPr="00136AF4">
        <w:rPr>
          <w:rFonts w:ascii="Arial" w:hAnsi="Arial" w:cs="Arial"/>
          <w:sz w:val="20"/>
        </w:rPr>
        <w:t xml:space="preserve">invalid to that extent under s 109 of the </w:t>
      </w:r>
      <w:r w:rsidRPr="00136AF4">
        <w:rPr>
          <w:rFonts w:ascii="Arial" w:hAnsi="Arial" w:cs="Arial"/>
          <w:i/>
          <w:iCs/>
          <w:sz w:val="20"/>
        </w:rPr>
        <w:t>Commonwealth of Australia Constitution Act</w:t>
      </w:r>
      <w:r>
        <w:rPr>
          <w:rFonts w:ascii="Arial" w:hAnsi="Arial" w:cs="Arial"/>
          <w:sz w:val="20"/>
        </w:rPr>
        <w:t xml:space="preserve">. </w:t>
      </w:r>
      <w:r w:rsidR="00B91928">
        <w:rPr>
          <w:rFonts w:ascii="Arial" w:hAnsi="Arial" w:cs="Arial"/>
          <w:sz w:val="20"/>
        </w:rPr>
        <w:t xml:space="preserve">Stynes J held that there was </w:t>
      </w:r>
      <w:r w:rsidR="00B91928" w:rsidRPr="00136AF4">
        <w:rPr>
          <w:rFonts w:ascii="Arial" w:hAnsi="Arial" w:cs="Arial"/>
          <w:sz w:val="20"/>
        </w:rPr>
        <w:t xml:space="preserve">no operational inconsistency </w:t>
      </w:r>
      <w:r w:rsidR="00B91928" w:rsidRPr="00136AF4">
        <w:rPr>
          <w:rFonts w:ascii="Arial" w:hAnsi="Arial" w:cs="Arial"/>
          <w:sz w:val="20"/>
        </w:rPr>
        <w:lastRenderedPageBreak/>
        <w:t xml:space="preserve">between the State law and </w:t>
      </w:r>
      <w:r w:rsidR="00EE3BE0">
        <w:rPr>
          <w:rFonts w:ascii="Arial" w:hAnsi="Arial" w:cs="Arial"/>
          <w:sz w:val="20"/>
        </w:rPr>
        <w:t xml:space="preserve">the </w:t>
      </w:r>
      <w:r w:rsidR="00B91928" w:rsidRPr="00136AF4">
        <w:rPr>
          <w:rFonts w:ascii="Arial" w:hAnsi="Arial" w:cs="Arial"/>
          <w:sz w:val="20"/>
        </w:rPr>
        <w:t>Commonwealth law</w:t>
      </w:r>
      <w:r w:rsidR="00B91928">
        <w:rPr>
          <w:rFonts w:ascii="Arial" w:hAnsi="Arial" w:cs="Arial"/>
          <w:sz w:val="20"/>
        </w:rPr>
        <w:t>. In the course of her judgment her Honour summarised the a</w:t>
      </w:r>
      <w:r w:rsidR="00B91928" w:rsidRPr="00B91928">
        <w:rPr>
          <w:rFonts w:ascii="Arial" w:hAnsi="Arial" w:cs="Arial"/>
          <w:sz w:val="20"/>
        </w:rPr>
        <w:t xml:space="preserve">pplicable legal principles </w:t>
      </w:r>
      <w:r w:rsidR="00B91928">
        <w:rPr>
          <w:rFonts w:ascii="Arial" w:hAnsi="Arial" w:cs="Arial"/>
          <w:sz w:val="20"/>
        </w:rPr>
        <w:t>in</w:t>
      </w:r>
      <w:r w:rsidR="00B91928" w:rsidRPr="00B91928">
        <w:rPr>
          <w:rFonts w:ascii="Arial" w:hAnsi="Arial" w:cs="Arial"/>
          <w:sz w:val="20"/>
        </w:rPr>
        <w:t xml:space="preserve"> determining statutory inconsistency</w:t>
      </w:r>
      <w:r w:rsidR="00B91928">
        <w:rPr>
          <w:rFonts w:ascii="Arial" w:hAnsi="Arial" w:cs="Arial"/>
          <w:sz w:val="20"/>
        </w:rPr>
        <w:t xml:space="preserve"> at [31]-[3</w:t>
      </w:r>
      <w:r w:rsidR="002C0660">
        <w:rPr>
          <w:rFonts w:ascii="Arial" w:hAnsi="Arial" w:cs="Arial"/>
          <w:sz w:val="20"/>
        </w:rPr>
        <w:t>4</w:t>
      </w:r>
      <w:r w:rsidR="00B91928">
        <w:rPr>
          <w:rFonts w:ascii="Arial" w:hAnsi="Arial" w:cs="Arial"/>
          <w:sz w:val="20"/>
        </w:rPr>
        <w:t>] as follows:</w:t>
      </w:r>
    </w:p>
    <w:p w14:paraId="70CAB8E5" w14:textId="77777777" w:rsidR="00B91928" w:rsidRDefault="00136AF4" w:rsidP="00136AF4">
      <w:pPr>
        <w:spacing w:before="60"/>
        <w:ind w:left="567" w:right="567"/>
        <w:jc w:val="both"/>
        <w:rPr>
          <w:rFonts w:ascii="Arial" w:hAnsi="Arial" w:cs="Arial"/>
          <w:sz w:val="20"/>
        </w:rPr>
      </w:pPr>
      <w:r>
        <w:rPr>
          <w:rFonts w:ascii="Arial" w:hAnsi="Arial" w:cs="Arial"/>
          <w:sz w:val="20"/>
        </w:rPr>
        <w:t>[31] “</w:t>
      </w:r>
      <w:r w:rsidRPr="00136AF4">
        <w:rPr>
          <w:rFonts w:ascii="Arial" w:hAnsi="Arial" w:cs="Arial"/>
          <w:sz w:val="20"/>
        </w:rPr>
        <w:t xml:space="preserve">Section 109 of the Constitution provides that: </w:t>
      </w:r>
    </w:p>
    <w:p w14:paraId="209F636A" w14:textId="71194075" w:rsidR="00136AF4" w:rsidRPr="00B91928" w:rsidRDefault="00136AF4" w:rsidP="00B91928">
      <w:pPr>
        <w:spacing w:before="60"/>
        <w:ind w:left="1021" w:right="1021"/>
        <w:jc w:val="both"/>
        <w:rPr>
          <w:rFonts w:ascii="Arial" w:hAnsi="Arial" w:cs="Arial"/>
          <w:sz w:val="18"/>
          <w:szCs w:val="22"/>
        </w:rPr>
      </w:pPr>
      <w:r w:rsidRPr="00B91928">
        <w:rPr>
          <w:rFonts w:ascii="Arial" w:hAnsi="Arial" w:cs="Arial"/>
          <w:sz w:val="18"/>
          <w:szCs w:val="22"/>
        </w:rPr>
        <w:t>When a law of the State is inconsistent with a law of the Commonwealth, the latter shall prevail, and the former shall, to the extent of the inconsistency, be invalid.</w:t>
      </w:r>
    </w:p>
    <w:p w14:paraId="02F7CD0D" w14:textId="4F9E3812" w:rsidR="00136AF4" w:rsidRDefault="00136AF4" w:rsidP="00136AF4">
      <w:pPr>
        <w:spacing w:before="60"/>
        <w:ind w:left="567" w:right="567"/>
        <w:jc w:val="both"/>
        <w:rPr>
          <w:rFonts w:ascii="Arial" w:hAnsi="Arial" w:cs="Arial"/>
          <w:sz w:val="20"/>
        </w:rPr>
      </w:pPr>
      <w:r>
        <w:rPr>
          <w:rFonts w:ascii="Arial" w:hAnsi="Arial" w:cs="Arial"/>
          <w:sz w:val="20"/>
        </w:rPr>
        <w:t xml:space="preserve">[32] </w:t>
      </w:r>
      <w:r w:rsidRPr="00136AF4">
        <w:rPr>
          <w:rFonts w:ascii="Arial" w:hAnsi="Arial" w:cs="Arial"/>
          <w:sz w:val="20"/>
        </w:rPr>
        <w:t>The starting point for the Court is to construe the relevant Commonwealth and State statutes having regard to their subject matter, scope and purpose in accordance with orthodox principles of statutory construction</w:t>
      </w:r>
      <w:r w:rsidR="00B91928">
        <w:rPr>
          <w:rFonts w:ascii="Arial" w:hAnsi="Arial" w:cs="Arial"/>
          <w:sz w:val="20"/>
        </w:rPr>
        <w:t xml:space="preserve">: </w:t>
      </w:r>
      <w:r w:rsidR="00B91928" w:rsidRPr="00B91928">
        <w:rPr>
          <w:rFonts w:ascii="Arial" w:hAnsi="Arial" w:cs="Arial"/>
          <w:i/>
          <w:iCs/>
          <w:sz w:val="20"/>
        </w:rPr>
        <w:t>P v P</w:t>
      </w:r>
      <w:r w:rsidR="00B91928" w:rsidRPr="00136AF4">
        <w:rPr>
          <w:rFonts w:ascii="Arial" w:hAnsi="Arial" w:cs="Arial"/>
          <w:sz w:val="20"/>
        </w:rPr>
        <w:t xml:space="preserve"> (1994) 181 CLR 583, 601</w:t>
      </w:r>
      <w:r w:rsidR="00B91928">
        <w:rPr>
          <w:rFonts w:ascii="Arial" w:hAnsi="Arial" w:cs="Arial"/>
          <w:sz w:val="20"/>
        </w:rPr>
        <w:t>.</w:t>
      </w:r>
    </w:p>
    <w:p w14:paraId="49A07724" w14:textId="482705E9" w:rsidR="00136AF4" w:rsidRDefault="00136AF4" w:rsidP="00136AF4">
      <w:pPr>
        <w:spacing w:before="60"/>
        <w:ind w:left="567" w:right="567"/>
        <w:jc w:val="both"/>
        <w:rPr>
          <w:rFonts w:ascii="Arial" w:hAnsi="Arial" w:cs="Arial"/>
          <w:sz w:val="20"/>
        </w:rPr>
      </w:pPr>
      <w:r>
        <w:rPr>
          <w:rFonts w:ascii="Arial" w:hAnsi="Arial" w:cs="Arial"/>
          <w:sz w:val="20"/>
        </w:rPr>
        <w:t xml:space="preserve">[33] </w:t>
      </w:r>
      <w:r w:rsidRPr="00136AF4">
        <w:rPr>
          <w:rFonts w:ascii="Arial" w:hAnsi="Arial" w:cs="Arial"/>
          <w:sz w:val="20"/>
        </w:rPr>
        <w:t>A relevant inconsistency will arise when a State law, if valid, would alter, impair or detract from the operation of a law of the Commonwealth</w:t>
      </w:r>
      <w:r w:rsidR="00B91928">
        <w:rPr>
          <w:rFonts w:ascii="Arial" w:hAnsi="Arial" w:cs="Arial"/>
          <w:sz w:val="20"/>
        </w:rPr>
        <w:t xml:space="preserve">: </w:t>
      </w:r>
      <w:r w:rsidR="00B91928" w:rsidRPr="00B91928">
        <w:rPr>
          <w:rFonts w:ascii="Arial" w:hAnsi="Arial" w:cs="Arial"/>
          <w:i/>
          <w:iCs/>
          <w:sz w:val="20"/>
        </w:rPr>
        <w:t>Victoria v Commonwealth</w:t>
      </w:r>
      <w:r w:rsidR="00B91928" w:rsidRPr="00136AF4">
        <w:rPr>
          <w:rFonts w:ascii="Arial" w:hAnsi="Arial" w:cs="Arial"/>
          <w:sz w:val="20"/>
        </w:rPr>
        <w:t xml:space="preserve"> (1937) 58 CLR 618, 630 per Dixon J; approved and confirmed as a relevant test to apply in </w:t>
      </w:r>
      <w:r w:rsidR="00B91928" w:rsidRPr="00B91928">
        <w:rPr>
          <w:rFonts w:ascii="Arial" w:hAnsi="Arial" w:cs="Arial"/>
          <w:i/>
          <w:iCs/>
          <w:sz w:val="20"/>
        </w:rPr>
        <w:t>Telstra Corporation Ltd v Worthing</w:t>
      </w:r>
      <w:r w:rsidR="00B91928" w:rsidRPr="00136AF4">
        <w:rPr>
          <w:rFonts w:ascii="Arial" w:hAnsi="Arial" w:cs="Arial"/>
          <w:sz w:val="20"/>
        </w:rPr>
        <w:t xml:space="preserve"> (1999) 197 CLR 61, 76 [28]</w:t>
      </w:r>
      <w:r w:rsidRPr="00136AF4">
        <w:rPr>
          <w:rFonts w:ascii="Arial" w:hAnsi="Arial" w:cs="Arial"/>
          <w:sz w:val="20"/>
        </w:rPr>
        <w:t>. This is known as ‘direct’ inconsistency, which is the form of inconsistency that 1559HS argues for.</w:t>
      </w:r>
    </w:p>
    <w:p w14:paraId="3AB9C1F6" w14:textId="5F1CDB85" w:rsidR="00136AF4" w:rsidRDefault="00136AF4" w:rsidP="00136AF4">
      <w:pPr>
        <w:spacing w:before="60"/>
        <w:ind w:left="567" w:right="567"/>
        <w:jc w:val="both"/>
        <w:rPr>
          <w:rFonts w:ascii="Arial" w:hAnsi="Arial" w:cs="Arial"/>
          <w:sz w:val="20"/>
        </w:rPr>
      </w:pPr>
      <w:r>
        <w:rPr>
          <w:rFonts w:ascii="Arial" w:hAnsi="Arial" w:cs="Arial"/>
          <w:sz w:val="20"/>
        </w:rPr>
        <w:t xml:space="preserve">[34] </w:t>
      </w:r>
      <w:r w:rsidRPr="00136AF4">
        <w:rPr>
          <w:rFonts w:ascii="Arial" w:hAnsi="Arial" w:cs="Arial"/>
          <w:sz w:val="20"/>
        </w:rPr>
        <w:t>The following principles apply when assessing whether there is direct inconsistency:</w:t>
      </w:r>
    </w:p>
    <w:p w14:paraId="35C2D707" w14:textId="7A4D4E27" w:rsidR="00136AF4" w:rsidRDefault="00B91928" w:rsidP="00B85CFD">
      <w:pPr>
        <w:spacing w:before="60"/>
        <w:ind w:left="1321" w:right="567" w:hanging="357"/>
        <w:jc w:val="both"/>
        <w:rPr>
          <w:rFonts w:ascii="Arial" w:hAnsi="Arial" w:cs="Arial"/>
          <w:sz w:val="20"/>
        </w:rPr>
      </w:pPr>
      <w:r>
        <w:rPr>
          <w:rFonts w:ascii="Arial" w:hAnsi="Arial" w:cs="Arial"/>
          <w:sz w:val="20"/>
        </w:rPr>
        <w:t>(a)</w:t>
      </w:r>
      <w:r w:rsidR="00B85CFD">
        <w:rPr>
          <w:rFonts w:ascii="Arial" w:hAnsi="Arial" w:cs="Arial"/>
          <w:sz w:val="20"/>
        </w:rPr>
        <w:tab/>
        <w:t>A</w:t>
      </w:r>
      <w:r w:rsidR="00B85CFD" w:rsidRPr="00136AF4">
        <w:rPr>
          <w:rFonts w:ascii="Arial" w:hAnsi="Arial" w:cs="Arial"/>
          <w:sz w:val="20"/>
        </w:rPr>
        <w:t>ny alteration, impairment or detraction must “be significant and non-trivial”, which is a question of fact and degree</w:t>
      </w:r>
      <w:r w:rsidR="00B85CFD">
        <w:rPr>
          <w:rFonts w:ascii="Arial" w:hAnsi="Arial" w:cs="Arial"/>
          <w:sz w:val="20"/>
        </w:rPr>
        <w:t xml:space="preserve">: </w:t>
      </w:r>
      <w:r w:rsidR="00B85CFD" w:rsidRPr="00B85CFD">
        <w:rPr>
          <w:rFonts w:ascii="Arial" w:hAnsi="Arial" w:cs="Arial"/>
          <w:i/>
          <w:iCs/>
          <w:sz w:val="20"/>
        </w:rPr>
        <w:t>Bell Group NV (in liq) v Western Australia</w:t>
      </w:r>
      <w:r w:rsidR="00B85CFD" w:rsidRPr="00136AF4">
        <w:rPr>
          <w:rFonts w:ascii="Arial" w:hAnsi="Arial" w:cs="Arial"/>
          <w:sz w:val="20"/>
        </w:rPr>
        <w:t xml:space="preserve"> (2016) 260 CLR 500, 521 [52], citing </w:t>
      </w:r>
      <w:r w:rsidR="00B85CFD" w:rsidRPr="00B85CFD">
        <w:rPr>
          <w:rFonts w:ascii="Arial" w:hAnsi="Arial" w:cs="Arial"/>
          <w:i/>
          <w:iCs/>
          <w:sz w:val="20"/>
        </w:rPr>
        <w:t>Jemena Asset Management (3) Pty Ltd v Coinvest Ltd</w:t>
      </w:r>
      <w:r w:rsidR="00B85CFD" w:rsidRPr="00136AF4">
        <w:rPr>
          <w:rFonts w:ascii="Arial" w:hAnsi="Arial" w:cs="Arial"/>
          <w:sz w:val="20"/>
        </w:rPr>
        <w:t xml:space="preserve"> (2011) 244 CLR 508, 525 [41]. See also </w:t>
      </w:r>
      <w:r w:rsidR="00B85CFD" w:rsidRPr="00B85CFD">
        <w:rPr>
          <w:rFonts w:ascii="Arial" w:hAnsi="Arial" w:cs="Arial"/>
          <w:i/>
          <w:iCs/>
          <w:sz w:val="20"/>
        </w:rPr>
        <w:t>Burns v Corbett</w:t>
      </w:r>
      <w:r w:rsidR="00B85CFD" w:rsidRPr="00136AF4">
        <w:rPr>
          <w:rFonts w:ascii="Arial" w:hAnsi="Arial" w:cs="Arial"/>
          <w:sz w:val="20"/>
        </w:rPr>
        <w:t xml:space="preserve"> (2018) 265 CLR 304, 389 [190].</w:t>
      </w:r>
    </w:p>
    <w:p w14:paraId="078E0CCC" w14:textId="065C052C" w:rsidR="00B85CFD" w:rsidRDefault="00B85CFD" w:rsidP="00B85CFD">
      <w:pPr>
        <w:spacing w:before="60"/>
        <w:ind w:left="1321" w:right="567" w:hanging="357"/>
        <w:jc w:val="both"/>
        <w:rPr>
          <w:rFonts w:ascii="Arial" w:hAnsi="Arial" w:cs="Arial"/>
          <w:sz w:val="20"/>
        </w:rPr>
      </w:pPr>
      <w:r>
        <w:rPr>
          <w:rFonts w:ascii="Arial" w:hAnsi="Arial" w:cs="Arial"/>
          <w:sz w:val="20"/>
        </w:rPr>
        <w:t>(b)</w:t>
      </w:r>
      <w:r>
        <w:rPr>
          <w:rFonts w:ascii="Arial" w:hAnsi="Arial" w:cs="Arial"/>
          <w:sz w:val="20"/>
        </w:rPr>
        <w:tab/>
      </w:r>
      <w:r w:rsidRPr="00136AF4">
        <w:rPr>
          <w:rFonts w:ascii="Arial" w:hAnsi="Arial" w:cs="Arial"/>
          <w:sz w:val="20"/>
        </w:rPr>
        <w:t>It is necessary to consider the practical effect of both the State law and the Commonwealth la</w:t>
      </w:r>
      <w:r>
        <w:rPr>
          <w:rFonts w:ascii="Arial" w:hAnsi="Arial" w:cs="Arial"/>
          <w:sz w:val="20"/>
        </w:rPr>
        <w:t xml:space="preserve">w: </w:t>
      </w:r>
      <w:r w:rsidRPr="00B85CFD">
        <w:rPr>
          <w:rFonts w:ascii="Arial" w:hAnsi="Arial" w:cs="Arial"/>
          <w:i/>
          <w:iCs/>
          <w:sz w:val="20"/>
        </w:rPr>
        <w:t>APLA Ltd v Legal Services Commissioner</w:t>
      </w:r>
      <w:r w:rsidRPr="00136AF4">
        <w:rPr>
          <w:rFonts w:ascii="Arial" w:hAnsi="Arial" w:cs="Arial"/>
          <w:sz w:val="20"/>
        </w:rPr>
        <w:t xml:space="preserve"> (2005) 224 CLR 322 at 399 [203]; </w:t>
      </w:r>
      <w:r w:rsidRPr="00B85CFD">
        <w:rPr>
          <w:rFonts w:ascii="Arial" w:hAnsi="Arial" w:cs="Arial"/>
          <w:i/>
          <w:iCs/>
          <w:sz w:val="20"/>
        </w:rPr>
        <w:t>Bell Group NV (In Liq) v Western Australia</w:t>
      </w:r>
      <w:r w:rsidRPr="00136AF4">
        <w:rPr>
          <w:rFonts w:ascii="Arial" w:hAnsi="Arial" w:cs="Arial"/>
          <w:sz w:val="20"/>
        </w:rPr>
        <w:t xml:space="preserve"> (2016) 260 CLR 500 at 521 [51]; </w:t>
      </w:r>
      <w:r w:rsidRPr="00B85CFD">
        <w:rPr>
          <w:rFonts w:ascii="Arial" w:hAnsi="Arial" w:cs="Arial"/>
          <w:i/>
          <w:iCs/>
          <w:sz w:val="20"/>
        </w:rPr>
        <w:t>Bitannia Pty Ltd v Parkline Constructions Pty Ltd</w:t>
      </w:r>
      <w:r w:rsidRPr="00136AF4">
        <w:rPr>
          <w:rFonts w:ascii="Arial" w:hAnsi="Arial" w:cs="Arial"/>
          <w:sz w:val="20"/>
        </w:rPr>
        <w:t xml:space="preserve"> [2006] NSWCA 238, [115]; </w:t>
      </w:r>
      <w:r w:rsidRPr="00B85CFD">
        <w:rPr>
          <w:rFonts w:ascii="Arial" w:hAnsi="Arial" w:cs="Arial"/>
          <w:i/>
          <w:iCs/>
          <w:sz w:val="20"/>
        </w:rPr>
        <w:t>Façade Treatment Engineering Pty Ltd (in liq) v Brookfield Multiplex Constructions Pty Ltd</w:t>
      </w:r>
      <w:r w:rsidRPr="00136AF4">
        <w:rPr>
          <w:rFonts w:ascii="Arial" w:hAnsi="Arial" w:cs="Arial"/>
          <w:sz w:val="20"/>
        </w:rPr>
        <w:t xml:space="preserve"> [2016] ) 337 ALR 452, 462 [41].</w:t>
      </w:r>
    </w:p>
    <w:p w14:paraId="769593A6" w14:textId="71E93C9F" w:rsidR="00B85CFD" w:rsidRDefault="00B85CFD" w:rsidP="00B85CFD">
      <w:pPr>
        <w:spacing w:before="60"/>
        <w:ind w:left="1321" w:right="567" w:hanging="357"/>
        <w:jc w:val="both"/>
        <w:rPr>
          <w:rFonts w:ascii="Arial" w:hAnsi="Arial" w:cs="Arial"/>
          <w:sz w:val="20"/>
        </w:rPr>
      </w:pPr>
      <w:r>
        <w:rPr>
          <w:rFonts w:ascii="Arial" w:hAnsi="Arial" w:cs="Arial"/>
          <w:sz w:val="20"/>
        </w:rPr>
        <w:t>(c)</w:t>
      </w:r>
      <w:r>
        <w:rPr>
          <w:rFonts w:ascii="Arial" w:hAnsi="Arial" w:cs="Arial"/>
          <w:sz w:val="20"/>
        </w:rPr>
        <w:tab/>
      </w:r>
      <w:r w:rsidRPr="00136AF4">
        <w:rPr>
          <w:rFonts w:ascii="Arial" w:hAnsi="Arial" w:cs="Arial"/>
          <w:sz w:val="20"/>
        </w:rPr>
        <w:t>Another way of characterising direct inconsistency is where the State law takes away, varies or impairs the enjoyment of rights created by the Commonwealth law</w:t>
      </w:r>
      <w:r>
        <w:rPr>
          <w:rFonts w:ascii="Arial" w:hAnsi="Arial" w:cs="Arial"/>
          <w:sz w:val="20"/>
        </w:rPr>
        <w:t xml:space="preserve">: </w:t>
      </w:r>
      <w:r w:rsidRPr="00B85CFD">
        <w:rPr>
          <w:rFonts w:ascii="Arial" w:hAnsi="Arial" w:cs="Arial"/>
          <w:i/>
          <w:iCs/>
          <w:sz w:val="20"/>
        </w:rPr>
        <w:t>Clyde Engineering Co Ltd v Cowburn</w:t>
      </w:r>
      <w:r w:rsidRPr="00136AF4">
        <w:rPr>
          <w:rFonts w:ascii="Arial" w:hAnsi="Arial" w:cs="Arial"/>
          <w:sz w:val="20"/>
        </w:rPr>
        <w:t xml:space="preserve"> (1926) 37 CLR 466, 478; </w:t>
      </w:r>
      <w:r w:rsidRPr="00B85CFD">
        <w:rPr>
          <w:rFonts w:ascii="Arial" w:hAnsi="Arial" w:cs="Arial"/>
          <w:i/>
          <w:iCs/>
          <w:sz w:val="20"/>
        </w:rPr>
        <w:t>Telstra Corporation Ltd v Worthing</w:t>
      </w:r>
      <w:r w:rsidRPr="00136AF4">
        <w:rPr>
          <w:rFonts w:ascii="Arial" w:hAnsi="Arial" w:cs="Arial"/>
          <w:sz w:val="20"/>
        </w:rPr>
        <w:t xml:space="preserve"> (1999) 197 CLR 61 at 78 [32]. See also </w:t>
      </w:r>
      <w:r w:rsidRPr="00B85CFD">
        <w:rPr>
          <w:rFonts w:ascii="Arial" w:hAnsi="Arial" w:cs="Arial"/>
          <w:i/>
          <w:iCs/>
          <w:sz w:val="20"/>
        </w:rPr>
        <w:t>Stock Motor Ploughs Ltd v Forsyth</w:t>
      </w:r>
      <w:r w:rsidRPr="00136AF4">
        <w:rPr>
          <w:rFonts w:ascii="Arial" w:hAnsi="Arial" w:cs="Arial"/>
          <w:sz w:val="20"/>
        </w:rPr>
        <w:t xml:space="preserve"> (1932) 48 CLR 128, 136 (where Dixon J said a law that would “</w:t>
      </w:r>
      <w:r w:rsidRPr="00B85CFD">
        <w:rPr>
          <w:rFonts w:ascii="Arial" w:hAnsi="Arial" w:cs="Arial"/>
          <w:i/>
          <w:iCs/>
          <w:sz w:val="20"/>
        </w:rPr>
        <w:t>impair the enjoyment of</w:t>
      </w:r>
      <w:r w:rsidRPr="00136AF4">
        <w:rPr>
          <w:rFonts w:ascii="Arial" w:hAnsi="Arial" w:cs="Arial"/>
          <w:sz w:val="20"/>
        </w:rPr>
        <w:t xml:space="preserve">” a right created by Commonwealth legislation would be invalid); </w:t>
      </w:r>
      <w:r w:rsidRPr="00B85CFD">
        <w:rPr>
          <w:rFonts w:ascii="Arial" w:hAnsi="Arial" w:cs="Arial"/>
          <w:i/>
          <w:iCs/>
          <w:sz w:val="20"/>
        </w:rPr>
        <w:t>Dao v Australian Postal Commission</w:t>
      </w:r>
      <w:r w:rsidRPr="00136AF4">
        <w:rPr>
          <w:rFonts w:ascii="Arial" w:hAnsi="Arial" w:cs="Arial"/>
          <w:sz w:val="20"/>
        </w:rPr>
        <w:t xml:space="preserve"> (1987) 162</w:t>
      </w:r>
      <w:r>
        <w:rPr>
          <w:rFonts w:ascii="Arial" w:hAnsi="Arial" w:cs="Arial"/>
          <w:sz w:val="20"/>
        </w:rPr>
        <w:t xml:space="preserve"> </w:t>
      </w:r>
      <w:r w:rsidRPr="00B85CFD">
        <w:rPr>
          <w:rFonts w:ascii="Arial" w:hAnsi="Arial" w:cs="Arial"/>
          <w:sz w:val="20"/>
        </w:rPr>
        <w:t xml:space="preserve">CLR 317, 335; </w:t>
      </w:r>
      <w:r w:rsidRPr="00B85CFD">
        <w:rPr>
          <w:rFonts w:ascii="Arial" w:hAnsi="Arial" w:cs="Arial"/>
          <w:i/>
          <w:iCs/>
          <w:sz w:val="20"/>
        </w:rPr>
        <w:t>Western Australia v Ward</w:t>
      </w:r>
      <w:r w:rsidRPr="00B85CFD">
        <w:rPr>
          <w:rFonts w:ascii="Arial" w:hAnsi="Arial" w:cs="Arial"/>
          <w:sz w:val="20"/>
        </w:rPr>
        <w:t xml:space="preserve"> (2002) 213 CLR 1, 288 [667]-[668].</w:t>
      </w:r>
      <w:r>
        <w:rPr>
          <w:rFonts w:ascii="Arial" w:hAnsi="Arial" w:cs="Arial"/>
          <w:sz w:val="20"/>
        </w:rPr>
        <w:t>”</w:t>
      </w:r>
    </w:p>
    <w:p w14:paraId="54E503B1" w14:textId="77777777" w:rsidR="00136AF4" w:rsidRDefault="00136AF4" w:rsidP="00641166">
      <w:pPr>
        <w:jc w:val="both"/>
        <w:rPr>
          <w:rFonts w:ascii="Arial" w:hAnsi="Arial" w:cs="Arial"/>
          <w:sz w:val="20"/>
        </w:rPr>
      </w:pPr>
    </w:p>
    <w:p w14:paraId="6B94D085" w14:textId="1140F13A" w:rsidR="00AA1ABD" w:rsidRDefault="00AA1ABD" w:rsidP="00641166">
      <w:pPr>
        <w:jc w:val="both"/>
        <w:rPr>
          <w:rFonts w:ascii="Arial" w:hAnsi="Arial" w:cs="Arial"/>
          <w:sz w:val="20"/>
        </w:rPr>
      </w:pPr>
      <w:bookmarkStart w:id="899" w:name="_Hlk202161676"/>
      <w:r>
        <w:rPr>
          <w:rFonts w:ascii="Arial" w:hAnsi="Arial" w:cs="Arial"/>
          <w:sz w:val="20"/>
        </w:rPr>
        <w:t xml:space="preserve">As to the use of extrinsic materials </w:t>
      </w:r>
      <w:r w:rsidR="000631D5">
        <w:rPr>
          <w:rFonts w:ascii="Arial" w:hAnsi="Arial" w:cs="Arial"/>
          <w:sz w:val="20"/>
        </w:rPr>
        <w:t xml:space="preserve">in construing Commonwealth legislation – and in particular the operation of s.15AA of the </w:t>
      </w:r>
      <w:r w:rsidR="000631D5" w:rsidRPr="000631D5">
        <w:rPr>
          <w:rFonts w:ascii="Arial" w:hAnsi="Arial" w:cs="Arial"/>
          <w:i/>
          <w:iCs/>
          <w:sz w:val="20"/>
        </w:rPr>
        <w:t>Acts Interpretation Act 1901</w:t>
      </w:r>
      <w:r w:rsidR="000631D5">
        <w:rPr>
          <w:rFonts w:ascii="Arial" w:hAnsi="Arial" w:cs="Arial"/>
          <w:sz w:val="20"/>
        </w:rPr>
        <w:t xml:space="preserve"> (Cth) – see the judgment of Gordon J in </w:t>
      </w:r>
      <w:bookmarkStart w:id="900" w:name="_Hlk202161568"/>
      <w:r w:rsidR="000631D5" w:rsidRPr="000631D5">
        <w:rPr>
          <w:rFonts w:ascii="Arial" w:hAnsi="Arial" w:cs="Arial"/>
          <w:i/>
          <w:iCs/>
          <w:sz w:val="20"/>
        </w:rPr>
        <w:t>Ravbar v Commonwealth of Australia</w:t>
      </w:r>
      <w:r w:rsidR="000631D5" w:rsidRPr="000631D5">
        <w:rPr>
          <w:rFonts w:ascii="Arial" w:hAnsi="Arial" w:cs="Arial"/>
          <w:sz w:val="20"/>
        </w:rPr>
        <w:t xml:space="preserve"> [2025] HCA 25</w:t>
      </w:r>
      <w:r w:rsidR="000631D5">
        <w:rPr>
          <w:rFonts w:ascii="Arial" w:hAnsi="Arial" w:cs="Arial"/>
          <w:sz w:val="20"/>
        </w:rPr>
        <w:t xml:space="preserve"> at [118]-[121]</w:t>
      </w:r>
      <w:bookmarkEnd w:id="900"/>
      <w:r w:rsidR="000631D5">
        <w:rPr>
          <w:rFonts w:ascii="Arial" w:hAnsi="Arial" w:cs="Arial"/>
          <w:sz w:val="20"/>
        </w:rPr>
        <w:t>.</w:t>
      </w:r>
      <w:bookmarkEnd w:id="899"/>
    </w:p>
    <w:p w14:paraId="456D7886" w14:textId="77777777" w:rsidR="00AA1ABD" w:rsidRDefault="00AA1ABD" w:rsidP="00641166">
      <w:pPr>
        <w:jc w:val="both"/>
        <w:rPr>
          <w:rFonts w:ascii="Arial" w:hAnsi="Arial" w:cs="Arial"/>
          <w:sz w:val="20"/>
        </w:rPr>
      </w:pPr>
    </w:p>
    <w:bookmarkEnd w:id="898"/>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0D19FEE0" w:rsidR="00641166" w:rsidRPr="00836E86" w:rsidRDefault="00641166" w:rsidP="00641166">
      <w:pPr>
        <w:rPr>
          <w:rFonts w:ascii="Arial" w:hAnsi="Arial" w:cs="Arial"/>
          <w:sz w:val="20"/>
        </w:rPr>
      </w:pPr>
    </w:p>
    <w:p w14:paraId="0D9358EE" w14:textId="6056BB09"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901" w:name="_3.7_Judgments_-"/>
      <w:bookmarkStart w:id="902" w:name="B37"/>
      <w:bookmarkEnd w:id="901"/>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00A01EEC">
        <w:rPr>
          <w:rFonts w:ascii="Arial" w:hAnsi="Arial" w:cs="Arial"/>
          <w:b/>
          <w:bCs/>
        </w:rPr>
        <w:t xml:space="preserve"> &amp; Orders</w:t>
      </w:r>
      <w:bookmarkEnd w:id="894"/>
    </w:p>
    <w:bookmarkEnd w:id="902"/>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903" w:name="_3.7.1_Explanation_&amp;"/>
      <w:bookmarkStart w:id="904" w:name="B371"/>
      <w:bookmarkStart w:id="905" w:name="_Toc30652642"/>
      <w:bookmarkStart w:id="906" w:name="_Toc30652740"/>
      <w:bookmarkStart w:id="907" w:name="_Toc30654085"/>
      <w:bookmarkStart w:id="908" w:name="_Toc30654436"/>
      <w:bookmarkStart w:id="909" w:name="_Toc30655055"/>
      <w:bookmarkStart w:id="910" w:name="_Toc30655312"/>
      <w:bookmarkStart w:id="911" w:name="_Toc30656990"/>
      <w:bookmarkStart w:id="912" w:name="_Toc30661739"/>
      <w:bookmarkStart w:id="913" w:name="_Toc30666427"/>
      <w:bookmarkStart w:id="914" w:name="_Toc30666657"/>
      <w:bookmarkStart w:id="915" w:name="_Toc30667832"/>
      <w:bookmarkStart w:id="916" w:name="_Toc30669210"/>
      <w:bookmarkStart w:id="917" w:name="_Toc30671426"/>
      <w:bookmarkStart w:id="918" w:name="_Toc30673953"/>
      <w:bookmarkStart w:id="919" w:name="_Toc30691175"/>
      <w:bookmarkStart w:id="920" w:name="_Toc30691546"/>
      <w:bookmarkStart w:id="921" w:name="_Toc30691926"/>
      <w:bookmarkStart w:id="922" w:name="_Toc30692685"/>
      <w:bookmarkStart w:id="923" w:name="_Toc30693064"/>
      <w:bookmarkStart w:id="924" w:name="_Toc30693442"/>
      <w:bookmarkStart w:id="925" w:name="_Toc30693821"/>
      <w:bookmarkStart w:id="926" w:name="_Toc30694202"/>
      <w:bookmarkStart w:id="927" w:name="_Toc30698791"/>
      <w:bookmarkStart w:id="928" w:name="_Toc30699169"/>
      <w:bookmarkStart w:id="929" w:name="_Toc30699554"/>
      <w:bookmarkStart w:id="930" w:name="_Toc30700709"/>
      <w:bookmarkStart w:id="931" w:name="_Toc30701096"/>
      <w:bookmarkStart w:id="932" w:name="_Toc30743705"/>
      <w:bookmarkStart w:id="933" w:name="_Toc30754527"/>
      <w:bookmarkStart w:id="934" w:name="_Toc30756967"/>
      <w:bookmarkStart w:id="935" w:name="_Toc30757516"/>
      <w:bookmarkStart w:id="936" w:name="_Toc30757916"/>
      <w:bookmarkStart w:id="937" w:name="_Toc30762677"/>
      <w:bookmarkStart w:id="938" w:name="_Toc30767331"/>
      <w:bookmarkStart w:id="939" w:name="_Toc34823347"/>
      <w:bookmarkStart w:id="940" w:name="_Toc58831508"/>
      <w:bookmarkEnd w:id="903"/>
      <w:bookmarkEnd w:id="904"/>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71CB8AA9" w14:textId="77777777" w:rsidR="00697117" w:rsidRPr="000B509C" w:rsidRDefault="00697117" w:rsidP="00697117">
      <w:pPr>
        <w:jc w:val="both"/>
        <w:rPr>
          <w:rFonts w:ascii="Arial" w:hAnsi="Arial" w:cs="Arial"/>
          <w:sz w:val="20"/>
        </w:rPr>
      </w:pPr>
    </w:p>
    <w:p w14:paraId="28937A52" w14:textId="77777777" w:rsidR="00697117" w:rsidRDefault="00697117" w:rsidP="00697117">
      <w:pPr>
        <w:jc w:val="both"/>
        <w:rPr>
          <w:rFonts w:ascii="Arial" w:hAnsi="Arial" w:cs="Arial"/>
          <w:sz w:val="20"/>
        </w:rPr>
      </w:pPr>
      <w:r>
        <w:rPr>
          <w:rFonts w:ascii="Arial" w:hAnsi="Arial" w:cs="Arial"/>
          <w:sz w:val="20"/>
        </w:rPr>
        <w:t>Neither the explanation given of an order nor the statement of reasons for an order is part of the order [s.527(10)].  The explanation given of an order is not part of the reasons for the order [s.527(11)].</w:t>
      </w:r>
    </w:p>
    <w:p w14:paraId="3CC85842" w14:textId="77777777" w:rsidR="00697117" w:rsidRDefault="00697117" w:rsidP="00697117">
      <w:pPr>
        <w:jc w:val="both"/>
        <w:rPr>
          <w:rFonts w:ascii="Arial" w:hAnsi="Arial" w:cs="Arial"/>
          <w:sz w:val="20"/>
        </w:rPr>
      </w:pPr>
    </w:p>
    <w:p w14:paraId="6CEEA5DA" w14:textId="77777777" w:rsidR="00697117" w:rsidRDefault="00697117" w:rsidP="00697117">
      <w:pPr>
        <w:jc w:val="both"/>
        <w:rPr>
          <w:rFonts w:ascii="Arial" w:hAnsi="Arial" w:cs="Arial"/>
          <w:sz w:val="20"/>
        </w:rPr>
      </w:pPr>
      <w:r>
        <w:rPr>
          <w:rFonts w:ascii="Arial" w:hAnsi="Arial" w:cs="Arial"/>
          <w:sz w:val="20"/>
        </w:rPr>
        <w:t>Section 527(12) of the CYFA provides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075F7D65" w14:textId="77777777" w:rsidR="00697117" w:rsidRDefault="00697117">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made this decision after considering who you both are, what you both need and things like your education, happiness and your welfare. I have decided you need each other </w:t>
      </w:r>
      <w:r w:rsidRPr="00243264">
        <w:rPr>
          <w:rFonts w:ascii="Arial" w:hAnsi="Arial" w:cs="Arial"/>
          <w:sz w:val="20"/>
          <w:szCs w:val="20"/>
        </w:rPr>
        <w:lastRenderedPageBreak/>
        <w:t>–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2A2E6156" w14:textId="77777777" w:rsidR="000B509C" w:rsidRDefault="000B509C">
      <w:pPr>
        <w:jc w:val="both"/>
        <w:rPr>
          <w:rFonts w:ascii="Arial" w:hAnsi="Arial" w:cs="Arial"/>
          <w:sz w:val="20"/>
        </w:rPr>
      </w:pPr>
      <w:bookmarkStart w:id="941" w:name="_Hlk192072288"/>
    </w:p>
    <w:p w14:paraId="66142A43" w14:textId="084B0FFD" w:rsidR="00956431" w:rsidRPr="000E21E7" w:rsidRDefault="00956431" w:rsidP="00956431">
      <w:pPr>
        <w:jc w:val="both"/>
        <w:rPr>
          <w:rFonts w:ascii="Arial" w:hAnsi="Arial" w:cs="Arial"/>
          <w:sz w:val="20"/>
        </w:rPr>
      </w:pPr>
      <w:r>
        <w:rPr>
          <w:rFonts w:ascii="Arial" w:hAnsi="Arial" w:cs="Arial"/>
          <w:sz w:val="20"/>
        </w:rPr>
        <w:t xml:space="preserve">A document published </w:t>
      </w:r>
      <w:r w:rsidR="005A2535">
        <w:rPr>
          <w:rFonts w:ascii="Arial" w:hAnsi="Arial" w:cs="Arial"/>
          <w:sz w:val="20"/>
        </w:rPr>
        <w:t xml:space="preserve">jointly </w:t>
      </w:r>
      <w:r>
        <w:rPr>
          <w:rFonts w:ascii="Arial" w:hAnsi="Arial" w:cs="Arial"/>
          <w:sz w:val="20"/>
        </w:rPr>
        <w:t>by the President of the U</w:t>
      </w:r>
      <w:r w:rsidR="005A2535">
        <w:rPr>
          <w:rFonts w:ascii="Arial" w:hAnsi="Arial" w:cs="Arial"/>
          <w:sz w:val="20"/>
        </w:rPr>
        <w:t xml:space="preserve">nited </w:t>
      </w:r>
      <w:r>
        <w:rPr>
          <w:rFonts w:ascii="Arial" w:hAnsi="Arial" w:cs="Arial"/>
          <w:sz w:val="20"/>
        </w:rPr>
        <w:t>K</w:t>
      </w:r>
      <w:r w:rsidR="005A2535">
        <w:rPr>
          <w:rFonts w:ascii="Arial" w:hAnsi="Arial" w:cs="Arial"/>
          <w:sz w:val="20"/>
        </w:rPr>
        <w:t>ingdom</w:t>
      </w:r>
      <w:r>
        <w:rPr>
          <w:rFonts w:ascii="Arial" w:hAnsi="Arial" w:cs="Arial"/>
          <w:sz w:val="20"/>
        </w:rPr>
        <w:t xml:space="preserve"> Family Division </w:t>
      </w:r>
      <w:r w:rsidR="005A2535">
        <w:rPr>
          <w:rFonts w:ascii="Arial" w:hAnsi="Arial" w:cs="Arial"/>
          <w:sz w:val="20"/>
        </w:rPr>
        <w:t xml:space="preserve">and the United Kingdom </w:t>
      </w:r>
      <w:r w:rsidR="005A2535" w:rsidRPr="005A2535">
        <w:rPr>
          <w:rFonts w:ascii="Arial" w:hAnsi="Arial" w:cs="Arial"/>
          <w:sz w:val="20"/>
        </w:rPr>
        <w:t>Family Justice Young People’s Board</w:t>
      </w:r>
      <w:r w:rsidR="005A2535">
        <w:rPr>
          <w:rFonts w:ascii="Arial" w:hAnsi="Arial" w:cs="Arial"/>
          <w:sz w:val="20"/>
        </w:rPr>
        <w:t xml:space="preserve"> </w:t>
      </w:r>
      <w:r>
        <w:rPr>
          <w:rFonts w:ascii="Arial" w:hAnsi="Arial" w:cs="Arial"/>
          <w:sz w:val="20"/>
        </w:rPr>
        <w:t xml:space="preserve">on 26/02/2025 providing guidance on </w:t>
      </w:r>
      <w:r w:rsidR="000E21E7">
        <w:rPr>
          <w:rFonts w:ascii="Arial" w:hAnsi="Arial" w:cs="Arial"/>
          <w:sz w:val="20"/>
        </w:rPr>
        <w:t>‘when, why and how’ to write to children in family court proceedings</w:t>
      </w:r>
      <w:r>
        <w:rPr>
          <w:rFonts w:ascii="Arial" w:hAnsi="Arial" w:cs="Arial"/>
          <w:sz w:val="20"/>
        </w:rPr>
        <w:t xml:space="preserve"> can be downloaded by clicking </w:t>
      </w:r>
      <w:hyperlink r:id="rId52" w:tgtFrame="_blank" w:history="1">
        <w:r w:rsidRPr="000E21E7">
          <w:rPr>
            <w:rStyle w:val="Hyperlink"/>
            <w:rFonts w:ascii="Arial" w:hAnsi="Arial" w:cs="Arial"/>
            <w:sz w:val="20"/>
          </w:rPr>
          <w:t>here</w:t>
        </w:r>
      </w:hyperlink>
      <w:r>
        <w:rPr>
          <w:rFonts w:ascii="Arial" w:hAnsi="Arial" w:cs="Arial"/>
          <w:sz w:val="20"/>
        </w:rPr>
        <w:t>.</w:t>
      </w:r>
    </w:p>
    <w:bookmarkEnd w:id="941"/>
    <w:p w14:paraId="058190B1" w14:textId="77777777" w:rsidR="000E21E7" w:rsidRDefault="000E21E7">
      <w:pPr>
        <w:jc w:val="both"/>
        <w:rPr>
          <w:rFonts w:ascii="Arial" w:hAnsi="Arial" w:cs="Arial"/>
          <w:sz w:val="20"/>
        </w:rPr>
      </w:pPr>
    </w:p>
    <w:p w14:paraId="67962181" w14:textId="71355BC6" w:rsidR="00C43FFB" w:rsidRDefault="00C43FFB">
      <w:pPr>
        <w:jc w:val="both"/>
        <w:rPr>
          <w:rFonts w:ascii="Arial" w:hAnsi="Arial" w:cs="Arial"/>
          <w:sz w:val="20"/>
        </w:rPr>
      </w:pPr>
      <w:r>
        <w:rPr>
          <w:rFonts w:ascii="Arial" w:hAnsi="Arial" w:cs="Arial"/>
          <w:sz w:val="20"/>
        </w:rPr>
        <w:t xml:space="preserve">A further example of a letter written by a judge to a child is to be found in </w:t>
      </w:r>
      <w:hyperlink r:id="rId53" w:history="1">
        <w:r w:rsidRPr="00027ADD">
          <w:rPr>
            <w:rStyle w:val="Hyperlink"/>
            <w:rFonts w:ascii="Arial" w:hAnsi="Arial" w:cs="Arial"/>
            <w:i/>
            <w:iCs/>
            <w:sz w:val="20"/>
          </w:rPr>
          <w:t>PAR v SJF</w:t>
        </w:r>
      </w:hyperlink>
      <w:r>
        <w:rPr>
          <w:rFonts w:ascii="Arial" w:hAnsi="Arial" w:cs="Arial"/>
          <w:sz w:val="20"/>
        </w:rPr>
        <w:t xml:space="preserve"> [2025] NZHC 2148. The primary issue on </w:t>
      </w:r>
      <w:r w:rsidR="00CE2600">
        <w:rPr>
          <w:rFonts w:ascii="Arial" w:hAnsi="Arial" w:cs="Arial"/>
          <w:sz w:val="20"/>
        </w:rPr>
        <w:t xml:space="preserve">the </w:t>
      </w:r>
      <w:r>
        <w:rPr>
          <w:rFonts w:ascii="Arial" w:hAnsi="Arial" w:cs="Arial"/>
          <w:sz w:val="20"/>
        </w:rPr>
        <w:t xml:space="preserve">appeal was whether the boy’s voice was properly taken into account </w:t>
      </w:r>
      <w:r w:rsidR="00725F31">
        <w:rPr>
          <w:rFonts w:ascii="Arial" w:hAnsi="Arial" w:cs="Arial"/>
          <w:sz w:val="20"/>
        </w:rPr>
        <w:t>by</w:t>
      </w:r>
      <w:r>
        <w:rPr>
          <w:rFonts w:ascii="Arial" w:hAnsi="Arial" w:cs="Arial"/>
          <w:sz w:val="20"/>
        </w:rPr>
        <w:t xml:space="preserve"> the Family Court </w:t>
      </w:r>
      <w:r w:rsidR="00725F31">
        <w:rPr>
          <w:rFonts w:ascii="Arial" w:hAnsi="Arial" w:cs="Arial"/>
          <w:sz w:val="20"/>
        </w:rPr>
        <w:t xml:space="preserve">in making an interim parenting </w:t>
      </w:r>
      <w:r>
        <w:rPr>
          <w:rFonts w:ascii="Arial" w:hAnsi="Arial" w:cs="Arial"/>
          <w:sz w:val="20"/>
        </w:rPr>
        <w:t>order that he live overseas with his father and his other two siblings. The boy now clearly expressed the view that he want</w:t>
      </w:r>
      <w:r w:rsidR="00725F31">
        <w:rPr>
          <w:rFonts w:ascii="Arial" w:hAnsi="Arial" w:cs="Arial"/>
          <w:sz w:val="20"/>
        </w:rPr>
        <w:t>ed</w:t>
      </w:r>
      <w:r>
        <w:rPr>
          <w:rFonts w:ascii="Arial" w:hAnsi="Arial" w:cs="Arial"/>
          <w:sz w:val="20"/>
        </w:rPr>
        <w:t xml:space="preserve"> to live in New Zealand. It was eventually agreed by the parties that the boy would live in </w:t>
      </w:r>
      <w:r w:rsidR="00725F31">
        <w:rPr>
          <w:rFonts w:ascii="Arial" w:hAnsi="Arial" w:cs="Arial"/>
          <w:sz w:val="20"/>
        </w:rPr>
        <w:t>N</w:t>
      </w:r>
      <w:r>
        <w:rPr>
          <w:rFonts w:ascii="Arial" w:hAnsi="Arial" w:cs="Arial"/>
          <w:sz w:val="20"/>
        </w:rPr>
        <w:t xml:space="preserve">ew </w:t>
      </w:r>
      <w:r w:rsidR="00725F31">
        <w:rPr>
          <w:rFonts w:ascii="Arial" w:hAnsi="Arial" w:cs="Arial"/>
          <w:sz w:val="20"/>
        </w:rPr>
        <w:t>Zealand until the final resolution of the parenting matters. No agreement on some of the details being reached, Justice Becroft made the ultimate decision and recorded his judgment in the form of a letter to the 14½ year old boy whom his Honour had met prior to the hearing commencing.</w:t>
      </w:r>
    </w:p>
    <w:p w14:paraId="39662160" w14:textId="77777777" w:rsidR="00C43FFB" w:rsidRDefault="00C43FFB">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42" w:name="_3.7.2_Provision_of"/>
      <w:bookmarkEnd w:id="942"/>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43" w:name="_3.7.2_Judgments"/>
      <w:bookmarkStart w:id="944" w:name="B372"/>
      <w:bookmarkStart w:id="945" w:name="_Toc58831510"/>
      <w:bookmarkEnd w:id="943"/>
      <w:bookmarkEnd w:id="944"/>
      <w:r>
        <w:rPr>
          <w:rFonts w:ascii="Arial" w:hAnsi="Arial" w:cs="Arial"/>
          <w:b/>
          <w:bCs/>
          <w:sz w:val="20"/>
        </w:rPr>
        <w:lastRenderedPageBreak/>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45"/>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Heydon JA.</w:t>
      </w:r>
    </w:p>
    <w:p w14:paraId="3F12960C" w14:textId="77777777" w:rsidR="002B29D9" w:rsidRDefault="002B29D9">
      <w:pPr>
        <w:jc w:val="both"/>
        <w:rPr>
          <w:rFonts w:ascii="Arial" w:hAnsi="Arial" w:cs="Arial"/>
          <w:sz w:val="20"/>
        </w:rPr>
      </w:pPr>
    </w:p>
    <w:p w14:paraId="41DA561C" w14:textId="54BE8A48" w:rsidR="00B21DA4" w:rsidRDefault="00B21DA4">
      <w:pPr>
        <w:jc w:val="both"/>
        <w:rPr>
          <w:rFonts w:ascii="Arial" w:hAnsi="Arial" w:cs="Arial"/>
          <w:sz w:val="20"/>
        </w:rPr>
      </w:pPr>
      <w:r>
        <w:rPr>
          <w:rFonts w:ascii="Arial" w:hAnsi="Arial" w:cs="Arial"/>
          <w:sz w:val="20"/>
        </w:rPr>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w:t>
      </w:r>
      <w:r w:rsidR="00FD5F44" w:rsidRPr="00A31FFA">
        <w:rPr>
          <w:rFonts w:ascii="Arial" w:hAnsi="Arial" w:cs="Arial"/>
          <w:sz w:val="20"/>
        </w:rPr>
        <w:t>–</w:t>
      </w:r>
      <w:r>
        <w:rPr>
          <w:rFonts w:ascii="Arial" w:hAnsi="Arial" w:cs="Arial"/>
          <w:sz w:val="20"/>
        </w:rPr>
        <w:t xml:space="preserve">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Murray Goulburn Coop Co Limited v Filliponi</w:t>
      </w:r>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r w:rsidRPr="00F018D1">
        <w:rPr>
          <w:rFonts w:ascii="Arial" w:hAnsi="Arial" w:cs="Arial"/>
          <w:i/>
          <w:sz w:val="20"/>
        </w:rPr>
        <w:t>Allsmanti Pty Ltd v Ernikiolis</w:t>
      </w:r>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Mutual Cleaning &amp; Maintenance Pty Ltd v Stamboulakis</w:t>
      </w:r>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[2006] VSCA 48 at [65], again emphasised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2866D334"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w:t>
      </w:r>
      <w:r w:rsidR="00B21DA4">
        <w:rPr>
          <w:rFonts w:ascii="Arial" w:hAnsi="Arial" w:cs="Arial"/>
          <w:sz w:val="20"/>
        </w:rPr>
        <w:lastRenderedPageBreak/>
        <w:t xml:space="preserve">the order, most such judgments are reserved.  From time to time in the Family Division the interests of justice </w:t>
      </w:r>
      <w:r w:rsidR="00FD5F44" w:rsidRPr="00A31FFA">
        <w:rPr>
          <w:rFonts w:ascii="Arial" w:hAnsi="Arial" w:cs="Arial"/>
          <w:sz w:val="20"/>
        </w:rPr>
        <w:t>–</w:t>
      </w:r>
      <w:r w:rsidR="00B21DA4">
        <w:rPr>
          <w:rFonts w:ascii="Arial" w:hAnsi="Arial" w:cs="Arial"/>
          <w:sz w:val="20"/>
        </w:rPr>
        <w:t xml:space="preserve"> and in particular the interests of the child </w:t>
      </w:r>
      <w:r w:rsidR="00FD5F44" w:rsidRPr="00A31FFA">
        <w:rPr>
          <w:rFonts w:ascii="Arial" w:hAnsi="Arial" w:cs="Arial"/>
          <w:sz w:val="20"/>
        </w:rPr>
        <w:t>–</w:t>
      </w:r>
      <w:r w:rsidR="00B21DA4">
        <w:rPr>
          <w:rFonts w:ascii="Arial" w:hAnsi="Arial" w:cs="Arial"/>
          <w:sz w:val="20"/>
        </w:rPr>
        <w:t xml:space="preserve">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State">
        <w:smartTag w:uri="urn:schemas-microsoft-com:office:smarttags" w:element="plac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r>
        <w:rPr>
          <w:rFonts w:ascii="Arial" w:hAnsi="Arial" w:cs="Arial"/>
          <w:i/>
          <w:sz w:val="20"/>
        </w:rPr>
        <w:t xml:space="preserve">Soulemezis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r>
        <w:rPr>
          <w:rFonts w:ascii="Arial" w:hAnsi="Arial" w:cs="Arial"/>
          <w:i/>
          <w:iCs/>
          <w:sz w:val="20"/>
        </w:rPr>
        <w:t>Yendall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r>
        <w:rPr>
          <w:rFonts w:ascii="Arial" w:hAnsi="Arial" w:cs="Arial"/>
          <w:i/>
          <w:iCs/>
          <w:sz w:val="20"/>
        </w:rPr>
        <w:t xml:space="preserve">Soulemezis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w:t>
      </w:r>
      <w:r>
        <w:rPr>
          <w:rFonts w:ascii="Arial" w:hAnsi="Arial" w:cs="Arial"/>
          <w:color w:val="000000"/>
          <w:sz w:val="20"/>
        </w:rPr>
        <w:lastRenderedPageBreak/>
        <w:t xml:space="preserve">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46" w:name="_Toc30608810"/>
      <w:bookmarkStart w:id="947" w:name="_Toc30610024"/>
      <w:bookmarkStart w:id="948" w:name="_Toc30610268"/>
      <w:bookmarkStart w:id="949" w:name="_Toc30638422"/>
      <w:bookmarkStart w:id="950" w:name="_Toc30644231"/>
      <w:bookmarkStart w:id="951" w:name="_Toc30644634"/>
      <w:bookmarkStart w:id="952" w:name="_Toc30645184"/>
      <w:bookmarkStart w:id="953" w:name="_Toc30646395"/>
      <w:bookmarkStart w:id="954" w:name="_Toc30646690"/>
      <w:bookmarkStart w:id="955" w:name="_Toc30646801"/>
      <w:bookmarkStart w:id="956" w:name="_Toc30648158"/>
      <w:bookmarkStart w:id="957" w:name="_Toc30649056"/>
      <w:bookmarkStart w:id="958" w:name="_Toc30649132"/>
      <w:bookmarkStart w:id="959" w:name="_Toc30649393"/>
      <w:bookmarkStart w:id="960" w:name="_Toc30649718"/>
      <w:bookmarkStart w:id="961" w:name="_Toc30651658"/>
      <w:bookmarkStart w:id="962" w:name="_Toc30652644"/>
      <w:bookmarkStart w:id="963" w:name="_Toc30652742"/>
      <w:bookmarkStart w:id="964" w:name="_Toc30654087"/>
      <w:bookmarkStart w:id="965" w:name="_Toc30654438"/>
      <w:bookmarkStart w:id="966" w:name="_Toc30655057"/>
      <w:bookmarkStart w:id="967" w:name="_Toc30655314"/>
      <w:bookmarkStart w:id="968" w:name="_Toc30656992"/>
      <w:bookmarkStart w:id="969" w:name="_Toc30661741"/>
      <w:bookmarkStart w:id="970" w:name="_Toc30666429"/>
      <w:bookmarkStart w:id="971" w:name="_Toc30666659"/>
      <w:bookmarkStart w:id="972" w:name="_Toc30667834"/>
      <w:bookmarkStart w:id="973" w:name="_Toc30669212"/>
      <w:bookmarkStart w:id="974" w:name="_Toc30671428"/>
      <w:bookmarkStart w:id="975" w:name="_Toc30673955"/>
      <w:bookmarkStart w:id="976" w:name="_Toc30691177"/>
      <w:bookmarkStart w:id="977" w:name="_Toc30691548"/>
      <w:bookmarkStart w:id="978" w:name="_Toc30691928"/>
      <w:bookmarkStart w:id="979" w:name="_Toc30692687"/>
      <w:bookmarkStart w:id="980" w:name="_Toc30693066"/>
      <w:bookmarkStart w:id="981" w:name="_Toc30693444"/>
      <w:bookmarkStart w:id="982" w:name="_Toc30693823"/>
      <w:bookmarkStart w:id="983" w:name="_Toc30694204"/>
      <w:bookmarkStart w:id="984" w:name="_Toc30698793"/>
      <w:bookmarkStart w:id="985" w:name="_Toc30699171"/>
      <w:bookmarkStart w:id="986" w:name="_Toc30699556"/>
      <w:bookmarkStart w:id="987" w:name="_Toc30700711"/>
      <w:bookmarkStart w:id="988" w:name="_Toc30701098"/>
      <w:bookmarkStart w:id="989" w:name="_Toc30743707"/>
      <w:bookmarkStart w:id="990" w:name="_Toc30754529"/>
      <w:bookmarkStart w:id="991" w:name="_Toc30756969"/>
      <w:bookmarkStart w:id="992" w:name="_Toc30757518"/>
      <w:bookmarkStart w:id="993" w:name="_Toc30757918"/>
      <w:bookmarkStart w:id="994" w:name="_Toc30762679"/>
      <w:bookmarkStart w:id="995" w:name="_Toc30767333"/>
      <w:bookmarkStart w:id="996" w:name="_Toc34823349"/>
      <w:bookmarkStart w:id="997"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t>“</w:t>
      </w:r>
      <w:r w:rsidRPr="001E2974">
        <w:rPr>
          <w:rFonts w:ascii="Arial" w:hAnsi="Arial" w:cs="Arial"/>
          <w:sz w:val="20"/>
          <w:szCs w:val="20"/>
        </w:rPr>
        <w:t>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Environment Inc v VicForests</w:t>
      </w:r>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r w:rsidRPr="001C1A52">
        <w:rPr>
          <w:rFonts w:ascii="Arial" w:eastAsia="Book Antiqua" w:hAnsi="Arial" w:cs="Arial"/>
          <w:i/>
          <w:sz w:val="20"/>
          <w:szCs w:val="20"/>
        </w:rPr>
        <w:t xml:space="preserve">Bedeux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r w:rsidR="004A50B3" w:rsidRPr="004A50B3">
        <w:rPr>
          <w:rFonts w:ascii="Arial" w:eastAsia="Book Antiqua" w:hAnsi="Arial" w:cs="Arial"/>
          <w:i/>
          <w:sz w:val="20"/>
          <w:szCs w:val="20"/>
        </w:rPr>
        <w:t>Soulemezis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 xml:space="preserve">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w:t>
      </w:r>
      <w:r w:rsidRPr="004A50B3">
        <w:rPr>
          <w:rFonts w:ascii="Arial" w:hAnsi="Arial" w:cs="Arial"/>
          <w:sz w:val="20"/>
          <w:szCs w:val="20"/>
        </w:rPr>
        <w:lastRenderedPageBreak/>
        <w:t>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Brent London BC v Aniedobe</w:t>
      </w:r>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place">
        <w:smartTag w:uri="urn:schemas-microsoft-com:office:smarttags" w:element="City">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r w:rsidRPr="00986720">
        <w:rPr>
          <w:rFonts w:ascii="Arial" w:hAnsi="Arial" w:cs="Arial"/>
          <w:i/>
          <w:color w:val="000000"/>
          <w:sz w:val="20"/>
          <w:szCs w:val="20"/>
        </w:rPr>
        <w:t xml:space="preserve">Snibson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w:t>
      </w:r>
      <w:r w:rsidRPr="00986720">
        <w:rPr>
          <w:rFonts w:ascii="Arial" w:hAnsi="Arial" w:cs="Arial"/>
          <w:color w:val="000000"/>
          <w:sz w:val="20"/>
          <w:szCs w:val="20"/>
        </w:rPr>
        <w:lastRenderedPageBreak/>
        <w:t>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[100] …The key problem, however, is not that key issues were not addressed.  Rather, it is that those issues were not expressly and coherently brought together, but were left partly to inference.  This manner of providing reasons is unsatisfactory and should be avoided by 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r w:rsidRPr="00501614">
        <w:rPr>
          <w:rFonts w:ascii="Arial" w:hAnsi="Arial" w:cs="Arial"/>
          <w:color w:val="000000"/>
          <w:sz w:val="20"/>
        </w:rPr>
        <w:t>lthough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r w:rsidRPr="00721C88">
        <w:rPr>
          <w:rFonts w:ascii="Arial" w:hAnsi="Arial" w:cs="Arial"/>
          <w:i/>
          <w:iCs/>
          <w:color w:val="000000"/>
          <w:sz w:val="20"/>
        </w:rPr>
        <w:t>Karabagias v Katopodis</w:t>
      </w:r>
      <w:r>
        <w:rPr>
          <w:rFonts w:ascii="Arial" w:hAnsi="Arial" w:cs="Arial"/>
          <w:color w:val="000000"/>
          <w:sz w:val="20"/>
        </w:rPr>
        <w:t xml:space="preserve"> [2022] VSCA 191 the </w:t>
      </w:r>
      <w:r w:rsidR="0037342E">
        <w:rPr>
          <w:rFonts w:ascii="Arial" w:hAnsi="Arial" w:cs="Arial"/>
          <w:color w:val="000000"/>
          <w:sz w:val="20"/>
        </w:rPr>
        <w:t>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Sifris,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r w:rsidRPr="0037342E">
        <w:rPr>
          <w:rFonts w:ascii="Arial" w:hAnsi="Arial" w:cs="Arial"/>
          <w:i/>
          <w:iCs/>
          <w:sz w:val="20"/>
          <w:szCs w:val="20"/>
        </w:rPr>
        <w:t>Wainohu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r w:rsidR="003553EF" w:rsidRPr="006042EB">
        <w:rPr>
          <w:rFonts w:ascii="Arial" w:hAnsi="Arial" w:cs="Arial"/>
          <w:i/>
          <w:iCs/>
          <w:sz w:val="20"/>
          <w:szCs w:val="20"/>
        </w:rPr>
        <w:t>Wainohu</w:t>
      </w:r>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r w:rsidRPr="00E03D48">
        <w:rPr>
          <w:rFonts w:ascii="Arial" w:hAnsi="Arial" w:cs="Arial"/>
          <w:i/>
          <w:iCs/>
          <w:sz w:val="20"/>
          <w:szCs w:val="20"/>
        </w:rPr>
        <w:t>Intertransport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w:t>
      </w:r>
      <w:r w:rsidRPr="0037342E">
        <w:rPr>
          <w:rFonts w:ascii="Arial" w:hAnsi="Arial" w:cs="Arial"/>
          <w:sz w:val="20"/>
          <w:szCs w:val="20"/>
        </w:rPr>
        <w:lastRenderedPageBreak/>
        <w:t xml:space="preserve">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De Iacovo v Lacanale</w:t>
      </w:r>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There are several reasons for this requirement. First, and importantly, the parties, particularly the losing parties, are entitled to know the basis on which the judge came to his or her conclusion, so that consideration can be given to whether the conclusion might be challenged on appeal</w:t>
      </w:r>
      <w:r w:rsidR="006042EB">
        <w:rPr>
          <w:rFonts w:ascii="Arial" w:hAnsi="Arial" w:cs="Arial"/>
          <w:sz w:val="20"/>
          <w:szCs w:val="20"/>
        </w:rPr>
        <w:t xml:space="preserve">: </w:t>
      </w:r>
      <w:r w:rsidR="006042EB" w:rsidRPr="006042EB">
        <w:rPr>
          <w:rFonts w:ascii="Arial" w:hAnsi="Arial" w:cs="Arial"/>
          <w:i/>
          <w:iCs/>
          <w:sz w:val="20"/>
          <w:szCs w:val="20"/>
        </w:rPr>
        <w:t>Intertransport</w:t>
      </w:r>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In that regard, reasons for judgment 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r w:rsidR="002A4DFE" w:rsidRPr="002A4DFE">
        <w:rPr>
          <w:rFonts w:ascii="Arial" w:hAnsi="Arial" w:cs="Arial"/>
          <w:i/>
          <w:iCs/>
          <w:sz w:val="20"/>
          <w:szCs w:val="20"/>
        </w:rPr>
        <w:t>Intertransport</w:t>
      </w:r>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 xml:space="preserve">[W]hile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7953F434"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xml:space="preserve">, the only finding resembling a credit finding was the judge’s statement that she did not accept Georgia’s evidence concerning why she had changed her will in 2020. </w:t>
      </w:r>
      <w:r w:rsidR="001916D0" w:rsidRPr="00E03D48">
        <w:rPr>
          <w:rFonts w:ascii="Arial" w:hAnsi="Arial" w:cs="Arial"/>
          <w:sz w:val="20"/>
          <w:szCs w:val="20"/>
        </w:rPr>
        <w:lastRenderedPageBreak/>
        <w:t>In</w:t>
      </w:r>
      <w:r w:rsidR="00CE2600">
        <w:rPr>
          <w:rFonts w:ascii="Arial" w:hAnsi="Arial" w:cs="Arial"/>
          <w:sz w:val="20"/>
          <w:szCs w:val="20"/>
        </w:rPr>
        <w:t> </w:t>
      </w:r>
      <w:r w:rsidR="001916D0" w:rsidRPr="00E03D48">
        <w:rPr>
          <w:rFonts w:ascii="Arial" w:hAnsi="Arial" w:cs="Arial"/>
          <w:sz w:val="20"/>
          <w:szCs w:val="20"/>
        </w:rPr>
        <w:t>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[51] </w:t>
      </w:r>
      <w:r w:rsidRPr="001916D0">
        <w:rPr>
          <w:rFonts w:ascii="Arial" w:hAnsi="Arial" w:cs="Arial"/>
          <w:i/>
          <w:iCs/>
          <w:sz w:val="20"/>
          <w:szCs w:val="20"/>
        </w:rPr>
        <w:t>Thirdly</w:t>
      </w:r>
      <w:r w:rsidRPr="00E03D48">
        <w:rPr>
          <w:rFonts w:ascii="Arial" w:hAnsi="Arial" w:cs="Arial"/>
          <w:sz w:val="20"/>
          <w:szCs w:val="20"/>
        </w:rPr>
        <w:t>, the judge did not address the various inconsistencies between Georgia’s witness statement and her oral evidence. Those inconsistencies included the following: (a) In her 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r w:rsidRPr="00830595">
        <w:rPr>
          <w:rFonts w:ascii="Arial" w:eastAsia="Book Antiqua" w:hAnsi="Arial" w:cs="Arial"/>
          <w:i/>
          <w:sz w:val="20"/>
          <w:szCs w:val="20"/>
        </w:rPr>
        <w:t>Wainohu v New South Wales</w:t>
      </w:r>
      <w:r w:rsidRPr="00830595">
        <w:rPr>
          <w:rFonts w:ascii="Arial" w:hAnsi="Arial" w:cs="Arial"/>
          <w:sz w:val="20"/>
          <w:szCs w:val="20"/>
        </w:rPr>
        <w:t xml:space="preserve"> (2011) 243 CLR 181, [54]; </w:t>
      </w:r>
      <w:r w:rsidRPr="00830595">
        <w:rPr>
          <w:rFonts w:ascii="Arial" w:eastAsia="Book Antiqua" w:hAnsi="Arial" w:cs="Arial"/>
          <w:i/>
          <w:sz w:val="20"/>
          <w:szCs w:val="20"/>
        </w:rPr>
        <w:t>Karabagias v Katopodis</w:t>
      </w:r>
      <w:r w:rsidRPr="00830595">
        <w:rPr>
          <w:rFonts w:ascii="Arial" w:hAnsi="Arial" w:cs="Arial"/>
          <w:sz w:val="20"/>
          <w:szCs w:val="20"/>
        </w:rPr>
        <w:t xml:space="preserve"> [2022] VSCA 191, [10]; </w:t>
      </w:r>
      <w:r w:rsidRPr="00830595">
        <w:rPr>
          <w:rFonts w:ascii="Arial" w:eastAsia="Book Antiqua" w:hAnsi="Arial" w:cs="Arial"/>
          <w:i/>
          <w:sz w:val="20"/>
          <w:szCs w:val="20"/>
        </w:rPr>
        <w:t>Makeham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w:t>
      </w:r>
      <w:r w:rsidRPr="00830595">
        <w:rPr>
          <w:rFonts w:ascii="Arial" w:hAnsi="Arial" w:cs="Arial"/>
          <w:sz w:val="20"/>
          <w:szCs w:val="20"/>
        </w:rPr>
        <w:lastRenderedPageBreak/>
        <w:t xml:space="preserve">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has been decided in favour or adverse to them. They promote public confidence in the process of decision making and promote accountability of judicial officers. They support 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r w:rsidR="009D2F76" w:rsidRPr="00C9443C">
        <w:rPr>
          <w:rFonts w:ascii="Arial" w:eastAsia="Book Antiqua" w:hAnsi="Arial" w:cs="Arial"/>
          <w:i/>
          <w:sz w:val="20"/>
        </w:rPr>
        <w:t xml:space="preserve">Makeham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lastRenderedPageBreak/>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70B0635D" w14:textId="77777777" w:rsidR="0005560B" w:rsidRDefault="0005560B" w:rsidP="0005560B">
      <w:pPr>
        <w:jc w:val="both"/>
        <w:rPr>
          <w:rFonts w:ascii="Arial" w:hAnsi="Arial" w:cs="Arial"/>
          <w:color w:val="000000"/>
          <w:sz w:val="20"/>
        </w:rPr>
      </w:pPr>
      <w:r>
        <w:rPr>
          <w:rFonts w:ascii="Arial" w:hAnsi="Arial" w:cs="Arial"/>
          <w:color w:val="000000"/>
          <w:sz w:val="20"/>
        </w:rPr>
        <w:t xml:space="preserve">In </w:t>
      </w:r>
      <w:r w:rsidRPr="0005560B">
        <w:rPr>
          <w:rFonts w:ascii="Arial" w:hAnsi="Arial" w:cs="Arial"/>
          <w:i/>
          <w:iCs/>
          <w:color w:val="000000"/>
          <w:sz w:val="20"/>
        </w:rPr>
        <w:t>Korey Caddy v The King</w:t>
      </w:r>
      <w:r>
        <w:rPr>
          <w:rFonts w:ascii="Arial" w:hAnsi="Arial" w:cs="Arial"/>
          <w:color w:val="000000"/>
          <w:sz w:val="20"/>
        </w:rPr>
        <w:t xml:space="preserve"> [2025] VSCA 87 one of the 34 year old applicant’s grounds of appeal against a TES IMP8y/6y for 40 offences including </w:t>
      </w:r>
      <w:r w:rsidRPr="0005560B">
        <w:rPr>
          <w:rFonts w:ascii="Arial" w:hAnsi="Arial" w:cs="Arial"/>
          <w:color w:val="000000"/>
          <w:sz w:val="20"/>
        </w:rPr>
        <w:t xml:space="preserve">arson, theft, burglary, reckless conduct endangering persons and dangerous driving while pursued by police </w:t>
      </w:r>
      <w:r>
        <w:rPr>
          <w:rFonts w:ascii="Arial" w:hAnsi="Arial" w:cs="Arial"/>
          <w:color w:val="000000"/>
          <w:sz w:val="20"/>
        </w:rPr>
        <w:t>was that the sentencing judge had provided insufficient reasons for sentence. In refusing leave to appeal Taylor &amp; T Forrest JJA noted at [38] &amp; [39] that–</w:t>
      </w:r>
    </w:p>
    <w:p w14:paraId="39E0E0B2" w14:textId="77777777" w:rsidR="0005560B" w:rsidRPr="0005560B" w:rsidRDefault="0005560B" w:rsidP="0005560B">
      <w:pPr>
        <w:numPr>
          <w:ilvl w:val="0"/>
          <w:numId w:val="5"/>
        </w:numPr>
        <w:tabs>
          <w:tab w:val="num" w:pos="723"/>
        </w:tabs>
        <w:jc w:val="both"/>
        <w:rPr>
          <w:rFonts w:ascii="Arial" w:hAnsi="Arial" w:cs="Arial"/>
          <w:sz w:val="20"/>
        </w:rPr>
      </w:pPr>
      <w:r>
        <w:rPr>
          <w:rFonts w:ascii="Arial" w:hAnsi="Arial" w:cs="Arial"/>
          <w:sz w:val="20"/>
        </w:rPr>
        <w:t xml:space="preserve">“It is </w:t>
      </w:r>
      <w:r w:rsidRPr="0005560B">
        <w:rPr>
          <w:rFonts w:ascii="Arial" w:hAnsi="Arial" w:cs="Arial"/>
          <w:color w:val="000000"/>
          <w:sz w:val="20"/>
        </w:rPr>
        <w:t>clear that the judge read all of the material that was before her, and by reciting the submissions of the appellant’s counsel which were undisputed by the prosecution, it is clear to us that her Honour took these matters into account.</w:t>
      </w:r>
      <w:r>
        <w:rPr>
          <w:rFonts w:ascii="Arial" w:hAnsi="Arial" w:cs="Arial"/>
          <w:color w:val="000000"/>
          <w:sz w:val="20"/>
        </w:rPr>
        <w:t>”</w:t>
      </w:r>
    </w:p>
    <w:p w14:paraId="0318D486" w14:textId="77777777" w:rsidR="0005560B" w:rsidRDefault="0005560B" w:rsidP="0005560B">
      <w:pPr>
        <w:numPr>
          <w:ilvl w:val="0"/>
          <w:numId w:val="5"/>
        </w:numPr>
        <w:tabs>
          <w:tab w:val="num" w:pos="723"/>
        </w:tabs>
        <w:jc w:val="both"/>
        <w:rPr>
          <w:rFonts w:ascii="Arial" w:hAnsi="Arial" w:cs="Arial"/>
          <w:sz w:val="20"/>
        </w:rPr>
      </w:pPr>
      <w:r>
        <w:rPr>
          <w:rFonts w:ascii="Arial" w:hAnsi="Arial" w:cs="Arial"/>
          <w:sz w:val="20"/>
        </w:rPr>
        <w:t>“</w:t>
      </w:r>
      <w:r w:rsidRPr="0005560B">
        <w:rPr>
          <w:rFonts w:ascii="Arial" w:hAnsi="Arial" w:cs="Arial"/>
          <w:color w:val="000000"/>
          <w:sz w:val="20"/>
        </w:rPr>
        <w:t>Whilst the judge did not specifically say, ‘I take each of these matters into account’, so much is implicit from their context in the sentencing remarks.</w:t>
      </w:r>
      <w:r>
        <w:rPr>
          <w:rFonts w:ascii="Arial" w:hAnsi="Arial" w:cs="Arial"/>
          <w:color w:val="000000"/>
          <w:sz w:val="20"/>
        </w:rPr>
        <w:t>”</w:t>
      </w:r>
    </w:p>
    <w:p w14:paraId="6A9DD392" w14:textId="77777777" w:rsidR="0005560B" w:rsidRDefault="0005560B" w:rsidP="0005560B">
      <w:pPr>
        <w:spacing w:before="60"/>
        <w:jc w:val="both"/>
        <w:rPr>
          <w:rFonts w:ascii="Arial" w:hAnsi="Arial" w:cs="Arial"/>
          <w:color w:val="000000"/>
          <w:sz w:val="20"/>
        </w:rPr>
      </w:pPr>
      <w:r>
        <w:rPr>
          <w:rFonts w:ascii="Arial" w:hAnsi="Arial" w:cs="Arial"/>
          <w:color w:val="000000"/>
          <w:sz w:val="20"/>
        </w:rPr>
        <w:t>Their Honours concluded their discussion of this ground at [42] as follows:</w:t>
      </w:r>
    </w:p>
    <w:p w14:paraId="43CA7F67" w14:textId="77777777" w:rsidR="0005560B" w:rsidRDefault="0005560B" w:rsidP="0005560B">
      <w:pPr>
        <w:spacing w:before="60"/>
        <w:ind w:left="567" w:right="567"/>
        <w:jc w:val="both"/>
        <w:rPr>
          <w:rFonts w:ascii="Arial" w:hAnsi="Arial" w:cs="Arial"/>
          <w:sz w:val="20"/>
        </w:rPr>
      </w:pPr>
      <w:r>
        <w:rPr>
          <w:rFonts w:ascii="Arial" w:hAnsi="Arial" w:cs="Arial"/>
          <w:sz w:val="20"/>
        </w:rPr>
        <w:t>“</w:t>
      </w:r>
      <w:r w:rsidRPr="0005560B">
        <w:rPr>
          <w:rFonts w:ascii="Arial" w:hAnsi="Arial" w:cs="Arial"/>
          <w:color w:val="000000"/>
          <w:sz w:val="20"/>
        </w:rPr>
        <w:t>Before leaving this ground, it would be remiss of us not to record our reservations as to whether an ‘inadequacy of reasons’ ground is an appropriate ground in an appeal of this nature. In view of our conclusion on this ground, it is unnecessary to determine this issue. Nevertheless, we are grateful for counsel’s further research and assistance on it</w:t>
      </w:r>
      <w:r>
        <w:rPr>
          <w:rFonts w:ascii="Arial" w:hAnsi="Arial" w:cs="Arial"/>
          <w:color w:val="000000"/>
          <w:sz w:val="20"/>
        </w:rPr>
        <w:t>: s</w:t>
      </w:r>
      <w:r w:rsidRPr="0005560B">
        <w:rPr>
          <w:rFonts w:ascii="Arial" w:hAnsi="Arial" w:cs="Arial"/>
          <w:color w:val="000000"/>
          <w:sz w:val="20"/>
        </w:rPr>
        <w:t xml:space="preserve">ee, eg, </w:t>
      </w:r>
      <w:r w:rsidRPr="0005560B">
        <w:rPr>
          <w:rFonts w:ascii="Arial" w:hAnsi="Arial" w:cs="Arial"/>
          <w:i/>
          <w:iCs/>
          <w:color w:val="000000"/>
          <w:sz w:val="20"/>
        </w:rPr>
        <w:t>R v Robins</w:t>
      </w:r>
      <w:r w:rsidRPr="0005560B">
        <w:rPr>
          <w:rFonts w:ascii="Arial" w:hAnsi="Arial" w:cs="Arial"/>
          <w:color w:val="000000"/>
          <w:sz w:val="20"/>
        </w:rPr>
        <w:t xml:space="preserve"> [2016] SASFC 55, [20]–[25]; </w:t>
      </w:r>
      <w:r w:rsidRPr="0005560B">
        <w:rPr>
          <w:rFonts w:ascii="Arial" w:hAnsi="Arial" w:cs="Arial"/>
          <w:i/>
          <w:iCs/>
          <w:color w:val="000000"/>
          <w:sz w:val="20"/>
        </w:rPr>
        <w:t>Oatley v Commonwealth Department of Public Prosecutions</w:t>
      </w:r>
      <w:r w:rsidRPr="0005560B">
        <w:rPr>
          <w:rFonts w:ascii="Arial" w:hAnsi="Arial" w:cs="Arial"/>
          <w:color w:val="000000"/>
          <w:sz w:val="20"/>
        </w:rPr>
        <w:t xml:space="preserve"> [2021] SASCA 108, [27]–[29]; </w:t>
      </w:r>
      <w:r w:rsidRPr="0005560B">
        <w:rPr>
          <w:rFonts w:ascii="Arial" w:hAnsi="Arial" w:cs="Arial"/>
          <w:i/>
          <w:iCs/>
          <w:color w:val="000000"/>
          <w:sz w:val="20"/>
        </w:rPr>
        <w:t>R v Davey</w:t>
      </w:r>
      <w:r w:rsidRPr="0005560B">
        <w:rPr>
          <w:rFonts w:ascii="Arial" w:hAnsi="Arial" w:cs="Arial"/>
          <w:color w:val="000000"/>
          <w:sz w:val="20"/>
        </w:rPr>
        <w:t xml:space="preserve"> (2006) 95 SASR 63, 72–3 [36]–[40]; [2006] SASC 177; </w:t>
      </w:r>
      <w:r w:rsidRPr="0005560B">
        <w:rPr>
          <w:rFonts w:ascii="Arial" w:hAnsi="Arial" w:cs="Arial"/>
          <w:i/>
          <w:iCs/>
          <w:color w:val="000000"/>
          <w:sz w:val="20"/>
        </w:rPr>
        <w:t>Cross v Police</w:t>
      </w:r>
      <w:r w:rsidRPr="0005560B">
        <w:rPr>
          <w:rFonts w:ascii="Arial" w:hAnsi="Arial" w:cs="Arial"/>
          <w:color w:val="000000"/>
          <w:sz w:val="20"/>
        </w:rPr>
        <w:t xml:space="preserve"> [2001] SASC 47, [21]–[30]; </w:t>
      </w:r>
      <w:r w:rsidRPr="0005560B">
        <w:rPr>
          <w:rFonts w:ascii="Arial" w:hAnsi="Arial" w:cs="Arial"/>
          <w:i/>
          <w:iCs/>
          <w:color w:val="000000"/>
          <w:sz w:val="20"/>
        </w:rPr>
        <w:t>Makeham v Sheppard</w:t>
      </w:r>
      <w:r w:rsidRPr="0005560B">
        <w:rPr>
          <w:rFonts w:ascii="Arial" w:hAnsi="Arial" w:cs="Arial"/>
          <w:color w:val="000000"/>
          <w:sz w:val="20"/>
        </w:rPr>
        <w:t xml:space="preserve"> [2020] VSCA 242, [77]–[80]; </w:t>
      </w:r>
      <w:r w:rsidRPr="0005560B">
        <w:rPr>
          <w:rFonts w:ascii="Arial" w:hAnsi="Arial" w:cs="Arial"/>
          <w:i/>
          <w:iCs/>
          <w:color w:val="000000"/>
          <w:sz w:val="20"/>
        </w:rPr>
        <w:t>Salmon-Urbani v The Queen</w:t>
      </w:r>
      <w:r w:rsidRPr="0005560B">
        <w:rPr>
          <w:rFonts w:ascii="Arial" w:hAnsi="Arial" w:cs="Arial"/>
          <w:color w:val="000000"/>
          <w:sz w:val="20"/>
        </w:rPr>
        <w:t xml:space="preserve"> [2022] VSCA 170, [48].</w:t>
      </w:r>
      <w:r>
        <w:rPr>
          <w:rFonts w:ascii="Arial" w:hAnsi="Arial" w:cs="Arial"/>
          <w:color w:val="000000"/>
          <w:sz w:val="20"/>
        </w:rPr>
        <w:t>”</w:t>
      </w:r>
    </w:p>
    <w:p w14:paraId="4A866A75" w14:textId="77777777" w:rsidR="0005560B" w:rsidRDefault="0005560B" w:rsidP="0005560B">
      <w:pPr>
        <w:jc w:val="both"/>
        <w:rPr>
          <w:rFonts w:ascii="Arial" w:hAnsi="Arial" w:cs="Arial"/>
          <w:color w:val="000000"/>
          <w:sz w:val="20"/>
        </w:rPr>
      </w:pPr>
    </w:p>
    <w:p w14:paraId="01153A31" w14:textId="14796B6E" w:rsidR="00974565" w:rsidRDefault="001B1B22">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The Royal Dental Hospital of Melbourne v Birsel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Murrundindi</w:t>
      </w:r>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Electronik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esp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esp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r w:rsidR="004C2D7E" w:rsidRPr="002C7A51">
        <w:rPr>
          <w:rFonts w:ascii="Arial" w:hAnsi="Arial" w:cs="Arial"/>
          <w:i/>
          <w:color w:val="000000"/>
          <w:sz w:val="20"/>
          <w:szCs w:val="20"/>
        </w:rPr>
        <w:t xml:space="preserve">Dimatos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Ata Dundar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Celsius Fire Services Pty Ltd v Magistrates’ Court of Victoria &amp; anor</w:t>
      </w:r>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r w:rsidR="00411410" w:rsidRPr="002C7A51">
        <w:rPr>
          <w:rFonts w:ascii="Arial" w:hAnsi="Arial" w:cs="Arial"/>
          <w:i/>
          <w:iCs/>
          <w:color w:val="000000"/>
          <w:sz w:val="20"/>
          <w:szCs w:val="20"/>
        </w:rPr>
        <w:t>Makeham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Cotton On Group Services Pty Ltd v Monica Golowka</w:t>
      </w:r>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r w:rsidR="00275880" w:rsidRPr="00275880">
        <w:rPr>
          <w:rFonts w:ascii="Arial" w:hAnsi="Arial" w:cs="Arial"/>
          <w:i/>
          <w:iCs/>
          <w:sz w:val="20"/>
          <w:szCs w:val="20"/>
        </w:rPr>
        <w:t>Grujovska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Gray v Brimbank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98"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w:t>
      </w:r>
      <w:r w:rsidR="00AA09C8">
        <w:rPr>
          <w:rFonts w:ascii="Arial" w:hAnsi="Arial" w:cs="Arial"/>
          <w:color w:val="000000"/>
          <w:sz w:val="20"/>
          <w:szCs w:val="20"/>
        </w:rPr>
        <w:lastRenderedPageBreak/>
        <w:t>[17]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98"/>
      <w:r w:rsidR="000B6310">
        <w:rPr>
          <w:rFonts w:ascii="Arial" w:hAnsi="Arial" w:cs="Arial"/>
          <w:sz w:val="20"/>
          <w:szCs w:val="20"/>
        </w:rPr>
        <w:t xml:space="preserve">; </w:t>
      </w:r>
      <w:r w:rsidR="000B6310" w:rsidRPr="000B6310">
        <w:rPr>
          <w:rFonts w:ascii="Arial" w:hAnsi="Arial" w:cs="Arial"/>
          <w:i/>
          <w:iCs/>
          <w:sz w:val="20"/>
          <w:szCs w:val="20"/>
        </w:rPr>
        <w:t>Jurd</w:t>
      </w:r>
      <w:r w:rsidR="000B6310">
        <w:rPr>
          <w:rFonts w:ascii="Arial" w:hAnsi="Arial" w:cs="Arial"/>
          <w:i/>
          <w:iCs/>
          <w:sz w:val="20"/>
          <w:szCs w:val="20"/>
        </w:rPr>
        <w:t xml:space="preserve"> v The King</w:t>
      </w:r>
      <w:r w:rsidR="000B6310">
        <w:rPr>
          <w:rFonts w:ascii="Arial" w:hAnsi="Arial" w:cs="Arial"/>
          <w:sz w:val="20"/>
          <w:szCs w:val="20"/>
        </w:rPr>
        <w:t xml:space="preserve"> [2024] VSCA 224 at [50]-[65]</w:t>
      </w:r>
      <w:r w:rsidR="007B602B">
        <w:rPr>
          <w:rFonts w:ascii="Arial" w:hAnsi="Arial" w:cs="Arial"/>
          <w:sz w:val="20"/>
          <w:szCs w:val="20"/>
        </w:rPr>
        <w:t xml:space="preserve">; </w:t>
      </w:r>
      <w:r w:rsidR="007B602B" w:rsidRPr="007B602B">
        <w:rPr>
          <w:rFonts w:ascii="Arial" w:hAnsi="Arial" w:cs="Arial"/>
          <w:i/>
          <w:iCs/>
          <w:color w:val="000000"/>
          <w:sz w:val="20"/>
        </w:rPr>
        <w:t>Cassim v Dahaby &amp; Anor</w:t>
      </w:r>
      <w:r w:rsidR="007B602B" w:rsidRPr="007B602B">
        <w:rPr>
          <w:rFonts w:ascii="Arial" w:hAnsi="Arial" w:cs="Arial"/>
          <w:color w:val="000000"/>
          <w:sz w:val="20"/>
        </w:rPr>
        <w:t xml:space="preserve"> [2025] VSC 26</w:t>
      </w:r>
      <w:r w:rsidR="007B602B">
        <w:rPr>
          <w:rFonts w:ascii="Arial" w:hAnsi="Arial" w:cs="Arial"/>
          <w:color w:val="000000"/>
          <w:sz w:val="20"/>
        </w:rPr>
        <w:t xml:space="preserve"> at [62]-[13</w:t>
      </w:r>
      <w:r w:rsidR="00974565">
        <w:rPr>
          <w:rFonts w:ascii="Arial" w:hAnsi="Arial" w:cs="Arial"/>
          <w:color w:val="000000"/>
          <w:sz w:val="20"/>
        </w:rPr>
        <w:t>5</w:t>
      </w:r>
      <w:r w:rsidR="007B602B">
        <w:rPr>
          <w:rFonts w:ascii="Arial" w:hAnsi="Arial" w:cs="Arial"/>
          <w:color w:val="000000"/>
          <w:sz w:val="20"/>
        </w:rPr>
        <w:t>]</w:t>
      </w:r>
      <w:r w:rsidR="00974565">
        <w:rPr>
          <w:rFonts w:ascii="Arial" w:hAnsi="Arial" w:cs="Arial"/>
          <w:color w:val="000000"/>
          <w:sz w:val="20"/>
        </w:rPr>
        <w:t>.</w:t>
      </w:r>
    </w:p>
    <w:p w14:paraId="341C99E2" w14:textId="77777777" w:rsidR="00974565" w:rsidRPr="007B602B" w:rsidRDefault="00974565">
      <w:pPr>
        <w:jc w:val="both"/>
        <w:rPr>
          <w:rFonts w:ascii="Arial" w:hAnsi="Arial" w:cs="Arial"/>
          <w:color w:val="000000"/>
          <w:sz w:val="20"/>
          <w:szCs w:val="20"/>
        </w:rPr>
      </w:pPr>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1D7939A8" w:rsidR="00757619" w:rsidRDefault="009E2AB9">
      <w:pPr>
        <w:jc w:val="both"/>
        <w:rPr>
          <w:rFonts w:ascii="Arial" w:hAnsi="Arial" w:cs="Arial"/>
          <w:sz w:val="20"/>
        </w:rPr>
      </w:pPr>
      <w:r w:rsidRPr="00986720">
        <w:rPr>
          <w:rFonts w:ascii="Arial" w:hAnsi="Arial" w:cs="Arial"/>
          <w:color w:val="000000"/>
          <w:sz w:val="20"/>
        </w:rPr>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7</w:t>
      </w:r>
      <w:r w:rsidR="00E12660">
        <w:rPr>
          <w:rFonts w:ascii="Arial" w:hAnsi="Arial" w:cs="Arial"/>
          <w:sz w:val="20"/>
        </w:rPr>
        <w:t xml:space="preserve">; (2005) </w:t>
      </w:r>
      <w:r w:rsidR="00E12660" w:rsidRPr="00E12660">
        <w:rPr>
          <w:rFonts w:ascii="Arial" w:hAnsi="Arial" w:cs="Arial"/>
          <w:sz w:val="20"/>
        </w:rPr>
        <w:t>228 CLR 470</w:t>
      </w:r>
      <w:r w:rsidR="00864915">
        <w:rPr>
          <w:rFonts w:ascii="Arial" w:hAnsi="Arial" w:cs="Arial"/>
          <w:sz w:val="20"/>
        </w:rPr>
        <w:t xml:space="preserve">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4B297C6A"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10ED9D55"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w:t>
      </w:r>
      <w:r w:rsidR="00FD5F44" w:rsidRPr="00A31FFA">
        <w:rPr>
          <w:rFonts w:ascii="Arial" w:hAnsi="Arial" w:cs="Arial"/>
          <w:sz w:val="20"/>
        </w:rPr>
        <w:t>–</w:t>
      </w:r>
      <w:r>
        <w:rPr>
          <w:rFonts w:ascii="Arial" w:hAnsi="Arial" w:cs="Arial"/>
          <w:sz w:val="20"/>
        </w:rPr>
        <w:t xml:space="preserve">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lastRenderedPageBreak/>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17BE83B6"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Heydon JJA </w:t>
      </w:r>
      <w:r w:rsidR="00FD5F44" w:rsidRPr="00A31FFA">
        <w:rPr>
          <w:rFonts w:ascii="Arial" w:hAnsi="Arial" w:cs="Arial"/>
          <w:sz w:val="20"/>
        </w:rPr>
        <w:t>–</w:t>
      </w:r>
      <w:r w:rsidR="00B21DA4">
        <w:rPr>
          <w:rFonts w:ascii="Arial" w:hAnsi="Arial" w:cs="Arial"/>
          <w:sz w:val="20"/>
        </w:rPr>
        <w:t xml:space="preserve">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Some time later he prepared full reasons and his associate e-mailed them to the parties.  At [9] the Court of Appeal 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place">
        <w:smartTag w:uri="urn:schemas-microsoft-com:office:smarttags" w:element="Stat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99" w:name="_Toc58831516"/>
    </w:p>
    <w:p w14:paraId="7625129E" w14:textId="09EE6169" w:rsidR="00B21DA4" w:rsidRDefault="00B21DA4">
      <w:pPr>
        <w:pStyle w:val="Heading2"/>
        <w:keepNext/>
        <w:keepLines/>
        <w:tabs>
          <w:tab w:val="left" w:pos="567"/>
        </w:tabs>
        <w:spacing w:line="240" w:lineRule="auto"/>
        <w:rPr>
          <w:rFonts w:ascii="Arial" w:hAnsi="Arial" w:cs="Arial"/>
          <w:b/>
          <w:bCs/>
        </w:rPr>
      </w:pPr>
      <w:bookmarkStart w:id="1000" w:name="_3.8_Amending_judgments"/>
      <w:bookmarkStart w:id="1001" w:name="B38"/>
      <w:bookmarkEnd w:id="1000"/>
      <w:bookmarkEnd w:id="1001"/>
      <w:r>
        <w:rPr>
          <w:rFonts w:ascii="Arial" w:hAnsi="Arial" w:cs="Arial"/>
          <w:b/>
          <w:bCs/>
        </w:rPr>
        <w:t>3.</w:t>
      </w:r>
      <w:r w:rsidR="00AB3569">
        <w:rPr>
          <w:rFonts w:ascii="Arial" w:hAnsi="Arial" w:cs="Arial"/>
          <w:b/>
          <w:bCs/>
        </w:rPr>
        <w:t>8</w:t>
      </w:r>
      <w:r>
        <w:rPr>
          <w:rFonts w:ascii="Arial" w:hAnsi="Arial" w:cs="Arial"/>
          <w:b/>
          <w:bCs/>
        </w:rPr>
        <w:tab/>
        <w:t xml:space="preserve">Amending </w:t>
      </w:r>
      <w:r w:rsidR="00D635CD">
        <w:rPr>
          <w:rFonts w:ascii="Arial" w:hAnsi="Arial" w:cs="Arial"/>
          <w:b/>
          <w:bCs/>
        </w:rPr>
        <w:t xml:space="preserve">a </w:t>
      </w:r>
      <w:r>
        <w:rPr>
          <w:rFonts w:ascii="Arial" w:hAnsi="Arial" w:cs="Arial"/>
          <w:b/>
          <w:bCs/>
        </w:rPr>
        <w:t xml:space="preserve">judgment </w:t>
      </w:r>
      <w:r w:rsidR="00D635CD">
        <w:rPr>
          <w:rFonts w:ascii="Arial" w:hAnsi="Arial" w:cs="Arial"/>
          <w:b/>
          <w:bCs/>
        </w:rPr>
        <w:t xml:space="preserve">/ </w:t>
      </w:r>
      <w:r w:rsidR="005E5DBD">
        <w:rPr>
          <w:rFonts w:ascii="Arial" w:hAnsi="Arial" w:cs="Arial"/>
          <w:b/>
          <w:bCs/>
        </w:rPr>
        <w:t xml:space="preserve">Reopening </w:t>
      </w:r>
      <w:r w:rsidR="00D635CD">
        <w:rPr>
          <w:rFonts w:ascii="Arial" w:hAnsi="Arial" w:cs="Arial"/>
          <w:b/>
          <w:bCs/>
        </w:rPr>
        <w:t xml:space="preserve">a </w:t>
      </w:r>
      <w:r w:rsidR="005E5DBD">
        <w:rPr>
          <w:rFonts w:ascii="Arial" w:hAnsi="Arial" w:cs="Arial"/>
          <w:b/>
          <w:bCs/>
        </w:rPr>
        <w:t>case</w:t>
      </w:r>
      <w:bookmarkEnd w:id="999"/>
    </w:p>
    <w:p w14:paraId="074824CC" w14:textId="77777777" w:rsidR="00B21DA4" w:rsidRDefault="00B21DA4">
      <w:pPr>
        <w:keepNext/>
        <w:keepLines/>
        <w:jc w:val="both"/>
        <w:rPr>
          <w:rFonts w:ascii="Arial" w:hAnsi="Arial" w:cs="Arial"/>
          <w:sz w:val="20"/>
        </w:rPr>
      </w:pPr>
    </w:p>
    <w:p w14:paraId="1FF103FC" w14:textId="3361029F" w:rsidR="00FE777C" w:rsidRDefault="00FE777C" w:rsidP="00FE777C">
      <w:pPr>
        <w:pStyle w:val="Heading3"/>
        <w:keepNext/>
        <w:keepLines/>
        <w:spacing w:after="120" w:line="240" w:lineRule="auto"/>
        <w:rPr>
          <w:rFonts w:ascii="Arial" w:hAnsi="Arial" w:cs="Arial"/>
          <w:b/>
          <w:bCs/>
          <w:sz w:val="20"/>
        </w:rPr>
      </w:pPr>
      <w:bookmarkStart w:id="1002" w:name="_3.8.1_The_‘slip"/>
      <w:bookmarkEnd w:id="1002"/>
      <w:r>
        <w:rPr>
          <w:rFonts w:ascii="Arial" w:hAnsi="Arial" w:cs="Arial"/>
          <w:b/>
          <w:bCs/>
          <w:sz w:val="20"/>
        </w:rPr>
        <w:t>3.8.1</w:t>
      </w:r>
      <w:r>
        <w:rPr>
          <w:rFonts w:ascii="Arial" w:hAnsi="Arial" w:cs="Arial"/>
          <w:b/>
          <w:bCs/>
          <w:sz w:val="20"/>
        </w:rPr>
        <w:tab/>
        <w:t>The ‘slip rule’</w:t>
      </w: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37D6374E" w:rsidR="00206786" w:rsidRDefault="002E72AC" w:rsidP="002E72AC">
      <w:pPr>
        <w:jc w:val="both"/>
        <w:rPr>
          <w:rFonts w:ascii="Arial" w:hAnsi="Arial" w:cs="Arial"/>
          <w:sz w:val="20"/>
        </w:rPr>
      </w:pPr>
      <w:r>
        <w:rPr>
          <w:rFonts w:ascii="Arial" w:hAnsi="Arial" w:cs="Arial"/>
          <w:sz w:val="20"/>
        </w:rPr>
        <w:t>For example, s.412 has been used to enable a sentencing court to</w:t>
      </w:r>
      <w:r w:rsidR="00366998" w:rsidRPr="00A31FFA">
        <w:rPr>
          <w:rFonts w:ascii="Arial" w:hAnsi="Arial" w:cs="Arial"/>
          <w:sz w:val="20"/>
        </w:rPr>
        <w:t>–</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5E7F49F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lastRenderedPageBreak/>
        <w:t>“</w:t>
      </w:r>
      <w:r w:rsidR="00206786" w:rsidRPr="002E72AC">
        <w:rPr>
          <w:rFonts w:ascii="Arial" w:hAnsi="Arial" w:cs="Arial"/>
          <w:sz w:val="20"/>
          <w:szCs w:val="20"/>
          <w:shd w:val="clear" w:color="auto" w:fill="FFFFFF"/>
        </w:rPr>
        <w:t>The judge sought to rely upon </w:t>
      </w:r>
      <w:hyperlink r:id="rId54"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55"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6C1F8183"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w:t>
      </w:r>
      <w:r w:rsidR="00366998" w:rsidRPr="00A31FFA">
        <w:rPr>
          <w:rFonts w:ascii="Arial" w:hAnsi="Arial" w:cs="Arial"/>
          <w:sz w:val="20"/>
        </w:rPr>
        <w:t>–</w:t>
      </w:r>
      <w:r w:rsidR="00B21DA4">
        <w:rPr>
          <w:rFonts w:ascii="Arial" w:hAnsi="Arial" w:cs="Arial"/>
          <w:sz w:val="20"/>
        </w:rPr>
        <w:t xml:space="preserve"> following dicta of the Full Court in </w:t>
      </w:r>
      <w:r w:rsidR="00B21DA4">
        <w:rPr>
          <w:rFonts w:ascii="Arial" w:hAnsi="Arial" w:cs="Arial"/>
          <w:i/>
          <w:iCs/>
          <w:sz w:val="20"/>
        </w:rPr>
        <w:t>Carroll v Price</w:t>
      </w:r>
      <w:r w:rsidR="00B21DA4">
        <w:rPr>
          <w:rFonts w:ascii="Arial" w:hAnsi="Arial" w:cs="Arial"/>
          <w:sz w:val="20"/>
        </w:rPr>
        <w:t xml:space="preserve"> [1960] VR 651 at 657-8 </w:t>
      </w:r>
      <w:r w:rsidR="00366998" w:rsidRPr="00A31FFA">
        <w:rPr>
          <w:rFonts w:ascii="Arial" w:hAnsi="Arial" w:cs="Arial"/>
          <w:sz w:val="20"/>
        </w:rPr>
        <w:t>–</w:t>
      </w:r>
      <w:r w:rsidR="00B21DA4">
        <w:rPr>
          <w:rFonts w:ascii="Arial" w:hAnsi="Arial" w:cs="Arial"/>
          <w:sz w:val="20"/>
        </w:rPr>
        <w:t xml:space="preserve"> said:</w:t>
      </w:r>
    </w:p>
    <w:p w14:paraId="3D71143B" w14:textId="77777777" w:rsidR="00B21DA4" w:rsidRDefault="00B21DA4" w:rsidP="005E5DBD">
      <w:pPr>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court has the power to vary an order so as to carry out its own meaning or to make plain 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Loulatzis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w:t>
      </w:r>
      <w:r>
        <w:rPr>
          <w:rFonts w:ascii="Arial" w:hAnsi="Arial" w:cs="Arial"/>
          <w:sz w:val="20"/>
        </w:rPr>
        <w:lastRenderedPageBreak/>
        <w:t xml:space="preserve">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r>
        <w:rPr>
          <w:rFonts w:ascii="Arial" w:hAnsi="Arial" w:cs="Arial"/>
          <w:i/>
          <w:sz w:val="20"/>
        </w:rPr>
        <w:t>Logwon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Mehmed Skrijel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1003"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place">
        <w:smartTag w:uri="urn:schemas-microsoft-com:office:smarttags" w:element="City">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Vaggelis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1003"/>
    <w:p w14:paraId="6C13AB1C" w14:textId="23533461"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w:t>
      </w:r>
      <w:r w:rsidR="00FE777C">
        <w:rPr>
          <w:rFonts w:ascii="Arial" w:hAnsi="Arial" w:cs="Arial"/>
          <w:color w:val="000000"/>
          <w:sz w:val="20"/>
        </w:rPr>
        <w:t> </w:t>
      </w:r>
      <w:r w:rsidRPr="008A5C61">
        <w:rPr>
          <w:rFonts w:ascii="Arial" w:hAnsi="Arial" w:cs="Arial"/>
          <w:color w:val="000000"/>
          <w:sz w:val="20"/>
        </w:rPr>
        <w:t xml:space="preserve">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(2008) 238 CLR 218 at 224-225; [2008] HCA 34 at [21] Gummow ACJ, Hayne, Heydon,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lastRenderedPageBreak/>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Heydon JJ said that the power to amend a judgment is “one to be exercised sparingly, lest it encourage carelessness by a party’s legal representative and expose to risk the public interest in the finality of litigation.”</w:t>
      </w:r>
    </w:p>
    <w:p w14:paraId="0414DE8D" w14:textId="77777777" w:rsidR="009D08C7" w:rsidRDefault="009D08C7" w:rsidP="009D08C7">
      <w:pPr>
        <w:jc w:val="both"/>
        <w:rPr>
          <w:rFonts w:ascii="Arial" w:hAnsi="Arial" w:cs="Arial"/>
          <w:sz w:val="20"/>
        </w:rPr>
      </w:pPr>
    </w:p>
    <w:p w14:paraId="2FAA66EB" w14:textId="77777777" w:rsidR="009D08C7" w:rsidRDefault="009D08C7" w:rsidP="009D08C7">
      <w:pPr>
        <w:jc w:val="both"/>
        <w:rPr>
          <w:rFonts w:ascii="Arial" w:hAnsi="Arial" w:cs="Arial"/>
          <w:sz w:val="20"/>
        </w:rPr>
      </w:pPr>
      <w:r>
        <w:rPr>
          <w:rFonts w:ascii="Arial" w:hAnsi="Arial" w:cs="Arial"/>
          <w:sz w:val="20"/>
        </w:rPr>
        <w:t xml:space="preserve">In </w:t>
      </w:r>
      <w:r w:rsidRPr="00457498">
        <w:rPr>
          <w:rFonts w:ascii="Arial" w:hAnsi="Arial" w:cs="Arial"/>
          <w:i/>
          <w:iCs/>
          <w:sz w:val="20"/>
        </w:rPr>
        <w:t>Nikolic &amp; Anor v Twitter International Company (X Corp Inc)</w:t>
      </w:r>
      <w:r>
        <w:rPr>
          <w:rFonts w:ascii="Arial" w:hAnsi="Arial" w:cs="Arial"/>
          <w:sz w:val="20"/>
        </w:rPr>
        <w:t xml:space="preserve"> [2025] VSCA 80 Beach JA discussed the power to set aside a perfected court order, ultimately holding that Gray J had been “plainly correct” in refusing the application to set aside a perfected court order made by consent following settlement of the proceeding. At [23]-[26] his Honour said:</w:t>
      </w:r>
    </w:p>
    <w:p w14:paraId="373B18D8" w14:textId="10BF54FE"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23</w:t>
      </w:r>
      <w:r>
        <w:rPr>
          <w:rFonts w:ascii="Arial" w:hAnsi="Arial" w:cs="Arial"/>
          <w:sz w:val="20"/>
        </w:rPr>
        <w:t>]</w:t>
      </w:r>
      <w:r w:rsidRPr="00457498">
        <w:rPr>
          <w:rFonts w:ascii="Arial" w:hAnsi="Arial" w:cs="Arial"/>
          <w:sz w:val="20"/>
        </w:rPr>
        <w:t xml:space="preserve"> </w:t>
      </w:r>
      <w:r>
        <w:rPr>
          <w:rFonts w:ascii="Arial" w:hAnsi="Arial" w:cs="Arial"/>
          <w:sz w:val="20"/>
        </w:rPr>
        <w:t>“</w:t>
      </w:r>
      <w:r w:rsidRPr="00457498">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530-1</w:t>
      </w:r>
      <w:r w:rsidRPr="00457498">
        <w:rPr>
          <w:rFonts w:ascii="Arial" w:hAnsi="Arial" w:cs="Arial"/>
          <w:sz w:val="20"/>
        </w:rPr>
        <w:t xml:space="preserve">, Barwick CJ said: </w:t>
      </w:r>
    </w:p>
    <w:p w14:paraId="7134D747" w14:textId="1753B33D"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Once an order disposing of a proceeding has been perfected by being drawn up as the record of a court, that proceeding apart from any specific and relevant statutory provision is at an end in that court and is in its substance, in my opinion, beyond recall by that court. It would, in my opinion, not promote the due administration of the law or the promotion of justice for a court to have a power to reinstate a proceeding of which it has finally disposed. In my opinion, none of the decided cases lends support to the view that the Supreme Court in this case has any inherent power or jurisdiction to make the order it did make, its earlier order dismissing the appeal having been perfected by the processes of the Court.</w:t>
      </w:r>
    </w:p>
    <w:p w14:paraId="1333C392" w14:textId="6CD24A78"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24</w:t>
      </w:r>
      <w:r>
        <w:rPr>
          <w:rFonts w:ascii="Arial" w:hAnsi="Arial" w:cs="Arial"/>
          <w:sz w:val="20"/>
        </w:rPr>
        <w:t>]</w:t>
      </w:r>
      <w:r w:rsidRPr="00457498">
        <w:rPr>
          <w:rFonts w:ascii="Arial" w:hAnsi="Arial" w:cs="Arial"/>
          <w:sz w:val="20"/>
        </w:rPr>
        <w:t xml:space="preserve"> As this Court subsequently said in </w:t>
      </w:r>
      <w:r w:rsidRPr="009D08C7">
        <w:rPr>
          <w:rFonts w:ascii="Arial" w:hAnsi="Arial" w:cs="Arial"/>
          <w:i/>
          <w:iCs/>
          <w:sz w:val="20"/>
        </w:rPr>
        <w:t>Euromark</w:t>
      </w:r>
      <w:r w:rsidRPr="009D08C7">
        <w:rPr>
          <w:rFonts w:ascii="Arial" w:hAnsi="Arial" w:cs="Arial"/>
          <w:sz w:val="20"/>
        </w:rPr>
        <w:t xml:space="preserve"> [2024] VSCA 152, [15] (citations omitted)</w:t>
      </w:r>
      <w:r>
        <w:rPr>
          <w:rFonts w:ascii="Arial" w:hAnsi="Arial" w:cs="Arial"/>
          <w:sz w:val="20"/>
        </w:rPr>
        <w:t>:</w:t>
      </w:r>
    </w:p>
    <w:p w14:paraId="43E2666B" w14:textId="60581337"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Consistent with that general position, the circumstances in which this Court can set aside its own perfected orders are heavily circumscribed. For example, the Court has an equitable power to do so where the orders have been procured by fraud. It can also do so pursuant to its power to correct an order that is affected by a “clerical mistake” or an “error arising … from any accidental slip or omission”. The purpose of this latter power is to ensure that the orders of the Court as made accurately reflect the actual intention of the Court. The Court also has inherent jurisdiction to make a supplemental order in certain circumstances provided that such order does not vary or alter the initial order</w:t>
      </w:r>
      <w:r>
        <w:rPr>
          <w:rFonts w:ascii="Arial" w:hAnsi="Arial" w:cs="Arial"/>
          <w:sz w:val="18"/>
          <w:szCs w:val="22"/>
        </w:rPr>
        <w:t>.</w:t>
      </w:r>
    </w:p>
    <w:p w14:paraId="638B31EA" w14:textId="777C1FA0"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25</w:t>
      </w:r>
      <w:r>
        <w:rPr>
          <w:rFonts w:ascii="Arial" w:hAnsi="Arial" w:cs="Arial"/>
          <w:sz w:val="20"/>
        </w:rPr>
        <w:t>]</w:t>
      </w:r>
      <w:r w:rsidRPr="00457498">
        <w:rPr>
          <w:rFonts w:ascii="Arial" w:hAnsi="Arial" w:cs="Arial"/>
          <w:sz w:val="20"/>
        </w:rPr>
        <w:t xml:space="preserve"> In addition to the limited circumstances described by this Court in </w:t>
      </w:r>
      <w:r w:rsidRPr="009D08C7">
        <w:rPr>
          <w:rFonts w:ascii="Arial" w:hAnsi="Arial" w:cs="Arial"/>
          <w:i/>
          <w:iCs/>
          <w:sz w:val="20"/>
        </w:rPr>
        <w:t>Euromark</w:t>
      </w:r>
      <w:r w:rsidRPr="00457498">
        <w:rPr>
          <w:rFonts w:ascii="Arial" w:hAnsi="Arial" w:cs="Arial"/>
          <w:sz w:val="20"/>
        </w:rPr>
        <w:t>, a court, in the exercise of its inherent jurisdiction, may set aside a consent judgment or order if the agreement on which the judgment or order was based is void or voidable</w:t>
      </w:r>
      <w:r>
        <w:rPr>
          <w:rFonts w:ascii="Arial" w:hAnsi="Arial" w:cs="Arial"/>
          <w:sz w:val="20"/>
        </w:rPr>
        <w:t>: s</w:t>
      </w:r>
      <w:r w:rsidRPr="009D08C7">
        <w:rPr>
          <w:rFonts w:ascii="Arial" w:hAnsi="Arial" w:cs="Arial"/>
          <w:sz w:val="20"/>
        </w:rPr>
        <w:t xml:space="preserve">ee </w:t>
      </w:r>
      <w:r w:rsidRPr="009D08C7">
        <w:rPr>
          <w:rFonts w:ascii="Arial" w:hAnsi="Arial" w:cs="Arial"/>
          <w:i/>
          <w:iCs/>
          <w:sz w:val="20"/>
        </w:rPr>
        <w:t>The Owners Strata Plan No 57164 v Yau</w:t>
      </w:r>
      <w:r w:rsidRPr="009D08C7">
        <w:rPr>
          <w:rFonts w:ascii="Arial" w:hAnsi="Arial" w:cs="Arial"/>
          <w:sz w:val="20"/>
        </w:rPr>
        <w:t xml:space="preserve"> (2017) 96 NSWLR 587, 604 [72], 605 [76], 606 [80], 625 [195]</w:t>
      </w:r>
      <w:r>
        <w:rPr>
          <w:rFonts w:ascii="Arial" w:hAnsi="Arial" w:cs="Arial"/>
          <w:sz w:val="20"/>
        </w:rPr>
        <w:t>,</w:t>
      </w:r>
      <w:r w:rsidRPr="009D08C7">
        <w:rPr>
          <w:rFonts w:ascii="Arial" w:hAnsi="Arial" w:cs="Arial"/>
          <w:sz w:val="20"/>
        </w:rPr>
        <w:t xml:space="preserve"> 631–2 [226]. </w:t>
      </w:r>
      <w:r w:rsidRPr="00457498">
        <w:rPr>
          <w:rFonts w:ascii="Arial" w:hAnsi="Arial" w:cs="Arial"/>
          <w:sz w:val="20"/>
        </w:rPr>
        <w:t>That said, even if some basis for setting aside consent orders is established, the court retains a discretion as to whether the orders should be set aside</w:t>
      </w:r>
      <w:r>
        <w:rPr>
          <w:rFonts w:ascii="Arial" w:hAnsi="Arial" w:cs="Arial"/>
          <w:sz w:val="20"/>
        </w:rPr>
        <w:t xml:space="preserve">: </w:t>
      </w:r>
      <w:r w:rsidRPr="009D08C7">
        <w:rPr>
          <w:rFonts w:ascii="Arial" w:hAnsi="Arial" w:cs="Arial"/>
          <w:i/>
          <w:iCs/>
          <w:sz w:val="20"/>
        </w:rPr>
        <w:t>Ibid</w:t>
      </w:r>
      <w:r w:rsidRPr="009D08C7">
        <w:rPr>
          <w:rFonts w:ascii="Arial" w:hAnsi="Arial" w:cs="Arial"/>
          <w:sz w:val="20"/>
        </w:rPr>
        <w:t xml:space="preserve"> 606 [81], 625 [195], 631–2 [226]</w:t>
      </w:r>
      <w:r>
        <w:rPr>
          <w:rFonts w:ascii="Arial" w:hAnsi="Arial" w:cs="Arial"/>
          <w:sz w:val="20"/>
        </w:rPr>
        <w:t>.</w:t>
      </w:r>
    </w:p>
    <w:p w14:paraId="786CE187" w14:textId="790DF09E" w:rsidR="009D08C7" w:rsidRP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26</w:t>
      </w:r>
      <w:r>
        <w:rPr>
          <w:rFonts w:ascii="Arial" w:hAnsi="Arial" w:cs="Arial"/>
          <w:sz w:val="20"/>
        </w:rPr>
        <w:t>]</w:t>
      </w:r>
      <w:r w:rsidRPr="00457498">
        <w:rPr>
          <w:rFonts w:ascii="Arial" w:hAnsi="Arial" w:cs="Arial"/>
          <w:sz w:val="20"/>
        </w:rPr>
        <w:t xml:space="preserve"> Gray J was, with respect, entirely correct when, having examined all of the plaintiffs’ material and submissions, he concluded that there was simply no basis upon which the Court was empowered to set aside the perfected consent orders and reinstate the proceeding which had been dismissed three years earlier. The material relied upon by the plaintiffs did not provide any basis upon which the Court could </w:t>
      </w:r>
      <w:r w:rsidRPr="009D08C7">
        <w:rPr>
          <w:rFonts w:ascii="Arial" w:hAnsi="Arial" w:cs="Arial"/>
          <w:color w:val="000000"/>
          <w:sz w:val="20"/>
        </w:rPr>
        <w:t xml:space="preserve">have made the orders sought by the plaintiff. For the reasons he gave, the orders made by his Honour </w:t>
      </w:r>
      <w:r>
        <w:rPr>
          <w:rFonts w:ascii="Arial" w:hAnsi="Arial" w:cs="Arial"/>
          <w:color w:val="000000"/>
          <w:sz w:val="20"/>
        </w:rPr>
        <w:t xml:space="preserve">[in </w:t>
      </w:r>
      <w:r w:rsidRPr="009D08C7">
        <w:rPr>
          <w:rFonts w:ascii="Arial" w:hAnsi="Arial" w:cs="Arial"/>
          <w:color w:val="000000"/>
          <w:sz w:val="20"/>
        </w:rPr>
        <w:t>[2024] VSC 381</w:t>
      </w:r>
      <w:r>
        <w:rPr>
          <w:rFonts w:ascii="Arial" w:hAnsi="Arial" w:cs="Arial"/>
          <w:color w:val="000000"/>
          <w:sz w:val="20"/>
        </w:rPr>
        <w:t xml:space="preserve">] </w:t>
      </w:r>
      <w:r w:rsidRPr="009D08C7">
        <w:rPr>
          <w:rFonts w:ascii="Arial" w:hAnsi="Arial" w:cs="Arial"/>
          <w:color w:val="000000"/>
          <w:sz w:val="20"/>
        </w:rPr>
        <w:t>were plainly correct.</w:t>
      </w:r>
      <w:r>
        <w:rPr>
          <w:rFonts w:ascii="Arial" w:hAnsi="Arial" w:cs="Arial"/>
          <w:color w:val="000000"/>
          <w:sz w:val="20"/>
        </w:rPr>
        <w:t>”</w:t>
      </w:r>
    </w:p>
    <w:p w14:paraId="3D58524A" w14:textId="77777777" w:rsidR="009D08C7" w:rsidRDefault="009D08C7" w:rsidP="002E3476">
      <w:pPr>
        <w:jc w:val="both"/>
        <w:rPr>
          <w:rFonts w:ascii="Arial" w:hAnsi="Arial" w:cs="Arial"/>
          <w:sz w:val="20"/>
          <w:szCs w:val="20"/>
        </w:rPr>
      </w:pPr>
    </w:p>
    <w:p w14:paraId="2707326A" w14:textId="26D4D0B7"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4746CE01" w:rsidR="001F4A69" w:rsidRDefault="0051022B" w:rsidP="00492138">
      <w:pPr>
        <w:jc w:val="both"/>
        <w:rPr>
          <w:rFonts w:ascii="Arial" w:hAnsi="Arial" w:cs="Arial"/>
          <w:color w:val="000000"/>
          <w:sz w:val="20"/>
        </w:rPr>
      </w:pPr>
      <w:r>
        <w:rPr>
          <w:rFonts w:ascii="Arial" w:hAnsi="Arial" w:cs="Arial"/>
          <w:color w:val="000000"/>
          <w:sz w:val="20"/>
        </w:rPr>
        <w:t xml:space="preserve">See also </w:t>
      </w:r>
      <w:r w:rsidRPr="0051022B">
        <w:rPr>
          <w:rFonts w:ascii="Arial" w:hAnsi="Arial" w:cs="Arial"/>
          <w:i/>
          <w:color w:val="000000"/>
          <w:sz w:val="20"/>
        </w:rPr>
        <w:t>Achurch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Gould v Vaggelas</w:t>
      </w:r>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AsJ</w:t>
      </w:r>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Merrion B Pty Ltd v Donchiod Pty Ltd (in liq)</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251DC5">
        <w:rPr>
          <w:rFonts w:ascii="Arial" w:hAnsi="Arial" w:cs="Arial"/>
          <w:sz w:val="20"/>
          <w:szCs w:val="20"/>
        </w:rPr>
        <w:t xml:space="preserve">; </w:t>
      </w:r>
      <w:r w:rsidR="00251DC5" w:rsidRPr="00251DC5">
        <w:rPr>
          <w:rFonts w:ascii="Arial" w:hAnsi="Arial" w:cs="Arial"/>
          <w:i/>
          <w:iCs/>
          <w:sz w:val="20"/>
          <w:szCs w:val="20"/>
        </w:rPr>
        <w:t>Thomson v Thomson (No 2)</w:t>
      </w:r>
      <w:r w:rsidR="00251DC5" w:rsidRPr="00251DC5">
        <w:rPr>
          <w:rFonts w:ascii="Arial" w:hAnsi="Arial" w:cs="Arial"/>
          <w:sz w:val="20"/>
          <w:szCs w:val="20"/>
        </w:rPr>
        <w:t xml:space="preserve"> </w:t>
      </w:r>
      <w:r w:rsidR="00251DC5">
        <w:rPr>
          <w:rFonts w:ascii="Arial" w:hAnsi="Arial" w:cs="Arial"/>
          <w:sz w:val="20"/>
          <w:szCs w:val="20"/>
        </w:rPr>
        <w:t>[</w:t>
      </w:r>
      <w:r w:rsidR="00251DC5" w:rsidRPr="00251DC5">
        <w:rPr>
          <w:rFonts w:ascii="Arial" w:hAnsi="Arial" w:cs="Arial"/>
          <w:sz w:val="20"/>
          <w:szCs w:val="20"/>
        </w:rPr>
        <w:t>2025] VSC 27</w:t>
      </w:r>
      <w:r w:rsidR="00251DC5">
        <w:rPr>
          <w:rFonts w:ascii="Arial" w:hAnsi="Arial" w:cs="Arial"/>
          <w:sz w:val="20"/>
          <w:szCs w:val="20"/>
        </w:rPr>
        <w:t xml:space="preserve"> at [26]</w:t>
      </w:r>
      <w:r w:rsidR="008357AD">
        <w:rPr>
          <w:rFonts w:ascii="Arial" w:hAnsi="Arial" w:cs="Arial"/>
          <w:sz w:val="20"/>
          <w:szCs w:val="20"/>
        </w:rPr>
        <w:t>.</w:t>
      </w:r>
    </w:p>
    <w:p w14:paraId="5EE5815C" w14:textId="77777777" w:rsidR="00FE777C" w:rsidRDefault="00FE777C" w:rsidP="00FE777C">
      <w:pPr>
        <w:jc w:val="both"/>
        <w:rPr>
          <w:rFonts w:ascii="Arial" w:hAnsi="Arial" w:cs="Arial"/>
          <w:color w:val="000000"/>
          <w:sz w:val="20"/>
        </w:rPr>
      </w:pPr>
      <w:bookmarkStart w:id="1004" w:name="_3.9_Costs"/>
      <w:bookmarkStart w:id="1005" w:name="B39"/>
      <w:bookmarkEnd w:id="1004"/>
      <w:bookmarkEnd w:id="1005"/>
    </w:p>
    <w:p w14:paraId="25A08DFA" w14:textId="20169433" w:rsidR="00FE777C" w:rsidRPr="002C2CA5" w:rsidRDefault="00FE777C" w:rsidP="00FE777C">
      <w:pPr>
        <w:pStyle w:val="Heading3"/>
        <w:widowControl/>
        <w:tabs>
          <w:tab w:val="left" w:pos="357"/>
          <w:tab w:val="left" w:pos="714"/>
          <w:tab w:val="left" w:pos="1071"/>
          <w:tab w:val="left" w:pos="1428"/>
          <w:tab w:val="left" w:pos="1785"/>
          <w:tab w:val="left" w:pos="2142"/>
          <w:tab w:val="left" w:pos="5562"/>
        </w:tabs>
        <w:spacing w:after="120" w:line="240" w:lineRule="auto"/>
        <w:rPr>
          <w:rFonts w:ascii="Arial" w:hAnsi="Arial" w:cs="Arial"/>
          <w:b/>
          <w:bCs/>
          <w:sz w:val="20"/>
          <w:lang w:val="en-US"/>
        </w:rPr>
      </w:pPr>
      <w:bookmarkStart w:id="1006" w:name="_3.8.2_Reopening_cases"/>
      <w:bookmarkEnd w:id="1006"/>
      <w:r>
        <w:rPr>
          <w:rFonts w:ascii="Arial" w:hAnsi="Arial" w:cs="Arial"/>
          <w:b/>
          <w:bCs/>
          <w:sz w:val="20"/>
        </w:rPr>
        <w:t>3.8.2</w:t>
      </w:r>
      <w:r>
        <w:rPr>
          <w:rFonts w:ascii="Arial" w:hAnsi="Arial" w:cs="Arial"/>
          <w:b/>
          <w:bCs/>
          <w:sz w:val="20"/>
        </w:rPr>
        <w:tab/>
        <w:t xml:space="preserve">Reopening </w:t>
      </w:r>
      <w:r w:rsidR="00D635CD">
        <w:rPr>
          <w:rFonts w:ascii="Arial" w:hAnsi="Arial" w:cs="Arial"/>
          <w:b/>
          <w:bCs/>
          <w:sz w:val="20"/>
        </w:rPr>
        <w:t xml:space="preserve">a </w:t>
      </w:r>
      <w:r>
        <w:rPr>
          <w:rFonts w:ascii="Arial" w:hAnsi="Arial" w:cs="Arial"/>
          <w:b/>
          <w:bCs/>
          <w:sz w:val="20"/>
        </w:rPr>
        <w:t>case</w:t>
      </w:r>
    </w:p>
    <w:p w14:paraId="29C397C1" w14:textId="051C1632" w:rsidR="00FE777C" w:rsidRDefault="00FE777C" w:rsidP="0047078B">
      <w:pPr>
        <w:jc w:val="both"/>
        <w:rPr>
          <w:rFonts w:ascii="Arial" w:hAnsi="Arial" w:cs="Arial"/>
          <w:sz w:val="20"/>
        </w:rPr>
      </w:pPr>
      <w:r>
        <w:rPr>
          <w:rFonts w:ascii="Arial" w:hAnsi="Arial" w:cs="Arial"/>
          <w:sz w:val="20"/>
        </w:rPr>
        <w:t xml:space="preserve">In </w:t>
      </w:r>
      <w:r w:rsidRPr="00FE777C">
        <w:rPr>
          <w:rFonts w:ascii="Arial" w:hAnsi="Arial" w:cs="Arial"/>
          <w:i/>
          <w:iCs/>
          <w:sz w:val="20"/>
        </w:rPr>
        <w:t>Deak v Estate of the Late Carolina Nacinovich and Ermanno Giurina (Final Orders)</w:t>
      </w:r>
      <w:r>
        <w:rPr>
          <w:rFonts w:ascii="Arial" w:hAnsi="Arial" w:cs="Arial"/>
          <w:sz w:val="20"/>
        </w:rPr>
        <w:t xml:space="preserve"> [2025] VSC 202</w:t>
      </w:r>
      <w:r w:rsidR="00B1628F">
        <w:rPr>
          <w:rFonts w:ascii="Arial" w:hAnsi="Arial" w:cs="Arial"/>
          <w:sz w:val="20"/>
        </w:rPr>
        <w:t xml:space="preserve"> the case had been completed but final orders had not yet been made.</w:t>
      </w:r>
      <w:r>
        <w:rPr>
          <w:rFonts w:ascii="Arial" w:hAnsi="Arial" w:cs="Arial"/>
          <w:sz w:val="20"/>
        </w:rPr>
        <w:t xml:space="preserve"> Steffensen AsJ held that the interests of justice favoured granting an application by the plaintiffs for leave to reopen their case </w:t>
      </w:r>
      <w:r w:rsidR="00B1628F">
        <w:rPr>
          <w:rFonts w:ascii="Arial" w:hAnsi="Arial" w:cs="Arial"/>
          <w:sz w:val="20"/>
        </w:rPr>
        <w:t>to adduce</w:t>
      </w:r>
      <w:r>
        <w:rPr>
          <w:rFonts w:ascii="Arial" w:hAnsi="Arial" w:cs="Arial"/>
          <w:sz w:val="20"/>
        </w:rPr>
        <w:t xml:space="preserve"> fresh evidence that a warrant the subject of the proceeding had expired due to a fault by the </w:t>
      </w:r>
      <w:r>
        <w:rPr>
          <w:rFonts w:ascii="Arial" w:hAnsi="Arial" w:cs="Arial"/>
          <w:sz w:val="20"/>
        </w:rPr>
        <w:lastRenderedPageBreak/>
        <w:t>plaintiffs’ solicitors</w:t>
      </w:r>
      <w:r w:rsidR="00B1628F">
        <w:rPr>
          <w:rFonts w:ascii="Arial" w:hAnsi="Arial" w:cs="Arial"/>
          <w:sz w:val="20"/>
        </w:rPr>
        <w:t xml:space="preserve"> and that a new warrant had been issued</w:t>
      </w:r>
      <w:r>
        <w:rPr>
          <w:rFonts w:ascii="Arial" w:hAnsi="Arial" w:cs="Arial"/>
          <w:sz w:val="20"/>
        </w:rPr>
        <w:t xml:space="preserve">. </w:t>
      </w:r>
      <w:r w:rsidR="00B1628F">
        <w:rPr>
          <w:rFonts w:ascii="Arial" w:hAnsi="Arial" w:cs="Arial"/>
          <w:sz w:val="20"/>
        </w:rPr>
        <w:t xml:space="preserve">His Honour </w:t>
      </w:r>
      <w:r w:rsidR="00B1628F" w:rsidRPr="00B1628F">
        <w:rPr>
          <w:rFonts w:ascii="Arial" w:hAnsi="Arial" w:cs="Arial"/>
          <w:sz w:val="20"/>
        </w:rPr>
        <w:t>grant</w:t>
      </w:r>
      <w:r w:rsidR="00B1628F">
        <w:rPr>
          <w:rFonts w:ascii="Arial" w:hAnsi="Arial" w:cs="Arial"/>
          <w:sz w:val="20"/>
        </w:rPr>
        <w:t>ed</w:t>
      </w:r>
      <w:r w:rsidR="00B1628F" w:rsidRPr="00B1628F">
        <w:rPr>
          <w:rFonts w:ascii="Arial" w:hAnsi="Arial" w:cs="Arial"/>
          <w:sz w:val="20"/>
        </w:rPr>
        <w:t xml:space="preserve"> leave to adduce the </w:t>
      </w:r>
      <w:r w:rsidR="00B1628F">
        <w:rPr>
          <w:rFonts w:ascii="Arial" w:hAnsi="Arial" w:cs="Arial"/>
          <w:sz w:val="20"/>
        </w:rPr>
        <w:t>n</w:t>
      </w:r>
      <w:r w:rsidR="00B1628F" w:rsidRPr="00B1628F">
        <w:rPr>
          <w:rFonts w:ascii="Arial" w:hAnsi="Arial" w:cs="Arial"/>
          <w:sz w:val="20"/>
        </w:rPr>
        <w:t xml:space="preserve">ew </w:t>
      </w:r>
      <w:r w:rsidR="00B1628F">
        <w:rPr>
          <w:rFonts w:ascii="Arial" w:hAnsi="Arial" w:cs="Arial"/>
          <w:sz w:val="20"/>
        </w:rPr>
        <w:t>w</w:t>
      </w:r>
      <w:r w:rsidR="00B1628F" w:rsidRPr="00B1628F">
        <w:rPr>
          <w:rFonts w:ascii="Arial" w:hAnsi="Arial" w:cs="Arial"/>
          <w:sz w:val="20"/>
        </w:rPr>
        <w:t>arrant into evidence</w:t>
      </w:r>
      <w:r w:rsidR="00B1628F">
        <w:rPr>
          <w:rFonts w:ascii="Arial" w:hAnsi="Arial" w:cs="Arial"/>
          <w:sz w:val="20"/>
        </w:rPr>
        <w:t xml:space="preserve"> and made</w:t>
      </w:r>
      <w:r w:rsidR="00B1628F" w:rsidRPr="00B1628F">
        <w:rPr>
          <w:rFonts w:ascii="Arial" w:hAnsi="Arial" w:cs="Arial"/>
          <w:sz w:val="20"/>
        </w:rPr>
        <w:t xml:space="preserve"> final orders in respect of it.</w:t>
      </w:r>
    </w:p>
    <w:p w14:paraId="378B5F3E" w14:textId="55E54FFC" w:rsidR="00B1628F" w:rsidRDefault="00B1628F" w:rsidP="00B1628F">
      <w:pPr>
        <w:spacing w:before="120"/>
        <w:jc w:val="both"/>
        <w:rPr>
          <w:rFonts w:ascii="Arial" w:hAnsi="Arial" w:cs="Arial"/>
          <w:sz w:val="20"/>
        </w:rPr>
      </w:pPr>
      <w:r>
        <w:rPr>
          <w:rFonts w:ascii="Arial" w:hAnsi="Arial" w:cs="Arial"/>
          <w:sz w:val="20"/>
        </w:rPr>
        <w:t>At [9]-[13] his Honour set out the applicable principles as follows:</w:t>
      </w:r>
    </w:p>
    <w:p w14:paraId="47039D03" w14:textId="074F7894" w:rsidR="00B1628F" w:rsidRDefault="00B1628F" w:rsidP="00457498">
      <w:pPr>
        <w:spacing w:before="60"/>
        <w:ind w:left="567" w:right="567"/>
        <w:jc w:val="both"/>
        <w:rPr>
          <w:rFonts w:ascii="Arial" w:hAnsi="Arial" w:cs="Arial"/>
          <w:sz w:val="20"/>
          <w:szCs w:val="20"/>
        </w:rPr>
      </w:pPr>
      <w:r>
        <w:rPr>
          <w:rFonts w:ascii="Arial" w:hAnsi="Arial" w:cs="Arial"/>
          <w:sz w:val="20"/>
          <w:szCs w:val="20"/>
        </w:rPr>
        <w:t>[9] “</w:t>
      </w:r>
      <w:r w:rsidRPr="006E3E5F">
        <w:rPr>
          <w:rFonts w:ascii="Arial" w:hAnsi="Arial" w:cs="Arial"/>
          <w:sz w:val="20"/>
          <w:szCs w:val="20"/>
        </w:rPr>
        <w:t xml:space="preserve">As the Court of Appeal said in </w:t>
      </w:r>
      <w:r w:rsidRPr="006E3E5F">
        <w:rPr>
          <w:rFonts w:ascii="Arial" w:hAnsi="Arial" w:cs="Arial"/>
          <w:i/>
          <w:iCs/>
          <w:sz w:val="20"/>
          <w:szCs w:val="20"/>
        </w:rPr>
        <w:t>Spotlight Pty Ltd v NCON Australia Ltd</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w:t>
      </w:r>
      <w:r w:rsidRPr="00B1628F">
        <w:rPr>
          <w:rFonts w:ascii="Arial" w:hAnsi="Arial" w:cs="Arial"/>
          <w:i/>
          <w:iCs/>
          <w:sz w:val="20"/>
          <w:szCs w:val="20"/>
        </w:rPr>
        <w:t xml:space="preserve"> </w:t>
      </w:r>
      <w:r>
        <w:rPr>
          <w:rFonts w:ascii="Arial" w:hAnsi="Arial" w:cs="Arial"/>
          <w:sz w:val="20"/>
          <w:szCs w:val="20"/>
        </w:rPr>
        <w:t>(2012) 46 VR 1: [2012] VSCA 232 at [26]</w:t>
      </w:r>
      <w:r w:rsidRPr="006E3E5F">
        <w:rPr>
          <w:rFonts w:ascii="Arial" w:hAnsi="Arial" w:cs="Arial"/>
          <w:sz w:val="20"/>
          <w:szCs w:val="20"/>
        </w:rPr>
        <w:t>, leave to reopen to adduce fresh evidence will be granted when the court is satisfied that it is, on the whole, in the interests of justice to do so.</w:t>
      </w:r>
      <w:r>
        <w:rPr>
          <w:rFonts w:ascii="Arial" w:hAnsi="Arial" w:cs="Arial"/>
          <w:sz w:val="20"/>
          <w:szCs w:val="20"/>
        </w:rPr>
        <w:t xml:space="preserve"> </w:t>
      </w:r>
      <w:r w:rsidRPr="006E3E5F">
        <w:rPr>
          <w:rFonts w:ascii="Arial" w:hAnsi="Arial" w:cs="Arial"/>
          <w:sz w:val="20"/>
          <w:szCs w:val="20"/>
        </w:rPr>
        <w:t xml:space="preserve">The Court of Appeal describes this </w:t>
      </w:r>
      <w:r>
        <w:rPr>
          <w:rFonts w:ascii="Arial" w:hAnsi="Arial" w:cs="Arial"/>
          <w:sz w:val="20"/>
          <w:szCs w:val="20"/>
        </w:rPr>
        <w:t xml:space="preserve">at [25]-[26] </w:t>
      </w:r>
      <w:r w:rsidRPr="006E3E5F">
        <w:rPr>
          <w:rFonts w:ascii="Arial" w:hAnsi="Arial" w:cs="Arial"/>
          <w:sz w:val="20"/>
          <w:szCs w:val="20"/>
        </w:rPr>
        <w:t xml:space="preserve">as the ‘overriding principle’ and has identified that there are at least four categories in which leave will be considered.  These are (i) where fresh evidence, unavailable or not reasonably discoverable before, becomes known and available; (ii) where there has been inadvertent error; (iii) where there has been a mistaken apprehension of the facts; and (iv) where there has been a mistaken apprehension of the law. The Court of Appeal emphasises </w:t>
      </w:r>
      <w:r>
        <w:rPr>
          <w:rFonts w:ascii="Arial" w:hAnsi="Arial" w:cs="Arial"/>
          <w:sz w:val="20"/>
          <w:szCs w:val="20"/>
        </w:rPr>
        <w:t xml:space="preserve">at [17]-[18] </w:t>
      </w:r>
      <w:r w:rsidRPr="006E3E5F">
        <w:rPr>
          <w:rFonts w:ascii="Arial" w:hAnsi="Arial" w:cs="Arial"/>
          <w:sz w:val="20"/>
          <w:szCs w:val="20"/>
        </w:rPr>
        <w:t>that the circumstances in which the court may allow a case to be reopened must be exceptional, having regard to the public interest in finality of litigation, and the need to protect the boundaries of the reopened issues.</w:t>
      </w:r>
    </w:p>
    <w:p w14:paraId="70AB6A02" w14:textId="6409E567"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10</w:t>
      </w:r>
      <w:r>
        <w:rPr>
          <w:rFonts w:ascii="Arial" w:hAnsi="Arial" w:cs="Arial"/>
          <w:sz w:val="20"/>
          <w:szCs w:val="20"/>
        </w:rPr>
        <w:t>]</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 xml:space="preserve"> addresses an application after the conclusion of trial, but before judgment had been delivered. The test to be applied on the question of the Court’s jurisdiction to reconsider issues determined in a judgment after it has been delivered, but before final orders have been made, is materially the same. In </w:t>
      </w:r>
      <w:r w:rsidRPr="006E3E5F">
        <w:rPr>
          <w:rFonts w:ascii="Arial" w:hAnsi="Arial" w:cs="Arial"/>
          <w:i/>
          <w:iCs/>
          <w:sz w:val="20"/>
          <w:szCs w:val="20"/>
        </w:rPr>
        <w:t>Autodesk Inc v Dyason (No 2)</w:t>
      </w:r>
      <w:r w:rsidRPr="006E3E5F">
        <w:rPr>
          <w:rFonts w:ascii="Arial" w:hAnsi="Arial" w:cs="Arial"/>
          <w:sz w:val="20"/>
          <w:szCs w:val="20"/>
        </w:rPr>
        <w:t xml:space="preserve"> (‘</w:t>
      </w:r>
      <w:r w:rsidRPr="006E3E5F">
        <w:rPr>
          <w:rFonts w:ascii="Arial" w:hAnsi="Arial" w:cs="Arial"/>
          <w:i/>
          <w:iCs/>
          <w:sz w:val="20"/>
          <w:szCs w:val="20"/>
        </w:rPr>
        <w:t>Autodesk</w:t>
      </w:r>
      <w:r w:rsidRPr="006E3E5F">
        <w:rPr>
          <w:rFonts w:ascii="Arial" w:hAnsi="Arial" w:cs="Arial"/>
          <w:sz w:val="20"/>
          <w:szCs w:val="20"/>
        </w:rPr>
        <w:t>’)</w:t>
      </w:r>
      <w:r>
        <w:rPr>
          <w:rFonts w:ascii="Arial" w:hAnsi="Arial" w:cs="Arial"/>
          <w:sz w:val="20"/>
          <w:szCs w:val="20"/>
        </w:rPr>
        <w:t xml:space="preserve"> (1993) 176 CLR 300</w:t>
      </w:r>
      <w:r w:rsidRPr="006E3E5F">
        <w:rPr>
          <w:rFonts w:ascii="Arial" w:hAnsi="Arial" w:cs="Arial"/>
          <w:sz w:val="20"/>
          <w:szCs w:val="20"/>
        </w:rPr>
        <w:t xml:space="preserve">, the High Court affirmed the jurisdiction to recall a judgment it has pronounced prior to formal entry of the judgment, if a person against whom judgment has been pronounced, through no fault of their own, has not had an opportunity to be heard. The High Court emphasised </w:t>
      </w:r>
      <w:r w:rsidR="005A5467">
        <w:rPr>
          <w:rFonts w:ascii="Arial" w:hAnsi="Arial" w:cs="Arial"/>
          <w:sz w:val="20"/>
          <w:szCs w:val="20"/>
        </w:rPr>
        <w:t xml:space="preserve">at pp.302, 308, 317 &amp; 328 </w:t>
      </w:r>
      <w:r w:rsidRPr="006E3E5F">
        <w:rPr>
          <w:rFonts w:ascii="Arial" w:hAnsi="Arial" w:cs="Arial"/>
          <w:sz w:val="20"/>
          <w:szCs w:val="20"/>
        </w:rPr>
        <w:t>that the jurisdiction must be exercised cautiously and sparingly, having regard to the public interest in the finality of litigation. The jurisdiction must not be used as a backdoor method by which unsuccessful litigants can seek to re-agitate arguments already considered by the Court or because unsuccessful litigants have failed to present the argument as well as they might have.</w:t>
      </w:r>
    </w:p>
    <w:p w14:paraId="7B0EBA78" w14:textId="503D2C9C"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11</w:t>
      </w:r>
      <w:r>
        <w:rPr>
          <w:rFonts w:ascii="Arial" w:hAnsi="Arial" w:cs="Arial"/>
          <w:sz w:val="20"/>
          <w:szCs w:val="20"/>
        </w:rPr>
        <w:t>]</w:t>
      </w:r>
      <w:r w:rsidRPr="006E3E5F">
        <w:rPr>
          <w:rFonts w:ascii="Arial" w:hAnsi="Arial" w:cs="Arial"/>
          <w:sz w:val="20"/>
          <w:szCs w:val="20"/>
        </w:rPr>
        <w:t xml:space="preserve"> In doing so, Mason CJ and Gaudron J expressly acknowledged </w:t>
      </w:r>
      <w:r w:rsidR="005A5467">
        <w:rPr>
          <w:rFonts w:ascii="Arial" w:hAnsi="Arial" w:cs="Arial"/>
          <w:sz w:val="20"/>
          <w:szCs w:val="20"/>
        </w:rPr>
        <w:t xml:space="preserve">at pp.302-303 &amp; 328 </w:t>
      </w:r>
      <w:r w:rsidRPr="006E3E5F">
        <w:rPr>
          <w:rFonts w:ascii="Arial" w:hAnsi="Arial" w:cs="Arial"/>
          <w:sz w:val="20"/>
          <w:szCs w:val="20"/>
        </w:rPr>
        <w:t>that the jurisdiction to reopen a judgment before the entry of formal orders is generally exercised where there has been a denial of natural justice, but that it is not limited to such situations.</w:t>
      </w:r>
      <w:r w:rsidR="005A5467">
        <w:rPr>
          <w:rFonts w:ascii="Arial" w:hAnsi="Arial" w:cs="Arial"/>
          <w:sz w:val="20"/>
          <w:szCs w:val="20"/>
        </w:rPr>
        <w:t xml:space="preserve"> </w:t>
      </w:r>
      <w:r w:rsidRPr="006E3E5F">
        <w:rPr>
          <w:rFonts w:ascii="Arial" w:hAnsi="Arial" w:cs="Arial"/>
          <w:sz w:val="20"/>
          <w:szCs w:val="20"/>
        </w:rPr>
        <w:t>The public interest in finality of litigation will not exclude the Court from exercising this exceptional jurisdiction of reviewing or rehearing an issue if its earlier judgment has proceeded on a misapprehension as to the facts or law.</w:t>
      </w:r>
      <w:r w:rsidR="005A5467">
        <w:rPr>
          <w:rFonts w:ascii="Arial" w:hAnsi="Arial" w:cs="Arial"/>
          <w:sz w:val="20"/>
          <w:szCs w:val="20"/>
        </w:rPr>
        <w:t xml:space="preserve"> </w:t>
      </w:r>
      <w:r w:rsidRPr="006E3E5F">
        <w:rPr>
          <w:rFonts w:ascii="Arial" w:hAnsi="Arial" w:cs="Arial"/>
          <w:sz w:val="20"/>
          <w:szCs w:val="20"/>
        </w:rPr>
        <w:t xml:space="preserve">Gaudron J said </w:t>
      </w:r>
      <w:r w:rsidR="005A5467">
        <w:rPr>
          <w:rFonts w:ascii="Arial" w:hAnsi="Arial" w:cs="Arial"/>
          <w:sz w:val="20"/>
          <w:szCs w:val="20"/>
        </w:rPr>
        <w:t xml:space="preserve">at p.328 </w:t>
      </w:r>
      <w:r w:rsidRPr="006E3E5F">
        <w:rPr>
          <w:rFonts w:ascii="Arial" w:hAnsi="Arial" w:cs="Arial"/>
          <w:sz w:val="20"/>
          <w:szCs w:val="20"/>
        </w:rPr>
        <w:t>that the touchstone is whether the interests of justice require the judgment to be vacated.</w:t>
      </w:r>
      <w:r w:rsidR="005A5467">
        <w:rPr>
          <w:rFonts w:ascii="Arial" w:hAnsi="Arial" w:cs="Arial"/>
          <w:sz w:val="20"/>
          <w:szCs w:val="20"/>
        </w:rPr>
        <w:t xml:space="preserve"> </w:t>
      </w:r>
      <w:r w:rsidRPr="006E3E5F">
        <w:rPr>
          <w:rFonts w:ascii="Arial" w:hAnsi="Arial" w:cs="Arial"/>
          <w:sz w:val="20"/>
          <w:szCs w:val="20"/>
        </w:rPr>
        <w:t xml:space="preserve">Mason CJ said </w:t>
      </w:r>
      <w:r w:rsidR="005A5467">
        <w:rPr>
          <w:rFonts w:ascii="Arial" w:hAnsi="Arial" w:cs="Arial"/>
          <w:sz w:val="20"/>
          <w:szCs w:val="20"/>
        </w:rPr>
        <w:t xml:space="preserve">at p.303 </w:t>
      </w:r>
      <w:r w:rsidRPr="006E3E5F">
        <w:rPr>
          <w:rFonts w:ascii="Arial" w:hAnsi="Arial" w:cs="Arial"/>
          <w:sz w:val="20"/>
          <w:szCs w:val="20"/>
        </w:rPr>
        <w:t>‘in order to enliven the exercise of the jurisdiction … this misapprehension cannot be attributed solely to the neglect or default of the party seeking the rehearing’.</w:t>
      </w:r>
    </w:p>
    <w:p w14:paraId="6E77A5F7" w14:textId="3C173662"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12</w:t>
      </w:r>
      <w:r>
        <w:rPr>
          <w:rFonts w:ascii="Arial" w:hAnsi="Arial" w:cs="Arial"/>
          <w:sz w:val="20"/>
          <w:szCs w:val="20"/>
        </w:rPr>
        <w:t>]</w:t>
      </w:r>
      <w:r w:rsidRPr="006E3E5F">
        <w:rPr>
          <w:rFonts w:ascii="Arial" w:hAnsi="Arial" w:cs="Arial"/>
          <w:sz w:val="20"/>
          <w:szCs w:val="20"/>
        </w:rPr>
        <w:t xml:space="preserve"> The need to focus upon the interests of justice is also identified in a House of Lords decision relied upon by Mr Giurina: </w:t>
      </w:r>
      <w:r w:rsidRPr="005A5467">
        <w:rPr>
          <w:rFonts w:ascii="Arial" w:hAnsi="Arial" w:cs="Arial"/>
          <w:i/>
          <w:iCs/>
          <w:sz w:val="20"/>
          <w:szCs w:val="20"/>
        </w:rPr>
        <w:t>Mulholland v Mitchell</w:t>
      </w:r>
      <w:r w:rsidR="00D635CD">
        <w:rPr>
          <w:rFonts w:ascii="Arial" w:hAnsi="Arial" w:cs="Arial"/>
          <w:sz w:val="20"/>
          <w:szCs w:val="20"/>
        </w:rPr>
        <w:t xml:space="preserve"> [1971] AC 666.</w:t>
      </w:r>
      <w:r w:rsidRPr="006E3E5F">
        <w:rPr>
          <w:rFonts w:ascii="Arial" w:hAnsi="Arial" w:cs="Arial"/>
          <w:sz w:val="20"/>
          <w:szCs w:val="20"/>
        </w:rPr>
        <w:t xml:space="preserve"> In the context of an application to admit fresh evidence on appeal, Lord Wilberforce said</w:t>
      </w:r>
      <w:r w:rsidR="00D635CD">
        <w:rPr>
          <w:rFonts w:ascii="Arial" w:hAnsi="Arial" w:cs="Arial"/>
          <w:sz w:val="20"/>
          <w:szCs w:val="20"/>
        </w:rPr>
        <w:t xml:space="preserve"> at p.680</w:t>
      </w:r>
      <w:r w:rsidRPr="006E3E5F">
        <w:rPr>
          <w:rFonts w:ascii="Arial" w:hAnsi="Arial" w:cs="Arial"/>
          <w:sz w:val="20"/>
          <w:szCs w:val="20"/>
        </w:rPr>
        <w:t xml:space="preserve"> ‘it may be expected that courts will allow fresh evidence when to refuse it would affront common sense, or a sense of justice’.</w:t>
      </w:r>
    </w:p>
    <w:p w14:paraId="7F149596" w14:textId="7D53443D" w:rsidR="00B1628F" w:rsidRPr="006E3E5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13</w:t>
      </w:r>
      <w:r>
        <w:rPr>
          <w:rFonts w:ascii="Arial" w:hAnsi="Arial" w:cs="Arial"/>
          <w:sz w:val="20"/>
          <w:szCs w:val="20"/>
        </w:rPr>
        <w:t>]</w:t>
      </w:r>
      <w:r w:rsidRPr="006E3E5F">
        <w:rPr>
          <w:rFonts w:ascii="Arial" w:hAnsi="Arial" w:cs="Arial"/>
          <w:sz w:val="20"/>
          <w:szCs w:val="20"/>
        </w:rPr>
        <w:t xml:space="preserve"> Mr Giurina also drew the Court’s attention to </w:t>
      </w:r>
      <w:r w:rsidRPr="00C604A3">
        <w:rPr>
          <w:rFonts w:ascii="Arial" w:hAnsi="Arial" w:cs="Arial"/>
          <w:i/>
          <w:iCs/>
          <w:sz w:val="20"/>
          <w:szCs w:val="20"/>
        </w:rPr>
        <w:t>Bucic v Arnej Pty Ltd (No 4)</w:t>
      </w:r>
      <w:r w:rsidRPr="006E3E5F">
        <w:rPr>
          <w:rFonts w:ascii="Arial" w:hAnsi="Arial" w:cs="Arial"/>
          <w:sz w:val="20"/>
          <w:szCs w:val="20"/>
        </w:rPr>
        <w:t xml:space="preserve"> </w:t>
      </w:r>
      <w:r w:rsidR="00C604A3">
        <w:rPr>
          <w:rFonts w:ascii="Arial" w:hAnsi="Arial" w:cs="Arial"/>
          <w:sz w:val="20"/>
          <w:szCs w:val="20"/>
        </w:rPr>
        <w:t>[2019] VSC 527</w:t>
      </w:r>
      <w:r w:rsidRPr="006E3E5F">
        <w:rPr>
          <w:rFonts w:ascii="Arial" w:hAnsi="Arial" w:cs="Arial"/>
          <w:sz w:val="20"/>
          <w:szCs w:val="20"/>
        </w:rPr>
        <w:t xml:space="preserve">. </w:t>
      </w:r>
      <w:r w:rsidRPr="00C604A3">
        <w:rPr>
          <w:rFonts w:ascii="Arial" w:hAnsi="Arial" w:cs="Arial"/>
          <w:i/>
          <w:iCs/>
          <w:sz w:val="20"/>
          <w:szCs w:val="20"/>
        </w:rPr>
        <w:t>Bucic</w:t>
      </w:r>
      <w:r w:rsidRPr="006E3E5F">
        <w:rPr>
          <w:rFonts w:ascii="Arial" w:hAnsi="Arial" w:cs="Arial"/>
          <w:sz w:val="20"/>
          <w:szCs w:val="20"/>
        </w:rPr>
        <w:t xml:space="preserve"> concerned an application to reopen proceedings after an order disposing of the proceeding had been perfected. Zammit J said </w:t>
      </w:r>
      <w:r w:rsidR="00C604A3">
        <w:rPr>
          <w:rFonts w:ascii="Arial" w:hAnsi="Arial" w:cs="Arial"/>
          <w:sz w:val="20"/>
          <w:szCs w:val="20"/>
        </w:rPr>
        <w:t xml:space="preserve">at [22] </w:t>
      </w:r>
      <w:r w:rsidRPr="006E3E5F">
        <w:rPr>
          <w:rFonts w:ascii="Arial" w:hAnsi="Arial" w:cs="Arial"/>
          <w:sz w:val="20"/>
          <w:szCs w:val="20"/>
        </w:rPr>
        <w:t xml:space="preserve">that ‘it is extremely rare for a court to vary or set aside its own order, save for where there has been fraud, a breach of natural justice, a mistaken apprehension of law or fact or material error in the approach of the judge. The overriding reason for the rule is the importance of the principle of the finality of litigation for the parties and, indeed, all society’. However, in the present circumstances, orders have not yet been made disposing of the proceeding. This may be a distinction without a difference, having regard to the approach set out by Mason CJ and Gaudron J in </w:t>
      </w:r>
      <w:r w:rsidRPr="00C604A3">
        <w:rPr>
          <w:rFonts w:ascii="Arial" w:hAnsi="Arial" w:cs="Arial"/>
          <w:i/>
          <w:iCs/>
          <w:sz w:val="20"/>
          <w:szCs w:val="20"/>
        </w:rPr>
        <w:t>Autodesk</w:t>
      </w:r>
      <w:r w:rsidRPr="006E3E5F">
        <w:rPr>
          <w:rFonts w:ascii="Arial" w:hAnsi="Arial" w:cs="Arial"/>
          <w:sz w:val="20"/>
          <w:szCs w:val="20"/>
        </w:rPr>
        <w:t>, which stated the test in similar terms, albeit in respect of an application to reopen prior to the entry of final orders.</w:t>
      </w:r>
      <w:r>
        <w:rPr>
          <w:rFonts w:ascii="Arial" w:hAnsi="Arial" w:cs="Arial"/>
          <w:sz w:val="20"/>
          <w:szCs w:val="20"/>
        </w:rPr>
        <w:t>”</w:t>
      </w:r>
    </w:p>
    <w:p w14:paraId="243920B9" w14:textId="77777777" w:rsidR="00457498" w:rsidRPr="00836E86" w:rsidRDefault="00457498" w:rsidP="0047078B">
      <w:pPr>
        <w:jc w:val="both"/>
        <w:rPr>
          <w:rFonts w:ascii="Arial" w:hAnsi="Arial" w:cs="Arial"/>
          <w:sz w:val="20"/>
        </w:rPr>
      </w:pPr>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1007" w:name="_3.9_Costs_1"/>
      <w:bookmarkStart w:id="1008" w:name="_Hlk149197444"/>
      <w:bookmarkEnd w:id="1007"/>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3C27E962" w14:textId="77777777" w:rsidR="00B21DA4" w:rsidRDefault="00B21DA4" w:rsidP="005022CC">
      <w:pPr>
        <w:keepNext/>
        <w:jc w:val="both"/>
        <w:rPr>
          <w:rFonts w:ascii="Arial" w:hAnsi="Arial" w:cs="Arial"/>
          <w:sz w:val="20"/>
        </w:rPr>
      </w:pPr>
    </w:p>
    <w:bookmarkEnd w:id="1008"/>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DD578D">
      <w:pPr>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4E5CE6D3"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1009"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BC0484">
        <w:rPr>
          <w:rFonts w:ascii="Arial" w:hAnsi="Arial" w:cs="Arial"/>
          <w:color w:val="000000"/>
          <w:sz w:val="20"/>
          <w:szCs w:val="20"/>
        </w:rPr>
        <w:t xml:space="preserve">; </w:t>
      </w:r>
      <w:r w:rsidR="00BC0484" w:rsidRPr="00BC0484">
        <w:rPr>
          <w:rFonts w:ascii="Arial" w:hAnsi="Arial" w:cs="Arial"/>
          <w:i/>
          <w:iCs/>
          <w:color w:val="000000"/>
          <w:sz w:val="20"/>
          <w:szCs w:val="20"/>
        </w:rPr>
        <w:t>Kyne v Gerard Brandrick &amp; Associates Pty Ltd</w:t>
      </w:r>
      <w:r w:rsidR="00BC0484">
        <w:rPr>
          <w:rFonts w:ascii="Arial" w:hAnsi="Arial" w:cs="Arial"/>
          <w:color w:val="000000"/>
          <w:sz w:val="20"/>
          <w:szCs w:val="20"/>
        </w:rPr>
        <w:t xml:space="preserve"> [2025] VSCA 17 at [35]-[42] &amp; [65]-[82]</w:t>
      </w:r>
      <w:r w:rsidR="002816DF" w:rsidRPr="00DF5439">
        <w:rPr>
          <w:rFonts w:ascii="Arial" w:hAnsi="Arial" w:cs="Arial"/>
          <w:color w:val="000000"/>
          <w:sz w:val="20"/>
          <w:szCs w:val="20"/>
        </w:rPr>
        <w:t>.</w:t>
      </w:r>
      <w:bookmarkEnd w:id="1009"/>
    </w:p>
    <w:p w14:paraId="62B7BA4E" w14:textId="77777777" w:rsidR="00DD578D" w:rsidRDefault="00DD578D" w:rsidP="00DD578D">
      <w:pPr>
        <w:jc w:val="both"/>
        <w:rPr>
          <w:rFonts w:ascii="Arial" w:hAnsi="Arial" w:cs="Arial"/>
          <w:sz w:val="20"/>
          <w:szCs w:val="20"/>
        </w:rPr>
      </w:pPr>
    </w:p>
    <w:p w14:paraId="3D732BB0" w14:textId="77777777" w:rsidR="00DD578D" w:rsidRPr="00DD5CCF" w:rsidRDefault="00DD578D" w:rsidP="00DD578D">
      <w:pPr>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Children’s Court power to order that the costs of, and incidental to, a proceeding in the Children’s Court be assessed, settled, taxed or reviewed by the Costs Court. The writer doubts that this </w:t>
      </w:r>
      <w:r w:rsidRPr="00DF5439">
        <w:rPr>
          <w:rFonts w:ascii="Arial" w:hAnsi="Arial" w:cs="Arial"/>
          <w:color w:val="000000"/>
          <w:sz w:val="20"/>
          <w:szCs w:val="20"/>
        </w:rPr>
        <w:t xml:space="preserve">provision will often be used by the Children’s Court. For discussion of the power of the Costs Court to quantify costs incurrent in proceedings in a Magistrates’ Court see the judgment of Daly AsJ in </w:t>
      </w:r>
      <w:r w:rsidRPr="00DF5439">
        <w:rPr>
          <w:rFonts w:ascii="Arial" w:hAnsi="Arial" w:cs="Arial"/>
          <w:i/>
          <w:color w:val="000000"/>
          <w:sz w:val="20"/>
          <w:szCs w:val="20"/>
        </w:rPr>
        <w:t>Brown v Glen Eira (No. 2)</w:t>
      </w:r>
      <w:r w:rsidRPr="00DF5439">
        <w:rPr>
          <w:rFonts w:ascii="Arial" w:hAnsi="Arial" w:cs="Arial"/>
          <w:color w:val="000000"/>
          <w:sz w:val="20"/>
          <w:szCs w:val="20"/>
        </w:rPr>
        <w:t xml:space="preserve"> [2012] VSC 273</w:t>
      </w:r>
      <w:r w:rsidRPr="00DD5CCF">
        <w:t xml:space="preserve"> </w:t>
      </w:r>
      <w:r w:rsidRPr="00DD5CCF">
        <w:rPr>
          <w:rFonts w:ascii="Arial" w:hAnsi="Arial" w:cs="Arial"/>
          <w:sz w:val="20"/>
          <w:szCs w:val="20"/>
        </w:rPr>
        <w:t xml:space="preserve">and </w:t>
      </w:r>
      <w:r w:rsidRPr="00DD5CCF">
        <w:rPr>
          <w:rFonts w:ascii="Arial" w:hAnsi="Arial" w:cs="Arial"/>
          <w:color w:val="000000"/>
          <w:sz w:val="20"/>
          <w:szCs w:val="20"/>
        </w:rPr>
        <w:t xml:space="preserve">Williams J in </w:t>
      </w:r>
      <w:r w:rsidRPr="00DD5CCF">
        <w:rPr>
          <w:rFonts w:ascii="Arial" w:hAnsi="Arial" w:cs="Arial"/>
          <w:i/>
          <w:iCs/>
          <w:color w:val="333333"/>
          <w:sz w:val="20"/>
          <w:szCs w:val="20"/>
          <w:shd w:val="clear" w:color="auto" w:fill="FFFFFF"/>
        </w:rPr>
        <w:t>Easwaralingam v Davis &amp; Anor</w:t>
      </w:r>
      <w:r w:rsidRPr="00DD5CCF">
        <w:rPr>
          <w:rFonts w:ascii="Arial" w:hAnsi="Arial" w:cs="Arial"/>
          <w:color w:val="000000"/>
          <w:sz w:val="20"/>
          <w:szCs w:val="20"/>
        </w:rPr>
        <w:t xml:space="preserve"> [2013] VSC 651.</w:t>
      </w:r>
    </w:p>
    <w:p w14:paraId="5FABF3E0" w14:textId="77777777" w:rsidR="00DD578D" w:rsidRPr="00DF5439" w:rsidRDefault="00DD578D"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r w:rsidRPr="008A5C61">
        <w:rPr>
          <w:rFonts w:ascii="Arial" w:hAnsi="Arial" w:cs="Arial"/>
          <w:i/>
          <w:color w:val="000000"/>
          <w:sz w:val="20"/>
        </w:rPr>
        <w:t>Gippsreal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AsJ.</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6275671F" w14:textId="77777777" w:rsidR="00AB7801" w:rsidRDefault="00AB7801" w:rsidP="00AB7801">
      <w:pPr>
        <w:jc w:val="both"/>
        <w:rPr>
          <w:rFonts w:ascii="Arial" w:hAnsi="Arial" w:cs="Arial"/>
          <w:color w:val="000000"/>
          <w:sz w:val="20"/>
        </w:rPr>
      </w:pPr>
    </w:p>
    <w:p w14:paraId="4D020659" w14:textId="546E85D2" w:rsidR="00AB7801" w:rsidRDefault="00AB7801" w:rsidP="00AB7801">
      <w:pPr>
        <w:jc w:val="both"/>
        <w:rPr>
          <w:rFonts w:ascii="Arial" w:hAnsi="Arial" w:cs="Arial"/>
          <w:color w:val="000000"/>
          <w:sz w:val="20"/>
        </w:rPr>
      </w:pPr>
      <w:r>
        <w:rPr>
          <w:rFonts w:ascii="Arial" w:hAnsi="Arial" w:cs="Arial"/>
          <w:color w:val="000000"/>
          <w:sz w:val="20"/>
        </w:rPr>
        <w:t xml:space="preserve">In </w:t>
      </w:r>
      <w:r w:rsidRPr="004A14B5">
        <w:rPr>
          <w:rFonts w:ascii="Arial" w:hAnsi="Arial" w:cs="Arial"/>
          <w:i/>
          <w:iCs/>
          <w:color w:val="000000"/>
          <w:sz w:val="20"/>
        </w:rPr>
        <w:t>In the matter of an application by Aiden Davis (a pseudonym) (No 2)</w:t>
      </w:r>
      <w:r>
        <w:rPr>
          <w:rFonts w:ascii="Arial" w:hAnsi="Arial" w:cs="Arial"/>
          <w:color w:val="000000"/>
          <w:sz w:val="20"/>
        </w:rPr>
        <w:t xml:space="preserve"> [2025] VSCA 450 the applicant had applied to revoke a coercive power order previously made </w:t>
      </w:r>
      <w:r w:rsidR="00D16FB0">
        <w:rPr>
          <w:rFonts w:ascii="Arial" w:hAnsi="Arial" w:cs="Arial"/>
          <w:color w:val="000000"/>
          <w:sz w:val="20"/>
        </w:rPr>
        <w:t xml:space="preserve">against him </w:t>
      </w:r>
      <w:r>
        <w:rPr>
          <w:rFonts w:ascii="Arial" w:hAnsi="Arial" w:cs="Arial"/>
          <w:color w:val="000000"/>
          <w:sz w:val="20"/>
        </w:rPr>
        <w:t xml:space="preserve">under the </w:t>
      </w:r>
      <w:r w:rsidRPr="0016748B">
        <w:rPr>
          <w:rFonts w:ascii="Arial" w:hAnsi="Arial" w:cs="Arial"/>
          <w:i/>
          <w:iCs/>
          <w:color w:val="000000"/>
          <w:sz w:val="20"/>
        </w:rPr>
        <w:t>Major Crime (Investigative Powers) Act 2004</w:t>
      </w:r>
      <w:r>
        <w:rPr>
          <w:rFonts w:ascii="Arial" w:hAnsi="Arial" w:cs="Arial"/>
          <w:color w:val="000000"/>
          <w:sz w:val="20"/>
        </w:rPr>
        <w:t xml:space="preserve"> and also to stay this proceeding and the related proceeding. </w:t>
      </w:r>
      <w:r w:rsidR="00DA3018">
        <w:rPr>
          <w:rFonts w:ascii="Arial" w:hAnsi="Arial" w:cs="Arial"/>
          <w:color w:val="000000"/>
          <w:sz w:val="20"/>
        </w:rPr>
        <w:t>The basis of the applications was a potential conflict of interest by junior counsel for the respondent.</w:t>
      </w:r>
      <w:r w:rsidR="007D7160">
        <w:rPr>
          <w:rFonts w:ascii="Arial" w:hAnsi="Arial" w:cs="Arial"/>
          <w:color w:val="000000"/>
          <w:sz w:val="20"/>
        </w:rPr>
        <w:t xml:space="preserve"> </w:t>
      </w:r>
      <w:r>
        <w:rPr>
          <w:rFonts w:ascii="Arial" w:hAnsi="Arial" w:cs="Arial"/>
          <w:color w:val="000000"/>
          <w:sz w:val="20"/>
        </w:rPr>
        <w:t xml:space="preserve">Upon </w:t>
      </w:r>
      <w:r w:rsidR="007D7160">
        <w:rPr>
          <w:rFonts w:ascii="Arial" w:hAnsi="Arial" w:cs="Arial"/>
          <w:color w:val="000000"/>
          <w:sz w:val="20"/>
        </w:rPr>
        <w:t xml:space="preserve">the issue being raised junior counsel </w:t>
      </w:r>
      <w:r w:rsidR="00D16FB0">
        <w:rPr>
          <w:rFonts w:ascii="Arial" w:hAnsi="Arial" w:cs="Arial"/>
          <w:color w:val="000000"/>
          <w:sz w:val="20"/>
        </w:rPr>
        <w:t xml:space="preserve">had </w:t>
      </w:r>
      <w:r w:rsidR="007D7160">
        <w:rPr>
          <w:rFonts w:ascii="Arial" w:hAnsi="Arial" w:cs="Arial"/>
          <w:color w:val="000000"/>
          <w:sz w:val="20"/>
        </w:rPr>
        <w:t xml:space="preserve">immediately ceased to act. Upon </w:t>
      </w:r>
      <w:r>
        <w:rPr>
          <w:rFonts w:ascii="Arial" w:hAnsi="Arial" w:cs="Arial"/>
          <w:color w:val="000000"/>
          <w:sz w:val="20"/>
        </w:rPr>
        <w:t xml:space="preserve">the stay application being dismissed the applicant chose to make a short statement and then – despite being advised that the revocation application was still before the court – “respectfully remove[d] [him]self from the hearing” by leaving the courtroom. In his absence, an order was also made dismissing the revocation application. The </w:t>
      </w:r>
      <w:r w:rsidR="00DA3018">
        <w:rPr>
          <w:rFonts w:ascii="Arial" w:hAnsi="Arial" w:cs="Arial"/>
          <w:color w:val="000000"/>
          <w:sz w:val="20"/>
        </w:rPr>
        <w:t xml:space="preserve">Chief </w:t>
      </w:r>
      <w:r>
        <w:rPr>
          <w:rFonts w:ascii="Arial" w:hAnsi="Arial" w:cs="Arial"/>
          <w:color w:val="000000"/>
          <w:sz w:val="20"/>
        </w:rPr>
        <w:t xml:space="preserve">Commissioner </w:t>
      </w:r>
      <w:r w:rsidR="00DA3018">
        <w:rPr>
          <w:rFonts w:ascii="Arial" w:hAnsi="Arial" w:cs="Arial"/>
          <w:color w:val="000000"/>
          <w:sz w:val="20"/>
        </w:rPr>
        <w:t xml:space="preserve">of Victoria Police </w:t>
      </w:r>
      <w:r w:rsidR="00D16FB0">
        <w:rPr>
          <w:rFonts w:ascii="Arial" w:hAnsi="Arial" w:cs="Arial"/>
          <w:color w:val="000000"/>
          <w:sz w:val="20"/>
        </w:rPr>
        <w:t xml:space="preserve">sought </w:t>
      </w:r>
      <w:r>
        <w:rPr>
          <w:rFonts w:ascii="Arial" w:hAnsi="Arial" w:cs="Arial"/>
          <w:color w:val="000000"/>
          <w:sz w:val="20"/>
        </w:rPr>
        <w:t>costs in relation to the revocation application.</w:t>
      </w:r>
    </w:p>
    <w:p w14:paraId="61BA685C" w14:textId="19A4D251" w:rsidR="00AB7801" w:rsidRDefault="007D7160" w:rsidP="007D7160">
      <w:pPr>
        <w:spacing w:before="120"/>
        <w:jc w:val="both"/>
        <w:rPr>
          <w:rFonts w:ascii="Arial" w:hAnsi="Arial" w:cs="Arial"/>
          <w:color w:val="000000"/>
          <w:sz w:val="20"/>
        </w:rPr>
      </w:pPr>
      <w:r>
        <w:rPr>
          <w:rFonts w:ascii="Arial" w:hAnsi="Arial" w:cs="Arial"/>
          <w:color w:val="000000"/>
          <w:sz w:val="20"/>
        </w:rPr>
        <w:t xml:space="preserve">At [8]-[12] Elliott J discussed the relevant legal principles </w:t>
      </w:r>
      <w:r w:rsidR="00D16FB0">
        <w:rPr>
          <w:rFonts w:ascii="Arial" w:hAnsi="Arial" w:cs="Arial"/>
          <w:color w:val="000000"/>
          <w:sz w:val="20"/>
        </w:rPr>
        <w:t xml:space="preserve">relating to costs </w:t>
      </w:r>
      <w:r>
        <w:rPr>
          <w:rFonts w:ascii="Arial" w:hAnsi="Arial" w:cs="Arial"/>
          <w:color w:val="000000"/>
          <w:sz w:val="20"/>
        </w:rPr>
        <w:t>as follows:</w:t>
      </w:r>
    </w:p>
    <w:p w14:paraId="0D9AC41D" w14:textId="305E302F" w:rsidR="007D7160" w:rsidRDefault="007D7160" w:rsidP="007D7160">
      <w:pPr>
        <w:spacing w:before="60"/>
        <w:ind w:left="567" w:right="567"/>
        <w:jc w:val="both"/>
        <w:rPr>
          <w:rFonts w:ascii="Arial" w:hAnsi="Arial" w:cs="Arial"/>
          <w:color w:val="000000"/>
          <w:sz w:val="20"/>
        </w:rPr>
      </w:pPr>
      <w:r>
        <w:rPr>
          <w:rFonts w:ascii="Arial" w:hAnsi="Arial" w:cs="Arial"/>
          <w:color w:val="000000"/>
          <w:sz w:val="20"/>
        </w:rPr>
        <w:t xml:space="preserve">[8] </w:t>
      </w:r>
      <w:r w:rsidRPr="007D7160">
        <w:rPr>
          <w:rFonts w:ascii="Arial" w:hAnsi="Arial" w:cs="Arial"/>
          <w:color w:val="000000"/>
          <w:sz w:val="20"/>
        </w:rPr>
        <w:t xml:space="preserve">Section 24 of the </w:t>
      </w:r>
      <w:r w:rsidRPr="00D16FB0">
        <w:rPr>
          <w:rFonts w:ascii="Arial" w:hAnsi="Arial" w:cs="Arial"/>
          <w:i/>
          <w:iCs/>
          <w:color w:val="000000"/>
          <w:sz w:val="20"/>
        </w:rPr>
        <w:t>Supreme Court Act 1986 (Vic)</w:t>
      </w:r>
      <w:r w:rsidRPr="007D7160">
        <w:rPr>
          <w:rFonts w:ascii="Arial" w:hAnsi="Arial" w:cs="Arial"/>
          <w:color w:val="000000"/>
          <w:sz w:val="20"/>
        </w:rPr>
        <w:t xml:space="preserve"> provides:</w:t>
      </w:r>
    </w:p>
    <w:p w14:paraId="1CBCBC71" w14:textId="77777777" w:rsidR="007D7160" w:rsidRPr="007D7160" w:rsidRDefault="007D7160" w:rsidP="007D7160">
      <w:pPr>
        <w:spacing w:before="60"/>
        <w:ind w:left="1021" w:right="1021"/>
        <w:jc w:val="both"/>
        <w:rPr>
          <w:rFonts w:ascii="Arial" w:hAnsi="Arial" w:cs="Arial"/>
          <w:color w:val="000000"/>
          <w:sz w:val="18"/>
          <w:szCs w:val="22"/>
        </w:rPr>
      </w:pPr>
      <w:r w:rsidRPr="007D7160">
        <w:rPr>
          <w:rFonts w:ascii="Arial" w:hAnsi="Arial" w:cs="Arial"/>
          <w:color w:val="000000"/>
          <w:sz w:val="18"/>
          <w:szCs w:val="22"/>
        </w:rPr>
        <w:t>(1) Unless otherwise expressly provided by this or any other Act or by the Rules, costs of and incidental to all matters in this Court, including the administration of estates and trusts, is in the discretion of the Court and the Court has full powers to determine by whom and to what extent the costs are to be paid.</w:t>
      </w:r>
    </w:p>
    <w:p w14:paraId="35808AE4" w14:textId="1DEE2526" w:rsidR="007D7160" w:rsidRPr="007D7160" w:rsidRDefault="007D7160" w:rsidP="007D7160">
      <w:pPr>
        <w:spacing w:before="60"/>
        <w:ind w:left="1021" w:right="1021"/>
        <w:jc w:val="both"/>
        <w:rPr>
          <w:rFonts w:ascii="Arial" w:hAnsi="Arial" w:cs="Arial"/>
          <w:color w:val="000000"/>
          <w:sz w:val="18"/>
          <w:szCs w:val="22"/>
        </w:rPr>
      </w:pPr>
      <w:r w:rsidRPr="007D7160">
        <w:rPr>
          <w:rFonts w:ascii="Arial" w:hAnsi="Arial" w:cs="Arial"/>
          <w:color w:val="000000"/>
          <w:sz w:val="18"/>
          <w:szCs w:val="22"/>
        </w:rPr>
        <w:t>(2) Nothing in this section alters the practice in any criminal proceeding</w:t>
      </w:r>
      <w:r w:rsidR="00D16FB0" w:rsidRPr="00D16FB0">
        <w:rPr>
          <w:rFonts w:ascii="Arial" w:hAnsi="Arial" w:cs="Arial"/>
          <w:color w:val="000000"/>
          <w:sz w:val="18"/>
          <w:szCs w:val="22"/>
        </w:rPr>
        <w:t xml:space="preserve"> (not defined in the Supreme Court Act).</w:t>
      </w:r>
    </w:p>
    <w:p w14:paraId="0E46B6C4" w14:textId="084C87E4" w:rsidR="007D7160" w:rsidRDefault="007D7160" w:rsidP="007D7160">
      <w:pPr>
        <w:spacing w:before="60"/>
        <w:ind w:left="567" w:right="567"/>
        <w:jc w:val="both"/>
        <w:rPr>
          <w:rFonts w:ascii="Arial" w:hAnsi="Arial" w:cs="Arial"/>
          <w:color w:val="000000"/>
          <w:sz w:val="20"/>
        </w:rPr>
      </w:pPr>
      <w:r>
        <w:rPr>
          <w:rFonts w:ascii="Arial" w:hAnsi="Arial" w:cs="Arial"/>
          <w:color w:val="000000"/>
          <w:sz w:val="20"/>
        </w:rPr>
        <w:t xml:space="preserve">[9] </w:t>
      </w:r>
      <w:r w:rsidRPr="007D7160">
        <w:rPr>
          <w:rFonts w:ascii="Arial" w:hAnsi="Arial" w:cs="Arial"/>
          <w:color w:val="000000"/>
          <w:sz w:val="20"/>
        </w:rPr>
        <w:t xml:space="preserve">The power regarding costs must be exercised judicially. </w:t>
      </w:r>
      <w:r w:rsidR="00D16FB0">
        <w:rPr>
          <w:rFonts w:ascii="Arial" w:hAnsi="Arial" w:cs="Arial"/>
          <w:color w:val="000000"/>
          <w:sz w:val="20"/>
        </w:rPr>
        <w:t xml:space="preserve">That is, in a just and fair manner with judicial detachment: </w:t>
      </w:r>
      <w:r w:rsidR="00D16FB0" w:rsidRPr="00072E03">
        <w:rPr>
          <w:rFonts w:ascii="Arial" w:hAnsi="Arial" w:cs="Arial"/>
          <w:i/>
          <w:iCs/>
          <w:color w:val="000000"/>
          <w:sz w:val="20"/>
        </w:rPr>
        <w:t>Love v Attorney-General (NSW)</w:t>
      </w:r>
      <w:r w:rsidR="00D16FB0">
        <w:rPr>
          <w:rFonts w:ascii="Arial" w:hAnsi="Arial" w:cs="Arial"/>
          <w:color w:val="000000"/>
          <w:sz w:val="20"/>
        </w:rPr>
        <w:t xml:space="preserve"> (1990) 169 CLR 307, 322.</w:t>
      </w:r>
      <w:r w:rsidRPr="007D7160">
        <w:rPr>
          <w:rFonts w:ascii="Arial" w:hAnsi="Arial" w:cs="Arial"/>
          <w:color w:val="000000"/>
          <w:sz w:val="20"/>
        </w:rPr>
        <w:t xml:space="preserve"> The</w:t>
      </w:r>
      <w:r w:rsidR="00D16FB0">
        <w:rPr>
          <w:rFonts w:ascii="Arial" w:hAnsi="Arial" w:cs="Arial"/>
          <w:color w:val="000000"/>
          <w:sz w:val="20"/>
        </w:rPr>
        <w:t> </w:t>
      </w:r>
      <w:r w:rsidRPr="007D7160">
        <w:rPr>
          <w:rFonts w:ascii="Arial" w:hAnsi="Arial" w:cs="Arial"/>
          <w:color w:val="000000"/>
          <w:sz w:val="20"/>
        </w:rPr>
        <w:t>broad discretion must be exercised by reference only to relevant considerations and based upon facts connected with or leading up to the litigation.</w:t>
      </w:r>
    </w:p>
    <w:p w14:paraId="6BFB179A" w14:textId="13AEC2ED" w:rsidR="007D7160" w:rsidRDefault="007D7160" w:rsidP="007D7160">
      <w:pPr>
        <w:spacing w:before="60"/>
        <w:ind w:left="567" w:right="567"/>
        <w:jc w:val="both"/>
        <w:rPr>
          <w:rFonts w:ascii="Arial" w:hAnsi="Arial" w:cs="Arial"/>
          <w:color w:val="000000"/>
          <w:sz w:val="20"/>
        </w:rPr>
      </w:pPr>
      <w:r>
        <w:rPr>
          <w:rFonts w:ascii="Arial" w:hAnsi="Arial" w:cs="Arial"/>
          <w:color w:val="000000"/>
          <w:sz w:val="20"/>
        </w:rPr>
        <w:t xml:space="preserve">[10] </w:t>
      </w:r>
      <w:r w:rsidRPr="007D7160">
        <w:rPr>
          <w:rFonts w:ascii="Arial" w:hAnsi="Arial" w:cs="Arial"/>
          <w:color w:val="000000"/>
          <w:sz w:val="20"/>
        </w:rPr>
        <w:t>Generally, in proceedings that are not criminal proceedings, the rule is that costs should follow the event. Unless disqualifying conduct exists, a successful party should recover its costs even where it has not succeeded on all heads of claim</w:t>
      </w:r>
      <w:r w:rsidR="00D16FB0">
        <w:rPr>
          <w:rFonts w:ascii="Arial" w:hAnsi="Arial" w:cs="Arial"/>
          <w:color w:val="000000"/>
          <w:sz w:val="20"/>
        </w:rPr>
        <w:t xml:space="preserve">: </w:t>
      </w:r>
      <w:r w:rsidR="00D16FB0" w:rsidRPr="00072E03">
        <w:rPr>
          <w:rFonts w:ascii="Arial" w:hAnsi="Arial" w:cs="Arial"/>
          <w:i/>
          <w:iCs/>
          <w:color w:val="000000"/>
          <w:sz w:val="20"/>
        </w:rPr>
        <w:t xml:space="preserve">Chen v Chen </w:t>
      </w:r>
      <w:r w:rsidR="00D16FB0" w:rsidRPr="00072E03">
        <w:rPr>
          <w:rFonts w:ascii="Arial" w:hAnsi="Arial" w:cs="Arial"/>
          <w:i/>
          <w:iCs/>
          <w:color w:val="000000"/>
          <w:sz w:val="20"/>
        </w:rPr>
        <w:lastRenderedPageBreak/>
        <w:t>(No 2)</w:t>
      </w:r>
      <w:r w:rsidR="00D16FB0">
        <w:rPr>
          <w:rFonts w:ascii="Arial" w:hAnsi="Arial" w:cs="Arial"/>
          <w:color w:val="000000"/>
          <w:sz w:val="20"/>
        </w:rPr>
        <w:t xml:space="preserve"> [2009] VSCA 233, [10] and the cases there cited</w:t>
      </w:r>
      <w:r w:rsidRPr="007D7160">
        <w:rPr>
          <w:rFonts w:ascii="Arial" w:hAnsi="Arial" w:cs="Arial"/>
          <w:color w:val="000000"/>
          <w:sz w:val="20"/>
        </w:rPr>
        <w:t>.</w:t>
      </w:r>
      <w:r w:rsidR="00D16FB0">
        <w:rPr>
          <w:rFonts w:ascii="Arial" w:hAnsi="Arial" w:cs="Arial"/>
          <w:color w:val="000000"/>
          <w:sz w:val="20"/>
        </w:rPr>
        <w:t xml:space="preserve"> T</w:t>
      </w:r>
      <w:r w:rsidRPr="007D7160">
        <w:rPr>
          <w:rFonts w:ascii="Arial" w:hAnsi="Arial" w:cs="Arial"/>
          <w:color w:val="000000"/>
          <w:sz w:val="20"/>
        </w:rPr>
        <w:t>hat said, the flexibility of the discretionary power permits the court to examine the</w:t>
      </w:r>
      <w:r>
        <w:rPr>
          <w:rFonts w:ascii="Arial" w:hAnsi="Arial" w:cs="Arial"/>
          <w:color w:val="000000"/>
          <w:sz w:val="20"/>
        </w:rPr>
        <w:t xml:space="preserve"> </w:t>
      </w:r>
      <w:r w:rsidRPr="007D7160">
        <w:rPr>
          <w:rFonts w:ascii="Arial" w:hAnsi="Arial" w:cs="Arial"/>
          <w:color w:val="000000"/>
          <w:sz w:val="20"/>
        </w:rPr>
        <w:t>realities of the case and do substantial justice between the parties on the question of costs</w:t>
      </w:r>
      <w:r w:rsidR="00D16FB0">
        <w:rPr>
          <w:rFonts w:ascii="Arial" w:hAnsi="Arial" w:cs="Arial"/>
          <w:color w:val="000000"/>
          <w:sz w:val="20"/>
        </w:rPr>
        <w:t xml:space="preserve">: </w:t>
      </w:r>
      <w:r w:rsidR="00D16FB0" w:rsidRPr="00D16FB0">
        <w:rPr>
          <w:rFonts w:ascii="Arial" w:hAnsi="Arial" w:cs="Arial"/>
          <w:color w:val="000000"/>
          <w:sz w:val="20"/>
        </w:rPr>
        <w:t>Ibid</w:t>
      </w:r>
      <w:r w:rsidRPr="007D7160">
        <w:rPr>
          <w:rFonts w:ascii="Arial" w:hAnsi="Arial" w:cs="Arial"/>
          <w:color w:val="000000"/>
          <w:sz w:val="20"/>
        </w:rPr>
        <w:t>.</w:t>
      </w:r>
    </w:p>
    <w:p w14:paraId="0DEF1F3B" w14:textId="3214E23C" w:rsidR="007D7160" w:rsidRDefault="007D7160" w:rsidP="007D7160">
      <w:pPr>
        <w:spacing w:before="60"/>
        <w:ind w:left="567" w:right="567"/>
        <w:jc w:val="both"/>
        <w:rPr>
          <w:rFonts w:ascii="Arial" w:hAnsi="Arial" w:cs="Arial"/>
          <w:color w:val="000000"/>
          <w:sz w:val="20"/>
        </w:rPr>
      </w:pPr>
      <w:r>
        <w:rPr>
          <w:rFonts w:ascii="Arial" w:hAnsi="Arial" w:cs="Arial"/>
          <w:color w:val="000000"/>
          <w:sz w:val="20"/>
        </w:rPr>
        <w:t xml:space="preserve">[11] </w:t>
      </w:r>
      <w:r w:rsidRPr="007D7160">
        <w:rPr>
          <w:rFonts w:ascii="Arial" w:hAnsi="Arial" w:cs="Arial"/>
          <w:color w:val="000000"/>
          <w:sz w:val="20"/>
        </w:rPr>
        <w:t>The broad statutory power to award costs pursuant to section 24 applies to criminal proceedings</w:t>
      </w:r>
      <w:r w:rsidR="00D16FB0">
        <w:rPr>
          <w:rFonts w:ascii="Arial" w:hAnsi="Arial" w:cs="Arial"/>
          <w:color w:val="000000"/>
          <w:sz w:val="20"/>
        </w:rPr>
        <w:t xml:space="preserve">: </w:t>
      </w:r>
      <w:r w:rsidR="00D16FB0" w:rsidRPr="00072E03">
        <w:rPr>
          <w:rFonts w:ascii="Arial" w:hAnsi="Arial" w:cs="Arial"/>
          <w:i/>
          <w:iCs/>
          <w:color w:val="000000"/>
          <w:sz w:val="20"/>
        </w:rPr>
        <w:t>Commonwealth Director of Public Prosecutions v Brady</w:t>
      </w:r>
      <w:r w:rsidR="00D16FB0">
        <w:rPr>
          <w:rFonts w:ascii="Arial" w:hAnsi="Arial" w:cs="Arial"/>
          <w:color w:val="000000"/>
          <w:sz w:val="20"/>
        </w:rPr>
        <w:t xml:space="preserve"> [2019] VSC 397, [38]-[39] following </w:t>
      </w:r>
      <w:r w:rsidR="00D16FB0" w:rsidRPr="00072E03">
        <w:rPr>
          <w:rFonts w:ascii="Arial" w:hAnsi="Arial" w:cs="Arial"/>
          <w:i/>
          <w:iCs/>
          <w:color w:val="000000"/>
          <w:sz w:val="20"/>
        </w:rPr>
        <w:t>R v Garth</w:t>
      </w:r>
      <w:r w:rsidR="00D16FB0">
        <w:rPr>
          <w:rFonts w:ascii="Arial" w:hAnsi="Arial" w:cs="Arial"/>
          <w:color w:val="000000"/>
          <w:sz w:val="20"/>
        </w:rPr>
        <w:t xml:space="preserve"> (2008) 21 VR 203, 209 [27]</w:t>
      </w:r>
      <w:r w:rsidRPr="007D7160">
        <w:rPr>
          <w:rFonts w:ascii="Arial" w:hAnsi="Arial" w:cs="Arial"/>
          <w:color w:val="000000"/>
          <w:sz w:val="20"/>
        </w:rPr>
        <w:t>.</w:t>
      </w:r>
      <w:r w:rsidR="00D16FB0">
        <w:rPr>
          <w:rFonts w:ascii="Arial" w:hAnsi="Arial" w:cs="Arial"/>
          <w:color w:val="000000"/>
          <w:sz w:val="20"/>
        </w:rPr>
        <w:t xml:space="preserve"> </w:t>
      </w:r>
      <w:r w:rsidRPr="007D7160">
        <w:rPr>
          <w:rFonts w:ascii="Arial" w:hAnsi="Arial" w:cs="Arial"/>
          <w:color w:val="000000"/>
          <w:sz w:val="20"/>
        </w:rPr>
        <w:t>However, how that power is to be exercised is informed by section 24(2). Plainly, the legislature intended a manifestly different approach in relation to criminal proceedings, reflected by the well-established general practice in criminal proceedings that the Crown neither gives or receives costs</w:t>
      </w:r>
      <w:r w:rsidR="00F322ED">
        <w:rPr>
          <w:rFonts w:ascii="Arial" w:hAnsi="Arial" w:cs="Arial"/>
          <w:color w:val="000000"/>
          <w:sz w:val="20"/>
        </w:rPr>
        <w:t xml:space="preserve">: Ibid, [46]; </w:t>
      </w:r>
      <w:r w:rsidR="00F322ED" w:rsidRPr="00F322ED">
        <w:rPr>
          <w:rFonts w:ascii="Arial" w:hAnsi="Arial" w:cs="Arial"/>
          <w:i/>
          <w:iCs/>
          <w:color w:val="000000"/>
          <w:sz w:val="20"/>
        </w:rPr>
        <w:t>Perkins v County Court of Victoria</w:t>
      </w:r>
      <w:r w:rsidR="00F322ED">
        <w:rPr>
          <w:rFonts w:ascii="Arial" w:hAnsi="Arial" w:cs="Arial"/>
          <w:color w:val="000000"/>
          <w:sz w:val="20"/>
        </w:rPr>
        <w:t xml:space="preserve"> (2000) 2 VR 246, 266 [40]</w:t>
      </w:r>
      <w:r w:rsidRPr="007D7160">
        <w:rPr>
          <w:rFonts w:ascii="Arial" w:hAnsi="Arial" w:cs="Arial"/>
          <w:color w:val="000000"/>
          <w:sz w:val="20"/>
        </w:rPr>
        <w:t>. In addition to the absence of any power at common law to award costs to or against any public or private prosecutor, the underlying policy behind this practice is that an accused is entitled to put the prosecution to proof without risking her or his assets (beyond personally incurring any legal costs in defending the allegations); and that position is reciprocated</w:t>
      </w:r>
      <w:r w:rsidR="00F322ED">
        <w:rPr>
          <w:rFonts w:ascii="Arial" w:hAnsi="Arial" w:cs="Arial"/>
          <w:color w:val="000000"/>
          <w:sz w:val="20"/>
        </w:rPr>
        <w:t>: Ibid, [47]-[49] and the cases there cited.</w:t>
      </w:r>
    </w:p>
    <w:p w14:paraId="038D05BD" w14:textId="669E0DCC" w:rsidR="007D7160" w:rsidRDefault="007D7160" w:rsidP="007D7160">
      <w:pPr>
        <w:spacing w:before="60"/>
        <w:ind w:left="567" w:right="567"/>
        <w:jc w:val="both"/>
        <w:rPr>
          <w:rFonts w:ascii="Arial" w:hAnsi="Arial" w:cs="Arial"/>
          <w:color w:val="000000"/>
          <w:sz w:val="20"/>
        </w:rPr>
      </w:pPr>
      <w:r>
        <w:rPr>
          <w:rFonts w:ascii="Arial" w:hAnsi="Arial" w:cs="Arial"/>
          <w:color w:val="000000"/>
          <w:sz w:val="20"/>
        </w:rPr>
        <w:t xml:space="preserve">[12] </w:t>
      </w:r>
      <w:r w:rsidRPr="007D7160">
        <w:rPr>
          <w:rFonts w:ascii="Arial" w:hAnsi="Arial" w:cs="Arial"/>
          <w:color w:val="000000"/>
          <w:sz w:val="20"/>
        </w:rPr>
        <w:t>Although section 24(2) is confined to the practice in criminal proceedings, the existence of that practice may also inform the court as to how its discretion should be exercised in quasi-criminal proceedings, or proceedings that are related to criminal proceedings or quasi-criminal proceedings.</w:t>
      </w:r>
      <w:r w:rsidR="00F322ED">
        <w:rPr>
          <w:rFonts w:ascii="Arial" w:hAnsi="Arial" w:cs="Arial"/>
          <w:color w:val="000000"/>
          <w:sz w:val="20"/>
        </w:rPr>
        <w:t xml:space="preserve"> See, for example, </w:t>
      </w:r>
      <w:r w:rsidR="00F322ED" w:rsidRPr="00F322ED">
        <w:rPr>
          <w:rFonts w:ascii="Arial" w:hAnsi="Arial" w:cs="Arial"/>
          <w:i/>
          <w:iCs/>
          <w:color w:val="000000"/>
          <w:sz w:val="20"/>
        </w:rPr>
        <w:t>Commissioner of Australian Federal Police v Opal Storm Pty Ltd</w:t>
      </w:r>
      <w:r w:rsidR="00F322ED">
        <w:rPr>
          <w:rFonts w:ascii="Arial" w:hAnsi="Arial" w:cs="Arial"/>
          <w:color w:val="000000"/>
          <w:sz w:val="20"/>
        </w:rPr>
        <w:t xml:space="preserve"> [2018] VSCA 301, [72]-[73]. As to the meaning of “quasi-criminal”, albeit in different contexts, see </w:t>
      </w:r>
      <w:r w:rsidR="00F322ED" w:rsidRPr="00F322ED">
        <w:rPr>
          <w:rFonts w:ascii="Arial" w:hAnsi="Arial" w:cs="Arial"/>
          <w:i/>
          <w:iCs/>
          <w:color w:val="000000"/>
          <w:sz w:val="20"/>
        </w:rPr>
        <w:t>Gentner v Police Registration and Services Board &amp; Anor</w:t>
      </w:r>
      <w:r w:rsidR="00F322ED" w:rsidRPr="00F322ED">
        <w:rPr>
          <w:rFonts w:ascii="Arial" w:hAnsi="Arial" w:cs="Arial"/>
          <w:color w:val="000000"/>
          <w:sz w:val="20"/>
        </w:rPr>
        <w:t xml:space="preserve"> [2024] VSC 507, [1]; </w:t>
      </w:r>
      <w:r w:rsidR="00F322ED" w:rsidRPr="00F322ED">
        <w:rPr>
          <w:rFonts w:ascii="Arial" w:hAnsi="Arial" w:cs="Arial"/>
          <w:i/>
          <w:iCs/>
          <w:color w:val="000000"/>
          <w:sz w:val="20"/>
        </w:rPr>
        <w:t>Western Truck Towing Pty Ltd v Magistrates’ Court (Vic)</w:t>
      </w:r>
      <w:r w:rsidR="00F322ED" w:rsidRPr="00F322ED">
        <w:rPr>
          <w:rFonts w:ascii="Arial" w:hAnsi="Arial" w:cs="Arial"/>
          <w:color w:val="000000"/>
          <w:sz w:val="20"/>
        </w:rPr>
        <w:t xml:space="preserve"> [2014] VSC 88, [17], [32]-[34]; </w:t>
      </w:r>
      <w:r w:rsidR="00F322ED" w:rsidRPr="00F322ED">
        <w:rPr>
          <w:rFonts w:ascii="Arial" w:hAnsi="Arial" w:cs="Arial"/>
          <w:i/>
          <w:iCs/>
          <w:color w:val="000000"/>
          <w:sz w:val="20"/>
        </w:rPr>
        <w:t>Australian Competition and Consumer Commission v Australian Safeway Stores Pty Ltd</w:t>
      </w:r>
      <w:r w:rsidR="00F322ED" w:rsidRPr="00F322ED">
        <w:rPr>
          <w:rFonts w:ascii="Arial" w:hAnsi="Arial" w:cs="Arial"/>
          <w:color w:val="000000"/>
          <w:sz w:val="20"/>
        </w:rPr>
        <w:t xml:space="preserve"> (No 3) [2002] FCA 1294, [53]-[55]</w:t>
      </w:r>
      <w:r w:rsidR="00F322ED">
        <w:rPr>
          <w:rFonts w:ascii="Arial" w:hAnsi="Arial" w:cs="Arial"/>
          <w:color w:val="000000"/>
          <w:sz w:val="20"/>
        </w:rPr>
        <w:t xml:space="preserve">. </w:t>
      </w:r>
      <w:r w:rsidRPr="007D7160">
        <w:rPr>
          <w:rFonts w:ascii="Arial" w:hAnsi="Arial" w:cs="Arial"/>
          <w:color w:val="000000"/>
          <w:sz w:val="20"/>
        </w:rPr>
        <w:t>Naturally, each case must be considered according to its own particular facts and circumstances.</w:t>
      </w:r>
      <w:r>
        <w:rPr>
          <w:rFonts w:ascii="Arial" w:hAnsi="Arial" w:cs="Arial"/>
          <w:color w:val="000000"/>
          <w:sz w:val="20"/>
        </w:rPr>
        <w:t>”</w:t>
      </w:r>
    </w:p>
    <w:p w14:paraId="4263440B" w14:textId="4AE520B6" w:rsidR="00AB7801" w:rsidRDefault="00DD578D" w:rsidP="00DD578D">
      <w:pPr>
        <w:spacing w:before="120"/>
        <w:jc w:val="both"/>
        <w:rPr>
          <w:rFonts w:ascii="Arial" w:hAnsi="Arial" w:cs="Arial"/>
          <w:color w:val="000000"/>
          <w:sz w:val="20"/>
        </w:rPr>
      </w:pPr>
      <w:r>
        <w:rPr>
          <w:rFonts w:ascii="Arial" w:hAnsi="Arial" w:cs="Arial"/>
          <w:color w:val="000000"/>
          <w:sz w:val="20"/>
        </w:rPr>
        <w:t>At [39] his Honour said:</w:t>
      </w:r>
    </w:p>
    <w:p w14:paraId="35F50247" w14:textId="6913F91B" w:rsidR="00DD578D" w:rsidRDefault="00DD578D" w:rsidP="00DD578D">
      <w:pPr>
        <w:spacing w:before="60"/>
        <w:ind w:left="567" w:right="567"/>
        <w:jc w:val="both"/>
        <w:rPr>
          <w:rFonts w:ascii="Arial" w:hAnsi="Arial" w:cs="Arial"/>
          <w:color w:val="000000"/>
          <w:sz w:val="20"/>
        </w:rPr>
      </w:pPr>
      <w:r>
        <w:rPr>
          <w:rFonts w:ascii="Arial" w:hAnsi="Arial" w:cs="Arial"/>
          <w:color w:val="000000"/>
          <w:sz w:val="20"/>
        </w:rPr>
        <w:t>“</w:t>
      </w:r>
      <w:r w:rsidRPr="00DA3018">
        <w:rPr>
          <w:rFonts w:ascii="Arial" w:hAnsi="Arial" w:cs="Arial"/>
          <w:color w:val="000000"/>
          <w:sz w:val="20"/>
        </w:rPr>
        <w:t xml:space="preserve">Although not a criminal proceeding, there could be no controversy that the nature of this proceeding could be properly referred to as being, at the very least, of a </w:t>
      </w:r>
      <w:r>
        <w:rPr>
          <w:rFonts w:ascii="Arial" w:hAnsi="Arial" w:cs="Arial"/>
          <w:color w:val="000000"/>
          <w:sz w:val="20"/>
        </w:rPr>
        <w:t>‘</w:t>
      </w:r>
      <w:r w:rsidRPr="00DA3018">
        <w:rPr>
          <w:rFonts w:ascii="Arial" w:hAnsi="Arial" w:cs="Arial"/>
          <w:color w:val="000000"/>
          <w:sz w:val="20"/>
        </w:rPr>
        <w:t>related nature</w:t>
      </w:r>
      <w:r>
        <w:rPr>
          <w:rFonts w:ascii="Arial" w:hAnsi="Arial" w:cs="Arial"/>
          <w:color w:val="000000"/>
          <w:sz w:val="20"/>
        </w:rPr>
        <w:t>’</w:t>
      </w:r>
      <w:r w:rsidRPr="00DA3018">
        <w:rPr>
          <w:rFonts w:ascii="Arial" w:hAnsi="Arial" w:cs="Arial"/>
          <w:color w:val="000000"/>
          <w:sz w:val="20"/>
        </w:rPr>
        <w:t xml:space="preserve"> (and hence that is why the procedures governing this proceeding fall within the ambit of the Criminal Procedure Rules). There is no provision in the Criminal Procedure Rules which provides for the exercise of power or discretion relating to costs.</w:t>
      </w:r>
      <w:r>
        <w:rPr>
          <w:rFonts w:ascii="Arial" w:hAnsi="Arial" w:cs="Arial"/>
          <w:color w:val="000000"/>
          <w:sz w:val="20"/>
        </w:rPr>
        <w:t>”</w:t>
      </w:r>
    </w:p>
    <w:p w14:paraId="172D691E" w14:textId="1C03AB83" w:rsidR="007D7160" w:rsidRDefault="00DD578D" w:rsidP="00DD578D">
      <w:pPr>
        <w:spacing w:before="120"/>
        <w:jc w:val="both"/>
        <w:rPr>
          <w:rFonts w:ascii="Arial" w:hAnsi="Arial" w:cs="Arial"/>
          <w:color w:val="000000"/>
          <w:sz w:val="20"/>
        </w:rPr>
      </w:pPr>
      <w:r>
        <w:rPr>
          <w:rFonts w:ascii="Arial" w:hAnsi="Arial" w:cs="Arial"/>
          <w:color w:val="000000"/>
          <w:sz w:val="20"/>
        </w:rPr>
        <w:t>Ultimately, f</w:t>
      </w:r>
      <w:r w:rsidR="00CC53C2">
        <w:rPr>
          <w:rFonts w:ascii="Arial" w:hAnsi="Arial" w:cs="Arial"/>
          <w:color w:val="000000"/>
          <w:sz w:val="20"/>
        </w:rPr>
        <w:t>or reasons set out at [45]-[48]</w:t>
      </w:r>
      <w:r>
        <w:rPr>
          <w:rFonts w:ascii="Arial" w:hAnsi="Arial" w:cs="Arial"/>
          <w:color w:val="000000"/>
          <w:sz w:val="20"/>
        </w:rPr>
        <w:t>,</w:t>
      </w:r>
      <w:r w:rsidR="00CC53C2">
        <w:rPr>
          <w:rFonts w:ascii="Arial" w:hAnsi="Arial" w:cs="Arial"/>
          <w:color w:val="000000"/>
          <w:sz w:val="20"/>
        </w:rPr>
        <w:t xml:space="preserve"> Elliott J refused the Commissioner’s application for costs on the basis that “</w:t>
      </w:r>
      <w:r w:rsidR="00CC53C2" w:rsidRPr="00AB7801">
        <w:rPr>
          <w:rFonts w:ascii="Arial" w:hAnsi="Arial" w:cs="Arial"/>
          <w:color w:val="000000"/>
          <w:sz w:val="20"/>
        </w:rPr>
        <w:t>the interests of justice have been served as a result of the making of the Revocation Application</w:t>
      </w:r>
      <w:r w:rsidR="00CC53C2">
        <w:rPr>
          <w:rFonts w:ascii="Arial" w:hAnsi="Arial" w:cs="Arial"/>
          <w:color w:val="000000"/>
          <w:sz w:val="20"/>
        </w:rPr>
        <w:t>”.</w:t>
      </w:r>
    </w:p>
    <w:p w14:paraId="5EEDC397" w14:textId="77777777" w:rsidR="00AB7801" w:rsidRPr="00213989" w:rsidRDefault="00AB7801" w:rsidP="00213989">
      <w:pPr>
        <w:jc w:val="both"/>
        <w:textAlignment w:val="baseline"/>
        <w:rPr>
          <w:rFonts w:ascii="Arial" w:hAnsi="Arial" w:cs="Arial"/>
          <w:color w:val="000000"/>
          <w:sz w:val="20"/>
          <w:szCs w:val="20"/>
          <w:lang w:eastAsia="en-AU"/>
        </w:rPr>
      </w:pPr>
    </w:p>
    <w:p w14:paraId="44963388" w14:textId="0B563F43"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r w:rsidR="00B43D18" w:rsidRPr="000C4907">
        <w:rPr>
          <w:rFonts w:ascii="Arial" w:hAnsi="Arial" w:cs="Arial"/>
          <w:i/>
          <w:iCs/>
          <w:sz w:val="20"/>
        </w:rPr>
        <w:t>Millsave Holdings Pty Ltd &amp; Ors</w:t>
      </w:r>
      <w:r w:rsidR="00B43D18">
        <w:rPr>
          <w:rFonts w:ascii="Arial" w:hAnsi="Arial" w:cs="Arial"/>
          <w:sz w:val="20"/>
        </w:rPr>
        <w:t xml:space="preserve"> v </w:t>
      </w:r>
      <w:r w:rsidR="00B43D18" w:rsidRPr="000C4907">
        <w:rPr>
          <w:rFonts w:ascii="Arial" w:hAnsi="Arial" w:cs="Arial"/>
          <w:i/>
          <w:iCs/>
          <w:sz w:val="20"/>
        </w:rPr>
        <w:t>Slea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r w:rsidR="00B43D18" w:rsidRPr="00B43D18">
        <w:rPr>
          <w:rFonts w:ascii="Arial" w:hAnsi="Arial" w:cs="Arial"/>
          <w:sz w:val="20"/>
          <w:szCs w:val="20"/>
        </w:rPr>
        <w:t>Slea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lastRenderedPageBreak/>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(3) Where there is a multiplicity of issues and mixed success has been enjoyed by the parties, a Court may take a pragmatic approach in framing the order for costs, taking into consideration the success (or lack of success) of the parties on an issues basis. 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Tsalamandris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r w:rsidRPr="00535250">
        <w:rPr>
          <w:rFonts w:ascii="Arial" w:hAnsi="Arial" w:cs="Arial"/>
          <w:i/>
          <w:iCs/>
          <w:sz w:val="20"/>
          <w:szCs w:val="20"/>
        </w:rPr>
        <w:t>Oshlack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r w:rsidRPr="00535250">
        <w:rPr>
          <w:rFonts w:ascii="Arial" w:hAnsi="Arial" w:cs="Arial"/>
          <w:i/>
          <w:iCs/>
          <w:sz w:val="20"/>
          <w:szCs w:val="20"/>
        </w:rPr>
        <w:t>Oshlack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Siemens Gamesa Renewable Energy Pty Ltd v Bulgana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r w:rsidRPr="00D21820">
        <w:rPr>
          <w:rFonts w:ascii="Arial" w:hAnsi="Arial" w:cs="Arial"/>
          <w:i/>
          <w:iCs/>
          <w:sz w:val="20"/>
        </w:rPr>
        <w:t>Oshlack v Richmond River Council</w:t>
      </w:r>
      <w:r>
        <w:rPr>
          <w:rFonts w:ascii="Arial" w:hAnsi="Arial" w:cs="Arial"/>
          <w:i/>
          <w:iCs/>
          <w:sz w:val="20"/>
        </w:rPr>
        <w:t xml:space="preserve"> </w:t>
      </w:r>
      <w:r w:rsidRPr="002B5121">
        <w:rPr>
          <w:rFonts w:ascii="Arial" w:hAnsi="Arial" w:cs="Arial"/>
          <w:sz w:val="20"/>
        </w:rPr>
        <w:t xml:space="preserve">(1998) 193 CLR 72, 88 [40], </w:t>
      </w:r>
      <w:r w:rsidRPr="002B5121">
        <w:rPr>
          <w:rFonts w:ascii="Arial" w:hAnsi="Arial" w:cs="Arial"/>
          <w:sz w:val="20"/>
        </w:rPr>
        <w:lastRenderedPageBreak/>
        <w:t>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In relation to the contention that the proceeding concerned the ‘public interest’, I accept that this may provide a basis for departing from the usual rule (although it does not require such departure)</w:t>
      </w:r>
      <w:r>
        <w:rPr>
          <w:rFonts w:ascii="Arial" w:hAnsi="Arial" w:cs="Arial"/>
          <w:sz w:val="20"/>
        </w:rPr>
        <w:t xml:space="preserve">: see </w:t>
      </w:r>
      <w:r w:rsidRPr="00D21820">
        <w:rPr>
          <w:rFonts w:ascii="Arial" w:hAnsi="Arial" w:cs="Arial"/>
          <w:i/>
          <w:iCs/>
          <w:sz w:val="20"/>
        </w:rPr>
        <w:t>Oshlack</w:t>
      </w:r>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However, in the present case I do not accept the applicant’s submission 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Absent exceptional circumstances, the financial position of a party is not a matter relevant to the exercise of the costs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w:t>
      </w:r>
      <w:r w:rsidRPr="00C87054">
        <w:rPr>
          <w:rFonts w:ascii="Arial" w:hAnsi="Arial" w:cs="Arial"/>
          <w:b/>
          <w:bCs/>
          <w:sz w:val="20"/>
        </w:rPr>
        <w:t>indemnity</w:t>
      </w:r>
      <w:r>
        <w:rPr>
          <w:rFonts w:ascii="Arial" w:hAnsi="Arial" w:cs="Arial"/>
          <w:sz w:val="20"/>
        </w:rPr>
        <w:t xml:space="preserve">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Tsalamandris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61A65149" w14:textId="77777777" w:rsidR="00C87054" w:rsidRDefault="00C87054" w:rsidP="00C87054">
      <w:pPr>
        <w:jc w:val="both"/>
        <w:rPr>
          <w:rFonts w:ascii="Arial" w:hAnsi="Arial" w:cs="Arial"/>
          <w:sz w:val="20"/>
        </w:rPr>
      </w:pPr>
    </w:p>
    <w:p w14:paraId="11E4F710" w14:textId="08C668F8" w:rsidR="00C87054" w:rsidRDefault="00C87054" w:rsidP="00C87054">
      <w:pPr>
        <w:jc w:val="both"/>
        <w:rPr>
          <w:rFonts w:ascii="Arial" w:hAnsi="Arial" w:cs="Arial"/>
          <w:sz w:val="20"/>
        </w:rPr>
      </w:pPr>
      <w:r>
        <w:rPr>
          <w:rFonts w:ascii="Arial" w:hAnsi="Arial" w:cs="Arial"/>
          <w:sz w:val="20"/>
        </w:rPr>
        <w:t xml:space="preserve">In awarding indemnity costs against the plaintiffs in </w:t>
      </w:r>
      <w:r w:rsidRPr="00C87054">
        <w:rPr>
          <w:rFonts w:ascii="Arial" w:hAnsi="Arial" w:cs="Arial"/>
          <w:i/>
          <w:iCs/>
          <w:sz w:val="20"/>
        </w:rPr>
        <w:t>Nikolic &amp; Anor v Nationwide News Pty Limited &amp; Twitter International Company (X Corp Inc)</w:t>
      </w:r>
      <w:r w:rsidRPr="00C87054">
        <w:rPr>
          <w:rFonts w:ascii="Arial" w:hAnsi="Arial" w:cs="Arial"/>
          <w:sz w:val="20"/>
        </w:rPr>
        <w:t xml:space="preserve"> [2025] VSCA 112</w:t>
      </w:r>
      <w:r>
        <w:rPr>
          <w:rFonts w:ascii="Arial" w:hAnsi="Arial" w:cs="Arial"/>
          <w:sz w:val="20"/>
        </w:rPr>
        <w:t>, Beach JA said at [47]:</w:t>
      </w:r>
    </w:p>
    <w:p w14:paraId="5E141064" w14:textId="201C7496" w:rsidR="00C87054" w:rsidRDefault="00C87054" w:rsidP="00C87054">
      <w:pPr>
        <w:spacing w:before="80"/>
        <w:ind w:left="567" w:right="567"/>
        <w:jc w:val="both"/>
        <w:rPr>
          <w:rFonts w:ascii="Arial" w:hAnsi="Arial" w:cs="Arial"/>
          <w:sz w:val="20"/>
          <w:szCs w:val="20"/>
        </w:rPr>
      </w:pPr>
      <w:r>
        <w:rPr>
          <w:rFonts w:ascii="Arial" w:hAnsi="Arial" w:cs="Arial"/>
          <w:sz w:val="20"/>
          <w:szCs w:val="20"/>
        </w:rPr>
        <w:t>“I</w:t>
      </w:r>
      <w:r w:rsidRPr="00C87054">
        <w:rPr>
          <w:rFonts w:ascii="Arial" w:hAnsi="Arial" w:cs="Arial"/>
          <w:sz w:val="20"/>
          <w:szCs w:val="20"/>
        </w:rPr>
        <w:t>n short, I have concluded that Nationwide and Twitter should have their costs on the indemnity basis because the plaintiffs’ applications for leave to appeal were manifestly hopeless. Moreover, the plaintiffs were on notice that the arguments they advanced were doomed to fail and, despite that, they continued to persist with them, and to make serious and baseless allegations of misconduct against the defendants and their lawyers — which allegations could not, in any event, affect the correctness of the decisions they sought to impugn.</w:t>
      </w:r>
      <w:r>
        <w:rPr>
          <w:rFonts w:ascii="Arial" w:hAnsi="Arial" w:cs="Arial"/>
          <w:sz w:val="20"/>
          <w:szCs w:val="20"/>
        </w:rPr>
        <w:t>”</w:t>
      </w:r>
    </w:p>
    <w:p w14:paraId="3EE9A6EC" w14:textId="18D8D23A" w:rsidR="00A6486E" w:rsidRPr="00A6486E" w:rsidRDefault="00A6486E" w:rsidP="00A6486E">
      <w:pPr>
        <w:spacing w:before="60"/>
        <w:jc w:val="both"/>
        <w:rPr>
          <w:rFonts w:ascii="Arial" w:hAnsi="Arial" w:cs="Arial"/>
          <w:sz w:val="20"/>
        </w:rPr>
      </w:pPr>
      <w:r>
        <w:rPr>
          <w:rFonts w:ascii="Arial" w:hAnsi="Arial" w:cs="Arial"/>
          <w:sz w:val="20"/>
        </w:rPr>
        <w:lastRenderedPageBreak/>
        <w:t xml:space="preserve">In an interesting side issue, </w:t>
      </w:r>
      <w:r w:rsidRPr="00A6486E">
        <w:rPr>
          <w:rFonts w:ascii="Arial" w:hAnsi="Arial" w:cs="Arial"/>
          <w:sz w:val="20"/>
        </w:rPr>
        <w:t xml:space="preserve">his Honour discussed </w:t>
      </w:r>
      <w:r>
        <w:rPr>
          <w:rFonts w:ascii="Arial" w:hAnsi="Arial" w:cs="Arial"/>
          <w:sz w:val="20"/>
        </w:rPr>
        <w:t>a</w:t>
      </w:r>
      <w:r w:rsidRPr="00A6486E">
        <w:rPr>
          <w:rFonts w:ascii="Arial" w:hAnsi="Arial" w:cs="Arial"/>
          <w:sz w:val="20"/>
        </w:rPr>
        <w:t xml:space="preserve">t [36]-[39] </w:t>
      </w:r>
      <w:r>
        <w:rPr>
          <w:rFonts w:ascii="Arial" w:hAnsi="Arial" w:cs="Arial"/>
          <w:sz w:val="20"/>
        </w:rPr>
        <w:t xml:space="preserve">three fictitious “judgments” referred to and relied on by </w:t>
      </w:r>
      <w:r w:rsidRPr="00A6486E">
        <w:rPr>
          <w:rFonts w:ascii="Arial" w:hAnsi="Arial" w:cs="Arial"/>
          <w:sz w:val="20"/>
        </w:rPr>
        <w:t>the plaintiffs</w:t>
      </w:r>
      <w:r>
        <w:rPr>
          <w:rFonts w:ascii="Arial" w:hAnsi="Arial" w:cs="Arial"/>
          <w:sz w:val="20"/>
        </w:rPr>
        <w:t xml:space="preserve"> </w:t>
      </w:r>
      <w:r w:rsidRPr="00A6486E">
        <w:rPr>
          <w:rFonts w:ascii="Arial" w:hAnsi="Arial" w:cs="Arial"/>
          <w:sz w:val="20"/>
        </w:rPr>
        <w:t>on the question of costs</w:t>
      </w:r>
      <w:r>
        <w:rPr>
          <w:rFonts w:ascii="Arial" w:hAnsi="Arial" w:cs="Arial"/>
          <w:sz w:val="20"/>
        </w:rPr>
        <w:t>,</w:t>
      </w:r>
      <w:r w:rsidRPr="00A6486E">
        <w:rPr>
          <w:rFonts w:ascii="Arial" w:hAnsi="Arial" w:cs="Arial"/>
          <w:sz w:val="20"/>
        </w:rPr>
        <w:t xml:space="preserve"> conclud</w:t>
      </w:r>
      <w:r>
        <w:rPr>
          <w:rFonts w:ascii="Arial" w:hAnsi="Arial" w:cs="Arial"/>
          <w:sz w:val="20"/>
        </w:rPr>
        <w:t>ing</w:t>
      </w:r>
      <w:r w:rsidRPr="00A6486E">
        <w:rPr>
          <w:rFonts w:ascii="Arial" w:hAnsi="Arial" w:cs="Arial"/>
          <w:sz w:val="20"/>
        </w:rPr>
        <w:t xml:space="preserve"> at [39]:</w:t>
      </w:r>
    </w:p>
    <w:p w14:paraId="24B58713" w14:textId="77777777" w:rsidR="00A6486E" w:rsidRPr="00A6486E" w:rsidRDefault="00A6486E" w:rsidP="007F2382">
      <w:pPr>
        <w:spacing w:before="60"/>
        <w:ind w:left="567" w:right="567"/>
        <w:jc w:val="both"/>
        <w:rPr>
          <w:rFonts w:ascii="Arial" w:hAnsi="Arial" w:cs="Arial"/>
          <w:sz w:val="20"/>
        </w:rPr>
      </w:pPr>
      <w:r w:rsidRPr="00A6486E">
        <w:rPr>
          <w:rFonts w:ascii="Arial" w:hAnsi="Arial" w:cs="Arial"/>
          <w:sz w:val="20"/>
        </w:rPr>
        <w:t xml:space="preserve">“In the end, the only conclusion I can reach is that, like </w:t>
      </w:r>
      <w:r w:rsidRPr="00A6486E">
        <w:rPr>
          <w:rFonts w:ascii="Arial" w:hAnsi="Arial" w:cs="Arial"/>
          <w:i/>
          <w:iCs/>
          <w:sz w:val="20"/>
        </w:rPr>
        <w:t>DZY v State of Victoria</w:t>
      </w:r>
      <w:r w:rsidRPr="00A6486E">
        <w:rPr>
          <w:rFonts w:ascii="Arial" w:hAnsi="Arial" w:cs="Arial"/>
          <w:sz w:val="20"/>
        </w:rPr>
        <w:t>, these two decisions do not exist in the real world. They are most probably ‘hallucinations’ of the kind referred to in paragraph 7(a) of the New South Wales Supreme Court Practice Note SC Gen 23, which deals with the use of generative artificial intelligence (Gen AI) in that Court.”</w:t>
      </w:r>
    </w:p>
    <w:p w14:paraId="14B9E203" w14:textId="77777777" w:rsidR="00A6486E" w:rsidRDefault="00A6486E" w:rsidP="00A6486E">
      <w:pPr>
        <w:jc w:val="both"/>
        <w:rPr>
          <w:rFonts w:ascii="Arial" w:hAnsi="Arial" w:cs="Arial"/>
          <w:sz w:val="20"/>
        </w:rPr>
      </w:pPr>
    </w:p>
    <w:p w14:paraId="2B8E323E" w14:textId="5EAE9453" w:rsidR="00AF51BD" w:rsidRDefault="00176FC3" w:rsidP="00756C52">
      <w:pPr>
        <w:jc w:val="both"/>
        <w:rPr>
          <w:rFonts w:ascii="Arial" w:hAnsi="Arial" w:cs="Arial"/>
          <w:sz w:val="20"/>
        </w:rPr>
      </w:pPr>
      <w:r>
        <w:rPr>
          <w:rFonts w:ascii="Arial" w:hAnsi="Arial" w:cs="Arial"/>
          <w:sz w:val="20"/>
        </w:rPr>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4509F5">
        <w:rPr>
          <w:rFonts w:ascii="Arial" w:hAnsi="Arial" w:cs="Arial"/>
          <w:sz w:val="20"/>
        </w:rPr>
        <w:t xml:space="preserve">; </w:t>
      </w:r>
      <w:r w:rsidR="004509F5" w:rsidRPr="004509F5">
        <w:rPr>
          <w:rFonts w:ascii="Arial" w:hAnsi="Arial" w:cs="Arial"/>
          <w:i/>
          <w:iCs/>
          <w:sz w:val="20"/>
        </w:rPr>
        <w:t>Dal Broi v Nicholas James Lawyers Pty Ltd (Costs)</w:t>
      </w:r>
      <w:r w:rsidR="004509F5" w:rsidRPr="004509F5">
        <w:rPr>
          <w:rFonts w:ascii="Arial" w:hAnsi="Arial" w:cs="Arial"/>
          <w:sz w:val="20"/>
        </w:rPr>
        <w:t xml:space="preserve"> [2024] VSC 755</w:t>
      </w:r>
      <w:r w:rsidR="003E02B7">
        <w:rPr>
          <w:rFonts w:ascii="Arial" w:hAnsi="Arial" w:cs="Arial"/>
          <w:sz w:val="20"/>
        </w:rPr>
        <w:t xml:space="preserve">; </w:t>
      </w:r>
      <w:r w:rsidR="003E02B7" w:rsidRPr="003E02B7">
        <w:rPr>
          <w:rFonts w:ascii="Arial" w:hAnsi="Arial" w:cs="Arial"/>
          <w:i/>
          <w:iCs/>
          <w:sz w:val="20"/>
        </w:rPr>
        <w:t>LL UP Pty Ltd v Kegland Distribution Pty Ltd (No 2)</w:t>
      </w:r>
      <w:r w:rsidR="003E02B7">
        <w:rPr>
          <w:rFonts w:ascii="Arial" w:hAnsi="Arial" w:cs="Arial"/>
          <w:sz w:val="20"/>
        </w:rPr>
        <w:t xml:space="preserve"> [2024] VSC 801</w:t>
      </w:r>
      <w:r w:rsidR="00567EDC">
        <w:rPr>
          <w:rFonts w:ascii="Arial" w:hAnsi="Arial" w:cs="Arial"/>
          <w:sz w:val="20"/>
        </w:rPr>
        <w:t xml:space="preserve">; </w:t>
      </w:r>
      <w:r w:rsidR="00567EDC" w:rsidRPr="00567EDC">
        <w:rPr>
          <w:rFonts w:ascii="Arial" w:hAnsi="Arial" w:cs="Arial"/>
          <w:i/>
          <w:iCs/>
          <w:sz w:val="20"/>
        </w:rPr>
        <w:t>LDY Pty Ltd &amp; Anor v GE &amp; L International Investment Pty Ltd &amp; Ors (No 6)</w:t>
      </w:r>
      <w:r w:rsidR="00567EDC" w:rsidRPr="00567EDC">
        <w:rPr>
          <w:rFonts w:ascii="Arial" w:hAnsi="Arial" w:cs="Arial"/>
          <w:sz w:val="20"/>
        </w:rPr>
        <w:t xml:space="preserve"> [2024] VSC 810</w:t>
      </w:r>
      <w:r w:rsidR="00567EDC">
        <w:rPr>
          <w:rFonts w:ascii="Arial" w:hAnsi="Arial" w:cs="Arial"/>
          <w:sz w:val="20"/>
        </w:rPr>
        <w:t xml:space="preserve">; </w:t>
      </w:r>
      <w:r w:rsidR="00567EDC" w:rsidRPr="00567EDC">
        <w:rPr>
          <w:rFonts w:ascii="Arial" w:hAnsi="Arial" w:cs="Arial"/>
          <w:i/>
          <w:iCs/>
          <w:sz w:val="20"/>
        </w:rPr>
        <w:t>B8 Group Pty Ltd v GE &amp; L International Investment Pty Ltd &amp; Ors</w:t>
      </w:r>
      <w:r w:rsidR="00567EDC" w:rsidRPr="00567EDC">
        <w:rPr>
          <w:rFonts w:ascii="Arial" w:hAnsi="Arial" w:cs="Arial"/>
          <w:sz w:val="20"/>
        </w:rPr>
        <w:t xml:space="preserve"> [2024] VSC 811</w:t>
      </w:r>
      <w:r w:rsidR="00DC4340">
        <w:rPr>
          <w:rFonts w:ascii="Arial" w:hAnsi="Arial" w:cs="Arial"/>
          <w:sz w:val="20"/>
        </w:rPr>
        <w:t xml:space="preserve"> and [2025] VSC 240 at [7]</w:t>
      </w:r>
      <w:r w:rsidR="003B3515">
        <w:rPr>
          <w:rFonts w:ascii="Arial" w:hAnsi="Arial" w:cs="Arial"/>
          <w:sz w:val="20"/>
        </w:rPr>
        <w:t xml:space="preserve">; </w:t>
      </w:r>
      <w:r w:rsidR="003B3515" w:rsidRPr="003B3515">
        <w:rPr>
          <w:rFonts w:ascii="Arial" w:hAnsi="Arial" w:cs="Arial"/>
          <w:i/>
          <w:iCs/>
          <w:sz w:val="20"/>
        </w:rPr>
        <w:t>Kuksal v Victorian Legal Services Board (Costs)</w:t>
      </w:r>
      <w:r w:rsidR="003B3515" w:rsidRPr="003B3515">
        <w:rPr>
          <w:rFonts w:ascii="Arial" w:hAnsi="Arial" w:cs="Arial"/>
          <w:sz w:val="20"/>
        </w:rPr>
        <w:t xml:space="preserve"> [2025] VSC 48</w:t>
      </w:r>
      <w:r w:rsidR="00170125">
        <w:rPr>
          <w:rFonts w:ascii="Arial" w:hAnsi="Arial" w:cs="Arial"/>
          <w:sz w:val="20"/>
        </w:rPr>
        <w:t xml:space="preserve"> at [9]-[12]</w:t>
      </w:r>
      <w:r w:rsidR="00756C52">
        <w:rPr>
          <w:rFonts w:ascii="Arial" w:hAnsi="Arial" w:cs="Arial"/>
          <w:sz w:val="20"/>
        </w:rPr>
        <w:t xml:space="preserve">; </w:t>
      </w:r>
      <w:r w:rsidR="00756C52" w:rsidRPr="00756C52">
        <w:rPr>
          <w:rFonts w:ascii="Arial" w:hAnsi="Arial" w:cs="Arial"/>
          <w:i/>
          <w:iCs/>
          <w:sz w:val="20"/>
        </w:rPr>
        <w:t xml:space="preserve">Kuksal v State of Victoria (Costs) </w:t>
      </w:r>
      <w:r w:rsidR="00756C52" w:rsidRPr="00756C52">
        <w:rPr>
          <w:rFonts w:ascii="Arial" w:hAnsi="Arial" w:cs="Arial"/>
          <w:sz w:val="20"/>
        </w:rPr>
        <w:t>[2025] VSC 251</w:t>
      </w:r>
      <w:r w:rsidR="00756C52">
        <w:rPr>
          <w:rFonts w:ascii="Arial" w:hAnsi="Arial" w:cs="Arial"/>
          <w:sz w:val="20"/>
        </w:rPr>
        <w:t xml:space="preserve">; </w:t>
      </w:r>
      <w:r w:rsidR="00756C52" w:rsidRPr="00756C52">
        <w:rPr>
          <w:rFonts w:ascii="Arial" w:hAnsi="Arial" w:cs="Arial"/>
          <w:i/>
          <w:iCs/>
          <w:sz w:val="20"/>
        </w:rPr>
        <w:t>Rokon Holding Pty Ltd v River St Property Nominees Pty Ltd (No 2)</w:t>
      </w:r>
      <w:r w:rsidR="00756C52" w:rsidRPr="00756C52">
        <w:rPr>
          <w:rFonts w:ascii="Arial" w:hAnsi="Arial" w:cs="Arial"/>
          <w:sz w:val="20"/>
        </w:rPr>
        <w:t xml:space="preserve"> [2025] VSC 252</w:t>
      </w:r>
      <w:r w:rsidR="00E8466B">
        <w:rPr>
          <w:rFonts w:ascii="Arial" w:hAnsi="Arial" w:cs="Arial"/>
          <w:sz w:val="20"/>
        </w:rPr>
        <w:t xml:space="preserve">; </w:t>
      </w:r>
      <w:r w:rsidR="00E8466B" w:rsidRPr="00E8466B">
        <w:rPr>
          <w:rFonts w:ascii="Arial" w:hAnsi="Arial" w:cs="Arial"/>
          <w:i/>
          <w:iCs/>
          <w:sz w:val="20"/>
        </w:rPr>
        <w:t>Mitchell Asset Management Pty Ltd v Di Pasquale (No 2)</w:t>
      </w:r>
      <w:r w:rsidR="00E8466B" w:rsidRPr="00E8466B">
        <w:rPr>
          <w:rFonts w:ascii="Arial" w:hAnsi="Arial" w:cs="Arial"/>
          <w:sz w:val="20"/>
        </w:rPr>
        <w:t xml:space="preserve"> [2025] VSC 346</w:t>
      </w:r>
      <w:r w:rsidR="00AF51BD">
        <w:rPr>
          <w:rFonts w:ascii="Arial" w:hAnsi="Arial" w:cs="Arial"/>
          <w:sz w:val="20"/>
        </w:rPr>
        <w:t xml:space="preserve">; </w:t>
      </w:r>
      <w:r w:rsidR="00AF51BD" w:rsidRPr="00AF51BD">
        <w:rPr>
          <w:rFonts w:ascii="Arial" w:hAnsi="Arial" w:cs="Arial"/>
          <w:i/>
          <w:iCs/>
          <w:sz w:val="20"/>
        </w:rPr>
        <w:t>Hoare v Amberlowe Pty Ltd &amp; Ors</w:t>
      </w:r>
      <w:r w:rsidR="00AF51BD" w:rsidRPr="00AF51BD">
        <w:rPr>
          <w:rFonts w:ascii="Arial" w:hAnsi="Arial" w:cs="Arial"/>
          <w:sz w:val="20"/>
        </w:rPr>
        <w:t xml:space="preserve"> [2025] VSC 425</w:t>
      </w:r>
      <w:r w:rsidR="00DA19F7">
        <w:rPr>
          <w:rFonts w:ascii="Arial" w:hAnsi="Arial" w:cs="Arial"/>
          <w:sz w:val="20"/>
        </w:rPr>
        <w:t xml:space="preserve">; </w:t>
      </w:r>
      <w:bookmarkStart w:id="1010" w:name="_Hlk205196602"/>
      <w:r w:rsidR="00DA19F7" w:rsidRPr="00DA19F7">
        <w:rPr>
          <w:rFonts w:ascii="Arial" w:hAnsi="Arial" w:cs="Arial"/>
          <w:i/>
          <w:iCs/>
          <w:sz w:val="20"/>
        </w:rPr>
        <w:t xml:space="preserve">Cottrell v Miglic </w:t>
      </w:r>
      <w:r w:rsidR="003A4185" w:rsidRPr="003A4185">
        <w:rPr>
          <w:rFonts w:ascii="Arial" w:hAnsi="Arial" w:cs="Arial"/>
          <w:sz w:val="20"/>
        </w:rPr>
        <w:t xml:space="preserve">[No 2] </w:t>
      </w:r>
      <w:r w:rsidR="00DA19F7">
        <w:rPr>
          <w:rFonts w:ascii="Arial" w:hAnsi="Arial" w:cs="Arial"/>
          <w:sz w:val="20"/>
        </w:rPr>
        <w:t>[2025] VSCA 177 at [19]-[25]</w:t>
      </w:r>
      <w:r w:rsidR="00AF51BD">
        <w:rPr>
          <w:rFonts w:ascii="Arial" w:hAnsi="Arial" w:cs="Arial"/>
          <w:sz w:val="20"/>
        </w:rPr>
        <w:t>.</w:t>
      </w:r>
      <w:bookmarkEnd w:id="1010"/>
    </w:p>
    <w:p w14:paraId="6CC36C2A" w14:textId="77777777" w:rsidR="00DA19F7" w:rsidRDefault="00DA19F7" w:rsidP="00756C52">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r w:rsidR="0090605F" w:rsidRPr="0090605F">
        <w:rPr>
          <w:rFonts w:ascii="Arial" w:hAnsi="Arial" w:cs="Arial"/>
          <w:bCs/>
          <w:i/>
          <w:iCs/>
          <w:sz w:val="20"/>
          <w:szCs w:val="20"/>
        </w:rPr>
        <w:t>Piccolotto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DPP v Tuteru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Tuteru’s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1011" w:name="_Toc30652645"/>
      <w:bookmarkStart w:id="1012" w:name="_Toc30652743"/>
      <w:bookmarkStart w:id="1013" w:name="_Toc30654088"/>
      <w:bookmarkStart w:id="1014" w:name="_Toc30654439"/>
      <w:bookmarkStart w:id="1015" w:name="_Toc30655058"/>
      <w:bookmarkStart w:id="1016" w:name="_Toc30655315"/>
      <w:bookmarkStart w:id="1017" w:name="_Toc30656993"/>
      <w:bookmarkStart w:id="1018" w:name="_Toc30661742"/>
      <w:bookmarkStart w:id="1019" w:name="_Toc30666430"/>
      <w:bookmarkStart w:id="1020" w:name="_Toc30666660"/>
      <w:bookmarkStart w:id="1021" w:name="_Toc30667835"/>
      <w:bookmarkStart w:id="1022" w:name="_Toc30669213"/>
      <w:bookmarkStart w:id="1023" w:name="_Toc30671429"/>
      <w:bookmarkStart w:id="1024" w:name="_Toc30673956"/>
      <w:bookmarkStart w:id="1025" w:name="_Toc30691178"/>
      <w:bookmarkStart w:id="1026" w:name="_Toc30691549"/>
      <w:bookmarkStart w:id="1027" w:name="_Toc30691929"/>
      <w:bookmarkStart w:id="1028" w:name="_Toc30692688"/>
      <w:bookmarkStart w:id="1029" w:name="_Toc30693067"/>
      <w:bookmarkStart w:id="1030" w:name="_Toc30693445"/>
      <w:bookmarkStart w:id="1031" w:name="_Toc30693824"/>
      <w:bookmarkStart w:id="1032" w:name="_Toc30694205"/>
      <w:bookmarkStart w:id="1033" w:name="_Toc30698794"/>
      <w:bookmarkStart w:id="1034" w:name="_Toc30699172"/>
      <w:bookmarkStart w:id="1035" w:name="_Toc30699557"/>
      <w:bookmarkStart w:id="1036" w:name="_Toc30700712"/>
      <w:bookmarkStart w:id="1037" w:name="_Toc30701099"/>
      <w:bookmarkStart w:id="1038" w:name="_Toc30743708"/>
      <w:bookmarkStart w:id="1039" w:name="_Toc30754530"/>
      <w:bookmarkStart w:id="1040" w:name="_Toc30756970"/>
      <w:bookmarkStart w:id="1041" w:name="_Toc30757519"/>
      <w:bookmarkStart w:id="1042" w:name="_Toc30757919"/>
      <w:bookmarkStart w:id="1043" w:name="_Toc30762680"/>
      <w:bookmarkStart w:id="1044" w:name="_Toc30767334"/>
      <w:bookmarkStart w:id="1045"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46" w:name="_3.9.1_Criminal_Division"/>
      <w:bookmarkStart w:id="1047" w:name="B391"/>
      <w:bookmarkStart w:id="1048" w:name="_Toc58831512"/>
      <w:bookmarkEnd w:id="1046"/>
      <w:bookmarkEnd w:id="1047"/>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8"/>
    </w:p>
    <w:p w14:paraId="65895A58" w14:textId="051BD397"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r w:rsidR="00B21DA4">
        <w:rPr>
          <w:rFonts w:ascii="Arial" w:hAnsi="Arial" w:cs="Arial"/>
          <w:i/>
          <w:iCs/>
          <w:sz w:val="20"/>
        </w:rPr>
        <w:t>Latoudis v Casey</w:t>
      </w:r>
      <w:r w:rsidR="00B21DA4">
        <w:rPr>
          <w:rFonts w:ascii="Arial" w:hAnsi="Arial" w:cs="Arial"/>
          <w:sz w:val="20"/>
        </w:rPr>
        <w:t xml:space="preserve"> (1991) 170 CLR 534 where Mason CJ (who with Toohey &amp; McHugh JJ formed the majority) held that in criminal proceedings</w:t>
      </w:r>
      <w:r w:rsidR="00366998" w:rsidRPr="00A31FFA">
        <w:rPr>
          <w:rFonts w:ascii="Arial" w:hAnsi="Arial" w:cs="Arial"/>
          <w:sz w:val="20"/>
        </w:rPr>
        <w:t>–</w:t>
      </w:r>
    </w:p>
    <w:p w14:paraId="615BBC1B" w14:textId="71D777E1" w:rsidR="00B21DA4" w:rsidRDefault="003A5F36" w:rsidP="000F0BE9">
      <w:pPr>
        <w:spacing w:before="60" w:after="60"/>
        <w:ind w:left="454" w:right="454"/>
        <w:jc w:val="both"/>
        <w:rPr>
          <w:rFonts w:ascii="Arial" w:hAnsi="Arial" w:cs="Arial"/>
          <w:sz w:val="20"/>
        </w:rPr>
      </w:pPr>
      <w:r>
        <w:rPr>
          <w:rFonts w:ascii="Arial" w:hAnsi="Arial" w:cs="Arial"/>
          <w:sz w:val="20"/>
        </w:rPr>
        <w:t xml:space="preserve">At p.544: </w:t>
      </w:r>
      <w:r w:rsidR="00B21DA4">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32C9DDBD" w14:textId="22B2B369" w:rsidR="003A5F36" w:rsidRDefault="003A5F36" w:rsidP="000F0BE9">
      <w:pPr>
        <w:spacing w:before="60" w:after="60"/>
        <w:ind w:left="454" w:right="454"/>
        <w:jc w:val="both"/>
        <w:rPr>
          <w:rFonts w:ascii="Arial" w:hAnsi="Arial" w:cs="Arial"/>
          <w:iCs/>
          <w:sz w:val="20"/>
        </w:rPr>
      </w:pPr>
      <w:r>
        <w:rPr>
          <w:rFonts w:ascii="Arial" w:hAnsi="Arial" w:cs="Arial"/>
          <w:sz w:val="20"/>
        </w:rPr>
        <w:t>At pp.542-3: “…[</w:t>
      </w:r>
      <w:r w:rsidRPr="003A5F36">
        <w:rPr>
          <w:rFonts w:ascii="Arial" w:hAnsi="Arial" w:cs="Arial"/>
          <w:sz w:val="20"/>
        </w:rPr>
        <w:t>I</w:t>
      </w:r>
      <w:r>
        <w:rPr>
          <w:rFonts w:ascii="Arial" w:hAnsi="Arial" w:cs="Arial"/>
          <w:sz w:val="20"/>
        </w:rPr>
        <w:t>]</w:t>
      </w:r>
      <w:r w:rsidRPr="003A5F36">
        <w:rPr>
          <w:rFonts w:ascii="Arial" w:hAnsi="Arial" w:cs="Arial"/>
          <w:sz w:val="20"/>
        </w:rPr>
        <w:t xml:space="preserve">n exercising its discretion to award or refuse costs, a court should look at the matter primarily from the perspective of the defendant. To do so conforms to fundamental </w:t>
      </w:r>
      <w:r w:rsidRPr="003A5F36">
        <w:rPr>
          <w:rFonts w:ascii="Arial" w:hAnsi="Arial" w:cs="Arial"/>
          <w:sz w:val="20"/>
        </w:rPr>
        <w:lastRenderedPageBreak/>
        <w:t>principle. If one thing is clear in the realm of costs, it is that, in criminal as well as civil proceedings, costs are not awarded by way of punishment of the unsuccessful party. They are compensatory in the sense that they are awarded to indemnify the successful party against the expense to which he or she has been put by reason of the legal proceedings</w:t>
      </w:r>
      <w:r>
        <w:rPr>
          <w:rFonts w:ascii="Arial" w:hAnsi="Arial" w:cs="Arial"/>
          <w:sz w:val="20"/>
        </w:rPr>
        <w:t>..</w:t>
      </w:r>
      <w:r w:rsidRPr="003A5F36">
        <w:rPr>
          <w:rFonts w:ascii="Arial" w:hAnsi="Arial" w:cs="Arial"/>
          <w:sz w:val="20"/>
        </w:rPr>
        <w:t>.</w:t>
      </w:r>
      <w:r>
        <w:rPr>
          <w:rFonts w:ascii="Arial" w:hAnsi="Arial" w:cs="Arial"/>
          <w:sz w:val="20"/>
        </w:rPr>
        <w:t>”</w:t>
      </w:r>
    </w:p>
    <w:p w14:paraId="6A696111" w14:textId="45D0FAED" w:rsidR="0021207A" w:rsidRDefault="0021207A" w:rsidP="001F6C29">
      <w:pPr>
        <w:tabs>
          <w:tab w:val="left" w:pos="6480"/>
        </w:tabs>
        <w:spacing w:before="120"/>
        <w:jc w:val="both"/>
        <w:rPr>
          <w:rFonts w:ascii="Arial" w:hAnsi="Arial" w:cs="Arial"/>
          <w:sz w:val="20"/>
        </w:rPr>
      </w:pPr>
      <w:r>
        <w:rPr>
          <w:rFonts w:ascii="Arial" w:hAnsi="Arial" w:cs="Arial"/>
          <w:sz w:val="20"/>
        </w:rPr>
        <w:t xml:space="preserve">At p.561-2 Toohey J quoted with approval dicta from the Full Court of the Victorian Supreme Court in </w:t>
      </w:r>
      <w:r w:rsidRPr="00C9352E">
        <w:rPr>
          <w:rFonts w:ascii="Arial" w:hAnsi="Arial" w:cs="Arial"/>
          <w:i/>
          <w:iCs/>
          <w:sz w:val="20"/>
        </w:rPr>
        <w:t>Puddy v Borg</w:t>
      </w:r>
      <w:r>
        <w:rPr>
          <w:rFonts w:ascii="Arial" w:hAnsi="Arial" w:cs="Arial"/>
          <w:sz w:val="20"/>
        </w:rPr>
        <w:t xml:space="preserve"> [1973] VR 626 at 628:</w:t>
      </w:r>
    </w:p>
    <w:p w14:paraId="327E2149" w14:textId="159FBB95" w:rsidR="006010C0" w:rsidRDefault="006010C0" w:rsidP="006010C0">
      <w:pPr>
        <w:spacing w:before="60" w:after="60"/>
        <w:ind w:left="454" w:right="454"/>
        <w:jc w:val="both"/>
        <w:rPr>
          <w:rFonts w:ascii="Arial" w:hAnsi="Arial" w:cs="Arial"/>
          <w:iCs/>
          <w:sz w:val="20"/>
        </w:rPr>
      </w:pPr>
      <w:r>
        <w:rPr>
          <w:rFonts w:ascii="Arial" w:hAnsi="Arial" w:cs="Arial"/>
          <w:iCs/>
          <w:sz w:val="20"/>
        </w:rPr>
        <w:t>“The discretion is one to be exercised in each case according to its own circumstances.</w:t>
      </w:r>
      <w:r w:rsidR="008D67F8">
        <w:rPr>
          <w:rFonts w:ascii="Arial" w:hAnsi="Arial" w:cs="Arial"/>
          <w:iCs/>
          <w:sz w:val="20"/>
        </w:rPr>
        <w:t xml:space="preserve"> Beyond limiting the power to such costs as to the court seems just and reasonable, the sub-section does not otherwise circumscribe the discretion conferred.”</w:t>
      </w:r>
    </w:p>
    <w:p w14:paraId="75E94B29" w14:textId="544B6DB0" w:rsidR="0021207A" w:rsidRDefault="008D67F8">
      <w:pPr>
        <w:tabs>
          <w:tab w:val="left" w:pos="6480"/>
        </w:tabs>
        <w:jc w:val="both"/>
        <w:rPr>
          <w:rFonts w:ascii="Arial" w:hAnsi="Arial" w:cs="Arial"/>
          <w:sz w:val="20"/>
        </w:rPr>
      </w:pPr>
      <w:r>
        <w:rPr>
          <w:rFonts w:ascii="Arial" w:hAnsi="Arial" w:cs="Arial"/>
          <w:sz w:val="20"/>
        </w:rPr>
        <w:t xml:space="preserve">See also the judgment of Mason CJ at </w:t>
      </w:r>
      <w:r w:rsidR="00C9352E">
        <w:rPr>
          <w:rFonts w:ascii="Arial" w:hAnsi="Arial" w:cs="Arial"/>
          <w:sz w:val="20"/>
        </w:rPr>
        <w:t>pp.</w:t>
      </w:r>
      <w:r>
        <w:rPr>
          <w:rFonts w:ascii="Arial" w:hAnsi="Arial" w:cs="Arial"/>
          <w:sz w:val="20"/>
        </w:rPr>
        <w:t xml:space="preserve">539-40 (also citing with approval dicta from </w:t>
      </w:r>
      <w:r w:rsidRPr="008D67F8">
        <w:rPr>
          <w:rFonts w:ascii="Arial" w:hAnsi="Arial" w:cs="Arial"/>
          <w:i/>
          <w:iCs/>
          <w:sz w:val="20"/>
        </w:rPr>
        <w:t>Puddy v Borg</w:t>
      </w:r>
      <w:r>
        <w:rPr>
          <w:rFonts w:ascii="Arial" w:hAnsi="Arial" w:cs="Arial"/>
          <w:sz w:val="20"/>
        </w:rPr>
        <w:t xml:space="preserve"> at 628) and the judgment of McHugh J at </w:t>
      </w:r>
      <w:r w:rsidR="00C9352E">
        <w:rPr>
          <w:rFonts w:ascii="Arial" w:hAnsi="Arial" w:cs="Arial"/>
          <w:sz w:val="20"/>
        </w:rPr>
        <w:t>pp.</w:t>
      </w:r>
      <w:r>
        <w:rPr>
          <w:rFonts w:ascii="Arial" w:hAnsi="Arial" w:cs="Arial"/>
          <w:sz w:val="20"/>
        </w:rPr>
        <w:t>566-7.</w:t>
      </w:r>
    </w:p>
    <w:p w14:paraId="327D00E3" w14:textId="2B025D7A" w:rsidR="0021207A" w:rsidRDefault="006010C0" w:rsidP="001F6C29">
      <w:pPr>
        <w:tabs>
          <w:tab w:val="left" w:pos="6480"/>
        </w:tabs>
        <w:spacing w:before="120"/>
        <w:jc w:val="both"/>
        <w:rPr>
          <w:rFonts w:ascii="Arial" w:hAnsi="Arial" w:cs="Arial"/>
          <w:sz w:val="20"/>
        </w:rPr>
      </w:pPr>
      <w:r>
        <w:rPr>
          <w:rFonts w:ascii="Arial" w:hAnsi="Arial" w:cs="Arial"/>
          <w:sz w:val="20"/>
        </w:rPr>
        <w:t xml:space="preserve">At </w:t>
      </w:r>
      <w:r w:rsidR="0021207A">
        <w:rPr>
          <w:rFonts w:ascii="Arial" w:hAnsi="Arial" w:cs="Arial"/>
          <w:sz w:val="20"/>
        </w:rPr>
        <w:t xml:space="preserve">p.565 Toohey J cited dicta of Kirby P noting </w:t>
      </w:r>
      <w:r w:rsidR="0021207A" w:rsidRPr="0021207A">
        <w:rPr>
          <w:rFonts w:ascii="Arial" w:hAnsi="Arial" w:cs="Arial"/>
          <w:sz w:val="20"/>
        </w:rPr>
        <w:t>a very significant distinction between costs in civil and criminal proceedings</w:t>
      </w:r>
      <w:r w:rsidR="0021207A">
        <w:rPr>
          <w:rFonts w:ascii="Arial" w:hAnsi="Arial" w:cs="Arial"/>
          <w:sz w:val="20"/>
        </w:rPr>
        <w:t>:</w:t>
      </w:r>
    </w:p>
    <w:p w14:paraId="4C6D7A96" w14:textId="4C3F3804" w:rsidR="0021207A" w:rsidRPr="0021207A" w:rsidRDefault="0021207A" w:rsidP="0021207A">
      <w:pPr>
        <w:spacing w:before="60" w:after="60"/>
        <w:ind w:left="454" w:right="454"/>
        <w:jc w:val="both"/>
        <w:rPr>
          <w:rFonts w:ascii="Arial" w:hAnsi="Arial" w:cs="Arial"/>
          <w:iCs/>
          <w:sz w:val="20"/>
        </w:rPr>
      </w:pPr>
      <w:r>
        <w:rPr>
          <w:rFonts w:ascii="Arial" w:hAnsi="Arial" w:cs="Arial"/>
          <w:iCs/>
          <w:sz w:val="20"/>
        </w:rPr>
        <w:t>“</w:t>
      </w:r>
      <w:r w:rsidRPr="0021207A">
        <w:rPr>
          <w:rFonts w:ascii="Arial" w:hAnsi="Arial" w:cs="Arial"/>
          <w:sz w:val="20"/>
        </w:rPr>
        <w:t xml:space="preserve">If a prosecution has failed, it would ordinarily be just and reasonable to award the defendant costs, because the defendant has incurred expense, perhaps very considerable expense, in defending the charge. What Kirby P said in </w:t>
      </w:r>
      <w:r w:rsidRPr="0021207A">
        <w:rPr>
          <w:rFonts w:ascii="Arial" w:hAnsi="Arial" w:cs="Arial"/>
          <w:i/>
          <w:iCs/>
          <w:sz w:val="20"/>
        </w:rPr>
        <w:t>Acuthan v Coates</w:t>
      </w:r>
      <w:r w:rsidRPr="0021207A">
        <w:rPr>
          <w:rFonts w:ascii="Arial" w:hAnsi="Arial" w:cs="Arial"/>
          <w:sz w:val="20"/>
        </w:rPr>
        <w:t xml:space="preserve"> (1986) 6 NSWLR 472 at 480 of defendants to committal proceedings is apposite:</w:t>
      </w:r>
    </w:p>
    <w:p w14:paraId="76D87B9D" w14:textId="4CBCBA7A" w:rsidR="0021207A" w:rsidRDefault="0021207A" w:rsidP="0021207A">
      <w:pPr>
        <w:spacing w:before="60"/>
        <w:ind w:left="907" w:right="907"/>
        <w:jc w:val="both"/>
        <w:rPr>
          <w:rFonts w:ascii="Arial" w:hAnsi="Arial" w:cs="Arial"/>
          <w:iCs/>
          <w:sz w:val="20"/>
        </w:rPr>
      </w:pPr>
      <w:r>
        <w:rPr>
          <w:rFonts w:ascii="Arial" w:hAnsi="Arial" w:cs="Arial"/>
          <w:sz w:val="20"/>
        </w:rPr>
        <w:t>‘</w:t>
      </w:r>
      <w:r w:rsidRPr="0021207A">
        <w:rPr>
          <w:rFonts w:ascii="Arial" w:hAnsi="Arial" w:cs="Arial"/>
          <w:sz w:val="20"/>
        </w:rPr>
        <w:t>The section recognises that persons accused of criminal offences can be put to a great deal of expense in defending themselves. Unlike civil litigation, they cannot simply compromise the matter. Their liberty, reputation and pocket are, or may be, at risk</w:t>
      </w:r>
      <w:r>
        <w:rPr>
          <w:rFonts w:ascii="Arial" w:hAnsi="Arial" w:cs="Arial"/>
          <w:sz w:val="20"/>
        </w:rPr>
        <w:t>.’”</w:t>
      </w:r>
    </w:p>
    <w:p w14:paraId="174C455B" w14:textId="225B30D6" w:rsidR="00B21DA4" w:rsidRDefault="00B21DA4" w:rsidP="001F6C29">
      <w:pPr>
        <w:tabs>
          <w:tab w:val="left" w:pos="6480"/>
        </w:tabs>
        <w:spacing w:before="120"/>
        <w:jc w:val="both"/>
        <w:rPr>
          <w:rFonts w:ascii="Arial" w:hAnsi="Arial" w:cs="Arial"/>
          <w:sz w:val="20"/>
        </w:rPr>
      </w:pPr>
      <w:r>
        <w:rPr>
          <w:rFonts w:ascii="Arial" w:hAnsi="Arial" w:cs="Arial"/>
          <w:sz w:val="20"/>
        </w:rPr>
        <w:t>A</w:t>
      </w:r>
      <w:r w:rsidR="001F6C29">
        <w:rPr>
          <w:rFonts w:ascii="Arial" w:hAnsi="Arial" w:cs="Arial"/>
          <w:sz w:val="20"/>
        </w:rPr>
        <w:t>nd a</w:t>
      </w:r>
      <w:r>
        <w:rPr>
          <w:rFonts w:ascii="Arial" w:hAnsi="Arial" w:cs="Arial"/>
          <w:sz w:val="20"/>
        </w:rPr>
        <w:t>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33AF45AD" w:rsidR="00B21DA4" w:rsidRDefault="00B21DA4" w:rsidP="00CF3D8C">
      <w:pPr>
        <w:spacing w:after="120"/>
        <w:jc w:val="both"/>
        <w:rPr>
          <w:rFonts w:ascii="Arial" w:hAnsi="Arial" w:cs="Arial"/>
          <w:sz w:val="20"/>
        </w:rPr>
      </w:pPr>
      <w:r>
        <w:rPr>
          <w:rFonts w:ascii="Arial" w:hAnsi="Arial" w:cs="Arial"/>
          <w:sz w:val="20"/>
        </w:rPr>
        <w:t xml:space="preserve">In </w:t>
      </w:r>
      <w:r>
        <w:rPr>
          <w:rFonts w:ascii="Arial" w:hAnsi="Arial" w:cs="Arial"/>
          <w:i/>
          <w:iCs/>
          <w:sz w:val="20"/>
        </w:rPr>
        <w:t>Jandreoski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r>
        <w:rPr>
          <w:rFonts w:ascii="Arial" w:hAnsi="Arial" w:cs="Arial"/>
          <w:i/>
          <w:iCs/>
          <w:sz w:val="20"/>
        </w:rPr>
        <w:t>Latoudis v Casey</w:t>
      </w:r>
      <w:r>
        <w:rPr>
          <w:rFonts w:ascii="Arial" w:hAnsi="Arial" w:cs="Arial"/>
          <w:sz w:val="20"/>
        </w:rPr>
        <w:t xml:space="preserve"> and six subsequent cas</w:t>
      </w:r>
      <w:r w:rsidR="00567EDC">
        <w:rPr>
          <w:rFonts w:ascii="Arial" w:hAnsi="Arial" w:cs="Arial"/>
          <w:sz w:val="20"/>
        </w:rPr>
        <w:t xml:space="preserve">es </w:t>
      </w:r>
      <w:r>
        <w:rPr>
          <w:rFonts w:ascii="Arial" w:hAnsi="Arial" w:cs="Arial"/>
          <w:sz w:val="20"/>
        </w:rPr>
        <w:t>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r>
              <w:rPr>
                <w:rFonts w:ascii="Arial" w:eastAsia="Arial Unicode MS" w:hAnsi="Arial" w:cs="Arial"/>
                <w:i/>
                <w:sz w:val="20"/>
              </w:rPr>
              <w:t>Latoudis</w:t>
            </w:r>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r>
              <w:rPr>
                <w:rFonts w:ascii="Arial" w:eastAsia="Arial Unicode MS" w:hAnsi="Arial" w:cs="Arial"/>
                <w:i/>
                <w:sz w:val="20"/>
              </w:rPr>
              <w:t>Latoudis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r>
              <w:rPr>
                <w:rFonts w:ascii="Arial" w:eastAsia="Arial Unicode MS" w:hAnsi="Arial" w:cs="Arial"/>
                <w:i/>
                <w:sz w:val="20"/>
              </w:rPr>
              <w:t>Oshlack</w:t>
            </w:r>
          </w:p>
        </w:tc>
        <w:tc>
          <w:tcPr>
            <w:tcW w:w="6577" w:type="dxa"/>
          </w:tcPr>
          <w:p w14:paraId="2BB4C6C8"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Oshlack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r>
        <w:rPr>
          <w:rFonts w:ascii="Arial" w:eastAsia="Arial Unicode MS" w:hAnsi="Arial" w:cs="Arial"/>
          <w:i/>
          <w:sz w:val="20"/>
        </w:rPr>
        <w:t>Latoudis</w:t>
      </w:r>
      <w:r>
        <w:rPr>
          <w:rFonts w:ascii="Arial" w:eastAsia="Arial Unicode MS" w:hAnsi="Arial" w:cs="Arial"/>
          <w:sz w:val="20"/>
        </w:rPr>
        <w:t xml:space="preserve"> and of </w:t>
      </w:r>
      <w:r>
        <w:rPr>
          <w:rFonts w:ascii="Arial" w:eastAsia="Arial Unicode MS" w:hAnsi="Arial" w:cs="Arial"/>
          <w:i/>
          <w:sz w:val="20"/>
        </w:rPr>
        <w:t>Oshlack</w:t>
      </w:r>
      <w:r>
        <w:rPr>
          <w:rFonts w:ascii="Arial" w:eastAsia="Arial Unicode MS" w:hAnsi="Arial" w:cs="Arial"/>
          <w:sz w:val="20"/>
        </w:rPr>
        <w:t xml:space="preserve">, the court was split, with a majority of three, and a minority of two.  </w:t>
      </w:r>
      <w:r>
        <w:rPr>
          <w:rFonts w:ascii="Arial" w:eastAsia="Arial Unicode MS" w:hAnsi="Arial" w:cs="Arial"/>
          <w:i/>
          <w:sz w:val="20"/>
        </w:rPr>
        <w:t>Latoudis</w:t>
      </w:r>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r>
        <w:rPr>
          <w:rFonts w:ascii="Arial" w:eastAsia="Arial Unicode MS" w:hAnsi="Arial" w:cs="Arial"/>
          <w:i/>
          <w:sz w:val="20"/>
        </w:rPr>
        <w:t>Latoudis</w:t>
      </w:r>
      <w:r>
        <w:rPr>
          <w:rFonts w:ascii="Arial" w:eastAsia="Arial Unicode MS" w:hAnsi="Arial" w:cs="Arial"/>
          <w:sz w:val="20"/>
        </w:rPr>
        <w:t xml:space="preserve">, several examples are given by members of the court of considerations which might warrant no order being made.  In </w:t>
      </w:r>
      <w:r>
        <w:rPr>
          <w:rFonts w:ascii="Arial" w:eastAsia="Arial Unicode MS" w:hAnsi="Arial" w:cs="Arial"/>
          <w:i/>
          <w:sz w:val="20"/>
        </w:rPr>
        <w:t>Latoudis</w:t>
      </w:r>
      <w:r>
        <w:rPr>
          <w:rFonts w:ascii="Arial" w:eastAsia="Arial Unicode MS" w:hAnsi="Arial" w:cs="Arial"/>
          <w:sz w:val="20"/>
        </w:rPr>
        <w:t xml:space="preserve">, and in cases after </w:t>
      </w:r>
      <w:r>
        <w:rPr>
          <w:rFonts w:ascii="Arial" w:eastAsia="Arial Unicode MS" w:hAnsi="Arial" w:cs="Arial"/>
          <w:i/>
          <w:sz w:val="20"/>
        </w:rPr>
        <w:t>Latoudis</w:t>
      </w:r>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r>
        <w:rPr>
          <w:rFonts w:ascii="Arial" w:eastAsia="Arial Unicode MS" w:hAnsi="Arial" w:cs="Arial"/>
          <w:i/>
          <w:sz w:val="20"/>
        </w:rPr>
        <w:t>Oshlack</w:t>
      </w:r>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lastRenderedPageBreak/>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r>
        <w:rPr>
          <w:rFonts w:ascii="Arial" w:eastAsia="Arial Unicode MS" w:hAnsi="Arial" w:cs="Arial"/>
          <w:i/>
          <w:sz w:val="20"/>
        </w:rPr>
        <w:t>Latoudis</w:t>
      </w:r>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r>
        <w:rPr>
          <w:rFonts w:ascii="Arial" w:eastAsia="Arial Unicode MS" w:hAnsi="Arial" w:cs="Arial"/>
          <w:i/>
          <w:sz w:val="20"/>
        </w:rPr>
        <w:t>Latoudis</w:t>
      </w:r>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Oshlack</w:t>
      </w:r>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r>
        <w:rPr>
          <w:rFonts w:ascii="Arial" w:eastAsia="Arial Unicode MS" w:hAnsi="Arial" w:cs="Arial"/>
          <w:i/>
          <w:sz w:val="20"/>
        </w:rPr>
        <w:t>Latoudis</w:t>
      </w:r>
      <w:r>
        <w:rPr>
          <w:rFonts w:ascii="Arial" w:eastAsia="Arial Unicode MS" w:hAnsi="Arial" w:cs="Arial"/>
          <w:sz w:val="20"/>
        </w:rPr>
        <w:t xml:space="preserve">, there has been a review, in some cases a very careful review, of aspects of the guidance provided by </w:t>
      </w:r>
      <w:r>
        <w:rPr>
          <w:rFonts w:ascii="Arial" w:eastAsia="Arial Unicode MS" w:hAnsi="Arial" w:cs="Arial"/>
          <w:i/>
          <w:sz w:val="20"/>
        </w:rPr>
        <w:t>Latoudis</w:t>
      </w:r>
      <w:r>
        <w:rPr>
          <w:rFonts w:ascii="Arial" w:eastAsia="Arial Unicode MS" w:hAnsi="Arial" w:cs="Arial"/>
          <w:sz w:val="20"/>
        </w:rPr>
        <w:t xml:space="preserve">. A similar review was carried out in five other cases that I have not referred to in these reasons, as they were not sufficiently relevant. </w:t>
      </w:r>
      <w:r>
        <w:rPr>
          <w:rFonts w:ascii="Arial" w:eastAsia="Arial Unicode MS" w:hAnsi="Arial" w:cs="Arial"/>
          <w:i/>
          <w:sz w:val="20"/>
        </w:rPr>
        <w:t>Oshlack</w:t>
      </w:r>
      <w:r>
        <w:rPr>
          <w:rFonts w:ascii="Arial" w:eastAsia="Arial Unicode MS" w:hAnsi="Arial" w:cs="Arial"/>
          <w:sz w:val="20"/>
        </w:rPr>
        <w:t xml:space="preserve"> is the only case which is not concerned with orders in the Victorian Magistrates’ Court.  In </w:t>
      </w:r>
      <w:r>
        <w:rPr>
          <w:rFonts w:ascii="Arial" w:eastAsia="Arial Unicode MS" w:hAnsi="Arial" w:cs="Arial"/>
          <w:i/>
          <w:sz w:val="20"/>
        </w:rPr>
        <w:t>Oshlack</w:t>
      </w:r>
      <w:r>
        <w:rPr>
          <w:rFonts w:ascii="Arial" w:eastAsia="Arial Unicode MS" w:hAnsi="Arial" w:cs="Arial"/>
          <w:sz w:val="20"/>
        </w:rPr>
        <w:t xml:space="preserve">, brief references were made to </w:t>
      </w:r>
      <w:r>
        <w:rPr>
          <w:rFonts w:ascii="Arial" w:eastAsia="Arial Unicode MS" w:hAnsi="Arial" w:cs="Arial"/>
          <w:i/>
          <w:sz w:val="20"/>
        </w:rPr>
        <w:t>Latoudis</w:t>
      </w:r>
      <w:r>
        <w:rPr>
          <w:rFonts w:ascii="Arial" w:eastAsia="Arial Unicode MS" w:hAnsi="Arial" w:cs="Arial"/>
          <w:sz w:val="20"/>
        </w:rPr>
        <w:t xml:space="preserve"> by Brennan CJ at [75] and by Gaudron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r>
        <w:rPr>
          <w:rFonts w:ascii="Arial" w:eastAsia="Arial Unicode MS" w:hAnsi="Arial" w:cs="Arial"/>
          <w:i/>
          <w:sz w:val="20"/>
        </w:rPr>
        <w:t>Latoudis</w:t>
      </w:r>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r>
        <w:rPr>
          <w:rFonts w:ascii="Arial" w:eastAsia="Arial Unicode MS" w:hAnsi="Arial" w:cs="Arial"/>
          <w:i/>
          <w:sz w:val="20"/>
        </w:rPr>
        <w:t>Latoudis</w:t>
      </w:r>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the 'supposed misconduct' was 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r>
        <w:rPr>
          <w:rFonts w:ascii="Arial" w:eastAsia="Arial Unicode MS" w:hAnsi="Arial" w:cs="Arial"/>
          <w:i/>
          <w:sz w:val="20"/>
        </w:rPr>
        <w:t>Latoudis</w:t>
      </w:r>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r>
        <w:rPr>
          <w:rFonts w:ascii="Arial" w:eastAsia="Arial Unicode MS" w:hAnsi="Arial" w:cs="Arial"/>
          <w:i/>
          <w:sz w:val="20"/>
        </w:rPr>
        <w:t>Latoudis</w:t>
      </w:r>
      <w:r>
        <w:rPr>
          <w:rFonts w:ascii="Arial" w:eastAsia="Arial Unicode MS" w:hAnsi="Arial" w:cs="Arial"/>
          <w:sz w:val="20"/>
        </w:rPr>
        <w:t xml:space="preserve">, each of the majority commented on that consideration as operating to warrant a </w:t>
      </w:r>
      <w:r>
        <w:rPr>
          <w:rFonts w:ascii="Arial" w:eastAsia="Arial Unicode MS" w:hAnsi="Arial" w:cs="Arial"/>
          <w:sz w:val="20"/>
        </w:rPr>
        <w:lastRenderedPageBreak/>
        <w:t>departure from the usual order.  Mason CJ did so briefly at 544, and McHugh J briefly at 569.  Toohey J at 565 was more expansive:</w:t>
      </w:r>
    </w:p>
    <w:p w14:paraId="6EBF67E4" w14:textId="77777777" w:rsidR="00B21DA4" w:rsidRPr="00072E03" w:rsidRDefault="00B21DA4" w:rsidP="006E5C27">
      <w:pPr>
        <w:spacing w:before="60"/>
        <w:ind w:left="851" w:right="851"/>
        <w:jc w:val="both"/>
        <w:rPr>
          <w:rFonts w:ascii="Arial" w:eastAsia="Arial Unicode MS" w:hAnsi="Arial" w:cs="Arial"/>
          <w:sz w:val="18"/>
          <w:szCs w:val="22"/>
        </w:rPr>
      </w:pPr>
      <w:r w:rsidRPr="00072E03">
        <w:rPr>
          <w:rFonts w:ascii="Arial" w:eastAsia="Arial Unicode MS" w:hAnsi="Arial" w:cs="Arial"/>
          <w:sz w:val="18"/>
          <w:szCs w:val="22"/>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sidRPr="00072E03">
        <w:rPr>
          <w:rFonts w:ascii="Arial" w:eastAsia="Arial Unicode MS" w:hAnsi="Arial" w:cs="Arial"/>
          <w:i/>
          <w:sz w:val="18"/>
          <w:szCs w:val="22"/>
        </w:rPr>
        <w:t>R v Dainer</w:t>
      </w:r>
      <w:r w:rsidRPr="00072E03">
        <w:rPr>
          <w:rFonts w:ascii="Arial" w:eastAsia="Arial Unicode MS" w:hAnsi="Arial" w:cs="Arial"/>
          <w:sz w:val="18"/>
          <w:szCs w:val="22"/>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r>
        <w:rPr>
          <w:rFonts w:ascii="Arial" w:eastAsia="Arial Unicode MS" w:hAnsi="Arial" w:cs="Arial"/>
          <w:i/>
          <w:sz w:val="20"/>
        </w:rPr>
        <w:t>Latoudis</w:t>
      </w:r>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r w:rsidR="003D7031" w:rsidRPr="00974C44">
        <w:rPr>
          <w:rFonts w:ascii="Arial" w:hAnsi="Arial" w:cs="Arial"/>
          <w:i/>
          <w:sz w:val="20"/>
        </w:rPr>
        <w:t>Latoudis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r w:rsidRPr="00974C44">
        <w:rPr>
          <w:rFonts w:ascii="Arial" w:eastAsia="Arial Unicode MS" w:hAnsi="Arial" w:cs="Arial"/>
          <w:i/>
          <w:sz w:val="20"/>
        </w:rPr>
        <w:t>Latoudis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w:t>
      </w:r>
      <w:r w:rsidR="00677106">
        <w:rPr>
          <w:rFonts w:ascii="Arial" w:hAnsi="Arial" w:cs="Arial"/>
          <w:sz w:val="20"/>
        </w:rPr>
        <w:lastRenderedPageBreak/>
        <w:t xml:space="preserve">to be applied, starting with </w:t>
      </w:r>
      <w:r w:rsidR="00677106" w:rsidRPr="00677106">
        <w:rPr>
          <w:rFonts w:ascii="Arial" w:hAnsi="Arial" w:cs="Arial"/>
          <w:i/>
          <w:sz w:val="20"/>
        </w:rPr>
        <w:t>Latoudis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r w:rsidR="002C057B" w:rsidRPr="002C057B">
        <w:rPr>
          <w:rFonts w:ascii="Arial" w:eastAsia="Arial Unicode MS" w:hAnsi="Arial" w:cs="Arial"/>
          <w:i/>
          <w:sz w:val="20"/>
        </w:rPr>
        <w:t>Latuodis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r w:rsidRPr="00A00CFD">
        <w:rPr>
          <w:rFonts w:ascii="Arial" w:eastAsia="Arial Unicode MS" w:hAnsi="Arial" w:cs="Arial"/>
          <w:i/>
          <w:sz w:val="20"/>
        </w:rPr>
        <w:t>Latoudis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r w:rsidR="006152D6" w:rsidRPr="006152D6">
        <w:rPr>
          <w:rFonts w:ascii="Arial" w:eastAsia="Arial Unicode MS" w:hAnsi="Arial" w:cs="Arial"/>
          <w:i/>
          <w:sz w:val="20"/>
        </w:rPr>
        <w:t>Latoudis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adnd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r w:rsidR="004B406E" w:rsidRPr="004B406E">
        <w:rPr>
          <w:rFonts w:ascii="Arial" w:eastAsia="Arial Unicode MS" w:hAnsi="Arial" w:cs="Arial"/>
          <w:i/>
          <w:sz w:val="20"/>
        </w:rPr>
        <w:t>Latoudis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w:t>
      </w:r>
      <w:r w:rsidR="004B406E">
        <w:rPr>
          <w:rFonts w:ascii="Arial" w:eastAsia="Arial Unicode MS" w:hAnsi="Arial" w:cs="Arial"/>
          <w:sz w:val="20"/>
        </w:rPr>
        <w:lastRenderedPageBreak/>
        <w:t xml:space="preserve">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Default="00B21DA4">
      <w:pPr>
        <w:jc w:val="both"/>
        <w:rPr>
          <w:rFonts w:ascii="Arial" w:hAnsi="Arial" w:cs="Arial"/>
          <w:color w:val="000000"/>
          <w:sz w:val="20"/>
        </w:rPr>
      </w:pPr>
    </w:p>
    <w:p w14:paraId="0AF5D694" w14:textId="4FEAF52E" w:rsidR="00AB62B7" w:rsidRDefault="001B494D" w:rsidP="00C9370C">
      <w:pPr>
        <w:jc w:val="both"/>
        <w:rPr>
          <w:rFonts w:ascii="Arial" w:hAnsi="Arial" w:cs="Arial"/>
          <w:color w:val="000000"/>
          <w:sz w:val="20"/>
        </w:rPr>
      </w:pPr>
      <w:r>
        <w:rPr>
          <w:rFonts w:ascii="Arial" w:hAnsi="Arial" w:cs="Arial"/>
          <w:color w:val="000000"/>
          <w:sz w:val="20"/>
        </w:rPr>
        <w:t xml:space="preserve">In </w:t>
      </w:r>
      <w:r w:rsidRPr="001B494D">
        <w:rPr>
          <w:rFonts w:ascii="Arial" w:hAnsi="Arial" w:cs="Arial"/>
          <w:i/>
          <w:iCs/>
          <w:color w:val="000000"/>
          <w:sz w:val="20"/>
        </w:rPr>
        <w:t>Victoria Police v WX (a pseudonym) (Costs Application)</w:t>
      </w:r>
      <w:r>
        <w:rPr>
          <w:rFonts w:ascii="Arial" w:hAnsi="Arial" w:cs="Arial"/>
          <w:color w:val="000000"/>
          <w:sz w:val="20"/>
        </w:rPr>
        <w:t xml:space="preserve"> [2025] VChC 2 – a contested summary hearing in the </w:t>
      </w:r>
      <w:r w:rsidR="00872FC7">
        <w:rPr>
          <w:rFonts w:ascii="Arial" w:hAnsi="Arial" w:cs="Arial"/>
          <w:color w:val="000000"/>
          <w:sz w:val="20"/>
        </w:rPr>
        <w:t xml:space="preserve">Criminal Division of the </w:t>
      </w:r>
      <w:r>
        <w:rPr>
          <w:rFonts w:ascii="Arial" w:hAnsi="Arial" w:cs="Arial"/>
          <w:color w:val="000000"/>
          <w:sz w:val="20"/>
        </w:rPr>
        <w:t xml:space="preserve">Children’s Court – one of the 3 charges against WX </w:t>
      </w:r>
      <w:r w:rsidR="002A57B5">
        <w:rPr>
          <w:rFonts w:ascii="Arial" w:hAnsi="Arial" w:cs="Arial"/>
          <w:color w:val="000000"/>
          <w:sz w:val="20"/>
        </w:rPr>
        <w:t>had been</w:t>
      </w:r>
      <w:r>
        <w:rPr>
          <w:rFonts w:ascii="Arial" w:hAnsi="Arial" w:cs="Arial"/>
          <w:color w:val="000000"/>
          <w:sz w:val="20"/>
        </w:rPr>
        <w:t xml:space="preserve"> discharged on a no case submission and 2 </w:t>
      </w:r>
      <w:r w:rsidR="002A57B5">
        <w:rPr>
          <w:rFonts w:ascii="Arial" w:hAnsi="Arial" w:cs="Arial"/>
          <w:color w:val="000000"/>
          <w:sz w:val="20"/>
        </w:rPr>
        <w:t>had been</w:t>
      </w:r>
      <w:r>
        <w:rPr>
          <w:rFonts w:ascii="Arial" w:hAnsi="Arial" w:cs="Arial"/>
          <w:color w:val="000000"/>
          <w:sz w:val="20"/>
        </w:rPr>
        <w:t xml:space="preserve"> dismissed upon him being found not guilty. The</w:t>
      </w:r>
      <w:r w:rsidR="002A57B5">
        <w:rPr>
          <w:rFonts w:ascii="Arial" w:hAnsi="Arial" w:cs="Arial"/>
          <w:color w:val="000000"/>
          <w:sz w:val="20"/>
        </w:rPr>
        <w:t> </w:t>
      </w:r>
      <w:r>
        <w:rPr>
          <w:rFonts w:ascii="Arial" w:hAnsi="Arial" w:cs="Arial"/>
          <w:color w:val="000000"/>
          <w:sz w:val="20"/>
        </w:rPr>
        <w:t xml:space="preserve">Prosecution conceded that it is appropriate that costs be awarded. However, it took issue </w:t>
      </w:r>
      <w:r w:rsidR="00C9370C">
        <w:rPr>
          <w:rFonts w:ascii="Arial" w:hAnsi="Arial" w:cs="Arial"/>
          <w:color w:val="000000"/>
          <w:sz w:val="20"/>
        </w:rPr>
        <w:t>on 4</w:t>
      </w:r>
      <w:r w:rsidR="002A57B5">
        <w:rPr>
          <w:rFonts w:ascii="Arial" w:hAnsi="Arial" w:cs="Arial"/>
          <w:color w:val="000000"/>
          <w:sz w:val="20"/>
        </w:rPr>
        <w:t> </w:t>
      </w:r>
      <w:r w:rsidR="00C9370C">
        <w:rPr>
          <w:rFonts w:ascii="Arial" w:hAnsi="Arial" w:cs="Arial"/>
          <w:color w:val="000000"/>
          <w:sz w:val="20"/>
        </w:rPr>
        <w:t xml:space="preserve">points </w:t>
      </w:r>
      <w:r>
        <w:rPr>
          <w:rFonts w:ascii="Arial" w:hAnsi="Arial" w:cs="Arial"/>
          <w:color w:val="000000"/>
          <w:sz w:val="20"/>
        </w:rPr>
        <w:t>with the quantum claimed by the Defence.</w:t>
      </w:r>
      <w:r w:rsidR="003A5F36">
        <w:rPr>
          <w:rFonts w:ascii="Arial" w:hAnsi="Arial" w:cs="Arial"/>
          <w:color w:val="000000"/>
          <w:sz w:val="20"/>
        </w:rPr>
        <w:t xml:space="preserve"> </w:t>
      </w:r>
      <w:r w:rsidR="00AB62B7">
        <w:rPr>
          <w:rFonts w:ascii="Arial" w:hAnsi="Arial" w:cs="Arial"/>
          <w:color w:val="000000"/>
          <w:sz w:val="20"/>
        </w:rPr>
        <w:t>Contini M ultimately made the following costs order:</w:t>
      </w:r>
    </w:p>
    <w:p w14:paraId="5F635B81" w14:textId="320DE9FF" w:rsidR="00AB62B7" w:rsidRPr="00AB62B7" w:rsidRDefault="00AB62B7" w:rsidP="00C9370C">
      <w:pPr>
        <w:spacing w:before="60"/>
        <w:ind w:left="454" w:right="454"/>
        <w:jc w:val="both"/>
        <w:rPr>
          <w:rFonts w:ascii="Arial" w:eastAsia="Arial Unicode MS" w:hAnsi="Arial" w:cs="Arial"/>
          <w:sz w:val="20"/>
        </w:rPr>
      </w:pPr>
      <w:r w:rsidRPr="00AB62B7">
        <w:rPr>
          <w:rFonts w:ascii="Arial" w:eastAsia="Arial Unicode MS" w:hAnsi="Arial" w:cs="Arial"/>
          <w:sz w:val="20"/>
        </w:rPr>
        <w:t xml:space="preserve">The Chief Commissioner of Police is to pay </w:t>
      </w:r>
      <w:r w:rsidR="00DC3E89">
        <w:rPr>
          <w:rFonts w:ascii="Arial" w:eastAsia="Arial Unicode MS" w:hAnsi="Arial" w:cs="Arial"/>
          <w:sz w:val="20"/>
        </w:rPr>
        <w:t xml:space="preserve">the </w:t>
      </w:r>
      <w:r w:rsidRPr="00AB62B7">
        <w:rPr>
          <w:rFonts w:ascii="Arial" w:eastAsia="Arial Unicode MS" w:hAnsi="Arial" w:cs="Arial"/>
          <w:sz w:val="20"/>
        </w:rPr>
        <w:t>solicitor for WX costs fixed at $64,350.00 inclusive of GST. A stay of 30 days is granted. These costs are made up as follows:</w:t>
      </w:r>
    </w:p>
    <w:p w14:paraId="01BA3A2F" w14:textId="607E69DC" w:rsidR="00AB62B7" w:rsidRP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Senior counsel</w:t>
      </w:r>
      <w:r w:rsidR="00AB62B7" w:rsidRPr="00AB62B7">
        <w:rPr>
          <w:rFonts w:ascii="Arial" w:eastAsia="Arial Unicode MS" w:hAnsi="Arial" w:cs="Arial"/>
          <w:sz w:val="20"/>
        </w:rPr>
        <w:t xml:space="preserve"> – $34,650.00 </w:t>
      </w:r>
      <w:r w:rsidR="00872FC7">
        <w:rPr>
          <w:rFonts w:ascii="Arial" w:eastAsia="Arial Unicode MS" w:hAnsi="Arial" w:cs="Arial"/>
          <w:sz w:val="20"/>
        </w:rPr>
        <w:t>c</w:t>
      </w:r>
      <w:r w:rsidR="00AB62B7" w:rsidRPr="00AB62B7">
        <w:rPr>
          <w:rFonts w:ascii="Arial" w:eastAsia="Arial Unicode MS" w:hAnsi="Arial" w:cs="Arial"/>
          <w:sz w:val="20"/>
        </w:rPr>
        <w:t>omprising 1.5 days preparation and 3 days appearance fee at $7,700.00 daily rate.</w:t>
      </w:r>
      <w:r w:rsidR="00C9370C">
        <w:rPr>
          <w:rFonts w:ascii="Arial" w:eastAsia="Arial Unicode MS" w:hAnsi="Arial" w:cs="Arial"/>
          <w:sz w:val="20"/>
        </w:rPr>
        <w:t xml:space="preserve"> [3 days preparation had been claimed.]</w:t>
      </w:r>
    </w:p>
    <w:p w14:paraId="6056DA24" w14:textId="2969CAD5" w:rsidR="00AB62B7" w:rsidRP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Junior counsel</w:t>
      </w:r>
      <w:r w:rsidR="00AB62B7" w:rsidRPr="00AB62B7">
        <w:rPr>
          <w:rFonts w:ascii="Arial" w:eastAsia="Arial Unicode MS" w:hAnsi="Arial" w:cs="Arial"/>
          <w:sz w:val="20"/>
        </w:rPr>
        <w:t xml:space="preserve"> – $13,200.00 </w:t>
      </w:r>
      <w:r w:rsidR="00872FC7">
        <w:rPr>
          <w:rFonts w:ascii="Arial" w:eastAsia="Arial Unicode MS" w:hAnsi="Arial" w:cs="Arial"/>
          <w:sz w:val="20"/>
        </w:rPr>
        <w:t>c</w:t>
      </w:r>
      <w:r w:rsidR="00AB62B7" w:rsidRPr="00AB62B7">
        <w:rPr>
          <w:rFonts w:ascii="Arial" w:eastAsia="Arial Unicode MS" w:hAnsi="Arial" w:cs="Arial"/>
          <w:sz w:val="20"/>
        </w:rPr>
        <w:t xml:space="preserve">omprising 1.5 days preparation and 2.5 days appearance fee at $3,300.00 daily rate. </w:t>
      </w:r>
      <w:r w:rsidR="00C9370C">
        <w:rPr>
          <w:rFonts w:ascii="Arial" w:eastAsia="Arial Unicode MS" w:hAnsi="Arial" w:cs="Arial"/>
          <w:sz w:val="20"/>
        </w:rPr>
        <w:t>[3 days prepar</w:t>
      </w:r>
      <w:r w:rsidR="00A871D9">
        <w:rPr>
          <w:rFonts w:ascii="Arial" w:eastAsia="Arial Unicode MS" w:hAnsi="Arial" w:cs="Arial"/>
          <w:sz w:val="20"/>
        </w:rPr>
        <w:t>ation</w:t>
      </w:r>
      <w:r w:rsidR="00C9370C">
        <w:rPr>
          <w:rFonts w:ascii="Arial" w:eastAsia="Arial Unicode MS" w:hAnsi="Arial" w:cs="Arial"/>
          <w:sz w:val="20"/>
        </w:rPr>
        <w:t xml:space="preserve"> and 3 days appearance had been claimed.]</w:t>
      </w:r>
    </w:p>
    <w:p w14:paraId="22BD7D77" w14:textId="0696EC7C" w:rsid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Instructing solicitor</w:t>
      </w:r>
      <w:r w:rsidR="00AB62B7" w:rsidRPr="00AB62B7">
        <w:rPr>
          <w:rFonts w:ascii="Arial" w:eastAsia="Arial Unicode MS" w:hAnsi="Arial" w:cs="Arial"/>
          <w:sz w:val="20"/>
        </w:rPr>
        <w:t xml:space="preserve"> – $16,500.00 </w:t>
      </w:r>
      <w:r w:rsidR="00872FC7">
        <w:rPr>
          <w:rFonts w:ascii="Arial" w:eastAsia="Arial Unicode MS" w:hAnsi="Arial" w:cs="Arial"/>
          <w:sz w:val="20"/>
        </w:rPr>
        <w:t>c</w:t>
      </w:r>
      <w:r w:rsidR="00AB62B7" w:rsidRPr="00AB62B7">
        <w:rPr>
          <w:rFonts w:ascii="Arial" w:eastAsia="Arial Unicode MS" w:hAnsi="Arial" w:cs="Arial"/>
          <w:sz w:val="20"/>
        </w:rPr>
        <w:t>omprising 2 days preparation and 3 days attendance fee at $3,300.00 daily rate</w:t>
      </w:r>
      <w:r w:rsidR="00C9370C">
        <w:rPr>
          <w:rFonts w:ascii="Arial" w:eastAsia="Arial Unicode MS" w:hAnsi="Arial" w:cs="Arial"/>
          <w:sz w:val="20"/>
        </w:rPr>
        <w:t xml:space="preserve"> [3 days preparation and 3 days attendance had been claimed.]</w:t>
      </w:r>
    </w:p>
    <w:p w14:paraId="6789E66F" w14:textId="2FB80E23" w:rsidR="00AB62B7" w:rsidRDefault="00872FC7" w:rsidP="001965F1">
      <w:pPr>
        <w:spacing w:before="60" w:after="120"/>
        <w:jc w:val="both"/>
        <w:rPr>
          <w:rFonts w:ascii="Arial" w:hAnsi="Arial" w:cs="Arial"/>
          <w:color w:val="000000"/>
          <w:sz w:val="20"/>
        </w:rPr>
      </w:pPr>
      <w:r>
        <w:rPr>
          <w:rFonts w:ascii="Arial" w:hAnsi="Arial" w:cs="Arial"/>
          <w:color w:val="000000"/>
          <w:sz w:val="20"/>
        </w:rPr>
        <w:t>Below is a</w:t>
      </w:r>
      <w:r w:rsidR="00A354CD">
        <w:rPr>
          <w:rFonts w:ascii="Arial" w:hAnsi="Arial" w:cs="Arial"/>
          <w:color w:val="000000"/>
          <w:sz w:val="20"/>
        </w:rPr>
        <w:t>n anonymised summary of h</w:t>
      </w:r>
      <w:r w:rsidR="001965F1">
        <w:rPr>
          <w:rFonts w:ascii="Arial" w:hAnsi="Arial" w:cs="Arial"/>
          <w:color w:val="000000"/>
          <w:sz w:val="20"/>
        </w:rPr>
        <w:t>er Honour’s reasons</w:t>
      </w:r>
      <w:r w:rsidR="00A354CD">
        <w:rPr>
          <w:rFonts w:ascii="Arial" w:hAnsi="Arial" w:cs="Arial"/>
          <w:color w:val="000000"/>
          <w:sz w:val="20"/>
        </w:rPr>
        <w:t>.</w:t>
      </w:r>
    </w:p>
    <w:tbl>
      <w:tblPr>
        <w:tblStyle w:val="TableGrid"/>
        <w:tblW w:w="0" w:type="auto"/>
        <w:tblLook w:val="04A0" w:firstRow="1" w:lastRow="0" w:firstColumn="1" w:lastColumn="0" w:noHBand="0" w:noVBand="1"/>
      </w:tblPr>
      <w:tblGrid>
        <w:gridCol w:w="9060"/>
      </w:tblGrid>
      <w:tr w:rsidR="001F6C29" w:rsidRPr="001F6C29" w14:paraId="653A3FF6" w14:textId="77777777" w:rsidTr="001F6C29">
        <w:tc>
          <w:tcPr>
            <w:tcW w:w="9060" w:type="dxa"/>
            <w:shd w:val="clear" w:color="auto" w:fill="000000" w:themeFill="text1"/>
          </w:tcPr>
          <w:p w14:paraId="78836EB0" w14:textId="4EA03710" w:rsidR="001F6C29" w:rsidRPr="001F6C29" w:rsidRDefault="001F6C29" w:rsidP="001F6C29">
            <w:pPr>
              <w:jc w:val="center"/>
              <w:rPr>
                <w:rFonts w:ascii="Arial" w:hAnsi="Arial" w:cs="Arial"/>
                <w:b/>
                <w:bCs/>
                <w:color w:val="FFFFFF" w:themeColor="background1"/>
                <w:sz w:val="20"/>
              </w:rPr>
            </w:pPr>
            <w:r w:rsidRPr="001F6C29">
              <w:rPr>
                <w:rFonts w:ascii="Arial" w:hAnsi="Arial" w:cs="Arial"/>
                <w:b/>
                <w:bCs/>
                <w:color w:val="FFFFFF" w:themeColor="background1"/>
                <w:sz w:val="20"/>
              </w:rPr>
              <w:t>PART 3 – IS GST CLAIMED BY THE DEFENCE PAYABLE BY THE PROSECUTION</w:t>
            </w:r>
            <w:r w:rsidR="001965F1">
              <w:rPr>
                <w:rFonts w:ascii="Arial" w:hAnsi="Arial" w:cs="Arial"/>
                <w:b/>
                <w:bCs/>
                <w:color w:val="FFFFFF" w:themeColor="background1"/>
                <w:sz w:val="20"/>
              </w:rPr>
              <w:t>?</w:t>
            </w:r>
          </w:p>
        </w:tc>
      </w:tr>
      <w:tr w:rsidR="001F6C29" w14:paraId="3152B82D" w14:textId="77777777" w:rsidTr="001F6C29">
        <w:tc>
          <w:tcPr>
            <w:tcW w:w="9060" w:type="dxa"/>
            <w:shd w:val="clear" w:color="auto" w:fill="DDDDDD"/>
          </w:tcPr>
          <w:p w14:paraId="59AF335F" w14:textId="2C70EC4D" w:rsidR="001F6C29" w:rsidRPr="00DC3E89" w:rsidRDefault="00325CB8" w:rsidP="001F6C29">
            <w:pPr>
              <w:jc w:val="center"/>
              <w:rPr>
                <w:rFonts w:ascii="Arial" w:hAnsi="Arial" w:cs="Arial"/>
                <w:b/>
                <w:bCs/>
                <w:color w:val="000000"/>
                <w:sz w:val="20"/>
              </w:rPr>
            </w:pPr>
            <w:r>
              <w:rPr>
                <w:rFonts w:ascii="Arial" w:hAnsi="Arial" w:cs="Arial"/>
                <w:b/>
                <w:bCs/>
                <w:color w:val="000000"/>
                <w:sz w:val="20"/>
              </w:rPr>
              <w:t>Ruling</w:t>
            </w:r>
            <w:r w:rsidR="001F6C29" w:rsidRPr="00DC3E89">
              <w:rPr>
                <w:rFonts w:ascii="Arial" w:hAnsi="Arial" w:cs="Arial"/>
                <w:b/>
                <w:bCs/>
                <w:color w:val="000000"/>
                <w:sz w:val="20"/>
              </w:rPr>
              <w:t>: The costs award is inclusive of GST</w:t>
            </w:r>
            <w:r w:rsidR="006179B0">
              <w:rPr>
                <w:rFonts w:ascii="Arial" w:hAnsi="Arial" w:cs="Arial"/>
                <w:b/>
                <w:bCs/>
                <w:color w:val="000000"/>
                <w:sz w:val="20"/>
              </w:rPr>
              <w:t>.</w:t>
            </w:r>
          </w:p>
        </w:tc>
      </w:tr>
      <w:tr w:rsidR="001F6C29" w14:paraId="4DFE3266" w14:textId="77777777" w:rsidTr="00DC3E89">
        <w:tc>
          <w:tcPr>
            <w:tcW w:w="9060" w:type="dxa"/>
            <w:shd w:val="clear" w:color="auto" w:fill="auto"/>
          </w:tcPr>
          <w:p w14:paraId="6B9D1312" w14:textId="71159C37" w:rsidR="001F6C29" w:rsidRDefault="001F6C29" w:rsidP="008835A1">
            <w:pPr>
              <w:spacing w:before="40"/>
              <w:jc w:val="both"/>
              <w:rPr>
                <w:rFonts w:ascii="Arial" w:hAnsi="Arial" w:cs="Arial"/>
                <w:color w:val="000000"/>
                <w:sz w:val="20"/>
              </w:rPr>
            </w:pPr>
            <w:r>
              <w:rPr>
                <w:rFonts w:ascii="Arial" w:hAnsi="Arial" w:cs="Arial"/>
                <w:color w:val="000000"/>
                <w:sz w:val="20"/>
              </w:rPr>
              <w:t xml:space="preserve">The </w:t>
            </w:r>
            <w:r w:rsidR="00E25FE9">
              <w:rPr>
                <w:rFonts w:ascii="Arial" w:hAnsi="Arial" w:cs="Arial"/>
                <w:color w:val="000000"/>
                <w:sz w:val="20"/>
              </w:rPr>
              <w:t>P</w:t>
            </w:r>
            <w:r>
              <w:rPr>
                <w:rFonts w:ascii="Arial" w:hAnsi="Arial" w:cs="Arial"/>
                <w:color w:val="000000"/>
                <w:sz w:val="20"/>
              </w:rPr>
              <w:t xml:space="preserve">rosecution’s submission </w:t>
            </w:r>
            <w:r w:rsidR="005C77A8">
              <w:rPr>
                <w:rFonts w:ascii="Arial" w:hAnsi="Arial" w:cs="Arial"/>
                <w:color w:val="000000"/>
                <w:sz w:val="20"/>
              </w:rPr>
              <w:t>that GST is no</w:t>
            </w:r>
            <w:r w:rsidR="00E25FE9">
              <w:rPr>
                <w:rFonts w:ascii="Arial" w:hAnsi="Arial" w:cs="Arial"/>
                <w:color w:val="000000"/>
                <w:sz w:val="20"/>
              </w:rPr>
              <w:t xml:space="preserve">t payable by it </w:t>
            </w:r>
            <w:r>
              <w:rPr>
                <w:rFonts w:ascii="Arial" w:hAnsi="Arial" w:cs="Arial"/>
                <w:color w:val="000000"/>
                <w:sz w:val="20"/>
              </w:rPr>
              <w:t xml:space="preserve">is </w:t>
            </w:r>
            <w:r w:rsidR="001965F1" w:rsidRPr="001965F1">
              <w:rPr>
                <w:rFonts w:ascii="Arial" w:hAnsi="Arial" w:cs="Arial"/>
                <w:color w:val="000000"/>
                <w:sz w:val="20"/>
              </w:rPr>
              <w:t xml:space="preserve">said to be based on the judgment of Wood AsJ in </w:t>
            </w:r>
            <w:r w:rsidR="001965F1" w:rsidRPr="001965F1">
              <w:rPr>
                <w:rFonts w:ascii="Arial" w:hAnsi="Arial" w:cs="Arial"/>
                <w:i/>
                <w:iCs/>
                <w:color w:val="000000"/>
                <w:sz w:val="20"/>
              </w:rPr>
              <w:t>Lujerdean v G C Corrigan &amp; Co Pty Ltd</w:t>
            </w:r>
            <w:r w:rsidR="001965F1" w:rsidRPr="001965F1">
              <w:rPr>
                <w:rFonts w:ascii="Arial" w:hAnsi="Arial" w:cs="Arial"/>
                <w:color w:val="000000"/>
                <w:sz w:val="20"/>
              </w:rPr>
              <w:t xml:space="preserve"> </w:t>
            </w:r>
            <w:r w:rsidR="001965F1">
              <w:rPr>
                <w:rFonts w:ascii="Arial" w:hAnsi="Arial" w:cs="Arial"/>
                <w:color w:val="000000"/>
                <w:sz w:val="20"/>
              </w:rPr>
              <w:t xml:space="preserve">[2014] VSC 682 </w:t>
            </w:r>
            <w:r w:rsidR="001965F1" w:rsidRPr="001965F1">
              <w:rPr>
                <w:rFonts w:ascii="Arial" w:hAnsi="Arial" w:cs="Arial"/>
                <w:color w:val="000000"/>
                <w:sz w:val="20"/>
              </w:rPr>
              <w:t xml:space="preserve">where his Honour upheld a decision of a judicial registrar that GST was not payable on party-party costs ordered by the County Court in a civil case and quantified on the scale of costs in the </w:t>
            </w:r>
            <w:r w:rsidR="001965F1" w:rsidRPr="001965F1">
              <w:rPr>
                <w:rFonts w:ascii="Arial" w:hAnsi="Arial" w:cs="Arial"/>
                <w:i/>
                <w:iCs/>
                <w:color w:val="000000"/>
                <w:sz w:val="20"/>
              </w:rPr>
              <w:t>County Court Civil Procedure Rules 2008</w:t>
            </w:r>
            <w:r w:rsidR="001965F1" w:rsidRPr="001965F1">
              <w:rPr>
                <w:rFonts w:ascii="Arial" w:hAnsi="Arial" w:cs="Arial"/>
                <w:color w:val="000000"/>
                <w:sz w:val="20"/>
              </w:rPr>
              <w:t xml:space="preserve">. It appears to me that his Honour’s reasoning does not assist the Prosecution in this criminal proceeding where there is no applicable scale of costs. I note that a costs scale also applies to civil proceedings in the Magistrates’ Court but there is no costs scale applicable to criminal proceedings in either the Children’s Court or the Magistrates’ Court. I also note that in </w:t>
            </w:r>
            <w:r w:rsidR="001965F1" w:rsidRPr="001965F1">
              <w:rPr>
                <w:rFonts w:ascii="Arial" w:hAnsi="Arial" w:cs="Arial"/>
                <w:i/>
                <w:iCs/>
                <w:color w:val="000000"/>
                <w:sz w:val="20"/>
              </w:rPr>
              <w:t xml:space="preserve">Lujerdean’s Case </w:t>
            </w:r>
            <w:r w:rsidR="001965F1" w:rsidRPr="001965F1">
              <w:rPr>
                <w:rFonts w:ascii="Arial" w:hAnsi="Arial" w:cs="Arial"/>
                <w:color w:val="000000"/>
                <w:sz w:val="20"/>
              </w:rPr>
              <w:t>at [24] Wood AsJ drew a distinction between the GST consequences of party-party costs and solicitor-client costs, stating:</w:t>
            </w:r>
          </w:p>
          <w:p w14:paraId="62FAC9EE" w14:textId="161CA30D" w:rsidR="001965F1" w:rsidRDefault="001965F1" w:rsidP="001965F1">
            <w:pPr>
              <w:spacing w:before="60"/>
              <w:ind w:left="454" w:right="454"/>
              <w:jc w:val="both"/>
              <w:rPr>
                <w:rFonts w:ascii="Arial" w:hAnsi="Arial" w:cs="Arial"/>
                <w:color w:val="000000"/>
                <w:sz w:val="20"/>
              </w:rPr>
            </w:pPr>
            <w:r w:rsidRPr="001965F1">
              <w:rPr>
                <w:rFonts w:ascii="Arial" w:hAnsi="Arial" w:cs="Arial"/>
                <w:color w:val="000000"/>
                <w:sz w:val="18"/>
                <w:szCs w:val="22"/>
              </w:rPr>
              <w:t>The decision to change the scale [in 2011] to exclude GST was obviously taken for good reason. If</w:t>
            </w:r>
            <w:r w:rsidR="00872FC7">
              <w:rPr>
                <w:rFonts w:ascii="Arial" w:hAnsi="Arial" w:cs="Arial"/>
                <w:color w:val="000000"/>
                <w:sz w:val="18"/>
                <w:szCs w:val="22"/>
              </w:rPr>
              <w:t> </w:t>
            </w:r>
            <w:r w:rsidRPr="001965F1">
              <w:rPr>
                <w:rFonts w:ascii="Arial" w:hAnsi="Arial" w:cs="Arial"/>
                <w:color w:val="000000"/>
                <w:sz w:val="18"/>
                <w:szCs w:val="22"/>
              </w:rPr>
              <w:t>the Applicant’s position is correct then GST would be claimable on the scale items irrespective of whether it was applied as between solicitor and client or between parties in a party party scenario. In</w:t>
            </w:r>
            <w:r w:rsidR="00872FC7">
              <w:rPr>
                <w:rFonts w:ascii="Arial" w:hAnsi="Arial" w:cs="Arial"/>
                <w:color w:val="000000"/>
                <w:sz w:val="18"/>
                <w:szCs w:val="22"/>
              </w:rPr>
              <w:t> </w:t>
            </w:r>
            <w:r w:rsidRPr="001965F1">
              <w:rPr>
                <w:rFonts w:ascii="Arial" w:hAnsi="Arial" w:cs="Arial"/>
                <w:color w:val="000000"/>
                <w:sz w:val="18"/>
                <w:szCs w:val="22"/>
              </w:rPr>
              <w:t>other words, on either scenario. If that is so then there would have been little reason to change the scale to exclude GST as GST would be relevant in all circumstances.</w:t>
            </w:r>
          </w:p>
          <w:p w14:paraId="5A7C8E94" w14:textId="009CC117" w:rsidR="001965F1" w:rsidRDefault="001965F1" w:rsidP="001965F1">
            <w:pPr>
              <w:spacing w:before="120"/>
              <w:jc w:val="both"/>
              <w:rPr>
                <w:rFonts w:ascii="Arial" w:hAnsi="Arial" w:cs="Arial"/>
                <w:color w:val="000000"/>
                <w:sz w:val="20"/>
              </w:rPr>
            </w:pPr>
            <w:r w:rsidRPr="001965F1">
              <w:rPr>
                <w:rFonts w:ascii="Arial" w:hAnsi="Arial" w:cs="Arial"/>
                <w:color w:val="000000"/>
                <w:sz w:val="20"/>
              </w:rPr>
              <w:t xml:space="preserve">Further, it is clear from the majority judgments in </w:t>
            </w:r>
            <w:r w:rsidRPr="001965F1">
              <w:rPr>
                <w:rFonts w:ascii="Arial" w:hAnsi="Arial" w:cs="Arial"/>
                <w:i/>
                <w:iCs/>
                <w:color w:val="000000"/>
                <w:sz w:val="20"/>
              </w:rPr>
              <w:t xml:space="preserve">Latoudis v Casey </w:t>
            </w:r>
            <w:r w:rsidRPr="001965F1">
              <w:rPr>
                <w:rFonts w:ascii="Arial" w:hAnsi="Arial" w:cs="Arial"/>
                <w:color w:val="000000"/>
                <w:sz w:val="20"/>
              </w:rPr>
              <w:t xml:space="preserve">that, in exercising the discretion to award costs against the </w:t>
            </w:r>
            <w:r w:rsidR="00E25FE9">
              <w:rPr>
                <w:rFonts w:ascii="Arial" w:hAnsi="Arial" w:cs="Arial"/>
                <w:color w:val="000000"/>
                <w:sz w:val="20"/>
              </w:rPr>
              <w:t>P</w:t>
            </w:r>
            <w:r w:rsidRPr="001965F1">
              <w:rPr>
                <w:rFonts w:ascii="Arial" w:hAnsi="Arial" w:cs="Arial"/>
                <w:color w:val="000000"/>
                <w:sz w:val="20"/>
              </w:rPr>
              <w:t>rosecution in this criminal proceeding, the decision should be viewed primarily from the perspective of the accused who is required to pay GST as part of the financial burden of exculpating himself in this proceeding. For instance, Mason CJ said</w:t>
            </w:r>
            <w:r>
              <w:rPr>
                <w:rFonts w:ascii="Arial" w:hAnsi="Arial" w:cs="Arial"/>
                <w:color w:val="000000"/>
                <w:sz w:val="20"/>
              </w:rPr>
              <w:t xml:space="preserve"> at </w:t>
            </w:r>
            <w:r w:rsidR="002A57B5">
              <w:rPr>
                <w:rFonts w:ascii="Arial" w:hAnsi="Arial" w:cs="Arial"/>
                <w:color w:val="000000"/>
                <w:sz w:val="20"/>
              </w:rPr>
              <w:t>pp.</w:t>
            </w:r>
            <w:r>
              <w:rPr>
                <w:rFonts w:ascii="Arial" w:hAnsi="Arial" w:cs="Arial"/>
                <w:color w:val="000000"/>
                <w:sz w:val="20"/>
              </w:rPr>
              <w:t>542-3</w:t>
            </w:r>
            <w:r w:rsidRPr="001965F1">
              <w:rPr>
                <w:rFonts w:ascii="Arial" w:hAnsi="Arial" w:cs="Arial"/>
                <w:color w:val="000000"/>
                <w:sz w:val="20"/>
              </w:rPr>
              <w:t>:</w:t>
            </w:r>
          </w:p>
          <w:p w14:paraId="404BDECB" w14:textId="77777777" w:rsidR="001965F1" w:rsidRDefault="001965F1" w:rsidP="001965F1">
            <w:pPr>
              <w:spacing w:before="60"/>
              <w:ind w:left="454" w:right="454"/>
              <w:jc w:val="both"/>
              <w:rPr>
                <w:rFonts w:ascii="Arial" w:hAnsi="Arial" w:cs="Arial"/>
                <w:color w:val="000000"/>
                <w:sz w:val="18"/>
                <w:szCs w:val="22"/>
              </w:rPr>
            </w:pPr>
            <w:r w:rsidRPr="001965F1">
              <w:rPr>
                <w:rFonts w:ascii="Arial" w:hAnsi="Arial" w:cs="Arial"/>
                <w:color w:val="000000"/>
                <w:sz w:val="18"/>
                <w:szCs w:val="22"/>
              </w:rPr>
              <w:t>It will be seen from what I have already said that, in exercising its discretion to award or refuse costs, a court should look at the matter primarily from the perspective of the defendant. To do so conforms to fundamental principle. If one thing is clear in the realm of costs, it is that, in criminal as well as civil proceedings, costs are not awarded by way of punishment of the unsuccessful party. They are compensatory in the sense that they are awarded to indemnify the successful party against the expense to which he or she has been put by reason of the legal proceedings</w:t>
            </w:r>
            <w:r w:rsidR="00A7529A">
              <w:rPr>
                <w:rFonts w:ascii="Arial" w:hAnsi="Arial" w:cs="Arial"/>
                <w:color w:val="000000"/>
                <w:sz w:val="18"/>
                <w:szCs w:val="22"/>
              </w:rPr>
              <w:t>.</w:t>
            </w:r>
          </w:p>
          <w:p w14:paraId="3631DF38" w14:textId="07FF2F3D" w:rsidR="00BA11E3" w:rsidRDefault="00BA11E3" w:rsidP="00BA11E3">
            <w:pPr>
              <w:spacing w:before="120"/>
              <w:jc w:val="both"/>
              <w:rPr>
                <w:rFonts w:ascii="Arial" w:hAnsi="Arial" w:cs="Arial"/>
                <w:color w:val="000000"/>
                <w:sz w:val="20"/>
              </w:rPr>
            </w:pPr>
            <w:r>
              <w:rPr>
                <w:rFonts w:ascii="Arial" w:hAnsi="Arial" w:cs="Arial"/>
                <w:color w:val="000000"/>
                <w:sz w:val="20"/>
              </w:rPr>
              <w:t xml:space="preserve">At </w:t>
            </w:r>
            <w:r w:rsidR="002A57B5">
              <w:rPr>
                <w:rFonts w:ascii="Arial" w:hAnsi="Arial" w:cs="Arial"/>
                <w:color w:val="000000"/>
                <w:sz w:val="20"/>
              </w:rPr>
              <w:t>p.</w:t>
            </w:r>
            <w:r>
              <w:rPr>
                <w:rFonts w:ascii="Arial" w:hAnsi="Arial" w:cs="Arial"/>
                <w:color w:val="000000"/>
                <w:sz w:val="20"/>
              </w:rPr>
              <w:t xml:space="preserve">565 </w:t>
            </w:r>
            <w:r w:rsidRPr="001965F1">
              <w:rPr>
                <w:rFonts w:ascii="Arial" w:hAnsi="Arial" w:cs="Arial"/>
                <w:color w:val="000000"/>
                <w:sz w:val="20"/>
              </w:rPr>
              <w:t xml:space="preserve">Toohey J also noted </w:t>
            </w:r>
            <w:r>
              <w:rPr>
                <w:rFonts w:ascii="Arial" w:hAnsi="Arial" w:cs="Arial"/>
                <w:color w:val="000000"/>
                <w:sz w:val="20"/>
              </w:rPr>
              <w:t>the</w:t>
            </w:r>
            <w:r w:rsidRPr="001965F1">
              <w:rPr>
                <w:rFonts w:ascii="Arial" w:hAnsi="Arial" w:cs="Arial"/>
                <w:color w:val="000000"/>
                <w:sz w:val="20"/>
              </w:rPr>
              <w:t xml:space="preserve"> very significant distinction between costs in civil and criminal proceedings</w:t>
            </w:r>
            <w:r>
              <w:rPr>
                <w:rFonts w:ascii="Arial" w:hAnsi="Arial" w:cs="Arial"/>
                <w:color w:val="000000"/>
                <w:sz w:val="20"/>
              </w:rPr>
              <w:t xml:space="preserve">, quoting what Kirby P had said in </w:t>
            </w:r>
            <w:r w:rsidRPr="001965F1">
              <w:rPr>
                <w:rFonts w:ascii="Arial" w:hAnsi="Arial" w:cs="Arial"/>
                <w:i/>
                <w:iCs/>
                <w:color w:val="000000"/>
                <w:sz w:val="20"/>
              </w:rPr>
              <w:t>Acuthan v Coates</w:t>
            </w:r>
            <w:r w:rsidR="006179B0">
              <w:rPr>
                <w:rFonts w:ascii="Arial" w:hAnsi="Arial" w:cs="Arial"/>
                <w:i/>
                <w:iCs/>
                <w:color w:val="000000"/>
                <w:sz w:val="20"/>
              </w:rPr>
              <w:t xml:space="preserve"> </w:t>
            </w:r>
            <w:r w:rsidR="006179B0" w:rsidRPr="0021207A">
              <w:rPr>
                <w:rFonts w:ascii="Arial" w:hAnsi="Arial" w:cs="Arial"/>
                <w:sz w:val="20"/>
              </w:rPr>
              <w:t>(1986) 6 NSWLR 472 at 480</w:t>
            </w:r>
            <w:r w:rsidRPr="001965F1">
              <w:rPr>
                <w:rFonts w:ascii="Arial" w:hAnsi="Arial" w:cs="Arial"/>
                <w:color w:val="000000"/>
                <w:sz w:val="20"/>
              </w:rPr>
              <w:t>:</w:t>
            </w:r>
          </w:p>
          <w:p w14:paraId="2573B727" w14:textId="45AF3773" w:rsidR="006179B0" w:rsidRDefault="006179B0" w:rsidP="002A57B5">
            <w:pPr>
              <w:spacing w:before="40" w:after="60"/>
              <w:ind w:left="454" w:right="454"/>
              <w:jc w:val="both"/>
              <w:rPr>
                <w:rFonts w:ascii="Arial" w:hAnsi="Arial" w:cs="Arial"/>
                <w:color w:val="000000"/>
                <w:sz w:val="18"/>
                <w:szCs w:val="22"/>
              </w:rPr>
            </w:pPr>
            <w:r w:rsidRPr="006179B0">
              <w:rPr>
                <w:rFonts w:ascii="Arial" w:hAnsi="Arial" w:cs="Arial"/>
                <w:sz w:val="18"/>
                <w:szCs w:val="22"/>
              </w:rPr>
              <w:t>The section recognises that persons accused of criminal offences can be put to a great deal of expense in defending themselves. Unlike civil litigation, they cannot simply compromise the matter. Their liberty, reputation and pocket are, or may be, at risk.</w:t>
            </w:r>
          </w:p>
          <w:p w14:paraId="32144094" w14:textId="2BAEE095" w:rsidR="00A7529A" w:rsidRDefault="00276362" w:rsidP="00DC3E89">
            <w:pPr>
              <w:spacing w:before="120"/>
              <w:jc w:val="both"/>
              <w:rPr>
                <w:rFonts w:ascii="Arial" w:hAnsi="Arial" w:cs="Arial"/>
                <w:color w:val="000000"/>
                <w:sz w:val="20"/>
              </w:rPr>
            </w:pPr>
            <w:r w:rsidRPr="001965F1">
              <w:rPr>
                <w:rFonts w:ascii="Arial" w:hAnsi="Arial" w:cs="Arial"/>
                <w:color w:val="000000"/>
                <w:sz w:val="20"/>
              </w:rPr>
              <w:lastRenderedPageBreak/>
              <w:t xml:space="preserve">The order for costs against the Prosecution which I am making in this case is an order which – insofar as it is just and reasonable to do so – indemnifies the accused against the expense to which he has been put by reason of the criminal proceedings. It is therefore not akin to an award of ‘party-party’ costs as that term is used in relation to civil proceedings. It is not based on any scale contained in subordinate legislation. It is much more akin to a substantial but not total award of ‘solicitor-client’ costs on which – as the above quote </w:t>
            </w:r>
            <w:r w:rsidR="00872FC7" w:rsidRPr="001965F1">
              <w:rPr>
                <w:rFonts w:ascii="Arial" w:hAnsi="Arial" w:cs="Arial"/>
                <w:color w:val="000000"/>
                <w:sz w:val="20"/>
              </w:rPr>
              <w:t xml:space="preserve">at [24] </w:t>
            </w:r>
            <w:r w:rsidRPr="001965F1">
              <w:rPr>
                <w:rFonts w:ascii="Arial" w:hAnsi="Arial" w:cs="Arial"/>
                <w:color w:val="000000"/>
                <w:sz w:val="20"/>
              </w:rPr>
              <w:t xml:space="preserve">from the judgment of Wood AsJ </w:t>
            </w:r>
            <w:r w:rsidR="00DC3E89" w:rsidRPr="001965F1">
              <w:rPr>
                <w:rFonts w:ascii="Arial" w:hAnsi="Arial" w:cs="Arial"/>
                <w:color w:val="000000"/>
                <w:sz w:val="20"/>
              </w:rPr>
              <w:t>in</w:t>
            </w:r>
            <w:r w:rsidR="00DC3E89" w:rsidRPr="001965F1">
              <w:rPr>
                <w:rFonts w:ascii="Arial" w:hAnsi="Arial" w:cs="Arial"/>
                <w:i/>
                <w:iCs/>
                <w:color w:val="000000"/>
                <w:sz w:val="20"/>
              </w:rPr>
              <w:t xml:space="preserve"> </w:t>
            </w:r>
            <w:r w:rsidR="00872FC7" w:rsidRPr="001965F1">
              <w:rPr>
                <w:rFonts w:ascii="Arial" w:hAnsi="Arial" w:cs="Arial"/>
                <w:i/>
                <w:iCs/>
                <w:color w:val="000000"/>
                <w:sz w:val="20"/>
              </w:rPr>
              <w:t xml:space="preserve">Lujerdean’s </w:t>
            </w:r>
            <w:r w:rsidR="00DC3E89" w:rsidRPr="001965F1">
              <w:rPr>
                <w:rFonts w:ascii="Arial" w:hAnsi="Arial" w:cs="Arial"/>
                <w:i/>
                <w:iCs/>
                <w:color w:val="000000"/>
                <w:sz w:val="20"/>
              </w:rPr>
              <w:t xml:space="preserve">Case </w:t>
            </w:r>
            <w:r w:rsidRPr="001965F1">
              <w:rPr>
                <w:rFonts w:ascii="Arial" w:hAnsi="Arial" w:cs="Arial"/>
                <w:color w:val="000000"/>
                <w:sz w:val="20"/>
              </w:rPr>
              <w:t xml:space="preserve">makes clear – GST is </w:t>
            </w:r>
            <w:r w:rsidR="00872FC7">
              <w:rPr>
                <w:rFonts w:ascii="Arial" w:hAnsi="Arial" w:cs="Arial"/>
                <w:color w:val="000000"/>
                <w:sz w:val="20"/>
              </w:rPr>
              <w:t>“</w:t>
            </w:r>
            <w:r w:rsidRPr="001965F1">
              <w:rPr>
                <w:rFonts w:ascii="Arial" w:hAnsi="Arial" w:cs="Arial"/>
                <w:color w:val="000000"/>
                <w:sz w:val="20"/>
              </w:rPr>
              <w:t>claimable…as between solicitor and client</w:t>
            </w:r>
            <w:r w:rsidR="00872FC7">
              <w:rPr>
                <w:rFonts w:ascii="Arial" w:hAnsi="Arial" w:cs="Arial"/>
                <w:color w:val="000000"/>
                <w:sz w:val="20"/>
              </w:rPr>
              <w:t>”</w:t>
            </w:r>
            <w:r>
              <w:rPr>
                <w:rFonts w:ascii="Arial" w:hAnsi="Arial" w:cs="Arial"/>
                <w:color w:val="000000"/>
                <w:sz w:val="20"/>
              </w:rPr>
              <w:t>.</w:t>
            </w:r>
          </w:p>
        </w:tc>
      </w:tr>
    </w:tbl>
    <w:p w14:paraId="5137D363" w14:textId="77777777" w:rsidR="001B494D" w:rsidRPr="00DC3E89" w:rsidRDefault="001B494D"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7C740C57" w14:textId="77777777" w:rsidTr="008F100D">
        <w:tc>
          <w:tcPr>
            <w:tcW w:w="9060" w:type="dxa"/>
            <w:shd w:val="clear" w:color="auto" w:fill="000000" w:themeFill="text1"/>
          </w:tcPr>
          <w:p w14:paraId="01C1A217" w14:textId="5D50DB5A" w:rsidR="00DC3E89" w:rsidRPr="001F6C29" w:rsidRDefault="00DC3E89" w:rsidP="008F100D">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4</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SENIOR COUNSEL’S DAILY APPEARANCE FEE</w:t>
            </w:r>
          </w:p>
        </w:tc>
      </w:tr>
      <w:tr w:rsidR="00DC3E89" w14:paraId="29A2D6DC" w14:textId="77777777" w:rsidTr="008F100D">
        <w:tc>
          <w:tcPr>
            <w:tcW w:w="9060" w:type="dxa"/>
            <w:shd w:val="clear" w:color="auto" w:fill="DDDDDD"/>
          </w:tcPr>
          <w:p w14:paraId="0B0A6A76" w14:textId="2BFD8FC0" w:rsidR="00DC3E89" w:rsidRPr="006179B0" w:rsidRDefault="00325CB8" w:rsidP="008F100D">
            <w:pPr>
              <w:jc w:val="center"/>
              <w:rPr>
                <w:rFonts w:ascii="Arial" w:hAnsi="Arial" w:cs="Arial"/>
                <w:b/>
                <w:bCs/>
                <w:color w:val="000000"/>
                <w:sz w:val="20"/>
              </w:rPr>
            </w:pPr>
            <w:r>
              <w:rPr>
                <w:rFonts w:ascii="Arial" w:hAnsi="Arial" w:cs="Arial"/>
                <w:b/>
                <w:bCs/>
                <w:color w:val="000000"/>
                <w:sz w:val="20"/>
              </w:rPr>
              <w:t>Ruling</w:t>
            </w:r>
            <w:r w:rsidR="00DC3E89" w:rsidRPr="006179B0">
              <w:rPr>
                <w:rFonts w:ascii="Arial" w:hAnsi="Arial" w:cs="Arial"/>
                <w:b/>
                <w:bCs/>
                <w:color w:val="000000"/>
                <w:sz w:val="20"/>
              </w:rPr>
              <w:t xml:space="preserve">: The </w:t>
            </w:r>
            <w:r w:rsidR="006179B0" w:rsidRPr="006179B0">
              <w:rPr>
                <w:rFonts w:ascii="Arial" w:hAnsi="Arial" w:cs="Arial"/>
                <w:b/>
                <w:bCs/>
                <w:color w:val="000000"/>
                <w:sz w:val="20"/>
              </w:rPr>
              <w:t xml:space="preserve">appearance </w:t>
            </w:r>
            <w:r w:rsidR="00DC3E89" w:rsidRPr="006179B0">
              <w:rPr>
                <w:rFonts w:ascii="Arial" w:hAnsi="Arial" w:cs="Arial"/>
                <w:b/>
                <w:bCs/>
                <w:color w:val="000000"/>
                <w:sz w:val="20"/>
              </w:rPr>
              <w:t xml:space="preserve">costs </w:t>
            </w:r>
            <w:r w:rsidR="006179B0" w:rsidRPr="006179B0">
              <w:rPr>
                <w:rFonts w:ascii="Arial" w:hAnsi="Arial" w:cs="Arial"/>
                <w:b/>
                <w:bCs/>
                <w:color w:val="000000"/>
                <w:sz w:val="20"/>
              </w:rPr>
              <w:t>sought for senior counsel were reasonably incurred</w:t>
            </w:r>
            <w:r w:rsidR="006179B0">
              <w:rPr>
                <w:rFonts w:ascii="Arial" w:hAnsi="Arial" w:cs="Arial"/>
                <w:b/>
                <w:bCs/>
                <w:color w:val="000000"/>
                <w:sz w:val="20"/>
              </w:rPr>
              <w:t>.</w:t>
            </w:r>
          </w:p>
        </w:tc>
      </w:tr>
      <w:tr w:rsidR="00DC3E89" w14:paraId="2CC2EF64" w14:textId="77777777" w:rsidTr="00DC3E89">
        <w:tc>
          <w:tcPr>
            <w:tcW w:w="9060" w:type="dxa"/>
            <w:shd w:val="clear" w:color="auto" w:fill="auto"/>
          </w:tcPr>
          <w:p w14:paraId="315A44CB" w14:textId="0AEFC01B" w:rsidR="006179B0" w:rsidRPr="006179B0" w:rsidRDefault="006179B0" w:rsidP="005C64E5">
            <w:pPr>
              <w:spacing w:before="40"/>
              <w:jc w:val="both"/>
              <w:rPr>
                <w:rFonts w:ascii="Arial" w:hAnsi="Arial" w:cs="Arial"/>
                <w:color w:val="000000"/>
                <w:sz w:val="20"/>
              </w:rPr>
            </w:pPr>
            <w:r w:rsidRPr="006179B0">
              <w:rPr>
                <w:rFonts w:ascii="Arial" w:hAnsi="Arial" w:cs="Arial"/>
                <w:color w:val="000000"/>
                <w:sz w:val="20"/>
              </w:rPr>
              <w:t>The Prosecution submit</w:t>
            </w:r>
            <w:r w:rsidR="008835A1">
              <w:rPr>
                <w:rFonts w:ascii="Arial" w:hAnsi="Arial" w:cs="Arial"/>
                <w:color w:val="000000"/>
                <w:sz w:val="20"/>
              </w:rPr>
              <w:t>ted</w:t>
            </w:r>
            <w:r w:rsidRPr="006179B0">
              <w:rPr>
                <w:rFonts w:ascii="Arial" w:hAnsi="Arial" w:cs="Arial"/>
                <w:color w:val="000000"/>
                <w:sz w:val="20"/>
              </w:rPr>
              <w:t xml:space="preserve"> that the daily appearance rate ($7,000 excluding GST per day) of </w:t>
            </w:r>
            <w:r>
              <w:rPr>
                <w:rFonts w:ascii="Arial" w:hAnsi="Arial" w:cs="Arial"/>
                <w:color w:val="000000"/>
                <w:sz w:val="20"/>
              </w:rPr>
              <w:t>senior counsel</w:t>
            </w:r>
            <w:r w:rsidRPr="006179B0">
              <w:rPr>
                <w:rFonts w:ascii="Arial" w:hAnsi="Arial" w:cs="Arial"/>
                <w:color w:val="000000"/>
                <w:sz w:val="20"/>
              </w:rPr>
              <w:t xml:space="preserve"> should be reduced to accord with Schedule 1 of the </w:t>
            </w:r>
            <w:r w:rsidRPr="006179B0">
              <w:rPr>
                <w:rFonts w:ascii="Arial" w:hAnsi="Arial" w:cs="Arial"/>
                <w:i/>
                <w:iCs/>
                <w:color w:val="000000"/>
                <w:sz w:val="20"/>
              </w:rPr>
              <w:t xml:space="preserve">Supreme Court (General Civil Procedure) Rules 2015. </w:t>
            </w:r>
            <w:r w:rsidRPr="006179B0">
              <w:rPr>
                <w:rFonts w:ascii="Arial" w:hAnsi="Arial" w:cs="Arial"/>
                <w:color w:val="000000"/>
                <w:sz w:val="20"/>
              </w:rPr>
              <w:t xml:space="preserve">The basis for asserting that the fee-capping contained in these Rules would or should apply to the Children’s Court is unclear to me given the differences highlighted in the authorities between costs awards in criminal and civil proceedings and dicta from the majority judgments in </w:t>
            </w:r>
            <w:r w:rsidRPr="006179B0">
              <w:rPr>
                <w:rFonts w:ascii="Arial" w:hAnsi="Arial" w:cs="Arial"/>
                <w:i/>
                <w:iCs/>
                <w:color w:val="000000"/>
                <w:sz w:val="20"/>
              </w:rPr>
              <w:t xml:space="preserve">Latoudis v Casey </w:t>
            </w:r>
            <w:r w:rsidRPr="006179B0">
              <w:rPr>
                <w:rFonts w:ascii="Arial" w:hAnsi="Arial" w:cs="Arial"/>
                <w:color w:val="000000"/>
                <w:sz w:val="20"/>
              </w:rPr>
              <w:t>cited in Part 3 above. This submission is accordingly rejected.</w:t>
            </w:r>
          </w:p>
          <w:p w14:paraId="7618B41F" w14:textId="0911ED49" w:rsidR="00DC3E89" w:rsidRDefault="006179B0" w:rsidP="00E25FE9">
            <w:pPr>
              <w:spacing w:before="120" w:after="40"/>
              <w:jc w:val="both"/>
              <w:rPr>
                <w:rFonts w:ascii="Arial" w:hAnsi="Arial" w:cs="Arial"/>
                <w:color w:val="000000"/>
                <w:sz w:val="20"/>
              </w:rPr>
            </w:pPr>
            <w:r w:rsidRPr="006179B0">
              <w:rPr>
                <w:rFonts w:ascii="Arial" w:hAnsi="Arial" w:cs="Arial"/>
                <w:color w:val="000000"/>
                <w:sz w:val="20"/>
              </w:rPr>
              <w:t xml:space="preserve">In my view, in the circumstances the costs sought for senior counsel were reasonably incurred and are of a reasonable amount considering the seriousness of the alleged offences in this matter and the potentially very serious ramifications for the accused of a finding of guilt. Those potential ramifications include not only the </w:t>
            </w:r>
            <w:r w:rsidR="00872FC7">
              <w:rPr>
                <w:rFonts w:ascii="Arial" w:hAnsi="Arial" w:cs="Arial"/>
                <w:color w:val="000000"/>
                <w:sz w:val="20"/>
              </w:rPr>
              <w:t>“</w:t>
            </w:r>
            <w:r w:rsidRPr="006179B0">
              <w:rPr>
                <w:rFonts w:ascii="Arial" w:hAnsi="Arial" w:cs="Arial"/>
                <w:color w:val="000000"/>
                <w:sz w:val="20"/>
              </w:rPr>
              <w:t>liberty, reputation and pocket</w:t>
            </w:r>
            <w:r w:rsidR="00872FC7">
              <w:rPr>
                <w:rFonts w:ascii="Arial" w:hAnsi="Arial" w:cs="Arial"/>
                <w:color w:val="000000"/>
                <w:sz w:val="20"/>
              </w:rPr>
              <w:t>”</w:t>
            </w:r>
            <w:r w:rsidRPr="006179B0">
              <w:rPr>
                <w:rFonts w:ascii="Arial" w:hAnsi="Arial" w:cs="Arial"/>
                <w:color w:val="000000"/>
                <w:sz w:val="20"/>
              </w:rPr>
              <w:t xml:space="preserve"> of the accused – to quote Kirby P in </w:t>
            </w:r>
            <w:r w:rsidRPr="006179B0">
              <w:rPr>
                <w:rFonts w:ascii="Arial" w:hAnsi="Arial" w:cs="Arial"/>
                <w:i/>
                <w:iCs/>
                <w:color w:val="000000"/>
                <w:sz w:val="20"/>
              </w:rPr>
              <w:t>Acuthan v Coates</w:t>
            </w:r>
            <w:r w:rsidRPr="006179B0">
              <w:rPr>
                <w:rFonts w:ascii="Arial" w:hAnsi="Arial" w:cs="Arial"/>
                <w:color w:val="000000"/>
                <w:sz w:val="20"/>
              </w:rPr>
              <w:t xml:space="preserve"> – but also a potential adverse impact on his future employment prospects.</w:t>
            </w:r>
          </w:p>
        </w:tc>
      </w:tr>
    </w:tbl>
    <w:p w14:paraId="6C7917B1" w14:textId="77777777" w:rsidR="00DC3E89" w:rsidRPr="00DC3E89" w:rsidRDefault="00DC3E89"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10DDFEA5" w14:textId="77777777" w:rsidTr="008F100D">
        <w:tc>
          <w:tcPr>
            <w:tcW w:w="9060" w:type="dxa"/>
            <w:shd w:val="clear" w:color="auto" w:fill="000000" w:themeFill="text1"/>
          </w:tcPr>
          <w:p w14:paraId="7C8EE46C" w14:textId="214B4852" w:rsidR="00DC3E89" w:rsidRPr="001F6C29" w:rsidRDefault="00DC3E89" w:rsidP="008F100D">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5</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JUNIOR COUNSEL’S APPEARANCE FEE</w:t>
            </w:r>
            <w:r w:rsidR="00325CB8">
              <w:rPr>
                <w:rFonts w:ascii="Arial" w:hAnsi="Arial" w:cs="Arial"/>
                <w:b/>
                <w:bCs/>
                <w:color w:val="FFFFFF" w:themeColor="background1"/>
                <w:sz w:val="20"/>
              </w:rPr>
              <w:t xml:space="preserve"> </w:t>
            </w:r>
          </w:p>
        </w:tc>
      </w:tr>
      <w:tr w:rsidR="00DC3E89" w14:paraId="2BA756AE" w14:textId="77777777" w:rsidTr="008F100D">
        <w:tc>
          <w:tcPr>
            <w:tcW w:w="9060" w:type="dxa"/>
            <w:shd w:val="clear" w:color="auto" w:fill="DDDDDD"/>
          </w:tcPr>
          <w:p w14:paraId="2F7EB9B6" w14:textId="1414EF50" w:rsidR="00DC3E89" w:rsidRPr="00325CB8" w:rsidRDefault="00325CB8" w:rsidP="00325CB8">
            <w:pPr>
              <w:jc w:val="both"/>
              <w:rPr>
                <w:rFonts w:ascii="Arial" w:hAnsi="Arial" w:cs="Arial"/>
                <w:b/>
                <w:bCs/>
                <w:color w:val="000000"/>
                <w:sz w:val="20"/>
              </w:rPr>
            </w:pPr>
            <w:r>
              <w:rPr>
                <w:rFonts w:ascii="Arial" w:hAnsi="Arial" w:cs="Arial"/>
                <w:b/>
                <w:bCs/>
                <w:color w:val="000000"/>
                <w:sz w:val="20"/>
              </w:rPr>
              <w:t>Ruling</w:t>
            </w:r>
            <w:r w:rsidR="00DC3E89" w:rsidRPr="00325CB8">
              <w:rPr>
                <w:rFonts w:ascii="Arial" w:hAnsi="Arial" w:cs="Arial"/>
                <w:b/>
                <w:bCs/>
                <w:color w:val="000000"/>
                <w:sz w:val="20"/>
              </w:rPr>
              <w:t xml:space="preserve">: </w:t>
            </w:r>
            <w:r>
              <w:rPr>
                <w:rFonts w:ascii="Arial" w:hAnsi="Arial" w:cs="Arial"/>
                <w:b/>
                <w:bCs/>
                <w:color w:val="000000"/>
                <w:sz w:val="20"/>
              </w:rPr>
              <w:t>A full day’s appearance costs in circumstances where junior counsel was absent from court for one morning would not constitute expenses reasonably incurred, especially when an instructor was also in attendance at court.</w:t>
            </w:r>
            <w:r w:rsidR="002F0F02">
              <w:rPr>
                <w:rFonts w:ascii="Arial" w:hAnsi="Arial" w:cs="Arial"/>
                <w:b/>
                <w:bCs/>
                <w:color w:val="000000"/>
                <w:sz w:val="20"/>
              </w:rPr>
              <w:t xml:space="preserve"> This is notwithstanding the Defence submission that Counsel’s fees are charged and capped on a daily rate.</w:t>
            </w:r>
          </w:p>
        </w:tc>
      </w:tr>
    </w:tbl>
    <w:p w14:paraId="5AB778D0" w14:textId="77777777" w:rsidR="00DC3E89" w:rsidRPr="00DC3E89" w:rsidRDefault="00DC3E89"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378BD4F4" w14:textId="77777777" w:rsidTr="008F100D">
        <w:tc>
          <w:tcPr>
            <w:tcW w:w="9060" w:type="dxa"/>
            <w:shd w:val="clear" w:color="auto" w:fill="000000" w:themeFill="text1"/>
          </w:tcPr>
          <w:p w14:paraId="4BA2971B" w14:textId="7F357AAC" w:rsidR="00DC3E89" w:rsidRPr="001F6C29" w:rsidRDefault="00DC3E89" w:rsidP="008F100D">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6</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LEGAL REPRESENTATIVES’ PREPARATION COSTS</w:t>
            </w:r>
          </w:p>
        </w:tc>
      </w:tr>
      <w:tr w:rsidR="00DC3E89" w14:paraId="562D7594" w14:textId="77777777" w:rsidTr="008F100D">
        <w:tc>
          <w:tcPr>
            <w:tcW w:w="9060" w:type="dxa"/>
            <w:shd w:val="clear" w:color="auto" w:fill="DDDDDD"/>
          </w:tcPr>
          <w:p w14:paraId="0A756EEF" w14:textId="09DC906F" w:rsidR="00DC3E89" w:rsidRPr="005C64E5" w:rsidRDefault="00325CB8" w:rsidP="008F100D">
            <w:pPr>
              <w:jc w:val="center"/>
              <w:rPr>
                <w:rFonts w:ascii="Arial" w:hAnsi="Arial" w:cs="Arial"/>
                <w:b/>
                <w:bCs/>
                <w:color w:val="000000"/>
                <w:sz w:val="20"/>
              </w:rPr>
            </w:pPr>
            <w:r w:rsidRPr="005C64E5">
              <w:rPr>
                <w:rFonts w:ascii="Arial" w:hAnsi="Arial" w:cs="Arial"/>
                <w:b/>
                <w:bCs/>
                <w:color w:val="000000"/>
                <w:sz w:val="20"/>
              </w:rPr>
              <w:t>Ruling</w:t>
            </w:r>
            <w:r w:rsidR="00DC3E89" w:rsidRPr="005C64E5">
              <w:rPr>
                <w:rFonts w:ascii="Arial" w:hAnsi="Arial" w:cs="Arial"/>
                <w:b/>
                <w:bCs/>
                <w:color w:val="000000"/>
                <w:sz w:val="20"/>
              </w:rPr>
              <w:t xml:space="preserve">: </w:t>
            </w:r>
            <w:r w:rsidR="00872FC7" w:rsidRPr="005C64E5">
              <w:rPr>
                <w:rFonts w:ascii="Arial" w:hAnsi="Arial" w:cs="Arial"/>
                <w:b/>
                <w:bCs/>
                <w:color w:val="000000"/>
                <w:sz w:val="20"/>
              </w:rPr>
              <w:t>1.5 days</w:t>
            </w:r>
            <w:r w:rsidR="005C64E5" w:rsidRPr="005C64E5">
              <w:rPr>
                <w:rFonts w:ascii="Arial" w:hAnsi="Arial" w:cs="Arial"/>
                <w:b/>
                <w:bCs/>
                <w:color w:val="000000"/>
                <w:sz w:val="20"/>
              </w:rPr>
              <w:t>’</w:t>
            </w:r>
            <w:r w:rsidR="00872FC7" w:rsidRPr="005C64E5">
              <w:rPr>
                <w:rFonts w:ascii="Arial" w:hAnsi="Arial" w:cs="Arial"/>
                <w:b/>
                <w:bCs/>
                <w:color w:val="000000"/>
                <w:sz w:val="20"/>
              </w:rPr>
              <w:t xml:space="preserve"> preparation for each counsel and 2 days’ for</w:t>
            </w:r>
            <w:r w:rsidR="005C64E5" w:rsidRPr="005C64E5">
              <w:rPr>
                <w:rFonts w:ascii="Arial" w:hAnsi="Arial" w:cs="Arial"/>
                <w:b/>
                <w:bCs/>
                <w:color w:val="000000"/>
                <w:sz w:val="20"/>
              </w:rPr>
              <w:t xml:space="preserve"> instructing solicitor awarded.</w:t>
            </w:r>
          </w:p>
        </w:tc>
      </w:tr>
      <w:tr w:rsidR="00DC3E89" w14:paraId="2FF35D38" w14:textId="77777777" w:rsidTr="008F100D">
        <w:tc>
          <w:tcPr>
            <w:tcW w:w="9060" w:type="dxa"/>
            <w:shd w:val="clear" w:color="auto" w:fill="auto"/>
          </w:tcPr>
          <w:p w14:paraId="4CEC11B6" w14:textId="2CC32ED9" w:rsidR="00DC3E89" w:rsidRDefault="005C64E5" w:rsidP="005C64E5">
            <w:pPr>
              <w:spacing w:before="40"/>
              <w:jc w:val="both"/>
              <w:rPr>
                <w:rFonts w:ascii="Arial" w:hAnsi="Arial" w:cs="Arial"/>
                <w:color w:val="000000"/>
                <w:sz w:val="20"/>
              </w:rPr>
            </w:pPr>
            <w:r>
              <w:rPr>
                <w:rFonts w:ascii="Arial" w:hAnsi="Arial" w:cs="Arial"/>
                <w:color w:val="000000"/>
                <w:sz w:val="20"/>
              </w:rPr>
              <w:t>The Defence claimed 3 days’ preparation costs for each of the 3 legal representatives in the matter, submitting that in the usual course of proceedings general practice is for defence practitioners to be allowed at least one day preparation for each hearing date.</w:t>
            </w:r>
          </w:p>
          <w:p w14:paraId="77D7D3B1" w14:textId="77777777" w:rsidR="005C64E5" w:rsidRDefault="005C64E5" w:rsidP="005C64E5">
            <w:pPr>
              <w:spacing w:before="60"/>
              <w:jc w:val="both"/>
              <w:rPr>
                <w:rFonts w:ascii="Arial" w:hAnsi="Arial" w:cs="Arial"/>
                <w:color w:val="000000"/>
                <w:sz w:val="20"/>
              </w:rPr>
            </w:pPr>
            <w:r>
              <w:rPr>
                <w:rFonts w:ascii="Arial" w:hAnsi="Arial" w:cs="Arial"/>
                <w:color w:val="000000"/>
                <w:sz w:val="20"/>
              </w:rPr>
              <w:t>The Prosecution submitted that the preparation costs should be scaled back to 1.5 days for each lawyer. This was based on Victoria Police’s general approach to allow a half day preparation for each day in court</w:t>
            </w:r>
          </w:p>
          <w:p w14:paraId="150E051D" w14:textId="1C79B794" w:rsidR="005C64E5" w:rsidRDefault="005C64E5" w:rsidP="005C64E5">
            <w:pPr>
              <w:spacing w:before="60"/>
              <w:jc w:val="both"/>
              <w:rPr>
                <w:rFonts w:ascii="Arial" w:hAnsi="Arial" w:cs="Arial"/>
                <w:color w:val="000000"/>
                <w:sz w:val="20"/>
              </w:rPr>
            </w:pPr>
            <w:r>
              <w:rPr>
                <w:rFonts w:ascii="Arial" w:hAnsi="Arial" w:cs="Arial"/>
                <w:color w:val="000000"/>
                <w:sz w:val="20"/>
              </w:rPr>
              <w:t xml:space="preserve">The discretion afforded to the Court </w:t>
            </w:r>
            <w:r w:rsidR="002F0F02">
              <w:rPr>
                <w:rFonts w:ascii="Arial" w:hAnsi="Arial" w:cs="Arial"/>
                <w:color w:val="000000"/>
                <w:sz w:val="20"/>
              </w:rPr>
              <w:t xml:space="preserve">as to the quantum of costs is broad but will only extend to costs that were reasonably incurred and of a reasonable amount: see dicta of Toohey J in </w:t>
            </w:r>
            <w:r w:rsidR="002F0F02" w:rsidRPr="002F0F02">
              <w:rPr>
                <w:rFonts w:ascii="Arial" w:hAnsi="Arial" w:cs="Arial"/>
                <w:i/>
                <w:iCs/>
                <w:color w:val="000000"/>
                <w:sz w:val="20"/>
              </w:rPr>
              <w:t>Latoudis v Casey</w:t>
            </w:r>
            <w:r w:rsidR="002F0F02">
              <w:rPr>
                <w:rFonts w:ascii="Arial" w:hAnsi="Arial" w:cs="Arial"/>
                <w:color w:val="000000"/>
                <w:sz w:val="20"/>
              </w:rPr>
              <w:t xml:space="preserve"> (1990) 170 CLR 534 at 561-2 quoting dicta from </w:t>
            </w:r>
            <w:r w:rsidR="002F0F02" w:rsidRPr="002F0F02">
              <w:rPr>
                <w:rFonts w:ascii="Arial" w:hAnsi="Arial" w:cs="Arial"/>
                <w:i/>
                <w:iCs/>
                <w:color w:val="000000"/>
                <w:sz w:val="20"/>
              </w:rPr>
              <w:t>Puddy v Borg</w:t>
            </w:r>
            <w:r w:rsidR="002F0F02">
              <w:rPr>
                <w:rFonts w:ascii="Arial" w:hAnsi="Arial" w:cs="Arial"/>
                <w:color w:val="000000"/>
                <w:sz w:val="20"/>
              </w:rPr>
              <w:t xml:space="preserve"> [1973] VR 626 at 628; see also the judgment of Mason CJ at 539-40 (also citing with approval dicta from </w:t>
            </w:r>
            <w:r w:rsidR="002F0F02" w:rsidRPr="002F0F02">
              <w:rPr>
                <w:rFonts w:ascii="Arial" w:hAnsi="Arial" w:cs="Arial"/>
                <w:i/>
                <w:iCs/>
                <w:color w:val="000000"/>
                <w:sz w:val="20"/>
              </w:rPr>
              <w:t>Puddy v Borg</w:t>
            </w:r>
            <w:r w:rsidR="002F0F02">
              <w:rPr>
                <w:rFonts w:ascii="Arial" w:hAnsi="Arial" w:cs="Arial"/>
                <w:color w:val="000000"/>
                <w:sz w:val="20"/>
              </w:rPr>
              <w:t xml:space="preserve"> at 628) and the judgment of McHugh J at 566-7. In assessing this, I must consider, among other things, the seriousness of the alleged offences and the complexity of the case. As Toohey J emphasised in his quotation from </w:t>
            </w:r>
            <w:r w:rsidR="002F0F02" w:rsidRPr="002F0F02">
              <w:rPr>
                <w:rFonts w:ascii="Arial" w:hAnsi="Arial" w:cs="Arial"/>
                <w:i/>
                <w:iCs/>
                <w:color w:val="000000"/>
                <w:sz w:val="20"/>
              </w:rPr>
              <w:t>Puddy v Borg</w:t>
            </w:r>
            <w:r w:rsidR="00377942" w:rsidRPr="00377942">
              <w:rPr>
                <w:rFonts w:ascii="Arial" w:hAnsi="Arial" w:cs="Arial"/>
                <w:color w:val="000000"/>
                <w:sz w:val="20"/>
              </w:rPr>
              <w:t xml:space="preserve"> at 561</w:t>
            </w:r>
            <w:r w:rsidR="002F0F02">
              <w:rPr>
                <w:rFonts w:ascii="Arial" w:hAnsi="Arial" w:cs="Arial"/>
                <w:color w:val="000000"/>
                <w:sz w:val="20"/>
              </w:rPr>
              <w:t>: “The discretion is one to be exercised in each case according to its own circumstances.”</w:t>
            </w:r>
            <w:r w:rsidR="00377942">
              <w:rPr>
                <w:rFonts w:ascii="Arial" w:hAnsi="Arial" w:cs="Arial"/>
                <w:color w:val="000000"/>
                <w:sz w:val="20"/>
              </w:rPr>
              <w:t xml:space="preserve"> I cannot therefore consider myself bound by either the “general practice” as asserted by the Defence or “Victoria Police’s general approach” as asserted by the Prosecution.</w:t>
            </w:r>
            <w:r w:rsidR="002A57B5">
              <w:rPr>
                <w:rFonts w:ascii="Arial" w:hAnsi="Arial" w:cs="Arial"/>
                <w:color w:val="000000"/>
                <w:sz w:val="20"/>
              </w:rPr>
              <w:t xml:space="preserve"> They are no more than starting positions for my analysis.</w:t>
            </w:r>
          </w:p>
          <w:p w14:paraId="5D9BD372" w14:textId="055876C0" w:rsidR="00377942" w:rsidRDefault="00377942" w:rsidP="005C64E5">
            <w:pPr>
              <w:spacing w:before="60"/>
              <w:jc w:val="both"/>
              <w:rPr>
                <w:rFonts w:ascii="Arial" w:hAnsi="Arial" w:cs="Arial"/>
                <w:color w:val="000000"/>
                <w:sz w:val="20"/>
              </w:rPr>
            </w:pPr>
            <w:r>
              <w:rPr>
                <w:rFonts w:ascii="Arial" w:hAnsi="Arial" w:cs="Arial"/>
                <w:color w:val="000000"/>
                <w:sz w:val="20"/>
              </w:rPr>
              <w:t>While the alleged offending in this matter was at the upper end of seriousness in the spectrum of matters that can be determined by this court and the proceeding was expedited, I note that WX gave a no comment record of interview, there was no VARE completed, the evidence before the court was from four witnesses, all of whom provided written statements, and the issue in dispute was of a discrete nature.</w:t>
            </w:r>
          </w:p>
          <w:p w14:paraId="290495CB" w14:textId="05653CB0" w:rsidR="002F0F02" w:rsidRDefault="00377942" w:rsidP="00377942">
            <w:pPr>
              <w:spacing w:before="60" w:after="40"/>
              <w:jc w:val="both"/>
              <w:rPr>
                <w:rFonts w:ascii="Arial" w:hAnsi="Arial" w:cs="Arial"/>
                <w:color w:val="000000"/>
                <w:sz w:val="20"/>
              </w:rPr>
            </w:pPr>
            <w:r>
              <w:rPr>
                <w:rFonts w:ascii="Arial" w:hAnsi="Arial" w:cs="Arial"/>
                <w:color w:val="000000"/>
                <w:sz w:val="20"/>
              </w:rPr>
              <w:t>Considering all of the circumstances, I am satisfied that the costs sought in relation to preparation of the matter should be scaled back to 1.5 days’ preparation for each counsel and to 2 days’ preparation for the instructing solicitor. This is not because of “Victoria Police’s general approach” to costs but because any greater award of preparation costs would not, in my view, be just and reasonable in the fairly straightforward circumstances of this case. So far as the instructing solicitor is concerned, I consider it just and reasonable to add a further 0.5 days to his 1.5 days of preparation costs associated with the hearing in order to cover the time spent in taking initial instructions from WX.</w:t>
            </w:r>
          </w:p>
        </w:tc>
      </w:tr>
    </w:tbl>
    <w:p w14:paraId="090C30A5" w14:textId="77777777" w:rsidR="004A14B5" w:rsidRPr="00986720" w:rsidRDefault="004A14B5">
      <w:pPr>
        <w:jc w:val="both"/>
        <w:rPr>
          <w:rFonts w:ascii="Arial" w:hAnsi="Arial" w:cs="Arial"/>
          <w:color w:val="000000"/>
          <w:sz w:val="20"/>
        </w:rPr>
      </w:pPr>
    </w:p>
    <w:p w14:paraId="54BA06CD" w14:textId="18A34A8A"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w:t>
      </w:r>
      <w:r w:rsidR="00B15C64" w:rsidRPr="00986720">
        <w:rPr>
          <w:rFonts w:ascii="Arial" w:hAnsi="Arial" w:cs="Arial"/>
          <w:color w:val="000000"/>
          <w:sz w:val="20"/>
        </w:rPr>
        <w:lastRenderedPageBreak/>
        <w:t xml:space="preserve">(including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McEwen v Siely</w:t>
      </w:r>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r w:rsidR="009F17D4" w:rsidRPr="009F17D4">
        <w:rPr>
          <w:rFonts w:ascii="Arial" w:hAnsi="Arial" w:cs="Arial"/>
          <w:i/>
          <w:iCs/>
          <w:color w:val="000000"/>
          <w:sz w:val="20"/>
        </w:rPr>
        <w:t xml:space="preserve">Madafferi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FF5575">
      <w:pPr>
        <w:pStyle w:val="Heading3"/>
        <w:keepNext/>
        <w:keepLines/>
        <w:widowControl/>
        <w:spacing w:after="120" w:line="240" w:lineRule="auto"/>
        <w:rPr>
          <w:rFonts w:ascii="Arial" w:hAnsi="Arial" w:cs="Arial"/>
          <w:b/>
          <w:bCs/>
          <w:sz w:val="20"/>
          <w:lang w:val="en-US"/>
        </w:rPr>
      </w:pPr>
      <w:bookmarkStart w:id="1049" w:name="_3.9.2_Criminal_Division"/>
      <w:bookmarkStart w:id="1050" w:name="B392"/>
      <w:bookmarkStart w:id="1051" w:name="_Toc30652646"/>
      <w:bookmarkStart w:id="1052" w:name="_Toc30652744"/>
      <w:bookmarkStart w:id="1053" w:name="_Toc30654089"/>
      <w:bookmarkStart w:id="1054" w:name="_Toc30654440"/>
      <w:bookmarkStart w:id="1055" w:name="_Toc30655059"/>
      <w:bookmarkStart w:id="1056" w:name="_Toc30655316"/>
      <w:bookmarkStart w:id="1057" w:name="_Toc30656994"/>
      <w:bookmarkStart w:id="1058" w:name="_Toc30661743"/>
      <w:bookmarkStart w:id="1059" w:name="_Toc30666431"/>
      <w:bookmarkStart w:id="1060" w:name="_Toc30666661"/>
      <w:bookmarkStart w:id="1061" w:name="_Toc30667836"/>
      <w:bookmarkStart w:id="1062" w:name="_Toc30669214"/>
      <w:bookmarkStart w:id="1063" w:name="_Toc30671430"/>
      <w:bookmarkStart w:id="1064" w:name="_Toc30673957"/>
      <w:bookmarkStart w:id="1065" w:name="_Toc30691179"/>
      <w:bookmarkStart w:id="1066" w:name="_Toc30691550"/>
      <w:bookmarkStart w:id="1067" w:name="_Toc30691930"/>
      <w:bookmarkStart w:id="1068" w:name="_Toc30692689"/>
      <w:bookmarkStart w:id="1069" w:name="_Toc30693068"/>
      <w:bookmarkStart w:id="1070" w:name="_Toc30693446"/>
      <w:bookmarkStart w:id="1071" w:name="_Toc30693825"/>
      <w:bookmarkStart w:id="1072" w:name="_Toc30694206"/>
      <w:bookmarkStart w:id="1073" w:name="_Toc30698795"/>
      <w:bookmarkStart w:id="1074" w:name="_Toc30699173"/>
      <w:bookmarkStart w:id="1075" w:name="_Toc30699558"/>
      <w:bookmarkStart w:id="1076" w:name="_Toc30700713"/>
      <w:bookmarkStart w:id="1077" w:name="_Toc30701100"/>
      <w:bookmarkStart w:id="1078" w:name="_Toc30743709"/>
      <w:bookmarkStart w:id="1079" w:name="_Toc30754531"/>
      <w:bookmarkStart w:id="1080" w:name="_Toc30756971"/>
      <w:bookmarkStart w:id="1081" w:name="_Toc30757520"/>
      <w:bookmarkStart w:id="1082" w:name="_Toc30757920"/>
      <w:bookmarkStart w:id="1083" w:name="_Toc30762681"/>
      <w:bookmarkStart w:id="1084" w:name="_Toc30767335"/>
      <w:bookmarkStart w:id="1085" w:name="_Toc34823351"/>
      <w:bookmarkStart w:id="1086" w:name="_Toc58831513"/>
      <w:bookmarkEnd w:id="1049"/>
      <w:bookmarkEnd w:id="1050"/>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87" w:name="_3.9.3_Family_Division"/>
      <w:bookmarkStart w:id="1088" w:name="B393"/>
      <w:bookmarkStart w:id="1089" w:name="_Toc30652647"/>
      <w:bookmarkStart w:id="1090" w:name="_Toc30652745"/>
      <w:bookmarkStart w:id="1091" w:name="_Toc30654090"/>
      <w:bookmarkStart w:id="1092" w:name="_Toc30654441"/>
      <w:bookmarkStart w:id="1093" w:name="_Toc30655060"/>
      <w:bookmarkStart w:id="1094" w:name="_Toc30655317"/>
      <w:bookmarkStart w:id="1095" w:name="_Toc30656995"/>
      <w:bookmarkStart w:id="1096" w:name="_Toc30661744"/>
      <w:bookmarkStart w:id="1097" w:name="_Toc30666432"/>
      <w:bookmarkStart w:id="1098" w:name="_Toc30666662"/>
      <w:bookmarkStart w:id="1099" w:name="_Toc30667837"/>
      <w:bookmarkStart w:id="1100" w:name="_Toc30669215"/>
      <w:bookmarkStart w:id="1101" w:name="_Toc30671431"/>
      <w:bookmarkStart w:id="1102" w:name="_Toc30673958"/>
      <w:bookmarkStart w:id="1103" w:name="_Toc30691180"/>
      <w:bookmarkStart w:id="1104" w:name="_Toc30691551"/>
      <w:bookmarkStart w:id="1105" w:name="_Toc30691931"/>
      <w:bookmarkStart w:id="1106" w:name="_Toc30692690"/>
      <w:bookmarkStart w:id="1107" w:name="_Toc30693069"/>
      <w:bookmarkStart w:id="1108" w:name="_Toc30693447"/>
      <w:bookmarkStart w:id="1109" w:name="_Toc30693826"/>
      <w:bookmarkStart w:id="1110" w:name="_Toc30694207"/>
      <w:bookmarkStart w:id="1111" w:name="_Toc30698796"/>
      <w:bookmarkStart w:id="1112" w:name="_Toc30699174"/>
      <w:bookmarkStart w:id="1113" w:name="_Toc30699559"/>
      <w:bookmarkStart w:id="1114" w:name="_Toc30700714"/>
      <w:bookmarkStart w:id="1115" w:name="_Toc30701101"/>
      <w:bookmarkStart w:id="1116" w:name="_Toc30743710"/>
      <w:bookmarkStart w:id="1117" w:name="_Toc30754532"/>
      <w:bookmarkStart w:id="1118" w:name="_Toc30756972"/>
      <w:bookmarkStart w:id="1119" w:name="_Toc30757521"/>
      <w:bookmarkStart w:id="1120" w:name="_Toc30757921"/>
      <w:bookmarkStart w:id="1121" w:name="_Toc30762682"/>
      <w:bookmarkStart w:id="1122" w:name="_Toc30767336"/>
      <w:bookmarkStart w:id="1123" w:name="_Toc34823352"/>
      <w:bookmarkStart w:id="1124" w:name="_Toc58831514"/>
      <w:bookmarkStart w:id="1125" w:name="_Hlk149197338"/>
      <w:bookmarkStart w:id="1126" w:name="_Hlk149197027"/>
      <w:bookmarkEnd w:id="1087"/>
      <w:bookmarkEnd w:id="1088"/>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Fonts w:ascii="Arial" w:hAnsi="Arial" w:cs="Arial"/>
          <w:b/>
          <w:bCs/>
          <w:sz w:val="20"/>
        </w:rPr>
        <w:t xml:space="preserve"> (protection proceedings)</w:t>
      </w:r>
      <w:bookmarkEnd w:id="1117"/>
      <w:bookmarkEnd w:id="1118"/>
      <w:bookmarkEnd w:id="1119"/>
      <w:bookmarkEnd w:id="1120"/>
      <w:bookmarkEnd w:id="1121"/>
      <w:bookmarkEnd w:id="1122"/>
      <w:bookmarkEnd w:id="1123"/>
      <w:bookmarkEnd w:id="1124"/>
    </w:p>
    <w:p w14:paraId="18E24C8F" w14:textId="7B13C9D1"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sidR="00366998">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r w:rsidR="00B21DA4">
        <w:rPr>
          <w:rFonts w:ascii="Arial" w:hAnsi="Arial" w:cs="Arial"/>
          <w:i/>
          <w:sz w:val="20"/>
        </w:rPr>
        <w:t>Latoudis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w:t>
      </w:r>
      <w:r w:rsidR="00B21DA4" w:rsidRPr="00093E02">
        <w:rPr>
          <w:rFonts w:ascii="Arial" w:hAnsi="Arial" w:cs="Arial"/>
          <w:b/>
          <w:bCs/>
          <w:iCs/>
          <w:sz w:val="20"/>
        </w:rPr>
        <w:lastRenderedPageBreak/>
        <w:t>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I said words to the effect that I saw the whole process 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r w:rsidRPr="00E60220">
        <w:rPr>
          <w:rFonts w:ascii="Arial" w:hAnsi="Arial" w:cs="Arial"/>
          <w:i/>
          <w:iCs/>
          <w:sz w:val="20"/>
        </w:rPr>
        <w:t>Oshlack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lastRenderedPageBreak/>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The institute’s position in this respect is no different from that of any other regulatory agency which is a party to proceedings before a domestic tribunal. The Transport Accident Commission, the Victorian WorkCover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127" w:name="_3.9.4_Family_Division"/>
      <w:bookmarkStart w:id="1128" w:name="B394"/>
      <w:bookmarkStart w:id="1129" w:name="_Toc30754533"/>
      <w:bookmarkStart w:id="1130" w:name="_Toc30756973"/>
      <w:bookmarkStart w:id="1131" w:name="_Toc30757522"/>
      <w:bookmarkStart w:id="1132" w:name="_Toc30757922"/>
      <w:bookmarkStart w:id="1133" w:name="_Toc30762683"/>
      <w:bookmarkStart w:id="1134" w:name="_Toc30767337"/>
      <w:bookmarkStart w:id="1135" w:name="_Toc34823353"/>
      <w:bookmarkStart w:id="1136" w:name="_Toc58831515"/>
      <w:bookmarkEnd w:id="1125"/>
      <w:bookmarkEnd w:id="1127"/>
      <w:bookmarkEnd w:id="1128"/>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129"/>
      <w:bookmarkEnd w:id="1130"/>
      <w:bookmarkEnd w:id="1131"/>
      <w:bookmarkEnd w:id="1132"/>
      <w:bookmarkEnd w:id="1133"/>
      <w:bookmarkEnd w:id="1134"/>
      <w:bookmarkEnd w:id="1135"/>
      <w:bookmarkEnd w:id="1136"/>
    </w:p>
    <w:p w14:paraId="2C053109" w14:textId="414895B3" w:rsidR="00D11291" w:rsidRDefault="00103848" w:rsidP="001B5152">
      <w:pPr>
        <w:jc w:val="both"/>
        <w:rPr>
          <w:rFonts w:ascii="Arial" w:hAnsi="Arial" w:cs="Arial"/>
          <w:sz w:val="20"/>
        </w:rPr>
      </w:pPr>
      <w:bookmarkStart w:id="1137" w:name="_Toc30608811"/>
      <w:bookmarkStart w:id="1138" w:name="_Toc30610025"/>
      <w:bookmarkStart w:id="1139" w:name="_Toc30610269"/>
      <w:bookmarkStart w:id="1140" w:name="_Toc30638423"/>
      <w:bookmarkStart w:id="1141" w:name="_Toc30644232"/>
      <w:bookmarkStart w:id="1142" w:name="_Toc30644635"/>
      <w:bookmarkStart w:id="1143" w:name="_Toc30645185"/>
      <w:bookmarkStart w:id="1144" w:name="_Toc30646396"/>
      <w:bookmarkStart w:id="1145" w:name="_Toc30646691"/>
      <w:bookmarkStart w:id="1146" w:name="_Toc30646802"/>
      <w:bookmarkStart w:id="1147" w:name="_Toc30648159"/>
      <w:bookmarkStart w:id="1148" w:name="_Toc30649057"/>
      <w:bookmarkStart w:id="1149" w:name="_Toc30649133"/>
      <w:bookmarkStart w:id="1150" w:name="_Toc30649394"/>
      <w:bookmarkStart w:id="1151" w:name="_Toc30649719"/>
      <w:bookmarkStart w:id="1152" w:name="_Toc30651659"/>
      <w:bookmarkStart w:id="1153" w:name="_Toc30652648"/>
      <w:bookmarkStart w:id="1154" w:name="_Toc30652746"/>
      <w:bookmarkStart w:id="1155" w:name="_Toc30654091"/>
      <w:bookmarkStart w:id="1156" w:name="_Toc30654442"/>
      <w:bookmarkStart w:id="1157" w:name="_Toc30655061"/>
      <w:bookmarkStart w:id="1158" w:name="_Toc30655318"/>
      <w:bookmarkStart w:id="1159" w:name="_Toc30656996"/>
      <w:bookmarkStart w:id="1160" w:name="_Toc30661745"/>
      <w:bookmarkStart w:id="1161" w:name="_Toc30666433"/>
      <w:bookmarkStart w:id="1162" w:name="_Toc30666663"/>
      <w:bookmarkStart w:id="1163" w:name="_Toc30667838"/>
      <w:bookmarkStart w:id="1164" w:name="_Toc30669216"/>
      <w:bookmarkStart w:id="1165" w:name="_Toc30671432"/>
      <w:bookmarkStart w:id="1166" w:name="_Toc30673959"/>
      <w:bookmarkStart w:id="1167" w:name="_Toc30691181"/>
      <w:bookmarkStart w:id="1168" w:name="_Toc30691552"/>
      <w:bookmarkStart w:id="1169" w:name="_Toc30691932"/>
      <w:bookmarkStart w:id="1170" w:name="_Toc30692691"/>
      <w:bookmarkStart w:id="1171" w:name="_Toc30693070"/>
      <w:bookmarkStart w:id="1172" w:name="_Toc30693448"/>
      <w:bookmarkStart w:id="1173" w:name="_Toc30693827"/>
      <w:bookmarkStart w:id="1174" w:name="_Toc30694208"/>
      <w:bookmarkStart w:id="1175" w:name="_Toc30698797"/>
      <w:bookmarkStart w:id="1176" w:name="_Toc30699175"/>
      <w:bookmarkStart w:id="1177" w:name="_Toc30699560"/>
      <w:bookmarkStart w:id="1178" w:name="_Toc30700715"/>
      <w:bookmarkStart w:id="1179" w:name="_Toc30701102"/>
      <w:bookmarkStart w:id="1180"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366998" w:rsidRPr="00A31FFA">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81" w:name="_3.9.5_Very_limited"/>
      <w:bookmarkStart w:id="1182" w:name="B395"/>
      <w:bookmarkEnd w:id="1126"/>
      <w:bookmarkEnd w:id="1181"/>
      <w:bookmarkEnd w:id="1182"/>
      <w:r>
        <w:rPr>
          <w:rFonts w:ascii="Arial" w:hAnsi="Arial" w:cs="Arial"/>
          <w:b/>
          <w:bCs/>
          <w:sz w:val="20"/>
        </w:rPr>
        <w:t>3.9.5</w:t>
      </w:r>
      <w:r>
        <w:rPr>
          <w:rFonts w:ascii="Arial" w:hAnsi="Arial" w:cs="Arial"/>
          <w:b/>
          <w:bCs/>
          <w:sz w:val="20"/>
        </w:rPr>
        <w:tab/>
        <w:t>Very limited entitlement of self-represented litigants to costs</w:t>
      </w:r>
    </w:p>
    <w:p w14:paraId="6A7397DF" w14:textId="2A416709"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place">
        <w:smartTag w:uri="urn:schemas-microsoft-com:office:smarttags" w:element="City">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r>
        <w:rPr>
          <w:rFonts w:ascii="Arial" w:hAnsi="Arial" w:cs="Arial"/>
          <w:i/>
          <w:sz w:val="20"/>
        </w:rPr>
        <w:t>McCoughtry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w:t>
      </w:r>
      <w:r w:rsidRPr="00DE762A">
        <w:rPr>
          <w:rFonts w:ascii="Arial" w:hAnsi="Arial" w:cs="Arial"/>
          <w:i/>
          <w:sz w:val="20"/>
        </w:rPr>
        <w:lastRenderedPageBreak/>
        <w:t xml:space="preserve">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Guss v Veenhuizen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Bell Lawyers Pty Ltd v Pentelow</w:t>
      </w:r>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Gageler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Veenhuizen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r w:rsidR="007F3B61" w:rsidRPr="007F3B61">
        <w:rPr>
          <w:rFonts w:ascii="Arial" w:hAnsi="Arial" w:cs="Arial"/>
          <w:i/>
          <w:iCs/>
          <w:sz w:val="20"/>
          <w:szCs w:val="20"/>
        </w:rPr>
        <w:t>Pentelow</w:t>
      </w:r>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lastRenderedPageBreak/>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Bell Lawyers Pty Ltd v Pentelow</w:t>
      </w:r>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4C554E02" w14:textId="77777777" w:rsidR="001D0708" w:rsidRPr="00ED0D8C" w:rsidRDefault="001D0708" w:rsidP="00ED0D8C">
      <w:pPr>
        <w:jc w:val="both"/>
        <w:rPr>
          <w:rFonts w:ascii="Arial" w:hAnsi="Arial" w:cs="Arial"/>
          <w:sz w:val="16"/>
          <w:szCs w:val="20"/>
        </w:rPr>
      </w:pPr>
    </w:p>
    <w:p w14:paraId="7DCE50DF" w14:textId="73D047AC" w:rsidR="001D0708" w:rsidRDefault="00F44513" w:rsidP="002672DD">
      <w:pPr>
        <w:jc w:val="both"/>
        <w:rPr>
          <w:rFonts w:ascii="Arial" w:hAnsi="Arial" w:cs="Arial"/>
          <w:sz w:val="20"/>
          <w:szCs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Sifris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Pentelow </w:t>
      </w:r>
      <w:r w:rsidRPr="00F44513">
        <w:rPr>
          <w:rFonts w:ascii="Arial" w:hAnsi="Arial" w:cs="Arial"/>
          <w:sz w:val="20"/>
          <w:szCs w:val="20"/>
        </w:rPr>
        <w:t xml:space="preserve">(2019) </w:t>
      </w:r>
      <w:r w:rsidR="001D0708" w:rsidRPr="001D0708">
        <w:rPr>
          <w:rFonts w:ascii="Arial" w:hAnsi="Arial" w:cs="Arial"/>
          <w:sz w:val="20"/>
          <w:szCs w:val="20"/>
        </w:rPr>
        <w:t xml:space="preserve">(2019) 269 CLR 333, 339 </w:t>
      </w:r>
      <w:r>
        <w:rPr>
          <w:rFonts w:ascii="Arial" w:hAnsi="Arial" w:cs="Arial"/>
          <w:sz w:val="20"/>
          <w:szCs w:val="20"/>
        </w:rPr>
        <w:t>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w:t>
      </w:r>
      <w:r w:rsidR="001D0708">
        <w:rPr>
          <w:rFonts w:ascii="Arial" w:hAnsi="Arial" w:cs="Arial"/>
          <w:sz w:val="20"/>
          <w:szCs w:val="20"/>
        </w:rPr>
        <w:t xml:space="preserve">In </w:t>
      </w:r>
      <w:r w:rsidR="001D0708" w:rsidRPr="001D0708">
        <w:rPr>
          <w:rFonts w:ascii="Arial" w:hAnsi="Arial" w:cs="Arial"/>
          <w:i/>
          <w:iCs/>
          <w:sz w:val="20"/>
          <w:szCs w:val="20"/>
        </w:rPr>
        <w:t>Song v M.T.V. Building &amp; Construction Pty Ltd</w:t>
      </w:r>
      <w:r w:rsidR="001D0708">
        <w:rPr>
          <w:rFonts w:ascii="Arial" w:hAnsi="Arial" w:cs="Arial"/>
          <w:sz w:val="20"/>
          <w:szCs w:val="20"/>
        </w:rPr>
        <w:t xml:space="preserve"> [2025] VSC 3 Quigley J said at [130]:</w:t>
      </w:r>
    </w:p>
    <w:p w14:paraId="4D80B09A" w14:textId="16E08101" w:rsidR="001D0708" w:rsidRDefault="001D0708" w:rsidP="001D0708">
      <w:pPr>
        <w:spacing w:before="80"/>
        <w:ind w:left="454" w:right="454"/>
        <w:jc w:val="both"/>
        <w:rPr>
          <w:rFonts w:ascii="Arial" w:hAnsi="Arial" w:cs="Arial"/>
          <w:sz w:val="20"/>
          <w:szCs w:val="20"/>
        </w:rPr>
      </w:pPr>
      <w:r>
        <w:rPr>
          <w:rFonts w:ascii="Arial" w:hAnsi="Arial" w:cs="Arial"/>
          <w:sz w:val="20"/>
          <w:szCs w:val="20"/>
        </w:rPr>
        <w:t>“</w:t>
      </w:r>
      <w:r w:rsidRPr="001D0708">
        <w:rPr>
          <w:rFonts w:ascii="Arial" w:hAnsi="Arial" w:cs="Arial"/>
          <w:sz w:val="20"/>
          <w:szCs w:val="20"/>
        </w:rPr>
        <w:t>While the applicants as successful self-represented litigants cannot be compensated for their time and labour spent in preparation of their case or attending court, they are entitled to make a claim for out of pocket costs</w:t>
      </w:r>
      <w:r>
        <w:rPr>
          <w:rFonts w:ascii="Arial" w:hAnsi="Arial" w:cs="Arial"/>
          <w:sz w:val="20"/>
          <w:szCs w:val="20"/>
        </w:rPr>
        <w:t xml:space="preserve">: </w:t>
      </w:r>
      <w:r w:rsidRPr="001D0708">
        <w:rPr>
          <w:rFonts w:ascii="Arial" w:hAnsi="Arial" w:cs="Arial"/>
          <w:i/>
          <w:iCs/>
          <w:sz w:val="20"/>
          <w:szCs w:val="20"/>
        </w:rPr>
        <w:t>Cachia v Hanes</w:t>
      </w:r>
      <w:r w:rsidRPr="001D0708">
        <w:rPr>
          <w:rFonts w:ascii="Arial" w:hAnsi="Arial" w:cs="Arial"/>
          <w:sz w:val="20"/>
          <w:szCs w:val="20"/>
        </w:rPr>
        <w:t xml:space="preserve"> (1994) 179 CLR 403, 408, 410–14, 417; </w:t>
      </w:r>
      <w:r w:rsidRPr="001D0708">
        <w:rPr>
          <w:rFonts w:ascii="Arial" w:hAnsi="Arial" w:cs="Arial"/>
          <w:i/>
          <w:iCs/>
          <w:sz w:val="20"/>
          <w:szCs w:val="20"/>
        </w:rPr>
        <w:t>Bell Lawyers Pty Ltd v Pentelow</w:t>
      </w:r>
      <w:r w:rsidRPr="001D0708">
        <w:rPr>
          <w:rFonts w:ascii="Arial" w:hAnsi="Arial" w:cs="Arial"/>
          <w:sz w:val="20"/>
          <w:szCs w:val="20"/>
        </w:rPr>
        <w:t xml:space="preserve"> [1]; </w:t>
      </w:r>
      <w:r w:rsidRPr="001D0708">
        <w:rPr>
          <w:rFonts w:ascii="Arial" w:hAnsi="Arial" w:cs="Arial"/>
          <w:i/>
          <w:iCs/>
          <w:sz w:val="20"/>
          <w:szCs w:val="20"/>
        </w:rPr>
        <w:t>McKechnie v Ma’a (in his capacity as the Governor of Port Phillip Prison)</w:t>
      </w:r>
      <w:r w:rsidRPr="001D0708">
        <w:rPr>
          <w:rFonts w:ascii="Arial" w:hAnsi="Arial" w:cs="Arial"/>
          <w:sz w:val="20"/>
          <w:szCs w:val="20"/>
        </w:rPr>
        <w:t xml:space="preserve"> [2024] VSC 768, [24]; </w:t>
      </w:r>
      <w:r w:rsidRPr="001D0708">
        <w:rPr>
          <w:rFonts w:ascii="Arial" w:hAnsi="Arial" w:cs="Arial"/>
          <w:i/>
          <w:iCs/>
          <w:sz w:val="20"/>
          <w:szCs w:val="20"/>
        </w:rPr>
        <w:t>Ganesh v National Australia Bank Ltd</w:t>
      </w:r>
      <w:r w:rsidRPr="001D0708">
        <w:rPr>
          <w:rFonts w:ascii="Arial" w:hAnsi="Arial" w:cs="Arial"/>
          <w:sz w:val="20"/>
          <w:szCs w:val="20"/>
        </w:rPr>
        <w:t xml:space="preserve"> [2021] VSCA 45, [89].</w:t>
      </w:r>
      <w:r>
        <w:rPr>
          <w:rFonts w:ascii="Arial" w:hAnsi="Arial" w:cs="Arial"/>
          <w:sz w:val="20"/>
          <w:szCs w:val="20"/>
        </w:rPr>
        <w:t xml:space="preserve"> </w:t>
      </w:r>
      <w:r w:rsidRPr="001D0708">
        <w:rPr>
          <w:rFonts w:ascii="Arial" w:hAnsi="Arial" w:cs="Arial"/>
          <w:sz w:val="20"/>
          <w:szCs w:val="20"/>
        </w:rPr>
        <w:t>These could include court fees, searches of court files and transcripts</w:t>
      </w:r>
      <w:r>
        <w:rPr>
          <w:rFonts w:ascii="Arial" w:hAnsi="Arial" w:cs="Arial"/>
          <w:sz w:val="20"/>
          <w:szCs w:val="20"/>
        </w:rPr>
        <w:t xml:space="preserve">: </w:t>
      </w:r>
      <w:r w:rsidRPr="001D0708">
        <w:rPr>
          <w:rFonts w:ascii="Arial" w:hAnsi="Arial" w:cs="Arial"/>
          <w:i/>
          <w:iCs/>
          <w:sz w:val="20"/>
          <w:szCs w:val="20"/>
        </w:rPr>
        <w:t>Hoe v Lennox</w:t>
      </w:r>
      <w:r w:rsidRPr="001D0708">
        <w:rPr>
          <w:rFonts w:ascii="Arial" w:hAnsi="Arial" w:cs="Arial"/>
          <w:sz w:val="20"/>
          <w:szCs w:val="20"/>
        </w:rPr>
        <w:t xml:space="preserve"> [2020] VSC 262, [26]</w:t>
      </w:r>
      <w:r>
        <w:rPr>
          <w:rFonts w:ascii="Arial" w:hAnsi="Arial" w:cs="Arial"/>
          <w:sz w:val="20"/>
          <w:szCs w:val="20"/>
        </w:rPr>
        <w:t>-</w:t>
      </w:r>
      <w:r w:rsidRPr="001D0708">
        <w:rPr>
          <w:rFonts w:ascii="Arial" w:hAnsi="Arial" w:cs="Arial"/>
          <w:sz w:val="20"/>
          <w:szCs w:val="20"/>
        </w:rPr>
        <w:t>[27]</w:t>
      </w:r>
      <w:r>
        <w:rPr>
          <w:rFonts w:ascii="Arial" w:hAnsi="Arial" w:cs="Arial"/>
          <w:sz w:val="20"/>
          <w:szCs w:val="20"/>
        </w:rPr>
        <w:t>.”</w:t>
      </w:r>
    </w:p>
    <w:p w14:paraId="46A28781" w14:textId="77777777" w:rsidR="001D0708" w:rsidRDefault="001D0708" w:rsidP="001D0708">
      <w:pPr>
        <w:jc w:val="both"/>
        <w:rPr>
          <w:rFonts w:ascii="Arial" w:hAnsi="Arial" w:cs="Arial"/>
          <w:sz w:val="16"/>
          <w:szCs w:val="20"/>
        </w:rPr>
      </w:pPr>
    </w:p>
    <w:p w14:paraId="41566263" w14:textId="6B7E853C" w:rsidR="00AC328B" w:rsidRDefault="008E4C3B" w:rsidP="001D0708">
      <w:pPr>
        <w:jc w:val="both"/>
        <w:rPr>
          <w:rFonts w:ascii="Arial" w:hAnsi="Arial" w:cs="Arial"/>
          <w:sz w:val="20"/>
        </w:rPr>
      </w:pPr>
      <w:r w:rsidRPr="008E4C3B">
        <w:rPr>
          <w:rFonts w:ascii="Arial" w:hAnsi="Arial" w:cs="Arial"/>
          <w:sz w:val="20"/>
        </w:rPr>
        <w:t xml:space="preserve">In </w:t>
      </w:r>
      <w:r w:rsidRPr="008E4C3B">
        <w:rPr>
          <w:rFonts w:ascii="Arial" w:hAnsi="Arial" w:cs="Arial"/>
          <w:i/>
          <w:iCs/>
          <w:sz w:val="20"/>
        </w:rPr>
        <w:t>Birketu Pty Ltd v Atanaskovic</w:t>
      </w:r>
      <w:r w:rsidRPr="008E4C3B">
        <w:rPr>
          <w:rFonts w:ascii="Arial" w:hAnsi="Arial" w:cs="Arial"/>
          <w:sz w:val="20"/>
        </w:rPr>
        <w:t xml:space="preserve"> [2025] HCA 2 </w:t>
      </w:r>
      <w:r>
        <w:rPr>
          <w:rFonts w:ascii="Arial" w:hAnsi="Arial" w:cs="Arial"/>
          <w:sz w:val="20"/>
        </w:rPr>
        <w:t xml:space="preserve">the appellant, a partner in an unincorporated law firm, represented the firm in litigation against the respondent, a former client.  The firm was successful in the litigation and procured an order for costs in its favour. </w:t>
      </w:r>
      <w:r w:rsidR="00AC328B">
        <w:rPr>
          <w:rFonts w:ascii="Arial" w:hAnsi="Arial" w:cs="Arial"/>
          <w:sz w:val="20"/>
        </w:rPr>
        <w:t>By a majority of 5:2 the plurality (G</w:t>
      </w:r>
      <w:r w:rsidR="00AC328B" w:rsidRPr="00AC328B">
        <w:rPr>
          <w:rFonts w:ascii="Arial" w:hAnsi="Arial" w:cs="Arial"/>
          <w:sz w:val="20"/>
        </w:rPr>
        <w:t xml:space="preserve">ageler </w:t>
      </w:r>
      <w:r w:rsidR="00AC328B">
        <w:rPr>
          <w:rFonts w:ascii="Arial" w:hAnsi="Arial" w:cs="Arial"/>
          <w:sz w:val="20"/>
        </w:rPr>
        <w:t>CJ</w:t>
      </w:r>
      <w:r w:rsidR="00AC328B" w:rsidRPr="00AC328B">
        <w:rPr>
          <w:rFonts w:ascii="Arial" w:hAnsi="Arial" w:cs="Arial"/>
          <w:sz w:val="20"/>
        </w:rPr>
        <w:t xml:space="preserve">, </w:t>
      </w:r>
      <w:r w:rsidR="00AC328B">
        <w:rPr>
          <w:rFonts w:ascii="Arial" w:hAnsi="Arial" w:cs="Arial"/>
          <w:sz w:val="20"/>
        </w:rPr>
        <w:t>G</w:t>
      </w:r>
      <w:r w:rsidR="00AC328B" w:rsidRPr="00AC328B">
        <w:rPr>
          <w:rFonts w:ascii="Arial" w:hAnsi="Arial" w:cs="Arial"/>
          <w:sz w:val="20"/>
        </w:rPr>
        <w:t xml:space="preserve">ordon, </w:t>
      </w:r>
      <w:r w:rsidR="00AC328B">
        <w:rPr>
          <w:rFonts w:ascii="Arial" w:hAnsi="Arial" w:cs="Arial"/>
          <w:sz w:val="20"/>
        </w:rPr>
        <w:t>E</w:t>
      </w:r>
      <w:r w:rsidR="00AC328B" w:rsidRPr="00AC328B">
        <w:rPr>
          <w:rFonts w:ascii="Arial" w:hAnsi="Arial" w:cs="Arial"/>
          <w:sz w:val="20"/>
        </w:rPr>
        <w:t xml:space="preserve">delman, </w:t>
      </w:r>
      <w:r w:rsidR="00AC328B">
        <w:rPr>
          <w:rFonts w:ascii="Arial" w:hAnsi="Arial" w:cs="Arial"/>
          <w:sz w:val="20"/>
        </w:rPr>
        <w:t>G</w:t>
      </w:r>
      <w:r w:rsidR="00AC328B" w:rsidRPr="00AC328B">
        <w:rPr>
          <w:rFonts w:ascii="Arial" w:hAnsi="Arial" w:cs="Arial"/>
          <w:sz w:val="20"/>
        </w:rPr>
        <w:t xml:space="preserve">leeson and </w:t>
      </w:r>
      <w:r w:rsidR="00AC328B">
        <w:rPr>
          <w:rFonts w:ascii="Arial" w:hAnsi="Arial" w:cs="Arial"/>
          <w:sz w:val="20"/>
        </w:rPr>
        <w:t>B</w:t>
      </w:r>
      <w:r w:rsidR="00AC328B" w:rsidRPr="00AC328B">
        <w:rPr>
          <w:rFonts w:ascii="Arial" w:hAnsi="Arial" w:cs="Arial"/>
          <w:sz w:val="20"/>
        </w:rPr>
        <w:t>eech-</w:t>
      </w:r>
      <w:r w:rsidR="00AC328B">
        <w:rPr>
          <w:rFonts w:ascii="Arial" w:hAnsi="Arial" w:cs="Arial"/>
          <w:sz w:val="20"/>
        </w:rPr>
        <w:t>J</w:t>
      </w:r>
      <w:r w:rsidR="00AC328B" w:rsidRPr="00AC328B">
        <w:rPr>
          <w:rFonts w:ascii="Arial" w:hAnsi="Arial" w:cs="Arial"/>
          <w:sz w:val="20"/>
        </w:rPr>
        <w:t xml:space="preserve">ones </w:t>
      </w:r>
      <w:r w:rsidR="00AC328B">
        <w:rPr>
          <w:rFonts w:ascii="Arial" w:hAnsi="Arial" w:cs="Arial"/>
          <w:sz w:val="20"/>
        </w:rPr>
        <w:t>JJ) held–</w:t>
      </w:r>
    </w:p>
    <w:p w14:paraId="56931067" w14:textId="77777777"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rPr>
        <w:t xml:space="preserve">at [1] that it </w:t>
      </w:r>
      <w:r w:rsidRPr="00AC328B">
        <w:rPr>
          <w:rFonts w:ascii="Arial" w:hAnsi="Arial" w:cs="Arial"/>
          <w:sz w:val="20"/>
        </w:rPr>
        <w:t>i</w:t>
      </w:r>
      <w:r w:rsidR="008E4C3B" w:rsidRPr="00AC328B">
        <w:rPr>
          <w:rFonts w:ascii="Arial" w:hAnsi="Arial" w:cs="Arial"/>
          <w:sz w:val="20"/>
        </w:rPr>
        <w:t xml:space="preserve">s clear from </w:t>
      </w:r>
      <w:r w:rsidR="008E4C3B" w:rsidRPr="00AC328B">
        <w:rPr>
          <w:rFonts w:ascii="Arial" w:hAnsi="Arial" w:cs="Arial"/>
          <w:i/>
          <w:iCs/>
          <w:sz w:val="20"/>
        </w:rPr>
        <w:t>Bell Lawyers Pty Ltd v Pentelow</w:t>
      </w:r>
      <w:r w:rsidR="008E4C3B" w:rsidRPr="00AC328B">
        <w:rPr>
          <w:rFonts w:ascii="Arial" w:hAnsi="Arial" w:cs="Arial"/>
          <w:sz w:val="20"/>
        </w:rPr>
        <w:t xml:space="preserve"> </w:t>
      </w:r>
      <w:r w:rsidR="008E4C3B" w:rsidRPr="00AC328B">
        <w:rPr>
          <w:rFonts w:ascii="Arial" w:hAnsi="Arial" w:cs="Arial"/>
          <w:sz w:val="20"/>
          <w:szCs w:val="20"/>
        </w:rPr>
        <w:t>(2019) (2019) 269 CLR 333 that the order for costs does not entitle the firm to obtain recompense for legal work performed by the partner</w:t>
      </w:r>
      <w:r>
        <w:rPr>
          <w:rFonts w:ascii="Arial" w:hAnsi="Arial" w:cs="Arial"/>
          <w:sz w:val="20"/>
          <w:szCs w:val="20"/>
        </w:rPr>
        <w:t>;</w:t>
      </w:r>
    </w:p>
    <w:p w14:paraId="440C4A28" w14:textId="3DDC88F4" w:rsidR="008E4C3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 xml:space="preserve">at [2] that </w:t>
      </w:r>
      <w:r w:rsidRPr="00AC328B">
        <w:rPr>
          <w:rFonts w:ascii="Arial" w:hAnsi="Arial" w:cs="Arial"/>
          <w:sz w:val="20"/>
          <w:szCs w:val="20"/>
        </w:rPr>
        <w:t>“an order for costs in favour of an unincorporated law firm entitles the firm to obtain recompense for legal work performed by an employed solicitor of that firm”</w:t>
      </w:r>
      <w:r>
        <w:rPr>
          <w:rFonts w:ascii="Arial" w:hAnsi="Arial" w:cs="Arial"/>
          <w:sz w:val="20"/>
          <w:szCs w:val="20"/>
        </w:rPr>
        <w:t>; and</w:t>
      </w:r>
    </w:p>
    <w:p w14:paraId="2E49143E" w14:textId="4C9A6681"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at [</w:t>
      </w:r>
      <w:r w:rsidR="002835C5">
        <w:rPr>
          <w:rFonts w:ascii="Arial" w:hAnsi="Arial" w:cs="Arial"/>
          <w:sz w:val="20"/>
          <w:szCs w:val="20"/>
        </w:rPr>
        <w:t>37</w:t>
      </w:r>
      <w:r>
        <w:rPr>
          <w:rFonts w:ascii="Arial" w:hAnsi="Arial" w:cs="Arial"/>
          <w:sz w:val="20"/>
          <w:szCs w:val="20"/>
        </w:rPr>
        <w:t xml:space="preserve">] that </w:t>
      </w:r>
      <w:r w:rsidR="002835C5">
        <w:rPr>
          <w:rFonts w:ascii="Arial" w:hAnsi="Arial" w:cs="Arial"/>
          <w:sz w:val="20"/>
          <w:szCs w:val="20"/>
        </w:rPr>
        <w:t xml:space="preserve">the decision of the Victorian Court of Appeal in </w:t>
      </w:r>
      <w:r w:rsidR="002835C5" w:rsidRPr="00F44513">
        <w:rPr>
          <w:rFonts w:ascii="Arial" w:eastAsia="Book Antiqua" w:hAnsi="Arial" w:cs="Arial"/>
          <w:i/>
          <w:sz w:val="20"/>
          <w:szCs w:val="20"/>
        </w:rPr>
        <w:t>United Petroleum Australia Pty Ltd v Herbert Smith Freehills</w:t>
      </w:r>
      <w:r w:rsidR="002835C5" w:rsidRPr="00F44513">
        <w:rPr>
          <w:rFonts w:ascii="Arial" w:hAnsi="Arial" w:cs="Arial"/>
          <w:sz w:val="20"/>
          <w:szCs w:val="20"/>
        </w:rPr>
        <w:t xml:space="preserve"> [2020] VSCA 15</w:t>
      </w:r>
      <w:r w:rsidR="002835C5" w:rsidRPr="002835C5">
        <w:rPr>
          <w:rFonts w:ascii="Arial" w:hAnsi="Arial" w:cs="Arial"/>
          <w:sz w:val="20"/>
          <w:szCs w:val="20"/>
        </w:rPr>
        <w:t xml:space="preserve"> must be overruled.</w:t>
      </w:r>
    </w:p>
    <w:p w14:paraId="70F5BB15" w14:textId="77777777" w:rsidR="008E4C3B" w:rsidRPr="002835C5" w:rsidRDefault="008E4C3B" w:rsidP="001D0708">
      <w:pPr>
        <w:jc w:val="both"/>
        <w:rPr>
          <w:rFonts w:ascii="Arial" w:hAnsi="Arial" w:cs="Arial"/>
          <w:sz w:val="16"/>
          <w:szCs w:val="20"/>
        </w:rPr>
      </w:pPr>
    </w:p>
    <w:p w14:paraId="1AC9A0AC" w14:textId="643530C9" w:rsidR="00F44513" w:rsidRDefault="00EC6700" w:rsidP="002672DD">
      <w:pPr>
        <w:jc w:val="both"/>
        <w:rPr>
          <w:rFonts w:ascii="Arial" w:hAnsi="Arial" w:cs="Arial"/>
          <w:sz w:val="20"/>
        </w:rPr>
      </w:pPr>
      <w:r>
        <w:rPr>
          <w:rFonts w:ascii="Arial" w:hAnsi="Arial" w:cs="Arial"/>
          <w:sz w:val="20"/>
          <w:szCs w:val="20"/>
        </w:rPr>
        <w:t xml:space="preserve">See also </w:t>
      </w:r>
      <w:r w:rsidRPr="00EC6700">
        <w:rPr>
          <w:rFonts w:ascii="Arial" w:hAnsi="Arial" w:cs="Arial"/>
          <w:i/>
          <w:iCs/>
          <w:sz w:val="20"/>
          <w:szCs w:val="20"/>
        </w:rPr>
        <w:t>Di Lorenzo v The Magistrates’ Court of Victoria</w:t>
      </w:r>
      <w:r>
        <w:rPr>
          <w:rFonts w:ascii="Arial" w:hAnsi="Arial" w:cs="Arial"/>
          <w:sz w:val="20"/>
          <w:szCs w:val="20"/>
        </w:rPr>
        <w:t xml:space="preserve"> [2021] VSC 475 at [26]</w:t>
      </w:r>
      <w:r w:rsidR="00491DFF">
        <w:rPr>
          <w:rFonts w:ascii="Arial" w:hAnsi="Arial" w:cs="Arial"/>
          <w:sz w:val="20"/>
          <w:szCs w:val="20"/>
        </w:rPr>
        <w:t>.</w:t>
      </w:r>
    </w:p>
    <w:p w14:paraId="657D5675" w14:textId="77777777" w:rsidR="00C87467" w:rsidRPr="00C87467" w:rsidRDefault="00C87467" w:rsidP="00C87467">
      <w:pPr>
        <w:pStyle w:val="Heading3"/>
        <w:keepNext/>
        <w:spacing w:line="240" w:lineRule="auto"/>
        <w:rPr>
          <w:rFonts w:ascii="Arial" w:hAnsi="Arial" w:cs="Arial"/>
          <w:sz w:val="20"/>
        </w:rPr>
      </w:pPr>
      <w:bookmarkStart w:id="1183" w:name="_3.9.6_Enforcement_of"/>
      <w:bookmarkStart w:id="1184" w:name="B396"/>
      <w:bookmarkEnd w:id="1183"/>
      <w:bookmarkEnd w:id="1184"/>
    </w:p>
    <w:p w14:paraId="736A8EB3" w14:textId="5A756A56" w:rsidR="002672DD" w:rsidRPr="002C34CB" w:rsidRDefault="002672DD" w:rsidP="00C87467">
      <w:pPr>
        <w:pStyle w:val="Heading3"/>
        <w:spacing w:after="120" w:line="240" w:lineRule="auto"/>
        <w:rPr>
          <w:rFonts w:ascii="Arial" w:hAnsi="Arial" w:cs="Arial"/>
          <w:b/>
          <w:bCs/>
          <w:sz w:val="20"/>
          <w:lang w:val="en-AU"/>
        </w:rPr>
      </w:pPr>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(2) A person in whose 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85" w:name="_3.10_Appeals_-"/>
      <w:bookmarkStart w:id="1186" w:name="B310"/>
      <w:bookmarkStart w:id="1187" w:name="_3.9.7_Costs_against"/>
      <w:bookmarkEnd w:id="1185"/>
      <w:bookmarkEnd w:id="1186"/>
      <w:bookmarkEnd w:id="1187"/>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 xml:space="preserve">of such a nature as to justify an award of costs. Categories of such misconduct have come to be recognised. They are not exhaustive. What the courts </w:t>
      </w:r>
      <w:r w:rsidR="00F57477" w:rsidRPr="00F57477">
        <w:rPr>
          <w:rFonts w:ascii="Arial" w:hAnsi="Arial" w:cs="Arial"/>
          <w:sz w:val="20"/>
          <w:szCs w:val="20"/>
        </w:rPr>
        <w:lastRenderedPageBreak/>
        <w:t>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Aiden Shipping Co Ltd v Interbulk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Norbis v Norbis (1986) 161 CLR 513; </w:t>
      </w:r>
      <w:r w:rsidRPr="000E62E2">
        <w:rPr>
          <w:rFonts w:ascii="Arial" w:hAnsi="Arial" w:cs="Arial"/>
          <w:i/>
          <w:iCs/>
          <w:sz w:val="20"/>
          <w:szCs w:val="20"/>
        </w:rPr>
        <w:t>Latoudis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1371722"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Irving AsJ</w:t>
      </w:r>
      <w:r w:rsidR="00366998" w:rsidRPr="00A31FFA">
        <w:rPr>
          <w:rFonts w:ascii="Arial" w:hAnsi="Arial" w:cs="Arial"/>
          <w:sz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At [14] Irving AsJ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r w:rsidRPr="00F6291A">
        <w:rPr>
          <w:rFonts w:ascii="Arial" w:eastAsia="Book Antiqua" w:hAnsi="Arial" w:cs="Arial"/>
          <w:i/>
          <w:sz w:val="20"/>
          <w:szCs w:val="20"/>
        </w:rPr>
        <w:t>Swebbs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88" w:name="_3.9.8_The_Appeal"/>
      <w:bookmarkEnd w:id="1188"/>
      <w:r>
        <w:rPr>
          <w:rFonts w:ascii="Arial" w:hAnsi="Arial" w:cs="Arial"/>
          <w:b/>
          <w:bCs/>
          <w:sz w:val="20"/>
        </w:rPr>
        <w:lastRenderedPageBreak/>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89" w:name="_3.9.9_Costs_of"/>
      <w:bookmarkEnd w:id="1189"/>
      <w:r>
        <w:rPr>
          <w:rFonts w:ascii="Arial" w:hAnsi="Arial" w:cs="Arial"/>
          <w:b/>
          <w:bCs/>
          <w:sz w:val="20"/>
        </w:rPr>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Attiwil</w:t>
      </w:r>
      <w:r w:rsidR="00BA0870">
        <w:rPr>
          <w:rFonts w:ascii="Arial" w:hAnsi="Arial" w:cs="Arial"/>
          <w:sz w:val="20"/>
          <w:szCs w:val="20"/>
        </w:rPr>
        <w:t>l</w:t>
      </w:r>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Ruddock v Vadarlis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r w:rsidR="00BA0870" w:rsidRPr="00BA0870">
        <w:rPr>
          <w:rFonts w:ascii="Arial" w:hAnsi="Arial" w:cs="Arial"/>
          <w:i/>
          <w:iCs/>
          <w:sz w:val="20"/>
          <w:szCs w:val="20"/>
        </w:rPr>
        <w:t>Mandalinic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lastRenderedPageBreak/>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r w:rsidR="00BA0870" w:rsidRPr="00BA0870">
        <w:rPr>
          <w:rFonts w:ascii="Arial" w:hAnsi="Arial" w:cs="Arial"/>
          <w:i/>
          <w:iCs/>
          <w:sz w:val="20"/>
          <w:szCs w:val="20"/>
        </w:rPr>
        <w:t>Mandalinic</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r w:rsidR="008373EF" w:rsidRPr="008373EF">
        <w:rPr>
          <w:rFonts w:ascii="Arial" w:hAnsi="Arial" w:cs="Arial"/>
          <w:i/>
          <w:iCs/>
          <w:sz w:val="20"/>
          <w:szCs w:val="20"/>
        </w:rPr>
        <w:t>Xat Ky v Australvic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Default="0095053F" w:rsidP="00482D33">
      <w:pPr>
        <w:jc w:val="both"/>
        <w:rPr>
          <w:rFonts w:ascii="Arial" w:hAnsi="Arial" w:cs="Arial"/>
          <w:sz w:val="20"/>
          <w:szCs w:val="20"/>
        </w:rPr>
      </w:pPr>
    </w:p>
    <w:p w14:paraId="1929DBD8" w14:textId="362D1966" w:rsidR="003C3B46" w:rsidRPr="002C34CB" w:rsidRDefault="003C3B46" w:rsidP="003C3B46">
      <w:pPr>
        <w:pStyle w:val="Heading3"/>
        <w:keepNext/>
        <w:spacing w:after="120" w:line="240" w:lineRule="auto"/>
        <w:rPr>
          <w:rFonts w:ascii="Arial" w:hAnsi="Arial" w:cs="Arial"/>
          <w:b/>
          <w:bCs/>
          <w:sz w:val="20"/>
          <w:lang w:val="en-AU"/>
        </w:rPr>
      </w:pPr>
      <w:bookmarkStart w:id="1190" w:name="_3.9.10_Costs_in"/>
      <w:bookmarkEnd w:id="1190"/>
      <w:r>
        <w:rPr>
          <w:rFonts w:ascii="Arial" w:hAnsi="Arial" w:cs="Arial"/>
          <w:b/>
          <w:bCs/>
          <w:sz w:val="20"/>
        </w:rPr>
        <w:t>3.9.10</w:t>
      </w:r>
      <w:r>
        <w:rPr>
          <w:rFonts w:ascii="Arial" w:hAnsi="Arial" w:cs="Arial"/>
          <w:b/>
          <w:bCs/>
          <w:sz w:val="20"/>
        </w:rPr>
        <w:tab/>
        <w:t>Costs in applications for suppression orders</w:t>
      </w:r>
    </w:p>
    <w:p w14:paraId="7A977414" w14:textId="77777777" w:rsidR="00CC20CD" w:rsidRDefault="003C3B46" w:rsidP="003C3B46">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had refused an application by police members PM1 &amp; PM2 for a proceeding suppression order prohibiting the publication </w:t>
      </w:r>
      <w:r w:rsidRPr="008A796C">
        <w:rPr>
          <w:rFonts w:ascii="Arial" w:hAnsi="Arial" w:cs="Arial"/>
          <w:sz w:val="20"/>
        </w:rPr>
        <w:t>anywhere in Australia of a report of the proceeding</w:t>
      </w:r>
      <w:r>
        <w:rPr>
          <w:rFonts w:ascii="Arial" w:hAnsi="Arial" w:cs="Arial"/>
          <w:sz w:val="20"/>
        </w:rPr>
        <w:t>,</w:t>
      </w:r>
      <w:r w:rsidRPr="008A796C">
        <w:rPr>
          <w:rFonts w:ascii="Arial" w:hAnsi="Arial" w:cs="Arial"/>
          <w:sz w:val="20"/>
        </w:rPr>
        <w:t xml:space="preserve"> and any information derived from the proceeding, which identifies </w:t>
      </w:r>
      <w:r>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7E5AC3E7" w14:textId="1F4D1921" w:rsidR="003C3B46" w:rsidRDefault="003C3B46" w:rsidP="00CC20CD">
      <w:pPr>
        <w:spacing w:before="120"/>
        <w:jc w:val="both"/>
        <w:rPr>
          <w:rFonts w:ascii="Arial" w:hAnsi="Arial" w:cs="Arial"/>
          <w:sz w:val="20"/>
          <w:szCs w:val="20"/>
        </w:rPr>
      </w:pPr>
      <w:r>
        <w:rPr>
          <w:rFonts w:ascii="Arial" w:hAnsi="Arial" w:cs="Arial"/>
          <w:sz w:val="20"/>
        </w:rPr>
        <w:t xml:space="preserve">In the ensuing appeal in </w:t>
      </w:r>
      <w:r w:rsidRPr="00C50B71">
        <w:rPr>
          <w:rFonts w:ascii="Arial" w:hAnsi="Arial" w:cs="Arial"/>
          <w:i/>
          <w:iCs/>
          <w:sz w:val="20"/>
        </w:rPr>
        <w:t>Police Member 1 (a pseudonym) &amp; Anor v Antonios Sajih Mokbel &amp; Anor</w:t>
      </w:r>
      <w:r>
        <w:rPr>
          <w:rFonts w:ascii="Arial" w:hAnsi="Arial" w:cs="Arial"/>
          <w:sz w:val="20"/>
        </w:rPr>
        <w:t xml:space="preserve"> [2025] VSCA 34 the Court of Appeal </w:t>
      </w:r>
      <w:r w:rsidR="003722D8">
        <w:rPr>
          <w:rFonts w:ascii="Arial" w:hAnsi="Arial" w:cs="Arial"/>
          <w:sz w:val="20"/>
        </w:rPr>
        <w:t>(</w:t>
      </w:r>
      <w:r w:rsidR="003722D8" w:rsidRPr="003C3B46">
        <w:rPr>
          <w:rFonts w:ascii="Arial" w:hAnsi="Arial" w:cs="Arial"/>
          <w:sz w:val="20"/>
          <w:szCs w:val="20"/>
        </w:rPr>
        <w:t>N</w:t>
      </w:r>
      <w:r w:rsidR="003722D8">
        <w:rPr>
          <w:rFonts w:ascii="Arial" w:hAnsi="Arial" w:cs="Arial"/>
          <w:sz w:val="20"/>
          <w:szCs w:val="20"/>
        </w:rPr>
        <w:t>iall</w:t>
      </w:r>
      <w:r w:rsidR="003722D8" w:rsidRPr="003C3B46">
        <w:rPr>
          <w:rFonts w:ascii="Arial" w:hAnsi="Arial" w:cs="Arial"/>
          <w:sz w:val="20"/>
          <w:szCs w:val="20"/>
        </w:rPr>
        <w:t xml:space="preserve"> CJ, E</w:t>
      </w:r>
      <w:r w:rsidR="003722D8">
        <w:rPr>
          <w:rFonts w:ascii="Arial" w:hAnsi="Arial" w:cs="Arial"/>
          <w:sz w:val="20"/>
          <w:szCs w:val="20"/>
        </w:rPr>
        <w:t>merton</w:t>
      </w:r>
      <w:r w:rsidR="003722D8" w:rsidRPr="003C3B46">
        <w:rPr>
          <w:rFonts w:ascii="Arial" w:hAnsi="Arial" w:cs="Arial"/>
          <w:sz w:val="20"/>
          <w:szCs w:val="20"/>
        </w:rPr>
        <w:t xml:space="preserve"> P and J F</w:t>
      </w:r>
      <w:r w:rsidR="003722D8">
        <w:rPr>
          <w:rFonts w:ascii="Arial" w:hAnsi="Arial" w:cs="Arial"/>
          <w:sz w:val="20"/>
          <w:szCs w:val="20"/>
        </w:rPr>
        <w:t>orrest</w:t>
      </w:r>
      <w:r w:rsidR="003722D8" w:rsidRPr="003C3B46">
        <w:rPr>
          <w:rFonts w:ascii="Arial" w:hAnsi="Arial" w:cs="Arial"/>
          <w:sz w:val="20"/>
          <w:szCs w:val="20"/>
        </w:rPr>
        <w:t xml:space="preserve"> AJA</w:t>
      </w:r>
      <w:r w:rsidR="003722D8">
        <w:rPr>
          <w:rFonts w:ascii="Arial" w:hAnsi="Arial" w:cs="Arial"/>
          <w:sz w:val="20"/>
          <w:szCs w:val="20"/>
        </w:rPr>
        <w:t>)</w:t>
      </w:r>
      <w:r w:rsidR="003722D8" w:rsidRPr="003C3B46">
        <w:rPr>
          <w:rFonts w:ascii="Arial" w:hAnsi="Arial" w:cs="Arial"/>
          <w:sz w:val="20"/>
          <w:szCs w:val="20"/>
        </w:rPr>
        <w:t xml:space="preserve"> </w:t>
      </w:r>
      <w:r>
        <w:rPr>
          <w:rFonts w:ascii="Arial" w:hAnsi="Arial" w:cs="Arial"/>
          <w:sz w:val="20"/>
        </w:rPr>
        <w:t>granted the police members PM1 &amp; PM2 leave to appeal the decision of Beach JA but dismissed their appeal.</w:t>
      </w:r>
    </w:p>
    <w:p w14:paraId="75E3B76C" w14:textId="1740CC5C" w:rsidR="003C3B46" w:rsidRPr="0095053F" w:rsidRDefault="00CC20CD" w:rsidP="003C3B46">
      <w:pPr>
        <w:spacing w:before="120"/>
        <w:jc w:val="both"/>
        <w:rPr>
          <w:rFonts w:ascii="Arial" w:hAnsi="Arial" w:cs="Arial"/>
          <w:sz w:val="16"/>
          <w:szCs w:val="16"/>
        </w:rPr>
      </w:pPr>
      <w:bookmarkStart w:id="1191" w:name="_Hlk195680493"/>
      <w:r>
        <w:rPr>
          <w:rFonts w:ascii="Arial" w:hAnsi="Arial" w:cs="Arial"/>
          <w:sz w:val="20"/>
          <w:szCs w:val="20"/>
        </w:rPr>
        <w:t xml:space="preserve">The Court also refused an ensuing application for costs by the intervening media interests: see </w:t>
      </w:r>
      <w:r w:rsidR="003C3B46">
        <w:rPr>
          <w:rFonts w:ascii="Arial" w:hAnsi="Arial" w:cs="Arial"/>
          <w:i/>
          <w:iCs/>
          <w:sz w:val="20"/>
          <w:szCs w:val="20"/>
        </w:rPr>
        <w:t xml:space="preserve">Police Member 1 (a pseudonym) &amp; Anor v </w:t>
      </w:r>
      <w:r w:rsidR="003C3B46" w:rsidRPr="00C50B71">
        <w:rPr>
          <w:rFonts w:ascii="Arial" w:hAnsi="Arial" w:cs="Arial"/>
          <w:i/>
          <w:iCs/>
          <w:sz w:val="20"/>
        </w:rPr>
        <w:t>Antonios Sajih Mokbel</w:t>
      </w:r>
      <w:r w:rsidR="003C3B46">
        <w:rPr>
          <w:rFonts w:ascii="Arial" w:hAnsi="Arial" w:cs="Arial"/>
          <w:i/>
          <w:iCs/>
          <w:sz w:val="20"/>
          <w:szCs w:val="20"/>
        </w:rPr>
        <w:t xml:space="preserve"> &amp; Anor, Nine Network Pty Ltd &amp; Ors Interveners </w:t>
      </w:r>
      <w:r w:rsidR="003C3B46" w:rsidRPr="003C3B46">
        <w:rPr>
          <w:rFonts w:ascii="Arial" w:hAnsi="Arial" w:cs="Arial"/>
          <w:sz w:val="20"/>
          <w:szCs w:val="20"/>
        </w:rPr>
        <w:t>[2025] VSCA 78</w:t>
      </w:r>
      <w:r>
        <w:rPr>
          <w:rFonts w:ascii="Arial" w:hAnsi="Arial" w:cs="Arial"/>
          <w:sz w:val="20"/>
          <w:szCs w:val="20"/>
        </w:rPr>
        <w:t xml:space="preserve">. Their Honours </w:t>
      </w:r>
      <w:r w:rsidR="003722D8">
        <w:rPr>
          <w:rFonts w:ascii="Arial" w:hAnsi="Arial" w:cs="Arial"/>
          <w:sz w:val="20"/>
          <w:szCs w:val="20"/>
        </w:rPr>
        <w:t>conclud</w:t>
      </w:r>
      <w:r>
        <w:rPr>
          <w:rFonts w:ascii="Arial" w:hAnsi="Arial" w:cs="Arial"/>
          <w:sz w:val="20"/>
          <w:szCs w:val="20"/>
        </w:rPr>
        <w:t>ed</w:t>
      </w:r>
      <w:r w:rsidR="003722D8">
        <w:rPr>
          <w:rFonts w:ascii="Arial" w:hAnsi="Arial" w:cs="Arial"/>
          <w:sz w:val="20"/>
          <w:szCs w:val="20"/>
        </w:rPr>
        <w:t xml:space="preserve"> at [9]:</w:t>
      </w:r>
    </w:p>
    <w:p w14:paraId="2975367A" w14:textId="595AE33C" w:rsidR="003C3B46" w:rsidRDefault="003722D8" w:rsidP="003C3B46">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3B46" w:rsidRPr="003C3B46">
        <w:rPr>
          <w:rFonts w:ascii="Arial" w:hAnsi="Arial" w:cs="Arial"/>
          <w:sz w:val="20"/>
          <w:szCs w:val="20"/>
        </w:rPr>
        <w:t>9</w:t>
      </w:r>
      <w:r>
        <w:rPr>
          <w:rFonts w:ascii="Arial" w:hAnsi="Arial" w:cs="Arial"/>
          <w:sz w:val="20"/>
          <w:szCs w:val="20"/>
        </w:rPr>
        <w:t>]</w:t>
      </w:r>
      <w:r w:rsidR="003C3B46" w:rsidRPr="003C3B46">
        <w:rPr>
          <w:rFonts w:ascii="Arial" w:hAnsi="Arial" w:cs="Arial"/>
          <w:sz w:val="20"/>
          <w:szCs w:val="20"/>
        </w:rPr>
        <w:t xml:space="preserve"> </w:t>
      </w:r>
      <w:r>
        <w:rPr>
          <w:rFonts w:ascii="Arial" w:hAnsi="Arial" w:cs="Arial"/>
          <w:sz w:val="20"/>
          <w:szCs w:val="20"/>
        </w:rPr>
        <w:t>“</w:t>
      </w:r>
      <w:r w:rsidR="003C3B46" w:rsidRPr="003C3B46">
        <w:rPr>
          <w:rFonts w:ascii="Arial" w:hAnsi="Arial" w:cs="Arial"/>
          <w:sz w:val="20"/>
          <w:szCs w:val="20"/>
        </w:rPr>
        <w:t xml:space="preserve">Furthermore, we reject the submission that the arguments made by the applicants were ‘weak’ and involved only the protection of their reputational rights — not the administration of justice. Although the applicants were unsuccessful in obtaining a suppression order, their arguments were not without merit, they concerned the proper administration of justice as well as their reputational rights, and they were entitled to run them on appeal. Leave to do so was granted. Having regard to the context in which this occurred, and the fact that </w:t>
      </w:r>
      <w:r w:rsidR="003C3B46" w:rsidRPr="003722D8">
        <w:rPr>
          <w:rFonts w:ascii="Arial" w:hAnsi="Arial" w:cs="Arial"/>
          <w:b/>
          <w:bCs/>
          <w:sz w:val="20"/>
          <w:szCs w:val="20"/>
        </w:rPr>
        <w:t>there is no general rule that costs follow the event on applications for suppression orders</w:t>
      </w:r>
      <w:r w:rsidR="003C3B46" w:rsidRPr="003C3B46">
        <w:rPr>
          <w:rFonts w:ascii="Arial" w:hAnsi="Arial" w:cs="Arial"/>
          <w:sz w:val="20"/>
          <w:szCs w:val="20"/>
        </w:rPr>
        <w:t>, we consider that costs should lie where they fall.</w:t>
      </w:r>
      <w:r>
        <w:rPr>
          <w:rFonts w:ascii="Arial" w:hAnsi="Arial" w:cs="Arial"/>
          <w:sz w:val="20"/>
          <w:szCs w:val="20"/>
        </w:rPr>
        <w:t>” [emphasis added]</w:t>
      </w:r>
    </w:p>
    <w:bookmarkEnd w:id="1191"/>
    <w:p w14:paraId="6A950A81" w14:textId="10B7A3D7" w:rsidR="003C3B46" w:rsidRDefault="003C3B46" w:rsidP="00482D33">
      <w:pPr>
        <w:jc w:val="both"/>
        <w:rPr>
          <w:rFonts w:ascii="Arial" w:hAnsi="Arial" w:cs="Arial"/>
          <w:sz w:val="20"/>
          <w:szCs w:val="20"/>
        </w:rPr>
      </w:pPr>
    </w:p>
    <w:p w14:paraId="04BFCE4A" w14:textId="23765CE4" w:rsidR="003722D8" w:rsidRDefault="003722D8" w:rsidP="00482D33">
      <w:pPr>
        <w:jc w:val="both"/>
        <w:rPr>
          <w:rFonts w:ascii="Arial" w:hAnsi="Arial" w:cs="Arial"/>
          <w:sz w:val="20"/>
          <w:szCs w:val="20"/>
        </w:rPr>
      </w:pPr>
      <w:r>
        <w:rPr>
          <w:rFonts w:ascii="Arial" w:hAnsi="Arial" w:cs="Arial"/>
          <w:sz w:val="20"/>
          <w:szCs w:val="20"/>
        </w:rPr>
        <w:t xml:space="preserve">At </w:t>
      </w:r>
      <w:r w:rsidR="00916B70">
        <w:rPr>
          <w:rFonts w:ascii="Arial" w:hAnsi="Arial" w:cs="Arial"/>
          <w:sz w:val="20"/>
          <w:szCs w:val="20"/>
        </w:rPr>
        <w:t>[5]-</w:t>
      </w:r>
      <w:r>
        <w:rPr>
          <w:rFonts w:ascii="Arial" w:hAnsi="Arial" w:cs="Arial"/>
          <w:sz w:val="20"/>
          <w:szCs w:val="20"/>
        </w:rPr>
        <w:t xml:space="preserve">[7] their Honours </w:t>
      </w:r>
      <w:r w:rsidR="00916B70">
        <w:rPr>
          <w:rFonts w:ascii="Arial" w:hAnsi="Arial" w:cs="Arial"/>
          <w:sz w:val="20"/>
          <w:szCs w:val="20"/>
        </w:rPr>
        <w:t xml:space="preserve">discussed the application of s.409 of the </w:t>
      </w:r>
      <w:r w:rsidR="00916B70" w:rsidRPr="00B91C6C">
        <w:rPr>
          <w:rFonts w:ascii="Arial" w:hAnsi="Arial" w:cs="Arial"/>
          <w:i/>
          <w:iCs/>
          <w:sz w:val="20"/>
          <w:szCs w:val="20"/>
        </w:rPr>
        <w:t>Criminal Procedure Act 2009</w:t>
      </w:r>
      <w:r w:rsidR="00916B70">
        <w:rPr>
          <w:rFonts w:ascii="Arial" w:hAnsi="Arial" w:cs="Arial"/>
          <w:sz w:val="20"/>
          <w:szCs w:val="20"/>
        </w:rPr>
        <w:t xml:space="preserve"> [CPA] and whether or not the intervening media interests were parties to the proceeding, ultimately concluding it was unnecessary to decide either issue:</w:t>
      </w:r>
    </w:p>
    <w:p w14:paraId="3F2506E2" w14:textId="53F0970A" w:rsidR="00916B70" w:rsidRDefault="00916B70" w:rsidP="00916B70">
      <w:pPr>
        <w:spacing w:before="60"/>
        <w:ind w:left="454" w:right="454"/>
        <w:jc w:val="both"/>
        <w:rPr>
          <w:rFonts w:ascii="Arial" w:hAnsi="Arial" w:cs="Arial"/>
          <w:sz w:val="20"/>
          <w:szCs w:val="20"/>
        </w:rPr>
      </w:pPr>
      <w:r>
        <w:rPr>
          <w:rFonts w:ascii="Arial" w:hAnsi="Arial" w:cs="Arial"/>
          <w:sz w:val="20"/>
          <w:szCs w:val="20"/>
        </w:rPr>
        <w:t>[5] “</w:t>
      </w:r>
      <w:r w:rsidR="003722D8" w:rsidRPr="003722D8">
        <w:rPr>
          <w:rFonts w:ascii="Arial" w:hAnsi="Arial" w:cs="Arial"/>
          <w:sz w:val="20"/>
          <w:szCs w:val="20"/>
        </w:rPr>
        <w:t xml:space="preserve">Section 409 </w:t>
      </w:r>
      <w:r>
        <w:rPr>
          <w:rFonts w:ascii="Arial" w:hAnsi="Arial" w:cs="Arial"/>
          <w:sz w:val="20"/>
          <w:szCs w:val="20"/>
        </w:rPr>
        <w:t xml:space="preserve">[CPA] </w:t>
      </w:r>
      <w:r w:rsidR="003722D8" w:rsidRPr="003722D8">
        <w:rPr>
          <w:rFonts w:ascii="Arial" w:hAnsi="Arial" w:cs="Arial"/>
          <w:sz w:val="20"/>
          <w:szCs w:val="20"/>
        </w:rPr>
        <w:t>relevantly provides that no costs are to be allowed to a party to an appeal under Parts 6.3 or 6.4 of the CPA or to a proceeding preliminary or incidental to an appeal of that kind. It is unclear whether the applicants’ application for a suppression order made in the reference determination proceeding was a proceeding within the meaning of s</w:t>
      </w:r>
      <w:r w:rsidR="00B91C6C">
        <w:rPr>
          <w:rFonts w:ascii="Arial" w:hAnsi="Arial" w:cs="Arial"/>
          <w:sz w:val="20"/>
          <w:szCs w:val="20"/>
        </w:rPr>
        <w:t>.</w:t>
      </w:r>
      <w:r w:rsidR="003722D8" w:rsidRPr="003722D8">
        <w:rPr>
          <w:rFonts w:ascii="Arial" w:hAnsi="Arial" w:cs="Arial"/>
          <w:sz w:val="20"/>
          <w:szCs w:val="20"/>
        </w:rPr>
        <w:t xml:space="preserve">409. We observe, however, that the provision in the </w:t>
      </w:r>
      <w:r w:rsidR="003722D8" w:rsidRPr="003722D8">
        <w:rPr>
          <w:rFonts w:ascii="Arial" w:hAnsi="Arial" w:cs="Arial"/>
          <w:i/>
          <w:iCs/>
          <w:sz w:val="20"/>
          <w:szCs w:val="20"/>
        </w:rPr>
        <w:t>Open Courts Act 2013</w:t>
      </w:r>
      <w:r w:rsidR="003722D8" w:rsidRPr="003722D8">
        <w:rPr>
          <w:rFonts w:ascii="Arial" w:hAnsi="Arial" w:cs="Arial"/>
          <w:sz w:val="20"/>
          <w:szCs w:val="20"/>
        </w:rPr>
        <w:t xml:space="preserve"> governing who may appear and be heard on an application for a proceeding suppression order distinguishes between a party to the proceeding concerned and a news media organisation</w:t>
      </w:r>
      <w:r w:rsidR="00B91C6C">
        <w:rPr>
          <w:rFonts w:ascii="Arial" w:hAnsi="Arial" w:cs="Arial"/>
          <w:sz w:val="20"/>
          <w:szCs w:val="20"/>
        </w:rPr>
        <w:t>: s</w:t>
      </w:r>
      <w:r w:rsidRPr="003722D8">
        <w:rPr>
          <w:rFonts w:ascii="Arial" w:hAnsi="Arial" w:cs="Arial"/>
          <w:sz w:val="20"/>
          <w:szCs w:val="20"/>
        </w:rPr>
        <w:t xml:space="preserve">ee s 19(2) of the </w:t>
      </w:r>
      <w:r w:rsidRPr="00916B70">
        <w:rPr>
          <w:rFonts w:ascii="Arial" w:hAnsi="Arial" w:cs="Arial"/>
          <w:i/>
          <w:iCs/>
          <w:sz w:val="20"/>
          <w:szCs w:val="20"/>
        </w:rPr>
        <w:t>Open Courts Act 2013</w:t>
      </w:r>
      <w:r w:rsidRPr="003722D8">
        <w:rPr>
          <w:rFonts w:ascii="Arial" w:hAnsi="Arial" w:cs="Arial"/>
          <w:sz w:val="20"/>
          <w:szCs w:val="20"/>
        </w:rPr>
        <w:t>.</w:t>
      </w:r>
      <w:r>
        <w:rPr>
          <w:rFonts w:ascii="Arial" w:hAnsi="Arial" w:cs="Arial"/>
          <w:sz w:val="20"/>
          <w:szCs w:val="20"/>
        </w:rPr>
        <w:t xml:space="preserve"> </w:t>
      </w:r>
      <w:r w:rsidRPr="003722D8">
        <w:rPr>
          <w:rFonts w:ascii="Arial" w:hAnsi="Arial" w:cs="Arial"/>
          <w:sz w:val="20"/>
          <w:szCs w:val="20"/>
        </w:rPr>
        <w:t xml:space="preserve">‘News media organisation’ and ‘party’ are defined, separately, in s 3 of the Act. </w:t>
      </w:r>
      <w:r w:rsidR="003722D8" w:rsidRPr="003722D8">
        <w:rPr>
          <w:rFonts w:ascii="Arial" w:hAnsi="Arial" w:cs="Arial"/>
          <w:sz w:val="20"/>
          <w:szCs w:val="20"/>
        </w:rPr>
        <w:t xml:space="preserve">This indicates that a news media organisation is not a party to the proceeding for the purposes of the </w:t>
      </w:r>
      <w:r w:rsidR="003722D8" w:rsidRPr="00916B70">
        <w:rPr>
          <w:rFonts w:ascii="Arial" w:hAnsi="Arial" w:cs="Arial"/>
          <w:i/>
          <w:iCs/>
          <w:sz w:val="20"/>
          <w:szCs w:val="20"/>
        </w:rPr>
        <w:t>Open Courts Act 2013</w:t>
      </w:r>
      <w:r w:rsidR="003722D8" w:rsidRPr="003722D8">
        <w:rPr>
          <w:rFonts w:ascii="Arial" w:hAnsi="Arial" w:cs="Arial"/>
          <w:sz w:val="20"/>
          <w:szCs w:val="20"/>
        </w:rPr>
        <w:t>.</w:t>
      </w:r>
    </w:p>
    <w:p w14:paraId="36BBF529" w14:textId="77777777" w:rsidR="00916B70" w:rsidRDefault="00916B70" w:rsidP="00916B70">
      <w:pPr>
        <w:spacing w:before="60"/>
        <w:ind w:left="454" w:right="454"/>
        <w:jc w:val="both"/>
        <w:rPr>
          <w:rFonts w:ascii="Arial" w:hAnsi="Arial" w:cs="Arial"/>
          <w:sz w:val="20"/>
          <w:szCs w:val="20"/>
        </w:rPr>
      </w:pPr>
      <w:r>
        <w:rPr>
          <w:rFonts w:ascii="Arial" w:hAnsi="Arial" w:cs="Arial"/>
          <w:sz w:val="20"/>
          <w:szCs w:val="20"/>
        </w:rPr>
        <w:t>[</w:t>
      </w:r>
      <w:r w:rsidR="003722D8" w:rsidRPr="003722D8">
        <w:rPr>
          <w:rFonts w:ascii="Arial" w:hAnsi="Arial" w:cs="Arial"/>
          <w:sz w:val="20"/>
          <w:szCs w:val="20"/>
        </w:rPr>
        <w:t>6</w:t>
      </w:r>
      <w:r>
        <w:rPr>
          <w:rFonts w:ascii="Arial" w:hAnsi="Arial" w:cs="Arial"/>
          <w:sz w:val="20"/>
          <w:szCs w:val="20"/>
        </w:rPr>
        <w:t>]</w:t>
      </w:r>
      <w:r w:rsidR="003722D8" w:rsidRPr="003722D8">
        <w:rPr>
          <w:rFonts w:ascii="Arial" w:hAnsi="Arial" w:cs="Arial"/>
          <w:sz w:val="20"/>
          <w:szCs w:val="20"/>
        </w:rPr>
        <w:t xml:space="preserve"> However, the applicants submit that, as the media interests themselves submitted to the Court, the media interests were parties to the suppression order proceeding. They chose to file an application for unconditional leave to intervene on all issues in the proceeding and were granted such leave, having been given all the privileges and liabilities of a party, including the right to appeal, tender evidence and participate fully in all aspects of the argument.</w:t>
      </w:r>
    </w:p>
    <w:p w14:paraId="6F7EA54F" w14:textId="66ACEF65" w:rsidR="003722D8" w:rsidRDefault="00916B70" w:rsidP="00916B70">
      <w:pPr>
        <w:spacing w:before="60"/>
        <w:ind w:left="454" w:right="454"/>
        <w:jc w:val="both"/>
        <w:rPr>
          <w:rFonts w:ascii="Arial" w:hAnsi="Arial" w:cs="Arial"/>
          <w:sz w:val="20"/>
          <w:szCs w:val="20"/>
        </w:rPr>
      </w:pPr>
      <w:r>
        <w:rPr>
          <w:rFonts w:ascii="Arial" w:hAnsi="Arial" w:cs="Arial"/>
          <w:sz w:val="20"/>
          <w:szCs w:val="20"/>
        </w:rPr>
        <w:t>[</w:t>
      </w:r>
      <w:r w:rsidR="003722D8" w:rsidRPr="003722D8">
        <w:rPr>
          <w:rFonts w:ascii="Arial" w:hAnsi="Arial" w:cs="Arial"/>
          <w:sz w:val="20"/>
          <w:szCs w:val="20"/>
        </w:rPr>
        <w:t>7</w:t>
      </w:r>
      <w:r>
        <w:rPr>
          <w:rFonts w:ascii="Arial" w:hAnsi="Arial" w:cs="Arial"/>
          <w:sz w:val="20"/>
          <w:szCs w:val="20"/>
        </w:rPr>
        <w:t>]</w:t>
      </w:r>
      <w:r w:rsidR="003722D8" w:rsidRPr="003722D8">
        <w:rPr>
          <w:rFonts w:ascii="Arial" w:hAnsi="Arial" w:cs="Arial"/>
          <w:sz w:val="20"/>
          <w:szCs w:val="20"/>
        </w:rPr>
        <w:t xml:space="preserve"> Like Beach JA below, we consider that it is unnecessary to decide whether s 409 applies in this case or whether the media interests are to be treated as parties to the suppression </w:t>
      </w:r>
      <w:r w:rsidR="003722D8" w:rsidRPr="003722D8">
        <w:rPr>
          <w:rFonts w:ascii="Arial" w:hAnsi="Arial" w:cs="Arial"/>
          <w:sz w:val="20"/>
          <w:szCs w:val="20"/>
        </w:rPr>
        <w:lastRenderedPageBreak/>
        <w:t>order proceeding. This is because we would not make an order that the applicants pay the costs of the media interests in any event.</w:t>
      </w:r>
      <w:r>
        <w:rPr>
          <w:rFonts w:ascii="Arial" w:hAnsi="Arial" w:cs="Arial"/>
          <w:sz w:val="20"/>
          <w:szCs w:val="20"/>
        </w:rPr>
        <w:t>”</w:t>
      </w:r>
    </w:p>
    <w:p w14:paraId="42A7D174" w14:textId="77777777" w:rsidR="003C3B46" w:rsidRPr="00791730" w:rsidRDefault="003C3B46"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92" w:name="_3.10_Appeals/Reviews"/>
      <w:bookmarkEnd w:id="1192"/>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93" w:name="_3.10.1_Appeals_to"/>
    <w:bookmarkEnd w:id="1193"/>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Attorney-General v Sillem</w:t>
      </w:r>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State Rail Authority (NSW) v Earthline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94" w:name="_Hlk190855076"/>
      <w:bookmarkStart w:id="1195" w:name="_Hlk96596487"/>
    </w:p>
    <w:p w14:paraId="39E411D3" w14:textId="7D8CAB68" w:rsidR="00CC6128" w:rsidRDefault="00CC6128" w:rsidP="00CC6128">
      <w:pPr>
        <w:pBdr>
          <w:top w:val="thinThickThinSmallGap" w:sz="24" w:space="1" w:color="auto"/>
        </w:pBdr>
        <w:jc w:val="both"/>
        <w:rPr>
          <w:rFonts w:ascii="Arial" w:hAnsi="Arial" w:cs="Arial"/>
          <w:sz w:val="20"/>
        </w:rPr>
      </w:pPr>
    </w:p>
    <w:bookmarkEnd w:id="1194"/>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lastRenderedPageBreak/>
        <w:t>appeals under s.329 CYFA or judicial reviews under Order 56 Supreme Court Rules where there is an alleged error of law; or</w:t>
      </w:r>
    </w:p>
    <w:p w14:paraId="113241A0"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bookmarkStart w:id="1196" w:name="_Hlk190854864"/>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bookmarkEnd w:id="1196"/>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pPr>
        <w:pStyle w:val="ListParagraph"/>
        <w:numPr>
          <w:ilvl w:val="0"/>
          <w:numId w:val="149"/>
        </w:numPr>
        <w:ind w:left="357" w:hanging="357"/>
        <w:jc w:val="both"/>
        <w:rPr>
          <w:rFonts w:ascii="Arial" w:hAnsi="Arial" w:cs="Arial"/>
          <w:iCs/>
          <w:sz w:val="20"/>
          <w:szCs w:val="24"/>
        </w:rPr>
      </w:pPr>
      <w:r>
        <w:rPr>
          <w:rFonts w:ascii="Arial" w:hAnsi="Arial" w:cs="Arial"/>
          <w:sz w:val="20"/>
        </w:rPr>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pPr>
        <w:pStyle w:val="ListParagraph"/>
        <w:numPr>
          <w:ilvl w:val="0"/>
          <w:numId w:val="14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bookmarkEnd w:id="1195"/>
    <w:p w14:paraId="746C5778" w14:textId="77777777" w:rsidR="00C87467" w:rsidRPr="00C87467" w:rsidRDefault="00C87467" w:rsidP="00C87467">
      <w:pPr>
        <w:jc w:val="both"/>
        <w:rPr>
          <w:rFonts w:ascii="Arial" w:hAnsi="Arial" w:cs="Arial"/>
          <w:sz w:val="20"/>
        </w:rPr>
      </w:pPr>
    </w:p>
    <w:p w14:paraId="7B648C01" w14:textId="5358BD7D" w:rsidR="00C87467" w:rsidRPr="00C87467" w:rsidRDefault="00C87467" w:rsidP="00C87467">
      <w:pPr>
        <w:jc w:val="center"/>
        <w:rPr>
          <w:rFonts w:ascii="Arial" w:hAnsi="Arial" w:cs="Arial"/>
          <w:b/>
          <w:bCs/>
          <w:sz w:val="22"/>
          <w:szCs w:val="28"/>
        </w:rPr>
      </w:pPr>
      <w:r w:rsidRPr="00C87467">
        <w:rPr>
          <w:rFonts w:ascii="Arial" w:hAnsi="Arial" w:cs="Arial"/>
          <w:b/>
          <w:bCs/>
          <w:sz w:val="22"/>
          <w:szCs w:val="28"/>
        </w:rPr>
        <w:t xml:space="preserve">THE REST OF THIS PAGE </w:t>
      </w:r>
      <w:r w:rsidR="008E4C3B">
        <w:rPr>
          <w:rFonts w:ascii="Arial" w:hAnsi="Arial" w:cs="Arial"/>
          <w:b/>
          <w:bCs/>
          <w:sz w:val="22"/>
          <w:szCs w:val="28"/>
        </w:rPr>
        <w:t>IS BLANK</w:t>
      </w:r>
    </w:p>
    <w:p w14:paraId="5B5BF47A" w14:textId="77777777" w:rsidR="00C87467" w:rsidRPr="00C87467" w:rsidRDefault="00C87467" w:rsidP="00C87467">
      <w:pPr>
        <w:rPr>
          <w:rFonts w:ascii="Arial" w:hAnsi="Arial" w:cs="Arial"/>
          <w:sz w:val="20"/>
        </w:rPr>
      </w:pPr>
    </w:p>
    <w:p w14:paraId="662A957C" w14:textId="77777777" w:rsidR="00836E86" w:rsidRPr="00836E86" w:rsidRDefault="00836E86">
      <w:pPr>
        <w:pStyle w:val="ListParagraph"/>
        <w:numPr>
          <w:ilvl w:val="0"/>
          <w:numId w:val="150"/>
        </w:numPr>
        <w:ind w:left="357" w:hanging="357"/>
        <w:rPr>
          <w:rFonts w:ascii="Arial" w:hAnsi="Arial" w:cs="Arial"/>
          <w:sz w:val="20"/>
        </w:rPr>
      </w:pPr>
      <w:r w:rsidRPr="00836E86">
        <w:rPr>
          <w:rFonts w:ascii="Arial" w:hAnsi="Arial" w:cs="Arial"/>
          <w:sz w:val="20"/>
        </w:rPr>
        <w:br w:type="page"/>
      </w:r>
    </w:p>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4869071"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97" w:name="_Hlk89260004"/>
            <w:r>
              <w:rPr>
                <w:rFonts w:ascii="Arial" w:hAnsi="Arial" w:cs="Arial"/>
                <w:sz w:val="20"/>
              </w:rPr>
              <w:t xml:space="preserve">grant any relief or remedy in the nature of certiorari, mandamus, prohibition or quo warranto </w:t>
            </w:r>
            <w:bookmarkEnd w:id="1197"/>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98"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98"/>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48EE46DA"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r w:rsidR="00366998" w:rsidRPr="00A31FFA">
        <w:rPr>
          <w:rFonts w:ascii="Arial" w:hAnsi="Arial" w:cs="Arial"/>
          <w:sz w:val="20"/>
        </w:rPr>
        <w:t>–</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Habersberger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B04EE8">
      <w:pPr>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p w14:paraId="2AA2E751" w14:textId="0CC33AA0" w:rsidR="00B04EE8" w:rsidRDefault="001468DD" w:rsidP="003C751E">
      <w:pPr>
        <w:jc w:val="both"/>
        <w:rPr>
          <w:rFonts w:ascii="Arial" w:hAnsi="Arial" w:cs="Arial"/>
          <w:sz w:val="20"/>
        </w:rPr>
      </w:pPr>
      <w:r>
        <w:rPr>
          <w:rFonts w:ascii="Arial" w:hAnsi="Arial" w:cs="Arial"/>
          <w:sz w:val="20"/>
        </w:rPr>
        <w:t xml:space="preserve">In </w:t>
      </w:r>
      <w:r w:rsidRPr="00B04EE8">
        <w:rPr>
          <w:rFonts w:ascii="Arial" w:hAnsi="Arial" w:cs="Arial"/>
          <w:i/>
          <w:iCs/>
          <w:sz w:val="20"/>
        </w:rPr>
        <w:t>Binse v The King</w:t>
      </w:r>
      <w:r>
        <w:rPr>
          <w:rFonts w:ascii="Arial" w:hAnsi="Arial" w:cs="Arial"/>
          <w:sz w:val="20"/>
        </w:rPr>
        <w:t xml:space="preserve"> [2025] VSCA 158, i</w:t>
      </w:r>
      <w:r w:rsidR="00B04EE8">
        <w:rPr>
          <w:rFonts w:ascii="Arial" w:hAnsi="Arial" w:cs="Arial"/>
          <w:sz w:val="20"/>
        </w:rPr>
        <w:t xml:space="preserve">n </w:t>
      </w:r>
      <w:r>
        <w:rPr>
          <w:rFonts w:ascii="Arial" w:hAnsi="Arial" w:cs="Arial"/>
          <w:sz w:val="20"/>
        </w:rPr>
        <w:t>refusing leave to</w:t>
      </w:r>
      <w:r w:rsidR="00B04EE8">
        <w:rPr>
          <w:rFonts w:ascii="Arial" w:hAnsi="Arial" w:cs="Arial"/>
          <w:sz w:val="20"/>
        </w:rPr>
        <w:t xml:space="preserve"> appeal against conviction after a guilty plea</w:t>
      </w:r>
      <w:r>
        <w:rPr>
          <w:rFonts w:ascii="Arial" w:hAnsi="Arial" w:cs="Arial"/>
          <w:sz w:val="20"/>
        </w:rPr>
        <w:t>,</w:t>
      </w:r>
      <w:r w:rsidR="00B04EE8">
        <w:rPr>
          <w:rFonts w:ascii="Arial" w:hAnsi="Arial" w:cs="Arial"/>
          <w:sz w:val="20"/>
        </w:rPr>
        <w:t xml:space="preserve"> the Court of Appeal </w:t>
      </w:r>
      <w:r>
        <w:rPr>
          <w:rFonts w:ascii="Arial" w:hAnsi="Arial" w:cs="Arial"/>
          <w:sz w:val="20"/>
        </w:rPr>
        <w:t>said</w:t>
      </w:r>
      <w:r w:rsidR="00B04EE8">
        <w:rPr>
          <w:rFonts w:ascii="Arial" w:hAnsi="Arial" w:cs="Arial"/>
          <w:sz w:val="20"/>
        </w:rPr>
        <w:t xml:space="preserve"> at [90]</w:t>
      </w:r>
      <w:r>
        <w:rPr>
          <w:rFonts w:ascii="Arial" w:hAnsi="Arial" w:cs="Arial"/>
          <w:sz w:val="20"/>
        </w:rPr>
        <w:t>-[94]</w:t>
      </w:r>
      <w:r w:rsidR="00B04EE8">
        <w:rPr>
          <w:rFonts w:ascii="Arial" w:hAnsi="Arial" w:cs="Arial"/>
          <w:sz w:val="20"/>
        </w:rPr>
        <w:t>:</w:t>
      </w:r>
    </w:p>
    <w:p w14:paraId="1082E915" w14:textId="27171CA3" w:rsidR="00B04EE8" w:rsidRDefault="00B04EE8"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szCs w:val="20"/>
        </w:rPr>
        <w:t>[90] “</w:t>
      </w:r>
      <w:r w:rsidRPr="00B04EE8">
        <w:rPr>
          <w:rFonts w:ascii="Arial" w:hAnsi="Arial" w:cs="Arial"/>
          <w:sz w:val="20"/>
        </w:rPr>
        <w:t>It is well-established that an applicant must demonstrate particularly exceptional circumstances, in order that an appellate court, following a plea of guilty, will grant leave to appeal against conviction</w:t>
      </w:r>
      <w:r>
        <w:rPr>
          <w:rFonts w:ascii="Arial" w:hAnsi="Arial" w:cs="Arial"/>
          <w:sz w:val="20"/>
        </w:rPr>
        <w:t xml:space="preserve">: </w:t>
      </w:r>
      <w:r w:rsidRPr="001468DD">
        <w:rPr>
          <w:rFonts w:ascii="Arial" w:hAnsi="Arial" w:cs="Arial"/>
          <w:i/>
          <w:iCs/>
          <w:sz w:val="20"/>
        </w:rPr>
        <w:t>Zirilli</w:t>
      </w:r>
      <w:r>
        <w:rPr>
          <w:rFonts w:ascii="Arial" w:hAnsi="Arial" w:cs="Arial"/>
          <w:sz w:val="20"/>
        </w:rPr>
        <w:t xml:space="preserve"> (2021) 287 A Crim R 407, 411 [10]</w:t>
      </w:r>
      <w:r w:rsidRPr="00B04EE8">
        <w:rPr>
          <w:rFonts w:ascii="Arial" w:hAnsi="Arial" w:cs="Arial"/>
          <w:sz w:val="20"/>
        </w:rPr>
        <w:t>. Courts approach such an application with caution, based on the public interest in the finality of legal proceedings, and the principle that a plea of guilty by an accused, in possession of all the relevant facts, is normally an admission by that person of the necessary elements of the offence</w:t>
      </w:r>
      <w:r>
        <w:rPr>
          <w:rFonts w:ascii="Arial" w:hAnsi="Arial" w:cs="Arial"/>
          <w:sz w:val="20"/>
        </w:rPr>
        <w:t xml:space="preserve">: </w:t>
      </w:r>
      <w:r w:rsidRPr="001468DD">
        <w:rPr>
          <w:rFonts w:ascii="Arial" w:hAnsi="Arial" w:cs="Arial"/>
          <w:i/>
          <w:iCs/>
          <w:sz w:val="20"/>
        </w:rPr>
        <w:t>Liberti v The Queen</w:t>
      </w:r>
      <w:r>
        <w:rPr>
          <w:rFonts w:ascii="Arial" w:hAnsi="Arial" w:cs="Arial"/>
          <w:sz w:val="20"/>
        </w:rPr>
        <w:t xml:space="preserve"> (1991) 55 A Crim R </w:t>
      </w:r>
      <w:r w:rsidR="001468DD">
        <w:rPr>
          <w:rFonts w:ascii="Arial" w:hAnsi="Arial" w:cs="Arial"/>
          <w:sz w:val="20"/>
        </w:rPr>
        <w:t>120, 12</w:t>
      </w:r>
      <w:r w:rsidRPr="00B04EE8">
        <w:rPr>
          <w:rFonts w:ascii="Arial" w:hAnsi="Arial" w:cs="Arial"/>
          <w:sz w:val="20"/>
        </w:rPr>
        <w:t>2</w:t>
      </w:r>
      <w:r w:rsidR="001468DD">
        <w:rPr>
          <w:rFonts w:ascii="Arial" w:hAnsi="Arial" w:cs="Arial"/>
          <w:sz w:val="20"/>
        </w:rPr>
        <w:t>.</w:t>
      </w:r>
    </w:p>
    <w:p w14:paraId="1B47D0DC" w14:textId="186FC4B7" w:rsidR="00B04EE8" w:rsidRPr="00040365" w:rsidRDefault="00040365" w:rsidP="00B04EE8">
      <w:pPr>
        <w:pStyle w:val="NormalWeb"/>
        <w:shd w:val="clear" w:color="auto" w:fill="FFFFFF"/>
        <w:spacing w:before="60" w:beforeAutospacing="0" w:after="0" w:afterAutospacing="0"/>
        <w:ind w:left="454" w:right="454"/>
        <w:jc w:val="both"/>
        <w:rPr>
          <w:rFonts w:ascii="Arial" w:hAnsi="Arial" w:cs="Arial"/>
          <w:sz w:val="20"/>
          <w:szCs w:val="20"/>
        </w:rPr>
      </w:pPr>
      <w:r w:rsidRPr="00040365">
        <w:rPr>
          <w:rFonts w:ascii="Arial" w:hAnsi="Arial" w:cs="Arial"/>
          <w:sz w:val="20"/>
          <w:szCs w:val="20"/>
        </w:rPr>
        <w:lastRenderedPageBreak/>
        <w:t xml:space="preserve">[91] A conviction entered on the basis of such a plea will not be set aside on appeal, unless it can be demonstrated that a miscarriage of justice has occurred. Ordinarily, in such a case, it will be necessary to demonstrate that the accused did not understand the nature of the charge, or did not intend to admit that he or she was guilty of it, or that, on the admitted facts, the accused could not have been guilty of the offence: </w:t>
      </w:r>
      <w:r w:rsidRPr="00040365">
        <w:rPr>
          <w:rFonts w:ascii="Arial" w:hAnsi="Arial" w:cs="Arial"/>
          <w:i/>
          <w:iCs/>
          <w:sz w:val="20"/>
          <w:szCs w:val="20"/>
        </w:rPr>
        <w:t>R v Forde</w:t>
      </w:r>
      <w:r w:rsidRPr="00040365">
        <w:rPr>
          <w:rFonts w:ascii="Arial" w:hAnsi="Arial" w:cs="Arial"/>
          <w:sz w:val="20"/>
          <w:szCs w:val="20"/>
        </w:rPr>
        <w:t xml:space="preserve"> </w:t>
      </w:r>
      <w:r>
        <w:rPr>
          <w:rFonts w:ascii="Arial" w:hAnsi="Arial" w:cs="Arial"/>
          <w:sz w:val="20"/>
          <w:szCs w:val="20"/>
        </w:rPr>
        <w:t>[1923] 2 KB 400, 403</w:t>
      </w:r>
      <w:r w:rsidRPr="00040365">
        <w:rPr>
          <w:rFonts w:ascii="Arial" w:hAnsi="Arial" w:cs="Arial"/>
          <w:sz w:val="20"/>
          <w:szCs w:val="20"/>
        </w:rPr>
        <w:t xml:space="preserve">; </w:t>
      </w:r>
      <w:r w:rsidRPr="00040365">
        <w:rPr>
          <w:rFonts w:ascii="Arial" w:hAnsi="Arial" w:cs="Arial"/>
          <w:i/>
          <w:iCs/>
          <w:sz w:val="20"/>
          <w:szCs w:val="20"/>
        </w:rPr>
        <w:t>Meissner v The Queen</w:t>
      </w:r>
      <w:r w:rsidRPr="00040365">
        <w:rPr>
          <w:rFonts w:ascii="Arial" w:hAnsi="Arial" w:cs="Arial"/>
          <w:sz w:val="20"/>
          <w:szCs w:val="20"/>
        </w:rPr>
        <w:t xml:space="preserve"> (1995) 184 CLR 132, 157; [1995] HCA 41; </w:t>
      </w:r>
      <w:r w:rsidRPr="00040365">
        <w:rPr>
          <w:rFonts w:ascii="Arial" w:hAnsi="Arial" w:cs="Arial"/>
          <w:i/>
          <w:iCs/>
          <w:sz w:val="20"/>
          <w:szCs w:val="20"/>
        </w:rPr>
        <w:t>R v Stewart</w:t>
      </w:r>
      <w:r w:rsidRPr="00040365">
        <w:rPr>
          <w:rFonts w:ascii="Arial" w:hAnsi="Arial" w:cs="Arial"/>
          <w:sz w:val="20"/>
          <w:szCs w:val="20"/>
        </w:rPr>
        <w:t xml:space="preserve"> [1960] VR 106, 108; </w:t>
      </w:r>
      <w:r w:rsidRPr="00040365">
        <w:rPr>
          <w:rFonts w:ascii="Arial" w:hAnsi="Arial" w:cs="Arial"/>
          <w:i/>
          <w:iCs/>
          <w:sz w:val="20"/>
          <w:szCs w:val="20"/>
        </w:rPr>
        <w:t>R v Murphy</w:t>
      </w:r>
      <w:r w:rsidRPr="00040365">
        <w:rPr>
          <w:rFonts w:ascii="Arial" w:hAnsi="Arial" w:cs="Arial"/>
          <w:sz w:val="20"/>
          <w:szCs w:val="20"/>
        </w:rPr>
        <w:t xml:space="preserve"> [1965] VR 187, 190; </w:t>
      </w:r>
      <w:r w:rsidRPr="00040365">
        <w:rPr>
          <w:rFonts w:ascii="Arial" w:hAnsi="Arial" w:cs="Arial"/>
          <w:i/>
          <w:iCs/>
          <w:sz w:val="20"/>
          <w:szCs w:val="20"/>
        </w:rPr>
        <w:t>Weston (a pseudonym) v The Queen</w:t>
      </w:r>
      <w:r w:rsidRPr="00040365">
        <w:rPr>
          <w:rFonts w:ascii="Arial" w:hAnsi="Arial" w:cs="Arial"/>
          <w:sz w:val="20"/>
          <w:szCs w:val="20"/>
        </w:rPr>
        <w:t xml:space="preserve"> (2015) 48 VR 413, 444; [2015] VSCA 354; </w:t>
      </w:r>
      <w:r w:rsidRPr="00040365">
        <w:rPr>
          <w:rFonts w:ascii="Arial" w:hAnsi="Arial" w:cs="Arial"/>
          <w:i/>
          <w:iCs/>
          <w:sz w:val="20"/>
          <w:szCs w:val="20"/>
        </w:rPr>
        <w:t>Gurappaji v The Queen</w:t>
      </w:r>
      <w:r w:rsidRPr="00040365">
        <w:rPr>
          <w:rFonts w:ascii="Arial" w:hAnsi="Arial" w:cs="Arial"/>
          <w:sz w:val="20"/>
          <w:szCs w:val="20"/>
        </w:rPr>
        <w:t xml:space="preserve"> [2018] VSCA 187 [6]–[10].</w:t>
      </w:r>
    </w:p>
    <w:p w14:paraId="218AD913" w14:textId="65F6D6B5" w:rsidR="001468DD" w:rsidRDefault="00B04EE8"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Pr="00B04EE8">
        <w:rPr>
          <w:rFonts w:ascii="Arial" w:hAnsi="Arial" w:cs="Arial"/>
          <w:sz w:val="20"/>
        </w:rPr>
        <w:t>92</w:t>
      </w:r>
      <w:r>
        <w:rPr>
          <w:rFonts w:ascii="Arial" w:hAnsi="Arial" w:cs="Arial"/>
          <w:sz w:val="20"/>
        </w:rPr>
        <w:t>]</w:t>
      </w:r>
      <w:r w:rsidRPr="00B04EE8">
        <w:rPr>
          <w:rFonts w:ascii="Arial" w:hAnsi="Arial" w:cs="Arial"/>
          <w:sz w:val="20"/>
        </w:rPr>
        <w:t xml:space="preserve"> In </w:t>
      </w:r>
      <w:r w:rsidRPr="00B04EE8">
        <w:rPr>
          <w:rFonts w:ascii="Arial" w:hAnsi="Arial" w:cs="Arial"/>
          <w:i/>
          <w:iCs/>
          <w:sz w:val="20"/>
        </w:rPr>
        <w:t>Peters v The Queen (No 2)</w:t>
      </w:r>
      <w:r w:rsidR="007059BD">
        <w:rPr>
          <w:rFonts w:ascii="Arial" w:hAnsi="Arial" w:cs="Arial"/>
          <w:i/>
          <w:iCs/>
          <w:sz w:val="20"/>
        </w:rPr>
        <w:t xml:space="preserve"> </w:t>
      </w:r>
      <w:r w:rsidR="007059BD" w:rsidRPr="007059BD">
        <w:rPr>
          <w:rFonts w:ascii="Arial" w:hAnsi="Arial" w:cs="Arial"/>
          <w:sz w:val="20"/>
        </w:rPr>
        <w:t>(2019) 60 VR 231; [2019] VSCA 292</w:t>
      </w:r>
      <w:r w:rsidRPr="007059BD">
        <w:rPr>
          <w:rFonts w:ascii="Arial" w:hAnsi="Arial" w:cs="Arial"/>
          <w:sz w:val="20"/>
        </w:rPr>
        <w:t>,</w:t>
      </w:r>
      <w:r w:rsidRPr="00B04EE8">
        <w:rPr>
          <w:rFonts w:ascii="Arial" w:hAnsi="Arial" w:cs="Arial"/>
          <w:sz w:val="20"/>
        </w:rPr>
        <w:t xml:space="preserve"> this Court summarised the relevant principles in the following terms</w:t>
      </w:r>
      <w:r w:rsidR="00040365">
        <w:rPr>
          <w:rFonts w:ascii="Arial" w:hAnsi="Arial" w:cs="Arial"/>
          <w:sz w:val="20"/>
        </w:rPr>
        <w:t xml:space="preserve"> at [37]-[41]</w:t>
      </w:r>
      <w:r w:rsidRPr="00B04EE8">
        <w:rPr>
          <w:rFonts w:ascii="Arial" w:hAnsi="Arial" w:cs="Arial"/>
          <w:sz w:val="20"/>
        </w:rPr>
        <w:t>:</w:t>
      </w:r>
    </w:p>
    <w:p w14:paraId="45AD2B59" w14:textId="77777777" w:rsidR="001468D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 xml:space="preserve">The test for determining whether a conviction should be set aside following a plea of guilty is whether the applicant has established a substantial miscarriage of justice, in accordance with s 276(1) of the </w:t>
      </w:r>
      <w:r w:rsidRPr="001468DD">
        <w:rPr>
          <w:rFonts w:ascii="Arial" w:hAnsi="Arial" w:cs="Arial"/>
          <w:i/>
          <w:iCs/>
          <w:sz w:val="18"/>
          <w:szCs w:val="22"/>
        </w:rPr>
        <w:t>Criminal Procedure Act 2009</w:t>
      </w:r>
      <w:r w:rsidRPr="001468DD">
        <w:rPr>
          <w:rFonts w:ascii="Arial" w:hAnsi="Arial" w:cs="Arial"/>
          <w:sz w:val="18"/>
          <w:szCs w:val="22"/>
        </w:rPr>
        <w:t>....</w:t>
      </w:r>
    </w:p>
    <w:p w14:paraId="5D112316" w14:textId="12DA54EF"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 xml:space="preserve">Although the categories of miscarriage of justice are of course not closed, two kinds of situation have emerged repeatedly in the cases. As articulated by Avory J in </w:t>
      </w:r>
      <w:r w:rsidRPr="001468DD">
        <w:rPr>
          <w:rFonts w:ascii="Arial" w:hAnsi="Arial" w:cs="Arial"/>
          <w:i/>
          <w:iCs/>
          <w:sz w:val="18"/>
          <w:szCs w:val="22"/>
        </w:rPr>
        <w:t>R v Forde</w:t>
      </w:r>
      <w:r w:rsidRPr="001468DD">
        <w:rPr>
          <w:rFonts w:ascii="Arial" w:hAnsi="Arial" w:cs="Arial"/>
          <w:sz w:val="18"/>
          <w:szCs w:val="22"/>
        </w:rPr>
        <w:t>, they are, first, where the applicant did not appreciate the nature of the charge, or did not intend to admit that he was guilty of it, and secondly, where the applicant could not in law have been convicted of the offence charged on the facts alleged.</w:t>
      </w:r>
    </w:p>
    <w:p w14:paraId="12F9E7CF" w14:textId="77777777"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The first of these cases can be described as challenging the integrity of the plea in the sense that it was not really attributable to a genuine consciousness of guilt. Of itself, that will ordinarily only suffice to warrant a new trial if, in addition to doubt attaching to the integrity of the plea, it is shown that there was an ‘issuable question of guilt’, meaning a genuine issue as to the guilt of the accused.</w:t>
      </w:r>
    </w:p>
    <w:p w14:paraId="72EB248B" w14:textId="77777777"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The second kind of circumstance does not involve merely an arguable case as to the guilt or otherwise of the accused. It involves a relatively narrow class of case in which the material relied upon by the Crown was insufficient at law to sustain a conviction on the charge in question. In this situation, the focus is not on the integrity of the plea but on the conviction itself. The conviction involves a miscarriage of justice because the facts alleged simply could not support a conviction, or the charge in question was not known to the law.</w:t>
      </w:r>
    </w:p>
    <w:p w14:paraId="01772D3D" w14:textId="01B30D2F" w:rsidR="001468DD" w:rsidRDefault="00B04EE8" w:rsidP="001468DD">
      <w:pPr>
        <w:pStyle w:val="NormalWeb"/>
        <w:shd w:val="clear" w:color="auto" w:fill="FFFFFF"/>
        <w:spacing w:before="60" w:beforeAutospacing="0" w:after="0" w:afterAutospacing="0"/>
        <w:ind w:left="907" w:right="907"/>
        <w:jc w:val="both"/>
        <w:rPr>
          <w:rFonts w:ascii="Arial" w:hAnsi="Arial" w:cs="Arial"/>
          <w:sz w:val="20"/>
        </w:rPr>
      </w:pPr>
      <w:r w:rsidRPr="001468DD">
        <w:rPr>
          <w:rFonts w:ascii="Arial" w:hAnsi="Arial" w:cs="Arial"/>
          <w:sz w:val="18"/>
          <w:szCs w:val="22"/>
        </w:rPr>
        <w:t>In contrast, identification of a mere issue as to the guilt or innocence of the person who has pleaded guilty, without more, will rarely if ever warrant setting aside a conviction after a plea of guilty. This itself respects the integrity of the plea and the high public interest attached to finality of criminal proceedings. It also recognises the fact that, in pleading guilty, an accused will have chosen to forego potential defences in the hope of deriving some compensating benefit.</w:t>
      </w:r>
    </w:p>
    <w:p w14:paraId="23D2DFFD" w14:textId="37EEC30F" w:rsidR="001468DD" w:rsidRDefault="001468DD"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00B04EE8" w:rsidRPr="00B04EE8">
        <w:rPr>
          <w:rFonts w:ascii="Arial" w:hAnsi="Arial" w:cs="Arial"/>
          <w:sz w:val="20"/>
        </w:rPr>
        <w:t>93</w:t>
      </w:r>
      <w:r>
        <w:rPr>
          <w:rFonts w:ascii="Arial" w:hAnsi="Arial" w:cs="Arial"/>
          <w:sz w:val="20"/>
        </w:rPr>
        <w:t>]</w:t>
      </w:r>
      <w:r w:rsidR="00B04EE8" w:rsidRPr="00B04EE8">
        <w:rPr>
          <w:rFonts w:ascii="Arial" w:hAnsi="Arial" w:cs="Arial"/>
          <w:sz w:val="20"/>
        </w:rPr>
        <w:t xml:space="preserve"> In accordance with those principles, it is well-established that erroneous advice by counsel, concerning an applicant’s prospects of success at trial, may not necessarily, per se, be sufficient to establish a substantial miscarriage of justice</w:t>
      </w:r>
      <w:r w:rsidR="007059BD">
        <w:rPr>
          <w:rFonts w:ascii="Arial" w:hAnsi="Arial" w:cs="Arial"/>
          <w:sz w:val="20"/>
        </w:rPr>
        <w:t xml:space="preserve">: </w:t>
      </w:r>
      <w:r w:rsidR="007059BD" w:rsidRPr="007059BD">
        <w:rPr>
          <w:rFonts w:ascii="Arial" w:hAnsi="Arial" w:cs="Arial"/>
          <w:i/>
          <w:iCs/>
          <w:sz w:val="20"/>
        </w:rPr>
        <w:t>R v Pugh</w:t>
      </w:r>
      <w:r w:rsidR="007059BD">
        <w:rPr>
          <w:rFonts w:ascii="Arial" w:hAnsi="Arial" w:cs="Arial"/>
          <w:sz w:val="20"/>
        </w:rPr>
        <w:t xml:space="preserve"> (2015) 158 A Crim R 302, 312 [52]; </w:t>
      </w:r>
      <w:r w:rsidR="007059BD" w:rsidRPr="007059BD">
        <w:rPr>
          <w:rFonts w:ascii="Arial" w:hAnsi="Arial" w:cs="Arial"/>
          <w:i/>
          <w:iCs/>
          <w:sz w:val="20"/>
        </w:rPr>
        <w:t>Meissner</w:t>
      </w:r>
      <w:r w:rsidR="007059BD">
        <w:rPr>
          <w:rFonts w:ascii="Arial" w:hAnsi="Arial" w:cs="Arial"/>
          <w:sz w:val="20"/>
        </w:rPr>
        <w:t xml:space="preserve"> (1995) 184 CLR 132, 143.</w:t>
      </w:r>
    </w:p>
    <w:p w14:paraId="52741C9D" w14:textId="0D13A713" w:rsidR="001468DD" w:rsidRDefault="001468DD"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00B04EE8" w:rsidRPr="00B04EE8">
        <w:rPr>
          <w:rFonts w:ascii="Arial" w:hAnsi="Arial" w:cs="Arial"/>
          <w:sz w:val="20"/>
        </w:rPr>
        <w:t>94</w:t>
      </w:r>
      <w:r>
        <w:rPr>
          <w:rFonts w:ascii="Arial" w:hAnsi="Arial" w:cs="Arial"/>
          <w:sz w:val="20"/>
        </w:rPr>
        <w:t>]</w:t>
      </w:r>
      <w:r w:rsidR="00B04EE8" w:rsidRPr="00B04EE8">
        <w:rPr>
          <w:rFonts w:ascii="Arial" w:hAnsi="Arial" w:cs="Arial"/>
          <w:sz w:val="20"/>
        </w:rPr>
        <w:t xml:space="preserve"> The circumstances in which erroneous advice, as to an applicant’s guilt, may be such as to result in a miscarriage of justice, are illustrated by the decision of the Court of Appeal of Queensland in </w:t>
      </w:r>
      <w:r w:rsidR="00B04EE8" w:rsidRPr="007059BD">
        <w:rPr>
          <w:rFonts w:ascii="Arial" w:hAnsi="Arial" w:cs="Arial"/>
          <w:i/>
          <w:iCs/>
          <w:sz w:val="20"/>
        </w:rPr>
        <w:t>R v Williamson</w:t>
      </w:r>
      <w:r w:rsidR="007059BD">
        <w:rPr>
          <w:rFonts w:ascii="Arial" w:hAnsi="Arial" w:cs="Arial"/>
          <w:sz w:val="20"/>
        </w:rPr>
        <w:t xml:space="preserve"> (2012) 224 A Crim R 160</w:t>
      </w:r>
      <w:r w:rsidR="00B04EE8" w:rsidRPr="00B04EE8">
        <w:rPr>
          <w:rFonts w:ascii="Arial" w:hAnsi="Arial" w:cs="Arial"/>
          <w:sz w:val="20"/>
        </w:rPr>
        <w:t>. In that case, counsel gave advice to the applicant as to her guilt of the relevant charge, which advice the court characterised as ‘grossly inadequate’</w:t>
      </w:r>
      <w:r w:rsidR="007059BD">
        <w:rPr>
          <w:rFonts w:ascii="Arial" w:hAnsi="Arial" w:cs="Arial"/>
          <w:sz w:val="20"/>
        </w:rPr>
        <w:t>: at 173 [38]</w:t>
      </w:r>
      <w:r w:rsidR="00B04EE8" w:rsidRPr="00B04EE8">
        <w:rPr>
          <w:rFonts w:ascii="Arial" w:hAnsi="Arial" w:cs="Arial"/>
          <w:sz w:val="20"/>
        </w:rPr>
        <w:t>.</w:t>
      </w:r>
      <w:r w:rsidR="007059BD">
        <w:rPr>
          <w:rFonts w:ascii="Arial" w:hAnsi="Arial" w:cs="Arial"/>
          <w:sz w:val="20"/>
        </w:rPr>
        <w:t xml:space="preserve"> </w:t>
      </w:r>
      <w:r w:rsidR="00B04EE8" w:rsidRPr="00B04EE8">
        <w:rPr>
          <w:rFonts w:ascii="Arial" w:hAnsi="Arial" w:cs="Arial"/>
          <w:sz w:val="20"/>
        </w:rPr>
        <w:t>As a result, the court was satisfied that the applicant did not understand the nature of the charge to which she was pleading guilty, and she did not intend to admit her guilt of the offence that was the subject of the charge</w:t>
      </w:r>
      <w:r w:rsidR="007059BD">
        <w:rPr>
          <w:rFonts w:ascii="Arial" w:hAnsi="Arial" w:cs="Arial"/>
          <w:sz w:val="20"/>
        </w:rPr>
        <w:t>: at 175 [45]</w:t>
      </w:r>
      <w:r w:rsidR="00B04EE8" w:rsidRPr="00B04EE8">
        <w:rPr>
          <w:rFonts w:ascii="Arial" w:hAnsi="Arial" w:cs="Arial"/>
          <w:sz w:val="20"/>
        </w:rPr>
        <w:t>.</w:t>
      </w:r>
      <w:r w:rsidR="007059BD">
        <w:rPr>
          <w:rFonts w:ascii="Arial" w:hAnsi="Arial" w:cs="Arial"/>
          <w:sz w:val="20"/>
        </w:rPr>
        <w:t xml:space="preserve"> </w:t>
      </w:r>
      <w:r w:rsidR="00B04EE8" w:rsidRPr="00B04EE8">
        <w:rPr>
          <w:rFonts w:ascii="Arial" w:hAnsi="Arial" w:cs="Arial"/>
          <w:sz w:val="20"/>
        </w:rPr>
        <w:t>On that basis it was concluded that the case was one of the ‘relatively rare cases’ in which a substantial miscarriage of justice, based on the erroneous advice of counsel, was established</w:t>
      </w:r>
      <w:r w:rsidR="007059BD">
        <w:rPr>
          <w:rFonts w:ascii="Arial" w:hAnsi="Arial" w:cs="Arial"/>
          <w:sz w:val="20"/>
        </w:rPr>
        <w:t>: at 175 [45]</w:t>
      </w:r>
      <w:r w:rsidR="00B04EE8" w:rsidRPr="00B04EE8">
        <w:rPr>
          <w:rFonts w:ascii="Arial" w:hAnsi="Arial" w:cs="Arial"/>
          <w:sz w:val="20"/>
        </w:rPr>
        <w:t>.</w:t>
      </w:r>
      <w:r w:rsidR="00810B2F">
        <w:rPr>
          <w:rFonts w:ascii="Arial" w:hAnsi="Arial" w:cs="Arial"/>
          <w:sz w:val="20"/>
        </w:rPr>
        <w:t>”</w:t>
      </w:r>
    </w:p>
    <w:p w14:paraId="3E7949F9" w14:textId="77777777" w:rsidR="00B04EE8" w:rsidRDefault="00B04EE8" w:rsidP="003C751E">
      <w:pPr>
        <w:jc w:val="both"/>
        <w:rPr>
          <w:rFonts w:ascii="Arial" w:hAnsi="Arial" w:cs="Arial"/>
          <w:sz w:val="20"/>
        </w:rPr>
      </w:pPr>
    </w:p>
    <w:bookmarkStart w:id="1199" w:name="_3.10.2_Reviews_of"/>
    <w:bookmarkEnd w:id="1199"/>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6DF34D5B" w14:textId="77777777" w:rsidR="00E25E37" w:rsidRDefault="00E25E37" w:rsidP="00E25E37">
      <w:pPr>
        <w:jc w:val="both"/>
        <w:rPr>
          <w:rFonts w:ascii="Arial" w:hAnsi="Arial" w:cs="Arial"/>
          <w:sz w:val="20"/>
        </w:rPr>
      </w:pPr>
      <w:bookmarkStart w:id="1200" w:name="_3.11_Case_stated"/>
      <w:bookmarkStart w:id="1201" w:name="B311"/>
      <w:bookmarkEnd w:id="1200"/>
      <w:bookmarkEnd w:id="1201"/>
    </w:p>
    <w:bookmarkStart w:id="1202" w:name="_3.10.3_Dismissal_of"/>
    <w:bookmarkEnd w:id="1202"/>
    <w:p w14:paraId="29EB82C9" w14:textId="1502DE6F" w:rsidR="00E25E37" w:rsidRPr="00465206" w:rsidRDefault="00E25E37" w:rsidP="00E25E37">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w:t>
      </w:r>
      <w:r>
        <w:rPr>
          <w:rStyle w:val="Hyperlink"/>
          <w:rFonts w:ascii="Arial" w:hAnsi="Arial" w:cs="Arial"/>
          <w:b/>
          <w:bCs/>
          <w:color w:val="000000" w:themeColor="text1"/>
          <w:sz w:val="20"/>
          <w:u w:val="none"/>
        </w:rPr>
        <w:t>3</w:t>
      </w:r>
      <w:r w:rsidRPr="00465206">
        <w:rPr>
          <w:rStyle w:val="Hyperlink"/>
          <w:rFonts w:ascii="Arial" w:hAnsi="Arial" w:cs="Arial"/>
          <w:b/>
          <w:bCs/>
          <w:color w:val="000000" w:themeColor="text1"/>
          <w:sz w:val="20"/>
          <w:u w:val="none"/>
        </w:rPr>
        <w:tab/>
      </w:r>
      <w:r>
        <w:rPr>
          <w:rStyle w:val="Hyperlink"/>
          <w:rFonts w:ascii="Arial" w:hAnsi="Arial" w:cs="Arial"/>
          <w:b/>
          <w:bCs/>
          <w:color w:val="000000" w:themeColor="text1"/>
          <w:sz w:val="20"/>
          <w:u w:val="none"/>
        </w:rPr>
        <w:t>Dismissal</w:t>
      </w:r>
      <w:r w:rsidRPr="00465206">
        <w:rPr>
          <w:rFonts w:ascii="Arial" w:hAnsi="Arial" w:cs="Arial"/>
          <w:b/>
          <w:bCs/>
          <w:color w:val="000000" w:themeColor="text1"/>
          <w:sz w:val="20"/>
        </w:rPr>
        <w:fldChar w:fldCharType="end"/>
      </w:r>
      <w:r>
        <w:rPr>
          <w:rFonts w:ascii="Arial" w:hAnsi="Arial" w:cs="Arial"/>
          <w:b/>
          <w:bCs/>
          <w:color w:val="000000" w:themeColor="text1"/>
          <w:sz w:val="20"/>
        </w:rPr>
        <w:t xml:space="preserve"> of appeal proceeding for want of prosecution</w:t>
      </w:r>
    </w:p>
    <w:p w14:paraId="55431BD6" w14:textId="78899528" w:rsidR="00935A6C" w:rsidRDefault="00E25E37" w:rsidP="00E25E37">
      <w:pPr>
        <w:jc w:val="both"/>
        <w:rPr>
          <w:rFonts w:ascii="Arial" w:hAnsi="Arial" w:cs="Arial"/>
          <w:sz w:val="20"/>
        </w:rPr>
      </w:pPr>
      <w:r>
        <w:rPr>
          <w:rFonts w:ascii="Arial" w:hAnsi="Arial" w:cs="Arial"/>
          <w:sz w:val="20"/>
        </w:rPr>
        <w:t xml:space="preserve">In </w:t>
      </w:r>
      <w:r w:rsidRPr="00E25E37">
        <w:rPr>
          <w:rFonts w:ascii="Arial" w:hAnsi="Arial" w:cs="Arial"/>
          <w:i/>
          <w:iCs/>
          <w:sz w:val="20"/>
        </w:rPr>
        <w:t>Fezollari v The King [No 2]</w:t>
      </w:r>
      <w:r>
        <w:rPr>
          <w:rFonts w:ascii="Arial" w:hAnsi="Arial" w:cs="Arial"/>
          <w:sz w:val="20"/>
        </w:rPr>
        <w:t xml:space="preserve"> the applicant had pleaded guilty in 2010 to one charge of trafficking </w:t>
      </w:r>
      <w:r w:rsidRPr="00E25E37">
        <w:rPr>
          <w:rFonts w:ascii="Arial" w:hAnsi="Arial" w:cs="Arial"/>
          <w:sz w:val="20"/>
        </w:rPr>
        <w:t>methamphetamine</w:t>
      </w:r>
      <w:r>
        <w:rPr>
          <w:rFonts w:ascii="Arial" w:hAnsi="Arial" w:cs="Arial"/>
          <w:sz w:val="20"/>
        </w:rPr>
        <w:t xml:space="preserve"> and </w:t>
      </w:r>
      <w:r w:rsidRPr="00E25E37">
        <w:rPr>
          <w:rFonts w:ascii="Arial" w:hAnsi="Arial" w:cs="Arial"/>
          <w:sz w:val="20"/>
        </w:rPr>
        <w:t xml:space="preserve">was sentenced to a term of imprisonment. In 2011, following a plea of guilty to another charge of trafficking methamphetamine, the applicant was sentenced to another term of </w:t>
      </w:r>
      <w:r w:rsidRPr="00E25E37">
        <w:rPr>
          <w:rFonts w:ascii="Arial" w:hAnsi="Arial" w:cs="Arial"/>
          <w:sz w:val="20"/>
        </w:rPr>
        <w:lastRenderedPageBreak/>
        <w:t>imprisonment</w:t>
      </w:r>
      <w:r>
        <w:rPr>
          <w:rFonts w:ascii="Arial" w:hAnsi="Arial" w:cs="Arial"/>
          <w:sz w:val="20"/>
        </w:rPr>
        <w:t xml:space="preserve">. </w:t>
      </w:r>
      <w:r w:rsidR="00935A6C">
        <w:rPr>
          <w:rFonts w:ascii="Arial" w:hAnsi="Arial" w:cs="Arial"/>
          <w:sz w:val="20"/>
        </w:rPr>
        <w:t xml:space="preserve">In November 2021 the </w:t>
      </w:r>
      <w:r w:rsidR="00935A6C" w:rsidRPr="00935A6C">
        <w:rPr>
          <w:rFonts w:ascii="Arial" w:hAnsi="Arial" w:cs="Arial"/>
          <w:sz w:val="20"/>
        </w:rPr>
        <w:t xml:space="preserve">applicant filed an application for an extension of time within which to seek leave to appeal against his convictions, together with an application for leave to appeal against conviction and a document headed ‘Interim/Holding Written Case for the Applicant’. </w:t>
      </w:r>
      <w:r w:rsidR="00935A6C">
        <w:rPr>
          <w:rFonts w:ascii="Arial" w:hAnsi="Arial" w:cs="Arial"/>
          <w:sz w:val="20"/>
        </w:rPr>
        <w:t xml:space="preserve">The proposed grounds of appeal were there had been a substantial miscarriage of justice in that Nicola Gobbo represented him between 2004 and 2008 and she informed on him for over 2 years. The applicant was not taking any steps to finalise his written case, was in breach of orders requiring a revised/final document to be filed and served and had failed to appear or instruct legal practitioners. </w:t>
      </w:r>
    </w:p>
    <w:p w14:paraId="4833167E" w14:textId="2D9C50BF" w:rsidR="003C1514" w:rsidRDefault="003C1514" w:rsidP="003C1514">
      <w:pPr>
        <w:spacing w:before="120"/>
        <w:jc w:val="both"/>
        <w:rPr>
          <w:rFonts w:ascii="Arial" w:hAnsi="Arial" w:cs="Arial"/>
          <w:sz w:val="20"/>
        </w:rPr>
      </w:pPr>
      <w:r w:rsidRPr="003C1514">
        <w:rPr>
          <w:rFonts w:ascii="Arial" w:hAnsi="Arial" w:cs="Arial"/>
          <w:sz w:val="20"/>
        </w:rPr>
        <w:t xml:space="preserve">The application was heard by </w:t>
      </w:r>
      <w:r>
        <w:rPr>
          <w:rFonts w:ascii="Arial" w:hAnsi="Arial" w:cs="Arial"/>
          <w:sz w:val="20"/>
        </w:rPr>
        <w:t xml:space="preserve">the Court of Appeal </w:t>
      </w:r>
      <w:r w:rsidRPr="003C1514">
        <w:rPr>
          <w:rFonts w:ascii="Arial" w:hAnsi="Arial" w:cs="Arial"/>
          <w:sz w:val="20"/>
        </w:rPr>
        <w:t>on 26</w:t>
      </w:r>
      <w:r w:rsidR="00DB5FC8">
        <w:rPr>
          <w:rFonts w:ascii="Arial" w:hAnsi="Arial" w:cs="Arial"/>
          <w:sz w:val="20"/>
        </w:rPr>
        <w:t>/09/</w:t>
      </w:r>
      <w:r w:rsidRPr="003C1514">
        <w:rPr>
          <w:rFonts w:ascii="Arial" w:hAnsi="Arial" w:cs="Arial"/>
          <w:sz w:val="20"/>
        </w:rPr>
        <w:t xml:space="preserve">2024. On that day, the respondent appeared </w:t>
      </w:r>
      <w:r w:rsidR="00DB5FC8">
        <w:rPr>
          <w:rFonts w:ascii="Arial" w:hAnsi="Arial" w:cs="Arial"/>
          <w:sz w:val="20"/>
        </w:rPr>
        <w:t>and sought</w:t>
      </w:r>
      <w:r w:rsidRPr="003C1514">
        <w:rPr>
          <w:rFonts w:ascii="Arial" w:hAnsi="Arial" w:cs="Arial"/>
          <w:sz w:val="20"/>
        </w:rPr>
        <w:t xml:space="preserve"> to have the applicant’s applications dismissed; the former solicitors appeared, saying that they had no instructions from the applicant, and asking to be allowed to withdraw from continuing to act for him. After hearing argument, </w:t>
      </w:r>
      <w:r>
        <w:rPr>
          <w:rFonts w:ascii="Arial" w:hAnsi="Arial" w:cs="Arial"/>
          <w:sz w:val="20"/>
        </w:rPr>
        <w:t>the Court</w:t>
      </w:r>
      <w:r w:rsidRPr="003C1514">
        <w:rPr>
          <w:rFonts w:ascii="Arial" w:hAnsi="Arial" w:cs="Arial"/>
          <w:sz w:val="20"/>
        </w:rPr>
        <w:t xml:space="preserve"> concluded that it was premature at that stage to dismiss the applicant’s applications</w:t>
      </w:r>
      <w:r>
        <w:rPr>
          <w:rFonts w:ascii="Arial" w:hAnsi="Arial" w:cs="Arial"/>
          <w:sz w:val="20"/>
        </w:rPr>
        <w:t xml:space="preserve"> and instead made orders:</w:t>
      </w:r>
    </w:p>
    <w:p w14:paraId="31F7685D" w14:textId="0C6C77E8" w:rsidR="003C1514" w:rsidRDefault="003C1514" w:rsidP="004703FA">
      <w:pPr>
        <w:pStyle w:val="ListParagraph"/>
        <w:numPr>
          <w:ilvl w:val="0"/>
          <w:numId w:val="116"/>
        </w:numPr>
        <w:ind w:left="454" w:hanging="454"/>
        <w:jc w:val="both"/>
        <w:rPr>
          <w:rFonts w:ascii="Arial" w:hAnsi="Arial" w:cs="Arial"/>
          <w:sz w:val="20"/>
        </w:rPr>
      </w:pPr>
      <w:r w:rsidRPr="00DB5FC8">
        <w:rPr>
          <w:rFonts w:ascii="Arial" w:hAnsi="Arial" w:cs="Arial"/>
          <w:sz w:val="20"/>
        </w:rPr>
        <w:t>requiring the applicant to file and serve a revised notice of his application and a final written case in support of his application for an extension of time; and</w:t>
      </w:r>
    </w:p>
    <w:p w14:paraId="52E904DE" w14:textId="5BD63E06" w:rsidR="00DB5FC8" w:rsidRDefault="00DB5FC8">
      <w:pPr>
        <w:pStyle w:val="ListParagraph"/>
        <w:numPr>
          <w:ilvl w:val="0"/>
          <w:numId w:val="146"/>
        </w:numPr>
        <w:ind w:left="454" w:hanging="454"/>
        <w:jc w:val="both"/>
        <w:rPr>
          <w:rFonts w:ascii="Arial" w:hAnsi="Arial" w:cs="Arial"/>
          <w:sz w:val="20"/>
        </w:rPr>
      </w:pPr>
      <w:r>
        <w:rPr>
          <w:rFonts w:ascii="Arial" w:hAnsi="Arial" w:cs="Arial"/>
          <w:sz w:val="20"/>
        </w:rPr>
        <w:t>requiring the solicitors on the record for the applicant to email and post various documents to the applicant; and</w:t>
      </w:r>
    </w:p>
    <w:p w14:paraId="04FE832B" w14:textId="7A47B024" w:rsidR="00DB5FC8" w:rsidRPr="00DB5FC8" w:rsidRDefault="00DB5FC8">
      <w:pPr>
        <w:pStyle w:val="ListParagraph"/>
        <w:numPr>
          <w:ilvl w:val="0"/>
          <w:numId w:val="146"/>
        </w:numPr>
        <w:ind w:left="454" w:hanging="454"/>
        <w:jc w:val="both"/>
        <w:rPr>
          <w:rFonts w:ascii="Arial" w:hAnsi="Arial" w:cs="Arial"/>
          <w:sz w:val="20"/>
        </w:rPr>
      </w:pPr>
      <w:r>
        <w:rPr>
          <w:rFonts w:ascii="Arial" w:hAnsi="Arial" w:cs="Arial"/>
          <w:sz w:val="20"/>
        </w:rPr>
        <w:t>adjourning the case to 17/03/2025.</w:t>
      </w:r>
    </w:p>
    <w:p w14:paraId="755072D0" w14:textId="1FD76BBE" w:rsidR="00DB5FC8" w:rsidRDefault="00DB5FC8" w:rsidP="003C1514">
      <w:pPr>
        <w:spacing w:before="120"/>
        <w:jc w:val="both"/>
        <w:rPr>
          <w:rFonts w:ascii="Arial" w:hAnsi="Arial" w:cs="Arial"/>
          <w:sz w:val="20"/>
        </w:rPr>
      </w:pPr>
      <w:r>
        <w:rPr>
          <w:rFonts w:ascii="Arial" w:hAnsi="Arial" w:cs="Arial"/>
          <w:sz w:val="20"/>
        </w:rPr>
        <w:t xml:space="preserve">By the adjourned date there had been </w:t>
      </w:r>
      <w:r w:rsidR="003C1514" w:rsidRPr="003C1514">
        <w:rPr>
          <w:rFonts w:ascii="Arial" w:hAnsi="Arial" w:cs="Arial"/>
          <w:sz w:val="20"/>
        </w:rPr>
        <w:t xml:space="preserve">no progress of any kind in the applicant’s applications for more than two years. Despite multiple attempts to communicate with him about his applications </w:t>
      </w:r>
      <w:r>
        <w:rPr>
          <w:rFonts w:ascii="Arial" w:hAnsi="Arial" w:cs="Arial"/>
          <w:sz w:val="20"/>
        </w:rPr>
        <w:t>“</w:t>
      </w:r>
      <w:r w:rsidR="003C1514" w:rsidRPr="003C1514">
        <w:rPr>
          <w:rFonts w:ascii="Arial" w:hAnsi="Arial" w:cs="Arial"/>
          <w:sz w:val="20"/>
        </w:rPr>
        <w:t>the applicant has simply maintained radio silence — seemingly ignoring every attempt to communicate with him.</w:t>
      </w:r>
      <w:r>
        <w:rPr>
          <w:rFonts w:ascii="Arial" w:hAnsi="Arial" w:cs="Arial"/>
          <w:sz w:val="20"/>
        </w:rPr>
        <w:t>”</w:t>
      </w:r>
      <w:r w:rsidR="003C1514" w:rsidRPr="003C1514">
        <w:rPr>
          <w:rFonts w:ascii="Arial" w:hAnsi="Arial" w:cs="Arial"/>
          <w:sz w:val="20"/>
        </w:rPr>
        <w:t xml:space="preserve"> </w:t>
      </w:r>
      <w:r>
        <w:rPr>
          <w:rFonts w:ascii="Arial" w:hAnsi="Arial" w:cs="Arial"/>
          <w:sz w:val="20"/>
        </w:rPr>
        <w:t>When the matter was called that morning, there was no appearance for the applicant and there had been no compliance with order (i) made on 26/09/2024. Saying at [17] that “</w:t>
      </w:r>
      <w:r w:rsidRPr="003C1514">
        <w:rPr>
          <w:rFonts w:ascii="Arial" w:hAnsi="Arial" w:cs="Arial"/>
          <w:sz w:val="20"/>
        </w:rPr>
        <w:t>it is plain to us that the applicant does not propose to take any step to progress his applications at any time in the foreseeable future</w:t>
      </w:r>
      <w:r>
        <w:rPr>
          <w:rFonts w:ascii="Arial" w:hAnsi="Arial" w:cs="Arial"/>
          <w:sz w:val="20"/>
        </w:rPr>
        <w:t>” Beach &amp; McLeish JJA dismissed the applications for want of prosecution, noting at [18]:</w:t>
      </w:r>
    </w:p>
    <w:p w14:paraId="7C80AE97" w14:textId="6E4154DF" w:rsidR="00935A6C" w:rsidRPr="004703FA" w:rsidRDefault="004703FA" w:rsidP="004703FA">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1514" w:rsidRPr="003C1514">
        <w:rPr>
          <w:rFonts w:ascii="Arial" w:hAnsi="Arial" w:cs="Arial"/>
          <w:sz w:val="20"/>
        </w:rPr>
        <w:t>The applications for an extension of time and for leave to appeal remain on foot. There has been inordinate delay by the applicant in the prosecution of them. Remaining on foot, they have continued to consume the time of the respondent and court staff — these being limited public resources — to an extent that is now patently unjustifiable. In all the circumstances, the applications should now be dismissed for want of prosecution, and we will so order.</w:t>
      </w:r>
      <w:r>
        <w:rPr>
          <w:rFonts w:ascii="Arial" w:hAnsi="Arial" w:cs="Arial"/>
          <w:sz w:val="20"/>
        </w:rPr>
        <w:t>”</w:t>
      </w:r>
    </w:p>
    <w:p w14:paraId="39ABDD7D" w14:textId="77777777" w:rsidR="00E25E37" w:rsidRDefault="00E25E37" w:rsidP="00E25E37">
      <w:pPr>
        <w:jc w:val="both"/>
        <w:rPr>
          <w:rFonts w:ascii="Arial" w:hAnsi="Arial" w:cs="Arial"/>
          <w:sz w:val="20"/>
        </w:rPr>
      </w:pPr>
    </w:p>
    <w:p w14:paraId="266C9A02" w14:textId="77777777" w:rsidR="00E25E37" w:rsidRPr="00BD3BA0" w:rsidRDefault="00E25E37" w:rsidP="00E25E37">
      <w:pPr>
        <w:jc w:val="center"/>
        <w:rPr>
          <w:rFonts w:ascii="Arial" w:hAnsi="Arial" w:cs="Arial"/>
          <w:b/>
          <w:bCs/>
          <w:sz w:val="22"/>
          <w:szCs w:val="28"/>
        </w:rPr>
      </w:pPr>
      <w:r w:rsidRPr="00BD3BA0">
        <w:rPr>
          <w:rFonts w:ascii="Arial" w:hAnsi="Arial" w:cs="Arial"/>
          <w:b/>
          <w:bCs/>
          <w:sz w:val="22"/>
          <w:szCs w:val="28"/>
        </w:rPr>
        <w:t>THE REST OF THIS PAGE IS BLANK</w:t>
      </w:r>
    </w:p>
    <w:p w14:paraId="4E9D55FB" w14:textId="77777777" w:rsidR="00791F8F" w:rsidRDefault="00791F8F" w:rsidP="00791F8F">
      <w:pPr>
        <w:jc w:val="both"/>
        <w:rPr>
          <w:rFonts w:ascii="Arial" w:hAnsi="Arial" w:cs="Arial"/>
          <w:sz w:val="20"/>
        </w:rPr>
      </w:pPr>
    </w:p>
    <w:p w14:paraId="1D2EB645" w14:textId="77777777" w:rsidR="00E25E37" w:rsidRDefault="00E25E37">
      <w:pPr>
        <w:rPr>
          <w:rFonts w:ascii="Arial" w:hAnsi="Arial" w:cs="Arial"/>
          <w:b/>
          <w:bCs/>
          <w:kern w:val="28"/>
          <w:szCs w:val="20"/>
          <w:lang w:val="en-GB"/>
        </w:rPr>
      </w:pPr>
      <w:r>
        <w:rPr>
          <w:rFonts w:ascii="Arial" w:hAnsi="Arial" w:cs="Arial"/>
          <w:b/>
          <w:bCs/>
        </w:rPr>
        <w:br w:type="page"/>
      </w:r>
    </w:p>
    <w:p w14:paraId="2C60FBD7" w14:textId="2F5CFBA5" w:rsidR="003C751E" w:rsidRDefault="003C751E" w:rsidP="003C751E">
      <w:pPr>
        <w:pStyle w:val="Heading2"/>
        <w:keepNext/>
        <w:keepLines/>
        <w:tabs>
          <w:tab w:val="left" w:pos="567"/>
        </w:tabs>
        <w:spacing w:line="240" w:lineRule="auto"/>
        <w:rPr>
          <w:rFonts w:ascii="Arial" w:hAnsi="Arial" w:cs="Arial"/>
          <w:b/>
          <w:bCs/>
        </w:rPr>
      </w:pPr>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25C77309"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r w:rsidR="00366998" w:rsidRPr="00A31FFA">
        <w:rPr>
          <w:rFonts w:ascii="Arial" w:hAnsi="Arial" w:cs="Arial"/>
          <w:sz w:val="20"/>
        </w:rPr>
        <w: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203"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204" w:name="_3.12_The_Children’s"/>
      <w:bookmarkEnd w:id="1204"/>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3D5DC31C"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r w:rsidR="00366998" w:rsidRPr="00A31FFA">
              <w:rPr>
                <w:rFonts w:ascii="Arial" w:hAnsi="Arial" w:cs="Arial"/>
                <w:sz w:val="20"/>
              </w:rPr>
              <w:t>–</w:t>
            </w:r>
          </w:p>
          <w:p w14:paraId="5F0EF7E6" w14:textId="5A3A572D"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r w:rsidR="00366998" w:rsidRPr="00A31FFA">
              <w:rPr>
                <w:rFonts w:ascii="Arial" w:hAnsi="Arial" w:cs="Arial"/>
                <w:sz w:val="20"/>
              </w:rPr>
              <w:t>–</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312C97AC"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r w:rsidR="00366998" w:rsidRPr="00A31FFA">
        <w:rPr>
          <w:rFonts w:ascii="Arial" w:hAnsi="Arial" w:cs="Arial"/>
          <w:sz w:val="20"/>
        </w:rPr>
        <w:t>–</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203"/>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205" w:name="_3.13_Court’s_powers"/>
      <w:bookmarkStart w:id="1206" w:name="_3.13_Execution_of"/>
      <w:bookmarkEnd w:id="1205"/>
      <w:bookmarkEnd w:id="1206"/>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64E8EA9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(Cth)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r w:rsidR="00366998" w:rsidRPr="00A31FFA">
        <w:rPr>
          <w:rFonts w:ascii="Arial" w:hAnsi="Arial" w:cs="Arial"/>
          <w:sz w:val="20"/>
        </w:rPr>
        <w:t>–</w:t>
      </w:r>
    </w:p>
    <w:p w14:paraId="61EE9772" w14:textId="328F5895" w:rsidR="005C7620" w:rsidRDefault="005C7620">
      <w:pPr>
        <w:numPr>
          <w:ilvl w:val="0"/>
          <w:numId w:val="63"/>
        </w:numPr>
        <w:ind w:left="357" w:hanging="357"/>
        <w:jc w:val="both"/>
        <w:rPr>
          <w:rFonts w:ascii="Arial" w:hAnsi="Arial" w:cs="Arial"/>
          <w:sz w:val="20"/>
          <w:szCs w:val="20"/>
        </w:rPr>
      </w:pPr>
      <w:bookmarkStart w:id="1207"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208" w:name="_Toc514752900"/>
      <w:bookmarkEnd w:id="1207"/>
    </w:p>
    <w:p w14:paraId="7AC259DE" w14:textId="7692C42B"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w:t>
      </w:r>
      <w:r w:rsidR="00366998" w:rsidRPr="00A31FFA">
        <w:rPr>
          <w:rFonts w:ascii="Arial" w:hAnsi="Arial" w:cs="Arial"/>
          <w:sz w:val="20"/>
        </w:rPr>
        <w:t>–</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03208AEB" w:rsidR="00D60B6A" w:rsidRDefault="00D60B6A" w:rsidP="00D60B6A">
      <w:pPr>
        <w:rPr>
          <w:rFonts w:ascii="Arial" w:hAnsi="Arial" w:cs="Arial"/>
          <w:sz w:val="20"/>
        </w:rPr>
      </w:pPr>
      <w:r>
        <w:rPr>
          <w:rFonts w:ascii="Arial" w:hAnsi="Arial" w:cs="Arial"/>
          <w:sz w:val="20"/>
        </w:rPr>
        <w:t>If a warrant or copy is produced, the magistrate must order</w:t>
      </w:r>
      <w:r w:rsidR="00366998" w:rsidRPr="00A31FFA">
        <w:rPr>
          <w:rFonts w:ascii="Arial" w:hAnsi="Arial" w:cs="Arial"/>
          <w:sz w:val="20"/>
        </w:rPr>
        <w:t>–</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09DF2594"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r w:rsidR="00366998" w:rsidRPr="00A31FFA">
        <w:rPr>
          <w:rFonts w:ascii="Arial" w:hAnsi="Arial" w:cs="Arial"/>
          <w:sz w:val="20"/>
        </w:rPr>
        <w:t>–</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209" w:name="_Toc514752904"/>
      <w:bookmarkEnd w:id="1208"/>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6"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209"/>
    <w:p w14:paraId="4C4C39D9" w14:textId="77777777" w:rsidR="00B7111B" w:rsidRDefault="00B7111B" w:rsidP="00B7111B">
      <w:pPr>
        <w:rPr>
          <w:rFonts w:ascii="Arial" w:hAnsi="Arial" w:cs="Arial"/>
          <w:sz w:val="20"/>
        </w:rPr>
      </w:pPr>
    </w:p>
    <w:p w14:paraId="0AAA31CA" w14:textId="21D5C1DF" w:rsidR="008B692E" w:rsidRDefault="008B692E" w:rsidP="008B692E">
      <w:pPr>
        <w:pStyle w:val="Heading2"/>
        <w:widowControl/>
        <w:tabs>
          <w:tab w:val="left" w:pos="567"/>
        </w:tabs>
        <w:spacing w:line="240" w:lineRule="auto"/>
        <w:rPr>
          <w:rFonts w:ascii="Arial" w:hAnsi="Arial" w:cs="Arial"/>
          <w:b/>
          <w:bCs/>
        </w:rPr>
      </w:pPr>
      <w:bookmarkStart w:id="1210" w:name="_3.14_The_Child"/>
      <w:bookmarkEnd w:id="1210"/>
      <w:r>
        <w:rPr>
          <w:rFonts w:ascii="Arial" w:hAnsi="Arial" w:cs="Arial"/>
          <w:b/>
          <w:bCs/>
        </w:rPr>
        <w:t>3.14</w:t>
      </w:r>
      <w:r>
        <w:rPr>
          <w:rFonts w:ascii="Arial" w:hAnsi="Arial" w:cs="Arial"/>
          <w:b/>
          <w:bCs/>
        </w:rPr>
        <w:tab/>
        <w:t>Victorian Civil and Administrative Tribunal’s child protection jurisdiction</w:t>
      </w:r>
    </w:p>
    <w:p w14:paraId="74F68AD7" w14:textId="77777777" w:rsidR="00BA2C61" w:rsidRDefault="00BA2C61" w:rsidP="00BA2C61">
      <w:pPr>
        <w:rPr>
          <w:rFonts w:ascii="Arial" w:hAnsi="Arial" w:cs="Arial"/>
          <w:sz w:val="20"/>
        </w:rPr>
      </w:pPr>
    </w:p>
    <w:p w14:paraId="19B3AFA3" w14:textId="6C821A71" w:rsidR="00BA2C61" w:rsidRDefault="00BA2C61" w:rsidP="00BA2C61">
      <w:pPr>
        <w:jc w:val="both"/>
        <w:rPr>
          <w:rFonts w:ascii="Arial" w:hAnsi="Arial" w:cs="Arial"/>
          <w:sz w:val="20"/>
          <w:szCs w:val="20"/>
        </w:rPr>
      </w:pPr>
      <w:r>
        <w:rPr>
          <w:rFonts w:ascii="Arial" w:hAnsi="Arial" w:cs="Arial"/>
          <w:sz w:val="20"/>
        </w:rPr>
        <w:t xml:space="preserve">Section </w:t>
      </w:r>
      <w:r w:rsidR="008B692E">
        <w:rPr>
          <w:rFonts w:ascii="Arial" w:hAnsi="Arial" w:cs="Arial"/>
          <w:sz w:val="20"/>
        </w:rPr>
        <w:t xml:space="preserve">333 </w:t>
      </w:r>
      <w:r>
        <w:rPr>
          <w:rFonts w:ascii="Arial" w:hAnsi="Arial" w:cs="Arial"/>
          <w:sz w:val="20"/>
        </w:rPr>
        <w:t>of the</w:t>
      </w:r>
      <w:r w:rsidRPr="008B692E">
        <w:rPr>
          <w:rFonts w:ascii="Arial" w:hAnsi="Arial" w:cs="Arial"/>
          <w:sz w:val="20"/>
        </w:rPr>
        <w:t xml:space="preserve"> </w:t>
      </w:r>
      <w:r w:rsidR="008B692E" w:rsidRPr="008B692E">
        <w:rPr>
          <w:rFonts w:ascii="Arial" w:hAnsi="Arial" w:cs="Arial"/>
          <w:sz w:val="20"/>
        </w:rPr>
        <w:t xml:space="preserve">CYFA </w:t>
      </w:r>
      <w:r>
        <w:rPr>
          <w:rFonts w:ascii="Arial" w:hAnsi="Arial" w:cs="Arial"/>
          <w:sz w:val="20"/>
        </w:rPr>
        <w:t>provides</w:t>
      </w:r>
      <w:r w:rsidR="008B692E">
        <w:rPr>
          <w:rFonts w:ascii="Arial" w:hAnsi="Arial" w:cs="Arial"/>
          <w:sz w:val="20"/>
        </w:rPr>
        <w:t>:</w:t>
      </w:r>
    </w:p>
    <w:p w14:paraId="71309F93" w14:textId="1E0A5ACB" w:rsidR="008B692E" w:rsidRPr="008B692E" w:rsidRDefault="008B692E">
      <w:pPr>
        <w:pStyle w:val="ListParagraph"/>
        <w:numPr>
          <w:ilvl w:val="0"/>
          <w:numId w:val="144"/>
        </w:numPr>
        <w:tabs>
          <w:tab w:val="num" w:pos="720"/>
        </w:tabs>
        <w:spacing w:before="60"/>
        <w:jc w:val="both"/>
        <w:rPr>
          <w:rFonts w:ascii="Arial" w:hAnsi="Arial" w:cs="Arial"/>
          <w:sz w:val="20"/>
        </w:rPr>
      </w:pPr>
      <w:r w:rsidRPr="008B692E">
        <w:rPr>
          <w:rFonts w:ascii="Arial" w:hAnsi="Arial" w:cs="Arial"/>
          <w:sz w:val="20"/>
        </w:rPr>
        <w:t>“</w:t>
      </w:r>
      <w:r>
        <w:rPr>
          <w:rFonts w:ascii="Arial" w:hAnsi="Arial" w:cs="Arial"/>
          <w:sz w:val="20"/>
        </w:rPr>
        <w:t>A child or a child’s parent may apply to the Victorian Civil and Administrative Tribunal [VCAT] for review of–</w:t>
      </w:r>
    </w:p>
    <w:p w14:paraId="7166C9B4" w14:textId="503359F5"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a decision contained in a case plan prepared in respect of the child under section 168 or any other decision made by the Secretary concerning the child</w:t>
      </w:r>
      <w:r w:rsidRPr="008B692E">
        <w:rPr>
          <w:rFonts w:ascii="Arial" w:hAnsi="Arial" w:cs="Arial"/>
          <w:sz w:val="20"/>
        </w:rPr>
        <w:t xml:space="preserve">; </w:t>
      </w:r>
      <w:r>
        <w:rPr>
          <w:rFonts w:ascii="Arial" w:hAnsi="Arial" w:cs="Arial"/>
          <w:sz w:val="20"/>
        </w:rPr>
        <w:t>or</w:t>
      </w:r>
    </w:p>
    <w:p w14:paraId="48C53A67" w14:textId="0324C07C"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without limiting paragraph (a), a decision contained in a case plan prepared in respect of the child under section 168 by the principal officer of an Aboriginal agency or any other decision made by the principal officer concerning the child under an authorisation under section 18.</w:t>
      </w:r>
    </w:p>
    <w:p w14:paraId="528D4A6B" w14:textId="0A98480B"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An application for review must be made within 28 days after the later of–</w:t>
      </w:r>
    </w:p>
    <w:p w14:paraId="084C44BC" w14:textId="6EE4A43A"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t>the day on which the decision is made;</w:t>
      </w:r>
    </w:p>
    <w:p w14:paraId="686E03B5" w14:textId="1157EE03"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lastRenderedPageBreak/>
        <w:t xml:space="preserve">if, under the </w:t>
      </w:r>
      <w:r w:rsidRPr="00782546">
        <w:rPr>
          <w:rFonts w:ascii="Arial" w:hAnsi="Arial" w:cs="Arial"/>
          <w:b/>
          <w:bCs/>
          <w:sz w:val="20"/>
        </w:rPr>
        <w:t>Victorian Civil and Administrative Tribunal Act 1998</w:t>
      </w:r>
      <w:r>
        <w:rPr>
          <w:rFonts w:ascii="Arial" w:hAnsi="Arial" w:cs="Arial"/>
          <w:sz w:val="20"/>
        </w:rPr>
        <w:t>, the person requests a statement of reasons for the decision, the day on which the statement of reasons is given to the person or the person is informed under section 46(5) of that Act that a statement of reasons will not be given.</w:t>
      </w:r>
    </w:p>
    <w:p w14:paraId="4BD08EBF" w14:textId="66AE7F86"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Before a person is entitled to apply to VCAT for the review of a decision referred to in subsection (1), the person must have exhausted all available avenues for the review of the decision under section 331 [internal review of decision of Secretary DFFH] or section 332 [internal review of decision of principal officer of Aboriginal agency].</w:t>
      </w:r>
    </w:p>
    <w:p w14:paraId="5D3EC320" w14:textId="77777777" w:rsidR="00782546" w:rsidRDefault="00782546" w:rsidP="005A5673">
      <w:pPr>
        <w:rPr>
          <w:rFonts w:ascii="Arial" w:hAnsi="Arial" w:cs="Arial"/>
          <w:sz w:val="20"/>
        </w:rPr>
      </w:pPr>
    </w:p>
    <w:p w14:paraId="45EF9272" w14:textId="273F55FC" w:rsidR="003C559F" w:rsidRDefault="00B05CA3" w:rsidP="00A97CDB">
      <w:pPr>
        <w:jc w:val="both"/>
        <w:rPr>
          <w:rFonts w:ascii="Arial" w:hAnsi="Arial" w:cs="Arial"/>
          <w:sz w:val="20"/>
        </w:rPr>
      </w:pPr>
      <w:bookmarkStart w:id="1211"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DA7F88">
        <w:rPr>
          <w:rFonts w:ascii="Arial" w:hAnsi="Arial" w:cs="Arial"/>
          <w:sz w:val="20"/>
        </w:rPr>
        <w:t xml:space="preserve">unrepresented </w:t>
      </w:r>
      <w:r>
        <w:rPr>
          <w:rFonts w:ascii="Arial" w:hAnsi="Arial" w:cs="Arial"/>
          <w:sz w:val="20"/>
        </w:rPr>
        <w:t xml:space="preserve">applicant </w:t>
      </w:r>
      <w:r w:rsidR="003C559F">
        <w:rPr>
          <w:rFonts w:ascii="Arial" w:hAnsi="Arial" w:cs="Arial"/>
          <w:sz w:val="20"/>
        </w:rPr>
        <w:t xml:space="preserve">is the father of 3 children. He and the children’s mother had separated in 2014, the </w:t>
      </w:r>
      <w:r w:rsidR="00A9017E">
        <w:rPr>
          <w:rFonts w:ascii="Arial" w:hAnsi="Arial" w:cs="Arial"/>
          <w:sz w:val="20"/>
        </w:rPr>
        <w:t>mother</w:t>
      </w:r>
      <w:r w:rsidR="003C559F">
        <w:rPr>
          <w:rFonts w:ascii="Arial" w:hAnsi="Arial" w:cs="Arial"/>
          <w:sz w:val="20"/>
        </w:rPr>
        <w:t xml:space="preserve"> leaving the family home and taking the children with her. The Federal Circuit Court had made orders, including for shared parenting responsibilities and for the children to spend time with the father and mother. </w:t>
      </w:r>
      <w:r w:rsidR="00A9017E">
        <w:rPr>
          <w:rFonts w:ascii="Arial" w:hAnsi="Arial" w:cs="Arial"/>
          <w:sz w:val="20"/>
        </w:rPr>
        <w:t xml:space="preserve">In October 2018 child protection practitioners had removed the children – then aged 15,12 &amp; 11 – from </w:t>
      </w:r>
      <w:r w:rsidR="00DA7F88">
        <w:rPr>
          <w:rFonts w:ascii="Arial" w:hAnsi="Arial" w:cs="Arial"/>
          <w:sz w:val="20"/>
        </w:rPr>
        <w:t>the applicant’s</w:t>
      </w:r>
      <w:r w:rsidR="00A9017E">
        <w:rPr>
          <w:rFonts w:ascii="Arial" w:hAnsi="Arial" w:cs="Arial"/>
          <w:sz w:val="20"/>
        </w:rPr>
        <w:t xml:space="preserve"> care and ceased his contact with them but </w:t>
      </w:r>
      <w:r w:rsidR="003674F8">
        <w:rPr>
          <w:rFonts w:ascii="Arial" w:hAnsi="Arial" w:cs="Arial"/>
          <w:sz w:val="20"/>
        </w:rPr>
        <w:t xml:space="preserve">the Department had not </w:t>
      </w:r>
      <w:r w:rsidR="00A9017E">
        <w:rPr>
          <w:rFonts w:ascii="Arial" w:hAnsi="Arial" w:cs="Arial"/>
          <w:sz w:val="20"/>
        </w:rPr>
        <w:t>commenced</w:t>
      </w:r>
      <w:r w:rsidR="003674F8">
        <w:rPr>
          <w:rFonts w:ascii="Arial" w:hAnsi="Arial" w:cs="Arial"/>
          <w:sz w:val="20"/>
        </w:rPr>
        <w:t xml:space="preserve"> child protection proceedings </w:t>
      </w:r>
      <w:r w:rsidR="00A9017E">
        <w:rPr>
          <w:rFonts w:ascii="Arial" w:hAnsi="Arial" w:cs="Arial"/>
          <w:sz w:val="20"/>
        </w:rPr>
        <w:t>in the Children’s Court.</w:t>
      </w:r>
      <w:r w:rsidR="003674F8">
        <w:rPr>
          <w:rFonts w:ascii="Arial" w:hAnsi="Arial" w:cs="Arial"/>
          <w:sz w:val="20"/>
        </w:rPr>
        <w:t xml:space="preserve"> </w:t>
      </w:r>
      <w:r w:rsidR="005A5673">
        <w:rPr>
          <w:rFonts w:ascii="Arial" w:hAnsi="Arial" w:cs="Arial"/>
          <w:sz w:val="20"/>
        </w:rPr>
        <w:t>One</w:t>
      </w:r>
      <w:r w:rsidR="003674F8">
        <w:rPr>
          <w:rFonts w:ascii="Arial" w:hAnsi="Arial" w:cs="Arial"/>
          <w:sz w:val="20"/>
        </w:rPr>
        <w:t xml:space="preserve"> effect of the Department’s actions – </w:t>
      </w:r>
      <w:r w:rsidR="005A5673">
        <w:rPr>
          <w:rFonts w:ascii="Arial" w:hAnsi="Arial" w:cs="Arial"/>
          <w:sz w:val="20"/>
        </w:rPr>
        <w:t xml:space="preserve">some of </w:t>
      </w:r>
      <w:r w:rsidR="003674F8">
        <w:rPr>
          <w:rFonts w:ascii="Arial" w:hAnsi="Arial" w:cs="Arial"/>
          <w:sz w:val="20"/>
        </w:rPr>
        <w:t>which the Department’s internal review ultimately conceded w</w:t>
      </w:r>
      <w:r w:rsidR="005A5673">
        <w:rPr>
          <w:rFonts w:ascii="Arial" w:hAnsi="Arial" w:cs="Arial"/>
          <w:sz w:val="20"/>
        </w:rPr>
        <w:t>ere</w:t>
      </w:r>
      <w:r w:rsidR="003674F8">
        <w:rPr>
          <w:rFonts w:ascii="Arial" w:hAnsi="Arial" w:cs="Arial"/>
          <w:sz w:val="20"/>
        </w:rPr>
        <w:t xml:space="preserve"> </w:t>
      </w:r>
      <w:r w:rsidR="005A5673">
        <w:rPr>
          <w:rFonts w:ascii="Arial" w:hAnsi="Arial" w:cs="Arial"/>
          <w:sz w:val="20"/>
        </w:rPr>
        <w:t>invalid</w:t>
      </w:r>
      <w:r w:rsidR="003674F8">
        <w:rPr>
          <w:rFonts w:ascii="Arial" w:hAnsi="Arial" w:cs="Arial"/>
          <w:sz w:val="20"/>
        </w:rPr>
        <w:t xml:space="preserve"> – was that the younger two children’s contact with INP was removed for two weeks </w:t>
      </w:r>
      <w:r w:rsidR="005A5673">
        <w:rPr>
          <w:rFonts w:ascii="Arial" w:hAnsi="Arial" w:cs="Arial"/>
          <w:sz w:val="20"/>
        </w:rPr>
        <w:t>and</w:t>
      </w:r>
      <w:r w:rsidR="003674F8">
        <w:rPr>
          <w:rFonts w:ascii="Arial" w:hAnsi="Arial" w:cs="Arial"/>
          <w:sz w:val="20"/>
        </w:rPr>
        <w:t xml:space="preserve"> INP understood that he could only contact the oldest child in or about August 2019 after the completion of the internal review.</w:t>
      </w:r>
    </w:p>
    <w:p w14:paraId="19B3628D" w14:textId="3C997A3A" w:rsidR="003C559F" w:rsidRDefault="00A97CDB" w:rsidP="00A97CDB">
      <w:pPr>
        <w:spacing w:before="120"/>
        <w:jc w:val="both"/>
        <w:rPr>
          <w:rFonts w:ascii="Arial" w:hAnsi="Arial" w:cs="Arial"/>
          <w:sz w:val="20"/>
        </w:rPr>
      </w:pPr>
      <w:bookmarkStart w:id="1212" w:name="_Hlk190866585"/>
      <w:bookmarkEnd w:id="1211"/>
      <w:r>
        <w:rPr>
          <w:rFonts w:ascii="Arial" w:hAnsi="Arial" w:cs="Arial"/>
          <w:sz w:val="20"/>
        </w:rPr>
        <w:t xml:space="preserve">INP had sought a review by VCAT of </w:t>
      </w:r>
      <w:r w:rsidR="005A5673">
        <w:rPr>
          <w:rFonts w:ascii="Arial" w:hAnsi="Arial" w:cs="Arial"/>
          <w:sz w:val="20"/>
        </w:rPr>
        <w:t>five</w:t>
      </w:r>
      <w:r>
        <w:rPr>
          <w:rFonts w:ascii="Arial" w:hAnsi="Arial" w:cs="Arial"/>
          <w:sz w:val="20"/>
        </w:rPr>
        <w:t xml:space="preserve"> decisions made by </w:t>
      </w:r>
      <w:r w:rsidR="005A5673">
        <w:rPr>
          <w:rFonts w:ascii="Arial" w:hAnsi="Arial" w:cs="Arial"/>
          <w:sz w:val="20"/>
        </w:rPr>
        <w:t xml:space="preserve">the Department’s </w:t>
      </w:r>
      <w:r>
        <w:rPr>
          <w:rFonts w:ascii="Arial" w:hAnsi="Arial" w:cs="Arial"/>
          <w:sz w:val="20"/>
        </w:rPr>
        <w:t xml:space="preserve">child protection practitioners. </w:t>
      </w:r>
      <w:r w:rsidR="005A5673" w:rsidRPr="00B05CA3">
        <w:rPr>
          <w:rFonts w:ascii="Arial" w:hAnsi="Arial" w:cs="Arial"/>
          <w:sz w:val="20"/>
        </w:rPr>
        <w:t>VCAT</w:t>
      </w:r>
      <w:r w:rsidR="005A5673">
        <w:rPr>
          <w:rFonts w:ascii="Arial" w:hAnsi="Arial" w:cs="Arial"/>
          <w:sz w:val="20"/>
        </w:rPr>
        <w:t xml:space="preserve"> had </w:t>
      </w:r>
      <w:r w:rsidR="005A5673" w:rsidRPr="00B05CA3">
        <w:rPr>
          <w:rFonts w:ascii="Arial" w:hAnsi="Arial" w:cs="Arial"/>
          <w:sz w:val="20"/>
        </w:rPr>
        <w:t>summarily dismiss</w:t>
      </w:r>
      <w:r w:rsidR="005A5673">
        <w:rPr>
          <w:rFonts w:ascii="Arial" w:hAnsi="Arial" w:cs="Arial"/>
          <w:sz w:val="20"/>
        </w:rPr>
        <w:t>ed</w:t>
      </w:r>
      <w:r w:rsidR="005A5673" w:rsidRPr="00B05CA3">
        <w:rPr>
          <w:rFonts w:ascii="Arial" w:hAnsi="Arial" w:cs="Arial"/>
          <w:sz w:val="20"/>
        </w:rPr>
        <w:t xml:space="preserve"> </w:t>
      </w:r>
      <w:r w:rsidR="005A5673">
        <w:rPr>
          <w:rFonts w:ascii="Arial" w:hAnsi="Arial" w:cs="Arial"/>
          <w:sz w:val="20"/>
        </w:rPr>
        <w:t xml:space="preserve">the </w:t>
      </w:r>
      <w:r w:rsidR="005A5673" w:rsidRPr="00B05CA3">
        <w:rPr>
          <w:rFonts w:ascii="Arial" w:hAnsi="Arial" w:cs="Arial"/>
          <w:sz w:val="20"/>
        </w:rPr>
        <w:t>proceeding as misconceived and lacking in substance</w:t>
      </w:r>
      <w:r w:rsidR="005A5673">
        <w:rPr>
          <w:rFonts w:ascii="Arial" w:hAnsi="Arial" w:cs="Arial"/>
          <w:sz w:val="20"/>
        </w:rPr>
        <w:t xml:space="preserve">. In granting leave to appeal and allowing INP’s appeal, </w:t>
      </w:r>
      <w:r>
        <w:rPr>
          <w:rFonts w:ascii="Arial" w:hAnsi="Arial" w:cs="Arial"/>
          <w:sz w:val="20"/>
        </w:rPr>
        <w:t xml:space="preserve">Ginnane J held </w:t>
      </w:r>
      <w:bookmarkEnd w:id="1212"/>
      <w:r>
        <w:rPr>
          <w:rFonts w:ascii="Arial" w:hAnsi="Arial" w:cs="Arial"/>
          <w:sz w:val="20"/>
        </w:rPr>
        <w:t>at [3]:</w:t>
      </w:r>
    </w:p>
    <w:p w14:paraId="1329175F" w14:textId="26226C12" w:rsidR="00A97CDB" w:rsidRDefault="00A97CDB" w:rsidP="00A97CDB">
      <w:pPr>
        <w:spacing w:before="60"/>
        <w:ind w:left="567" w:right="567"/>
        <w:jc w:val="both"/>
        <w:rPr>
          <w:rFonts w:ascii="Arial" w:hAnsi="Arial" w:cs="Arial"/>
          <w:sz w:val="20"/>
        </w:rPr>
      </w:pPr>
      <w:r>
        <w:rPr>
          <w:rFonts w:ascii="Arial" w:hAnsi="Arial" w:cs="Arial"/>
          <w:sz w:val="20"/>
        </w:rPr>
        <w:t xml:space="preserve">“INP is </w:t>
      </w:r>
      <w:r w:rsidR="00E1607C" w:rsidRPr="00E1607C">
        <w:rPr>
          <w:rFonts w:ascii="Arial" w:hAnsi="Arial" w:cs="Arial"/>
          <w:sz w:val="20"/>
        </w:rPr>
        <w:t>granted leave to appeal on a number of his proposed grounds of appeal and VCAT’s order is set aside on grounds that include that his application for declarations has an arguable utility being to restore his reputation and assist his future relationships with his children and because this was not a case for summary dismissal. Declarations are discretionary remedies and the decision whether to grant them will be affected by the case presented, including the evidence and submissions in support of it. INP had not presented his complete case. He sought a further statement of reasons for the five decisions and a s</w:t>
      </w:r>
      <w:r>
        <w:rPr>
          <w:rFonts w:ascii="Arial" w:hAnsi="Arial" w:cs="Arial"/>
          <w:sz w:val="20"/>
        </w:rPr>
        <w:t> </w:t>
      </w:r>
      <w:r w:rsidR="00E1607C" w:rsidRPr="00E1607C">
        <w:rPr>
          <w:rFonts w:ascii="Arial" w:hAnsi="Arial" w:cs="Arial"/>
          <w:sz w:val="20"/>
        </w:rPr>
        <w:t>49 statement. The Secretary intended to present her submissions and any evidence about the best interests of the children only at a final hearing, if one occurred. I consider that the Tribunal’s application of the best interests of the children principle to the outcome of the review could only have occurred after INP had presented his complete case. The issues of whether he was entitled to further reasons and a s 49 statement, which he raised at the start of the VCAT hearing, should have been decided before the hearing proceeded. In addition, the Tribunal did not give proper consideration to INP’s and the children’s Charter rights, perhaps because INP had not presented his full case.</w:t>
      </w:r>
      <w:r>
        <w:rPr>
          <w:rFonts w:ascii="Arial" w:hAnsi="Arial" w:cs="Arial"/>
          <w:sz w:val="20"/>
        </w:rPr>
        <w:t>”</w:t>
      </w:r>
    </w:p>
    <w:p w14:paraId="7E5A5614" w14:textId="3DF4495E" w:rsidR="00A97CDB" w:rsidRDefault="00DA7F88" w:rsidP="00F31B8B">
      <w:pPr>
        <w:spacing w:before="120"/>
        <w:jc w:val="both"/>
        <w:rPr>
          <w:rFonts w:ascii="Arial" w:hAnsi="Arial" w:cs="Arial"/>
          <w:sz w:val="20"/>
        </w:rPr>
      </w:pPr>
      <w:r>
        <w:rPr>
          <w:rFonts w:ascii="Arial" w:hAnsi="Arial" w:cs="Arial"/>
          <w:sz w:val="20"/>
        </w:rPr>
        <w:t>H</w:t>
      </w:r>
      <w:r w:rsidR="00A97CDB">
        <w:rPr>
          <w:rFonts w:ascii="Arial" w:hAnsi="Arial" w:cs="Arial"/>
          <w:sz w:val="20"/>
        </w:rPr>
        <w:t xml:space="preserve">is Honour </w:t>
      </w:r>
      <w:r w:rsidR="00A97CDB" w:rsidRPr="00A97CDB">
        <w:rPr>
          <w:rFonts w:ascii="Arial" w:hAnsi="Arial" w:cs="Arial"/>
          <w:sz w:val="20"/>
        </w:rPr>
        <w:t>remit</w:t>
      </w:r>
      <w:r w:rsidR="005A5673">
        <w:rPr>
          <w:rFonts w:ascii="Arial" w:hAnsi="Arial" w:cs="Arial"/>
          <w:sz w:val="20"/>
        </w:rPr>
        <w:t>ted</w:t>
      </w:r>
      <w:r w:rsidR="00A97CDB" w:rsidRPr="00A97CDB">
        <w:rPr>
          <w:rFonts w:ascii="Arial" w:hAnsi="Arial" w:cs="Arial"/>
          <w:sz w:val="20"/>
        </w:rPr>
        <w:t xml:space="preserve"> INP’s proceeding to VCAT for a hearing by a differently constituted Tribunal in accordance with law and </w:t>
      </w:r>
      <w:r w:rsidR="005A5673">
        <w:rPr>
          <w:rFonts w:ascii="Arial" w:hAnsi="Arial" w:cs="Arial"/>
          <w:sz w:val="20"/>
        </w:rPr>
        <w:t>his Honour’s</w:t>
      </w:r>
      <w:r w:rsidR="00A97CDB" w:rsidRPr="00A97CDB">
        <w:rPr>
          <w:rFonts w:ascii="Arial" w:hAnsi="Arial" w:cs="Arial"/>
          <w:sz w:val="20"/>
        </w:rPr>
        <w:t xml:space="preserve"> reasons for judgment.</w:t>
      </w:r>
      <w:r w:rsidR="005A5673">
        <w:rPr>
          <w:rFonts w:ascii="Arial" w:hAnsi="Arial" w:cs="Arial"/>
          <w:sz w:val="20"/>
        </w:rPr>
        <w:t xml:space="preserve"> In relation to </w:t>
      </w:r>
      <w:r>
        <w:rPr>
          <w:rFonts w:ascii="Arial" w:hAnsi="Arial" w:cs="Arial"/>
          <w:sz w:val="20"/>
        </w:rPr>
        <w:t xml:space="preserve">his Honour’s findings on </w:t>
      </w:r>
      <w:r w:rsidR="00677975">
        <w:rPr>
          <w:rFonts w:ascii="Arial" w:hAnsi="Arial" w:cs="Arial"/>
          <w:sz w:val="20"/>
        </w:rPr>
        <w:t xml:space="preserve">the Charter rights of </w:t>
      </w:r>
      <w:r w:rsidR="005A5673">
        <w:rPr>
          <w:rFonts w:ascii="Arial" w:hAnsi="Arial" w:cs="Arial"/>
          <w:sz w:val="20"/>
        </w:rPr>
        <w:t xml:space="preserve">INP and the children see </w:t>
      </w:r>
      <w:r w:rsidR="005A5673" w:rsidRPr="00B815DA">
        <w:rPr>
          <w:rFonts w:ascii="Arial" w:hAnsi="Arial" w:cs="Arial"/>
          <w:b/>
          <w:bCs/>
          <w:sz w:val="20"/>
          <w:shd w:val="clear" w:color="auto" w:fill="C5E0B3"/>
        </w:rPr>
        <w:t>section</w:t>
      </w:r>
      <w:r w:rsidR="00F31B8B">
        <w:rPr>
          <w:rFonts w:ascii="Arial" w:hAnsi="Arial" w:cs="Arial"/>
          <w:b/>
          <w:bCs/>
          <w:sz w:val="20"/>
          <w:shd w:val="clear" w:color="auto" w:fill="C5E0B3"/>
        </w:rPr>
        <w:t xml:space="preserve"> 1.</w:t>
      </w:r>
      <w:r w:rsidR="00677975">
        <w:rPr>
          <w:rFonts w:ascii="Arial" w:hAnsi="Arial" w:cs="Arial"/>
          <w:b/>
          <w:bCs/>
          <w:sz w:val="20"/>
          <w:shd w:val="clear" w:color="auto" w:fill="C5E0B3"/>
        </w:rPr>
        <w:t>5</w:t>
      </w:r>
      <w:r w:rsidR="00F31B8B">
        <w:rPr>
          <w:rFonts w:ascii="Arial" w:hAnsi="Arial" w:cs="Arial"/>
          <w:b/>
          <w:bCs/>
          <w:sz w:val="20"/>
          <w:shd w:val="clear" w:color="auto" w:fill="C5E0B3"/>
        </w:rPr>
        <w:t>.3</w:t>
      </w:r>
      <w:r w:rsidR="00F31B8B">
        <w:rPr>
          <w:rFonts w:ascii="Arial" w:hAnsi="Arial" w:cs="Arial"/>
          <w:sz w:val="20"/>
        </w:rPr>
        <w:t>.</w:t>
      </w:r>
    </w:p>
    <w:p w14:paraId="2E3CCE21" w14:textId="77777777" w:rsidR="00B05CA3" w:rsidRPr="00B7111B" w:rsidRDefault="00B05CA3" w:rsidP="00677975">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8"/>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76FA" w14:textId="77777777" w:rsidR="00273346" w:rsidRDefault="00273346">
      <w:r>
        <w:separator/>
      </w:r>
    </w:p>
  </w:endnote>
  <w:endnote w:type="continuationSeparator" w:id="0">
    <w:p w14:paraId="28D31E9E" w14:textId="77777777" w:rsidR="00273346" w:rsidRDefault="002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7D5F1F8D"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5C05B2">
      <w:rPr>
        <w:rStyle w:val="PageNumber"/>
        <w:rFonts w:ascii="Arial" w:hAnsi="Arial" w:cs="Arial"/>
        <w:b/>
        <w:bCs/>
        <w:color w:val="000000"/>
        <w:sz w:val="16"/>
      </w:rPr>
      <w:t>04</w:t>
    </w:r>
    <w:r w:rsidR="0060684A">
      <w:rPr>
        <w:rStyle w:val="PageNumber"/>
        <w:rFonts w:ascii="Arial" w:hAnsi="Arial" w:cs="Arial"/>
        <w:b/>
        <w:bCs/>
        <w:color w:val="000000"/>
        <w:sz w:val="16"/>
      </w:rPr>
      <w:t xml:space="preserve"> </w:t>
    </w:r>
    <w:r w:rsidR="00DA19F7">
      <w:rPr>
        <w:rStyle w:val="PageNumber"/>
        <w:rFonts w:ascii="Arial" w:hAnsi="Arial" w:cs="Arial"/>
        <w:b/>
        <w:bCs/>
        <w:color w:val="000000"/>
        <w:sz w:val="16"/>
      </w:rPr>
      <w:t>September</w:t>
    </w:r>
    <w:r w:rsidR="00A56007">
      <w:rPr>
        <w:rStyle w:val="PageNumber"/>
        <w:rFonts w:ascii="Arial" w:hAnsi="Arial" w:cs="Arial"/>
        <w:b/>
        <w:bCs/>
        <w:color w:val="000000"/>
        <w:sz w:val="16"/>
      </w:rPr>
      <w:t xml:space="preserve"> 2025</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B65FB" w14:textId="77777777" w:rsidR="00273346" w:rsidRDefault="00273346">
      <w:r>
        <w:separator/>
      </w:r>
    </w:p>
  </w:footnote>
  <w:footnote w:type="continuationSeparator" w:id="0">
    <w:p w14:paraId="76C15390" w14:textId="77777777" w:rsidR="00273346" w:rsidRDefault="002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A4118A"/>
    <w:multiLevelType w:val="multilevel"/>
    <w:tmpl w:val="7AD819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D5D5C24"/>
    <w:multiLevelType w:val="hybridMultilevel"/>
    <w:tmpl w:val="7C568462"/>
    <w:lvl w:ilvl="0" w:tplc="2C0E9B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414B25"/>
    <w:multiLevelType w:val="hybridMultilevel"/>
    <w:tmpl w:val="FB2C616C"/>
    <w:lvl w:ilvl="0" w:tplc="1834DADE">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9D2AB4"/>
    <w:multiLevelType w:val="hybridMultilevel"/>
    <w:tmpl w:val="550C29BA"/>
    <w:lvl w:ilvl="0" w:tplc="FFFFFFFF">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2374A54"/>
    <w:multiLevelType w:val="hybridMultilevel"/>
    <w:tmpl w:val="702E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6" w15:restartNumberingAfterBreak="0">
    <w:nsid w:val="234B2542"/>
    <w:multiLevelType w:val="hybridMultilevel"/>
    <w:tmpl w:val="F9D04804"/>
    <w:lvl w:ilvl="0" w:tplc="C916F59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7"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0"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97826C7"/>
    <w:multiLevelType w:val="hybridMultilevel"/>
    <w:tmpl w:val="A66A9A06"/>
    <w:lvl w:ilvl="0" w:tplc="5E3212A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A140ECC"/>
    <w:multiLevelType w:val="hybridMultilevel"/>
    <w:tmpl w:val="1F067648"/>
    <w:lvl w:ilvl="0" w:tplc="189C769A">
      <w:start w:val="1"/>
      <w:numFmt w:val="decimal"/>
      <w:lvlText w:val="(%1)"/>
      <w:lvlJc w:val="left"/>
      <w:pPr>
        <w:ind w:left="2145"/>
      </w:pPr>
      <w:rPr>
        <w:rFonts w:ascii="Arial" w:hAnsi="Arial" w:cs="Book Antiqua" w:hint="default"/>
        <w:b w:val="0"/>
        <w:i w:val="0"/>
        <w:strike w:val="0"/>
        <w:dstrike w:val="0"/>
        <w:color w:val="000000"/>
        <w:sz w:val="18"/>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A1E6CF3"/>
    <w:multiLevelType w:val="hybridMultilevel"/>
    <w:tmpl w:val="0C346596"/>
    <w:lvl w:ilvl="0" w:tplc="29027E08">
      <w:start w:val="2"/>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AC27F4D"/>
    <w:multiLevelType w:val="hybridMultilevel"/>
    <w:tmpl w:val="215A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9" w15:restartNumberingAfterBreak="0">
    <w:nsid w:val="2DB657EC"/>
    <w:multiLevelType w:val="hybridMultilevel"/>
    <w:tmpl w:val="8568478A"/>
    <w:lvl w:ilvl="0" w:tplc="E3DAD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6A4C53"/>
    <w:multiLevelType w:val="hybridMultilevel"/>
    <w:tmpl w:val="246CB9E2"/>
    <w:lvl w:ilvl="0" w:tplc="1C4E6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4" w15:restartNumberingAfterBreak="0">
    <w:nsid w:val="2F3959AF"/>
    <w:multiLevelType w:val="hybridMultilevel"/>
    <w:tmpl w:val="EFF63AFE"/>
    <w:lvl w:ilvl="0" w:tplc="B3DED8D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5"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6"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2302767"/>
    <w:multiLevelType w:val="hybridMultilevel"/>
    <w:tmpl w:val="24D2E302"/>
    <w:lvl w:ilvl="0" w:tplc="2EF6F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23B3837"/>
    <w:multiLevelType w:val="hybridMultilevel"/>
    <w:tmpl w:val="550C29BA"/>
    <w:lvl w:ilvl="0" w:tplc="2174C63A">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61"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2"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38D72C0"/>
    <w:multiLevelType w:val="hybridMultilevel"/>
    <w:tmpl w:val="260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4A67015"/>
    <w:multiLevelType w:val="hybridMultilevel"/>
    <w:tmpl w:val="6486DE16"/>
    <w:lvl w:ilvl="0" w:tplc="2940031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5B10BCA"/>
    <w:multiLevelType w:val="hybridMultilevel"/>
    <w:tmpl w:val="4FE0A926"/>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9B67C3C">
      <w:start w:val="37"/>
      <w:numFmt w:val="lowerRoman"/>
      <w:lvlText w:val="(%2)"/>
      <w:lvlJc w:val="left"/>
      <w:pPr>
        <w:ind w:left="1425" w:firstLine="0"/>
      </w:pPr>
      <w:rPr>
        <w:rFonts w:ascii="Arial" w:hAnsi="Arial" w:cs="Book Antiqua" w:hint="default"/>
        <w:b w:val="0"/>
        <w:i w:val="0"/>
        <w:strike w:val="0"/>
        <w:dstrike w:val="0"/>
        <w:color w:val="000000"/>
        <w:sz w:val="20"/>
        <w:szCs w:val="24"/>
        <w:u w:val="none" w:color="000000"/>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0"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2"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86A02C4"/>
    <w:multiLevelType w:val="hybridMultilevel"/>
    <w:tmpl w:val="31D415DC"/>
    <w:lvl w:ilvl="0" w:tplc="FAF4192C">
      <w:start w:val="1"/>
      <w:numFmt w:val="upp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6"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79"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0"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1"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2"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3"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84"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6"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8"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9" w15:restartNumberingAfterBreak="0">
    <w:nsid w:val="44715F1F"/>
    <w:multiLevelType w:val="hybridMultilevel"/>
    <w:tmpl w:val="D248A936"/>
    <w:lvl w:ilvl="0" w:tplc="CBF06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E37F08"/>
    <w:multiLevelType w:val="hybridMultilevel"/>
    <w:tmpl w:val="3D3C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2"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5B90095"/>
    <w:multiLevelType w:val="hybridMultilevel"/>
    <w:tmpl w:val="26B8ABE0"/>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7"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02"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5"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6" w15:restartNumberingAfterBreak="0">
    <w:nsid w:val="501E4C6B"/>
    <w:multiLevelType w:val="hybridMultilevel"/>
    <w:tmpl w:val="CF2EA5AE"/>
    <w:lvl w:ilvl="0" w:tplc="0FD832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09D64A4"/>
    <w:multiLevelType w:val="hybridMultilevel"/>
    <w:tmpl w:val="836411DA"/>
    <w:lvl w:ilvl="0" w:tplc="821A8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0"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11"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69566ED"/>
    <w:multiLevelType w:val="hybridMultilevel"/>
    <w:tmpl w:val="A3A0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0"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21"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2"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25"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7" w15:restartNumberingAfterBreak="0">
    <w:nsid w:val="63F466F9"/>
    <w:multiLevelType w:val="hybridMultilevel"/>
    <w:tmpl w:val="7438F2DA"/>
    <w:lvl w:ilvl="0" w:tplc="A768BE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9"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2"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5" w15:restartNumberingAfterBreak="0">
    <w:nsid w:val="680B325E"/>
    <w:multiLevelType w:val="hybridMultilevel"/>
    <w:tmpl w:val="0DA0EEC2"/>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9023212"/>
    <w:multiLevelType w:val="hybridMultilevel"/>
    <w:tmpl w:val="389C3C28"/>
    <w:lvl w:ilvl="0" w:tplc="DA04475A">
      <w:start w:val="1"/>
      <w:numFmt w:val="lowerRoman"/>
      <w:lvlText w:val="(%1)"/>
      <w:lvlJc w:val="left"/>
      <w:pPr>
        <w:ind w:left="1425" w:firstLine="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9"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0"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FED29F4"/>
    <w:multiLevelType w:val="hybridMultilevel"/>
    <w:tmpl w:val="704481CE"/>
    <w:lvl w:ilvl="0" w:tplc="203AA7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44"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47"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8" w15:restartNumberingAfterBreak="0">
    <w:nsid w:val="764D2C5C"/>
    <w:multiLevelType w:val="multilevel"/>
    <w:tmpl w:val="B0EA7408"/>
    <w:lvl w:ilvl="0">
      <w:start w:val="1"/>
      <w:numFmt w:val="decimal"/>
      <w:lvlText w:val="%1."/>
      <w:lvlJc w:val="left"/>
      <w:pPr>
        <w:tabs>
          <w:tab w:val="num" w:pos="720"/>
        </w:tabs>
        <w:ind w:left="720" w:hanging="360"/>
      </w:pPr>
    </w:lvl>
    <w:lvl w:ilvl="1">
      <w:start w:val="14"/>
      <w:numFmt w:val="decimal"/>
      <w:isLgl/>
      <w:lvlText w:val="%1.%2"/>
      <w:lvlJc w:val="left"/>
      <w:pPr>
        <w:ind w:left="4867"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8CD316B"/>
    <w:multiLevelType w:val="hybridMultilevel"/>
    <w:tmpl w:val="49A6D84C"/>
    <w:lvl w:ilvl="0" w:tplc="A35A62DC">
      <w:start w:val="1"/>
      <w:numFmt w:val="bullet"/>
      <w:lvlText w:val=""/>
      <w:lvlJc w:val="left"/>
      <w:pPr>
        <w:ind w:left="2098"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5"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6"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57"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8"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9"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0"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1"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2"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3"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46"/>
  </w:num>
  <w:num w:numId="2" w16cid:durableId="565148479">
    <w:abstractNumId w:val="50"/>
  </w:num>
  <w:num w:numId="3" w16cid:durableId="734089563">
    <w:abstractNumId w:val="60"/>
  </w:num>
  <w:num w:numId="4" w16cid:durableId="295961182">
    <w:abstractNumId w:val="151"/>
  </w:num>
  <w:num w:numId="5" w16cid:durableId="1956671450">
    <w:abstractNumId w:val="99"/>
  </w:num>
  <w:num w:numId="6" w16cid:durableId="375131689">
    <w:abstractNumId w:val="38"/>
  </w:num>
  <w:num w:numId="7" w16cid:durableId="1461387659">
    <w:abstractNumId w:val="21"/>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103"/>
  </w:num>
  <w:num w:numId="10" w16cid:durableId="339505381">
    <w:abstractNumId w:val="148"/>
  </w:num>
  <w:num w:numId="11" w16cid:durableId="1635987078">
    <w:abstractNumId w:val="102"/>
  </w:num>
  <w:num w:numId="12" w16cid:durableId="1879972971">
    <w:abstractNumId w:val="30"/>
  </w:num>
  <w:num w:numId="13" w16cid:durableId="2097169926">
    <w:abstractNumId w:val="161"/>
  </w:num>
  <w:num w:numId="14" w16cid:durableId="1597321610">
    <w:abstractNumId w:val="4"/>
  </w:num>
  <w:num w:numId="15" w16cid:durableId="612514816">
    <w:abstractNumId w:val="22"/>
  </w:num>
  <w:num w:numId="16" w16cid:durableId="1544903481">
    <w:abstractNumId w:val="5"/>
  </w:num>
  <w:num w:numId="17" w16cid:durableId="662049190">
    <w:abstractNumId w:val="160"/>
  </w:num>
  <w:num w:numId="18" w16cid:durableId="1911886641">
    <w:abstractNumId w:val="16"/>
  </w:num>
  <w:num w:numId="19" w16cid:durableId="2099865530">
    <w:abstractNumId w:val="81"/>
  </w:num>
  <w:num w:numId="20" w16cid:durableId="305933984">
    <w:abstractNumId w:val="11"/>
  </w:num>
  <w:num w:numId="21" w16cid:durableId="395007215">
    <w:abstractNumId w:val="82"/>
  </w:num>
  <w:num w:numId="22" w16cid:durableId="1627001036">
    <w:abstractNumId w:val="119"/>
  </w:num>
  <w:num w:numId="23" w16cid:durableId="1541169070">
    <w:abstractNumId w:val="143"/>
  </w:num>
  <w:num w:numId="24" w16cid:durableId="1867670272">
    <w:abstractNumId w:val="29"/>
  </w:num>
  <w:num w:numId="25" w16cid:durableId="1104961416">
    <w:abstractNumId w:val="137"/>
  </w:num>
  <w:num w:numId="26" w16cid:durableId="875049460">
    <w:abstractNumId w:val="7"/>
  </w:num>
  <w:num w:numId="27" w16cid:durableId="1450199747">
    <w:abstractNumId w:val="147"/>
  </w:num>
  <w:num w:numId="28" w16cid:durableId="1363895009">
    <w:abstractNumId w:val="13"/>
  </w:num>
  <w:num w:numId="29" w16cid:durableId="131407357">
    <w:abstractNumId w:val="70"/>
  </w:num>
  <w:num w:numId="30" w16cid:durableId="1109818330">
    <w:abstractNumId w:val="71"/>
  </w:num>
  <w:num w:numId="31" w16cid:durableId="1304039603">
    <w:abstractNumId w:val="25"/>
  </w:num>
  <w:num w:numId="32" w16cid:durableId="105080445">
    <w:abstractNumId w:val="32"/>
  </w:num>
  <w:num w:numId="33" w16cid:durableId="1951545210">
    <w:abstractNumId w:val="96"/>
  </w:num>
  <w:num w:numId="34" w16cid:durableId="1513686477">
    <w:abstractNumId w:val="155"/>
  </w:num>
  <w:num w:numId="35" w16cid:durableId="782918561">
    <w:abstractNumId w:val="77"/>
  </w:num>
  <w:num w:numId="36" w16cid:durableId="1134712469">
    <w:abstractNumId w:val="48"/>
  </w:num>
  <w:num w:numId="37" w16cid:durableId="515777756">
    <w:abstractNumId w:val="138"/>
  </w:num>
  <w:num w:numId="38" w16cid:durableId="1242787461">
    <w:abstractNumId w:val="84"/>
  </w:num>
  <w:num w:numId="39" w16cid:durableId="804587307">
    <w:abstractNumId w:val="69"/>
  </w:num>
  <w:num w:numId="40" w16cid:durableId="302388527">
    <w:abstractNumId w:val="75"/>
  </w:num>
  <w:num w:numId="41" w16cid:durableId="1333921571">
    <w:abstractNumId w:val="150"/>
  </w:num>
  <w:num w:numId="42" w16cid:durableId="1012535862">
    <w:abstractNumId w:val="73"/>
  </w:num>
  <w:num w:numId="43" w16cid:durableId="321399952">
    <w:abstractNumId w:val="65"/>
  </w:num>
  <w:num w:numId="44" w16cid:durableId="791363909">
    <w:abstractNumId w:val="35"/>
  </w:num>
  <w:num w:numId="45" w16cid:durableId="1888956811">
    <w:abstractNumId w:val="91"/>
  </w:num>
  <w:num w:numId="46" w16cid:durableId="107354056">
    <w:abstractNumId w:val="2"/>
  </w:num>
  <w:num w:numId="47" w16cid:durableId="64958678">
    <w:abstractNumId w:val="126"/>
  </w:num>
  <w:num w:numId="48" w16cid:durableId="400637028">
    <w:abstractNumId w:val="14"/>
  </w:num>
  <w:num w:numId="49" w16cid:durableId="321589634">
    <w:abstractNumId w:val="10"/>
  </w:num>
  <w:num w:numId="50" w16cid:durableId="1543713457">
    <w:abstractNumId w:val="157"/>
  </w:num>
  <w:num w:numId="51" w16cid:durableId="962344558">
    <w:abstractNumId w:val="118"/>
  </w:num>
  <w:num w:numId="52" w16cid:durableId="1929345919">
    <w:abstractNumId w:val="46"/>
  </w:num>
  <w:num w:numId="53" w16cid:durableId="987397365">
    <w:abstractNumId w:val="108"/>
  </w:num>
  <w:num w:numId="54" w16cid:durableId="124660162">
    <w:abstractNumId w:val="109"/>
  </w:num>
  <w:num w:numId="55" w16cid:durableId="1679697315">
    <w:abstractNumId w:val="113"/>
  </w:num>
  <w:num w:numId="56" w16cid:durableId="496074002">
    <w:abstractNumId w:val="72"/>
  </w:num>
  <w:num w:numId="57" w16cid:durableId="1905094294">
    <w:abstractNumId w:val="140"/>
  </w:num>
  <w:num w:numId="58" w16cid:durableId="2061316609">
    <w:abstractNumId w:val="55"/>
  </w:num>
  <w:num w:numId="59" w16cid:durableId="1040399952">
    <w:abstractNumId w:val="111"/>
  </w:num>
  <w:num w:numId="60" w16cid:durableId="2031249511">
    <w:abstractNumId w:val="122"/>
  </w:num>
  <w:num w:numId="61" w16cid:durableId="626089121">
    <w:abstractNumId w:val="76"/>
  </w:num>
  <w:num w:numId="62" w16cid:durableId="56780148">
    <w:abstractNumId w:val="59"/>
  </w:num>
  <w:num w:numId="63" w16cid:durableId="1055928143">
    <w:abstractNumId w:val="64"/>
  </w:num>
  <w:num w:numId="64" w16cid:durableId="1523276807">
    <w:abstractNumId w:val="158"/>
  </w:num>
  <w:num w:numId="65" w16cid:durableId="297423213">
    <w:abstractNumId w:val="121"/>
  </w:num>
  <w:num w:numId="66" w16cid:durableId="1066612680">
    <w:abstractNumId w:val="128"/>
  </w:num>
  <w:num w:numId="67" w16cid:durableId="1488087089">
    <w:abstractNumId w:val="88"/>
  </w:num>
  <w:num w:numId="68" w16cid:durableId="166991224">
    <w:abstractNumId w:val="79"/>
  </w:num>
  <w:num w:numId="69" w16cid:durableId="1528175381">
    <w:abstractNumId w:val="163"/>
  </w:num>
  <w:num w:numId="70" w16cid:durableId="147748099">
    <w:abstractNumId w:val="115"/>
  </w:num>
  <w:num w:numId="71" w16cid:durableId="1983921348">
    <w:abstractNumId w:val="62"/>
  </w:num>
  <w:num w:numId="72" w16cid:durableId="1095446321">
    <w:abstractNumId w:val="26"/>
  </w:num>
  <w:num w:numId="73" w16cid:durableId="792554023">
    <w:abstractNumId w:val="94"/>
  </w:num>
  <w:num w:numId="74" w16cid:durableId="146478443">
    <w:abstractNumId w:val="129"/>
  </w:num>
  <w:num w:numId="75" w16cid:durableId="1897282059">
    <w:abstractNumId w:val="134"/>
  </w:num>
  <w:num w:numId="76" w16cid:durableId="589043726">
    <w:abstractNumId w:val="139"/>
  </w:num>
  <w:num w:numId="77" w16cid:durableId="132330904">
    <w:abstractNumId w:val="152"/>
  </w:num>
  <w:num w:numId="78" w16cid:durableId="1259290725">
    <w:abstractNumId w:val="97"/>
  </w:num>
  <w:num w:numId="79" w16cid:durableId="192616723">
    <w:abstractNumId w:val="43"/>
  </w:num>
  <w:num w:numId="80" w16cid:durableId="65732712">
    <w:abstractNumId w:val="95"/>
  </w:num>
  <w:num w:numId="81" w16cid:durableId="771241926">
    <w:abstractNumId w:val="87"/>
  </w:num>
  <w:num w:numId="82" w16cid:durableId="2009139626">
    <w:abstractNumId w:val="133"/>
  </w:num>
  <w:num w:numId="83" w16cid:durableId="1672440230">
    <w:abstractNumId w:val="17"/>
  </w:num>
  <w:num w:numId="84" w16cid:durableId="1138763731">
    <w:abstractNumId w:val="67"/>
  </w:num>
  <w:num w:numId="85" w16cid:durableId="704789167">
    <w:abstractNumId w:val="68"/>
  </w:num>
  <w:num w:numId="86" w16cid:durableId="44722775">
    <w:abstractNumId w:val="42"/>
  </w:num>
  <w:num w:numId="87" w16cid:durableId="749696539">
    <w:abstractNumId w:val="44"/>
  </w:num>
  <w:num w:numId="88" w16cid:durableId="1005863644">
    <w:abstractNumId w:val="61"/>
  </w:num>
  <w:num w:numId="89" w16cid:durableId="1947275008">
    <w:abstractNumId w:val="159"/>
  </w:num>
  <w:num w:numId="90" w16cid:durableId="628322409">
    <w:abstractNumId w:val="9"/>
  </w:num>
  <w:num w:numId="91" w16cid:durableId="2023167194">
    <w:abstractNumId w:val="92"/>
  </w:num>
  <w:num w:numId="92" w16cid:durableId="1973318938">
    <w:abstractNumId w:val="23"/>
  </w:num>
  <w:num w:numId="93" w16cid:durableId="1489133808">
    <w:abstractNumId w:val="100"/>
  </w:num>
  <w:num w:numId="94" w16cid:durableId="1075862651">
    <w:abstractNumId w:val="20"/>
  </w:num>
  <w:num w:numId="95" w16cid:durableId="2098937688">
    <w:abstractNumId w:val="53"/>
  </w:num>
  <w:num w:numId="96" w16cid:durableId="968558838">
    <w:abstractNumId w:val="125"/>
  </w:num>
  <w:num w:numId="97" w16cid:durableId="1964190162">
    <w:abstractNumId w:val="85"/>
  </w:num>
  <w:num w:numId="98" w16cid:durableId="2126607290">
    <w:abstractNumId w:val="130"/>
  </w:num>
  <w:num w:numId="99" w16cid:durableId="124659890">
    <w:abstractNumId w:val="40"/>
  </w:num>
  <w:num w:numId="100" w16cid:durableId="125513698">
    <w:abstractNumId w:val="131"/>
  </w:num>
  <w:num w:numId="101" w16cid:durableId="373575974">
    <w:abstractNumId w:val="105"/>
  </w:num>
  <w:num w:numId="102" w16cid:durableId="1457329956">
    <w:abstractNumId w:val="3"/>
  </w:num>
  <w:num w:numId="103" w16cid:durableId="1256476952">
    <w:abstractNumId w:val="98"/>
  </w:num>
  <w:num w:numId="104" w16cid:durableId="24527185">
    <w:abstractNumId w:val="56"/>
  </w:num>
  <w:num w:numId="105" w16cid:durableId="2094281104">
    <w:abstractNumId w:val="154"/>
  </w:num>
  <w:num w:numId="106" w16cid:durableId="1164778413">
    <w:abstractNumId w:val="104"/>
  </w:num>
  <w:num w:numId="107" w16cid:durableId="733510554">
    <w:abstractNumId w:val="8"/>
  </w:num>
  <w:num w:numId="108" w16cid:durableId="1667393598">
    <w:abstractNumId w:val="120"/>
  </w:num>
  <w:num w:numId="109" w16cid:durableId="1609854549">
    <w:abstractNumId w:val="78"/>
  </w:num>
  <w:num w:numId="110" w16cid:durableId="841624849">
    <w:abstractNumId w:val="132"/>
  </w:num>
  <w:num w:numId="111" w16cid:durableId="968365606">
    <w:abstractNumId w:val="144"/>
  </w:num>
  <w:num w:numId="112" w16cid:durableId="1801454312">
    <w:abstractNumId w:val="41"/>
  </w:num>
  <w:num w:numId="113" w16cid:durableId="553664009">
    <w:abstractNumId w:val="149"/>
  </w:num>
  <w:num w:numId="114" w16cid:durableId="1901492">
    <w:abstractNumId w:val="156"/>
  </w:num>
  <w:num w:numId="115" w16cid:durableId="392970761">
    <w:abstractNumId w:val="101"/>
  </w:num>
  <w:num w:numId="116" w16cid:durableId="361591996">
    <w:abstractNumId w:val="39"/>
  </w:num>
  <w:num w:numId="117" w16cid:durableId="1612590982">
    <w:abstractNumId w:val="24"/>
  </w:num>
  <w:num w:numId="118" w16cid:durableId="939025160">
    <w:abstractNumId w:val="124"/>
  </w:num>
  <w:num w:numId="119" w16cid:durableId="125320294">
    <w:abstractNumId w:val="110"/>
  </w:num>
  <w:num w:numId="120" w16cid:durableId="1907836501">
    <w:abstractNumId w:val="123"/>
  </w:num>
  <w:num w:numId="121" w16cid:durableId="911045753">
    <w:abstractNumId w:val="83"/>
  </w:num>
  <w:num w:numId="122" w16cid:durableId="1798641617">
    <w:abstractNumId w:val="12"/>
  </w:num>
  <w:num w:numId="123" w16cid:durableId="548884287">
    <w:abstractNumId w:val="1"/>
  </w:num>
  <w:num w:numId="124" w16cid:durableId="1180389216">
    <w:abstractNumId w:val="141"/>
  </w:num>
  <w:num w:numId="125" w16cid:durableId="1803844807">
    <w:abstractNumId w:val="37"/>
  </w:num>
  <w:num w:numId="126" w16cid:durableId="1058936860">
    <w:abstractNumId w:val="117"/>
  </w:num>
  <w:num w:numId="127" w16cid:durableId="343939854">
    <w:abstractNumId w:val="80"/>
  </w:num>
  <w:num w:numId="128" w16cid:durableId="887453599">
    <w:abstractNumId w:val="6"/>
  </w:num>
  <w:num w:numId="129" w16cid:durableId="74982375">
    <w:abstractNumId w:val="145"/>
  </w:num>
  <w:num w:numId="130" w16cid:durableId="595331535">
    <w:abstractNumId w:val="114"/>
  </w:num>
  <w:num w:numId="131" w16cid:durableId="336269277">
    <w:abstractNumId w:val="86"/>
  </w:num>
  <w:num w:numId="132" w16cid:durableId="1532376557">
    <w:abstractNumId w:val="162"/>
  </w:num>
  <w:num w:numId="133" w16cid:durableId="445933555">
    <w:abstractNumId w:val="28"/>
  </w:num>
  <w:num w:numId="134" w16cid:durableId="986013096">
    <w:abstractNumId w:val="52"/>
  </w:num>
  <w:num w:numId="135" w16cid:durableId="1323968914">
    <w:abstractNumId w:val="15"/>
  </w:num>
  <w:num w:numId="136" w16cid:durableId="1565801154">
    <w:abstractNumId w:val="112"/>
  </w:num>
  <w:num w:numId="137" w16cid:durableId="475799931">
    <w:abstractNumId w:val="63"/>
  </w:num>
  <w:num w:numId="138" w16cid:durableId="1222473811">
    <w:abstractNumId w:val="36"/>
  </w:num>
  <w:num w:numId="139" w16cid:durableId="1787196035">
    <w:abstractNumId w:val="107"/>
  </w:num>
  <w:num w:numId="140" w16cid:durableId="1591350109">
    <w:abstractNumId w:val="57"/>
  </w:num>
  <w:num w:numId="141" w16cid:durableId="1137842356">
    <w:abstractNumId w:val="116"/>
  </w:num>
  <w:num w:numId="142" w16cid:durableId="448626183">
    <w:abstractNumId w:val="47"/>
  </w:num>
  <w:num w:numId="143" w16cid:durableId="1255017307">
    <w:abstractNumId w:val="58"/>
  </w:num>
  <w:num w:numId="144" w16cid:durableId="1534417047">
    <w:abstractNumId w:val="54"/>
  </w:num>
  <w:num w:numId="145" w16cid:durableId="1784033171">
    <w:abstractNumId w:val="33"/>
  </w:num>
  <w:num w:numId="146" w16cid:durableId="940524919">
    <w:abstractNumId w:val="45"/>
  </w:num>
  <w:num w:numId="147" w16cid:durableId="2094350991">
    <w:abstractNumId w:val="66"/>
  </w:num>
  <w:num w:numId="148" w16cid:durableId="1843353444">
    <w:abstractNumId w:val="127"/>
  </w:num>
  <w:num w:numId="149" w16cid:durableId="1903904111">
    <w:abstractNumId w:val="142"/>
  </w:num>
  <w:num w:numId="150" w16cid:durableId="69694223">
    <w:abstractNumId w:val="106"/>
  </w:num>
  <w:num w:numId="151" w16cid:durableId="763233285">
    <w:abstractNumId w:val="89"/>
  </w:num>
  <w:num w:numId="152" w16cid:durableId="507983451">
    <w:abstractNumId w:val="27"/>
  </w:num>
  <w:num w:numId="153" w16cid:durableId="1846482759">
    <w:abstractNumId w:val="74"/>
  </w:num>
  <w:num w:numId="154" w16cid:durableId="1157183632">
    <w:abstractNumId w:val="31"/>
  </w:num>
  <w:num w:numId="155" w16cid:durableId="651445378">
    <w:abstractNumId w:val="49"/>
  </w:num>
  <w:num w:numId="156" w16cid:durableId="259149085">
    <w:abstractNumId w:val="51"/>
  </w:num>
  <w:num w:numId="157" w16cid:durableId="1943763862">
    <w:abstractNumId w:val="153"/>
  </w:num>
  <w:num w:numId="158" w16cid:durableId="526723432">
    <w:abstractNumId w:val="90"/>
  </w:num>
  <w:num w:numId="159" w16cid:durableId="750658802">
    <w:abstractNumId w:val="19"/>
  </w:num>
  <w:num w:numId="160" w16cid:durableId="1724711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3487094">
    <w:abstractNumId w:val="136"/>
  </w:num>
  <w:num w:numId="162" w16cid:durableId="516847269">
    <w:abstractNumId w:val="135"/>
  </w:num>
  <w:num w:numId="163" w16cid:durableId="1182354662">
    <w:abstractNumId w:val="93"/>
  </w:num>
  <w:num w:numId="164" w16cid:durableId="1879126466">
    <w:abstractNumId w:val="34"/>
  </w:num>
  <w:num w:numId="165" w16cid:durableId="2058580077">
    <w:abstractNumId w:val="60"/>
    <w:lvlOverride w:ilvl="0">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63C"/>
    <w:rsid w:val="00004837"/>
    <w:rsid w:val="00004C01"/>
    <w:rsid w:val="000058EB"/>
    <w:rsid w:val="000059C5"/>
    <w:rsid w:val="00005A7F"/>
    <w:rsid w:val="00005CF6"/>
    <w:rsid w:val="0000672E"/>
    <w:rsid w:val="000069F6"/>
    <w:rsid w:val="00006B0A"/>
    <w:rsid w:val="00006DF2"/>
    <w:rsid w:val="0001045F"/>
    <w:rsid w:val="000107B6"/>
    <w:rsid w:val="00010B64"/>
    <w:rsid w:val="00010EF6"/>
    <w:rsid w:val="000115EF"/>
    <w:rsid w:val="0001163B"/>
    <w:rsid w:val="00011663"/>
    <w:rsid w:val="00012E45"/>
    <w:rsid w:val="000136BC"/>
    <w:rsid w:val="00013912"/>
    <w:rsid w:val="00013A6A"/>
    <w:rsid w:val="00013F0C"/>
    <w:rsid w:val="00014336"/>
    <w:rsid w:val="00014457"/>
    <w:rsid w:val="0001482B"/>
    <w:rsid w:val="0001701E"/>
    <w:rsid w:val="00017266"/>
    <w:rsid w:val="000179F0"/>
    <w:rsid w:val="00021517"/>
    <w:rsid w:val="000219F0"/>
    <w:rsid w:val="000225F8"/>
    <w:rsid w:val="000232AB"/>
    <w:rsid w:val="000234E3"/>
    <w:rsid w:val="00023C2C"/>
    <w:rsid w:val="00023DF2"/>
    <w:rsid w:val="000241B7"/>
    <w:rsid w:val="0002464F"/>
    <w:rsid w:val="00024EBC"/>
    <w:rsid w:val="00026065"/>
    <w:rsid w:val="000261CB"/>
    <w:rsid w:val="00026277"/>
    <w:rsid w:val="0002796D"/>
    <w:rsid w:val="00027ADD"/>
    <w:rsid w:val="00027D50"/>
    <w:rsid w:val="00030902"/>
    <w:rsid w:val="00030B8C"/>
    <w:rsid w:val="0003177E"/>
    <w:rsid w:val="0003295F"/>
    <w:rsid w:val="000331DE"/>
    <w:rsid w:val="000334B5"/>
    <w:rsid w:val="00033752"/>
    <w:rsid w:val="00034616"/>
    <w:rsid w:val="00034E28"/>
    <w:rsid w:val="00035B7F"/>
    <w:rsid w:val="000360BA"/>
    <w:rsid w:val="0003614B"/>
    <w:rsid w:val="00036A58"/>
    <w:rsid w:val="00036A81"/>
    <w:rsid w:val="00036D92"/>
    <w:rsid w:val="00037AB0"/>
    <w:rsid w:val="00037BB7"/>
    <w:rsid w:val="000402D2"/>
    <w:rsid w:val="00040365"/>
    <w:rsid w:val="0004070D"/>
    <w:rsid w:val="00040891"/>
    <w:rsid w:val="00040A58"/>
    <w:rsid w:val="00041079"/>
    <w:rsid w:val="00043275"/>
    <w:rsid w:val="00043500"/>
    <w:rsid w:val="0004378C"/>
    <w:rsid w:val="00045A09"/>
    <w:rsid w:val="00046CCA"/>
    <w:rsid w:val="00050826"/>
    <w:rsid w:val="00050A1B"/>
    <w:rsid w:val="000511A5"/>
    <w:rsid w:val="00051752"/>
    <w:rsid w:val="000518D0"/>
    <w:rsid w:val="000519E6"/>
    <w:rsid w:val="00051A4F"/>
    <w:rsid w:val="000526E0"/>
    <w:rsid w:val="0005276B"/>
    <w:rsid w:val="00052871"/>
    <w:rsid w:val="000529D3"/>
    <w:rsid w:val="0005317B"/>
    <w:rsid w:val="0005362E"/>
    <w:rsid w:val="00053A00"/>
    <w:rsid w:val="000549D0"/>
    <w:rsid w:val="00055286"/>
    <w:rsid w:val="0005560B"/>
    <w:rsid w:val="00055F23"/>
    <w:rsid w:val="00056144"/>
    <w:rsid w:val="00056361"/>
    <w:rsid w:val="0005661C"/>
    <w:rsid w:val="00057181"/>
    <w:rsid w:val="000606E6"/>
    <w:rsid w:val="0006076E"/>
    <w:rsid w:val="00061852"/>
    <w:rsid w:val="00061C43"/>
    <w:rsid w:val="00061EA1"/>
    <w:rsid w:val="000628C4"/>
    <w:rsid w:val="00062E44"/>
    <w:rsid w:val="000631D5"/>
    <w:rsid w:val="000652DD"/>
    <w:rsid w:val="00065668"/>
    <w:rsid w:val="00065DFE"/>
    <w:rsid w:val="00065EBE"/>
    <w:rsid w:val="000661BC"/>
    <w:rsid w:val="00066AA6"/>
    <w:rsid w:val="00066CC5"/>
    <w:rsid w:val="00067BE4"/>
    <w:rsid w:val="00067BEE"/>
    <w:rsid w:val="000705AB"/>
    <w:rsid w:val="0007078B"/>
    <w:rsid w:val="0007135D"/>
    <w:rsid w:val="000713BB"/>
    <w:rsid w:val="0007241B"/>
    <w:rsid w:val="00072E03"/>
    <w:rsid w:val="0007304C"/>
    <w:rsid w:val="00073EAD"/>
    <w:rsid w:val="00074514"/>
    <w:rsid w:val="000750B8"/>
    <w:rsid w:val="00075798"/>
    <w:rsid w:val="0007599F"/>
    <w:rsid w:val="00076250"/>
    <w:rsid w:val="00076470"/>
    <w:rsid w:val="0007656A"/>
    <w:rsid w:val="00076C87"/>
    <w:rsid w:val="00076DBA"/>
    <w:rsid w:val="00077DAE"/>
    <w:rsid w:val="00077FAD"/>
    <w:rsid w:val="00080420"/>
    <w:rsid w:val="00080BC8"/>
    <w:rsid w:val="0008172C"/>
    <w:rsid w:val="00081C0C"/>
    <w:rsid w:val="00081F70"/>
    <w:rsid w:val="00082B4E"/>
    <w:rsid w:val="00082DB7"/>
    <w:rsid w:val="00083DD0"/>
    <w:rsid w:val="00084C26"/>
    <w:rsid w:val="00084D11"/>
    <w:rsid w:val="000867E8"/>
    <w:rsid w:val="0008741D"/>
    <w:rsid w:val="00087ADD"/>
    <w:rsid w:val="0009094E"/>
    <w:rsid w:val="00091307"/>
    <w:rsid w:val="000913D2"/>
    <w:rsid w:val="000916A7"/>
    <w:rsid w:val="00091804"/>
    <w:rsid w:val="00092030"/>
    <w:rsid w:val="000920EB"/>
    <w:rsid w:val="00093AD6"/>
    <w:rsid w:val="00093E02"/>
    <w:rsid w:val="000941AC"/>
    <w:rsid w:val="000953C6"/>
    <w:rsid w:val="00095577"/>
    <w:rsid w:val="00095855"/>
    <w:rsid w:val="00095896"/>
    <w:rsid w:val="000968EB"/>
    <w:rsid w:val="00097A80"/>
    <w:rsid w:val="000A0150"/>
    <w:rsid w:val="000A0358"/>
    <w:rsid w:val="000A12E1"/>
    <w:rsid w:val="000A17FD"/>
    <w:rsid w:val="000A18D6"/>
    <w:rsid w:val="000A2418"/>
    <w:rsid w:val="000A47C8"/>
    <w:rsid w:val="000A49B9"/>
    <w:rsid w:val="000A4B1E"/>
    <w:rsid w:val="000A5146"/>
    <w:rsid w:val="000A52DC"/>
    <w:rsid w:val="000A5496"/>
    <w:rsid w:val="000A5928"/>
    <w:rsid w:val="000A6838"/>
    <w:rsid w:val="000A6991"/>
    <w:rsid w:val="000A6F80"/>
    <w:rsid w:val="000A70A8"/>
    <w:rsid w:val="000A7BEB"/>
    <w:rsid w:val="000B1261"/>
    <w:rsid w:val="000B1F28"/>
    <w:rsid w:val="000B2322"/>
    <w:rsid w:val="000B2B0E"/>
    <w:rsid w:val="000B405A"/>
    <w:rsid w:val="000B4EE4"/>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815"/>
    <w:rsid w:val="000C6EB9"/>
    <w:rsid w:val="000C78BF"/>
    <w:rsid w:val="000C7B68"/>
    <w:rsid w:val="000C7ECE"/>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21E7"/>
    <w:rsid w:val="000E4F95"/>
    <w:rsid w:val="000E5165"/>
    <w:rsid w:val="000E5532"/>
    <w:rsid w:val="000E62E2"/>
    <w:rsid w:val="000E6603"/>
    <w:rsid w:val="000E687D"/>
    <w:rsid w:val="000E7306"/>
    <w:rsid w:val="000E739B"/>
    <w:rsid w:val="000E7516"/>
    <w:rsid w:val="000E755D"/>
    <w:rsid w:val="000F0111"/>
    <w:rsid w:val="000F0503"/>
    <w:rsid w:val="000F0819"/>
    <w:rsid w:val="000F0825"/>
    <w:rsid w:val="000F0BE9"/>
    <w:rsid w:val="000F0E8B"/>
    <w:rsid w:val="000F1151"/>
    <w:rsid w:val="000F1757"/>
    <w:rsid w:val="000F231B"/>
    <w:rsid w:val="000F2367"/>
    <w:rsid w:val="000F2CE5"/>
    <w:rsid w:val="000F437C"/>
    <w:rsid w:val="000F4566"/>
    <w:rsid w:val="000F4600"/>
    <w:rsid w:val="000F47B2"/>
    <w:rsid w:val="000F5140"/>
    <w:rsid w:val="000F5EA5"/>
    <w:rsid w:val="000F61E4"/>
    <w:rsid w:val="000F6855"/>
    <w:rsid w:val="000F68CD"/>
    <w:rsid w:val="000F6D07"/>
    <w:rsid w:val="000F6F09"/>
    <w:rsid w:val="001012C9"/>
    <w:rsid w:val="0010135F"/>
    <w:rsid w:val="00101B91"/>
    <w:rsid w:val="00103848"/>
    <w:rsid w:val="0010619F"/>
    <w:rsid w:val="00106472"/>
    <w:rsid w:val="00106C53"/>
    <w:rsid w:val="00106CE3"/>
    <w:rsid w:val="00106F0D"/>
    <w:rsid w:val="001079B7"/>
    <w:rsid w:val="001103C4"/>
    <w:rsid w:val="00110910"/>
    <w:rsid w:val="00110FC0"/>
    <w:rsid w:val="00111409"/>
    <w:rsid w:val="00112116"/>
    <w:rsid w:val="001128C2"/>
    <w:rsid w:val="00112B39"/>
    <w:rsid w:val="001135DC"/>
    <w:rsid w:val="00113B8F"/>
    <w:rsid w:val="00113C36"/>
    <w:rsid w:val="00113DC3"/>
    <w:rsid w:val="00113EC8"/>
    <w:rsid w:val="00114134"/>
    <w:rsid w:val="00114460"/>
    <w:rsid w:val="0011478C"/>
    <w:rsid w:val="00114B38"/>
    <w:rsid w:val="00115A9E"/>
    <w:rsid w:val="00115F89"/>
    <w:rsid w:val="00116196"/>
    <w:rsid w:val="001165F1"/>
    <w:rsid w:val="00116645"/>
    <w:rsid w:val="0011696D"/>
    <w:rsid w:val="00117D3F"/>
    <w:rsid w:val="00120AA9"/>
    <w:rsid w:val="00121246"/>
    <w:rsid w:val="001216CB"/>
    <w:rsid w:val="001217FA"/>
    <w:rsid w:val="001218A5"/>
    <w:rsid w:val="001219C7"/>
    <w:rsid w:val="00122115"/>
    <w:rsid w:val="001222C4"/>
    <w:rsid w:val="001227DA"/>
    <w:rsid w:val="00122DC7"/>
    <w:rsid w:val="00123569"/>
    <w:rsid w:val="00123639"/>
    <w:rsid w:val="00123E31"/>
    <w:rsid w:val="001244F4"/>
    <w:rsid w:val="0012457E"/>
    <w:rsid w:val="00124BC2"/>
    <w:rsid w:val="00125BB7"/>
    <w:rsid w:val="00125C7E"/>
    <w:rsid w:val="00125CDE"/>
    <w:rsid w:val="00130028"/>
    <w:rsid w:val="0013005F"/>
    <w:rsid w:val="001301E8"/>
    <w:rsid w:val="0013025C"/>
    <w:rsid w:val="00130B75"/>
    <w:rsid w:val="001311B5"/>
    <w:rsid w:val="0013169A"/>
    <w:rsid w:val="0013172F"/>
    <w:rsid w:val="00132433"/>
    <w:rsid w:val="00132BA8"/>
    <w:rsid w:val="00132D91"/>
    <w:rsid w:val="001331AD"/>
    <w:rsid w:val="00133DDB"/>
    <w:rsid w:val="00134053"/>
    <w:rsid w:val="00134FB5"/>
    <w:rsid w:val="001357C7"/>
    <w:rsid w:val="00135FEB"/>
    <w:rsid w:val="001362FF"/>
    <w:rsid w:val="0013683D"/>
    <w:rsid w:val="00136AF4"/>
    <w:rsid w:val="00137B35"/>
    <w:rsid w:val="00137B74"/>
    <w:rsid w:val="00137CA1"/>
    <w:rsid w:val="00137E27"/>
    <w:rsid w:val="00140CF4"/>
    <w:rsid w:val="001417D5"/>
    <w:rsid w:val="00142190"/>
    <w:rsid w:val="00142501"/>
    <w:rsid w:val="0014279B"/>
    <w:rsid w:val="001428EC"/>
    <w:rsid w:val="00142BE8"/>
    <w:rsid w:val="00143355"/>
    <w:rsid w:val="001451D5"/>
    <w:rsid w:val="0014585B"/>
    <w:rsid w:val="00145998"/>
    <w:rsid w:val="001468DD"/>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1F97"/>
    <w:rsid w:val="001620A2"/>
    <w:rsid w:val="00162B24"/>
    <w:rsid w:val="00162CDC"/>
    <w:rsid w:val="001632DE"/>
    <w:rsid w:val="001634DC"/>
    <w:rsid w:val="00163716"/>
    <w:rsid w:val="00164487"/>
    <w:rsid w:val="00164501"/>
    <w:rsid w:val="0016528E"/>
    <w:rsid w:val="00165700"/>
    <w:rsid w:val="0016581C"/>
    <w:rsid w:val="0016597E"/>
    <w:rsid w:val="00165BA9"/>
    <w:rsid w:val="001664F4"/>
    <w:rsid w:val="00166A93"/>
    <w:rsid w:val="00166BEC"/>
    <w:rsid w:val="0016748B"/>
    <w:rsid w:val="00167D46"/>
    <w:rsid w:val="00170125"/>
    <w:rsid w:val="001703F5"/>
    <w:rsid w:val="00170463"/>
    <w:rsid w:val="00170A99"/>
    <w:rsid w:val="00170CB6"/>
    <w:rsid w:val="001710B0"/>
    <w:rsid w:val="00171207"/>
    <w:rsid w:val="001714D2"/>
    <w:rsid w:val="00171716"/>
    <w:rsid w:val="00172140"/>
    <w:rsid w:val="0017286C"/>
    <w:rsid w:val="001728D2"/>
    <w:rsid w:val="00174184"/>
    <w:rsid w:val="00174CDB"/>
    <w:rsid w:val="00174E0B"/>
    <w:rsid w:val="00176FC3"/>
    <w:rsid w:val="00177119"/>
    <w:rsid w:val="00177483"/>
    <w:rsid w:val="0017796C"/>
    <w:rsid w:val="00177B34"/>
    <w:rsid w:val="00180C61"/>
    <w:rsid w:val="00180C7F"/>
    <w:rsid w:val="00181DA6"/>
    <w:rsid w:val="00182570"/>
    <w:rsid w:val="001830E4"/>
    <w:rsid w:val="00183219"/>
    <w:rsid w:val="00183750"/>
    <w:rsid w:val="00183A3D"/>
    <w:rsid w:val="00183A81"/>
    <w:rsid w:val="00185521"/>
    <w:rsid w:val="00185DB2"/>
    <w:rsid w:val="00186335"/>
    <w:rsid w:val="001866AC"/>
    <w:rsid w:val="00186BEF"/>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65F1"/>
    <w:rsid w:val="00196687"/>
    <w:rsid w:val="001974A4"/>
    <w:rsid w:val="00197F05"/>
    <w:rsid w:val="001A02EB"/>
    <w:rsid w:val="001A085A"/>
    <w:rsid w:val="001A10A8"/>
    <w:rsid w:val="001A1BF2"/>
    <w:rsid w:val="001A1DB0"/>
    <w:rsid w:val="001A272E"/>
    <w:rsid w:val="001A2A59"/>
    <w:rsid w:val="001A32B1"/>
    <w:rsid w:val="001A6F5D"/>
    <w:rsid w:val="001A7C0E"/>
    <w:rsid w:val="001B0974"/>
    <w:rsid w:val="001B1A4C"/>
    <w:rsid w:val="001B1B22"/>
    <w:rsid w:val="001B27B5"/>
    <w:rsid w:val="001B31CC"/>
    <w:rsid w:val="001B409F"/>
    <w:rsid w:val="001B417C"/>
    <w:rsid w:val="001B494D"/>
    <w:rsid w:val="001B5152"/>
    <w:rsid w:val="001B52E7"/>
    <w:rsid w:val="001B53EE"/>
    <w:rsid w:val="001B5E53"/>
    <w:rsid w:val="001B615A"/>
    <w:rsid w:val="001B6181"/>
    <w:rsid w:val="001B6C9D"/>
    <w:rsid w:val="001B6F80"/>
    <w:rsid w:val="001B7502"/>
    <w:rsid w:val="001C04BC"/>
    <w:rsid w:val="001C057A"/>
    <w:rsid w:val="001C0754"/>
    <w:rsid w:val="001C076D"/>
    <w:rsid w:val="001C0801"/>
    <w:rsid w:val="001C0A81"/>
    <w:rsid w:val="001C1494"/>
    <w:rsid w:val="001C1A52"/>
    <w:rsid w:val="001C1A58"/>
    <w:rsid w:val="001C3A9B"/>
    <w:rsid w:val="001C3EC1"/>
    <w:rsid w:val="001C402F"/>
    <w:rsid w:val="001C40AD"/>
    <w:rsid w:val="001C462E"/>
    <w:rsid w:val="001C4AC1"/>
    <w:rsid w:val="001C577A"/>
    <w:rsid w:val="001C5874"/>
    <w:rsid w:val="001C5ADD"/>
    <w:rsid w:val="001C5BEF"/>
    <w:rsid w:val="001C63BA"/>
    <w:rsid w:val="001C6530"/>
    <w:rsid w:val="001C6EDC"/>
    <w:rsid w:val="001C735B"/>
    <w:rsid w:val="001D0708"/>
    <w:rsid w:val="001D1138"/>
    <w:rsid w:val="001D1B06"/>
    <w:rsid w:val="001D1ED3"/>
    <w:rsid w:val="001D27E8"/>
    <w:rsid w:val="001D2D7D"/>
    <w:rsid w:val="001D34B8"/>
    <w:rsid w:val="001D3A44"/>
    <w:rsid w:val="001D41B6"/>
    <w:rsid w:val="001D47A4"/>
    <w:rsid w:val="001D5204"/>
    <w:rsid w:val="001D56D9"/>
    <w:rsid w:val="001D5A40"/>
    <w:rsid w:val="001D6106"/>
    <w:rsid w:val="001D6E4B"/>
    <w:rsid w:val="001D728B"/>
    <w:rsid w:val="001D7BCA"/>
    <w:rsid w:val="001E1939"/>
    <w:rsid w:val="001E2974"/>
    <w:rsid w:val="001E3DF8"/>
    <w:rsid w:val="001E4091"/>
    <w:rsid w:val="001E5616"/>
    <w:rsid w:val="001E644D"/>
    <w:rsid w:val="001F07FA"/>
    <w:rsid w:val="001F1C85"/>
    <w:rsid w:val="001F38F6"/>
    <w:rsid w:val="001F471C"/>
    <w:rsid w:val="001F4A69"/>
    <w:rsid w:val="001F5308"/>
    <w:rsid w:val="001F5C49"/>
    <w:rsid w:val="001F6405"/>
    <w:rsid w:val="001F6C29"/>
    <w:rsid w:val="00200C40"/>
    <w:rsid w:val="00201B53"/>
    <w:rsid w:val="00201D8E"/>
    <w:rsid w:val="002028BD"/>
    <w:rsid w:val="00203A43"/>
    <w:rsid w:val="00203BDC"/>
    <w:rsid w:val="00204B08"/>
    <w:rsid w:val="00204DCF"/>
    <w:rsid w:val="00205820"/>
    <w:rsid w:val="00206252"/>
    <w:rsid w:val="00206786"/>
    <w:rsid w:val="00207176"/>
    <w:rsid w:val="0020725F"/>
    <w:rsid w:val="00207377"/>
    <w:rsid w:val="00210AE6"/>
    <w:rsid w:val="00210CF9"/>
    <w:rsid w:val="00211416"/>
    <w:rsid w:val="002119B0"/>
    <w:rsid w:val="00211B03"/>
    <w:rsid w:val="0021207A"/>
    <w:rsid w:val="002125C5"/>
    <w:rsid w:val="00212A0A"/>
    <w:rsid w:val="00212E38"/>
    <w:rsid w:val="00212E60"/>
    <w:rsid w:val="00212EED"/>
    <w:rsid w:val="00213156"/>
    <w:rsid w:val="00213932"/>
    <w:rsid w:val="00213989"/>
    <w:rsid w:val="00213AF3"/>
    <w:rsid w:val="002146E6"/>
    <w:rsid w:val="00215CB5"/>
    <w:rsid w:val="00215ED7"/>
    <w:rsid w:val="00215EE6"/>
    <w:rsid w:val="00216E00"/>
    <w:rsid w:val="002176AF"/>
    <w:rsid w:val="0022031F"/>
    <w:rsid w:val="002208A5"/>
    <w:rsid w:val="00220EE2"/>
    <w:rsid w:val="00221222"/>
    <w:rsid w:val="002216EF"/>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037"/>
    <w:rsid w:val="002347E9"/>
    <w:rsid w:val="00235A6D"/>
    <w:rsid w:val="00235CEF"/>
    <w:rsid w:val="002361E6"/>
    <w:rsid w:val="00236BA4"/>
    <w:rsid w:val="002403F7"/>
    <w:rsid w:val="00240857"/>
    <w:rsid w:val="00240A76"/>
    <w:rsid w:val="00241128"/>
    <w:rsid w:val="00241E82"/>
    <w:rsid w:val="00242D71"/>
    <w:rsid w:val="00243264"/>
    <w:rsid w:val="002432ED"/>
    <w:rsid w:val="00244269"/>
    <w:rsid w:val="00244F69"/>
    <w:rsid w:val="00245595"/>
    <w:rsid w:val="00245936"/>
    <w:rsid w:val="00245F15"/>
    <w:rsid w:val="00247019"/>
    <w:rsid w:val="00247079"/>
    <w:rsid w:val="00247D56"/>
    <w:rsid w:val="00251161"/>
    <w:rsid w:val="00251510"/>
    <w:rsid w:val="0025187C"/>
    <w:rsid w:val="00251B63"/>
    <w:rsid w:val="00251DC5"/>
    <w:rsid w:val="002523E5"/>
    <w:rsid w:val="002531BB"/>
    <w:rsid w:val="00253509"/>
    <w:rsid w:val="002535E9"/>
    <w:rsid w:val="00254A8B"/>
    <w:rsid w:val="00254C81"/>
    <w:rsid w:val="00254D99"/>
    <w:rsid w:val="00255E07"/>
    <w:rsid w:val="002566C3"/>
    <w:rsid w:val="00256ED0"/>
    <w:rsid w:val="00260CFC"/>
    <w:rsid w:val="00261D55"/>
    <w:rsid w:val="00261E9B"/>
    <w:rsid w:val="00261FB4"/>
    <w:rsid w:val="00262368"/>
    <w:rsid w:val="00262AC3"/>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0925"/>
    <w:rsid w:val="00273346"/>
    <w:rsid w:val="002739E9"/>
    <w:rsid w:val="002742FA"/>
    <w:rsid w:val="00275880"/>
    <w:rsid w:val="00275FE4"/>
    <w:rsid w:val="00276362"/>
    <w:rsid w:val="002768B3"/>
    <w:rsid w:val="00276AE6"/>
    <w:rsid w:val="00277ADB"/>
    <w:rsid w:val="00280C26"/>
    <w:rsid w:val="00280E46"/>
    <w:rsid w:val="00281614"/>
    <w:rsid w:val="002816DF"/>
    <w:rsid w:val="00282556"/>
    <w:rsid w:val="0028265F"/>
    <w:rsid w:val="0028327B"/>
    <w:rsid w:val="002835C5"/>
    <w:rsid w:val="002837EB"/>
    <w:rsid w:val="00283F3B"/>
    <w:rsid w:val="00284820"/>
    <w:rsid w:val="0028493B"/>
    <w:rsid w:val="0028556C"/>
    <w:rsid w:val="002862F4"/>
    <w:rsid w:val="00286C7D"/>
    <w:rsid w:val="00286FE5"/>
    <w:rsid w:val="0028731D"/>
    <w:rsid w:val="00287CC6"/>
    <w:rsid w:val="00287CDB"/>
    <w:rsid w:val="00290658"/>
    <w:rsid w:val="00290B63"/>
    <w:rsid w:val="00291189"/>
    <w:rsid w:val="002923A8"/>
    <w:rsid w:val="00292662"/>
    <w:rsid w:val="00292976"/>
    <w:rsid w:val="00292BD2"/>
    <w:rsid w:val="002932F2"/>
    <w:rsid w:val="00293754"/>
    <w:rsid w:val="00293B0A"/>
    <w:rsid w:val="00294458"/>
    <w:rsid w:val="00294C4B"/>
    <w:rsid w:val="0029551B"/>
    <w:rsid w:val="002A163C"/>
    <w:rsid w:val="002A3922"/>
    <w:rsid w:val="002A3CDF"/>
    <w:rsid w:val="002A4A1B"/>
    <w:rsid w:val="002A4DFE"/>
    <w:rsid w:val="002A4FAE"/>
    <w:rsid w:val="002A57B5"/>
    <w:rsid w:val="002A5D74"/>
    <w:rsid w:val="002A6040"/>
    <w:rsid w:val="002A6B29"/>
    <w:rsid w:val="002A6D12"/>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660"/>
    <w:rsid w:val="002C0A9F"/>
    <w:rsid w:val="002C2817"/>
    <w:rsid w:val="002C288E"/>
    <w:rsid w:val="002C28EF"/>
    <w:rsid w:val="002C2CA5"/>
    <w:rsid w:val="002C34CB"/>
    <w:rsid w:val="002C4432"/>
    <w:rsid w:val="002C49B7"/>
    <w:rsid w:val="002C4AC8"/>
    <w:rsid w:val="002C50BD"/>
    <w:rsid w:val="002C51BB"/>
    <w:rsid w:val="002C528F"/>
    <w:rsid w:val="002C5903"/>
    <w:rsid w:val="002C6A0B"/>
    <w:rsid w:val="002C6B95"/>
    <w:rsid w:val="002C7A51"/>
    <w:rsid w:val="002D0A0E"/>
    <w:rsid w:val="002D140D"/>
    <w:rsid w:val="002D1856"/>
    <w:rsid w:val="002D1BA6"/>
    <w:rsid w:val="002D216D"/>
    <w:rsid w:val="002D267E"/>
    <w:rsid w:val="002D2AD1"/>
    <w:rsid w:val="002D2E79"/>
    <w:rsid w:val="002D2EE2"/>
    <w:rsid w:val="002D3459"/>
    <w:rsid w:val="002D4271"/>
    <w:rsid w:val="002D42B7"/>
    <w:rsid w:val="002D4688"/>
    <w:rsid w:val="002D4885"/>
    <w:rsid w:val="002D5717"/>
    <w:rsid w:val="002D5D33"/>
    <w:rsid w:val="002D645A"/>
    <w:rsid w:val="002D6C1B"/>
    <w:rsid w:val="002D7998"/>
    <w:rsid w:val="002D7B02"/>
    <w:rsid w:val="002D7CD8"/>
    <w:rsid w:val="002E0712"/>
    <w:rsid w:val="002E1818"/>
    <w:rsid w:val="002E1AE1"/>
    <w:rsid w:val="002E3476"/>
    <w:rsid w:val="002E4AE1"/>
    <w:rsid w:val="002E5541"/>
    <w:rsid w:val="002E5AF5"/>
    <w:rsid w:val="002E6D28"/>
    <w:rsid w:val="002E6F9D"/>
    <w:rsid w:val="002E7182"/>
    <w:rsid w:val="002E72AC"/>
    <w:rsid w:val="002E777F"/>
    <w:rsid w:val="002F016A"/>
    <w:rsid w:val="002F03EC"/>
    <w:rsid w:val="002F04DC"/>
    <w:rsid w:val="002F0A94"/>
    <w:rsid w:val="002F0F02"/>
    <w:rsid w:val="002F1043"/>
    <w:rsid w:val="002F1752"/>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4850"/>
    <w:rsid w:val="00306886"/>
    <w:rsid w:val="00306C8D"/>
    <w:rsid w:val="0030769F"/>
    <w:rsid w:val="00307B1C"/>
    <w:rsid w:val="0031018E"/>
    <w:rsid w:val="00310394"/>
    <w:rsid w:val="00310AE1"/>
    <w:rsid w:val="003113DF"/>
    <w:rsid w:val="00312136"/>
    <w:rsid w:val="0031250B"/>
    <w:rsid w:val="00312B67"/>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34CC"/>
    <w:rsid w:val="00324327"/>
    <w:rsid w:val="00325CB8"/>
    <w:rsid w:val="00326300"/>
    <w:rsid w:val="00326821"/>
    <w:rsid w:val="00327B2A"/>
    <w:rsid w:val="00330558"/>
    <w:rsid w:val="00330A33"/>
    <w:rsid w:val="0033244E"/>
    <w:rsid w:val="00332F98"/>
    <w:rsid w:val="0033390E"/>
    <w:rsid w:val="003339B5"/>
    <w:rsid w:val="00333B7F"/>
    <w:rsid w:val="00333CE4"/>
    <w:rsid w:val="003343E2"/>
    <w:rsid w:val="0033471C"/>
    <w:rsid w:val="00334789"/>
    <w:rsid w:val="003356F2"/>
    <w:rsid w:val="003356F4"/>
    <w:rsid w:val="00335D82"/>
    <w:rsid w:val="003361DB"/>
    <w:rsid w:val="003362BE"/>
    <w:rsid w:val="003366E2"/>
    <w:rsid w:val="00337356"/>
    <w:rsid w:val="00337CF5"/>
    <w:rsid w:val="00337EE3"/>
    <w:rsid w:val="0034027C"/>
    <w:rsid w:val="00341345"/>
    <w:rsid w:val="00341B84"/>
    <w:rsid w:val="00342362"/>
    <w:rsid w:val="00343810"/>
    <w:rsid w:val="0034392A"/>
    <w:rsid w:val="00343BB1"/>
    <w:rsid w:val="003453BB"/>
    <w:rsid w:val="003455FE"/>
    <w:rsid w:val="003461D0"/>
    <w:rsid w:val="00346213"/>
    <w:rsid w:val="00346B40"/>
    <w:rsid w:val="00346DC6"/>
    <w:rsid w:val="00347170"/>
    <w:rsid w:val="0034739F"/>
    <w:rsid w:val="00347572"/>
    <w:rsid w:val="00347753"/>
    <w:rsid w:val="003478E0"/>
    <w:rsid w:val="00347A50"/>
    <w:rsid w:val="00350068"/>
    <w:rsid w:val="00351A45"/>
    <w:rsid w:val="00352003"/>
    <w:rsid w:val="00352572"/>
    <w:rsid w:val="0035269B"/>
    <w:rsid w:val="00354552"/>
    <w:rsid w:val="003550C2"/>
    <w:rsid w:val="003553EF"/>
    <w:rsid w:val="00355A82"/>
    <w:rsid w:val="00355E81"/>
    <w:rsid w:val="003562E8"/>
    <w:rsid w:val="003568B4"/>
    <w:rsid w:val="00356C5D"/>
    <w:rsid w:val="0035782D"/>
    <w:rsid w:val="00360D14"/>
    <w:rsid w:val="0036113A"/>
    <w:rsid w:val="0036207C"/>
    <w:rsid w:val="00362358"/>
    <w:rsid w:val="003624AB"/>
    <w:rsid w:val="00362817"/>
    <w:rsid w:val="0036485C"/>
    <w:rsid w:val="0036492C"/>
    <w:rsid w:val="00364E48"/>
    <w:rsid w:val="00365696"/>
    <w:rsid w:val="00365F1D"/>
    <w:rsid w:val="00365FFA"/>
    <w:rsid w:val="00366260"/>
    <w:rsid w:val="003664B6"/>
    <w:rsid w:val="00366998"/>
    <w:rsid w:val="0036737E"/>
    <w:rsid w:val="003674F8"/>
    <w:rsid w:val="003675B1"/>
    <w:rsid w:val="00367E55"/>
    <w:rsid w:val="00370401"/>
    <w:rsid w:val="00370757"/>
    <w:rsid w:val="003714F9"/>
    <w:rsid w:val="00371B6D"/>
    <w:rsid w:val="00371EA4"/>
    <w:rsid w:val="00371F00"/>
    <w:rsid w:val="003722D8"/>
    <w:rsid w:val="003730F5"/>
    <w:rsid w:val="0037342E"/>
    <w:rsid w:val="00375869"/>
    <w:rsid w:val="00375B0C"/>
    <w:rsid w:val="0037745C"/>
    <w:rsid w:val="003776D2"/>
    <w:rsid w:val="00377942"/>
    <w:rsid w:val="00377C70"/>
    <w:rsid w:val="0038023D"/>
    <w:rsid w:val="00380823"/>
    <w:rsid w:val="00380C1F"/>
    <w:rsid w:val="0038105B"/>
    <w:rsid w:val="00382B52"/>
    <w:rsid w:val="00383570"/>
    <w:rsid w:val="003839DB"/>
    <w:rsid w:val="00383CE0"/>
    <w:rsid w:val="003855A7"/>
    <w:rsid w:val="003856B0"/>
    <w:rsid w:val="003874CD"/>
    <w:rsid w:val="00387C91"/>
    <w:rsid w:val="00390222"/>
    <w:rsid w:val="00390D54"/>
    <w:rsid w:val="003918CF"/>
    <w:rsid w:val="003921B9"/>
    <w:rsid w:val="0039305E"/>
    <w:rsid w:val="00394692"/>
    <w:rsid w:val="00394863"/>
    <w:rsid w:val="00395B17"/>
    <w:rsid w:val="003967DB"/>
    <w:rsid w:val="003968D4"/>
    <w:rsid w:val="003979FC"/>
    <w:rsid w:val="00397B47"/>
    <w:rsid w:val="00397E3F"/>
    <w:rsid w:val="003A0C37"/>
    <w:rsid w:val="003A0EED"/>
    <w:rsid w:val="003A15F8"/>
    <w:rsid w:val="003A171C"/>
    <w:rsid w:val="003A17A5"/>
    <w:rsid w:val="003A299A"/>
    <w:rsid w:val="003A34A6"/>
    <w:rsid w:val="003A39A9"/>
    <w:rsid w:val="003A3B9A"/>
    <w:rsid w:val="003A4185"/>
    <w:rsid w:val="003A5D77"/>
    <w:rsid w:val="003A5F36"/>
    <w:rsid w:val="003A60AE"/>
    <w:rsid w:val="003A633D"/>
    <w:rsid w:val="003A6434"/>
    <w:rsid w:val="003A66DA"/>
    <w:rsid w:val="003A6B6B"/>
    <w:rsid w:val="003A79CE"/>
    <w:rsid w:val="003B0602"/>
    <w:rsid w:val="003B12EF"/>
    <w:rsid w:val="003B1399"/>
    <w:rsid w:val="003B1EF0"/>
    <w:rsid w:val="003B275F"/>
    <w:rsid w:val="003B2977"/>
    <w:rsid w:val="003B3515"/>
    <w:rsid w:val="003B3AA1"/>
    <w:rsid w:val="003B3E91"/>
    <w:rsid w:val="003B52E6"/>
    <w:rsid w:val="003B578F"/>
    <w:rsid w:val="003B68A0"/>
    <w:rsid w:val="003B727D"/>
    <w:rsid w:val="003B74AF"/>
    <w:rsid w:val="003C1514"/>
    <w:rsid w:val="003C16E4"/>
    <w:rsid w:val="003C2346"/>
    <w:rsid w:val="003C267D"/>
    <w:rsid w:val="003C2DA9"/>
    <w:rsid w:val="003C3B46"/>
    <w:rsid w:val="003C4CF1"/>
    <w:rsid w:val="003C559F"/>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02B7"/>
    <w:rsid w:val="003E05F2"/>
    <w:rsid w:val="003E16D8"/>
    <w:rsid w:val="003E184D"/>
    <w:rsid w:val="003E2055"/>
    <w:rsid w:val="003E2745"/>
    <w:rsid w:val="003E39F7"/>
    <w:rsid w:val="003E4759"/>
    <w:rsid w:val="003E4770"/>
    <w:rsid w:val="003E58A2"/>
    <w:rsid w:val="003E58CE"/>
    <w:rsid w:val="003E6965"/>
    <w:rsid w:val="003E72C0"/>
    <w:rsid w:val="003E7D71"/>
    <w:rsid w:val="003E7DEA"/>
    <w:rsid w:val="003E7E55"/>
    <w:rsid w:val="003F031E"/>
    <w:rsid w:val="003F03DA"/>
    <w:rsid w:val="003F0FF9"/>
    <w:rsid w:val="003F13A6"/>
    <w:rsid w:val="003F4824"/>
    <w:rsid w:val="003F5C2C"/>
    <w:rsid w:val="003F685D"/>
    <w:rsid w:val="004000FE"/>
    <w:rsid w:val="00400FD1"/>
    <w:rsid w:val="00401844"/>
    <w:rsid w:val="004019DA"/>
    <w:rsid w:val="00401CB6"/>
    <w:rsid w:val="00402BC6"/>
    <w:rsid w:val="0040353D"/>
    <w:rsid w:val="004039AA"/>
    <w:rsid w:val="0040411A"/>
    <w:rsid w:val="004045F7"/>
    <w:rsid w:val="00404D49"/>
    <w:rsid w:val="0040503D"/>
    <w:rsid w:val="0040623A"/>
    <w:rsid w:val="00406381"/>
    <w:rsid w:val="00406845"/>
    <w:rsid w:val="004078C3"/>
    <w:rsid w:val="00407EDF"/>
    <w:rsid w:val="004108DD"/>
    <w:rsid w:val="00410AFB"/>
    <w:rsid w:val="00411175"/>
    <w:rsid w:val="00411410"/>
    <w:rsid w:val="004121E4"/>
    <w:rsid w:val="004127B9"/>
    <w:rsid w:val="00412D5B"/>
    <w:rsid w:val="00413016"/>
    <w:rsid w:val="00413325"/>
    <w:rsid w:val="004138B2"/>
    <w:rsid w:val="0041421A"/>
    <w:rsid w:val="00414240"/>
    <w:rsid w:val="00414EEE"/>
    <w:rsid w:val="00416AFF"/>
    <w:rsid w:val="00416D08"/>
    <w:rsid w:val="00420048"/>
    <w:rsid w:val="00420B13"/>
    <w:rsid w:val="00420B1A"/>
    <w:rsid w:val="00420D6C"/>
    <w:rsid w:val="00420DC3"/>
    <w:rsid w:val="0042120A"/>
    <w:rsid w:val="00421364"/>
    <w:rsid w:val="00421AED"/>
    <w:rsid w:val="004225E0"/>
    <w:rsid w:val="0042273B"/>
    <w:rsid w:val="00423086"/>
    <w:rsid w:val="00423D61"/>
    <w:rsid w:val="00424596"/>
    <w:rsid w:val="004246F9"/>
    <w:rsid w:val="00424A7F"/>
    <w:rsid w:val="00424B8F"/>
    <w:rsid w:val="00425216"/>
    <w:rsid w:val="00425537"/>
    <w:rsid w:val="004258E8"/>
    <w:rsid w:val="0042616E"/>
    <w:rsid w:val="00427CCB"/>
    <w:rsid w:val="00431504"/>
    <w:rsid w:val="00432055"/>
    <w:rsid w:val="00432373"/>
    <w:rsid w:val="00433AC1"/>
    <w:rsid w:val="00433C3C"/>
    <w:rsid w:val="00433CE1"/>
    <w:rsid w:val="00434DAA"/>
    <w:rsid w:val="00434FF4"/>
    <w:rsid w:val="00435549"/>
    <w:rsid w:val="00435772"/>
    <w:rsid w:val="00435CC5"/>
    <w:rsid w:val="00436D06"/>
    <w:rsid w:val="00436D8C"/>
    <w:rsid w:val="00437039"/>
    <w:rsid w:val="00437B96"/>
    <w:rsid w:val="00437BF2"/>
    <w:rsid w:val="00440B09"/>
    <w:rsid w:val="00440E22"/>
    <w:rsid w:val="00441D26"/>
    <w:rsid w:val="00443444"/>
    <w:rsid w:val="00443467"/>
    <w:rsid w:val="004434DB"/>
    <w:rsid w:val="00443E59"/>
    <w:rsid w:val="00443E7F"/>
    <w:rsid w:val="00444A4F"/>
    <w:rsid w:val="00446892"/>
    <w:rsid w:val="00446E2F"/>
    <w:rsid w:val="00447687"/>
    <w:rsid w:val="004478FC"/>
    <w:rsid w:val="004509F5"/>
    <w:rsid w:val="0045119E"/>
    <w:rsid w:val="00451422"/>
    <w:rsid w:val="00451A63"/>
    <w:rsid w:val="00452120"/>
    <w:rsid w:val="00452376"/>
    <w:rsid w:val="00452EFB"/>
    <w:rsid w:val="00453F09"/>
    <w:rsid w:val="00455707"/>
    <w:rsid w:val="00455D72"/>
    <w:rsid w:val="00456D89"/>
    <w:rsid w:val="004571B2"/>
    <w:rsid w:val="00457498"/>
    <w:rsid w:val="0045772C"/>
    <w:rsid w:val="00457EB2"/>
    <w:rsid w:val="00457EBA"/>
    <w:rsid w:val="00460057"/>
    <w:rsid w:val="004600E7"/>
    <w:rsid w:val="0046045F"/>
    <w:rsid w:val="004611DE"/>
    <w:rsid w:val="004615DC"/>
    <w:rsid w:val="004618DC"/>
    <w:rsid w:val="00461E32"/>
    <w:rsid w:val="00462488"/>
    <w:rsid w:val="0046276F"/>
    <w:rsid w:val="00462F9B"/>
    <w:rsid w:val="00464863"/>
    <w:rsid w:val="0046503F"/>
    <w:rsid w:val="004651AA"/>
    <w:rsid w:val="00465206"/>
    <w:rsid w:val="00466896"/>
    <w:rsid w:val="00467443"/>
    <w:rsid w:val="004675A0"/>
    <w:rsid w:val="004703FA"/>
    <w:rsid w:val="0047078B"/>
    <w:rsid w:val="0047194B"/>
    <w:rsid w:val="004723F3"/>
    <w:rsid w:val="00472A36"/>
    <w:rsid w:val="00472A52"/>
    <w:rsid w:val="00473DC8"/>
    <w:rsid w:val="00474223"/>
    <w:rsid w:val="00474886"/>
    <w:rsid w:val="004756F5"/>
    <w:rsid w:val="004767B4"/>
    <w:rsid w:val="00477335"/>
    <w:rsid w:val="0047783E"/>
    <w:rsid w:val="0048027E"/>
    <w:rsid w:val="004803EE"/>
    <w:rsid w:val="00480757"/>
    <w:rsid w:val="00481276"/>
    <w:rsid w:val="00482D33"/>
    <w:rsid w:val="004834ED"/>
    <w:rsid w:val="004838FB"/>
    <w:rsid w:val="00484192"/>
    <w:rsid w:val="00484CE2"/>
    <w:rsid w:val="00484D2A"/>
    <w:rsid w:val="0048537C"/>
    <w:rsid w:val="00485DC0"/>
    <w:rsid w:val="0048645F"/>
    <w:rsid w:val="00486A96"/>
    <w:rsid w:val="004872F0"/>
    <w:rsid w:val="00487801"/>
    <w:rsid w:val="004907C7"/>
    <w:rsid w:val="0049095D"/>
    <w:rsid w:val="00490AA3"/>
    <w:rsid w:val="00490B0F"/>
    <w:rsid w:val="0049196B"/>
    <w:rsid w:val="00491B99"/>
    <w:rsid w:val="00491DFF"/>
    <w:rsid w:val="00492138"/>
    <w:rsid w:val="00492ABD"/>
    <w:rsid w:val="00492FB4"/>
    <w:rsid w:val="0049359F"/>
    <w:rsid w:val="004935C2"/>
    <w:rsid w:val="0049364E"/>
    <w:rsid w:val="004937E6"/>
    <w:rsid w:val="004938F3"/>
    <w:rsid w:val="00493A72"/>
    <w:rsid w:val="004940A1"/>
    <w:rsid w:val="00494229"/>
    <w:rsid w:val="004944E6"/>
    <w:rsid w:val="004971CD"/>
    <w:rsid w:val="004973B0"/>
    <w:rsid w:val="004A0842"/>
    <w:rsid w:val="004A14B5"/>
    <w:rsid w:val="004A14F1"/>
    <w:rsid w:val="004A1CE0"/>
    <w:rsid w:val="004A2800"/>
    <w:rsid w:val="004A2A38"/>
    <w:rsid w:val="004A3510"/>
    <w:rsid w:val="004A39B1"/>
    <w:rsid w:val="004A3CA5"/>
    <w:rsid w:val="004A41B9"/>
    <w:rsid w:val="004A50B3"/>
    <w:rsid w:val="004A588A"/>
    <w:rsid w:val="004A69B6"/>
    <w:rsid w:val="004A6A4A"/>
    <w:rsid w:val="004A6E11"/>
    <w:rsid w:val="004A78BC"/>
    <w:rsid w:val="004B0292"/>
    <w:rsid w:val="004B120D"/>
    <w:rsid w:val="004B180C"/>
    <w:rsid w:val="004B22F9"/>
    <w:rsid w:val="004B291E"/>
    <w:rsid w:val="004B366C"/>
    <w:rsid w:val="004B406E"/>
    <w:rsid w:val="004B4825"/>
    <w:rsid w:val="004B49E8"/>
    <w:rsid w:val="004B4C42"/>
    <w:rsid w:val="004B5277"/>
    <w:rsid w:val="004B6122"/>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6D1B"/>
    <w:rsid w:val="004C7702"/>
    <w:rsid w:val="004C7D62"/>
    <w:rsid w:val="004C7E7D"/>
    <w:rsid w:val="004D00F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8BA"/>
    <w:rsid w:val="004D5A85"/>
    <w:rsid w:val="004D71C9"/>
    <w:rsid w:val="004D7413"/>
    <w:rsid w:val="004D789C"/>
    <w:rsid w:val="004D794C"/>
    <w:rsid w:val="004D795E"/>
    <w:rsid w:val="004E0EA2"/>
    <w:rsid w:val="004E3146"/>
    <w:rsid w:val="004E32EA"/>
    <w:rsid w:val="004E3768"/>
    <w:rsid w:val="004E3CDB"/>
    <w:rsid w:val="004E3E32"/>
    <w:rsid w:val="004E4A11"/>
    <w:rsid w:val="004E4D03"/>
    <w:rsid w:val="004E60EF"/>
    <w:rsid w:val="004E7A72"/>
    <w:rsid w:val="004F0C55"/>
    <w:rsid w:val="004F16FC"/>
    <w:rsid w:val="004F1D2B"/>
    <w:rsid w:val="004F1D47"/>
    <w:rsid w:val="004F1EE7"/>
    <w:rsid w:val="004F2207"/>
    <w:rsid w:val="004F28C6"/>
    <w:rsid w:val="004F3C3A"/>
    <w:rsid w:val="004F4392"/>
    <w:rsid w:val="004F471A"/>
    <w:rsid w:val="004F48EC"/>
    <w:rsid w:val="004F4AAD"/>
    <w:rsid w:val="004F5588"/>
    <w:rsid w:val="004F7367"/>
    <w:rsid w:val="00500A1D"/>
    <w:rsid w:val="00501614"/>
    <w:rsid w:val="0050217E"/>
    <w:rsid w:val="005022CC"/>
    <w:rsid w:val="0050249F"/>
    <w:rsid w:val="00502675"/>
    <w:rsid w:val="00502D0C"/>
    <w:rsid w:val="00504A1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6EC"/>
    <w:rsid w:val="00522914"/>
    <w:rsid w:val="00522B5B"/>
    <w:rsid w:val="00523E9C"/>
    <w:rsid w:val="005244F8"/>
    <w:rsid w:val="00524B1D"/>
    <w:rsid w:val="00525652"/>
    <w:rsid w:val="00525F28"/>
    <w:rsid w:val="0052646E"/>
    <w:rsid w:val="00527800"/>
    <w:rsid w:val="00527D6C"/>
    <w:rsid w:val="00530CB6"/>
    <w:rsid w:val="00530FF4"/>
    <w:rsid w:val="00532145"/>
    <w:rsid w:val="0053241A"/>
    <w:rsid w:val="0053266D"/>
    <w:rsid w:val="005327E8"/>
    <w:rsid w:val="00532A74"/>
    <w:rsid w:val="00532D7F"/>
    <w:rsid w:val="00532DB6"/>
    <w:rsid w:val="00533907"/>
    <w:rsid w:val="00533E88"/>
    <w:rsid w:val="00534271"/>
    <w:rsid w:val="0053460A"/>
    <w:rsid w:val="00534680"/>
    <w:rsid w:val="00534D65"/>
    <w:rsid w:val="00535250"/>
    <w:rsid w:val="005366DD"/>
    <w:rsid w:val="00536892"/>
    <w:rsid w:val="005372C5"/>
    <w:rsid w:val="00537B10"/>
    <w:rsid w:val="00537BC7"/>
    <w:rsid w:val="00537CC1"/>
    <w:rsid w:val="00537E2D"/>
    <w:rsid w:val="005407D6"/>
    <w:rsid w:val="005418C0"/>
    <w:rsid w:val="005425D4"/>
    <w:rsid w:val="00542983"/>
    <w:rsid w:val="00542A14"/>
    <w:rsid w:val="005435C7"/>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7CC"/>
    <w:rsid w:val="005549E2"/>
    <w:rsid w:val="00554ED3"/>
    <w:rsid w:val="0055578F"/>
    <w:rsid w:val="00555F51"/>
    <w:rsid w:val="00556331"/>
    <w:rsid w:val="00556BDC"/>
    <w:rsid w:val="00556BEC"/>
    <w:rsid w:val="00556C02"/>
    <w:rsid w:val="0056008F"/>
    <w:rsid w:val="005619F6"/>
    <w:rsid w:val="00561F79"/>
    <w:rsid w:val="005646C2"/>
    <w:rsid w:val="005665A7"/>
    <w:rsid w:val="00566C92"/>
    <w:rsid w:val="00566F3D"/>
    <w:rsid w:val="00567193"/>
    <w:rsid w:val="005677F1"/>
    <w:rsid w:val="00567EDC"/>
    <w:rsid w:val="0057045A"/>
    <w:rsid w:val="00570C0D"/>
    <w:rsid w:val="00571CA4"/>
    <w:rsid w:val="00571FFB"/>
    <w:rsid w:val="0057380D"/>
    <w:rsid w:val="005744C0"/>
    <w:rsid w:val="0057478A"/>
    <w:rsid w:val="005751D4"/>
    <w:rsid w:val="00576C7D"/>
    <w:rsid w:val="00577432"/>
    <w:rsid w:val="00580F59"/>
    <w:rsid w:val="0058105B"/>
    <w:rsid w:val="0058166A"/>
    <w:rsid w:val="00581FD7"/>
    <w:rsid w:val="00582465"/>
    <w:rsid w:val="00582AA3"/>
    <w:rsid w:val="00583908"/>
    <w:rsid w:val="0058391B"/>
    <w:rsid w:val="00583B5C"/>
    <w:rsid w:val="00585686"/>
    <w:rsid w:val="00585A10"/>
    <w:rsid w:val="005866F0"/>
    <w:rsid w:val="0058675C"/>
    <w:rsid w:val="005875FB"/>
    <w:rsid w:val="00587727"/>
    <w:rsid w:val="00587894"/>
    <w:rsid w:val="00587B3F"/>
    <w:rsid w:val="005907F6"/>
    <w:rsid w:val="00590A7D"/>
    <w:rsid w:val="0059119D"/>
    <w:rsid w:val="00592325"/>
    <w:rsid w:val="005927BD"/>
    <w:rsid w:val="00592CF8"/>
    <w:rsid w:val="00593A96"/>
    <w:rsid w:val="00593D06"/>
    <w:rsid w:val="005942F2"/>
    <w:rsid w:val="00594498"/>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535"/>
    <w:rsid w:val="005A28D8"/>
    <w:rsid w:val="005A28E0"/>
    <w:rsid w:val="005A2D16"/>
    <w:rsid w:val="005A301B"/>
    <w:rsid w:val="005A369B"/>
    <w:rsid w:val="005A4786"/>
    <w:rsid w:val="005A5467"/>
    <w:rsid w:val="005A5673"/>
    <w:rsid w:val="005A6044"/>
    <w:rsid w:val="005A659A"/>
    <w:rsid w:val="005A758D"/>
    <w:rsid w:val="005B005D"/>
    <w:rsid w:val="005B06C8"/>
    <w:rsid w:val="005B0B37"/>
    <w:rsid w:val="005B16EA"/>
    <w:rsid w:val="005B1C54"/>
    <w:rsid w:val="005B1DDA"/>
    <w:rsid w:val="005B1EBA"/>
    <w:rsid w:val="005B24B9"/>
    <w:rsid w:val="005B2F34"/>
    <w:rsid w:val="005B34E5"/>
    <w:rsid w:val="005B4ABC"/>
    <w:rsid w:val="005B4D0F"/>
    <w:rsid w:val="005B4DEF"/>
    <w:rsid w:val="005B6779"/>
    <w:rsid w:val="005C05B2"/>
    <w:rsid w:val="005C066A"/>
    <w:rsid w:val="005C0D0D"/>
    <w:rsid w:val="005C1A86"/>
    <w:rsid w:val="005C1DBA"/>
    <w:rsid w:val="005C24E6"/>
    <w:rsid w:val="005C385E"/>
    <w:rsid w:val="005C3DA0"/>
    <w:rsid w:val="005C4AB8"/>
    <w:rsid w:val="005C64E5"/>
    <w:rsid w:val="005C7620"/>
    <w:rsid w:val="005C77A8"/>
    <w:rsid w:val="005C7950"/>
    <w:rsid w:val="005C7DF2"/>
    <w:rsid w:val="005D0117"/>
    <w:rsid w:val="005D1CA1"/>
    <w:rsid w:val="005D279A"/>
    <w:rsid w:val="005D297C"/>
    <w:rsid w:val="005D4320"/>
    <w:rsid w:val="005D4DC5"/>
    <w:rsid w:val="005D53B5"/>
    <w:rsid w:val="005D582F"/>
    <w:rsid w:val="005D5AEE"/>
    <w:rsid w:val="005D6DF0"/>
    <w:rsid w:val="005D6EA1"/>
    <w:rsid w:val="005D724B"/>
    <w:rsid w:val="005D77F0"/>
    <w:rsid w:val="005E1242"/>
    <w:rsid w:val="005E1671"/>
    <w:rsid w:val="005E185B"/>
    <w:rsid w:val="005E2285"/>
    <w:rsid w:val="005E26CF"/>
    <w:rsid w:val="005E3379"/>
    <w:rsid w:val="005E39C3"/>
    <w:rsid w:val="005E4A71"/>
    <w:rsid w:val="005E5264"/>
    <w:rsid w:val="005E5575"/>
    <w:rsid w:val="005E55AB"/>
    <w:rsid w:val="005E5743"/>
    <w:rsid w:val="005E584D"/>
    <w:rsid w:val="005E5DBD"/>
    <w:rsid w:val="005E5FD2"/>
    <w:rsid w:val="005E6F10"/>
    <w:rsid w:val="005E78FA"/>
    <w:rsid w:val="005F0874"/>
    <w:rsid w:val="005F08ED"/>
    <w:rsid w:val="005F1CAA"/>
    <w:rsid w:val="005F20D1"/>
    <w:rsid w:val="005F231E"/>
    <w:rsid w:val="005F285B"/>
    <w:rsid w:val="005F2F34"/>
    <w:rsid w:val="005F3737"/>
    <w:rsid w:val="005F446A"/>
    <w:rsid w:val="005F489A"/>
    <w:rsid w:val="005F4D4C"/>
    <w:rsid w:val="005F51B0"/>
    <w:rsid w:val="005F5739"/>
    <w:rsid w:val="005F6834"/>
    <w:rsid w:val="005F6D4A"/>
    <w:rsid w:val="006001D3"/>
    <w:rsid w:val="0060031F"/>
    <w:rsid w:val="006003DB"/>
    <w:rsid w:val="006003E3"/>
    <w:rsid w:val="006003EF"/>
    <w:rsid w:val="00600405"/>
    <w:rsid w:val="006004E0"/>
    <w:rsid w:val="006010C0"/>
    <w:rsid w:val="00601DEC"/>
    <w:rsid w:val="00601F5F"/>
    <w:rsid w:val="0060284E"/>
    <w:rsid w:val="00602CE7"/>
    <w:rsid w:val="00603A93"/>
    <w:rsid w:val="006042EB"/>
    <w:rsid w:val="0060443B"/>
    <w:rsid w:val="00604632"/>
    <w:rsid w:val="006055C4"/>
    <w:rsid w:val="0060684A"/>
    <w:rsid w:val="00607388"/>
    <w:rsid w:val="00610405"/>
    <w:rsid w:val="00610450"/>
    <w:rsid w:val="00610737"/>
    <w:rsid w:val="00610C5F"/>
    <w:rsid w:val="00611F3E"/>
    <w:rsid w:val="00613344"/>
    <w:rsid w:val="00614172"/>
    <w:rsid w:val="006145DF"/>
    <w:rsid w:val="00614896"/>
    <w:rsid w:val="00614A56"/>
    <w:rsid w:val="006152D6"/>
    <w:rsid w:val="00615B58"/>
    <w:rsid w:val="00615BCC"/>
    <w:rsid w:val="00616690"/>
    <w:rsid w:val="00617801"/>
    <w:rsid w:val="006179B0"/>
    <w:rsid w:val="0062007A"/>
    <w:rsid w:val="006206C8"/>
    <w:rsid w:val="00620B3E"/>
    <w:rsid w:val="00620D09"/>
    <w:rsid w:val="00620D75"/>
    <w:rsid w:val="00622ADF"/>
    <w:rsid w:val="00622F7B"/>
    <w:rsid w:val="006238E8"/>
    <w:rsid w:val="006241E8"/>
    <w:rsid w:val="00624803"/>
    <w:rsid w:val="00625D04"/>
    <w:rsid w:val="00625FE6"/>
    <w:rsid w:val="00626134"/>
    <w:rsid w:val="00626B7C"/>
    <w:rsid w:val="00630179"/>
    <w:rsid w:val="00630923"/>
    <w:rsid w:val="00630DCD"/>
    <w:rsid w:val="0063109C"/>
    <w:rsid w:val="00631A8B"/>
    <w:rsid w:val="00633ADE"/>
    <w:rsid w:val="00634227"/>
    <w:rsid w:val="00634286"/>
    <w:rsid w:val="00634500"/>
    <w:rsid w:val="00635EEC"/>
    <w:rsid w:val="0063616B"/>
    <w:rsid w:val="00636986"/>
    <w:rsid w:val="00637107"/>
    <w:rsid w:val="0063720A"/>
    <w:rsid w:val="00637F39"/>
    <w:rsid w:val="00641166"/>
    <w:rsid w:val="00641C60"/>
    <w:rsid w:val="006426B4"/>
    <w:rsid w:val="00643564"/>
    <w:rsid w:val="00643C18"/>
    <w:rsid w:val="006448EB"/>
    <w:rsid w:val="00644A0A"/>
    <w:rsid w:val="0065074A"/>
    <w:rsid w:val="006512DF"/>
    <w:rsid w:val="00651374"/>
    <w:rsid w:val="00651711"/>
    <w:rsid w:val="00651A1A"/>
    <w:rsid w:val="00651D61"/>
    <w:rsid w:val="00652415"/>
    <w:rsid w:val="00653599"/>
    <w:rsid w:val="0065371A"/>
    <w:rsid w:val="00653A4C"/>
    <w:rsid w:val="00653C5B"/>
    <w:rsid w:val="006543AD"/>
    <w:rsid w:val="006544E2"/>
    <w:rsid w:val="00655CC8"/>
    <w:rsid w:val="00656542"/>
    <w:rsid w:val="006567E9"/>
    <w:rsid w:val="00657BE8"/>
    <w:rsid w:val="00657C22"/>
    <w:rsid w:val="00657D5F"/>
    <w:rsid w:val="00657ED2"/>
    <w:rsid w:val="00660230"/>
    <w:rsid w:val="00662432"/>
    <w:rsid w:val="0066245E"/>
    <w:rsid w:val="0066351D"/>
    <w:rsid w:val="00663B93"/>
    <w:rsid w:val="00665F5B"/>
    <w:rsid w:val="0066660A"/>
    <w:rsid w:val="006668EB"/>
    <w:rsid w:val="006669AD"/>
    <w:rsid w:val="00666A3F"/>
    <w:rsid w:val="00666DB4"/>
    <w:rsid w:val="00667D1D"/>
    <w:rsid w:val="006700EF"/>
    <w:rsid w:val="00670F64"/>
    <w:rsid w:val="00671EF0"/>
    <w:rsid w:val="006720CE"/>
    <w:rsid w:val="006728BA"/>
    <w:rsid w:val="00672C6F"/>
    <w:rsid w:val="006732AD"/>
    <w:rsid w:val="00673861"/>
    <w:rsid w:val="0067468A"/>
    <w:rsid w:val="0067468B"/>
    <w:rsid w:val="006747D4"/>
    <w:rsid w:val="00674997"/>
    <w:rsid w:val="006754BF"/>
    <w:rsid w:val="00675999"/>
    <w:rsid w:val="00675A5C"/>
    <w:rsid w:val="00675F4B"/>
    <w:rsid w:val="00677106"/>
    <w:rsid w:val="00677975"/>
    <w:rsid w:val="0068249A"/>
    <w:rsid w:val="0068314D"/>
    <w:rsid w:val="006834E4"/>
    <w:rsid w:val="00684E16"/>
    <w:rsid w:val="00685327"/>
    <w:rsid w:val="0068576A"/>
    <w:rsid w:val="00685B88"/>
    <w:rsid w:val="006861A9"/>
    <w:rsid w:val="00687573"/>
    <w:rsid w:val="00690B6B"/>
    <w:rsid w:val="00690E1C"/>
    <w:rsid w:val="00690F0C"/>
    <w:rsid w:val="006919FA"/>
    <w:rsid w:val="00691D29"/>
    <w:rsid w:val="00692743"/>
    <w:rsid w:val="00692896"/>
    <w:rsid w:val="00695238"/>
    <w:rsid w:val="0069648C"/>
    <w:rsid w:val="00697117"/>
    <w:rsid w:val="00697FB6"/>
    <w:rsid w:val="006A0225"/>
    <w:rsid w:val="006A0318"/>
    <w:rsid w:val="006A0F25"/>
    <w:rsid w:val="006A0F58"/>
    <w:rsid w:val="006A18A1"/>
    <w:rsid w:val="006A1FF6"/>
    <w:rsid w:val="006A31B8"/>
    <w:rsid w:val="006A3796"/>
    <w:rsid w:val="006A48E1"/>
    <w:rsid w:val="006A4B50"/>
    <w:rsid w:val="006A4C81"/>
    <w:rsid w:val="006A4D5A"/>
    <w:rsid w:val="006A5C83"/>
    <w:rsid w:val="006A5D56"/>
    <w:rsid w:val="006A65AB"/>
    <w:rsid w:val="006A6BC3"/>
    <w:rsid w:val="006A6CF8"/>
    <w:rsid w:val="006A707F"/>
    <w:rsid w:val="006B0B79"/>
    <w:rsid w:val="006B0BC1"/>
    <w:rsid w:val="006B140A"/>
    <w:rsid w:val="006B1579"/>
    <w:rsid w:val="006B1805"/>
    <w:rsid w:val="006B184A"/>
    <w:rsid w:val="006B1B1F"/>
    <w:rsid w:val="006B1CD2"/>
    <w:rsid w:val="006B1D82"/>
    <w:rsid w:val="006B2259"/>
    <w:rsid w:val="006B4455"/>
    <w:rsid w:val="006B45E3"/>
    <w:rsid w:val="006B4665"/>
    <w:rsid w:val="006B5474"/>
    <w:rsid w:val="006B6441"/>
    <w:rsid w:val="006B6807"/>
    <w:rsid w:val="006B6A68"/>
    <w:rsid w:val="006B710D"/>
    <w:rsid w:val="006B7221"/>
    <w:rsid w:val="006B7499"/>
    <w:rsid w:val="006B7D00"/>
    <w:rsid w:val="006C05E9"/>
    <w:rsid w:val="006C0E70"/>
    <w:rsid w:val="006C0FB7"/>
    <w:rsid w:val="006C15D8"/>
    <w:rsid w:val="006C4114"/>
    <w:rsid w:val="006C4A9A"/>
    <w:rsid w:val="006C56CE"/>
    <w:rsid w:val="006C5771"/>
    <w:rsid w:val="006C5D99"/>
    <w:rsid w:val="006C5E0D"/>
    <w:rsid w:val="006C654A"/>
    <w:rsid w:val="006C6F79"/>
    <w:rsid w:val="006C7E55"/>
    <w:rsid w:val="006C7EDC"/>
    <w:rsid w:val="006D013C"/>
    <w:rsid w:val="006D01D1"/>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3D4"/>
    <w:rsid w:val="006F15A6"/>
    <w:rsid w:val="006F2C6D"/>
    <w:rsid w:val="006F327E"/>
    <w:rsid w:val="006F437A"/>
    <w:rsid w:val="006F461C"/>
    <w:rsid w:val="006F4F2A"/>
    <w:rsid w:val="006F61B6"/>
    <w:rsid w:val="006F74DC"/>
    <w:rsid w:val="007009EA"/>
    <w:rsid w:val="00701A60"/>
    <w:rsid w:val="00701F42"/>
    <w:rsid w:val="007021C7"/>
    <w:rsid w:val="00703F50"/>
    <w:rsid w:val="00704499"/>
    <w:rsid w:val="00704573"/>
    <w:rsid w:val="00704A0E"/>
    <w:rsid w:val="0070526C"/>
    <w:rsid w:val="007059BD"/>
    <w:rsid w:val="0070647E"/>
    <w:rsid w:val="00706544"/>
    <w:rsid w:val="00707868"/>
    <w:rsid w:val="00707E1B"/>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C32"/>
    <w:rsid w:val="00722F42"/>
    <w:rsid w:val="00723E2E"/>
    <w:rsid w:val="00723F0C"/>
    <w:rsid w:val="00725095"/>
    <w:rsid w:val="00725634"/>
    <w:rsid w:val="00725925"/>
    <w:rsid w:val="00725F31"/>
    <w:rsid w:val="0072700C"/>
    <w:rsid w:val="00727D20"/>
    <w:rsid w:val="007303D3"/>
    <w:rsid w:val="00730D3C"/>
    <w:rsid w:val="00730F5C"/>
    <w:rsid w:val="0073144A"/>
    <w:rsid w:val="00731675"/>
    <w:rsid w:val="007316B8"/>
    <w:rsid w:val="00731772"/>
    <w:rsid w:val="00731AFB"/>
    <w:rsid w:val="007326E2"/>
    <w:rsid w:val="00732C4F"/>
    <w:rsid w:val="00733C34"/>
    <w:rsid w:val="00733DD9"/>
    <w:rsid w:val="007340AC"/>
    <w:rsid w:val="0073424A"/>
    <w:rsid w:val="00734FFF"/>
    <w:rsid w:val="007358BD"/>
    <w:rsid w:val="00735ADA"/>
    <w:rsid w:val="00736DBA"/>
    <w:rsid w:val="0073713C"/>
    <w:rsid w:val="007374B2"/>
    <w:rsid w:val="007375E5"/>
    <w:rsid w:val="007402FF"/>
    <w:rsid w:val="007407C2"/>
    <w:rsid w:val="0074095E"/>
    <w:rsid w:val="007413D5"/>
    <w:rsid w:val="007417A5"/>
    <w:rsid w:val="00741D02"/>
    <w:rsid w:val="00742DAE"/>
    <w:rsid w:val="00742FD8"/>
    <w:rsid w:val="00745066"/>
    <w:rsid w:val="0074509D"/>
    <w:rsid w:val="00745530"/>
    <w:rsid w:val="007466FB"/>
    <w:rsid w:val="0074692B"/>
    <w:rsid w:val="00747350"/>
    <w:rsid w:val="00747F56"/>
    <w:rsid w:val="00751B50"/>
    <w:rsid w:val="007526D0"/>
    <w:rsid w:val="007527CB"/>
    <w:rsid w:val="00752857"/>
    <w:rsid w:val="00752CA7"/>
    <w:rsid w:val="007531A3"/>
    <w:rsid w:val="0075366B"/>
    <w:rsid w:val="00753AEB"/>
    <w:rsid w:val="00753D44"/>
    <w:rsid w:val="00755563"/>
    <w:rsid w:val="00756701"/>
    <w:rsid w:val="00756901"/>
    <w:rsid w:val="00756C52"/>
    <w:rsid w:val="007572D2"/>
    <w:rsid w:val="00757331"/>
    <w:rsid w:val="00757619"/>
    <w:rsid w:val="007577FA"/>
    <w:rsid w:val="007603AA"/>
    <w:rsid w:val="00760769"/>
    <w:rsid w:val="00760F63"/>
    <w:rsid w:val="007619D7"/>
    <w:rsid w:val="007624A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546"/>
    <w:rsid w:val="00782EE9"/>
    <w:rsid w:val="007849C4"/>
    <w:rsid w:val="0078587D"/>
    <w:rsid w:val="00786256"/>
    <w:rsid w:val="0078631D"/>
    <w:rsid w:val="00787056"/>
    <w:rsid w:val="007873C8"/>
    <w:rsid w:val="007875B5"/>
    <w:rsid w:val="00790822"/>
    <w:rsid w:val="00790EEA"/>
    <w:rsid w:val="0079118D"/>
    <w:rsid w:val="00791552"/>
    <w:rsid w:val="007915A3"/>
    <w:rsid w:val="007915B1"/>
    <w:rsid w:val="00791730"/>
    <w:rsid w:val="00791C8B"/>
    <w:rsid w:val="00791F8F"/>
    <w:rsid w:val="00792289"/>
    <w:rsid w:val="00793538"/>
    <w:rsid w:val="00794542"/>
    <w:rsid w:val="00794C42"/>
    <w:rsid w:val="0079534A"/>
    <w:rsid w:val="007961CE"/>
    <w:rsid w:val="00796306"/>
    <w:rsid w:val="007964B5"/>
    <w:rsid w:val="0079700E"/>
    <w:rsid w:val="00797376"/>
    <w:rsid w:val="0079759B"/>
    <w:rsid w:val="007A12D2"/>
    <w:rsid w:val="007A2B68"/>
    <w:rsid w:val="007A321D"/>
    <w:rsid w:val="007A3695"/>
    <w:rsid w:val="007A379E"/>
    <w:rsid w:val="007A4837"/>
    <w:rsid w:val="007A49E9"/>
    <w:rsid w:val="007A64B3"/>
    <w:rsid w:val="007A6C2B"/>
    <w:rsid w:val="007A6C86"/>
    <w:rsid w:val="007A7235"/>
    <w:rsid w:val="007B0655"/>
    <w:rsid w:val="007B0871"/>
    <w:rsid w:val="007B1842"/>
    <w:rsid w:val="007B201F"/>
    <w:rsid w:val="007B2122"/>
    <w:rsid w:val="007B22CD"/>
    <w:rsid w:val="007B2B69"/>
    <w:rsid w:val="007B2D24"/>
    <w:rsid w:val="007B441D"/>
    <w:rsid w:val="007B45EC"/>
    <w:rsid w:val="007B4850"/>
    <w:rsid w:val="007B51A0"/>
    <w:rsid w:val="007B5662"/>
    <w:rsid w:val="007B5842"/>
    <w:rsid w:val="007B5E23"/>
    <w:rsid w:val="007B602B"/>
    <w:rsid w:val="007B7A14"/>
    <w:rsid w:val="007C0F54"/>
    <w:rsid w:val="007C10BC"/>
    <w:rsid w:val="007C1C82"/>
    <w:rsid w:val="007C1F7D"/>
    <w:rsid w:val="007C2061"/>
    <w:rsid w:val="007C27F8"/>
    <w:rsid w:val="007C28D4"/>
    <w:rsid w:val="007C3B47"/>
    <w:rsid w:val="007C3C37"/>
    <w:rsid w:val="007C4486"/>
    <w:rsid w:val="007C4A9F"/>
    <w:rsid w:val="007C4C02"/>
    <w:rsid w:val="007C53E6"/>
    <w:rsid w:val="007C67E9"/>
    <w:rsid w:val="007D0083"/>
    <w:rsid w:val="007D0245"/>
    <w:rsid w:val="007D0264"/>
    <w:rsid w:val="007D10ED"/>
    <w:rsid w:val="007D1264"/>
    <w:rsid w:val="007D1460"/>
    <w:rsid w:val="007D2570"/>
    <w:rsid w:val="007D3067"/>
    <w:rsid w:val="007D30CD"/>
    <w:rsid w:val="007D3DFE"/>
    <w:rsid w:val="007D485A"/>
    <w:rsid w:val="007D4A33"/>
    <w:rsid w:val="007D55CD"/>
    <w:rsid w:val="007D59CE"/>
    <w:rsid w:val="007D6FE6"/>
    <w:rsid w:val="007D7160"/>
    <w:rsid w:val="007D73F2"/>
    <w:rsid w:val="007D7B43"/>
    <w:rsid w:val="007D7E1E"/>
    <w:rsid w:val="007E0222"/>
    <w:rsid w:val="007E0FE2"/>
    <w:rsid w:val="007E1A4D"/>
    <w:rsid w:val="007E32CC"/>
    <w:rsid w:val="007E32F7"/>
    <w:rsid w:val="007E34A7"/>
    <w:rsid w:val="007E3984"/>
    <w:rsid w:val="007E3BB6"/>
    <w:rsid w:val="007E5209"/>
    <w:rsid w:val="007E52AC"/>
    <w:rsid w:val="007E6250"/>
    <w:rsid w:val="007E7016"/>
    <w:rsid w:val="007E729F"/>
    <w:rsid w:val="007F0996"/>
    <w:rsid w:val="007F2382"/>
    <w:rsid w:val="007F24BB"/>
    <w:rsid w:val="007F3B61"/>
    <w:rsid w:val="007F4436"/>
    <w:rsid w:val="007F483A"/>
    <w:rsid w:val="007F49D2"/>
    <w:rsid w:val="007F4A62"/>
    <w:rsid w:val="007F4FC0"/>
    <w:rsid w:val="007F6791"/>
    <w:rsid w:val="007F6A97"/>
    <w:rsid w:val="007F72D9"/>
    <w:rsid w:val="007F7FD5"/>
    <w:rsid w:val="0080151D"/>
    <w:rsid w:val="008015BB"/>
    <w:rsid w:val="008017AC"/>
    <w:rsid w:val="0080292F"/>
    <w:rsid w:val="0080350E"/>
    <w:rsid w:val="00803645"/>
    <w:rsid w:val="00803AFF"/>
    <w:rsid w:val="008045B0"/>
    <w:rsid w:val="008072E4"/>
    <w:rsid w:val="008076AA"/>
    <w:rsid w:val="0080785C"/>
    <w:rsid w:val="00810B2F"/>
    <w:rsid w:val="008111C6"/>
    <w:rsid w:val="00812268"/>
    <w:rsid w:val="00812B08"/>
    <w:rsid w:val="00813B7E"/>
    <w:rsid w:val="00814753"/>
    <w:rsid w:val="00814E1B"/>
    <w:rsid w:val="00815258"/>
    <w:rsid w:val="008157EE"/>
    <w:rsid w:val="008158FA"/>
    <w:rsid w:val="00815F49"/>
    <w:rsid w:val="00816428"/>
    <w:rsid w:val="008166D5"/>
    <w:rsid w:val="0081691D"/>
    <w:rsid w:val="00816DDA"/>
    <w:rsid w:val="00816EC0"/>
    <w:rsid w:val="008174F6"/>
    <w:rsid w:val="00820DF6"/>
    <w:rsid w:val="008216B5"/>
    <w:rsid w:val="008219E6"/>
    <w:rsid w:val="00821C83"/>
    <w:rsid w:val="00822343"/>
    <w:rsid w:val="00822525"/>
    <w:rsid w:val="008237D0"/>
    <w:rsid w:val="008239EF"/>
    <w:rsid w:val="00826176"/>
    <w:rsid w:val="008266AA"/>
    <w:rsid w:val="008268C5"/>
    <w:rsid w:val="008276B9"/>
    <w:rsid w:val="0082781D"/>
    <w:rsid w:val="00827E45"/>
    <w:rsid w:val="00830595"/>
    <w:rsid w:val="008322D5"/>
    <w:rsid w:val="00832862"/>
    <w:rsid w:val="00833097"/>
    <w:rsid w:val="0083405D"/>
    <w:rsid w:val="00834407"/>
    <w:rsid w:val="008345B0"/>
    <w:rsid w:val="00834741"/>
    <w:rsid w:val="008357AD"/>
    <w:rsid w:val="00835AF7"/>
    <w:rsid w:val="00836A07"/>
    <w:rsid w:val="00836BA6"/>
    <w:rsid w:val="00836E86"/>
    <w:rsid w:val="008372B3"/>
    <w:rsid w:val="008373EF"/>
    <w:rsid w:val="0084022D"/>
    <w:rsid w:val="00840CE7"/>
    <w:rsid w:val="00840F82"/>
    <w:rsid w:val="00841623"/>
    <w:rsid w:val="00841853"/>
    <w:rsid w:val="00841F71"/>
    <w:rsid w:val="0084296A"/>
    <w:rsid w:val="00842E90"/>
    <w:rsid w:val="00843765"/>
    <w:rsid w:val="00843C81"/>
    <w:rsid w:val="0084573E"/>
    <w:rsid w:val="00845E95"/>
    <w:rsid w:val="00846852"/>
    <w:rsid w:val="00847A99"/>
    <w:rsid w:val="00850058"/>
    <w:rsid w:val="008508CE"/>
    <w:rsid w:val="0085182F"/>
    <w:rsid w:val="00851AAB"/>
    <w:rsid w:val="00852729"/>
    <w:rsid w:val="00852DE6"/>
    <w:rsid w:val="00853002"/>
    <w:rsid w:val="008531B5"/>
    <w:rsid w:val="00853329"/>
    <w:rsid w:val="00853E66"/>
    <w:rsid w:val="00854172"/>
    <w:rsid w:val="00854181"/>
    <w:rsid w:val="00856FBC"/>
    <w:rsid w:val="00860003"/>
    <w:rsid w:val="008604FD"/>
    <w:rsid w:val="00860E87"/>
    <w:rsid w:val="0086178A"/>
    <w:rsid w:val="00861A52"/>
    <w:rsid w:val="00861CF9"/>
    <w:rsid w:val="00861D03"/>
    <w:rsid w:val="00862239"/>
    <w:rsid w:val="008623D1"/>
    <w:rsid w:val="00863699"/>
    <w:rsid w:val="00863F5C"/>
    <w:rsid w:val="0086404C"/>
    <w:rsid w:val="00864915"/>
    <w:rsid w:val="00864A1F"/>
    <w:rsid w:val="0086609B"/>
    <w:rsid w:val="00867698"/>
    <w:rsid w:val="00867E29"/>
    <w:rsid w:val="008716F2"/>
    <w:rsid w:val="00871989"/>
    <w:rsid w:val="00871FF3"/>
    <w:rsid w:val="00872620"/>
    <w:rsid w:val="00872FC7"/>
    <w:rsid w:val="00873D30"/>
    <w:rsid w:val="00873FB2"/>
    <w:rsid w:val="0087420C"/>
    <w:rsid w:val="00874A4F"/>
    <w:rsid w:val="00874CDF"/>
    <w:rsid w:val="00875262"/>
    <w:rsid w:val="0087532E"/>
    <w:rsid w:val="0087543E"/>
    <w:rsid w:val="00875597"/>
    <w:rsid w:val="00875A32"/>
    <w:rsid w:val="00875DEF"/>
    <w:rsid w:val="008766F1"/>
    <w:rsid w:val="00876B24"/>
    <w:rsid w:val="008777EC"/>
    <w:rsid w:val="00877C39"/>
    <w:rsid w:val="00877E48"/>
    <w:rsid w:val="00877FC4"/>
    <w:rsid w:val="0088010F"/>
    <w:rsid w:val="008801D3"/>
    <w:rsid w:val="0088092B"/>
    <w:rsid w:val="00880EB0"/>
    <w:rsid w:val="00880EEB"/>
    <w:rsid w:val="00881B99"/>
    <w:rsid w:val="008831B9"/>
    <w:rsid w:val="00883414"/>
    <w:rsid w:val="008835A1"/>
    <w:rsid w:val="00884005"/>
    <w:rsid w:val="00884063"/>
    <w:rsid w:val="00884E6E"/>
    <w:rsid w:val="00885FB5"/>
    <w:rsid w:val="0088638F"/>
    <w:rsid w:val="00886CA7"/>
    <w:rsid w:val="00887F25"/>
    <w:rsid w:val="00891897"/>
    <w:rsid w:val="008919A1"/>
    <w:rsid w:val="00891AAB"/>
    <w:rsid w:val="00891D02"/>
    <w:rsid w:val="00892896"/>
    <w:rsid w:val="00892D9B"/>
    <w:rsid w:val="00893059"/>
    <w:rsid w:val="00894037"/>
    <w:rsid w:val="00894B9A"/>
    <w:rsid w:val="008958A4"/>
    <w:rsid w:val="00895D24"/>
    <w:rsid w:val="00896C5F"/>
    <w:rsid w:val="00897844"/>
    <w:rsid w:val="008A004D"/>
    <w:rsid w:val="008A1522"/>
    <w:rsid w:val="008A15E5"/>
    <w:rsid w:val="008A191F"/>
    <w:rsid w:val="008A1AD2"/>
    <w:rsid w:val="008A2ACC"/>
    <w:rsid w:val="008A3047"/>
    <w:rsid w:val="008A3C53"/>
    <w:rsid w:val="008A4220"/>
    <w:rsid w:val="008A42F3"/>
    <w:rsid w:val="008A544E"/>
    <w:rsid w:val="008A5C61"/>
    <w:rsid w:val="008A5C71"/>
    <w:rsid w:val="008A7D13"/>
    <w:rsid w:val="008A7D66"/>
    <w:rsid w:val="008B01AD"/>
    <w:rsid w:val="008B01CC"/>
    <w:rsid w:val="008B0DF3"/>
    <w:rsid w:val="008B1170"/>
    <w:rsid w:val="008B2DE9"/>
    <w:rsid w:val="008B2E25"/>
    <w:rsid w:val="008B34B1"/>
    <w:rsid w:val="008B34F5"/>
    <w:rsid w:val="008B39F4"/>
    <w:rsid w:val="008B3E9A"/>
    <w:rsid w:val="008B4DA3"/>
    <w:rsid w:val="008B5104"/>
    <w:rsid w:val="008B57C5"/>
    <w:rsid w:val="008B5BC8"/>
    <w:rsid w:val="008B692E"/>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D5CA2"/>
    <w:rsid w:val="008D67F8"/>
    <w:rsid w:val="008D680A"/>
    <w:rsid w:val="008E0519"/>
    <w:rsid w:val="008E29CE"/>
    <w:rsid w:val="008E2CB4"/>
    <w:rsid w:val="008E2E19"/>
    <w:rsid w:val="008E344D"/>
    <w:rsid w:val="008E4C3B"/>
    <w:rsid w:val="008E5682"/>
    <w:rsid w:val="008E56A1"/>
    <w:rsid w:val="008E5CB0"/>
    <w:rsid w:val="008E7954"/>
    <w:rsid w:val="008F03B5"/>
    <w:rsid w:val="008F0A85"/>
    <w:rsid w:val="008F100D"/>
    <w:rsid w:val="008F16B4"/>
    <w:rsid w:val="008F22CE"/>
    <w:rsid w:val="008F2487"/>
    <w:rsid w:val="008F3C0E"/>
    <w:rsid w:val="008F4302"/>
    <w:rsid w:val="008F45AB"/>
    <w:rsid w:val="008F46C3"/>
    <w:rsid w:val="008F5F41"/>
    <w:rsid w:val="008F62A4"/>
    <w:rsid w:val="008F69CC"/>
    <w:rsid w:val="008F6E57"/>
    <w:rsid w:val="008F748C"/>
    <w:rsid w:val="008F781E"/>
    <w:rsid w:val="008F7DF6"/>
    <w:rsid w:val="0090015E"/>
    <w:rsid w:val="00900D64"/>
    <w:rsid w:val="009031C4"/>
    <w:rsid w:val="00903840"/>
    <w:rsid w:val="00903AF0"/>
    <w:rsid w:val="00903C6F"/>
    <w:rsid w:val="00904185"/>
    <w:rsid w:val="0090535E"/>
    <w:rsid w:val="00905F98"/>
    <w:rsid w:val="0090605F"/>
    <w:rsid w:val="009113FE"/>
    <w:rsid w:val="009118C8"/>
    <w:rsid w:val="00911EB4"/>
    <w:rsid w:val="009127A9"/>
    <w:rsid w:val="00912B49"/>
    <w:rsid w:val="00912E82"/>
    <w:rsid w:val="00913569"/>
    <w:rsid w:val="009139AF"/>
    <w:rsid w:val="00913EC2"/>
    <w:rsid w:val="009144D6"/>
    <w:rsid w:val="0091677D"/>
    <w:rsid w:val="00916B70"/>
    <w:rsid w:val="0091713E"/>
    <w:rsid w:val="009178A2"/>
    <w:rsid w:val="00917A69"/>
    <w:rsid w:val="00917B68"/>
    <w:rsid w:val="00917F0D"/>
    <w:rsid w:val="0092029E"/>
    <w:rsid w:val="0092137A"/>
    <w:rsid w:val="00921818"/>
    <w:rsid w:val="00921E5B"/>
    <w:rsid w:val="00923F1C"/>
    <w:rsid w:val="009244E7"/>
    <w:rsid w:val="0092572A"/>
    <w:rsid w:val="0092683E"/>
    <w:rsid w:val="0092730E"/>
    <w:rsid w:val="00927444"/>
    <w:rsid w:val="0092755F"/>
    <w:rsid w:val="00927F1B"/>
    <w:rsid w:val="0093021B"/>
    <w:rsid w:val="009309E3"/>
    <w:rsid w:val="00931243"/>
    <w:rsid w:val="00931E70"/>
    <w:rsid w:val="0093221A"/>
    <w:rsid w:val="00933865"/>
    <w:rsid w:val="00933F96"/>
    <w:rsid w:val="00934372"/>
    <w:rsid w:val="00934494"/>
    <w:rsid w:val="00934D0F"/>
    <w:rsid w:val="0093514A"/>
    <w:rsid w:val="009352E2"/>
    <w:rsid w:val="0093582A"/>
    <w:rsid w:val="00935A6C"/>
    <w:rsid w:val="009360E7"/>
    <w:rsid w:val="00936190"/>
    <w:rsid w:val="0093651F"/>
    <w:rsid w:val="009372E1"/>
    <w:rsid w:val="00937ADE"/>
    <w:rsid w:val="00940045"/>
    <w:rsid w:val="009406A5"/>
    <w:rsid w:val="00941349"/>
    <w:rsid w:val="00941E07"/>
    <w:rsid w:val="00943038"/>
    <w:rsid w:val="00943065"/>
    <w:rsid w:val="00943A20"/>
    <w:rsid w:val="00943BBA"/>
    <w:rsid w:val="00943C7B"/>
    <w:rsid w:val="00944924"/>
    <w:rsid w:val="00944C68"/>
    <w:rsid w:val="00945AED"/>
    <w:rsid w:val="00945BD7"/>
    <w:rsid w:val="009462F3"/>
    <w:rsid w:val="00946FDE"/>
    <w:rsid w:val="00947A14"/>
    <w:rsid w:val="00950258"/>
    <w:rsid w:val="0095053F"/>
    <w:rsid w:val="00950D52"/>
    <w:rsid w:val="00951DD0"/>
    <w:rsid w:val="00951F5C"/>
    <w:rsid w:val="009520E8"/>
    <w:rsid w:val="00953CFB"/>
    <w:rsid w:val="00954573"/>
    <w:rsid w:val="00954EF8"/>
    <w:rsid w:val="00955618"/>
    <w:rsid w:val="00956222"/>
    <w:rsid w:val="00956431"/>
    <w:rsid w:val="00957031"/>
    <w:rsid w:val="00957A0A"/>
    <w:rsid w:val="00957E04"/>
    <w:rsid w:val="00957F5E"/>
    <w:rsid w:val="00960375"/>
    <w:rsid w:val="00961014"/>
    <w:rsid w:val="00961E62"/>
    <w:rsid w:val="009625D9"/>
    <w:rsid w:val="00962C0C"/>
    <w:rsid w:val="00963626"/>
    <w:rsid w:val="00963A3D"/>
    <w:rsid w:val="00964079"/>
    <w:rsid w:val="00964619"/>
    <w:rsid w:val="00964E34"/>
    <w:rsid w:val="009659E4"/>
    <w:rsid w:val="00965DA7"/>
    <w:rsid w:val="00966423"/>
    <w:rsid w:val="00967753"/>
    <w:rsid w:val="00967AE2"/>
    <w:rsid w:val="0097042B"/>
    <w:rsid w:val="00970F33"/>
    <w:rsid w:val="00971446"/>
    <w:rsid w:val="00971A70"/>
    <w:rsid w:val="00971D15"/>
    <w:rsid w:val="009727A2"/>
    <w:rsid w:val="009739AA"/>
    <w:rsid w:val="00973CF1"/>
    <w:rsid w:val="00974565"/>
    <w:rsid w:val="009747F2"/>
    <w:rsid w:val="009749AD"/>
    <w:rsid w:val="00974C44"/>
    <w:rsid w:val="009751BA"/>
    <w:rsid w:val="00975D84"/>
    <w:rsid w:val="009765FD"/>
    <w:rsid w:val="009766AC"/>
    <w:rsid w:val="00976998"/>
    <w:rsid w:val="00976B16"/>
    <w:rsid w:val="00976CB1"/>
    <w:rsid w:val="0097740C"/>
    <w:rsid w:val="009774DD"/>
    <w:rsid w:val="00977C65"/>
    <w:rsid w:val="00982197"/>
    <w:rsid w:val="00982CDE"/>
    <w:rsid w:val="009847AC"/>
    <w:rsid w:val="00985AAF"/>
    <w:rsid w:val="00986720"/>
    <w:rsid w:val="00987731"/>
    <w:rsid w:val="00987CA2"/>
    <w:rsid w:val="00987D17"/>
    <w:rsid w:val="00987DDD"/>
    <w:rsid w:val="009905D2"/>
    <w:rsid w:val="0099086D"/>
    <w:rsid w:val="00991338"/>
    <w:rsid w:val="00991602"/>
    <w:rsid w:val="00991965"/>
    <w:rsid w:val="00992180"/>
    <w:rsid w:val="00992804"/>
    <w:rsid w:val="0099353B"/>
    <w:rsid w:val="0099378C"/>
    <w:rsid w:val="00993D7E"/>
    <w:rsid w:val="009944E0"/>
    <w:rsid w:val="00995698"/>
    <w:rsid w:val="00995729"/>
    <w:rsid w:val="009958BE"/>
    <w:rsid w:val="00996046"/>
    <w:rsid w:val="00996610"/>
    <w:rsid w:val="00996D35"/>
    <w:rsid w:val="00996E9D"/>
    <w:rsid w:val="0099731C"/>
    <w:rsid w:val="009973C1"/>
    <w:rsid w:val="009A1196"/>
    <w:rsid w:val="009A1E1F"/>
    <w:rsid w:val="009A2F63"/>
    <w:rsid w:val="009A38EB"/>
    <w:rsid w:val="009A5215"/>
    <w:rsid w:val="009A6082"/>
    <w:rsid w:val="009A67AD"/>
    <w:rsid w:val="009A6B9B"/>
    <w:rsid w:val="009A74D8"/>
    <w:rsid w:val="009B0A9D"/>
    <w:rsid w:val="009B1652"/>
    <w:rsid w:val="009B1CFB"/>
    <w:rsid w:val="009B2C8B"/>
    <w:rsid w:val="009B37E3"/>
    <w:rsid w:val="009B4431"/>
    <w:rsid w:val="009B4872"/>
    <w:rsid w:val="009B4F19"/>
    <w:rsid w:val="009B55C4"/>
    <w:rsid w:val="009B592C"/>
    <w:rsid w:val="009B65FA"/>
    <w:rsid w:val="009B6C10"/>
    <w:rsid w:val="009B774F"/>
    <w:rsid w:val="009B7E95"/>
    <w:rsid w:val="009C036F"/>
    <w:rsid w:val="009C0959"/>
    <w:rsid w:val="009C0A14"/>
    <w:rsid w:val="009C0B1E"/>
    <w:rsid w:val="009C1B40"/>
    <w:rsid w:val="009C30B3"/>
    <w:rsid w:val="009C37B7"/>
    <w:rsid w:val="009C4AE6"/>
    <w:rsid w:val="009C5B94"/>
    <w:rsid w:val="009C60AB"/>
    <w:rsid w:val="009C7C0E"/>
    <w:rsid w:val="009D08C7"/>
    <w:rsid w:val="009D0D80"/>
    <w:rsid w:val="009D0E68"/>
    <w:rsid w:val="009D17AB"/>
    <w:rsid w:val="009D1D64"/>
    <w:rsid w:val="009D202B"/>
    <w:rsid w:val="009D27CA"/>
    <w:rsid w:val="009D27F1"/>
    <w:rsid w:val="009D29CA"/>
    <w:rsid w:val="009D2F76"/>
    <w:rsid w:val="009D30BE"/>
    <w:rsid w:val="009D34CE"/>
    <w:rsid w:val="009D4646"/>
    <w:rsid w:val="009D486E"/>
    <w:rsid w:val="009D494C"/>
    <w:rsid w:val="009D5EF1"/>
    <w:rsid w:val="009D6463"/>
    <w:rsid w:val="009D7D3E"/>
    <w:rsid w:val="009E057E"/>
    <w:rsid w:val="009E19E3"/>
    <w:rsid w:val="009E1E14"/>
    <w:rsid w:val="009E22A5"/>
    <w:rsid w:val="009E2AB9"/>
    <w:rsid w:val="009E30A9"/>
    <w:rsid w:val="009E33DE"/>
    <w:rsid w:val="009E34AA"/>
    <w:rsid w:val="009E3793"/>
    <w:rsid w:val="009E40EE"/>
    <w:rsid w:val="009E4609"/>
    <w:rsid w:val="009E4724"/>
    <w:rsid w:val="009E4F7F"/>
    <w:rsid w:val="009E52F1"/>
    <w:rsid w:val="009E59C4"/>
    <w:rsid w:val="009E733E"/>
    <w:rsid w:val="009E7618"/>
    <w:rsid w:val="009F17D4"/>
    <w:rsid w:val="009F194F"/>
    <w:rsid w:val="009F25D4"/>
    <w:rsid w:val="009F312C"/>
    <w:rsid w:val="009F3B75"/>
    <w:rsid w:val="009F5EAB"/>
    <w:rsid w:val="009F6173"/>
    <w:rsid w:val="009F61E5"/>
    <w:rsid w:val="009F6288"/>
    <w:rsid w:val="009F6598"/>
    <w:rsid w:val="009F6706"/>
    <w:rsid w:val="009F6F12"/>
    <w:rsid w:val="009F78ED"/>
    <w:rsid w:val="009F7B01"/>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1D7D"/>
    <w:rsid w:val="00A13B31"/>
    <w:rsid w:val="00A13DCA"/>
    <w:rsid w:val="00A15316"/>
    <w:rsid w:val="00A15796"/>
    <w:rsid w:val="00A16185"/>
    <w:rsid w:val="00A174AF"/>
    <w:rsid w:val="00A17AB3"/>
    <w:rsid w:val="00A17CD3"/>
    <w:rsid w:val="00A205DB"/>
    <w:rsid w:val="00A20F6C"/>
    <w:rsid w:val="00A2179B"/>
    <w:rsid w:val="00A2199D"/>
    <w:rsid w:val="00A225D2"/>
    <w:rsid w:val="00A22984"/>
    <w:rsid w:val="00A23128"/>
    <w:rsid w:val="00A2360D"/>
    <w:rsid w:val="00A240A5"/>
    <w:rsid w:val="00A242C3"/>
    <w:rsid w:val="00A247A6"/>
    <w:rsid w:val="00A2489E"/>
    <w:rsid w:val="00A24DDE"/>
    <w:rsid w:val="00A25026"/>
    <w:rsid w:val="00A265E1"/>
    <w:rsid w:val="00A26BE4"/>
    <w:rsid w:val="00A27631"/>
    <w:rsid w:val="00A27B3F"/>
    <w:rsid w:val="00A27C2A"/>
    <w:rsid w:val="00A27C96"/>
    <w:rsid w:val="00A27F77"/>
    <w:rsid w:val="00A30552"/>
    <w:rsid w:val="00A305E3"/>
    <w:rsid w:val="00A309C7"/>
    <w:rsid w:val="00A30B50"/>
    <w:rsid w:val="00A318A3"/>
    <w:rsid w:val="00A31B6A"/>
    <w:rsid w:val="00A31BA1"/>
    <w:rsid w:val="00A31FFA"/>
    <w:rsid w:val="00A32688"/>
    <w:rsid w:val="00A32C0B"/>
    <w:rsid w:val="00A32EDE"/>
    <w:rsid w:val="00A32FE1"/>
    <w:rsid w:val="00A333DC"/>
    <w:rsid w:val="00A33764"/>
    <w:rsid w:val="00A33F2E"/>
    <w:rsid w:val="00A346AD"/>
    <w:rsid w:val="00A351FD"/>
    <w:rsid w:val="00A354CD"/>
    <w:rsid w:val="00A361E0"/>
    <w:rsid w:val="00A37447"/>
    <w:rsid w:val="00A378AE"/>
    <w:rsid w:val="00A37962"/>
    <w:rsid w:val="00A37C00"/>
    <w:rsid w:val="00A40115"/>
    <w:rsid w:val="00A4058D"/>
    <w:rsid w:val="00A4066A"/>
    <w:rsid w:val="00A40C64"/>
    <w:rsid w:val="00A41496"/>
    <w:rsid w:val="00A42C64"/>
    <w:rsid w:val="00A43452"/>
    <w:rsid w:val="00A43C40"/>
    <w:rsid w:val="00A44886"/>
    <w:rsid w:val="00A461BA"/>
    <w:rsid w:val="00A468AF"/>
    <w:rsid w:val="00A46B94"/>
    <w:rsid w:val="00A478E2"/>
    <w:rsid w:val="00A47C8A"/>
    <w:rsid w:val="00A47EA9"/>
    <w:rsid w:val="00A50B73"/>
    <w:rsid w:val="00A511D8"/>
    <w:rsid w:val="00A51A86"/>
    <w:rsid w:val="00A52540"/>
    <w:rsid w:val="00A5325D"/>
    <w:rsid w:val="00A56007"/>
    <w:rsid w:val="00A56260"/>
    <w:rsid w:val="00A56CE4"/>
    <w:rsid w:val="00A579DB"/>
    <w:rsid w:val="00A601C8"/>
    <w:rsid w:val="00A616AE"/>
    <w:rsid w:val="00A62630"/>
    <w:rsid w:val="00A62B38"/>
    <w:rsid w:val="00A62F37"/>
    <w:rsid w:val="00A63726"/>
    <w:rsid w:val="00A64642"/>
    <w:rsid w:val="00A6486E"/>
    <w:rsid w:val="00A66B3C"/>
    <w:rsid w:val="00A66B9D"/>
    <w:rsid w:val="00A671C5"/>
    <w:rsid w:val="00A67F6C"/>
    <w:rsid w:val="00A7083E"/>
    <w:rsid w:val="00A70980"/>
    <w:rsid w:val="00A70D0C"/>
    <w:rsid w:val="00A70F14"/>
    <w:rsid w:val="00A712B5"/>
    <w:rsid w:val="00A72279"/>
    <w:rsid w:val="00A7278B"/>
    <w:rsid w:val="00A72C44"/>
    <w:rsid w:val="00A7304A"/>
    <w:rsid w:val="00A73084"/>
    <w:rsid w:val="00A73E04"/>
    <w:rsid w:val="00A7529A"/>
    <w:rsid w:val="00A75E1C"/>
    <w:rsid w:val="00A7661E"/>
    <w:rsid w:val="00A76B36"/>
    <w:rsid w:val="00A773A8"/>
    <w:rsid w:val="00A77B0E"/>
    <w:rsid w:val="00A77FBB"/>
    <w:rsid w:val="00A80955"/>
    <w:rsid w:val="00A81791"/>
    <w:rsid w:val="00A82F40"/>
    <w:rsid w:val="00A832B3"/>
    <w:rsid w:val="00A8394A"/>
    <w:rsid w:val="00A83E0C"/>
    <w:rsid w:val="00A8411D"/>
    <w:rsid w:val="00A844EA"/>
    <w:rsid w:val="00A84CF5"/>
    <w:rsid w:val="00A858EB"/>
    <w:rsid w:val="00A871D9"/>
    <w:rsid w:val="00A87525"/>
    <w:rsid w:val="00A878DA"/>
    <w:rsid w:val="00A87BD4"/>
    <w:rsid w:val="00A9017E"/>
    <w:rsid w:val="00A90B20"/>
    <w:rsid w:val="00A90B2B"/>
    <w:rsid w:val="00A90B54"/>
    <w:rsid w:val="00A91272"/>
    <w:rsid w:val="00A917B3"/>
    <w:rsid w:val="00A91950"/>
    <w:rsid w:val="00A91C91"/>
    <w:rsid w:val="00A92EB4"/>
    <w:rsid w:val="00A9329C"/>
    <w:rsid w:val="00A93E14"/>
    <w:rsid w:val="00A945AD"/>
    <w:rsid w:val="00A94770"/>
    <w:rsid w:val="00A950A7"/>
    <w:rsid w:val="00A959BF"/>
    <w:rsid w:val="00A959E9"/>
    <w:rsid w:val="00A962F2"/>
    <w:rsid w:val="00A96632"/>
    <w:rsid w:val="00A96B39"/>
    <w:rsid w:val="00A9750C"/>
    <w:rsid w:val="00A975E6"/>
    <w:rsid w:val="00A97CDB"/>
    <w:rsid w:val="00AA020E"/>
    <w:rsid w:val="00AA09C8"/>
    <w:rsid w:val="00AA0AC2"/>
    <w:rsid w:val="00AA17C4"/>
    <w:rsid w:val="00AA1889"/>
    <w:rsid w:val="00AA1ABD"/>
    <w:rsid w:val="00AA1CCE"/>
    <w:rsid w:val="00AA1D19"/>
    <w:rsid w:val="00AA2390"/>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5D"/>
    <w:rsid w:val="00AB3569"/>
    <w:rsid w:val="00AB3982"/>
    <w:rsid w:val="00AB3C0B"/>
    <w:rsid w:val="00AB3D20"/>
    <w:rsid w:val="00AB41D4"/>
    <w:rsid w:val="00AB5230"/>
    <w:rsid w:val="00AB5450"/>
    <w:rsid w:val="00AB627F"/>
    <w:rsid w:val="00AB62B7"/>
    <w:rsid w:val="00AB747A"/>
    <w:rsid w:val="00AB75E7"/>
    <w:rsid w:val="00AB7801"/>
    <w:rsid w:val="00AC0009"/>
    <w:rsid w:val="00AC1EB6"/>
    <w:rsid w:val="00AC202C"/>
    <w:rsid w:val="00AC2791"/>
    <w:rsid w:val="00AC328B"/>
    <w:rsid w:val="00AC38B7"/>
    <w:rsid w:val="00AC42A5"/>
    <w:rsid w:val="00AC4447"/>
    <w:rsid w:val="00AC4A02"/>
    <w:rsid w:val="00AC4DAE"/>
    <w:rsid w:val="00AC52FA"/>
    <w:rsid w:val="00AC5724"/>
    <w:rsid w:val="00AC5998"/>
    <w:rsid w:val="00AC5FDE"/>
    <w:rsid w:val="00AC611C"/>
    <w:rsid w:val="00AC659F"/>
    <w:rsid w:val="00AC65C4"/>
    <w:rsid w:val="00AC6BFB"/>
    <w:rsid w:val="00AC6CFE"/>
    <w:rsid w:val="00AC76C0"/>
    <w:rsid w:val="00AD06C0"/>
    <w:rsid w:val="00AD093A"/>
    <w:rsid w:val="00AD0A0A"/>
    <w:rsid w:val="00AD10B6"/>
    <w:rsid w:val="00AD11F4"/>
    <w:rsid w:val="00AD1396"/>
    <w:rsid w:val="00AD17E2"/>
    <w:rsid w:val="00AD2336"/>
    <w:rsid w:val="00AD360B"/>
    <w:rsid w:val="00AD587C"/>
    <w:rsid w:val="00AD5C78"/>
    <w:rsid w:val="00AD5D7C"/>
    <w:rsid w:val="00AD5FF5"/>
    <w:rsid w:val="00AD6FA7"/>
    <w:rsid w:val="00AD7327"/>
    <w:rsid w:val="00AD746F"/>
    <w:rsid w:val="00AD7480"/>
    <w:rsid w:val="00AE0B9B"/>
    <w:rsid w:val="00AE1290"/>
    <w:rsid w:val="00AE14B6"/>
    <w:rsid w:val="00AE14CA"/>
    <w:rsid w:val="00AE2500"/>
    <w:rsid w:val="00AE252E"/>
    <w:rsid w:val="00AE31F8"/>
    <w:rsid w:val="00AE3E20"/>
    <w:rsid w:val="00AE4FA9"/>
    <w:rsid w:val="00AE5837"/>
    <w:rsid w:val="00AE782E"/>
    <w:rsid w:val="00AE7BD1"/>
    <w:rsid w:val="00AF01A4"/>
    <w:rsid w:val="00AF07FC"/>
    <w:rsid w:val="00AF0E6C"/>
    <w:rsid w:val="00AF1DB2"/>
    <w:rsid w:val="00AF1E4B"/>
    <w:rsid w:val="00AF22A8"/>
    <w:rsid w:val="00AF274E"/>
    <w:rsid w:val="00AF28BD"/>
    <w:rsid w:val="00AF3D8D"/>
    <w:rsid w:val="00AF3FDC"/>
    <w:rsid w:val="00AF51BD"/>
    <w:rsid w:val="00AF5922"/>
    <w:rsid w:val="00AF5EB8"/>
    <w:rsid w:val="00AF67D4"/>
    <w:rsid w:val="00AF6C45"/>
    <w:rsid w:val="00AF6D28"/>
    <w:rsid w:val="00AF71C3"/>
    <w:rsid w:val="00AF7616"/>
    <w:rsid w:val="00AF769A"/>
    <w:rsid w:val="00AF7766"/>
    <w:rsid w:val="00AF79AF"/>
    <w:rsid w:val="00AF7EF5"/>
    <w:rsid w:val="00B0043A"/>
    <w:rsid w:val="00B00AD4"/>
    <w:rsid w:val="00B01F25"/>
    <w:rsid w:val="00B0233B"/>
    <w:rsid w:val="00B03B0B"/>
    <w:rsid w:val="00B04082"/>
    <w:rsid w:val="00B04EE8"/>
    <w:rsid w:val="00B052BE"/>
    <w:rsid w:val="00B056CA"/>
    <w:rsid w:val="00B05CA3"/>
    <w:rsid w:val="00B07149"/>
    <w:rsid w:val="00B0734D"/>
    <w:rsid w:val="00B10CBA"/>
    <w:rsid w:val="00B1172A"/>
    <w:rsid w:val="00B11AAF"/>
    <w:rsid w:val="00B13110"/>
    <w:rsid w:val="00B13429"/>
    <w:rsid w:val="00B1381F"/>
    <w:rsid w:val="00B138B8"/>
    <w:rsid w:val="00B15617"/>
    <w:rsid w:val="00B15C64"/>
    <w:rsid w:val="00B1605A"/>
    <w:rsid w:val="00B1628F"/>
    <w:rsid w:val="00B169D3"/>
    <w:rsid w:val="00B16D86"/>
    <w:rsid w:val="00B17213"/>
    <w:rsid w:val="00B179DB"/>
    <w:rsid w:val="00B200A7"/>
    <w:rsid w:val="00B202B7"/>
    <w:rsid w:val="00B218B9"/>
    <w:rsid w:val="00B21DA4"/>
    <w:rsid w:val="00B2226E"/>
    <w:rsid w:val="00B22FB4"/>
    <w:rsid w:val="00B2600C"/>
    <w:rsid w:val="00B267AB"/>
    <w:rsid w:val="00B27EDF"/>
    <w:rsid w:val="00B301FF"/>
    <w:rsid w:val="00B30940"/>
    <w:rsid w:val="00B311A4"/>
    <w:rsid w:val="00B330E1"/>
    <w:rsid w:val="00B339BE"/>
    <w:rsid w:val="00B341D8"/>
    <w:rsid w:val="00B3469C"/>
    <w:rsid w:val="00B35335"/>
    <w:rsid w:val="00B35583"/>
    <w:rsid w:val="00B35774"/>
    <w:rsid w:val="00B359EA"/>
    <w:rsid w:val="00B35E60"/>
    <w:rsid w:val="00B37B7B"/>
    <w:rsid w:val="00B37CAB"/>
    <w:rsid w:val="00B40317"/>
    <w:rsid w:val="00B40E8C"/>
    <w:rsid w:val="00B411A7"/>
    <w:rsid w:val="00B415CD"/>
    <w:rsid w:val="00B42470"/>
    <w:rsid w:val="00B426CD"/>
    <w:rsid w:val="00B43A11"/>
    <w:rsid w:val="00B43D18"/>
    <w:rsid w:val="00B43F52"/>
    <w:rsid w:val="00B45D04"/>
    <w:rsid w:val="00B45D30"/>
    <w:rsid w:val="00B45E72"/>
    <w:rsid w:val="00B45F89"/>
    <w:rsid w:val="00B46278"/>
    <w:rsid w:val="00B46865"/>
    <w:rsid w:val="00B46AE9"/>
    <w:rsid w:val="00B47536"/>
    <w:rsid w:val="00B47736"/>
    <w:rsid w:val="00B478D8"/>
    <w:rsid w:val="00B47CAA"/>
    <w:rsid w:val="00B50194"/>
    <w:rsid w:val="00B50622"/>
    <w:rsid w:val="00B50A1D"/>
    <w:rsid w:val="00B50F06"/>
    <w:rsid w:val="00B5109F"/>
    <w:rsid w:val="00B51247"/>
    <w:rsid w:val="00B5168E"/>
    <w:rsid w:val="00B51AB7"/>
    <w:rsid w:val="00B51FB2"/>
    <w:rsid w:val="00B524A1"/>
    <w:rsid w:val="00B5253F"/>
    <w:rsid w:val="00B52F57"/>
    <w:rsid w:val="00B54214"/>
    <w:rsid w:val="00B5441A"/>
    <w:rsid w:val="00B54672"/>
    <w:rsid w:val="00B55976"/>
    <w:rsid w:val="00B57600"/>
    <w:rsid w:val="00B57B3B"/>
    <w:rsid w:val="00B60B78"/>
    <w:rsid w:val="00B61B1D"/>
    <w:rsid w:val="00B61E41"/>
    <w:rsid w:val="00B62342"/>
    <w:rsid w:val="00B62D24"/>
    <w:rsid w:val="00B63511"/>
    <w:rsid w:val="00B63A6B"/>
    <w:rsid w:val="00B64671"/>
    <w:rsid w:val="00B64AC7"/>
    <w:rsid w:val="00B65CA9"/>
    <w:rsid w:val="00B66B64"/>
    <w:rsid w:val="00B66F96"/>
    <w:rsid w:val="00B671BD"/>
    <w:rsid w:val="00B6728D"/>
    <w:rsid w:val="00B67DAE"/>
    <w:rsid w:val="00B70E33"/>
    <w:rsid w:val="00B70ED0"/>
    <w:rsid w:val="00B70FB8"/>
    <w:rsid w:val="00B70FF9"/>
    <w:rsid w:val="00B7111B"/>
    <w:rsid w:val="00B71E62"/>
    <w:rsid w:val="00B71F58"/>
    <w:rsid w:val="00B7234C"/>
    <w:rsid w:val="00B72851"/>
    <w:rsid w:val="00B7298C"/>
    <w:rsid w:val="00B72DD8"/>
    <w:rsid w:val="00B73B51"/>
    <w:rsid w:val="00B73D9F"/>
    <w:rsid w:val="00B746A0"/>
    <w:rsid w:val="00B7560B"/>
    <w:rsid w:val="00B757CB"/>
    <w:rsid w:val="00B77BA2"/>
    <w:rsid w:val="00B77C29"/>
    <w:rsid w:val="00B8038A"/>
    <w:rsid w:val="00B8085D"/>
    <w:rsid w:val="00B811FD"/>
    <w:rsid w:val="00B815DA"/>
    <w:rsid w:val="00B818D2"/>
    <w:rsid w:val="00B8220E"/>
    <w:rsid w:val="00B82C7D"/>
    <w:rsid w:val="00B82D7C"/>
    <w:rsid w:val="00B83464"/>
    <w:rsid w:val="00B8366E"/>
    <w:rsid w:val="00B843BA"/>
    <w:rsid w:val="00B848A2"/>
    <w:rsid w:val="00B84D25"/>
    <w:rsid w:val="00B853D7"/>
    <w:rsid w:val="00B85A9E"/>
    <w:rsid w:val="00B85CFD"/>
    <w:rsid w:val="00B86237"/>
    <w:rsid w:val="00B870A3"/>
    <w:rsid w:val="00B87617"/>
    <w:rsid w:val="00B87911"/>
    <w:rsid w:val="00B87DD3"/>
    <w:rsid w:val="00B87E69"/>
    <w:rsid w:val="00B90F0A"/>
    <w:rsid w:val="00B918E0"/>
    <w:rsid w:val="00B91928"/>
    <w:rsid w:val="00B91C6C"/>
    <w:rsid w:val="00B920C1"/>
    <w:rsid w:val="00B93B97"/>
    <w:rsid w:val="00B93DE9"/>
    <w:rsid w:val="00B955FF"/>
    <w:rsid w:val="00B9568F"/>
    <w:rsid w:val="00B97390"/>
    <w:rsid w:val="00B97558"/>
    <w:rsid w:val="00B975C7"/>
    <w:rsid w:val="00B97656"/>
    <w:rsid w:val="00B977B6"/>
    <w:rsid w:val="00BA0870"/>
    <w:rsid w:val="00BA11E3"/>
    <w:rsid w:val="00BA2335"/>
    <w:rsid w:val="00BA28E7"/>
    <w:rsid w:val="00BA2C61"/>
    <w:rsid w:val="00BA3845"/>
    <w:rsid w:val="00BA38D0"/>
    <w:rsid w:val="00BA55C5"/>
    <w:rsid w:val="00BA59DE"/>
    <w:rsid w:val="00BA5B6D"/>
    <w:rsid w:val="00BA63FA"/>
    <w:rsid w:val="00BA6866"/>
    <w:rsid w:val="00BA68A5"/>
    <w:rsid w:val="00BA6DC6"/>
    <w:rsid w:val="00BA7688"/>
    <w:rsid w:val="00BB08B4"/>
    <w:rsid w:val="00BB0A6A"/>
    <w:rsid w:val="00BB0CDA"/>
    <w:rsid w:val="00BB1C44"/>
    <w:rsid w:val="00BB2003"/>
    <w:rsid w:val="00BB2222"/>
    <w:rsid w:val="00BB2BE7"/>
    <w:rsid w:val="00BB3EA0"/>
    <w:rsid w:val="00BB4510"/>
    <w:rsid w:val="00BB4986"/>
    <w:rsid w:val="00BB4BAE"/>
    <w:rsid w:val="00BB4C36"/>
    <w:rsid w:val="00BB5CD7"/>
    <w:rsid w:val="00BB6106"/>
    <w:rsid w:val="00BB62AF"/>
    <w:rsid w:val="00BB66CE"/>
    <w:rsid w:val="00BB6B41"/>
    <w:rsid w:val="00BB7D32"/>
    <w:rsid w:val="00BC0484"/>
    <w:rsid w:val="00BC1218"/>
    <w:rsid w:val="00BC1CA8"/>
    <w:rsid w:val="00BC1EDB"/>
    <w:rsid w:val="00BC2378"/>
    <w:rsid w:val="00BC2EC2"/>
    <w:rsid w:val="00BC2F88"/>
    <w:rsid w:val="00BC3571"/>
    <w:rsid w:val="00BC4144"/>
    <w:rsid w:val="00BC4399"/>
    <w:rsid w:val="00BC480F"/>
    <w:rsid w:val="00BC67EA"/>
    <w:rsid w:val="00BC7198"/>
    <w:rsid w:val="00BD0798"/>
    <w:rsid w:val="00BD0DC0"/>
    <w:rsid w:val="00BD150F"/>
    <w:rsid w:val="00BD1CF2"/>
    <w:rsid w:val="00BD1DCC"/>
    <w:rsid w:val="00BD2080"/>
    <w:rsid w:val="00BD2CEB"/>
    <w:rsid w:val="00BD304D"/>
    <w:rsid w:val="00BD3488"/>
    <w:rsid w:val="00BD356F"/>
    <w:rsid w:val="00BD3BA0"/>
    <w:rsid w:val="00BD4494"/>
    <w:rsid w:val="00BD4742"/>
    <w:rsid w:val="00BD4A44"/>
    <w:rsid w:val="00BD4F17"/>
    <w:rsid w:val="00BD5186"/>
    <w:rsid w:val="00BD58DE"/>
    <w:rsid w:val="00BD5912"/>
    <w:rsid w:val="00BD5D62"/>
    <w:rsid w:val="00BD62A1"/>
    <w:rsid w:val="00BD6C77"/>
    <w:rsid w:val="00BE0D3C"/>
    <w:rsid w:val="00BE122E"/>
    <w:rsid w:val="00BE15C0"/>
    <w:rsid w:val="00BE1886"/>
    <w:rsid w:val="00BE1A23"/>
    <w:rsid w:val="00BE2BA2"/>
    <w:rsid w:val="00BE37C9"/>
    <w:rsid w:val="00BE3CDF"/>
    <w:rsid w:val="00BE3E11"/>
    <w:rsid w:val="00BE4153"/>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35FF"/>
    <w:rsid w:val="00BF428E"/>
    <w:rsid w:val="00BF6688"/>
    <w:rsid w:val="00BF69A5"/>
    <w:rsid w:val="00BF7208"/>
    <w:rsid w:val="00BF7863"/>
    <w:rsid w:val="00C00850"/>
    <w:rsid w:val="00C00B4F"/>
    <w:rsid w:val="00C0172E"/>
    <w:rsid w:val="00C01E19"/>
    <w:rsid w:val="00C02FEC"/>
    <w:rsid w:val="00C036FB"/>
    <w:rsid w:val="00C03B67"/>
    <w:rsid w:val="00C046C7"/>
    <w:rsid w:val="00C04DB4"/>
    <w:rsid w:val="00C067B4"/>
    <w:rsid w:val="00C07818"/>
    <w:rsid w:val="00C07C6F"/>
    <w:rsid w:val="00C1093A"/>
    <w:rsid w:val="00C112FB"/>
    <w:rsid w:val="00C11A19"/>
    <w:rsid w:val="00C12C41"/>
    <w:rsid w:val="00C12EDA"/>
    <w:rsid w:val="00C130C8"/>
    <w:rsid w:val="00C139C0"/>
    <w:rsid w:val="00C144CF"/>
    <w:rsid w:val="00C15156"/>
    <w:rsid w:val="00C15213"/>
    <w:rsid w:val="00C1540D"/>
    <w:rsid w:val="00C154A9"/>
    <w:rsid w:val="00C15FF0"/>
    <w:rsid w:val="00C16899"/>
    <w:rsid w:val="00C174E5"/>
    <w:rsid w:val="00C17780"/>
    <w:rsid w:val="00C179D6"/>
    <w:rsid w:val="00C17DB9"/>
    <w:rsid w:val="00C20C75"/>
    <w:rsid w:val="00C213EF"/>
    <w:rsid w:val="00C2153E"/>
    <w:rsid w:val="00C2180C"/>
    <w:rsid w:val="00C218CB"/>
    <w:rsid w:val="00C21CD2"/>
    <w:rsid w:val="00C21F1B"/>
    <w:rsid w:val="00C22289"/>
    <w:rsid w:val="00C228D0"/>
    <w:rsid w:val="00C22B3A"/>
    <w:rsid w:val="00C22B69"/>
    <w:rsid w:val="00C230CB"/>
    <w:rsid w:val="00C23413"/>
    <w:rsid w:val="00C236AA"/>
    <w:rsid w:val="00C23CEA"/>
    <w:rsid w:val="00C24383"/>
    <w:rsid w:val="00C24890"/>
    <w:rsid w:val="00C2496F"/>
    <w:rsid w:val="00C24A57"/>
    <w:rsid w:val="00C25083"/>
    <w:rsid w:val="00C25F9E"/>
    <w:rsid w:val="00C267FB"/>
    <w:rsid w:val="00C27297"/>
    <w:rsid w:val="00C2758B"/>
    <w:rsid w:val="00C277B3"/>
    <w:rsid w:val="00C27EEA"/>
    <w:rsid w:val="00C31266"/>
    <w:rsid w:val="00C31870"/>
    <w:rsid w:val="00C3189B"/>
    <w:rsid w:val="00C31AA5"/>
    <w:rsid w:val="00C33B4A"/>
    <w:rsid w:val="00C34490"/>
    <w:rsid w:val="00C34973"/>
    <w:rsid w:val="00C34A37"/>
    <w:rsid w:val="00C3512E"/>
    <w:rsid w:val="00C3516F"/>
    <w:rsid w:val="00C352F3"/>
    <w:rsid w:val="00C35645"/>
    <w:rsid w:val="00C35E7B"/>
    <w:rsid w:val="00C363FF"/>
    <w:rsid w:val="00C36721"/>
    <w:rsid w:val="00C37348"/>
    <w:rsid w:val="00C3735B"/>
    <w:rsid w:val="00C374EE"/>
    <w:rsid w:val="00C377BA"/>
    <w:rsid w:val="00C37B0D"/>
    <w:rsid w:val="00C37C39"/>
    <w:rsid w:val="00C37D0C"/>
    <w:rsid w:val="00C40894"/>
    <w:rsid w:val="00C41198"/>
    <w:rsid w:val="00C415D8"/>
    <w:rsid w:val="00C417D0"/>
    <w:rsid w:val="00C41908"/>
    <w:rsid w:val="00C41BC1"/>
    <w:rsid w:val="00C42902"/>
    <w:rsid w:val="00C42AD5"/>
    <w:rsid w:val="00C42DCD"/>
    <w:rsid w:val="00C43839"/>
    <w:rsid w:val="00C43FFB"/>
    <w:rsid w:val="00C44EFD"/>
    <w:rsid w:val="00C45CA7"/>
    <w:rsid w:val="00C46132"/>
    <w:rsid w:val="00C46F79"/>
    <w:rsid w:val="00C47771"/>
    <w:rsid w:val="00C47ABC"/>
    <w:rsid w:val="00C50E61"/>
    <w:rsid w:val="00C51072"/>
    <w:rsid w:val="00C517FF"/>
    <w:rsid w:val="00C51A4B"/>
    <w:rsid w:val="00C51AF4"/>
    <w:rsid w:val="00C52891"/>
    <w:rsid w:val="00C52901"/>
    <w:rsid w:val="00C52CBD"/>
    <w:rsid w:val="00C53FF5"/>
    <w:rsid w:val="00C5482C"/>
    <w:rsid w:val="00C5494A"/>
    <w:rsid w:val="00C54F19"/>
    <w:rsid w:val="00C555B5"/>
    <w:rsid w:val="00C5633C"/>
    <w:rsid w:val="00C57499"/>
    <w:rsid w:val="00C57CE9"/>
    <w:rsid w:val="00C604A3"/>
    <w:rsid w:val="00C606FC"/>
    <w:rsid w:val="00C60D0B"/>
    <w:rsid w:val="00C60EF1"/>
    <w:rsid w:val="00C618F5"/>
    <w:rsid w:val="00C61A72"/>
    <w:rsid w:val="00C624E6"/>
    <w:rsid w:val="00C626BF"/>
    <w:rsid w:val="00C62AB3"/>
    <w:rsid w:val="00C62EA2"/>
    <w:rsid w:val="00C63B1E"/>
    <w:rsid w:val="00C640B1"/>
    <w:rsid w:val="00C650CE"/>
    <w:rsid w:val="00C65E7C"/>
    <w:rsid w:val="00C65F9B"/>
    <w:rsid w:val="00C65FE4"/>
    <w:rsid w:val="00C66C6C"/>
    <w:rsid w:val="00C678DA"/>
    <w:rsid w:val="00C67BFD"/>
    <w:rsid w:val="00C704E2"/>
    <w:rsid w:val="00C7057F"/>
    <w:rsid w:val="00C705DB"/>
    <w:rsid w:val="00C7180E"/>
    <w:rsid w:val="00C71C07"/>
    <w:rsid w:val="00C71E5D"/>
    <w:rsid w:val="00C72186"/>
    <w:rsid w:val="00C72910"/>
    <w:rsid w:val="00C72AAE"/>
    <w:rsid w:val="00C736A7"/>
    <w:rsid w:val="00C737A1"/>
    <w:rsid w:val="00C73A2A"/>
    <w:rsid w:val="00C73EDB"/>
    <w:rsid w:val="00C7471A"/>
    <w:rsid w:val="00C74FEC"/>
    <w:rsid w:val="00C76067"/>
    <w:rsid w:val="00C77210"/>
    <w:rsid w:val="00C775B6"/>
    <w:rsid w:val="00C80296"/>
    <w:rsid w:val="00C80B82"/>
    <w:rsid w:val="00C80D87"/>
    <w:rsid w:val="00C80D8F"/>
    <w:rsid w:val="00C80ED6"/>
    <w:rsid w:val="00C812C2"/>
    <w:rsid w:val="00C814EE"/>
    <w:rsid w:val="00C83BC0"/>
    <w:rsid w:val="00C84356"/>
    <w:rsid w:val="00C848DA"/>
    <w:rsid w:val="00C84C37"/>
    <w:rsid w:val="00C84D54"/>
    <w:rsid w:val="00C8544F"/>
    <w:rsid w:val="00C87054"/>
    <w:rsid w:val="00C873BA"/>
    <w:rsid w:val="00C87467"/>
    <w:rsid w:val="00C87F05"/>
    <w:rsid w:val="00C90393"/>
    <w:rsid w:val="00C909ED"/>
    <w:rsid w:val="00C92294"/>
    <w:rsid w:val="00C92316"/>
    <w:rsid w:val="00C92A7A"/>
    <w:rsid w:val="00C9352E"/>
    <w:rsid w:val="00C9370C"/>
    <w:rsid w:val="00C94208"/>
    <w:rsid w:val="00C9443C"/>
    <w:rsid w:val="00C94D07"/>
    <w:rsid w:val="00C94F3C"/>
    <w:rsid w:val="00C95167"/>
    <w:rsid w:val="00C954B8"/>
    <w:rsid w:val="00C958C7"/>
    <w:rsid w:val="00C95C3C"/>
    <w:rsid w:val="00C95D06"/>
    <w:rsid w:val="00C97442"/>
    <w:rsid w:val="00C9759C"/>
    <w:rsid w:val="00C97741"/>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670"/>
    <w:rsid w:val="00CA6968"/>
    <w:rsid w:val="00CA7297"/>
    <w:rsid w:val="00CA7C3F"/>
    <w:rsid w:val="00CA7EF8"/>
    <w:rsid w:val="00CB0271"/>
    <w:rsid w:val="00CB0A5C"/>
    <w:rsid w:val="00CB1286"/>
    <w:rsid w:val="00CB20A3"/>
    <w:rsid w:val="00CB2764"/>
    <w:rsid w:val="00CB2767"/>
    <w:rsid w:val="00CB27EB"/>
    <w:rsid w:val="00CB2BF8"/>
    <w:rsid w:val="00CB35E3"/>
    <w:rsid w:val="00CB3935"/>
    <w:rsid w:val="00CB42C4"/>
    <w:rsid w:val="00CB431B"/>
    <w:rsid w:val="00CB572E"/>
    <w:rsid w:val="00CB5762"/>
    <w:rsid w:val="00CB73C3"/>
    <w:rsid w:val="00CB7726"/>
    <w:rsid w:val="00CB7958"/>
    <w:rsid w:val="00CB7C17"/>
    <w:rsid w:val="00CB7CF4"/>
    <w:rsid w:val="00CC19BC"/>
    <w:rsid w:val="00CC1E69"/>
    <w:rsid w:val="00CC20CD"/>
    <w:rsid w:val="00CC2114"/>
    <w:rsid w:val="00CC2208"/>
    <w:rsid w:val="00CC2AF8"/>
    <w:rsid w:val="00CC53C2"/>
    <w:rsid w:val="00CC5446"/>
    <w:rsid w:val="00CC57A1"/>
    <w:rsid w:val="00CC5BDC"/>
    <w:rsid w:val="00CC6128"/>
    <w:rsid w:val="00CC635C"/>
    <w:rsid w:val="00CC65A4"/>
    <w:rsid w:val="00CC67BA"/>
    <w:rsid w:val="00CD014B"/>
    <w:rsid w:val="00CD2615"/>
    <w:rsid w:val="00CD277A"/>
    <w:rsid w:val="00CD2D09"/>
    <w:rsid w:val="00CD3072"/>
    <w:rsid w:val="00CD48BB"/>
    <w:rsid w:val="00CD4A71"/>
    <w:rsid w:val="00CD4D83"/>
    <w:rsid w:val="00CD4F49"/>
    <w:rsid w:val="00CD6415"/>
    <w:rsid w:val="00CD6465"/>
    <w:rsid w:val="00CD6617"/>
    <w:rsid w:val="00CD6643"/>
    <w:rsid w:val="00CD6A30"/>
    <w:rsid w:val="00CD6C42"/>
    <w:rsid w:val="00CD6C93"/>
    <w:rsid w:val="00CD7C3E"/>
    <w:rsid w:val="00CE0081"/>
    <w:rsid w:val="00CE083F"/>
    <w:rsid w:val="00CE13E2"/>
    <w:rsid w:val="00CE1D5B"/>
    <w:rsid w:val="00CE251F"/>
    <w:rsid w:val="00CE2600"/>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1F55"/>
    <w:rsid w:val="00CF211F"/>
    <w:rsid w:val="00CF21A2"/>
    <w:rsid w:val="00CF288F"/>
    <w:rsid w:val="00CF2C2C"/>
    <w:rsid w:val="00CF34DD"/>
    <w:rsid w:val="00CF37C4"/>
    <w:rsid w:val="00CF39E3"/>
    <w:rsid w:val="00CF3D8C"/>
    <w:rsid w:val="00CF4124"/>
    <w:rsid w:val="00CF4A4D"/>
    <w:rsid w:val="00CF4B0E"/>
    <w:rsid w:val="00CF56D8"/>
    <w:rsid w:val="00CF5EEF"/>
    <w:rsid w:val="00CF6AA6"/>
    <w:rsid w:val="00CF6AF8"/>
    <w:rsid w:val="00CF730C"/>
    <w:rsid w:val="00CF7561"/>
    <w:rsid w:val="00CF787A"/>
    <w:rsid w:val="00CF7950"/>
    <w:rsid w:val="00D00FA7"/>
    <w:rsid w:val="00D010E0"/>
    <w:rsid w:val="00D028AF"/>
    <w:rsid w:val="00D02F88"/>
    <w:rsid w:val="00D0335C"/>
    <w:rsid w:val="00D04F26"/>
    <w:rsid w:val="00D04F4C"/>
    <w:rsid w:val="00D052F1"/>
    <w:rsid w:val="00D0546F"/>
    <w:rsid w:val="00D05B74"/>
    <w:rsid w:val="00D05C3F"/>
    <w:rsid w:val="00D06F3B"/>
    <w:rsid w:val="00D07FE9"/>
    <w:rsid w:val="00D109FE"/>
    <w:rsid w:val="00D11291"/>
    <w:rsid w:val="00D11911"/>
    <w:rsid w:val="00D12721"/>
    <w:rsid w:val="00D13481"/>
    <w:rsid w:val="00D13D00"/>
    <w:rsid w:val="00D13DE7"/>
    <w:rsid w:val="00D13FB8"/>
    <w:rsid w:val="00D14C7D"/>
    <w:rsid w:val="00D14D69"/>
    <w:rsid w:val="00D15730"/>
    <w:rsid w:val="00D15B45"/>
    <w:rsid w:val="00D15DB2"/>
    <w:rsid w:val="00D15EEE"/>
    <w:rsid w:val="00D16CA5"/>
    <w:rsid w:val="00D16F6B"/>
    <w:rsid w:val="00D16FB0"/>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A2E"/>
    <w:rsid w:val="00D32C14"/>
    <w:rsid w:val="00D33AFE"/>
    <w:rsid w:val="00D3454C"/>
    <w:rsid w:val="00D34F4F"/>
    <w:rsid w:val="00D352C5"/>
    <w:rsid w:val="00D364D6"/>
    <w:rsid w:val="00D36ECA"/>
    <w:rsid w:val="00D372B7"/>
    <w:rsid w:val="00D405C3"/>
    <w:rsid w:val="00D40BB5"/>
    <w:rsid w:val="00D42B10"/>
    <w:rsid w:val="00D43114"/>
    <w:rsid w:val="00D435FF"/>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5A2A"/>
    <w:rsid w:val="00D56874"/>
    <w:rsid w:val="00D57939"/>
    <w:rsid w:val="00D57E98"/>
    <w:rsid w:val="00D60337"/>
    <w:rsid w:val="00D604AC"/>
    <w:rsid w:val="00D60B6A"/>
    <w:rsid w:val="00D60FE0"/>
    <w:rsid w:val="00D6136A"/>
    <w:rsid w:val="00D61591"/>
    <w:rsid w:val="00D622CC"/>
    <w:rsid w:val="00D624D1"/>
    <w:rsid w:val="00D62591"/>
    <w:rsid w:val="00D6273B"/>
    <w:rsid w:val="00D62988"/>
    <w:rsid w:val="00D62CA9"/>
    <w:rsid w:val="00D635CD"/>
    <w:rsid w:val="00D63D43"/>
    <w:rsid w:val="00D643EF"/>
    <w:rsid w:val="00D64B2E"/>
    <w:rsid w:val="00D65E6F"/>
    <w:rsid w:val="00D66189"/>
    <w:rsid w:val="00D665F1"/>
    <w:rsid w:val="00D6698D"/>
    <w:rsid w:val="00D675A6"/>
    <w:rsid w:val="00D67DCC"/>
    <w:rsid w:val="00D70241"/>
    <w:rsid w:val="00D70E56"/>
    <w:rsid w:val="00D70F64"/>
    <w:rsid w:val="00D7107B"/>
    <w:rsid w:val="00D7147E"/>
    <w:rsid w:val="00D71A60"/>
    <w:rsid w:val="00D71B31"/>
    <w:rsid w:val="00D71DD7"/>
    <w:rsid w:val="00D721FF"/>
    <w:rsid w:val="00D72245"/>
    <w:rsid w:val="00D73175"/>
    <w:rsid w:val="00D731F7"/>
    <w:rsid w:val="00D73529"/>
    <w:rsid w:val="00D743B8"/>
    <w:rsid w:val="00D7496E"/>
    <w:rsid w:val="00D76666"/>
    <w:rsid w:val="00D76EF0"/>
    <w:rsid w:val="00D770DF"/>
    <w:rsid w:val="00D7719E"/>
    <w:rsid w:val="00D7725A"/>
    <w:rsid w:val="00D772BF"/>
    <w:rsid w:val="00D772F0"/>
    <w:rsid w:val="00D803F3"/>
    <w:rsid w:val="00D80649"/>
    <w:rsid w:val="00D8096B"/>
    <w:rsid w:val="00D81C79"/>
    <w:rsid w:val="00D826C4"/>
    <w:rsid w:val="00D835FD"/>
    <w:rsid w:val="00D83C7E"/>
    <w:rsid w:val="00D84FA7"/>
    <w:rsid w:val="00D858C8"/>
    <w:rsid w:val="00D8597F"/>
    <w:rsid w:val="00D85A73"/>
    <w:rsid w:val="00D87451"/>
    <w:rsid w:val="00D8775B"/>
    <w:rsid w:val="00D878BA"/>
    <w:rsid w:val="00D87938"/>
    <w:rsid w:val="00D8796D"/>
    <w:rsid w:val="00D879D5"/>
    <w:rsid w:val="00D914D0"/>
    <w:rsid w:val="00D92063"/>
    <w:rsid w:val="00D92415"/>
    <w:rsid w:val="00D9242C"/>
    <w:rsid w:val="00D92E50"/>
    <w:rsid w:val="00D92FA4"/>
    <w:rsid w:val="00D92FEB"/>
    <w:rsid w:val="00D9355C"/>
    <w:rsid w:val="00D93DD9"/>
    <w:rsid w:val="00D94AB5"/>
    <w:rsid w:val="00D95DEF"/>
    <w:rsid w:val="00D96C4F"/>
    <w:rsid w:val="00D974FD"/>
    <w:rsid w:val="00D97AC5"/>
    <w:rsid w:val="00D97FFE"/>
    <w:rsid w:val="00DA0105"/>
    <w:rsid w:val="00DA05F2"/>
    <w:rsid w:val="00DA0CC8"/>
    <w:rsid w:val="00DA19F7"/>
    <w:rsid w:val="00DA23B0"/>
    <w:rsid w:val="00DA2B1A"/>
    <w:rsid w:val="00DA3018"/>
    <w:rsid w:val="00DA30A9"/>
    <w:rsid w:val="00DA33F9"/>
    <w:rsid w:val="00DA5788"/>
    <w:rsid w:val="00DA5B53"/>
    <w:rsid w:val="00DA6ACF"/>
    <w:rsid w:val="00DA6AD3"/>
    <w:rsid w:val="00DA6F47"/>
    <w:rsid w:val="00DA75AF"/>
    <w:rsid w:val="00DA76B0"/>
    <w:rsid w:val="00DA7F88"/>
    <w:rsid w:val="00DB08CA"/>
    <w:rsid w:val="00DB14A3"/>
    <w:rsid w:val="00DB165F"/>
    <w:rsid w:val="00DB171D"/>
    <w:rsid w:val="00DB1899"/>
    <w:rsid w:val="00DB1C93"/>
    <w:rsid w:val="00DB2593"/>
    <w:rsid w:val="00DB3407"/>
    <w:rsid w:val="00DB3BCD"/>
    <w:rsid w:val="00DB4F35"/>
    <w:rsid w:val="00DB5FC8"/>
    <w:rsid w:val="00DB6FBE"/>
    <w:rsid w:val="00DB701A"/>
    <w:rsid w:val="00DB71AA"/>
    <w:rsid w:val="00DB72C9"/>
    <w:rsid w:val="00DB7597"/>
    <w:rsid w:val="00DB75BD"/>
    <w:rsid w:val="00DB7C14"/>
    <w:rsid w:val="00DB7E9B"/>
    <w:rsid w:val="00DC03A7"/>
    <w:rsid w:val="00DC0C00"/>
    <w:rsid w:val="00DC108E"/>
    <w:rsid w:val="00DC178D"/>
    <w:rsid w:val="00DC22A7"/>
    <w:rsid w:val="00DC288C"/>
    <w:rsid w:val="00DC3234"/>
    <w:rsid w:val="00DC3E89"/>
    <w:rsid w:val="00DC4340"/>
    <w:rsid w:val="00DC439D"/>
    <w:rsid w:val="00DC489A"/>
    <w:rsid w:val="00DC519F"/>
    <w:rsid w:val="00DC56AA"/>
    <w:rsid w:val="00DC71B2"/>
    <w:rsid w:val="00DC76C3"/>
    <w:rsid w:val="00DC76F4"/>
    <w:rsid w:val="00DC7F18"/>
    <w:rsid w:val="00DD0DA0"/>
    <w:rsid w:val="00DD1071"/>
    <w:rsid w:val="00DD1469"/>
    <w:rsid w:val="00DD19E0"/>
    <w:rsid w:val="00DD1D24"/>
    <w:rsid w:val="00DD21E8"/>
    <w:rsid w:val="00DD2456"/>
    <w:rsid w:val="00DD578D"/>
    <w:rsid w:val="00DD58D1"/>
    <w:rsid w:val="00DD5CCF"/>
    <w:rsid w:val="00DD62D8"/>
    <w:rsid w:val="00DD6F1E"/>
    <w:rsid w:val="00DD7439"/>
    <w:rsid w:val="00DD765C"/>
    <w:rsid w:val="00DD7DA0"/>
    <w:rsid w:val="00DE0813"/>
    <w:rsid w:val="00DE0CC3"/>
    <w:rsid w:val="00DE112D"/>
    <w:rsid w:val="00DE1336"/>
    <w:rsid w:val="00DE17BC"/>
    <w:rsid w:val="00DE27F9"/>
    <w:rsid w:val="00DE2F0C"/>
    <w:rsid w:val="00DE2FBF"/>
    <w:rsid w:val="00DE379A"/>
    <w:rsid w:val="00DE3DC2"/>
    <w:rsid w:val="00DE3F8C"/>
    <w:rsid w:val="00DE5A71"/>
    <w:rsid w:val="00DE5C7A"/>
    <w:rsid w:val="00DE5F36"/>
    <w:rsid w:val="00DE6298"/>
    <w:rsid w:val="00DE762A"/>
    <w:rsid w:val="00DE7665"/>
    <w:rsid w:val="00DE7B9B"/>
    <w:rsid w:val="00DF0630"/>
    <w:rsid w:val="00DF0C10"/>
    <w:rsid w:val="00DF0EB9"/>
    <w:rsid w:val="00DF2EF9"/>
    <w:rsid w:val="00DF32A2"/>
    <w:rsid w:val="00DF500B"/>
    <w:rsid w:val="00DF5439"/>
    <w:rsid w:val="00DF5715"/>
    <w:rsid w:val="00DF573A"/>
    <w:rsid w:val="00DF59E0"/>
    <w:rsid w:val="00DF6714"/>
    <w:rsid w:val="00DF6842"/>
    <w:rsid w:val="00DF68EC"/>
    <w:rsid w:val="00DF6C40"/>
    <w:rsid w:val="00DF7B1C"/>
    <w:rsid w:val="00DF7BEA"/>
    <w:rsid w:val="00DF7DB2"/>
    <w:rsid w:val="00E0049A"/>
    <w:rsid w:val="00E00823"/>
    <w:rsid w:val="00E00B29"/>
    <w:rsid w:val="00E018F8"/>
    <w:rsid w:val="00E019B8"/>
    <w:rsid w:val="00E01B11"/>
    <w:rsid w:val="00E01E84"/>
    <w:rsid w:val="00E02460"/>
    <w:rsid w:val="00E02733"/>
    <w:rsid w:val="00E02832"/>
    <w:rsid w:val="00E03D48"/>
    <w:rsid w:val="00E05CBC"/>
    <w:rsid w:val="00E06939"/>
    <w:rsid w:val="00E06B59"/>
    <w:rsid w:val="00E07077"/>
    <w:rsid w:val="00E07646"/>
    <w:rsid w:val="00E07800"/>
    <w:rsid w:val="00E07CD6"/>
    <w:rsid w:val="00E10332"/>
    <w:rsid w:val="00E10917"/>
    <w:rsid w:val="00E10C2E"/>
    <w:rsid w:val="00E10F98"/>
    <w:rsid w:val="00E12660"/>
    <w:rsid w:val="00E1407F"/>
    <w:rsid w:val="00E15051"/>
    <w:rsid w:val="00E15762"/>
    <w:rsid w:val="00E1607C"/>
    <w:rsid w:val="00E16353"/>
    <w:rsid w:val="00E168EC"/>
    <w:rsid w:val="00E172D0"/>
    <w:rsid w:val="00E1780B"/>
    <w:rsid w:val="00E17B1E"/>
    <w:rsid w:val="00E17FCA"/>
    <w:rsid w:val="00E20D2B"/>
    <w:rsid w:val="00E21BF1"/>
    <w:rsid w:val="00E2215C"/>
    <w:rsid w:val="00E23C5D"/>
    <w:rsid w:val="00E23DE2"/>
    <w:rsid w:val="00E254B0"/>
    <w:rsid w:val="00E2556B"/>
    <w:rsid w:val="00E25A51"/>
    <w:rsid w:val="00E25E37"/>
    <w:rsid w:val="00E25FE9"/>
    <w:rsid w:val="00E260FC"/>
    <w:rsid w:val="00E26644"/>
    <w:rsid w:val="00E2711C"/>
    <w:rsid w:val="00E2760C"/>
    <w:rsid w:val="00E31386"/>
    <w:rsid w:val="00E3289B"/>
    <w:rsid w:val="00E32EC1"/>
    <w:rsid w:val="00E33705"/>
    <w:rsid w:val="00E345FD"/>
    <w:rsid w:val="00E3485C"/>
    <w:rsid w:val="00E348A9"/>
    <w:rsid w:val="00E349E3"/>
    <w:rsid w:val="00E35E20"/>
    <w:rsid w:val="00E35F5B"/>
    <w:rsid w:val="00E369CC"/>
    <w:rsid w:val="00E36E48"/>
    <w:rsid w:val="00E37520"/>
    <w:rsid w:val="00E37ECF"/>
    <w:rsid w:val="00E4085C"/>
    <w:rsid w:val="00E40CBE"/>
    <w:rsid w:val="00E40FDE"/>
    <w:rsid w:val="00E414D9"/>
    <w:rsid w:val="00E41D0E"/>
    <w:rsid w:val="00E42311"/>
    <w:rsid w:val="00E429DC"/>
    <w:rsid w:val="00E4326E"/>
    <w:rsid w:val="00E43C2E"/>
    <w:rsid w:val="00E449BE"/>
    <w:rsid w:val="00E44C27"/>
    <w:rsid w:val="00E456F6"/>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7"/>
    <w:rsid w:val="00E55EAA"/>
    <w:rsid w:val="00E55F44"/>
    <w:rsid w:val="00E56632"/>
    <w:rsid w:val="00E60220"/>
    <w:rsid w:val="00E60421"/>
    <w:rsid w:val="00E60F08"/>
    <w:rsid w:val="00E6177D"/>
    <w:rsid w:val="00E61A5E"/>
    <w:rsid w:val="00E62498"/>
    <w:rsid w:val="00E6256A"/>
    <w:rsid w:val="00E62C92"/>
    <w:rsid w:val="00E63B35"/>
    <w:rsid w:val="00E63E07"/>
    <w:rsid w:val="00E647A9"/>
    <w:rsid w:val="00E64AAF"/>
    <w:rsid w:val="00E6621E"/>
    <w:rsid w:val="00E6707F"/>
    <w:rsid w:val="00E71DB3"/>
    <w:rsid w:val="00E721A0"/>
    <w:rsid w:val="00E73744"/>
    <w:rsid w:val="00E747C8"/>
    <w:rsid w:val="00E74C2D"/>
    <w:rsid w:val="00E74E79"/>
    <w:rsid w:val="00E755E8"/>
    <w:rsid w:val="00E767A6"/>
    <w:rsid w:val="00E76932"/>
    <w:rsid w:val="00E774A9"/>
    <w:rsid w:val="00E802F6"/>
    <w:rsid w:val="00E825F9"/>
    <w:rsid w:val="00E835E6"/>
    <w:rsid w:val="00E8461D"/>
    <w:rsid w:val="00E8466B"/>
    <w:rsid w:val="00E84701"/>
    <w:rsid w:val="00E84D09"/>
    <w:rsid w:val="00E851A1"/>
    <w:rsid w:val="00E857D5"/>
    <w:rsid w:val="00E8698A"/>
    <w:rsid w:val="00E86F6C"/>
    <w:rsid w:val="00E87456"/>
    <w:rsid w:val="00E87DC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889"/>
    <w:rsid w:val="00EB0D09"/>
    <w:rsid w:val="00EB17DB"/>
    <w:rsid w:val="00EB3238"/>
    <w:rsid w:val="00EB3275"/>
    <w:rsid w:val="00EB4A26"/>
    <w:rsid w:val="00EB533E"/>
    <w:rsid w:val="00EB57DD"/>
    <w:rsid w:val="00EB58D5"/>
    <w:rsid w:val="00EB646E"/>
    <w:rsid w:val="00EB6CCC"/>
    <w:rsid w:val="00EB727C"/>
    <w:rsid w:val="00EC0B41"/>
    <w:rsid w:val="00EC38D2"/>
    <w:rsid w:val="00EC39D9"/>
    <w:rsid w:val="00EC3E0E"/>
    <w:rsid w:val="00EC4653"/>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D706B"/>
    <w:rsid w:val="00EE245F"/>
    <w:rsid w:val="00EE27CA"/>
    <w:rsid w:val="00EE2F17"/>
    <w:rsid w:val="00EE36C2"/>
    <w:rsid w:val="00EE38A6"/>
    <w:rsid w:val="00EE3BE0"/>
    <w:rsid w:val="00EE3E78"/>
    <w:rsid w:val="00EE4DEA"/>
    <w:rsid w:val="00EE5247"/>
    <w:rsid w:val="00EE547E"/>
    <w:rsid w:val="00EE56DC"/>
    <w:rsid w:val="00EE5B6C"/>
    <w:rsid w:val="00EE604E"/>
    <w:rsid w:val="00EE61E8"/>
    <w:rsid w:val="00EE6CBF"/>
    <w:rsid w:val="00EE6E63"/>
    <w:rsid w:val="00EE6EDF"/>
    <w:rsid w:val="00EE74C2"/>
    <w:rsid w:val="00EE754E"/>
    <w:rsid w:val="00EE7F79"/>
    <w:rsid w:val="00EF14C2"/>
    <w:rsid w:val="00EF2047"/>
    <w:rsid w:val="00EF2FCA"/>
    <w:rsid w:val="00EF3049"/>
    <w:rsid w:val="00EF4065"/>
    <w:rsid w:val="00EF40D0"/>
    <w:rsid w:val="00EF556B"/>
    <w:rsid w:val="00EF5BC9"/>
    <w:rsid w:val="00EF638E"/>
    <w:rsid w:val="00EF6C82"/>
    <w:rsid w:val="00EF706C"/>
    <w:rsid w:val="00EF7328"/>
    <w:rsid w:val="00F00025"/>
    <w:rsid w:val="00F018D1"/>
    <w:rsid w:val="00F01DD5"/>
    <w:rsid w:val="00F0215A"/>
    <w:rsid w:val="00F021BF"/>
    <w:rsid w:val="00F02C8A"/>
    <w:rsid w:val="00F04508"/>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61C2"/>
    <w:rsid w:val="00F1736A"/>
    <w:rsid w:val="00F17534"/>
    <w:rsid w:val="00F17748"/>
    <w:rsid w:val="00F17CEF"/>
    <w:rsid w:val="00F201AD"/>
    <w:rsid w:val="00F202AD"/>
    <w:rsid w:val="00F20BB0"/>
    <w:rsid w:val="00F21898"/>
    <w:rsid w:val="00F21B68"/>
    <w:rsid w:val="00F21EE5"/>
    <w:rsid w:val="00F22A79"/>
    <w:rsid w:val="00F23D02"/>
    <w:rsid w:val="00F23EBA"/>
    <w:rsid w:val="00F244AE"/>
    <w:rsid w:val="00F25B8B"/>
    <w:rsid w:val="00F25FA2"/>
    <w:rsid w:val="00F263FB"/>
    <w:rsid w:val="00F26DDA"/>
    <w:rsid w:val="00F30790"/>
    <w:rsid w:val="00F30C3E"/>
    <w:rsid w:val="00F31122"/>
    <w:rsid w:val="00F31286"/>
    <w:rsid w:val="00F31417"/>
    <w:rsid w:val="00F31B8B"/>
    <w:rsid w:val="00F322ED"/>
    <w:rsid w:val="00F33A3F"/>
    <w:rsid w:val="00F3429B"/>
    <w:rsid w:val="00F3496C"/>
    <w:rsid w:val="00F35320"/>
    <w:rsid w:val="00F35C98"/>
    <w:rsid w:val="00F36226"/>
    <w:rsid w:val="00F368C4"/>
    <w:rsid w:val="00F36E54"/>
    <w:rsid w:val="00F37004"/>
    <w:rsid w:val="00F370A7"/>
    <w:rsid w:val="00F376D2"/>
    <w:rsid w:val="00F37A94"/>
    <w:rsid w:val="00F37ACE"/>
    <w:rsid w:val="00F40FFC"/>
    <w:rsid w:val="00F41148"/>
    <w:rsid w:val="00F41C6E"/>
    <w:rsid w:val="00F42529"/>
    <w:rsid w:val="00F43F9C"/>
    <w:rsid w:val="00F44513"/>
    <w:rsid w:val="00F44596"/>
    <w:rsid w:val="00F447F9"/>
    <w:rsid w:val="00F44997"/>
    <w:rsid w:val="00F44A6B"/>
    <w:rsid w:val="00F45F3F"/>
    <w:rsid w:val="00F46FEB"/>
    <w:rsid w:val="00F50CEE"/>
    <w:rsid w:val="00F51EE0"/>
    <w:rsid w:val="00F5217A"/>
    <w:rsid w:val="00F5229C"/>
    <w:rsid w:val="00F5255C"/>
    <w:rsid w:val="00F527DA"/>
    <w:rsid w:val="00F5305E"/>
    <w:rsid w:val="00F54375"/>
    <w:rsid w:val="00F54A2D"/>
    <w:rsid w:val="00F54DB6"/>
    <w:rsid w:val="00F55704"/>
    <w:rsid w:val="00F559F9"/>
    <w:rsid w:val="00F567D1"/>
    <w:rsid w:val="00F56D91"/>
    <w:rsid w:val="00F57477"/>
    <w:rsid w:val="00F603C4"/>
    <w:rsid w:val="00F607C2"/>
    <w:rsid w:val="00F609C5"/>
    <w:rsid w:val="00F6173D"/>
    <w:rsid w:val="00F61A65"/>
    <w:rsid w:val="00F62302"/>
    <w:rsid w:val="00F623AD"/>
    <w:rsid w:val="00F624FF"/>
    <w:rsid w:val="00F625AA"/>
    <w:rsid w:val="00F627C4"/>
    <w:rsid w:val="00F6291A"/>
    <w:rsid w:val="00F62AFF"/>
    <w:rsid w:val="00F63206"/>
    <w:rsid w:val="00F6484E"/>
    <w:rsid w:val="00F64B88"/>
    <w:rsid w:val="00F64E78"/>
    <w:rsid w:val="00F65EB1"/>
    <w:rsid w:val="00F661C5"/>
    <w:rsid w:val="00F730A1"/>
    <w:rsid w:val="00F73ED3"/>
    <w:rsid w:val="00F74381"/>
    <w:rsid w:val="00F74906"/>
    <w:rsid w:val="00F74B02"/>
    <w:rsid w:val="00F75602"/>
    <w:rsid w:val="00F75630"/>
    <w:rsid w:val="00F75A31"/>
    <w:rsid w:val="00F75E61"/>
    <w:rsid w:val="00F75E94"/>
    <w:rsid w:val="00F764CD"/>
    <w:rsid w:val="00F76DC6"/>
    <w:rsid w:val="00F76E58"/>
    <w:rsid w:val="00F80F06"/>
    <w:rsid w:val="00F8119A"/>
    <w:rsid w:val="00F8133F"/>
    <w:rsid w:val="00F81B96"/>
    <w:rsid w:val="00F82554"/>
    <w:rsid w:val="00F83143"/>
    <w:rsid w:val="00F84993"/>
    <w:rsid w:val="00F85775"/>
    <w:rsid w:val="00F87038"/>
    <w:rsid w:val="00F87669"/>
    <w:rsid w:val="00F87730"/>
    <w:rsid w:val="00F902DC"/>
    <w:rsid w:val="00F90479"/>
    <w:rsid w:val="00F9111D"/>
    <w:rsid w:val="00F91707"/>
    <w:rsid w:val="00F923A6"/>
    <w:rsid w:val="00F92FDC"/>
    <w:rsid w:val="00F9358C"/>
    <w:rsid w:val="00F942F2"/>
    <w:rsid w:val="00F94EEB"/>
    <w:rsid w:val="00F94EFE"/>
    <w:rsid w:val="00F95F7C"/>
    <w:rsid w:val="00FA0F18"/>
    <w:rsid w:val="00FA14F6"/>
    <w:rsid w:val="00FA1676"/>
    <w:rsid w:val="00FA16DC"/>
    <w:rsid w:val="00FA2043"/>
    <w:rsid w:val="00FA3DF2"/>
    <w:rsid w:val="00FA49B5"/>
    <w:rsid w:val="00FA6322"/>
    <w:rsid w:val="00FA68C9"/>
    <w:rsid w:val="00FA71D1"/>
    <w:rsid w:val="00FA7609"/>
    <w:rsid w:val="00FA798E"/>
    <w:rsid w:val="00FA7DB6"/>
    <w:rsid w:val="00FB036B"/>
    <w:rsid w:val="00FB0B20"/>
    <w:rsid w:val="00FB1267"/>
    <w:rsid w:val="00FB1630"/>
    <w:rsid w:val="00FB1B56"/>
    <w:rsid w:val="00FB2166"/>
    <w:rsid w:val="00FB31EB"/>
    <w:rsid w:val="00FB3781"/>
    <w:rsid w:val="00FB37E4"/>
    <w:rsid w:val="00FB5E49"/>
    <w:rsid w:val="00FB6197"/>
    <w:rsid w:val="00FC0676"/>
    <w:rsid w:val="00FC18CA"/>
    <w:rsid w:val="00FC18E3"/>
    <w:rsid w:val="00FC20E6"/>
    <w:rsid w:val="00FC21CC"/>
    <w:rsid w:val="00FC2F43"/>
    <w:rsid w:val="00FC3FDE"/>
    <w:rsid w:val="00FC47FD"/>
    <w:rsid w:val="00FC49A0"/>
    <w:rsid w:val="00FC5079"/>
    <w:rsid w:val="00FC556C"/>
    <w:rsid w:val="00FC55B7"/>
    <w:rsid w:val="00FC57FC"/>
    <w:rsid w:val="00FC5F64"/>
    <w:rsid w:val="00FC6E39"/>
    <w:rsid w:val="00FD00C9"/>
    <w:rsid w:val="00FD05F8"/>
    <w:rsid w:val="00FD174D"/>
    <w:rsid w:val="00FD1E38"/>
    <w:rsid w:val="00FD1FAC"/>
    <w:rsid w:val="00FD40B5"/>
    <w:rsid w:val="00FD456D"/>
    <w:rsid w:val="00FD4C33"/>
    <w:rsid w:val="00FD54E6"/>
    <w:rsid w:val="00FD5828"/>
    <w:rsid w:val="00FD5F44"/>
    <w:rsid w:val="00FD75DE"/>
    <w:rsid w:val="00FD79D9"/>
    <w:rsid w:val="00FE0691"/>
    <w:rsid w:val="00FE09C0"/>
    <w:rsid w:val="00FE0AC1"/>
    <w:rsid w:val="00FE10D4"/>
    <w:rsid w:val="00FE13E6"/>
    <w:rsid w:val="00FE17AC"/>
    <w:rsid w:val="00FE237F"/>
    <w:rsid w:val="00FE2507"/>
    <w:rsid w:val="00FE27E9"/>
    <w:rsid w:val="00FE2E7A"/>
    <w:rsid w:val="00FE313D"/>
    <w:rsid w:val="00FE41DE"/>
    <w:rsid w:val="00FE49DB"/>
    <w:rsid w:val="00FE4D54"/>
    <w:rsid w:val="00FE59A5"/>
    <w:rsid w:val="00FE5E28"/>
    <w:rsid w:val="00FE6933"/>
    <w:rsid w:val="00FE6B89"/>
    <w:rsid w:val="00FE7228"/>
    <w:rsid w:val="00FE777C"/>
    <w:rsid w:val="00FE7A28"/>
    <w:rsid w:val="00FF0B8F"/>
    <w:rsid w:val="00FF1349"/>
    <w:rsid w:val="00FF171D"/>
    <w:rsid w:val="00FF1D02"/>
    <w:rsid w:val="00FF1FEA"/>
    <w:rsid w:val="00FF246E"/>
    <w:rsid w:val="00FF256F"/>
    <w:rsid w:val="00FF34FD"/>
    <w:rsid w:val="00FF37DF"/>
    <w:rsid w:val="00FF47AB"/>
    <w:rsid w:val="00FF4EE4"/>
    <w:rsid w:val="00FF5107"/>
    <w:rsid w:val="00FF5575"/>
    <w:rsid w:val="00FF5A69"/>
    <w:rsid w:val="00FF604F"/>
    <w:rsid w:val="00FF66A9"/>
    <w:rsid w:val="00FF672E"/>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DD747CC"/>
  <w15:docId w15:val="{F2B815CA-FC0C-4B63-81F9-91539428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uiPriority w:val="99"/>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uiPriority w:val="99"/>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uiPriority w:val="99"/>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uiPriority w:val="99"/>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 w:type="paragraph" w:styleId="HTMLPreformatted">
    <w:name w:val="HTML Preformatted"/>
    <w:basedOn w:val="Normal"/>
    <w:link w:val="HTMLPreformattedChar"/>
    <w:rsid w:val="00447687"/>
    <w:rPr>
      <w:rFonts w:ascii="Consolas" w:hAnsi="Consolas"/>
      <w:sz w:val="20"/>
      <w:szCs w:val="20"/>
    </w:rPr>
  </w:style>
  <w:style w:type="character" w:customStyle="1" w:styleId="HTMLPreformattedChar">
    <w:name w:val="HTML Preformatted Char"/>
    <w:basedOn w:val="DefaultParagraphFont"/>
    <w:link w:val="HTMLPreformatted"/>
    <w:rsid w:val="00447687"/>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6058495">
      <w:bodyDiv w:val="1"/>
      <w:marLeft w:val="0"/>
      <w:marRight w:val="0"/>
      <w:marTop w:val="0"/>
      <w:marBottom w:val="0"/>
      <w:divBdr>
        <w:top w:val="none" w:sz="0" w:space="0" w:color="auto"/>
        <w:left w:val="none" w:sz="0" w:space="0" w:color="auto"/>
        <w:bottom w:val="none" w:sz="0" w:space="0" w:color="auto"/>
        <w:right w:val="none" w:sz="0" w:space="0" w:color="auto"/>
      </w:divBdr>
    </w:div>
    <w:div w:id="330569764">
      <w:bodyDiv w:val="1"/>
      <w:marLeft w:val="0"/>
      <w:marRight w:val="0"/>
      <w:marTop w:val="0"/>
      <w:marBottom w:val="0"/>
      <w:divBdr>
        <w:top w:val="none" w:sz="0" w:space="0" w:color="auto"/>
        <w:left w:val="none" w:sz="0" w:space="0" w:color="auto"/>
        <w:bottom w:val="none" w:sz="0" w:space="0" w:color="auto"/>
        <w:right w:val="none" w:sz="0" w:space="0" w:color="auto"/>
      </w:divBdr>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388119228">
      <w:bodyDiv w:val="1"/>
      <w:marLeft w:val="0"/>
      <w:marRight w:val="0"/>
      <w:marTop w:val="0"/>
      <w:marBottom w:val="0"/>
      <w:divBdr>
        <w:top w:val="none" w:sz="0" w:space="0" w:color="auto"/>
        <w:left w:val="none" w:sz="0" w:space="0" w:color="auto"/>
        <w:bottom w:val="none" w:sz="0" w:space="0" w:color="auto"/>
        <w:right w:val="none" w:sz="0" w:space="0" w:color="auto"/>
      </w:divBdr>
      <w:divsChild>
        <w:div w:id="405807763">
          <w:marLeft w:val="0"/>
          <w:marRight w:val="0"/>
          <w:marTop w:val="0"/>
          <w:marBottom w:val="90"/>
          <w:divBdr>
            <w:top w:val="none" w:sz="0" w:space="0" w:color="auto"/>
            <w:left w:val="none" w:sz="0" w:space="0" w:color="auto"/>
            <w:bottom w:val="none" w:sz="0" w:space="0" w:color="auto"/>
            <w:right w:val="none" w:sz="0" w:space="0" w:color="auto"/>
          </w:divBdr>
          <w:divsChild>
            <w:div w:id="1475758933">
              <w:marLeft w:val="0"/>
              <w:marRight w:val="0"/>
              <w:marTop w:val="0"/>
              <w:marBottom w:val="0"/>
              <w:divBdr>
                <w:top w:val="none" w:sz="0" w:space="0" w:color="auto"/>
                <w:left w:val="none" w:sz="0" w:space="0" w:color="auto"/>
                <w:bottom w:val="none" w:sz="0" w:space="0" w:color="auto"/>
                <w:right w:val="none" w:sz="0" w:space="0" w:color="auto"/>
              </w:divBdr>
              <w:divsChild>
                <w:div w:id="3932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4833">
          <w:marLeft w:val="0"/>
          <w:marRight w:val="0"/>
          <w:marTop w:val="0"/>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70968">
      <w:bodyDiv w:val="1"/>
      <w:marLeft w:val="0"/>
      <w:marRight w:val="0"/>
      <w:marTop w:val="0"/>
      <w:marBottom w:val="0"/>
      <w:divBdr>
        <w:top w:val="none" w:sz="0" w:space="0" w:color="auto"/>
        <w:left w:val="none" w:sz="0" w:space="0" w:color="auto"/>
        <w:bottom w:val="none" w:sz="0" w:space="0" w:color="auto"/>
        <w:right w:val="none" w:sz="0" w:space="0" w:color="auto"/>
      </w:divBdr>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06220579">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31929075">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585341718">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4794251">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1876116319">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sChild>
                                        </w:div>
                                        <w:div w:id="876815881">
                                          <w:marLeft w:val="0"/>
                                          <w:marRight w:val="0"/>
                                          <w:marTop w:val="0"/>
                                          <w:marBottom w:val="0"/>
                                          <w:divBdr>
                                            <w:top w:val="none" w:sz="0" w:space="0" w:color="auto"/>
                                            <w:left w:val="none" w:sz="0" w:space="0" w:color="auto"/>
                                            <w:bottom w:val="none" w:sz="0" w:space="0" w:color="auto"/>
                                            <w:right w:val="none" w:sz="0" w:space="0" w:color="auto"/>
                                          </w:divBdr>
                                          <w:divsChild>
                                            <w:div w:id="45968731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132">
                                              <w:marLeft w:val="0"/>
                                              <w:marRight w:val="0"/>
                                              <w:marTop w:val="0"/>
                                              <w:marBottom w:val="0"/>
                                              <w:divBdr>
                                                <w:top w:val="none" w:sz="0" w:space="0" w:color="auto"/>
                                                <w:left w:val="none" w:sz="0" w:space="0" w:color="auto"/>
                                                <w:bottom w:val="none" w:sz="0" w:space="0" w:color="auto"/>
                                                <w:right w:val="none" w:sz="0" w:space="0" w:color="auto"/>
                                              </w:divBdr>
                                            </w:div>
                                            <w:div w:id="1578710678">
                                              <w:marLeft w:val="0"/>
                                              <w:marRight w:val="0"/>
                                              <w:marTop w:val="0"/>
                                              <w:marBottom w:val="0"/>
                                              <w:divBdr>
                                                <w:top w:val="none" w:sz="0" w:space="0" w:color="auto"/>
                                                <w:left w:val="none" w:sz="0" w:space="0" w:color="auto"/>
                                                <w:bottom w:val="none" w:sz="0" w:space="0" w:color="auto"/>
                                                <w:right w:val="none" w:sz="0" w:space="0" w:color="auto"/>
                                              </w:divBdr>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467094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1016925389">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5821">
                                      <w:marLeft w:val="0"/>
                                      <w:marRight w:val="0"/>
                                      <w:marTop w:val="0"/>
                                      <w:marBottom w:val="0"/>
                                      <w:divBdr>
                                        <w:top w:val="none" w:sz="0" w:space="0" w:color="auto"/>
                                        <w:left w:val="none" w:sz="0" w:space="0" w:color="auto"/>
                                        <w:bottom w:val="none" w:sz="0" w:space="0" w:color="auto"/>
                                        <w:right w:val="none" w:sz="0" w:space="0" w:color="auto"/>
                                      </w:divBdr>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8697">
                                      <w:marLeft w:val="0"/>
                                      <w:marRight w:val="0"/>
                                      <w:marTop w:val="0"/>
                                      <w:marBottom w:val="0"/>
                                      <w:divBdr>
                                        <w:top w:val="none" w:sz="0" w:space="0" w:color="auto"/>
                                        <w:left w:val="none" w:sz="0" w:space="0" w:color="auto"/>
                                        <w:bottom w:val="none" w:sz="0" w:space="0" w:color="auto"/>
                                        <w:right w:val="none" w:sz="0" w:space="0" w:color="auto"/>
                                      </w:divBdr>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91621">
                                      <w:marLeft w:val="0"/>
                                      <w:marRight w:val="0"/>
                                      <w:marTop w:val="0"/>
                                      <w:marBottom w:val="0"/>
                                      <w:divBdr>
                                        <w:top w:val="none" w:sz="0" w:space="0" w:color="auto"/>
                                        <w:left w:val="none" w:sz="0" w:space="0" w:color="auto"/>
                                        <w:bottom w:val="none" w:sz="0" w:space="0" w:color="auto"/>
                                        <w:right w:val="none" w:sz="0" w:space="0" w:color="auto"/>
                                      </w:divBdr>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77729">
                                      <w:marLeft w:val="0"/>
                                      <w:marRight w:val="0"/>
                                      <w:marTop w:val="0"/>
                                      <w:marBottom w:val="0"/>
                                      <w:divBdr>
                                        <w:top w:val="none" w:sz="0" w:space="0" w:color="auto"/>
                                        <w:left w:val="none" w:sz="0" w:space="0" w:color="auto"/>
                                        <w:bottom w:val="none" w:sz="0" w:space="0" w:color="auto"/>
                                        <w:right w:val="none" w:sz="0" w:space="0" w:color="auto"/>
                                      </w:divBdr>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609">
                                      <w:marLeft w:val="0"/>
                                      <w:marRight w:val="0"/>
                                      <w:marTop w:val="0"/>
                                      <w:marBottom w:val="0"/>
                                      <w:divBdr>
                                        <w:top w:val="none" w:sz="0" w:space="0" w:color="auto"/>
                                        <w:left w:val="none" w:sz="0" w:space="0" w:color="auto"/>
                                        <w:bottom w:val="none" w:sz="0" w:space="0" w:color="auto"/>
                                        <w:right w:val="none" w:sz="0" w:space="0" w:color="auto"/>
                                      </w:divBdr>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210">
                                      <w:marLeft w:val="0"/>
                                      <w:marRight w:val="0"/>
                                      <w:marTop w:val="0"/>
                                      <w:marBottom w:val="0"/>
                                      <w:divBdr>
                                        <w:top w:val="none" w:sz="0" w:space="0" w:color="auto"/>
                                        <w:left w:val="none" w:sz="0" w:space="0" w:color="auto"/>
                                        <w:bottom w:val="none" w:sz="0" w:space="0" w:color="auto"/>
                                        <w:right w:val="none" w:sz="0" w:space="0" w:color="auto"/>
                                      </w:divBdr>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03805">
                                      <w:marLeft w:val="0"/>
                                      <w:marRight w:val="0"/>
                                      <w:marTop w:val="0"/>
                                      <w:marBottom w:val="0"/>
                                      <w:divBdr>
                                        <w:top w:val="none" w:sz="0" w:space="0" w:color="auto"/>
                                        <w:left w:val="none" w:sz="0" w:space="0" w:color="auto"/>
                                        <w:bottom w:val="none" w:sz="0" w:space="0" w:color="auto"/>
                                        <w:right w:val="none" w:sz="0" w:space="0" w:color="auto"/>
                                      </w:divBdr>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406462998">
                              <w:marLeft w:val="0"/>
                              <w:marRight w:val="0"/>
                              <w:marTop w:val="180"/>
                              <w:marBottom w:val="180"/>
                              <w:divBdr>
                                <w:top w:val="none" w:sz="0" w:space="0" w:color="auto"/>
                                <w:left w:val="none" w:sz="0" w:space="0" w:color="auto"/>
                                <w:bottom w:val="none" w:sz="0" w:space="0" w:color="auto"/>
                                <w:right w:val="none" w:sz="0" w:space="0" w:color="auto"/>
                              </w:divBdr>
                            </w:div>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846093036">
                                  <w:marLeft w:val="0"/>
                                  <w:marRight w:val="0"/>
                                  <w:marTop w:val="0"/>
                                  <w:marBottom w:val="0"/>
                                  <w:divBdr>
                                    <w:top w:val="none" w:sz="0" w:space="0" w:color="auto"/>
                                    <w:left w:val="none" w:sz="0" w:space="0" w:color="auto"/>
                                    <w:bottom w:val="none" w:sz="0" w:space="0" w:color="auto"/>
                                    <w:right w:val="none" w:sz="0" w:space="0" w:color="auto"/>
                                  </w:divBdr>
                                </w:div>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17051240">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947471228">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sChild>
                                        </w:div>
                                        <w:div w:id="153380119">
                                          <w:marLeft w:val="0"/>
                                          <w:marRight w:val="0"/>
                                          <w:marTop w:val="0"/>
                                          <w:marBottom w:val="0"/>
                                          <w:divBdr>
                                            <w:top w:val="none" w:sz="0" w:space="0" w:color="auto"/>
                                            <w:left w:val="none" w:sz="0" w:space="0" w:color="auto"/>
                                            <w:bottom w:val="none" w:sz="0" w:space="0" w:color="auto"/>
                                            <w:right w:val="none" w:sz="0" w:space="0" w:color="auto"/>
                                          </w:divBdr>
                                          <w:divsChild>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4960">
                                              <w:marLeft w:val="0"/>
                                              <w:marRight w:val="0"/>
                                              <w:marTop w:val="0"/>
                                              <w:marBottom w:val="0"/>
                                              <w:divBdr>
                                                <w:top w:val="none" w:sz="0" w:space="0" w:color="auto"/>
                                                <w:left w:val="none" w:sz="0" w:space="0" w:color="auto"/>
                                                <w:bottom w:val="none" w:sz="0" w:space="0" w:color="auto"/>
                                                <w:right w:val="none" w:sz="0" w:space="0" w:color="auto"/>
                                              </w:divBdr>
                                            </w:div>
                                            <w:div w:id="982388308">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2630497">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1632636775">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40596544">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113714268">
                                  <w:marLeft w:val="0"/>
                                  <w:marRight w:val="0"/>
                                  <w:marTop w:val="0"/>
                                  <w:marBottom w:val="0"/>
                                  <w:divBdr>
                                    <w:top w:val="none" w:sz="0" w:space="0" w:color="auto"/>
                                    <w:left w:val="none" w:sz="0" w:space="0" w:color="auto"/>
                                    <w:bottom w:val="none" w:sz="0" w:space="0" w:color="auto"/>
                                    <w:right w:val="none" w:sz="0" w:space="0" w:color="auto"/>
                                  </w:divBdr>
                                  <w:divsChild>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693">
                                      <w:marLeft w:val="0"/>
                                      <w:marRight w:val="0"/>
                                      <w:marTop w:val="0"/>
                                      <w:marBottom w:val="0"/>
                                      <w:divBdr>
                                        <w:top w:val="none" w:sz="0" w:space="0" w:color="auto"/>
                                        <w:left w:val="none" w:sz="0" w:space="0" w:color="auto"/>
                                        <w:bottom w:val="none" w:sz="0" w:space="0" w:color="auto"/>
                                        <w:right w:val="none" w:sz="0" w:space="0" w:color="auto"/>
                                      </w:divBdr>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20170">
                                      <w:marLeft w:val="0"/>
                                      <w:marRight w:val="0"/>
                                      <w:marTop w:val="0"/>
                                      <w:marBottom w:val="0"/>
                                      <w:divBdr>
                                        <w:top w:val="none" w:sz="0" w:space="0" w:color="auto"/>
                                        <w:left w:val="none" w:sz="0" w:space="0" w:color="auto"/>
                                        <w:bottom w:val="none" w:sz="0" w:space="0" w:color="auto"/>
                                        <w:right w:val="none" w:sz="0" w:space="0" w:color="auto"/>
                                      </w:divBdr>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 w:id="1201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6742">
                                      <w:marLeft w:val="0"/>
                                      <w:marRight w:val="0"/>
                                      <w:marTop w:val="0"/>
                                      <w:marBottom w:val="0"/>
                                      <w:divBdr>
                                        <w:top w:val="none" w:sz="0" w:space="0" w:color="auto"/>
                                        <w:left w:val="none" w:sz="0" w:space="0" w:color="auto"/>
                                        <w:bottom w:val="none" w:sz="0" w:space="0" w:color="auto"/>
                                        <w:right w:val="none" w:sz="0" w:space="0" w:color="auto"/>
                                      </w:divBdr>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5546">
                                      <w:marLeft w:val="0"/>
                                      <w:marRight w:val="0"/>
                                      <w:marTop w:val="0"/>
                                      <w:marBottom w:val="0"/>
                                      <w:divBdr>
                                        <w:top w:val="none" w:sz="0" w:space="0" w:color="auto"/>
                                        <w:left w:val="none" w:sz="0" w:space="0" w:color="auto"/>
                                        <w:bottom w:val="none" w:sz="0" w:space="0" w:color="auto"/>
                                        <w:right w:val="none" w:sz="0" w:space="0" w:color="auto"/>
                                      </w:divBdr>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5312">
                                      <w:marLeft w:val="0"/>
                                      <w:marRight w:val="0"/>
                                      <w:marTop w:val="0"/>
                                      <w:marBottom w:val="0"/>
                                      <w:divBdr>
                                        <w:top w:val="none" w:sz="0" w:space="0" w:color="auto"/>
                                        <w:left w:val="none" w:sz="0" w:space="0" w:color="auto"/>
                                        <w:bottom w:val="none" w:sz="0" w:space="0" w:color="auto"/>
                                        <w:right w:val="none" w:sz="0" w:space="0" w:color="auto"/>
                                      </w:divBdr>
                                    </w:div>
                                  </w:divsChild>
                                </w:div>
                                <w:div w:id="2088261825">
                                  <w:marLeft w:val="0"/>
                                  <w:marRight w:val="0"/>
                                  <w:marTop w:val="0"/>
                                  <w:marBottom w:val="0"/>
                                  <w:divBdr>
                                    <w:top w:val="none" w:sz="0" w:space="0" w:color="auto"/>
                                    <w:left w:val="none" w:sz="0" w:space="0" w:color="auto"/>
                                    <w:bottom w:val="none" w:sz="0" w:space="0" w:color="auto"/>
                                    <w:right w:val="none" w:sz="0" w:space="0" w:color="auto"/>
                                  </w:divBdr>
                                  <w:divsChild>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686726">
      <w:bodyDiv w:val="1"/>
      <w:marLeft w:val="0"/>
      <w:marRight w:val="0"/>
      <w:marTop w:val="0"/>
      <w:marBottom w:val="0"/>
      <w:divBdr>
        <w:top w:val="none" w:sz="0" w:space="0" w:color="auto"/>
        <w:left w:val="none" w:sz="0" w:space="0" w:color="auto"/>
        <w:bottom w:val="none" w:sz="0" w:space="0" w:color="auto"/>
        <w:right w:val="none" w:sz="0" w:space="0" w:color="auto"/>
      </w:divBdr>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218930612">
      <w:bodyDiv w:val="1"/>
      <w:marLeft w:val="0"/>
      <w:marRight w:val="0"/>
      <w:marTop w:val="0"/>
      <w:marBottom w:val="0"/>
      <w:divBdr>
        <w:top w:val="none" w:sz="0" w:space="0" w:color="auto"/>
        <w:left w:val="none" w:sz="0" w:space="0" w:color="auto"/>
        <w:bottom w:val="none" w:sz="0" w:space="0" w:color="auto"/>
        <w:right w:val="none" w:sz="0" w:space="0" w:color="auto"/>
      </w:divBdr>
      <w:divsChild>
        <w:div w:id="1532380984">
          <w:marLeft w:val="0"/>
          <w:marRight w:val="0"/>
          <w:marTop w:val="0"/>
          <w:marBottom w:val="0"/>
          <w:divBdr>
            <w:top w:val="none" w:sz="0" w:space="0" w:color="auto"/>
            <w:left w:val="none" w:sz="0" w:space="0" w:color="auto"/>
            <w:bottom w:val="none" w:sz="0" w:space="0" w:color="auto"/>
            <w:right w:val="none" w:sz="0" w:space="0" w:color="auto"/>
          </w:divBdr>
          <w:divsChild>
            <w:div w:id="1352610695">
              <w:marLeft w:val="0"/>
              <w:marRight w:val="0"/>
              <w:marTop w:val="0"/>
              <w:marBottom w:val="0"/>
              <w:divBdr>
                <w:top w:val="none" w:sz="0" w:space="0" w:color="auto"/>
                <w:left w:val="none" w:sz="0" w:space="0" w:color="auto"/>
                <w:bottom w:val="none" w:sz="0" w:space="0" w:color="auto"/>
                <w:right w:val="none" w:sz="0" w:space="0" w:color="auto"/>
              </w:divBdr>
              <w:divsChild>
                <w:div w:id="17486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9928">
      <w:bodyDiv w:val="1"/>
      <w:marLeft w:val="0"/>
      <w:marRight w:val="0"/>
      <w:marTop w:val="0"/>
      <w:marBottom w:val="0"/>
      <w:divBdr>
        <w:top w:val="none" w:sz="0" w:space="0" w:color="auto"/>
        <w:left w:val="none" w:sz="0" w:space="0" w:color="auto"/>
        <w:bottom w:val="none" w:sz="0" w:space="0" w:color="auto"/>
        <w:right w:val="none" w:sz="0" w:space="0" w:color="auto"/>
      </w:divBdr>
      <w:divsChild>
        <w:div w:id="512690108">
          <w:marLeft w:val="0"/>
          <w:marRight w:val="0"/>
          <w:marTop w:val="0"/>
          <w:marBottom w:val="90"/>
          <w:divBdr>
            <w:top w:val="none" w:sz="0" w:space="0" w:color="auto"/>
            <w:left w:val="none" w:sz="0" w:space="0" w:color="auto"/>
            <w:bottom w:val="none" w:sz="0" w:space="0" w:color="auto"/>
            <w:right w:val="none" w:sz="0" w:space="0" w:color="auto"/>
          </w:divBdr>
          <w:divsChild>
            <w:div w:id="1731271709">
              <w:marLeft w:val="0"/>
              <w:marRight w:val="0"/>
              <w:marTop w:val="0"/>
              <w:marBottom w:val="0"/>
              <w:divBdr>
                <w:top w:val="none" w:sz="0" w:space="0" w:color="auto"/>
                <w:left w:val="none" w:sz="0" w:space="0" w:color="auto"/>
                <w:bottom w:val="none" w:sz="0" w:space="0" w:color="auto"/>
                <w:right w:val="none" w:sz="0" w:space="0" w:color="auto"/>
              </w:divBdr>
              <w:divsChild>
                <w:div w:id="19801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6080">
          <w:marLeft w:val="0"/>
          <w:marRight w:val="0"/>
          <w:marTop w:val="0"/>
          <w:marBottom w:val="0"/>
          <w:divBdr>
            <w:top w:val="none" w:sz="0" w:space="0" w:color="auto"/>
            <w:left w:val="none" w:sz="0" w:space="0" w:color="auto"/>
            <w:bottom w:val="none" w:sz="0" w:space="0" w:color="auto"/>
            <w:right w:val="none" w:sz="0" w:space="0" w:color="auto"/>
          </w:divBdr>
        </w:div>
      </w:divsChild>
    </w:div>
    <w:div w:id="125031246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sChild>
        <w:div w:id="1718315080">
          <w:marLeft w:val="0"/>
          <w:marRight w:val="0"/>
          <w:marTop w:val="0"/>
          <w:marBottom w:val="0"/>
          <w:divBdr>
            <w:top w:val="none" w:sz="0" w:space="0" w:color="auto"/>
            <w:left w:val="none" w:sz="0" w:space="0" w:color="auto"/>
            <w:bottom w:val="none" w:sz="0" w:space="0" w:color="auto"/>
            <w:right w:val="none" w:sz="0" w:space="0" w:color="auto"/>
          </w:divBdr>
        </w:div>
        <w:div w:id="1766151202">
          <w:marLeft w:val="0"/>
          <w:marRight w:val="0"/>
          <w:marTop w:val="0"/>
          <w:marBottom w:val="180"/>
          <w:divBdr>
            <w:top w:val="none" w:sz="0" w:space="0" w:color="auto"/>
            <w:left w:val="none" w:sz="0" w:space="0" w:color="auto"/>
            <w:bottom w:val="none" w:sz="0" w:space="0" w:color="auto"/>
            <w:right w:val="none" w:sz="0" w:space="0" w:color="auto"/>
          </w:divBdr>
        </w:div>
      </w:divsChild>
    </w:div>
    <w:div w:id="1298603682">
      <w:bodyDiv w:val="1"/>
      <w:marLeft w:val="0"/>
      <w:marRight w:val="0"/>
      <w:marTop w:val="0"/>
      <w:marBottom w:val="0"/>
      <w:divBdr>
        <w:top w:val="none" w:sz="0" w:space="0" w:color="auto"/>
        <w:left w:val="none" w:sz="0" w:space="0" w:color="auto"/>
        <w:bottom w:val="none" w:sz="0" w:space="0" w:color="auto"/>
        <w:right w:val="none" w:sz="0" w:space="0" w:color="auto"/>
      </w:divBdr>
    </w:div>
    <w:div w:id="1316648239">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73786060">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566574335">
      <w:bodyDiv w:val="1"/>
      <w:marLeft w:val="0"/>
      <w:marRight w:val="0"/>
      <w:marTop w:val="0"/>
      <w:marBottom w:val="0"/>
      <w:divBdr>
        <w:top w:val="none" w:sz="0" w:space="0" w:color="auto"/>
        <w:left w:val="none" w:sz="0" w:space="0" w:color="auto"/>
        <w:bottom w:val="none" w:sz="0" w:space="0" w:color="auto"/>
        <w:right w:val="none" w:sz="0" w:space="0" w:color="auto"/>
      </w:divBdr>
    </w:div>
    <w:div w:id="1650787778">
      <w:bodyDiv w:val="1"/>
      <w:marLeft w:val="0"/>
      <w:marRight w:val="0"/>
      <w:marTop w:val="0"/>
      <w:marBottom w:val="0"/>
      <w:divBdr>
        <w:top w:val="none" w:sz="0" w:space="0" w:color="auto"/>
        <w:left w:val="none" w:sz="0" w:space="0" w:color="auto"/>
        <w:bottom w:val="none" w:sz="0" w:space="0" w:color="auto"/>
        <w:right w:val="none" w:sz="0" w:space="0" w:color="auto"/>
      </w:divBdr>
    </w:div>
    <w:div w:id="1684476900">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29113725">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836023770">
      <w:bodyDiv w:val="1"/>
      <w:marLeft w:val="0"/>
      <w:marRight w:val="0"/>
      <w:marTop w:val="0"/>
      <w:marBottom w:val="0"/>
      <w:divBdr>
        <w:top w:val="none" w:sz="0" w:space="0" w:color="auto"/>
        <w:left w:val="none" w:sz="0" w:space="0" w:color="auto"/>
        <w:bottom w:val="none" w:sz="0" w:space="0" w:color="auto"/>
        <w:right w:val="none" w:sz="0" w:space="0" w:color="auto"/>
      </w:divBdr>
    </w:div>
    <w:div w:id="1876959764">
      <w:bodyDiv w:val="1"/>
      <w:marLeft w:val="0"/>
      <w:marRight w:val="0"/>
      <w:marTop w:val="0"/>
      <w:marBottom w:val="0"/>
      <w:divBdr>
        <w:top w:val="none" w:sz="0" w:space="0" w:color="auto"/>
        <w:left w:val="none" w:sz="0" w:space="0" w:color="auto"/>
        <w:bottom w:val="none" w:sz="0" w:space="0" w:color="auto"/>
        <w:right w:val="none" w:sz="0" w:space="0" w:color="auto"/>
      </w:divBdr>
      <w:divsChild>
        <w:div w:id="2047173859">
          <w:marLeft w:val="0"/>
          <w:marRight w:val="0"/>
          <w:marTop w:val="0"/>
          <w:marBottom w:val="0"/>
          <w:divBdr>
            <w:top w:val="none" w:sz="0" w:space="0" w:color="auto"/>
            <w:left w:val="none" w:sz="0" w:space="0" w:color="auto"/>
            <w:bottom w:val="none" w:sz="0" w:space="0" w:color="auto"/>
            <w:right w:val="none" w:sz="0" w:space="0" w:color="auto"/>
          </w:divBdr>
          <w:divsChild>
            <w:div w:id="1545672719">
              <w:marLeft w:val="0"/>
              <w:marRight w:val="0"/>
              <w:marTop w:val="0"/>
              <w:marBottom w:val="0"/>
              <w:divBdr>
                <w:top w:val="none" w:sz="0" w:space="0" w:color="auto"/>
                <w:left w:val="none" w:sz="0" w:space="0" w:color="auto"/>
                <w:bottom w:val="none" w:sz="0" w:space="0" w:color="auto"/>
                <w:right w:val="none" w:sz="0" w:space="0" w:color="auto"/>
              </w:divBdr>
              <w:divsChild>
                <w:div w:id="348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5235580">
      <w:bodyDiv w:val="1"/>
      <w:marLeft w:val="0"/>
      <w:marRight w:val="0"/>
      <w:marTop w:val="0"/>
      <w:marBottom w:val="0"/>
      <w:divBdr>
        <w:top w:val="none" w:sz="0" w:space="0" w:color="auto"/>
        <w:left w:val="none" w:sz="0" w:space="0" w:color="auto"/>
        <w:bottom w:val="none" w:sz="0" w:space="0" w:color="auto"/>
        <w:right w:val="none" w:sz="0" w:space="0" w:color="auto"/>
      </w:divBdr>
      <w:divsChild>
        <w:div w:id="1124810205">
          <w:marLeft w:val="0"/>
          <w:marRight w:val="0"/>
          <w:marTop w:val="0"/>
          <w:marBottom w:val="180"/>
          <w:divBdr>
            <w:top w:val="none" w:sz="0" w:space="0" w:color="auto"/>
            <w:left w:val="none" w:sz="0" w:space="0" w:color="auto"/>
            <w:bottom w:val="none" w:sz="0" w:space="0" w:color="auto"/>
            <w:right w:val="none" w:sz="0" w:space="0" w:color="auto"/>
          </w:divBdr>
        </w:div>
        <w:div w:id="1562715475">
          <w:marLeft w:val="0"/>
          <w:marRight w:val="0"/>
          <w:marTop w:val="0"/>
          <w:marBottom w:val="0"/>
          <w:divBdr>
            <w:top w:val="none" w:sz="0" w:space="0" w:color="auto"/>
            <w:left w:val="none" w:sz="0" w:space="0" w:color="auto"/>
            <w:bottom w:val="none" w:sz="0" w:space="0" w:color="auto"/>
            <w:right w:val="none" w:sz="0" w:space="0" w:color="auto"/>
          </w:divBdr>
        </w:div>
      </w:divsChild>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19117409">
      <w:bodyDiv w:val="1"/>
      <w:marLeft w:val="0"/>
      <w:marRight w:val="0"/>
      <w:marTop w:val="0"/>
      <w:marBottom w:val="0"/>
      <w:divBdr>
        <w:top w:val="none" w:sz="0" w:space="0" w:color="auto"/>
        <w:left w:val="none" w:sz="0" w:space="0" w:color="auto"/>
        <w:bottom w:val="none" w:sz="0" w:space="0" w:color="auto"/>
        <w:right w:val="none" w:sz="0" w:space="0" w:color="auto"/>
      </w:divBdr>
    </w:div>
    <w:div w:id="2051487327">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section/140579" TargetMode="External"/><Relationship Id="rId18" Type="http://schemas.openxmlformats.org/officeDocument/2006/relationships/hyperlink" Target="https://jade.io/article/119721/section/896" TargetMode="External"/><Relationship Id="rId26" Type="http://schemas.openxmlformats.org/officeDocument/2006/relationships/hyperlink" Target="https://jade.io/article/602136" TargetMode="External"/><Relationship Id="rId39" Type="http://schemas.openxmlformats.org/officeDocument/2006/relationships/hyperlink" Target="https://jade.io/article/75762" TargetMode="External"/><Relationship Id="rId21" Type="http://schemas.openxmlformats.org/officeDocument/2006/relationships/hyperlink" Target="https://jade.io/article/67250/section/140269" TargetMode="External"/><Relationship Id="rId34" Type="http://schemas.openxmlformats.org/officeDocument/2006/relationships/hyperlink" Target="https://jade.io/article/214796/section/6610" TargetMode="External"/><Relationship Id="rId42" Type="http://schemas.openxmlformats.org/officeDocument/2006/relationships/hyperlink" Target="https://www.childrenscourt.vic.gov.au/legal/guidelines-intermediary-pilot-program" TargetMode="External"/><Relationship Id="rId47" Type="http://schemas.openxmlformats.org/officeDocument/2006/relationships/hyperlink" Target="https://jade.io/article/122435" TargetMode="External"/><Relationship Id="rId50" Type="http://schemas.openxmlformats.org/officeDocument/2006/relationships/hyperlink" Target="https://jade.io/article/800857" TargetMode="External"/><Relationship Id="rId55" Type="http://schemas.openxmlformats.org/officeDocument/2006/relationships/hyperlink" Target="http://www.austlii.edu.au/cgi-bin/viewdoc/au/legis/vic/consol_act/cpa2009188/" TargetMode="External"/><Relationship Id="rId7" Type="http://schemas.openxmlformats.org/officeDocument/2006/relationships/endnotes" Target="endnotes.xml"/><Relationship Id="rId12" Type="http://schemas.openxmlformats.org/officeDocument/2006/relationships/hyperlink" Target="https://jade.io/article/188371"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8319/section/140890" TargetMode="External"/><Relationship Id="rId33" Type="http://schemas.openxmlformats.org/officeDocument/2006/relationships/hyperlink" Target="https://jade.io/article/214796" TargetMode="External"/><Relationship Id="rId38" Type="http://schemas.openxmlformats.org/officeDocument/2006/relationships/hyperlink" Target="https://jade.io/article/602136/section/140831" TargetMode="External"/><Relationship Id="rId46" Type="http://schemas.openxmlformats.org/officeDocument/2006/relationships/hyperlink" Target="https://www.austlii.edu.au/cgi-bin/viewdoc/au/cases/vic/VCC/2025/592.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ade.io/article/119721" TargetMode="External"/><Relationship Id="rId20" Type="http://schemas.openxmlformats.org/officeDocument/2006/relationships/hyperlink" Target="https://jade.io/article/67250/section/140363" TargetMode="External"/><Relationship Id="rId29" Type="http://schemas.openxmlformats.org/officeDocument/2006/relationships/hyperlink" Target="https://jade.io/article/281699" TargetMode="External"/><Relationship Id="rId41" Type="http://schemas.openxmlformats.org/officeDocument/2006/relationships/hyperlink" Target="https://criminalcpd.net.au/wp-content/uploads/2017/01/abuse-of-judicial-process-criminal-cle-0117.pdf" TargetMode="External"/><Relationship Id="rId54" Type="http://schemas.openxmlformats.org/officeDocument/2006/relationships/hyperlink" Target="http://www.austlii.edu.au/cgi-bin/viewdoc/au/legis/vic/consol_act/cpa2009188/s41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96260"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64351/section/2178" TargetMode="External"/><Relationship Id="rId37" Type="http://schemas.openxmlformats.org/officeDocument/2006/relationships/hyperlink" Target="https://jade.io/article/602136" TargetMode="External"/><Relationship Id="rId40" Type="http://schemas.openxmlformats.org/officeDocument/2006/relationships/hyperlink" Target="https://jade.io/article/75762/section/140706" TargetMode="External"/><Relationship Id="rId45" Type="http://schemas.openxmlformats.org/officeDocument/2006/relationships/hyperlink" Target="https://judicialcollege.vic.edu.au/resources/pocket-evidence-law" TargetMode="External"/><Relationship Id="rId53" Type="http://schemas.openxmlformats.org/officeDocument/2006/relationships/hyperlink" Target="https://www.courtsofnz.govt.nz/cases/par-v-sjf"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ade.io/article/188371/section/140331" TargetMode="External"/><Relationship Id="rId23" Type="http://schemas.openxmlformats.org/officeDocument/2006/relationships/hyperlink" Target="https://jade.io/article/68319" TargetMode="External"/><Relationship Id="rId28" Type="http://schemas.openxmlformats.org/officeDocument/2006/relationships/hyperlink" Target="https://jade.io/article/281699/section/192" TargetMode="External"/><Relationship Id="rId36" Type="http://schemas.openxmlformats.org/officeDocument/2006/relationships/hyperlink" Target="https://jade.io/article/463199/section/936" TargetMode="External"/><Relationship Id="rId49" Type="http://schemas.openxmlformats.org/officeDocument/2006/relationships/hyperlink" Target="https://jade.io/article/122435/section/215" TargetMode="External"/><Relationship Id="rId57" Type="http://schemas.openxmlformats.org/officeDocument/2006/relationships/image" Target="media/image1.wmf"/><Relationship Id="rId10" Type="http://schemas.openxmlformats.org/officeDocument/2006/relationships/hyperlink" Target="https://jade.io/article/141882" TargetMode="External"/><Relationship Id="rId19" Type="http://schemas.openxmlformats.org/officeDocument/2006/relationships/hyperlink" Target="https://jade.io/article/67250" TargetMode="External"/><Relationship Id="rId31" Type="http://schemas.openxmlformats.org/officeDocument/2006/relationships/hyperlink" Target="https://jade.io/article/264351" TargetMode="External"/><Relationship Id="rId44" Type="http://schemas.openxmlformats.org/officeDocument/2006/relationships/hyperlink" Target="https://www.supremecourt.vic.gov.au/forms-fees-and-services/forms-templates-and-guidelines/guideline-responsible-use-of-ai-in-litigation" TargetMode="External"/><Relationship Id="rId52" Type="http://schemas.openxmlformats.org/officeDocument/2006/relationships/hyperlink" Target="https://www.judiciary.uk/wp-content/uploads/2025/02/Writing-to-Children--A-Judges-Toolkit-V1.7-1.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de.io/citation/3082428" TargetMode="External"/><Relationship Id="rId14" Type="http://schemas.openxmlformats.org/officeDocument/2006/relationships/hyperlink" Target="https://jade.io/article/188371" TargetMode="External"/><Relationship Id="rId22" Type="http://schemas.openxmlformats.org/officeDocument/2006/relationships/hyperlink" Target="https://jade.io/article/67250" TargetMode="External"/><Relationship Id="rId27" Type="http://schemas.openxmlformats.org/officeDocument/2006/relationships/hyperlink" Target="https://jade.io/article/602136/section/10667"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 TargetMode="External"/><Relationship Id="rId43"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8" Type="http://schemas.openxmlformats.org/officeDocument/2006/relationships/hyperlink" Target="https://jade.io/article/122435/section/215" TargetMode="External"/><Relationship Id="rId56"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8" Type="http://schemas.openxmlformats.org/officeDocument/2006/relationships/hyperlink" Target="https://www.hcourt.gov.au/assets/publications/speeches/current-justices/BJJ/Beech-Jones(2024)NJCA.pdf" TargetMode="External"/><Relationship Id="rId51" Type="http://schemas.openxmlformats.org/officeDocument/2006/relationships/hyperlink" Target="https://jade.io/article/800857/section/261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199</Pages>
  <Words>137919</Words>
  <Characters>786139</Characters>
  <Application>Microsoft Office Word</Application>
  <DocSecurity>0</DocSecurity>
  <Lines>6551</Lines>
  <Paragraphs>1844</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922214</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2025-08-18T01:05:00Z</cp:lastPrinted>
  <dcterms:created xsi:type="dcterms:W3CDTF">2025-09-03T21:38:00Z</dcterms:created>
  <dcterms:modified xsi:type="dcterms:W3CDTF">2025-09-03T21:38:00Z</dcterms:modified>
</cp:coreProperties>
</file>