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03BF998F" w14:textId="2551B561" w:rsidR="00D70499" w:rsidRPr="00392AD6" w:rsidRDefault="00D70499" w:rsidP="00D7049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tab/>
      </w:r>
      <w:hyperlink w:anchor="_11.1.2.1_Sentencing_of" w:history="1">
        <w:r w:rsidRPr="00392AD6">
          <w:rPr>
            <w:rStyle w:val="Hyperlink"/>
            <w:rFonts w:ascii="Arial" w:hAnsi="Arial" w:cs="Arial"/>
            <w:b/>
            <w:bCs/>
            <w:sz w:val="20"/>
            <w:u w:val="none"/>
          </w:rPr>
          <w:tab/>
          <w:t>11.1.2</w:t>
        </w:r>
        <w:r>
          <w:rPr>
            <w:rStyle w:val="Hyperlink"/>
            <w:rFonts w:ascii="Arial" w:hAnsi="Arial" w:cs="Arial"/>
            <w:b/>
            <w:bCs/>
            <w:sz w:val="20"/>
            <w:u w:val="none"/>
          </w:rPr>
          <w:t>.1 S</w:t>
        </w:r>
        <w:r w:rsidRPr="00392AD6">
          <w:rPr>
            <w:rStyle w:val="Hyperlink"/>
            <w:rFonts w:ascii="Arial" w:hAnsi="Arial" w:cs="Arial"/>
            <w:b/>
            <w:bCs/>
            <w:sz w:val="20"/>
            <w:u w:val="none"/>
          </w:rPr>
          <w:t>entencing of adult</w:t>
        </w:r>
        <w:r w:rsidR="00051F63">
          <w:rPr>
            <w:rStyle w:val="Hyperlink"/>
            <w:rFonts w:ascii="Arial" w:hAnsi="Arial" w:cs="Arial"/>
            <w:b/>
            <w:bCs/>
            <w:sz w:val="20"/>
            <w:u w:val="none"/>
          </w:rPr>
          <w:t>s</w:t>
        </w:r>
        <w:r>
          <w:rPr>
            <w:rStyle w:val="Hyperlink"/>
            <w:rFonts w:ascii="Arial" w:hAnsi="Arial" w:cs="Arial"/>
            <w:b/>
            <w:bCs/>
            <w:sz w:val="20"/>
            <w:u w:val="none"/>
          </w:rPr>
          <w:t xml:space="preserve"> for offences committed as a child</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6719ACBE" w14:textId="4D7221C2" w:rsidR="00A42676" w:rsidRDefault="00A42676" w:rsidP="00A42676">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1_Relevance_of" w:history="1">
        <w:r w:rsidRPr="00392AD6">
          <w:rPr>
            <w:rStyle w:val="Hyperlink"/>
            <w:rFonts w:ascii="Arial" w:hAnsi="Arial" w:cs="Arial"/>
            <w:b/>
            <w:bCs/>
            <w:sz w:val="20"/>
            <w:u w:val="none"/>
          </w:rPr>
          <w:tab/>
          <w:t>11.1.2</w:t>
        </w:r>
        <w:r>
          <w:rPr>
            <w:rStyle w:val="Hyperlink"/>
            <w:rFonts w:ascii="Arial" w:hAnsi="Arial" w:cs="Arial"/>
            <w:b/>
            <w:bCs/>
            <w:sz w:val="20"/>
            <w:u w:val="none"/>
          </w:rPr>
          <w:t>1</w:t>
        </w:r>
        <w:r w:rsidRPr="00392AD6">
          <w:rPr>
            <w:rStyle w:val="Hyperlink"/>
            <w:rFonts w:ascii="Arial" w:hAnsi="Arial" w:cs="Arial"/>
            <w:b/>
            <w:bCs/>
            <w:sz w:val="20"/>
            <w:u w:val="none"/>
          </w:rPr>
          <w:tab/>
        </w:r>
        <w:r>
          <w:rPr>
            <w:rStyle w:val="Hyperlink"/>
            <w:rFonts w:ascii="Arial" w:hAnsi="Arial" w:cs="Arial"/>
            <w:b/>
            <w:bCs/>
            <w:sz w:val="20"/>
            <w:u w:val="none"/>
          </w:rPr>
          <w:t xml:space="preserve">Relevance of </w:t>
        </w:r>
        <w:r>
          <w:rPr>
            <w:rStyle w:val="Hyperlink"/>
            <w:rFonts w:ascii="Arial" w:hAnsi="Arial" w:cs="Arial"/>
            <w:b/>
            <w:bCs/>
            <w:sz w:val="20"/>
            <w:u w:val="none"/>
          </w:rPr>
          <w:t>c</w:t>
        </w:r>
        <w:r>
          <w:rPr>
            <w:rStyle w:val="Hyperlink"/>
            <w:rFonts w:ascii="Arial" w:hAnsi="Arial" w:cs="Arial"/>
            <w:b/>
            <w:bCs/>
            <w:sz w:val="20"/>
            <w:u w:val="none"/>
          </w:rPr>
          <w:t>ultural practice to sentencing for a Commonwealth offence</w:t>
        </w:r>
      </w:hyperlink>
    </w:p>
    <w:p w14:paraId="4E685D38" w14:textId="4F5AFEF9" w:rsidR="0038028E" w:rsidRPr="00347B83" w:rsidRDefault="00347B83" w:rsidP="0038028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u w:val="none"/>
        </w:rPr>
      </w:pPr>
      <w:r>
        <w:rPr>
          <w:rFonts w:ascii="Arial" w:hAnsi="Arial" w:cs="Arial"/>
          <w:b/>
          <w:bCs/>
          <w:sz w:val="20"/>
        </w:rPr>
        <w:fldChar w:fldCharType="begin"/>
      </w:r>
      <w:r>
        <w:rPr>
          <w:rFonts w:ascii="Arial" w:hAnsi="Arial" w:cs="Arial"/>
          <w:b/>
          <w:bCs/>
          <w:sz w:val="20"/>
        </w:rPr>
        <w:instrText>HYPERLINK  \l "_11.1.22_Effect_of"</w:instrText>
      </w:r>
      <w:r>
        <w:rPr>
          <w:rFonts w:ascii="Arial" w:hAnsi="Arial" w:cs="Arial"/>
          <w:b/>
          <w:bCs/>
          <w:sz w:val="20"/>
        </w:rPr>
      </w:r>
      <w:r>
        <w:rPr>
          <w:rFonts w:ascii="Arial" w:hAnsi="Arial" w:cs="Arial"/>
          <w:b/>
          <w:bCs/>
          <w:sz w:val="20"/>
        </w:rPr>
        <w:fldChar w:fldCharType="separate"/>
      </w:r>
      <w:r w:rsidR="0038028E" w:rsidRPr="00347B83">
        <w:rPr>
          <w:rStyle w:val="Hyperlink"/>
          <w:rFonts w:ascii="Arial" w:hAnsi="Arial" w:cs="Arial"/>
          <w:b/>
          <w:bCs/>
          <w:sz w:val="20"/>
          <w:u w:val="none"/>
        </w:rPr>
        <w:tab/>
        <w:t>11.1.2</w:t>
      </w:r>
      <w:r w:rsidR="0038028E" w:rsidRPr="00347B83">
        <w:rPr>
          <w:rStyle w:val="Hyperlink"/>
          <w:rFonts w:ascii="Arial" w:hAnsi="Arial" w:cs="Arial"/>
          <w:b/>
          <w:bCs/>
          <w:sz w:val="20"/>
          <w:u w:val="none"/>
        </w:rPr>
        <w:t>2</w:t>
      </w:r>
      <w:r w:rsidR="0038028E" w:rsidRPr="00347B83">
        <w:rPr>
          <w:rStyle w:val="Hyperlink"/>
          <w:rFonts w:ascii="Arial" w:hAnsi="Arial" w:cs="Arial"/>
          <w:b/>
          <w:bCs/>
          <w:sz w:val="20"/>
          <w:u w:val="none"/>
        </w:rPr>
        <w:tab/>
      </w:r>
      <w:r w:rsidR="0038028E" w:rsidRPr="00347B83">
        <w:rPr>
          <w:rStyle w:val="Hyperlink"/>
          <w:rFonts w:ascii="Arial" w:hAnsi="Arial" w:cs="Arial"/>
          <w:b/>
          <w:bCs/>
          <w:sz w:val="20"/>
          <w:u w:val="none"/>
        </w:rPr>
        <w:t>Effec</w:t>
      </w:r>
      <w:r w:rsidRPr="00347B83">
        <w:rPr>
          <w:rStyle w:val="Hyperlink"/>
          <w:rFonts w:ascii="Arial" w:hAnsi="Arial" w:cs="Arial"/>
          <w:b/>
          <w:bCs/>
          <w:sz w:val="20"/>
          <w:u w:val="none"/>
        </w:rPr>
        <w:t>t o</w:t>
      </w:r>
      <w:r w:rsidRPr="00347B83">
        <w:rPr>
          <w:rStyle w:val="Hyperlink"/>
          <w:rFonts w:ascii="Arial" w:hAnsi="Arial" w:cs="Arial"/>
          <w:b/>
          <w:bCs/>
          <w:sz w:val="20"/>
          <w:u w:val="none"/>
        </w:rPr>
        <w:t>f</w:t>
      </w:r>
      <w:r w:rsidRPr="00347B83">
        <w:rPr>
          <w:rStyle w:val="Hyperlink"/>
          <w:rFonts w:ascii="Arial" w:hAnsi="Arial" w:cs="Arial"/>
          <w:b/>
          <w:bCs/>
          <w:sz w:val="20"/>
          <w:u w:val="none"/>
        </w:rPr>
        <w:t xml:space="preserve"> rac</w:t>
      </w:r>
      <w:r w:rsidRPr="00347B83">
        <w:rPr>
          <w:rStyle w:val="Hyperlink"/>
          <w:rFonts w:ascii="Arial" w:hAnsi="Arial" w:cs="Arial"/>
          <w:b/>
          <w:bCs/>
          <w:sz w:val="20"/>
          <w:u w:val="none"/>
        </w:rPr>
        <w:t>i</w:t>
      </w:r>
      <w:r w:rsidRPr="00347B83">
        <w:rPr>
          <w:rStyle w:val="Hyperlink"/>
          <w:rFonts w:ascii="Arial" w:hAnsi="Arial" w:cs="Arial"/>
          <w:b/>
          <w:bCs/>
          <w:sz w:val="20"/>
          <w:u w:val="none"/>
        </w:rPr>
        <w:t xml:space="preserve">st </w:t>
      </w:r>
      <w:r w:rsidRPr="00347B83">
        <w:rPr>
          <w:rStyle w:val="Hyperlink"/>
          <w:rFonts w:ascii="Arial" w:hAnsi="Arial" w:cs="Arial"/>
          <w:b/>
          <w:bCs/>
          <w:sz w:val="20"/>
          <w:u w:val="none"/>
        </w:rPr>
        <w:t>m</w:t>
      </w:r>
      <w:r w:rsidRPr="00347B83">
        <w:rPr>
          <w:rStyle w:val="Hyperlink"/>
          <w:rFonts w:ascii="Arial" w:hAnsi="Arial" w:cs="Arial"/>
          <w:b/>
          <w:bCs/>
          <w:sz w:val="20"/>
          <w:u w:val="none"/>
        </w:rPr>
        <w:t>otivation for offending</w:t>
      </w:r>
    </w:p>
    <w:p w14:paraId="3B8C2A8A" w14:textId="126CE802" w:rsidR="00BF52E5" w:rsidRPr="00392AD6" w:rsidRDefault="00347B83"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r>
        <w:rPr>
          <w:rFonts w:ascii="Arial" w:hAnsi="Arial" w:cs="Arial"/>
          <w:b/>
          <w:bCs/>
          <w:sz w:val="20"/>
        </w:rPr>
        <w:fldChar w:fldCharType="end"/>
      </w: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F651848"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r w:rsidR="00BA3FB7" w:rsidRPr="00BA3FB7">
          <w:rPr>
            <w:rStyle w:val="Hyperlink"/>
            <w:rFonts w:ascii="Arial" w:hAnsi="Arial" w:cs="Arial"/>
            <w:b/>
            <w:bCs/>
            <w:i/>
            <w:iCs/>
            <w:sz w:val="20"/>
            <w:szCs w:val="20"/>
            <w:u w:val="none"/>
          </w:rPr>
          <w:t>Bugmy</w:t>
        </w:r>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w:t>
        </w:r>
        <w:r w:rsidRPr="00652FC9">
          <w:rPr>
            <w:rStyle w:val="Hyperlink"/>
            <w:rFonts w:ascii="Arial" w:hAnsi="Arial" w:cs="Arial"/>
            <w:b/>
            <w:bCs/>
            <w:sz w:val="20"/>
            <w:szCs w:val="20"/>
            <w:u w:val="none"/>
          </w:rPr>
          <w:t>n</w:t>
        </w:r>
        <w:r w:rsidRPr="00652FC9">
          <w:rPr>
            <w:rStyle w:val="Hyperlink"/>
            <w:rFonts w:ascii="Arial" w:hAnsi="Arial" w:cs="Arial"/>
            <w:b/>
            <w:bCs/>
            <w:sz w:val="20"/>
            <w:szCs w:val="20"/>
            <w:u w:val="none"/>
          </w:rPr>
          <w:t>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2F5C65DC"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6BA0F07F" w14:textId="2FD703F3" w:rsidR="004C3602" w:rsidRPr="00652FC9" w:rsidRDefault="004C3602" w:rsidP="004C3602">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8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8</w:t>
        </w:r>
        <w:r w:rsidRPr="00652FC9">
          <w:rPr>
            <w:rStyle w:val="Hyperlink"/>
            <w:rFonts w:ascii="Arial" w:hAnsi="Arial" w:cs="Arial"/>
            <w:b/>
            <w:bCs/>
            <w:sz w:val="20"/>
            <w:szCs w:val="20"/>
            <w:u w:val="none"/>
          </w:rPr>
          <w:t xml:space="preserve"> Sentencing for </w:t>
        </w:r>
        <w:r>
          <w:rPr>
            <w:rStyle w:val="Hyperlink"/>
            <w:rFonts w:ascii="Arial" w:hAnsi="Arial" w:cs="Arial"/>
            <w:b/>
            <w:bCs/>
            <w:sz w:val="20"/>
            <w:szCs w:val="20"/>
            <w:u w:val="none"/>
          </w:rPr>
          <w:t>homicide by firearm</w:t>
        </w:r>
      </w:hyperlink>
    </w:p>
    <w:p w14:paraId="75D4E649" w14:textId="4407EEE9"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_1"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w:t>
        </w:r>
        <w:r>
          <w:rPr>
            <w:rStyle w:val="Hyperlink"/>
            <w:rFonts w:ascii="Arial" w:hAnsi="Arial" w:cs="Arial"/>
            <w:b/>
            <w:bCs/>
            <w:sz w:val="20"/>
            <w:u w:val="none"/>
          </w:rPr>
          <w:t xml:space="preserve"> </w:t>
        </w:r>
        <w:r>
          <w:rPr>
            <w:rStyle w:val="Hyperlink"/>
            <w:rFonts w:ascii="Arial" w:hAnsi="Arial" w:cs="Arial"/>
            <w:b/>
            <w:bCs/>
            <w:sz w:val="20"/>
            <w:u w:val="none"/>
          </w:rPr>
          <w:t>causing death/serious injury</w:t>
        </w:r>
      </w:hyperlink>
    </w:p>
    <w:p w14:paraId="0393853F" w14:textId="029B22D9" w:rsidR="00D70CE2" w:rsidRPr="00C90CE8" w:rsidRDefault="00D70CE2" w:rsidP="00D22A0A">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hyperlink w:anchor="_11.2.24_Sentencing_for" w:history="1">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Sentencing</w:t>
        </w:r>
        <w:r w:rsidR="00BF52E5" w:rsidRPr="00C90CE8">
          <w:rPr>
            <w:rStyle w:val="Hyperlink"/>
            <w:rFonts w:ascii="Arial" w:hAnsi="Arial" w:cs="Arial"/>
            <w:b/>
            <w:bCs/>
            <w:sz w:val="20"/>
            <w:szCs w:val="20"/>
            <w:u w:val="none"/>
          </w:rPr>
          <w:t xml:space="preserve"> </w:t>
        </w:r>
        <w:r w:rsidR="00BF52E5" w:rsidRPr="00C90CE8">
          <w:rPr>
            <w:rStyle w:val="Hyperlink"/>
            <w:rFonts w:ascii="Arial" w:hAnsi="Arial" w:cs="Arial"/>
            <w:b/>
            <w:bCs/>
            <w:sz w:val="20"/>
            <w:szCs w:val="20"/>
            <w:u w:val="none"/>
          </w:rPr>
          <w:t xml:space="preserve">for </w:t>
        </w:r>
        <w:r w:rsidR="006E36AE" w:rsidRPr="00C90CE8">
          <w:rPr>
            <w:rStyle w:val="Hyperlink"/>
            <w:rFonts w:ascii="Arial" w:hAnsi="Arial" w:cs="Arial"/>
            <w:b/>
            <w:bCs/>
            <w:sz w:val="20"/>
            <w:szCs w:val="20"/>
            <w:u w:val="none"/>
          </w:rPr>
          <w:t>inflicting injury / endangerment / affray / violent disorder etc</w:t>
        </w:r>
      </w:hyperlink>
    </w:p>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w:t>
        </w:r>
        <w:r w:rsidR="0006749E" w:rsidRPr="00167725">
          <w:rPr>
            <w:rStyle w:val="Hyperlink"/>
            <w:rFonts w:ascii="Arial" w:hAnsi="Arial" w:cs="Arial"/>
            <w:b/>
            <w:bCs/>
            <w:sz w:val="20"/>
            <w:u w:val="none"/>
          </w:rPr>
          <w:t>u</w:t>
        </w:r>
        <w:r w:rsidR="0006749E" w:rsidRPr="00167725">
          <w:rPr>
            <w:rStyle w:val="Hyperlink"/>
            <w:rFonts w:ascii="Arial" w:hAnsi="Arial" w:cs="Arial"/>
            <w:b/>
            <w:bCs/>
            <w:sz w:val="20"/>
            <w:u w:val="none"/>
          </w:rPr>
          <w:t>s</w:t>
        </w:r>
        <w:r w:rsidR="0006749E" w:rsidRPr="00167725">
          <w:rPr>
            <w:rStyle w:val="Hyperlink"/>
            <w:rFonts w:ascii="Arial" w:hAnsi="Arial" w:cs="Arial"/>
            <w:b/>
            <w:bCs/>
            <w:sz w:val="20"/>
            <w:u w:val="none"/>
          </w:rPr>
          <w:t xml:space="preserve"> </w:t>
        </w:r>
        <w:r w:rsidR="0006749E" w:rsidRPr="00167725">
          <w:rPr>
            <w:rStyle w:val="Hyperlink"/>
            <w:rFonts w:ascii="Arial" w:hAnsi="Arial" w:cs="Arial"/>
            <w:b/>
            <w:bCs/>
            <w:sz w:val="20"/>
            <w:u w:val="none"/>
          </w:rPr>
          <w:t>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3B74674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w:t>
        </w:r>
        <w:r w:rsidR="00353929">
          <w:rPr>
            <w:rStyle w:val="Hyperlink"/>
            <w:rFonts w:ascii="Arial" w:hAnsi="Arial" w:cs="Arial"/>
            <w:b/>
            <w:bCs/>
            <w:sz w:val="20"/>
            <w:szCs w:val="20"/>
            <w:u w:val="none"/>
          </w:rPr>
          <w:t>y | home invasion</w:t>
        </w:r>
      </w:hyperlink>
    </w:p>
    <w:p w14:paraId="769F6BC5" w14:textId="580A807D"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D_AGGRAVATED_HOME" w:history="1">
        <w:r w:rsidR="00A658F9" w:rsidRPr="006849E2">
          <w:rPr>
            <w:rStyle w:val="Hyperlink"/>
            <w:rFonts w:ascii="Arial" w:hAnsi="Arial" w:cs="Arial"/>
            <w:b/>
            <w:bCs/>
            <w:sz w:val="20"/>
            <w:szCs w:val="20"/>
            <w:u w:val="none"/>
          </w:rPr>
          <w:t>aggravated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63E47912"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5"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6" w:name="_Hlk174427642"/>
      <w:bookmarkEnd w:id="45"/>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6"/>
    <w:p w14:paraId="5A3E03F7" w14:textId="16DFAAA9"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8132AE">
        <w:rPr>
          <w:rStyle w:val="Hyperlink"/>
          <w:rFonts w:ascii="Arial" w:hAnsi="Arial" w:cs="Arial"/>
          <w:b/>
          <w:bCs/>
          <w:sz w:val="20"/>
          <w:u w:val="none"/>
        </w:rPr>
        <w:t xml:space="preserve"> &amp;</w:t>
      </w:r>
      <w:r w:rsidR="00F27DA2">
        <w:rPr>
          <w:rStyle w:val="Hyperlink"/>
          <w:rFonts w:ascii="Arial" w:hAnsi="Arial" w:cs="Arial"/>
          <w:b/>
          <w:bCs/>
          <w:sz w:val="20"/>
          <w:u w:val="none"/>
        </w:rPr>
        <w:t xml:space="preserve"> deceptio</w:t>
      </w:r>
      <w:r w:rsidR="008132AE">
        <w:rPr>
          <w:rStyle w:val="Hyperlink"/>
          <w:rFonts w:ascii="Arial" w:hAnsi="Arial" w:cs="Arial"/>
          <w:b/>
          <w:bCs/>
          <w:sz w:val="20"/>
          <w:u w:val="none"/>
        </w:rPr>
        <w:t>n offences-</w:t>
      </w:r>
      <w:r>
        <w:fldChar w:fldCharType="end"/>
      </w:r>
    </w:p>
    <w:p w14:paraId="4B9EBD8F" w14:textId="0480C259"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hyperlink w:anchor="_A_THEFT" w:history="1">
        <w:r w:rsidRPr="00127335">
          <w:rPr>
            <w:rStyle w:val="Hyperlink"/>
            <w:rFonts w:ascii="Arial" w:hAnsi="Arial" w:cs="Arial"/>
            <w:b/>
            <w:bCs/>
            <w:sz w:val="20"/>
            <w:szCs w:val="20"/>
            <w:u w:val="none"/>
          </w:rPr>
          <w:t xml:space="preserve"> </w:t>
        </w:r>
        <w:r>
          <w:rPr>
            <w:rStyle w:val="Hyperlink"/>
            <w:rFonts w:ascii="Arial" w:hAnsi="Arial" w:cs="Arial"/>
            <w:b/>
            <w:bCs/>
            <w:sz w:val="20"/>
            <w:szCs w:val="20"/>
            <w:u w:val="none"/>
          </w:rPr>
          <w:t>theft, theft of firearms &amp; theft of motor vehicle</w:t>
        </w:r>
      </w:hyperlink>
    </w:p>
    <w:p w14:paraId="23DAEAB9" w14:textId="3B0293ED"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DECEPTION" w:history="1">
        <w:r>
          <w:rPr>
            <w:rStyle w:val="Hyperlink"/>
            <w:rFonts w:ascii="Arial" w:hAnsi="Arial" w:cs="Arial"/>
            <w:b/>
            <w:bCs/>
            <w:sz w:val="20"/>
            <w:szCs w:val="20"/>
            <w:u w:val="none"/>
          </w:rPr>
          <w:t>deception</w:t>
        </w:r>
      </w:hyperlink>
    </w:p>
    <w:p w14:paraId="306F6956" w14:textId="4989FA77"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4825D403"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0FB544BD" w14:textId="228697BA" w:rsidR="00360559" w:rsidRPr="00A105CE" w:rsidRDefault="00360559" w:rsidP="0036055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8_Sentencing_for" w:history="1">
        <w:r w:rsidRPr="00A105CE">
          <w:rPr>
            <w:rStyle w:val="Hyperlink"/>
            <w:rFonts w:ascii="Arial" w:hAnsi="Arial" w:cs="Arial"/>
            <w:b/>
            <w:bCs/>
            <w:sz w:val="20"/>
            <w:u w:val="none"/>
          </w:rPr>
          <w:tab/>
          <w:t>11.2.3</w:t>
        </w:r>
        <w:r>
          <w:rPr>
            <w:rStyle w:val="Hyperlink"/>
            <w:rFonts w:ascii="Arial" w:hAnsi="Arial" w:cs="Arial"/>
            <w:b/>
            <w:bCs/>
            <w:sz w:val="20"/>
            <w:u w:val="none"/>
          </w:rPr>
          <w:t>8</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servitude offences</w:t>
        </w:r>
      </w:hyperlink>
    </w:p>
    <w:p w14:paraId="182B12D8" w14:textId="76B62675"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lastRenderedPageBreak/>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657722">
      <w:pPr>
        <w:keepNext/>
        <w:keepLines/>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00C0BAC4"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4C3602">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C570D9">
          <w:footerReference w:type="default" r:id="rId8"/>
          <w:pgSz w:w="11906" w:h="16838"/>
          <w:pgMar w:top="737" w:right="1418" w:bottom="737" w:left="1418" w:header="709" w:footer="709" w:gutter="0"/>
          <w:cols w:space="708"/>
          <w:docGrid w:linePitch="360"/>
        </w:sectPr>
      </w:pPr>
    </w:p>
    <w:p w14:paraId="6ADE9816" w14:textId="1B439773" w:rsidR="00792C10" w:rsidRPr="00BE4BCD" w:rsidRDefault="00792C10" w:rsidP="00BE4BCD">
      <w:pPr>
        <w:shd w:val="clear" w:color="auto" w:fill="000000" w:themeFill="text1"/>
        <w:rPr>
          <w:rFonts w:ascii="Arial" w:hAnsi="Arial" w:cs="Arial"/>
          <w:b/>
          <w:bCs/>
          <w:sz w:val="22"/>
          <w:szCs w:val="22"/>
        </w:rPr>
      </w:pPr>
      <w:bookmarkStart w:id="47" w:name="_11.1_Sentencing_principles"/>
      <w:bookmarkStart w:id="48" w:name="_Toc107101731"/>
      <w:bookmarkEnd w:id="47"/>
      <w:r w:rsidRPr="00BE4BCD">
        <w:rPr>
          <w:rFonts w:ascii="Arial" w:hAnsi="Arial" w:cs="Arial"/>
          <w:b/>
          <w:bCs/>
          <w:sz w:val="22"/>
          <w:szCs w:val="22"/>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8"/>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9" w:name="_Toc30671659"/>
      <w:bookmarkStart w:id="50" w:name="_Toc30674186"/>
      <w:bookmarkStart w:id="51" w:name="_Toc30691453"/>
      <w:bookmarkStart w:id="52" w:name="_Toc30691833"/>
      <w:bookmarkStart w:id="53" w:name="_Toc30692213"/>
      <w:bookmarkStart w:id="54" w:name="_Toc30692971"/>
      <w:bookmarkStart w:id="55" w:name="_Toc30693350"/>
      <w:bookmarkStart w:id="56" w:name="_Toc30693728"/>
      <w:bookmarkStart w:id="57" w:name="_Toc30694106"/>
      <w:bookmarkStart w:id="58" w:name="_Toc30694486"/>
      <w:bookmarkStart w:id="59" w:name="_Toc30699076"/>
      <w:bookmarkStart w:id="60" w:name="_Toc30699461"/>
      <w:bookmarkStart w:id="61" w:name="_Toc30699846"/>
      <w:bookmarkStart w:id="62" w:name="_Toc30701001"/>
      <w:bookmarkStart w:id="63" w:name="_Toc30701388"/>
      <w:bookmarkStart w:id="64" w:name="_Toc30743995"/>
      <w:bookmarkStart w:id="65" w:name="_Toc30754818"/>
      <w:bookmarkStart w:id="66" w:name="_Toc30757274"/>
      <w:bookmarkStart w:id="67" w:name="_Toc30757822"/>
      <w:bookmarkStart w:id="68" w:name="_Toc30758222"/>
      <w:bookmarkStart w:id="69" w:name="_Toc30762983"/>
      <w:bookmarkStart w:id="70" w:name="_Toc30767637"/>
      <w:bookmarkStart w:id="71" w:name="_Toc34823655"/>
      <w:bookmarkStart w:id="72"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3" w:name="_11.1.1_Sentencing_models"/>
      <w:bookmarkEnd w:id="73"/>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place">
        <w:smartTag w:uri="urn:schemas-microsoft-com:office:smarttags" w:element="country-region">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4" w:name="_11.1.2_Sentencing_of"/>
      <w:bookmarkStart w:id="75" w:name="_Toc30671660"/>
      <w:bookmarkStart w:id="76" w:name="_Toc30674187"/>
      <w:bookmarkStart w:id="77" w:name="_Toc30691454"/>
      <w:bookmarkStart w:id="78" w:name="_Toc30691834"/>
      <w:bookmarkStart w:id="79" w:name="_Toc30692214"/>
      <w:bookmarkStart w:id="80" w:name="_Toc30692972"/>
      <w:bookmarkStart w:id="81" w:name="_Toc30693351"/>
      <w:bookmarkStart w:id="82" w:name="_Toc30693729"/>
      <w:bookmarkStart w:id="83" w:name="_Toc30694107"/>
      <w:bookmarkStart w:id="84" w:name="_Toc30694487"/>
      <w:bookmarkStart w:id="85" w:name="_Toc30699077"/>
      <w:bookmarkStart w:id="86" w:name="_Toc30699462"/>
      <w:bookmarkStart w:id="87" w:name="_Toc30699847"/>
      <w:bookmarkStart w:id="88" w:name="_Toc30701002"/>
      <w:bookmarkStart w:id="89" w:name="_Toc30701389"/>
      <w:bookmarkStart w:id="90" w:name="_Toc30743996"/>
      <w:bookmarkStart w:id="91" w:name="_Toc30754819"/>
      <w:bookmarkStart w:id="92" w:name="_Toc30757275"/>
      <w:bookmarkStart w:id="93" w:name="_Toc30757823"/>
      <w:bookmarkStart w:id="94" w:name="_Toc30758223"/>
      <w:bookmarkStart w:id="95" w:name="_Toc30762984"/>
      <w:bookmarkStart w:id="96" w:name="_Toc30767638"/>
      <w:bookmarkStart w:id="97" w:name="_Toc34823656"/>
      <w:bookmarkStart w:id="98" w:name="_Toc107101733"/>
      <w:bookmarkEnd w:id="74"/>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Maxwell P, with whom Chernov JA &amp; Habersberger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876501" w:rsidRDefault="0083184A" w:rsidP="0087036F">
      <w:pPr>
        <w:spacing w:before="80" w:after="80"/>
        <w:ind w:left="907" w:right="907"/>
        <w:jc w:val="both"/>
        <w:rPr>
          <w:rFonts w:ascii="Arial" w:hAnsi="Arial" w:cs="Arial"/>
          <w:color w:val="000000"/>
          <w:sz w:val="18"/>
          <w:szCs w:val="22"/>
        </w:rPr>
      </w:pPr>
      <w:r w:rsidRPr="00876501">
        <w:rPr>
          <w:rFonts w:ascii="Arial" w:hAnsi="Arial" w:cs="Arial"/>
          <w:sz w:val="18"/>
          <w:szCs w:val="22"/>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681346F1" w14:textId="193C4FB2" w:rsidR="00D70499" w:rsidRPr="001C6E0E" w:rsidRDefault="00D70499" w:rsidP="00D70499">
      <w:pPr>
        <w:pStyle w:val="Heading3"/>
        <w:keepNext/>
        <w:spacing w:after="120" w:line="240" w:lineRule="auto"/>
        <w:ind w:left="357" w:hanging="357"/>
        <w:rPr>
          <w:rFonts w:ascii="Arial" w:hAnsi="Arial" w:cs="Arial"/>
          <w:b/>
          <w:bCs/>
          <w:color w:val="000000"/>
          <w:sz w:val="20"/>
        </w:rPr>
      </w:pPr>
      <w:bookmarkStart w:id="99" w:name="_11.1.2.1_Sentencing_of"/>
      <w:bookmarkEnd w:id="99"/>
      <w:r w:rsidRPr="001C6E0E">
        <w:rPr>
          <w:rFonts w:ascii="Arial" w:hAnsi="Arial" w:cs="Arial"/>
          <w:b/>
          <w:bCs/>
          <w:color w:val="000000"/>
          <w:sz w:val="20"/>
        </w:rPr>
        <w:t>11.1.</w:t>
      </w:r>
      <w:r w:rsidRPr="00AF4218">
        <w:rPr>
          <w:rFonts w:ascii="Arial" w:hAnsi="Arial" w:cs="Arial"/>
          <w:b/>
          <w:bCs/>
          <w:color w:val="000000"/>
          <w:sz w:val="20"/>
        </w:rPr>
        <w:t>2</w:t>
      </w:r>
      <w:r>
        <w:rPr>
          <w:rFonts w:ascii="Arial" w:hAnsi="Arial" w:cs="Arial"/>
          <w:b/>
          <w:bCs/>
          <w:color w:val="000000"/>
          <w:sz w:val="20"/>
        </w:rPr>
        <w:t>.1</w:t>
      </w:r>
      <w:r w:rsidR="00EC3B26">
        <w:rPr>
          <w:rFonts w:ascii="Arial" w:hAnsi="Arial" w:cs="Arial"/>
          <w:b/>
          <w:bCs/>
          <w:color w:val="000000"/>
          <w:sz w:val="20"/>
        </w:rPr>
        <w:t xml:space="preserve">  </w:t>
      </w:r>
      <w:r w:rsidRPr="001C6E0E">
        <w:rPr>
          <w:rFonts w:ascii="Arial" w:hAnsi="Arial" w:cs="Arial"/>
          <w:b/>
          <w:bCs/>
          <w:color w:val="000000"/>
          <w:sz w:val="20"/>
        </w:rPr>
        <w:t>Sentencing of adult</w:t>
      </w:r>
      <w:r w:rsidR="00051F63">
        <w:rPr>
          <w:rFonts w:ascii="Arial" w:hAnsi="Arial" w:cs="Arial"/>
          <w:b/>
          <w:bCs/>
          <w:color w:val="000000"/>
          <w:sz w:val="20"/>
        </w:rPr>
        <w:t>s</w:t>
      </w:r>
      <w:r>
        <w:rPr>
          <w:rFonts w:ascii="Arial" w:hAnsi="Arial" w:cs="Arial"/>
          <w:b/>
          <w:bCs/>
          <w:color w:val="000000"/>
          <w:sz w:val="20"/>
        </w:rPr>
        <w:t xml:space="preserve"> for offences committed as </w:t>
      </w:r>
      <w:r w:rsidR="00051F63">
        <w:rPr>
          <w:rFonts w:ascii="Arial" w:hAnsi="Arial" w:cs="Arial"/>
          <w:b/>
          <w:bCs/>
          <w:color w:val="000000"/>
          <w:sz w:val="20"/>
        </w:rPr>
        <w:t xml:space="preserve">a </w:t>
      </w:r>
      <w:r>
        <w:rPr>
          <w:rFonts w:ascii="Arial" w:hAnsi="Arial" w:cs="Arial"/>
          <w:b/>
          <w:bCs/>
          <w:color w:val="000000"/>
          <w:sz w:val="20"/>
        </w:rPr>
        <w:t>child</w:t>
      </w:r>
    </w:p>
    <w:p w14:paraId="5D4EDD51" w14:textId="7E57199D" w:rsidR="00282D67" w:rsidRDefault="00282D67" w:rsidP="0080692A">
      <w:pPr>
        <w:jc w:val="both"/>
        <w:rPr>
          <w:rFonts w:ascii="Arial" w:hAnsi="Arial" w:cs="Arial"/>
          <w:color w:val="000000"/>
          <w:sz w:val="20"/>
        </w:rPr>
      </w:pPr>
      <w:r>
        <w:rPr>
          <w:rFonts w:ascii="Arial" w:hAnsi="Arial" w:cs="Arial"/>
          <w:color w:val="000000"/>
          <w:sz w:val="20"/>
        </w:rPr>
        <w:t xml:space="preserve">In </w:t>
      </w:r>
      <w:r w:rsidRPr="00FE30B0">
        <w:rPr>
          <w:rFonts w:ascii="Arial" w:hAnsi="Arial" w:cs="Arial"/>
          <w:i/>
          <w:iCs/>
          <w:color w:val="000000"/>
          <w:sz w:val="20"/>
        </w:rPr>
        <w:t>Whitecroft (a pseudonym) v The King</w:t>
      </w:r>
      <w:r>
        <w:rPr>
          <w:rFonts w:ascii="Arial" w:hAnsi="Arial" w:cs="Arial"/>
          <w:color w:val="000000"/>
          <w:sz w:val="20"/>
        </w:rPr>
        <w:t xml:space="preserve"> [2025] VSCA 143 the applicant – who </w:t>
      </w:r>
      <w:r w:rsidRPr="00282D67">
        <w:rPr>
          <w:rFonts w:ascii="Arial" w:hAnsi="Arial" w:cs="Arial"/>
          <w:color w:val="000000"/>
          <w:sz w:val="20"/>
        </w:rPr>
        <w:t>had no prior or subsequent criminal convictions</w:t>
      </w:r>
      <w:r>
        <w:rPr>
          <w:rFonts w:ascii="Arial" w:hAnsi="Arial" w:cs="Arial"/>
          <w:color w:val="000000"/>
          <w:sz w:val="20"/>
        </w:rPr>
        <w:t xml:space="preserve">, </w:t>
      </w:r>
      <w:r w:rsidRPr="00282D67">
        <w:rPr>
          <w:rFonts w:ascii="Arial" w:hAnsi="Arial" w:cs="Arial"/>
          <w:color w:val="000000"/>
          <w:sz w:val="20"/>
        </w:rPr>
        <w:t>had a stable family background and had been employed in a number of roles since graduating school</w:t>
      </w:r>
      <w:r>
        <w:rPr>
          <w:rFonts w:ascii="Arial" w:hAnsi="Arial" w:cs="Arial"/>
          <w:color w:val="000000"/>
          <w:sz w:val="20"/>
        </w:rPr>
        <w:t xml:space="preserve"> – had been sentenced to IMP2y6m/18m on multiple counts of incest committed by the applicant 24-26 years previously against his younger sister when he was aged 15</w:t>
      </w:r>
      <w:r>
        <w:rPr>
          <w:rFonts w:ascii="Arial" w:hAnsi="Arial" w:cs="Arial"/>
          <w:color w:val="000000"/>
          <w:sz w:val="20"/>
        </w:rPr>
        <w:noBreakHyphen/>
        <w:t xml:space="preserve">17. In refusing leave to appeal the Court of Appeal (Niall CJ &amp; Kidd JA) held that the sentencing judge had not </w:t>
      </w:r>
      <w:r w:rsidRPr="00282D67">
        <w:rPr>
          <w:rFonts w:ascii="Arial" w:hAnsi="Arial" w:cs="Arial"/>
          <w:color w:val="000000"/>
          <w:sz w:val="20"/>
        </w:rPr>
        <w:t>erred in the application of the sentencing principles for adult offenders when they fall to be sentenced for offences committed as a child</w:t>
      </w:r>
      <w:r>
        <w:rPr>
          <w:rFonts w:ascii="Arial" w:hAnsi="Arial" w:cs="Arial"/>
          <w:color w:val="000000"/>
          <w:sz w:val="20"/>
        </w:rPr>
        <w:t xml:space="preserve">, their Honours </w:t>
      </w:r>
      <w:r w:rsidR="00876501">
        <w:rPr>
          <w:rFonts w:ascii="Arial" w:hAnsi="Arial" w:cs="Arial"/>
          <w:color w:val="000000"/>
          <w:sz w:val="20"/>
        </w:rPr>
        <w:t>holding at [37]-[38]:</w:t>
      </w:r>
    </w:p>
    <w:p w14:paraId="074B83CB" w14:textId="56FE33C7" w:rsidR="00876501" w:rsidRDefault="00876501" w:rsidP="00876501">
      <w:pPr>
        <w:spacing w:before="60"/>
        <w:ind w:left="454" w:right="454"/>
        <w:jc w:val="both"/>
        <w:rPr>
          <w:rFonts w:ascii="Arial" w:hAnsi="Arial" w:cs="Arial"/>
          <w:color w:val="000000"/>
          <w:sz w:val="20"/>
        </w:rPr>
      </w:pPr>
      <w:r>
        <w:rPr>
          <w:rFonts w:ascii="Arial" w:hAnsi="Arial" w:cs="Arial"/>
          <w:color w:val="000000"/>
          <w:sz w:val="20"/>
        </w:rPr>
        <w:t>[37] “</w:t>
      </w:r>
      <w:r w:rsidRPr="00282D67">
        <w:rPr>
          <w:rFonts w:ascii="Arial" w:hAnsi="Arial" w:cs="Arial"/>
          <w:color w:val="000000"/>
          <w:sz w:val="20"/>
        </w:rPr>
        <w:t xml:space="preserve">The applicable approach for sentencing an adult offender for offences committed as a child is encapsulated in Nettle JA’s observations in </w:t>
      </w:r>
      <w:r w:rsidRPr="00876501">
        <w:rPr>
          <w:rFonts w:ascii="Arial" w:hAnsi="Arial" w:cs="Arial"/>
          <w:i/>
          <w:iCs/>
          <w:color w:val="000000"/>
          <w:sz w:val="20"/>
        </w:rPr>
        <w:t>R v PJP</w:t>
      </w:r>
      <w:r>
        <w:rPr>
          <w:rFonts w:ascii="Arial" w:hAnsi="Arial" w:cs="Arial"/>
          <w:color w:val="000000"/>
          <w:sz w:val="20"/>
        </w:rPr>
        <w:t xml:space="preserve"> (2007) 17 VR 300, 304 [16]; [2007] VSCA 242 (Ashley and Dodds-Streeton JJA agreeing)</w:t>
      </w:r>
      <w:r w:rsidRPr="00282D67">
        <w:rPr>
          <w:rFonts w:ascii="Arial" w:hAnsi="Arial" w:cs="Arial"/>
          <w:color w:val="000000"/>
          <w:sz w:val="20"/>
        </w:rPr>
        <w:t>: There is good reason to mitigate penalty or at least to do so where the offender has achieved a significant degree of rehabilitation and there has been no further offending. Although such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p>
    <w:p w14:paraId="47B3A7EB" w14:textId="2EFB6C56" w:rsidR="00876501" w:rsidRPr="001C6E0E" w:rsidRDefault="00876501" w:rsidP="00876501">
      <w:pPr>
        <w:spacing w:before="60"/>
        <w:ind w:left="454" w:right="454"/>
        <w:jc w:val="both"/>
        <w:rPr>
          <w:rFonts w:ascii="Arial" w:hAnsi="Arial" w:cs="Arial"/>
          <w:color w:val="000000"/>
          <w:sz w:val="20"/>
        </w:rPr>
      </w:pPr>
      <w:r>
        <w:rPr>
          <w:rFonts w:ascii="Arial" w:hAnsi="Arial" w:cs="Arial"/>
          <w:color w:val="000000"/>
          <w:sz w:val="20"/>
        </w:rPr>
        <w:t xml:space="preserve">[38] The sentencing judge accurately recited this principle. The issue was ‘front and centre’ during the plea discussions. </w:t>
      </w:r>
      <w:r w:rsidRPr="00876501">
        <w:rPr>
          <w:rFonts w:ascii="Arial" w:hAnsi="Arial" w:cs="Arial"/>
          <w:color w:val="000000"/>
          <w:sz w:val="20"/>
        </w:rPr>
        <w:t>In the Reasons, her Honour went to great lengths to emphasise that she was sentencing the applicant for offending that he committed as a child, decades ago.</w:t>
      </w:r>
      <w:r>
        <w:rPr>
          <w:rFonts w:ascii="Arial" w:hAnsi="Arial" w:cs="Arial"/>
          <w:color w:val="000000"/>
          <w:sz w:val="20"/>
        </w:rPr>
        <w:t>”</w:t>
      </w:r>
    </w:p>
    <w:p w14:paraId="2E33913A" w14:textId="77777777" w:rsidR="00282D67" w:rsidRDefault="00282D67"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100" w:name="_11.1.3_Sentencing_of"/>
      <w:bookmarkStart w:id="101" w:name="_Toc30671661"/>
      <w:bookmarkStart w:id="102" w:name="_Toc30674188"/>
      <w:bookmarkStart w:id="103" w:name="_Toc30691455"/>
      <w:bookmarkStart w:id="104" w:name="_Toc30691835"/>
      <w:bookmarkStart w:id="105" w:name="_Toc30692215"/>
      <w:bookmarkStart w:id="106" w:name="_Toc30692973"/>
      <w:bookmarkStart w:id="107" w:name="_Toc30693352"/>
      <w:bookmarkStart w:id="108" w:name="_Toc30693730"/>
      <w:bookmarkStart w:id="109" w:name="_Toc30694108"/>
      <w:bookmarkStart w:id="110" w:name="_Toc30694488"/>
      <w:bookmarkStart w:id="111" w:name="_Toc30699078"/>
      <w:bookmarkStart w:id="112" w:name="_Toc30699463"/>
      <w:bookmarkStart w:id="113" w:name="_Toc30699848"/>
      <w:bookmarkStart w:id="114" w:name="_Toc30701003"/>
      <w:bookmarkStart w:id="115" w:name="_Toc30701390"/>
      <w:bookmarkStart w:id="116" w:name="_Toc30743997"/>
      <w:bookmarkStart w:id="117" w:name="_Toc30754820"/>
      <w:bookmarkStart w:id="118" w:name="_Toc30757276"/>
      <w:bookmarkStart w:id="119" w:name="_Toc30757824"/>
      <w:bookmarkStart w:id="120" w:name="_Toc30758224"/>
      <w:bookmarkStart w:id="121" w:name="_Toc30762985"/>
      <w:bookmarkStart w:id="122" w:name="_Toc30767639"/>
      <w:bookmarkStart w:id="123" w:name="_Toc34823657"/>
      <w:bookmarkStart w:id="124" w:name="_Toc107101734"/>
      <w:bookmarkEnd w:id="100"/>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5" w:name="_Toc30694489"/>
      <w:bookmarkStart w:id="126" w:name="_Toc30699079"/>
      <w:bookmarkStart w:id="127" w:name="_Toc30699464"/>
      <w:bookmarkStart w:id="128" w:name="_Toc30699849"/>
      <w:bookmarkStart w:id="129" w:name="_Toc30701004"/>
      <w:bookmarkStart w:id="130" w:name="_Toc30701391"/>
      <w:bookmarkStart w:id="131" w:name="_Toc30743998"/>
      <w:bookmarkStart w:id="132" w:name="_Toc30754821"/>
      <w:bookmarkStart w:id="133" w:name="_Toc30757277"/>
      <w:bookmarkStart w:id="134" w:name="_Toc30757825"/>
      <w:bookmarkStart w:id="135" w:name="_Toc30758225"/>
      <w:bookmarkStart w:id="136" w:name="_Toc30762986"/>
      <w:bookmarkStart w:id="137" w:name="_Toc30767640"/>
      <w:bookmarkStart w:id="138"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14:paraId="57D6DF99" w14:textId="77777777" w:rsidR="00BF52E5" w:rsidRPr="001C6E0E" w:rsidRDefault="00BF52E5" w:rsidP="00876501">
      <w:pPr>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(Maxwell P, Harper JA</w:t>
      </w:r>
      <w:r w:rsidRPr="001C6E0E">
        <w:rPr>
          <w:rFonts w:ascii="Arial" w:hAnsi="Arial" w:cs="Arial"/>
          <w:color w:val="000000"/>
          <w:sz w:val="20"/>
        </w:rPr>
        <w:t xml:space="preserve"> &amp; Lasry AJA) at </w:t>
      </w:r>
      <w:r>
        <w:rPr>
          <w:rFonts w:ascii="Arial" w:hAnsi="Arial" w:cs="Arial"/>
          <w:color w:val="000000"/>
          <w:sz w:val="20"/>
        </w:rPr>
        <w:t>[38]-</w:t>
      </w:r>
      <w:r w:rsidRPr="001C6E0E">
        <w:rPr>
          <w:rFonts w:ascii="Arial" w:hAnsi="Arial" w:cs="Arial"/>
          <w:color w:val="000000"/>
          <w:sz w:val="20"/>
        </w:rPr>
        <w:t>[39] summed up the principles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 xml:space="preserve">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w:t>
      </w:r>
      <w:r w:rsidRPr="001C6E0E">
        <w:rPr>
          <w:rFonts w:ascii="Arial" w:hAnsi="Arial" w:cs="Arial"/>
          <w:color w:val="000000"/>
          <w:sz w:val="20"/>
        </w:rPr>
        <w:lastRenderedPageBreak/>
        <w:t>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lastRenderedPageBreak/>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39"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lastRenderedPageBreak/>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Default="00226926" w:rsidP="00B33B2A">
      <w:pPr>
        <w:jc w:val="both"/>
        <w:rPr>
          <w:rFonts w:ascii="Arial" w:hAnsi="Arial" w:cs="Arial"/>
          <w:color w:val="000000"/>
          <w:sz w:val="20"/>
          <w:szCs w:val="22"/>
        </w:rPr>
      </w:pPr>
    </w:p>
    <w:p w14:paraId="3D314299" w14:textId="43F983C0" w:rsidR="00286E2A" w:rsidRDefault="00286E2A" w:rsidP="00286E2A">
      <w:pPr>
        <w:jc w:val="both"/>
        <w:rPr>
          <w:rFonts w:ascii="Arial" w:hAnsi="Arial" w:cs="Arial"/>
          <w:sz w:val="20"/>
          <w:szCs w:val="20"/>
        </w:rPr>
      </w:pPr>
      <w:r>
        <w:rPr>
          <w:rFonts w:ascii="Arial" w:hAnsi="Arial" w:cs="Arial"/>
          <w:sz w:val="20"/>
          <w:szCs w:val="20"/>
        </w:rPr>
        <w:t xml:space="preserve">In </w:t>
      </w:r>
      <w:r w:rsidRPr="00C308DA">
        <w:rPr>
          <w:rFonts w:ascii="Arial" w:hAnsi="Arial" w:cs="Arial"/>
          <w:i/>
          <w:iCs/>
          <w:sz w:val="20"/>
          <w:szCs w:val="20"/>
        </w:rPr>
        <w:t>FD v DPP</w:t>
      </w:r>
      <w:r>
        <w:rPr>
          <w:rFonts w:ascii="Arial" w:hAnsi="Arial" w:cs="Arial"/>
          <w:sz w:val="20"/>
          <w:szCs w:val="20"/>
        </w:rPr>
        <w:t xml:space="preserve"> [2025] VSC 519 the 17 year old offender had pleaded guilty to </w:t>
      </w:r>
      <w:r w:rsidRPr="00D9062E">
        <w:rPr>
          <w:rFonts w:ascii="Arial" w:hAnsi="Arial" w:cs="Arial"/>
          <w:sz w:val="20"/>
          <w:szCs w:val="20"/>
        </w:rPr>
        <w:t>intentionally caus</w:t>
      </w:r>
      <w:r>
        <w:rPr>
          <w:rFonts w:ascii="Arial" w:hAnsi="Arial" w:cs="Arial"/>
          <w:sz w:val="20"/>
          <w:szCs w:val="20"/>
        </w:rPr>
        <w:t>ing</w:t>
      </w:r>
      <w:r w:rsidRPr="00D9062E">
        <w:rPr>
          <w:rFonts w:ascii="Arial" w:hAnsi="Arial" w:cs="Arial"/>
          <w:sz w:val="20"/>
          <w:szCs w:val="20"/>
        </w:rPr>
        <w:t xml:space="preserve"> serious injury in circumstances of gross violence</w:t>
      </w:r>
      <w:r>
        <w:rPr>
          <w:rFonts w:ascii="Arial" w:hAnsi="Arial" w:cs="Arial"/>
          <w:sz w:val="20"/>
          <w:szCs w:val="20"/>
        </w:rPr>
        <w:t xml:space="preserve"> and had been sentenced in the Children’s Court to YJC28m with 175d declared as pre-sentence detention. </w:t>
      </w:r>
      <w:r w:rsidR="00496BB0">
        <w:rPr>
          <w:rFonts w:ascii="Arial" w:hAnsi="Arial" w:cs="Arial"/>
          <w:sz w:val="20"/>
          <w:szCs w:val="20"/>
        </w:rPr>
        <w:t xml:space="preserve">He subsequently appealed. </w:t>
      </w:r>
      <w:r>
        <w:rPr>
          <w:rFonts w:ascii="Arial" w:hAnsi="Arial" w:cs="Arial"/>
          <w:sz w:val="20"/>
          <w:szCs w:val="20"/>
        </w:rPr>
        <w:t xml:space="preserve">In </w:t>
      </w:r>
      <w:r w:rsidR="00496BB0">
        <w:rPr>
          <w:rFonts w:ascii="Arial" w:hAnsi="Arial" w:cs="Arial"/>
          <w:sz w:val="20"/>
          <w:szCs w:val="20"/>
        </w:rPr>
        <w:t xml:space="preserve">the </w:t>
      </w:r>
      <w:r>
        <w:rPr>
          <w:rFonts w:ascii="Arial" w:hAnsi="Arial" w:cs="Arial"/>
          <w:sz w:val="20"/>
          <w:szCs w:val="20"/>
        </w:rPr>
        <w:t>circumstances detailed at [6]-[13], the 16</w:t>
      </w:r>
      <w:r w:rsidR="00496BB0">
        <w:rPr>
          <w:rFonts w:ascii="Arial" w:hAnsi="Arial" w:cs="Arial"/>
          <w:sz w:val="20"/>
          <w:szCs w:val="20"/>
        </w:rPr>
        <w:t xml:space="preserve"> </w:t>
      </w:r>
      <w:r>
        <w:rPr>
          <w:rFonts w:ascii="Arial" w:hAnsi="Arial" w:cs="Arial"/>
          <w:sz w:val="20"/>
          <w:szCs w:val="20"/>
        </w:rPr>
        <w:t>year old victim – who was not known to the offender – had sustained</w:t>
      </w:r>
      <w:r w:rsidRPr="00C308DA">
        <w:rPr>
          <w:rFonts w:ascii="Arial" w:hAnsi="Arial" w:cs="Arial"/>
          <w:sz w:val="20"/>
          <w:szCs w:val="20"/>
        </w:rPr>
        <w:t xml:space="preserve"> a stab wound to the right posterior thigh, significant internal bleeding in the pelvic region, a likely bladder or urethral injury and clot in the bladder, and lacerations to the scalp, arms and hands.</w:t>
      </w:r>
      <w:r>
        <w:rPr>
          <w:rFonts w:ascii="Arial" w:hAnsi="Arial" w:cs="Arial"/>
          <w:sz w:val="20"/>
          <w:szCs w:val="20"/>
        </w:rPr>
        <w:t xml:space="preserve"> At [17] Incerti J said: “</w:t>
      </w:r>
      <w:r w:rsidRPr="00C308DA">
        <w:rPr>
          <w:rFonts w:ascii="Arial" w:hAnsi="Arial" w:cs="Arial"/>
          <w:sz w:val="20"/>
          <w:szCs w:val="20"/>
        </w:rPr>
        <w:t>The victim impact statements provide insight into the harrowing nature of the attack and its physical and emotional consequences on both the victim and his mother. It is difficult to comprehend how terrifying it was for the victim and the ongoing, possibly lifelong, effects he now faces.</w:t>
      </w:r>
      <w:r>
        <w:rPr>
          <w:rFonts w:ascii="Arial" w:hAnsi="Arial" w:cs="Arial"/>
          <w:sz w:val="20"/>
          <w:szCs w:val="20"/>
        </w:rPr>
        <w:t xml:space="preserve">” FD had </w:t>
      </w:r>
      <w:r w:rsidRPr="00C308DA">
        <w:rPr>
          <w:rFonts w:ascii="Arial" w:hAnsi="Arial" w:cs="Arial"/>
          <w:sz w:val="20"/>
          <w:szCs w:val="20"/>
        </w:rPr>
        <w:t xml:space="preserve">started using cannabis regularly at around 13 or 14, and by 16 he was experimenting with MDMA and drinking alcohol daily. </w:t>
      </w:r>
      <w:r>
        <w:rPr>
          <w:rFonts w:ascii="Arial" w:hAnsi="Arial" w:cs="Arial"/>
          <w:sz w:val="20"/>
          <w:szCs w:val="20"/>
        </w:rPr>
        <w:t>He</w:t>
      </w:r>
      <w:r w:rsidRPr="00B12A71">
        <w:rPr>
          <w:rFonts w:ascii="Arial" w:hAnsi="Arial" w:cs="Arial"/>
          <w:sz w:val="20"/>
          <w:szCs w:val="20"/>
        </w:rPr>
        <w:t xml:space="preserve"> had consumed seven capsules of MDMA in the hours leading up to the attack. </w:t>
      </w:r>
      <w:r w:rsidRPr="00C308DA">
        <w:rPr>
          <w:rFonts w:ascii="Arial" w:hAnsi="Arial" w:cs="Arial"/>
          <w:sz w:val="20"/>
          <w:szCs w:val="20"/>
        </w:rPr>
        <w:t xml:space="preserve">His mental health and substance use </w:t>
      </w:r>
      <w:r>
        <w:rPr>
          <w:rFonts w:ascii="Arial" w:hAnsi="Arial" w:cs="Arial"/>
          <w:sz w:val="20"/>
          <w:szCs w:val="20"/>
        </w:rPr>
        <w:t xml:space="preserve">had </w:t>
      </w:r>
      <w:r w:rsidRPr="00C308DA">
        <w:rPr>
          <w:rFonts w:ascii="Arial" w:hAnsi="Arial" w:cs="Arial"/>
          <w:sz w:val="20"/>
          <w:szCs w:val="20"/>
        </w:rPr>
        <w:t xml:space="preserve">worsened after the loss of a close friend in a car accident in April 2022. He </w:t>
      </w:r>
      <w:r>
        <w:rPr>
          <w:rFonts w:ascii="Arial" w:hAnsi="Arial" w:cs="Arial"/>
          <w:sz w:val="20"/>
          <w:szCs w:val="20"/>
        </w:rPr>
        <w:t>had</w:t>
      </w:r>
      <w:r w:rsidRPr="00C308DA">
        <w:rPr>
          <w:rFonts w:ascii="Arial" w:hAnsi="Arial" w:cs="Arial"/>
          <w:sz w:val="20"/>
          <w:szCs w:val="20"/>
        </w:rPr>
        <w:t xml:space="preserve"> recently </w:t>
      </w:r>
      <w:r>
        <w:rPr>
          <w:rFonts w:ascii="Arial" w:hAnsi="Arial" w:cs="Arial"/>
          <w:sz w:val="20"/>
          <w:szCs w:val="20"/>
        </w:rPr>
        <w:t xml:space="preserve">been </w:t>
      </w:r>
      <w:r w:rsidRPr="00C308DA">
        <w:rPr>
          <w:rFonts w:ascii="Arial" w:hAnsi="Arial" w:cs="Arial"/>
          <w:sz w:val="20"/>
          <w:szCs w:val="20"/>
        </w:rPr>
        <w:t>diagnosed with a number of neurodevelopmental conditions, including Attention Deficit Hyperactivity Disorder (ADHD), Autism Spectrum Disorder (ASD) Level 1 and Severe Developmental Language Disorder.</w:t>
      </w:r>
      <w:r>
        <w:rPr>
          <w:rFonts w:ascii="Arial" w:hAnsi="Arial" w:cs="Arial"/>
          <w:sz w:val="20"/>
          <w:szCs w:val="20"/>
        </w:rPr>
        <w:t xml:space="preserve"> At [66] Incerti J </w:t>
      </w:r>
      <w:r w:rsidR="00227507">
        <w:rPr>
          <w:rFonts w:ascii="Arial" w:hAnsi="Arial" w:cs="Arial"/>
          <w:sz w:val="20"/>
          <w:szCs w:val="20"/>
        </w:rPr>
        <w:t xml:space="preserve">rejected a submission that limb 1 of </w:t>
      </w:r>
      <w:r w:rsidR="00227507" w:rsidRPr="00227507">
        <w:rPr>
          <w:rFonts w:ascii="Arial" w:hAnsi="Arial" w:cs="Arial"/>
          <w:i/>
          <w:iCs/>
          <w:sz w:val="20"/>
          <w:szCs w:val="20"/>
        </w:rPr>
        <w:t>Verdins</w:t>
      </w:r>
      <w:r w:rsidR="00227507">
        <w:rPr>
          <w:rFonts w:ascii="Arial" w:hAnsi="Arial" w:cs="Arial"/>
          <w:sz w:val="20"/>
          <w:szCs w:val="20"/>
        </w:rPr>
        <w:t xml:space="preserve"> was enlivened, </w:t>
      </w:r>
      <w:r>
        <w:rPr>
          <w:rFonts w:ascii="Arial" w:hAnsi="Arial" w:cs="Arial"/>
          <w:sz w:val="20"/>
          <w:szCs w:val="20"/>
        </w:rPr>
        <w:t>sa</w:t>
      </w:r>
      <w:r w:rsidR="00227507">
        <w:rPr>
          <w:rFonts w:ascii="Arial" w:hAnsi="Arial" w:cs="Arial"/>
          <w:sz w:val="20"/>
          <w:szCs w:val="20"/>
        </w:rPr>
        <w:t>ying</w:t>
      </w:r>
      <w:r>
        <w:rPr>
          <w:rFonts w:ascii="Arial" w:hAnsi="Arial" w:cs="Arial"/>
          <w:sz w:val="20"/>
          <w:szCs w:val="20"/>
        </w:rPr>
        <w:t>:</w:t>
      </w:r>
    </w:p>
    <w:p w14:paraId="25D4C026"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lastRenderedPageBreak/>
        <w:t>“</w:t>
      </w:r>
      <w:r w:rsidRPr="00B12A71">
        <w:rPr>
          <w:rFonts w:ascii="Arial" w:hAnsi="Arial" w:cs="Arial"/>
          <w:sz w:val="20"/>
          <w:szCs w:val="20"/>
        </w:rPr>
        <w:t>I accept that FD’s has significant underlying mental health vulnerabilities. However, I am not satisfied that there was a realistic connection between his actions and his mental health vulnerabilities that justifies any reduction in his moral culpability. FD willingly consumed a large amount of drugs; there is no doubt that this significantly affected him. Even if I could disentangle the impact of FDs’ mental health vulnerabilities on his conduct, given his drug use I would give it little or no weight in assessing his moral culpability.</w:t>
      </w:r>
      <w:r>
        <w:rPr>
          <w:rFonts w:ascii="Arial" w:hAnsi="Arial" w:cs="Arial"/>
          <w:sz w:val="20"/>
          <w:szCs w:val="20"/>
        </w:rPr>
        <w:t>”</w:t>
      </w:r>
    </w:p>
    <w:p w14:paraId="7796D531" w14:textId="77777777" w:rsidR="00227507" w:rsidRDefault="00286E2A" w:rsidP="00286E2A">
      <w:pPr>
        <w:spacing w:before="60"/>
        <w:jc w:val="both"/>
        <w:rPr>
          <w:rFonts w:ascii="Arial" w:hAnsi="Arial" w:cs="Arial"/>
          <w:sz w:val="20"/>
          <w:szCs w:val="20"/>
        </w:rPr>
      </w:pPr>
      <w:r>
        <w:rPr>
          <w:rFonts w:ascii="Arial" w:hAnsi="Arial" w:cs="Arial"/>
          <w:sz w:val="20"/>
          <w:szCs w:val="20"/>
        </w:rPr>
        <w:t xml:space="preserve">At [76]-[85] Incerti J discussed the relevant legislative considerations </w:t>
      </w:r>
      <w:r w:rsidR="00227507">
        <w:rPr>
          <w:rFonts w:ascii="Arial" w:hAnsi="Arial" w:cs="Arial"/>
          <w:sz w:val="20"/>
          <w:szCs w:val="20"/>
        </w:rPr>
        <w:t xml:space="preserve">contained </w:t>
      </w:r>
      <w:r>
        <w:rPr>
          <w:rFonts w:ascii="Arial" w:hAnsi="Arial" w:cs="Arial"/>
          <w:sz w:val="20"/>
          <w:szCs w:val="20"/>
        </w:rPr>
        <w:t xml:space="preserve">in ss.360-362 of the CYFA, noting at [77] the “principle of parsimony” contained in s.361 CYFA, at [79] that </w:t>
      </w:r>
      <w:r w:rsidR="00227507">
        <w:rPr>
          <w:rFonts w:ascii="Arial" w:hAnsi="Arial" w:cs="Arial"/>
          <w:sz w:val="20"/>
          <w:szCs w:val="20"/>
        </w:rPr>
        <w:t>“</w:t>
      </w:r>
      <w:r>
        <w:rPr>
          <w:rFonts w:ascii="Arial" w:hAnsi="Arial" w:cs="Arial"/>
          <w:sz w:val="20"/>
          <w:szCs w:val="20"/>
        </w:rPr>
        <w:t xml:space="preserve">general deterrence and denunciation are not relevant </w:t>
      </w:r>
      <w:r w:rsidR="00227507">
        <w:rPr>
          <w:rFonts w:ascii="Arial" w:hAnsi="Arial" w:cs="Arial"/>
          <w:sz w:val="20"/>
          <w:szCs w:val="20"/>
        </w:rPr>
        <w:t xml:space="preserve">sentencing </w:t>
      </w:r>
      <w:r>
        <w:rPr>
          <w:rFonts w:ascii="Arial" w:hAnsi="Arial" w:cs="Arial"/>
          <w:sz w:val="20"/>
          <w:szCs w:val="20"/>
        </w:rPr>
        <w:t>considerations</w:t>
      </w:r>
      <w:r w:rsidR="00227507">
        <w:rPr>
          <w:rFonts w:ascii="Arial" w:hAnsi="Arial" w:cs="Arial"/>
          <w:sz w:val="20"/>
          <w:szCs w:val="20"/>
        </w:rPr>
        <w:t>”</w:t>
      </w:r>
      <w:r>
        <w:rPr>
          <w:rFonts w:ascii="Arial" w:hAnsi="Arial" w:cs="Arial"/>
          <w:sz w:val="20"/>
          <w:szCs w:val="20"/>
        </w:rPr>
        <w:t xml:space="preserve"> under the CYFA and at [80]:</w:t>
      </w:r>
    </w:p>
    <w:p w14:paraId="191B5604" w14:textId="53355E36" w:rsidR="00227507" w:rsidRDefault="00286E2A" w:rsidP="00227507">
      <w:pPr>
        <w:spacing w:before="60"/>
        <w:ind w:left="567" w:right="567"/>
        <w:jc w:val="both"/>
        <w:rPr>
          <w:rFonts w:ascii="Arial" w:hAnsi="Arial" w:cs="Arial"/>
          <w:sz w:val="20"/>
          <w:szCs w:val="20"/>
        </w:rPr>
      </w:pPr>
      <w:r>
        <w:rPr>
          <w:rFonts w:ascii="Arial" w:hAnsi="Arial" w:cs="Arial"/>
          <w:sz w:val="20"/>
          <w:szCs w:val="20"/>
        </w:rPr>
        <w:t>“</w:t>
      </w:r>
      <w:r w:rsidRPr="00F904A0">
        <w:rPr>
          <w:rFonts w:ascii="Arial" w:hAnsi="Arial" w:cs="Arial"/>
          <w:sz w:val="20"/>
          <w:szCs w:val="20"/>
        </w:rPr>
        <w:t>While community protection is an important consideration, in my view it is firmly linked to FD’s rehabilitation, which I</w:t>
      </w:r>
      <w:r w:rsidR="00227507">
        <w:rPr>
          <w:rFonts w:ascii="Arial" w:hAnsi="Arial" w:cs="Arial"/>
          <w:sz w:val="20"/>
          <w:szCs w:val="20"/>
        </w:rPr>
        <w:t xml:space="preserve"> </w:t>
      </w:r>
      <w:r w:rsidRPr="00F904A0">
        <w:rPr>
          <w:rFonts w:ascii="Arial" w:hAnsi="Arial" w:cs="Arial"/>
          <w:sz w:val="20"/>
          <w:szCs w:val="20"/>
        </w:rPr>
        <w:t>consider can be achieved through targeted programs and protective factors.</w:t>
      </w:r>
      <w:r>
        <w:rPr>
          <w:rFonts w:ascii="Arial" w:hAnsi="Arial" w:cs="Arial"/>
          <w:sz w:val="20"/>
          <w:szCs w:val="20"/>
        </w:rPr>
        <w:t>”</w:t>
      </w:r>
    </w:p>
    <w:p w14:paraId="6DDC401A" w14:textId="416C1FC6" w:rsidR="00286E2A" w:rsidRDefault="00286E2A" w:rsidP="00286E2A">
      <w:pPr>
        <w:spacing w:before="60"/>
        <w:jc w:val="both"/>
        <w:rPr>
          <w:rFonts w:ascii="Arial" w:hAnsi="Arial" w:cs="Arial"/>
          <w:sz w:val="20"/>
          <w:szCs w:val="20"/>
        </w:rPr>
      </w:pPr>
      <w:r>
        <w:rPr>
          <w:rFonts w:ascii="Arial" w:hAnsi="Arial" w:cs="Arial"/>
          <w:sz w:val="20"/>
          <w:szCs w:val="20"/>
        </w:rPr>
        <w:t>Her Honour concluded at [84]-[85]:</w:t>
      </w:r>
    </w:p>
    <w:p w14:paraId="35941E88"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[84] “</w:t>
      </w:r>
      <w:r w:rsidRPr="00F904A0">
        <w:rPr>
          <w:rFonts w:ascii="Arial" w:hAnsi="Arial" w:cs="Arial"/>
          <w:sz w:val="20"/>
          <w:szCs w:val="20"/>
        </w:rPr>
        <w:t>Foremost in the statutory list of factors to be considered in sentencing children are the needs of the child. Sections 362(1)(a)-(c) of the Act expressly mention the child’s need to maintain a relationship with their family; the desirability of living at home; and the benefit of continuing in education, training, or employment. This cluster of ‘needs’ is associated with the social development and educational development of the child. The priority given to this cluster of needs in the legislation supports the contention that non-custodial sanctions are to be preferred to custodial ones. This proposition is supported by the hierarchy of sentencing orders found within the legislation itself. Of course, the cluster of needs is to be considered alongside the nature and gravity of the offending, but the latter should not prevail.</w:t>
      </w:r>
      <w:r>
        <w:rPr>
          <w:rFonts w:ascii="Arial" w:hAnsi="Arial" w:cs="Arial"/>
          <w:sz w:val="20"/>
          <w:szCs w:val="20"/>
        </w:rPr>
        <w:t>”</w:t>
      </w:r>
    </w:p>
    <w:p w14:paraId="0E640F44"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 xml:space="preserve">[85] </w:t>
      </w:r>
      <w:r w:rsidRPr="00F904A0">
        <w:rPr>
          <w:rFonts w:ascii="Arial" w:hAnsi="Arial" w:cs="Arial"/>
          <w:sz w:val="20"/>
          <w:szCs w:val="20"/>
        </w:rPr>
        <w:t>The suitability of any sentence imposed on a child needs to consider the developmental level of the child and their needs.</w:t>
      </w:r>
      <w:r>
        <w:rPr>
          <w:rFonts w:ascii="Arial" w:hAnsi="Arial" w:cs="Arial"/>
          <w:sz w:val="20"/>
          <w:szCs w:val="20"/>
        </w:rPr>
        <w:t>”</w:t>
      </w:r>
    </w:p>
    <w:p w14:paraId="28AA598B" w14:textId="6F3BF806" w:rsidR="00286E2A" w:rsidRDefault="00286E2A" w:rsidP="00286E2A">
      <w:pPr>
        <w:spacing w:before="60"/>
        <w:jc w:val="both"/>
        <w:rPr>
          <w:rFonts w:ascii="Arial" w:hAnsi="Arial" w:cs="Arial"/>
          <w:sz w:val="20"/>
          <w:szCs w:val="20"/>
        </w:rPr>
      </w:pPr>
      <w:r>
        <w:rPr>
          <w:rFonts w:ascii="Arial" w:hAnsi="Arial" w:cs="Arial"/>
          <w:sz w:val="20"/>
          <w:szCs w:val="20"/>
        </w:rPr>
        <w:t>Applying these principles, Incerti J allowed FD’s appeal, set aside the sentence and resentenced him to a youth supervision order for a period of 16 months</w:t>
      </w:r>
      <w:r>
        <w:rPr>
          <w:rFonts w:ascii="Arial" w:hAnsi="Arial" w:cs="Arial"/>
          <w:sz w:val="20"/>
          <w:szCs w:val="20"/>
        </w:rPr>
        <w:t>, noting at [82]: “</w:t>
      </w:r>
      <w:r w:rsidRPr="00286E2A">
        <w:rPr>
          <w:rFonts w:ascii="Arial" w:hAnsi="Arial" w:cs="Arial"/>
          <w:sz w:val="20"/>
          <w:szCs w:val="20"/>
        </w:rPr>
        <w:t>FD has been in custody now for over eight months and I accept that this has had a salutary effect on him.</w:t>
      </w:r>
      <w:r>
        <w:rPr>
          <w:rFonts w:ascii="Arial" w:hAnsi="Arial" w:cs="Arial"/>
          <w:sz w:val="20"/>
          <w:szCs w:val="20"/>
        </w:rPr>
        <w:t>”</w:t>
      </w:r>
    </w:p>
    <w:p w14:paraId="36DC518C" w14:textId="77777777" w:rsidR="00286E2A" w:rsidRPr="009F607D" w:rsidRDefault="00286E2A" w:rsidP="00B33B2A">
      <w:pPr>
        <w:jc w:val="both"/>
        <w:rPr>
          <w:rFonts w:ascii="Arial" w:hAnsi="Arial" w:cs="Arial"/>
          <w:color w:val="000000"/>
          <w:sz w:val="20"/>
          <w:szCs w:val="22"/>
        </w:rPr>
      </w:pPr>
    </w:p>
    <w:p w14:paraId="2C88F5F5" w14:textId="77777777" w:rsidR="00B33B2A" w:rsidRPr="001E6BE9" w:rsidRDefault="00B33B2A" w:rsidP="00B33B2A">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CF28ABC" w14:textId="77777777" w:rsidR="00B74D33" w:rsidRPr="001C6E0E" w:rsidRDefault="00B74D33" w:rsidP="00B74D33">
      <w:pPr>
        <w:rPr>
          <w:rFonts w:ascii="Arial" w:hAnsi="Arial" w:cs="Arial"/>
          <w:color w:val="000000"/>
          <w:sz w:val="20"/>
        </w:rPr>
      </w:pPr>
    </w:p>
    <w:p w14:paraId="6E50AAD8" w14:textId="77777777" w:rsidR="0019495C" w:rsidRDefault="0019495C">
      <w:pPr>
        <w:rPr>
          <w:rFonts w:ascii="Arial" w:hAnsi="Arial" w:cs="Arial"/>
          <w:b/>
          <w:bCs/>
          <w:color w:val="000000"/>
          <w:kern w:val="28"/>
          <w:sz w:val="20"/>
          <w:szCs w:val="20"/>
          <w:lang w:val="en-GB"/>
        </w:rPr>
      </w:pPr>
      <w:bookmarkStart w:id="140" w:name="_11.1.4_Some_general"/>
      <w:bookmarkEnd w:id="140"/>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39"/>
    </w:p>
    <w:p w14:paraId="22B45B4A" w14:textId="5D8E9ECF"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w:t>
      </w:r>
      <w:r w:rsidR="00B8610B">
        <w:rPr>
          <w:rFonts w:ascii="Arial" w:hAnsi="Arial" w:cs="Arial"/>
          <w:color w:val="000000"/>
          <w:sz w:val="20"/>
        </w:rPr>
        <w:t xml:space="preserve"> </w:t>
      </w:r>
      <w:r w:rsidRPr="001C6E0E">
        <w:rPr>
          <w:rFonts w:ascii="Arial" w:hAnsi="Arial" w:cs="Arial"/>
          <w:color w:val="000000"/>
          <w:sz w:val="20"/>
        </w:rPr>
        <w:t>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41" w:name="_11.1.4.1__General"/>
      <w:bookmarkEnd w:id="141"/>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61184070" w14:textId="55A3479C" w:rsidR="00B8610B" w:rsidRDefault="00B8610B" w:rsidP="00EF6EE2">
      <w:pPr>
        <w:jc w:val="both"/>
        <w:rPr>
          <w:rFonts w:ascii="Arial" w:hAnsi="Arial" w:cs="Arial"/>
          <w:color w:val="000000"/>
          <w:sz w:val="20"/>
        </w:rPr>
      </w:pPr>
      <w:r>
        <w:rPr>
          <w:rFonts w:ascii="Arial" w:hAnsi="Arial" w:cs="Arial"/>
          <w:color w:val="000000"/>
          <w:sz w:val="20"/>
        </w:rPr>
        <w:t>The sentencing principle of ‘</w:t>
      </w:r>
      <w:r w:rsidRPr="00B8610B">
        <w:rPr>
          <w:rFonts w:ascii="Arial" w:hAnsi="Arial" w:cs="Arial"/>
          <w:b/>
          <w:bCs/>
          <w:color w:val="000000"/>
          <w:sz w:val="20"/>
        </w:rPr>
        <w:t>specific deterrence</w:t>
      </w:r>
      <w:r>
        <w:rPr>
          <w:rFonts w:ascii="Arial" w:hAnsi="Arial" w:cs="Arial"/>
          <w:color w:val="000000"/>
          <w:sz w:val="20"/>
        </w:rPr>
        <w:t>’</w:t>
      </w:r>
      <w:r w:rsidRPr="00B8610B">
        <w:rPr>
          <w:rFonts w:ascii="Arial" w:hAnsi="Arial" w:cs="Arial"/>
          <w:color w:val="000000"/>
          <w:sz w:val="20"/>
        </w:rPr>
        <w:t xml:space="preserve"> </w:t>
      </w:r>
      <w:r>
        <w:rPr>
          <w:rFonts w:ascii="Arial" w:hAnsi="Arial" w:cs="Arial"/>
          <w:color w:val="000000"/>
          <w:sz w:val="20"/>
        </w:rPr>
        <w:t>aims</w:t>
      </w:r>
      <w:r w:rsidRPr="00B8610B">
        <w:rPr>
          <w:rFonts w:ascii="Arial" w:hAnsi="Arial" w:cs="Arial"/>
          <w:color w:val="000000"/>
          <w:sz w:val="20"/>
        </w:rPr>
        <w:t xml:space="preserve"> to prevent future crimes by a particular individual through their own experience of punishment</w:t>
      </w:r>
      <w:r>
        <w:rPr>
          <w:rFonts w:ascii="Arial" w:hAnsi="Arial" w:cs="Arial"/>
          <w:color w:val="000000"/>
          <w:sz w:val="20"/>
        </w:rPr>
        <w:t>. By contrast, the sentencing principle of ‘</w:t>
      </w:r>
      <w:r w:rsidRPr="00B8610B">
        <w:rPr>
          <w:rFonts w:ascii="Arial" w:hAnsi="Arial" w:cs="Arial"/>
          <w:b/>
          <w:bCs/>
          <w:color w:val="000000"/>
          <w:sz w:val="20"/>
        </w:rPr>
        <w:t>general deterrence</w:t>
      </w:r>
      <w:r>
        <w:rPr>
          <w:rFonts w:ascii="Arial" w:hAnsi="Arial" w:cs="Arial"/>
          <w:color w:val="000000"/>
          <w:sz w:val="20"/>
        </w:rPr>
        <w:t xml:space="preserve">’ aims to prevent </w:t>
      </w:r>
      <w:r w:rsidRPr="00B8610B">
        <w:rPr>
          <w:rFonts w:ascii="Arial" w:hAnsi="Arial" w:cs="Arial"/>
          <w:color w:val="000000"/>
          <w:sz w:val="20"/>
        </w:rPr>
        <w:t xml:space="preserve">crime by the broader public by making an example of an offender's punishment. </w:t>
      </w:r>
      <w:r>
        <w:rPr>
          <w:rFonts w:ascii="Arial" w:hAnsi="Arial" w:cs="Arial"/>
          <w:color w:val="000000"/>
          <w:sz w:val="20"/>
        </w:rPr>
        <w:t xml:space="preserve">A neat example of the contrast between these two principles is to be found in the judgment of Gorton J in </w:t>
      </w:r>
      <w:r w:rsidRPr="00B8610B">
        <w:rPr>
          <w:rFonts w:ascii="Arial" w:hAnsi="Arial" w:cs="Arial"/>
          <w:i/>
          <w:iCs/>
          <w:color w:val="000000"/>
          <w:sz w:val="20"/>
        </w:rPr>
        <w:t>DPP v Nordic Elevators &amp; Anor</w:t>
      </w:r>
      <w:r w:rsidRPr="00B8610B">
        <w:rPr>
          <w:rFonts w:ascii="Arial" w:hAnsi="Arial" w:cs="Arial"/>
          <w:color w:val="000000"/>
          <w:sz w:val="20"/>
        </w:rPr>
        <w:t xml:space="preserve"> [2025] VSC 379</w:t>
      </w:r>
      <w:r>
        <w:rPr>
          <w:rFonts w:ascii="Arial" w:hAnsi="Arial" w:cs="Arial"/>
          <w:color w:val="000000"/>
          <w:sz w:val="20"/>
        </w:rPr>
        <w:t xml:space="preserve"> where the accused companies had </w:t>
      </w:r>
      <w:r w:rsidR="000F6E24">
        <w:rPr>
          <w:rFonts w:ascii="Arial" w:hAnsi="Arial" w:cs="Arial"/>
          <w:color w:val="000000"/>
          <w:sz w:val="20"/>
        </w:rPr>
        <w:t xml:space="preserve">pleaded guilty to </w:t>
      </w:r>
      <w:r>
        <w:rPr>
          <w:rFonts w:ascii="Arial" w:hAnsi="Arial" w:cs="Arial"/>
          <w:color w:val="000000"/>
          <w:sz w:val="20"/>
        </w:rPr>
        <w:t>fail</w:t>
      </w:r>
      <w:r w:rsidR="000F6E24">
        <w:rPr>
          <w:rFonts w:ascii="Arial" w:hAnsi="Arial" w:cs="Arial"/>
          <w:color w:val="000000"/>
          <w:sz w:val="20"/>
        </w:rPr>
        <w:t>ing</w:t>
      </w:r>
      <w:r>
        <w:rPr>
          <w:rFonts w:ascii="Arial" w:hAnsi="Arial" w:cs="Arial"/>
          <w:color w:val="000000"/>
          <w:sz w:val="20"/>
        </w:rPr>
        <w:t xml:space="preserve"> to ensure electrical work was only carried out by licensed electricians. The accused companies’ director was the father of the deceased. </w:t>
      </w:r>
      <w:r w:rsidR="000F6E24">
        <w:rPr>
          <w:rFonts w:ascii="Arial" w:hAnsi="Arial" w:cs="Arial"/>
          <w:color w:val="000000"/>
          <w:sz w:val="20"/>
        </w:rPr>
        <w:t>In imposing aggregate fines</w:t>
      </w:r>
      <w:r w:rsidR="002954FC">
        <w:rPr>
          <w:rFonts w:ascii="Arial" w:hAnsi="Arial" w:cs="Arial"/>
          <w:color w:val="000000"/>
          <w:sz w:val="20"/>
        </w:rPr>
        <w:t xml:space="preserve"> on the companies</w:t>
      </w:r>
      <w:r w:rsidR="000F6E24">
        <w:rPr>
          <w:rFonts w:ascii="Arial" w:hAnsi="Arial" w:cs="Arial"/>
          <w:color w:val="000000"/>
          <w:sz w:val="20"/>
        </w:rPr>
        <w:t xml:space="preserve">, </w:t>
      </w:r>
      <w:r>
        <w:rPr>
          <w:rFonts w:ascii="Arial" w:hAnsi="Arial" w:cs="Arial"/>
          <w:color w:val="000000"/>
          <w:sz w:val="20"/>
        </w:rPr>
        <w:t>Gorton J said</w:t>
      </w:r>
      <w:r w:rsidR="000F6E24">
        <w:rPr>
          <w:rFonts w:ascii="Arial" w:hAnsi="Arial" w:cs="Arial"/>
          <w:color w:val="000000"/>
          <w:sz w:val="20"/>
        </w:rPr>
        <w:t xml:space="preserve"> at [28]</w:t>
      </w:r>
      <w:r>
        <w:rPr>
          <w:rFonts w:ascii="Arial" w:hAnsi="Arial" w:cs="Arial"/>
          <w:color w:val="000000"/>
          <w:sz w:val="20"/>
        </w:rPr>
        <w:t>:</w:t>
      </w:r>
    </w:p>
    <w:p w14:paraId="2E85F465" w14:textId="0E20B870" w:rsidR="00B8610B" w:rsidRPr="001C6E0E" w:rsidRDefault="00B8610B" w:rsidP="00B8610B">
      <w:pPr>
        <w:spacing w:before="60" w:after="60"/>
        <w:ind w:left="567" w:right="567"/>
        <w:jc w:val="both"/>
        <w:rPr>
          <w:rFonts w:ascii="Arial" w:hAnsi="Arial" w:cs="Arial"/>
          <w:color w:val="000000"/>
          <w:sz w:val="20"/>
        </w:rPr>
      </w:pPr>
      <w:r>
        <w:rPr>
          <w:rFonts w:ascii="Arial" w:hAnsi="Arial" w:cs="Arial"/>
          <w:color w:val="000000"/>
          <w:sz w:val="20"/>
        </w:rPr>
        <w:t>“</w:t>
      </w:r>
      <w:r w:rsidR="00F512A2" w:rsidRPr="00F512A2">
        <w:rPr>
          <w:rFonts w:ascii="Arial" w:hAnsi="Arial" w:cs="Arial"/>
          <w:color w:val="000000"/>
          <w:sz w:val="20"/>
        </w:rPr>
        <w:t>It is tempting to consider that imposing a fine will serve no real purpose because the person who died was the son of the controlling mind of the two companies, and because that person has suffered enormously from both the death and his role in the death of his son. As noted above, I accept this line of reasoning insofar as it means that there is little to no need for specific deterrence. However, as with most breaches of the laws to do with industrial safety, general deterrence is the most significant sentencing consideration. It</w:t>
      </w:r>
      <w:r w:rsidR="00F512A2">
        <w:rPr>
          <w:rFonts w:ascii="Arial" w:hAnsi="Arial" w:cs="Arial"/>
          <w:color w:val="000000"/>
          <w:sz w:val="20"/>
        </w:rPr>
        <w:t> </w:t>
      </w:r>
      <w:r w:rsidR="00F512A2" w:rsidRPr="00F512A2">
        <w:rPr>
          <w:rFonts w:ascii="Arial" w:hAnsi="Arial" w:cs="Arial"/>
          <w:color w:val="000000"/>
          <w:sz w:val="20"/>
        </w:rPr>
        <w:t xml:space="preserve">remains necessary to impose fines of a level that deter other persons from committing crimes of the same or similar character, that reflect the objective seriousness of the breaches, and that manifest the denunciation by the court of the actions or inactions of </w:t>
      </w:r>
      <w:r w:rsidR="00F512A2">
        <w:rPr>
          <w:rFonts w:ascii="Arial" w:hAnsi="Arial" w:cs="Arial"/>
          <w:color w:val="000000"/>
          <w:sz w:val="20"/>
        </w:rPr>
        <w:t xml:space="preserve">[the companies] </w:t>
      </w:r>
      <w:r w:rsidR="00F512A2" w:rsidRPr="00F512A2">
        <w:rPr>
          <w:rFonts w:ascii="Arial" w:hAnsi="Arial" w:cs="Arial"/>
          <w:color w:val="000000"/>
          <w:sz w:val="20"/>
        </w:rPr>
        <w:t>that exposed their employees and other persons to unnecessary risk of injury or death.</w:t>
      </w:r>
      <w:r w:rsidR="00F512A2">
        <w:rPr>
          <w:rFonts w:ascii="Arial" w:hAnsi="Arial" w:cs="Arial"/>
          <w:color w:val="000000"/>
          <w:sz w:val="20"/>
        </w:rPr>
        <w:t>” [citations omitted]</w:t>
      </w:r>
    </w:p>
    <w:p w14:paraId="6CB6716E" w14:textId="77777777" w:rsidR="00B8610B" w:rsidRDefault="00B8610B" w:rsidP="00EF6EE2">
      <w:pPr>
        <w:jc w:val="both"/>
        <w:rPr>
          <w:rFonts w:ascii="Arial" w:hAnsi="Arial" w:cs="Arial"/>
          <w:color w:val="000000"/>
          <w:sz w:val="20"/>
        </w:rPr>
      </w:pPr>
    </w:p>
    <w:p w14:paraId="21A458F2" w14:textId="655B5CB6"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State">
        <w:smartTag w:uri="urn:schemas-microsoft-com:office:smarttags" w:element="plac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place">
        <w:smartTag w:uri="urn:schemas-microsoft-com:office:smarttags" w:element="Stat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2" w:name="_11.1.4.2__Powers"/>
      <w:bookmarkEnd w:id="142"/>
      <w:r w:rsidRPr="001C6E0E">
        <w:rPr>
          <w:rFonts w:ascii="Arial" w:hAnsi="Arial" w:cs="Arial"/>
          <w:b/>
          <w:bCs/>
          <w:color w:val="000000"/>
          <w:sz w:val="20"/>
        </w:rPr>
        <w:lastRenderedPageBreak/>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City">
        <w:smartTag w:uri="urn:schemas-microsoft-com:office:smarttags" w:element="place">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lastRenderedPageBreak/>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lastRenderedPageBreak/>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3" w:name="_Hlk14428700"/>
      <w:r w:rsidR="00CF39CB">
        <w:rPr>
          <w:rFonts w:ascii="Arial" w:hAnsi="Arial" w:cs="Arial"/>
          <w:color w:val="000000"/>
          <w:sz w:val="20"/>
        </w:rPr>
        <w:t>oust the operation</w:t>
      </w:r>
      <w:r>
        <w:rPr>
          <w:rFonts w:ascii="Arial" w:hAnsi="Arial" w:cs="Arial"/>
          <w:color w:val="000000"/>
          <w:sz w:val="20"/>
        </w:rPr>
        <w:t xml:space="preserve"> </w:t>
      </w:r>
      <w:bookmarkEnd w:id="143"/>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4" w:name="_11.1.4.3__Principle"/>
      <w:bookmarkEnd w:id="144"/>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R v Bui; 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 xml:space="preserve">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w:t>
      </w:r>
      <w:r w:rsidR="00E17AAA" w:rsidRPr="00E17AAA">
        <w:rPr>
          <w:rFonts w:ascii="Arial" w:hAnsi="Arial" w:cs="Arial"/>
          <w:sz w:val="20"/>
          <w:szCs w:val="20"/>
        </w:rPr>
        <w:lastRenderedPageBreak/>
        <w:t>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5" w:name="_11.1.4.4__Principle"/>
      <w:bookmarkEnd w:id="145"/>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6" w:name="_11.1.4.4__Principle_1"/>
      <w:bookmarkEnd w:id="146"/>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State">
        <w:smartTag w:uri="urn:schemas-microsoft-com:office:smarttags" w:element="plac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w:t>
      </w:r>
      <w:r w:rsidRPr="001C6E0E">
        <w:rPr>
          <w:rFonts w:ascii="Arial" w:hAnsi="Arial" w:cs="Arial"/>
          <w:color w:val="000000"/>
          <w:sz w:val="20"/>
        </w:rPr>
        <w:lastRenderedPageBreak/>
        <w:t>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xml:space="preserve">, a five-member Court considered how the totality principle is to apply in circumstances where the person being sentenced was on parole at the time of the </w:t>
      </w:r>
      <w:r w:rsidRPr="00E9059B">
        <w:rPr>
          <w:rFonts w:ascii="Arial" w:hAnsi="Arial" w:cs="Arial"/>
          <w:sz w:val="20"/>
        </w:rPr>
        <w:lastRenderedPageBreak/>
        <w:t>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 xml:space="preserve">The concern of the principle is to ensure that a person sentenced for multiple offences receives a sentence that is commensurate with the total criminality involved.  It guards </w:t>
      </w:r>
      <w:r w:rsidRPr="00CA7CE6">
        <w:rPr>
          <w:rFonts w:ascii="Arial" w:hAnsi="Arial" w:cs="Arial"/>
          <w:sz w:val="20"/>
          <w:szCs w:val="16"/>
        </w:rPr>
        <w:lastRenderedPageBreak/>
        <w:t>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R v 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State">
        <w:smartTag w:uri="urn:schemas-microsoft-com:office:smarttags" w:element="plac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w:t>
      </w:r>
      <w:r w:rsidRPr="001C6E0E">
        <w:rPr>
          <w:rFonts w:ascii="Arial" w:hAnsi="Arial" w:cs="Arial"/>
          <w:color w:val="000000"/>
          <w:sz w:val="20"/>
        </w:rPr>
        <w:lastRenderedPageBreak/>
        <w:t xml:space="preserve">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ell P, Emerton &amp; Sifris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4A80DDAC" w14:textId="77777777" w:rsidR="004A0F18" w:rsidRDefault="004A0F18" w:rsidP="004A0F18">
      <w:pPr>
        <w:pStyle w:val="Style1"/>
      </w:pPr>
    </w:p>
    <w:p w14:paraId="5DC8DBFE" w14:textId="2D0240E8" w:rsidR="003C4928" w:rsidRDefault="003C4928" w:rsidP="004A0F18">
      <w:pPr>
        <w:pStyle w:val="Style1"/>
      </w:pPr>
      <w:r>
        <w:t xml:space="preserve">See also </w:t>
      </w:r>
      <w:r w:rsidRPr="003C4928">
        <w:rPr>
          <w:i/>
          <w:iCs/>
        </w:rPr>
        <w:t>DPP v Rider &amp; Ong</w:t>
      </w:r>
      <w: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w:t>
      </w:r>
      <w:r w:rsidRPr="001C6E0E">
        <w:rPr>
          <w:rFonts w:ascii="Arial" w:hAnsi="Arial" w:cs="Arial"/>
          <w:color w:val="000000"/>
          <w:sz w:val="20"/>
        </w:rPr>
        <w:lastRenderedPageBreak/>
        <w:t xml:space="preserve">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3C2D44">
      <w:pPr>
        <w:pStyle w:val="Style1"/>
      </w:pPr>
      <w:r>
        <w:t xml:space="preserve">In </w:t>
      </w:r>
      <w:r w:rsidRPr="00B92B67">
        <w:rPr>
          <w:i/>
          <w:iCs/>
        </w:rPr>
        <w:t>Ahmed Mohamed v The Queen</w:t>
      </w:r>
      <w:r>
        <w:t xml:space="preserve"> [2022] VSCA 13</w:t>
      </w:r>
      <w:r w:rsidR="00B92B67">
        <w:t xml:space="preserve">6 the appellant had been found guilty by a jury of charges of attempting to engage in a terrorist act and engaging in a terrorist act and was sentenced by Tinney J to IMP22y/17y.  </w:t>
      </w:r>
      <w:r w:rsidRPr="00127BB9">
        <w:t xml:space="preserve">Several months later </w:t>
      </w:r>
      <w:r>
        <w:t xml:space="preserve">in a separate trial </w:t>
      </w:r>
      <w:r w:rsidR="00B92B67">
        <w:t>he</w:t>
      </w:r>
      <w:r w:rsidRPr="00127BB9">
        <w:t xml:space="preserve"> was found guilty by a jury of one charge of conspiring to do acts in preparation for, or planning, a terrorist act.</w:t>
      </w:r>
      <w:r>
        <w:t xml:space="preserve">  He was subsequently sentenced by Beale J to IMP26y of which 16y was to be served cumulatively on the 22y sentence imposed by Tinney J, resulting in a TES IMP38y/28y6m: see [2019] VSC 775.  He did not appeal either of the individual sentences but </w:t>
      </w:r>
      <w:r w:rsidR="00B92B67">
        <w:t>appealed the order for cumulation made by Beale J.  The Court of Appeal (Maxwell P, Emerton &amp; Sifris JJA) allowed the appeal and substituted a TES IMP32y/24y.  At [63]-[80] the Court discussed the application of the principle of totality</w:t>
      </w:r>
      <w:r w:rsidR="008D743A">
        <w:t xml:space="preserve"> and the related question of a ‘crushing’ sentence</w:t>
      </w:r>
      <w:r w:rsidR="00B92B67">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 xml:space="preserve">In the present case, there are other sentencing objectives of great significance. Foremost amongst them, in our view, is the need to maximise the applicant’s prospects of rehabilitation. When attention is directed to rehabilitation, the sentencing court is not — </w:t>
      </w:r>
      <w:r w:rsidRPr="00EE1C79">
        <w:rPr>
          <w:rFonts w:ascii="Arial" w:hAnsi="Arial" w:cs="Arial"/>
          <w:sz w:val="20"/>
          <w:szCs w:val="16"/>
        </w:rPr>
        <w:lastRenderedPageBreak/>
        <w:t>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w:t>
      </w:r>
      <w:r w:rsidR="00EE1C79" w:rsidRPr="00EE1C79">
        <w:rPr>
          <w:rFonts w:ascii="Arial" w:hAnsi="Arial" w:cs="Arial"/>
          <w:sz w:val="20"/>
          <w:szCs w:val="16"/>
        </w:rPr>
        <w:lastRenderedPageBreak/>
        <w:t>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744D2BD7" w14:textId="77777777" w:rsidR="00350614" w:rsidRDefault="00350614"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7"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workers. In refusing leave Priest &amp; T Forrest JJA rejected the appellant’s submission that the principle </w:t>
      </w:r>
      <w:r>
        <w:rPr>
          <w:rFonts w:ascii="Arial" w:hAnsi="Arial" w:cs="Arial"/>
          <w:color w:val="000000"/>
          <w:sz w:val="20"/>
          <w:szCs w:val="20"/>
        </w:rPr>
        <w:lastRenderedPageBreak/>
        <w:t>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p w14:paraId="69062216" w14:textId="37133754" w:rsidR="007B6352" w:rsidRDefault="00D80001" w:rsidP="0043368D">
      <w:pPr>
        <w:jc w:val="both"/>
        <w:rPr>
          <w:rFonts w:ascii="Arial" w:hAnsi="Arial" w:cs="Arial"/>
          <w:color w:val="000000"/>
          <w:sz w:val="20"/>
          <w:szCs w:val="20"/>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w:t>
      </w:r>
      <w:r w:rsidR="00A3142A">
        <w:rPr>
          <w:rFonts w:ascii="Arial" w:hAnsi="Arial" w:cs="Arial"/>
          <w:color w:val="000000"/>
          <w:sz w:val="20"/>
          <w:szCs w:val="20"/>
        </w:rPr>
        <w:t xml:space="preserve">3 </w:t>
      </w:r>
      <w:r>
        <w:rPr>
          <w:rFonts w:ascii="Arial" w:hAnsi="Arial" w:cs="Arial"/>
          <w:color w:val="000000"/>
          <w:sz w:val="20"/>
          <w:szCs w:val="20"/>
        </w:rPr>
        <w:t>the Court of Appeal granted leave to appeal but dismissed the appeal against a TES IMP</w:t>
      </w:r>
      <w:r w:rsidR="003B31F4">
        <w:rPr>
          <w:rFonts w:ascii="Arial" w:hAnsi="Arial" w:cs="Arial"/>
          <w:color w:val="000000"/>
          <w:sz w:val="20"/>
          <w:szCs w:val="20"/>
        </w:rPr>
        <w:t>23</w:t>
      </w:r>
      <w:r>
        <w:rPr>
          <w:rFonts w:ascii="Arial" w:hAnsi="Arial" w:cs="Arial"/>
          <w:color w:val="000000"/>
          <w:sz w:val="20"/>
          <w:szCs w:val="20"/>
        </w:rPr>
        <w:t xml:space="preserve">m/16m imposed on the 47 year old applicant </w:t>
      </w:r>
      <w:r w:rsidR="009526F1">
        <w:rPr>
          <w:rFonts w:ascii="Arial" w:hAnsi="Arial" w:cs="Arial"/>
          <w:color w:val="000000"/>
          <w:sz w:val="20"/>
          <w:szCs w:val="20"/>
        </w:rPr>
        <w:t xml:space="preserve">with a ‘dreadful’ criminal history </w:t>
      </w:r>
      <w:r>
        <w:rPr>
          <w:rFonts w:ascii="Arial" w:hAnsi="Arial" w:cs="Arial"/>
          <w:color w:val="000000"/>
          <w:sz w:val="20"/>
          <w:szCs w:val="20"/>
        </w:rPr>
        <w:t xml:space="preserve">on charges including </w:t>
      </w:r>
      <w:r w:rsidR="008708E2" w:rsidRPr="008708E2">
        <w:rPr>
          <w:rFonts w:ascii="Arial" w:hAnsi="Arial" w:cs="Arial"/>
          <w:color w:val="000000"/>
          <w:sz w:val="20"/>
          <w:szCs w:val="20"/>
        </w:rPr>
        <w:t>reckless conduct endangering serious injury</w:t>
      </w:r>
      <w:r>
        <w:rPr>
          <w:rFonts w:ascii="Arial" w:hAnsi="Arial" w:cs="Arial"/>
          <w:color w:val="000000"/>
          <w:sz w:val="20"/>
          <w:szCs w:val="20"/>
        </w:rPr>
        <w:t xml:space="preserve"> and making a false report to polic</w:t>
      </w:r>
      <w:r w:rsidR="009526F1">
        <w:rPr>
          <w:rFonts w:ascii="Arial" w:hAnsi="Arial" w:cs="Arial"/>
          <w:color w:val="000000"/>
          <w:sz w:val="20"/>
          <w:szCs w:val="20"/>
        </w:rPr>
        <w:t xml:space="preserve">e in the context of driving described by the sentencing judge as ‘simply appalling’. At the time the applicant was arrested on these offences he was on parole for earlier offending. His parole was cancelled and he was returned to custody </w:t>
      </w:r>
      <w:r w:rsidR="008708E2">
        <w:rPr>
          <w:rFonts w:ascii="Arial" w:hAnsi="Arial" w:cs="Arial"/>
          <w:color w:val="000000"/>
          <w:sz w:val="20"/>
          <w:szCs w:val="20"/>
        </w:rPr>
        <w:t>where he spent the remaining 277 days of the original sentence and a further 160 days which were recorded as pre-sentence detention for the current offending</w:t>
      </w:r>
      <w:r w:rsidR="002209E7">
        <w:rPr>
          <w:rFonts w:ascii="Arial" w:hAnsi="Arial" w:cs="Arial"/>
          <w:color w:val="000000"/>
          <w:sz w:val="20"/>
          <w:szCs w:val="20"/>
        </w:rPr>
        <w:t xml:space="preserve">. Both </w:t>
      </w:r>
      <w:r w:rsidR="008708E2">
        <w:rPr>
          <w:rFonts w:ascii="Arial" w:hAnsi="Arial" w:cs="Arial"/>
          <w:color w:val="000000"/>
          <w:sz w:val="20"/>
          <w:szCs w:val="20"/>
        </w:rPr>
        <w:t xml:space="preserve">Niall CJ </w:t>
      </w:r>
      <w:r w:rsidR="002209E7">
        <w:rPr>
          <w:rFonts w:ascii="Arial" w:hAnsi="Arial" w:cs="Arial"/>
          <w:color w:val="000000"/>
          <w:sz w:val="20"/>
          <w:szCs w:val="20"/>
        </w:rPr>
        <w:t xml:space="preserve">at [25] </w:t>
      </w:r>
      <w:r w:rsidR="008708E2">
        <w:rPr>
          <w:rFonts w:ascii="Arial" w:hAnsi="Arial" w:cs="Arial"/>
          <w:color w:val="000000"/>
          <w:sz w:val="20"/>
          <w:szCs w:val="20"/>
        </w:rPr>
        <w:t xml:space="preserve">and Walker JA </w:t>
      </w:r>
      <w:r w:rsidR="002209E7">
        <w:rPr>
          <w:rFonts w:ascii="Arial" w:hAnsi="Arial" w:cs="Arial"/>
          <w:color w:val="000000"/>
          <w:sz w:val="20"/>
          <w:szCs w:val="20"/>
        </w:rPr>
        <w:t xml:space="preserve">at [48] &amp; [56] </w:t>
      </w:r>
      <w:r w:rsidR="002D3730">
        <w:rPr>
          <w:rFonts w:ascii="Arial" w:hAnsi="Arial" w:cs="Arial"/>
          <w:color w:val="000000"/>
          <w:sz w:val="20"/>
          <w:szCs w:val="20"/>
        </w:rPr>
        <w:t>considered</w:t>
      </w:r>
      <w:r w:rsidR="008708E2">
        <w:rPr>
          <w:rFonts w:ascii="Arial" w:hAnsi="Arial" w:cs="Arial"/>
          <w:color w:val="000000"/>
          <w:sz w:val="20"/>
          <w:szCs w:val="20"/>
        </w:rPr>
        <w:t xml:space="preserve"> that </w:t>
      </w:r>
      <w:r w:rsidR="002209E7">
        <w:rPr>
          <w:rFonts w:ascii="Arial" w:hAnsi="Arial" w:cs="Arial"/>
          <w:color w:val="000000"/>
          <w:sz w:val="20"/>
          <w:szCs w:val="20"/>
        </w:rPr>
        <w:t xml:space="preserve">no different sentence ought be imposed. </w:t>
      </w:r>
      <w:r w:rsidR="007B6352">
        <w:rPr>
          <w:rFonts w:ascii="Arial" w:hAnsi="Arial" w:cs="Arial"/>
          <w:color w:val="000000"/>
          <w:sz w:val="20"/>
          <w:szCs w:val="20"/>
        </w:rPr>
        <w:t xml:space="preserve">Niall CJ at [23] did not regard </w:t>
      </w:r>
      <w:r w:rsidR="002D3730">
        <w:rPr>
          <w:rFonts w:ascii="Arial" w:hAnsi="Arial" w:cs="Arial"/>
          <w:color w:val="000000"/>
          <w:sz w:val="20"/>
          <w:szCs w:val="20"/>
        </w:rPr>
        <w:t>the principle of totality as the critical issue:</w:t>
      </w:r>
    </w:p>
    <w:p w14:paraId="04A999EC" w14:textId="1F07F3BF" w:rsidR="007B6352" w:rsidRDefault="007B6352" w:rsidP="007B6352">
      <w:pPr>
        <w:spacing w:before="60"/>
        <w:ind w:left="567" w:right="567"/>
        <w:jc w:val="both"/>
        <w:rPr>
          <w:rFonts w:ascii="Arial" w:hAnsi="Arial" w:cs="Arial"/>
          <w:color w:val="000000"/>
          <w:sz w:val="20"/>
          <w:szCs w:val="20"/>
        </w:rPr>
      </w:pPr>
      <w:r>
        <w:rPr>
          <w:rFonts w:ascii="Arial" w:hAnsi="Arial" w:cs="Arial"/>
          <w:color w:val="000000"/>
          <w:sz w:val="20"/>
          <w:szCs w:val="20"/>
        </w:rPr>
        <w:t>“</w:t>
      </w:r>
      <w:r w:rsidRPr="007B6352">
        <w:rPr>
          <w:rFonts w:ascii="Arial" w:hAnsi="Arial" w:cs="Arial"/>
          <w:color w:val="000000"/>
          <w:sz w:val="20"/>
          <w:szCs w:val="20"/>
        </w:rPr>
        <w:t>Whether or not the circumstances fall within the concept of totality as it is presently understood is not the critical question. Rather, in order to succeed, the applicant has to establish that the judge ignored the earlier sentence and its potential to moderate the sentence to be imposed. The applicant has failed to make that good</w:t>
      </w:r>
      <w:r>
        <w:rPr>
          <w:rFonts w:ascii="Arial" w:hAnsi="Arial" w:cs="Arial"/>
          <w:color w:val="000000"/>
          <w:sz w:val="20"/>
          <w:szCs w:val="20"/>
        </w:rPr>
        <w:t>…”</w:t>
      </w:r>
    </w:p>
    <w:p w14:paraId="226E3B2A" w14:textId="263CCC2A" w:rsidR="00D80001" w:rsidRDefault="002209E7" w:rsidP="002D3730">
      <w:pPr>
        <w:spacing w:before="60"/>
        <w:jc w:val="both"/>
        <w:rPr>
          <w:rFonts w:ascii="Arial" w:hAnsi="Arial" w:cs="Arial"/>
          <w:color w:val="000000"/>
          <w:sz w:val="20"/>
          <w:szCs w:val="20"/>
        </w:rPr>
      </w:pPr>
      <w:r>
        <w:rPr>
          <w:rFonts w:ascii="Arial" w:hAnsi="Arial" w:cs="Arial"/>
          <w:color w:val="000000"/>
          <w:sz w:val="20"/>
          <w:szCs w:val="20"/>
        </w:rPr>
        <w:t>However at [48] Walker JA considered that the sentencing judge had failed properly to take into account the cancellation of the applicant’s parole as an aspect of the principle of totality, her Honour saying at [51]-[5</w:t>
      </w:r>
      <w:r w:rsidR="00A3142A">
        <w:rPr>
          <w:rFonts w:ascii="Arial" w:hAnsi="Arial" w:cs="Arial"/>
          <w:color w:val="000000"/>
          <w:sz w:val="20"/>
          <w:szCs w:val="20"/>
        </w:rPr>
        <w:t>3</w:t>
      </w:r>
      <w:r>
        <w:rPr>
          <w:rFonts w:ascii="Arial" w:hAnsi="Arial" w:cs="Arial"/>
          <w:color w:val="000000"/>
          <w:sz w:val="20"/>
          <w:szCs w:val="20"/>
        </w:rPr>
        <w:t>]:</w:t>
      </w:r>
    </w:p>
    <w:p w14:paraId="79F24BFF" w14:textId="7DCDDFAE" w:rsidR="00D80001" w:rsidRDefault="002209E7" w:rsidP="002209E7">
      <w:pPr>
        <w:spacing w:before="60"/>
        <w:ind w:left="567" w:right="567"/>
        <w:jc w:val="both"/>
        <w:rPr>
          <w:rFonts w:ascii="Arial" w:hAnsi="Arial" w:cs="Arial"/>
          <w:color w:val="000000"/>
          <w:sz w:val="20"/>
          <w:szCs w:val="20"/>
        </w:rPr>
      </w:pPr>
      <w:r>
        <w:rPr>
          <w:rFonts w:ascii="Arial" w:hAnsi="Arial" w:cs="Arial"/>
          <w:sz w:val="20"/>
          <w:szCs w:val="20"/>
        </w:rPr>
        <w:t>[51] “</w:t>
      </w:r>
      <w:r w:rsidR="009526F1" w:rsidRPr="009526F1">
        <w:rPr>
          <w:rFonts w:ascii="Arial" w:hAnsi="Arial" w:cs="Arial"/>
          <w:color w:val="000000"/>
          <w:sz w:val="20"/>
          <w:szCs w:val="20"/>
        </w:rPr>
        <w:t>As Niall CJ explains, the principle of totality operates where a sentencing court is dealing with an offender who has been sentenced on another occasion and is still under sentence. In such cases the principle requires the judge to ensure that the aggregation of the sentences appropriate for each offence is a just and appropriate measure of the total criminality involved and avoids a crushing sentence. In addition, the principle of totality can apply in circumstances where the offender is no longer serving the sentence for the earlier offending. This includes circumstances where the offender was on remand for the present offending, while at the same time serving a term of imprisonment for another offence. Such a period of imprisonment cannot be claimed as pre-sentence detention under s 18, but is nonetheless relevant to the sentencing discretion as an aspect of the principle of totality.</w:t>
      </w:r>
      <w:r>
        <w:rPr>
          <w:rFonts w:ascii="Arial" w:hAnsi="Arial" w:cs="Arial"/>
          <w:color w:val="000000"/>
          <w:sz w:val="20"/>
          <w:szCs w:val="20"/>
        </w:rPr>
        <w:t xml:space="preserve"> </w:t>
      </w:r>
      <w:r w:rsidR="009526F1" w:rsidRPr="009526F1">
        <w:rPr>
          <w:rFonts w:ascii="Arial" w:hAnsi="Arial" w:cs="Arial"/>
          <w:color w:val="000000"/>
          <w:sz w:val="20"/>
          <w:szCs w:val="20"/>
        </w:rPr>
        <w:t xml:space="preserve">See, eg, </w:t>
      </w:r>
      <w:r w:rsidR="009526F1" w:rsidRPr="002209E7">
        <w:rPr>
          <w:rFonts w:ascii="Arial" w:hAnsi="Arial" w:cs="Arial"/>
          <w:i/>
          <w:iCs/>
          <w:color w:val="000000"/>
          <w:sz w:val="20"/>
          <w:szCs w:val="20"/>
        </w:rPr>
        <w:t>Kenyeres v The King</w:t>
      </w:r>
      <w:r w:rsidR="009526F1" w:rsidRPr="009526F1">
        <w:rPr>
          <w:rFonts w:ascii="Arial" w:hAnsi="Arial" w:cs="Arial"/>
          <w:color w:val="000000"/>
          <w:sz w:val="20"/>
          <w:szCs w:val="20"/>
        </w:rPr>
        <w:t xml:space="preserve"> [2023] VSCA 25, [59]</w:t>
      </w:r>
      <w:r>
        <w:rPr>
          <w:rFonts w:ascii="Arial" w:hAnsi="Arial" w:cs="Arial"/>
          <w:color w:val="000000"/>
          <w:sz w:val="20"/>
          <w:szCs w:val="20"/>
        </w:rPr>
        <w:t>-</w:t>
      </w:r>
      <w:r w:rsidR="009526F1" w:rsidRPr="009526F1">
        <w:rPr>
          <w:rFonts w:ascii="Arial" w:hAnsi="Arial" w:cs="Arial"/>
          <w:color w:val="000000"/>
          <w:sz w:val="20"/>
          <w:szCs w:val="20"/>
        </w:rPr>
        <w:t xml:space="preserve">[64]; </w:t>
      </w:r>
      <w:r w:rsidR="009526F1" w:rsidRPr="002209E7">
        <w:rPr>
          <w:rFonts w:ascii="Arial" w:hAnsi="Arial" w:cs="Arial"/>
          <w:i/>
          <w:iCs/>
          <w:color w:val="000000"/>
          <w:sz w:val="20"/>
          <w:szCs w:val="20"/>
        </w:rPr>
        <w:t>Lowell (a pseudonym) v The Queen</w:t>
      </w:r>
      <w:r w:rsidR="009526F1" w:rsidRPr="009526F1">
        <w:rPr>
          <w:rFonts w:ascii="Arial" w:hAnsi="Arial" w:cs="Arial"/>
          <w:color w:val="000000"/>
          <w:sz w:val="20"/>
          <w:szCs w:val="20"/>
        </w:rPr>
        <w:t xml:space="preserve"> [2022] VSCA 134, [30]–[33]; El</w:t>
      </w:r>
      <w:r>
        <w:rPr>
          <w:rFonts w:ascii="Arial" w:hAnsi="Arial" w:cs="Arial"/>
          <w:color w:val="000000"/>
          <w:sz w:val="20"/>
          <w:szCs w:val="20"/>
        </w:rPr>
        <w:noBreakHyphen/>
      </w:r>
      <w:r w:rsidR="009526F1" w:rsidRPr="009526F1">
        <w:rPr>
          <w:rFonts w:ascii="Arial" w:hAnsi="Arial" w:cs="Arial"/>
          <w:color w:val="000000"/>
          <w:sz w:val="20"/>
          <w:szCs w:val="20"/>
        </w:rPr>
        <w:t xml:space="preserve">Waly v The Queen (2012) 46 VR 656, 674 [111]–[112]; [2012] VSCA 184; </w:t>
      </w:r>
      <w:r w:rsidR="009526F1" w:rsidRPr="002209E7">
        <w:rPr>
          <w:rFonts w:ascii="Arial" w:hAnsi="Arial" w:cs="Arial"/>
          <w:i/>
          <w:iCs/>
          <w:color w:val="000000"/>
          <w:sz w:val="20"/>
          <w:szCs w:val="20"/>
        </w:rPr>
        <w:t>R v Renzella</w:t>
      </w:r>
      <w:r w:rsidR="009526F1" w:rsidRPr="009526F1">
        <w:rPr>
          <w:rFonts w:ascii="Arial" w:hAnsi="Arial" w:cs="Arial"/>
          <w:color w:val="000000"/>
          <w:sz w:val="20"/>
          <w:szCs w:val="20"/>
        </w:rPr>
        <w:t xml:space="preserve"> [1997] 2 VR 88, 98. The applicant did not rely on these authorities in this Court, nor were they drawn to the judge’s attention. Nonetheless, the applicant’s case on appeal was consistent with these authorities.</w:t>
      </w:r>
    </w:p>
    <w:p w14:paraId="532D55E5" w14:textId="171292DF" w:rsidR="003B31F4"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[52] </w:t>
      </w:r>
      <w:r w:rsidR="003B31F4" w:rsidRPr="003B31F4">
        <w:rPr>
          <w:rFonts w:ascii="Arial" w:hAnsi="Arial" w:cs="Arial"/>
          <w:color w:val="000000"/>
          <w:sz w:val="20"/>
          <w:szCs w:val="20"/>
        </w:rPr>
        <w:t xml:space="preserve">In the present case the judge was required to take into account the 277 days that the applicant was on remand for the current offences while at the same time serving a term of imprisonment for the earlier offending. As explained above, those 277 days did not constitute pre-sentence detention under s 18; nonetheless they raised a distinct issue of totality. I note that there is some debate about whether time spent in custody both on remand and serving an earlier sentence should be regarded as an aspect of the ‘Renzella discretion’, or whether it is better understood as a particular application of the principle of totality: see, eg, </w:t>
      </w:r>
      <w:r w:rsidR="003B31F4" w:rsidRPr="002209E7">
        <w:rPr>
          <w:rFonts w:ascii="Arial" w:hAnsi="Arial" w:cs="Arial"/>
          <w:i/>
          <w:iCs/>
          <w:color w:val="000000"/>
          <w:sz w:val="20"/>
          <w:szCs w:val="20"/>
        </w:rPr>
        <w:t>Lowell (a pseudonym) v The Queen</w:t>
      </w:r>
      <w:r w:rsidR="003B31F4" w:rsidRPr="003B31F4">
        <w:rPr>
          <w:rFonts w:ascii="Arial" w:hAnsi="Arial" w:cs="Arial"/>
          <w:color w:val="000000"/>
          <w:sz w:val="20"/>
          <w:szCs w:val="20"/>
        </w:rPr>
        <w:t xml:space="preserve"> [2022] VSCA 134, [33]. It is not necessary for me to enter into that debate in the present case.</w:t>
      </w:r>
      <w:r>
        <w:rPr>
          <w:rFonts w:ascii="Arial" w:hAnsi="Arial" w:cs="Arial"/>
          <w:color w:val="000000"/>
          <w:sz w:val="20"/>
          <w:szCs w:val="20"/>
        </w:rPr>
        <w:t>”</w:t>
      </w:r>
    </w:p>
    <w:p w14:paraId="159ECA7B" w14:textId="035FEBF6" w:rsidR="002209E7"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[53] </w:t>
      </w:r>
      <w:r w:rsidRPr="002209E7">
        <w:rPr>
          <w:rFonts w:ascii="Arial" w:hAnsi="Arial" w:cs="Arial"/>
          <w:sz w:val="20"/>
          <w:szCs w:val="20"/>
        </w:rPr>
        <w:t>In my view, the judge did not have regard to this aspect of the applicant’s circumstances. Although his Honour referred to the sentencing reasons in relation to the applicant’s earlier offending, and although the judge was aware that the applicant’s parole had been cancelled, his Honour made no reference to the 277 days of detention that did not constitute pre-sentence detention.</w:t>
      </w:r>
      <w:r>
        <w:rPr>
          <w:rFonts w:ascii="Arial" w:hAnsi="Arial" w:cs="Arial"/>
          <w:sz w:val="20"/>
          <w:szCs w:val="20"/>
        </w:rPr>
        <w:t>”</w:t>
      </w:r>
    </w:p>
    <w:p w14:paraId="7C5A4D42" w14:textId="77777777" w:rsidR="003B31F4" w:rsidRDefault="003B31F4" w:rsidP="0043368D">
      <w:pPr>
        <w:jc w:val="both"/>
        <w:rPr>
          <w:rFonts w:ascii="Arial" w:hAnsi="Arial" w:cs="Arial"/>
          <w:color w:val="000000"/>
          <w:sz w:val="20"/>
          <w:szCs w:val="20"/>
        </w:rPr>
      </w:pPr>
    </w:p>
    <w:p w14:paraId="7AC8F69D" w14:textId="4E64A3B8" w:rsidR="00D70BA6" w:rsidRDefault="00D70BA6" w:rsidP="0043368D">
      <w:pPr>
        <w:jc w:val="both"/>
        <w:rPr>
          <w:rFonts w:ascii="Arial" w:hAnsi="Arial" w:cs="Arial"/>
          <w:color w:val="000000"/>
          <w:sz w:val="20"/>
          <w:szCs w:val="20"/>
        </w:rPr>
      </w:pPr>
      <w:r>
        <w:rPr>
          <w:rFonts w:ascii="Arial" w:hAnsi="Arial" w:cs="Arial"/>
          <w:color w:val="000000"/>
          <w:sz w:val="20"/>
          <w:szCs w:val="20"/>
        </w:rPr>
        <w:t xml:space="preserve">In </w:t>
      </w:r>
      <w:r w:rsidRPr="00D70BA6">
        <w:rPr>
          <w:rFonts w:ascii="Arial" w:hAnsi="Arial" w:cs="Arial"/>
          <w:i/>
          <w:iCs/>
          <w:color w:val="000000"/>
          <w:sz w:val="20"/>
          <w:szCs w:val="20"/>
        </w:rPr>
        <w:t>Vassal</w:t>
      </w:r>
      <w:r w:rsidR="00AD0150">
        <w:rPr>
          <w:rFonts w:ascii="Arial" w:hAnsi="Arial" w:cs="Arial"/>
          <w:i/>
          <w:iCs/>
          <w:color w:val="000000"/>
          <w:sz w:val="20"/>
          <w:szCs w:val="20"/>
        </w:rPr>
        <w:t>l</w:t>
      </w:r>
      <w:r w:rsidRPr="00D70BA6">
        <w:rPr>
          <w:rFonts w:ascii="Arial" w:hAnsi="Arial" w:cs="Arial"/>
          <w:i/>
          <w:iCs/>
          <w:color w:val="000000"/>
          <w:sz w:val="20"/>
          <w:szCs w:val="20"/>
        </w:rPr>
        <w:t>o v The King</w:t>
      </w:r>
      <w:r>
        <w:rPr>
          <w:rFonts w:ascii="Arial" w:hAnsi="Arial" w:cs="Arial"/>
          <w:color w:val="000000"/>
          <w:sz w:val="20"/>
          <w:szCs w:val="20"/>
        </w:rPr>
        <w:t xml:space="preserve"> [2025] VSCA 7 the appellant had pleaded guilty to </w:t>
      </w:r>
      <w:r w:rsidRPr="00D70BA6">
        <w:rPr>
          <w:rFonts w:ascii="Arial" w:hAnsi="Arial" w:cs="Arial"/>
          <w:color w:val="000000"/>
          <w:sz w:val="20"/>
          <w:szCs w:val="20"/>
        </w:rPr>
        <w:t>rape (</w:t>
      </w:r>
      <w:r>
        <w:rPr>
          <w:rFonts w:ascii="Arial" w:hAnsi="Arial" w:cs="Arial"/>
          <w:color w:val="000000"/>
          <w:sz w:val="20"/>
          <w:szCs w:val="20"/>
        </w:rPr>
        <w:t xml:space="preserve">2 </w:t>
      </w:r>
      <w:r w:rsidRPr="00D70BA6">
        <w:rPr>
          <w:rFonts w:ascii="Arial" w:hAnsi="Arial" w:cs="Arial"/>
          <w:color w:val="000000"/>
          <w:sz w:val="20"/>
          <w:szCs w:val="20"/>
        </w:rPr>
        <w:t>charges), false imprisonment (</w:t>
      </w:r>
      <w:r>
        <w:rPr>
          <w:rFonts w:ascii="Arial" w:hAnsi="Arial" w:cs="Arial"/>
          <w:color w:val="000000"/>
          <w:sz w:val="20"/>
          <w:szCs w:val="20"/>
        </w:rPr>
        <w:t xml:space="preserve">2 </w:t>
      </w:r>
      <w:r w:rsidRPr="00D70BA6">
        <w:rPr>
          <w:rFonts w:ascii="Arial" w:hAnsi="Arial" w:cs="Arial"/>
          <w:color w:val="000000"/>
          <w:sz w:val="20"/>
          <w:szCs w:val="20"/>
        </w:rPr>
        <w:t>charges), supplying drug of dependence to a child, kidnapping, conduct endangering person, common assault and attempting to pervert course of justice</w:t>
      </w:r>
      <w:r>
        <w:rPr>
          <w:rFonts w:ascii="Arial" w:hAnsi="Arial" w:cs="Arial"/>
          <w:color w:val="000000"/>
          <w:sz w:val="20"/>
          <w:szCs w:val="20"/>
        </w:rPr>
        <w:t xml:space="preserve"> and had been sentenced to TES IMP22y/14y. </w:t>
      </w:r>
      <w:r w:rsidR="003F3726">
        <w:rPr>
          <w:rFonts w:ascii="Arial" w:hAnsi="Arial" w:cs="Arial"/>
          <w:color w:val="000000"/>
          <w:sz w:val="20"/>
          <w:szCs w:val="20"/>
        </w:rPr>
        <w:t>Holding that the TES was manifestly excessive and breached the totality principle</w:t>
      </w:r>
      <w:r w:rsidR="00343918">
        <w:rPr>
          <w:rFonts w:ascii="Arial" w:hAnsi="Arial" w:cs="Arial"/>
          <w:color w:val="000000"/>
          <w:sz w:val="20"/>
          <w:szCs w:val="20"/>
        </w:rPr>
        <w:t>,</w:t>
      </w:r>
      <w:r w:rsidR="003F3726">
        <w:rPr>
          <w:rFonts w:ascii="Arial" w:hAnsi="Arial" w:cs="Arial"/>
          <w:color w:val="000000"/>
          <w:sz w:val="20"/>
          <w:szCs w:val="20"/>
        </w:rPr>
        <w:t xml:space="preserve"> the Court of Appeal reduced the sentences on the 2 rape charges, resulting in a TES IMP19y/14y. At</w:t>
      </w:r>
      <w:r w:rsidR="000175A5">
        <w:rPr>
          <w:rFonts w:ascii="Arial" w:hAnsi="Arial" w:cs="Arial"/>
          <w:color w:val="000000"/>
          <w:sz w:val="20"/>
          <w:szCs w:val="20"/>
        </w:rPr>
        <w:t> </w:t>
      </w:r>
      <w:r w:rsidR="003F3726">
        <w:rPr>
          <w:rFonts w:ascii="Arial" w:hAnsi="Arial" w:cs="Arial"/>
          <w:color w:val="000000"/>
          <w:sz w:val="20"/>
          <w:szCs w:val="20"/>
        </w:rPr>
        <w:t>[104] &amp; [107] Priest &amp; Kaye JJ said:</w:t>
      </w:r>
    </w:p>
    <w:p w14:paraId="2ACC0B17" w14:textId="55FB19FD" w:rsidR="003F3726" w:rsidRDefault="003F3726" w:rsidP="003F3726">
      <w:pPr>
        <w:spacing w:before="60"/>
        <w:ind w:left="567" w:right="567"/>
        <w:jc w:val="both"/>
        <w:rPr>
          <w:rFonts w:ascii="Arial" w:hAnsi="Arial" w:cs="Arial"/>
          <w:color w:val="000000"/>
          <w:sz w:val="20"/>
          <w:szCs w:val="20"/>
        </w:rPr>
      </w:pPr>
      <w:r>
        <w:rPr>
          <w:rFonts w:ascii="Arial" w:hAnsi="Arial" w:cs="Arial"/>
          <w:color w:val="000000"/>
          <w:sz w:val="20"/>
          <w:szCs w:val="20"/>
        </w:rPr>
        <w:t>[104] “</w:t>
      </w:r>
      <w:r w:rsidRPr="003F3726">
        <w:rPr>
          <w:rFonts w:ascii="Arial" w:hAnsi="Arial" w:cs="Arial"/>
          <w:color w:val="000000"/>
          <w:sz w:val="20"/>
          <w:szCs w:val="20"/>
        </w:rPr>
        <w:t>The totality principle requires a court, in sentencing an offender for multiple offences, to ensure that the aggregate term of imprisonment (the total effective sentence) is a just and appropriate measure of the total criminality involved in the offending in question</w:t>
      </w:r>
      <w:r>
        <w:rPr>
          <w:rFonts w:ascii="Arial" w:hAnsi="Arial" w:cs="Arial"/>
          <w:color w:val="000000"/>
          <w:sz w:val="20"/>
          <w:szCs w:val="20"/>
        </w:rPr>
        <w:t>:</w:t>
      </w:r>
      <w:r w:rsidR="004468B6">
        <w:rPr>
          <w:rFonts w:ascii="Arial" w:hAnsi="Arial" w:cs="Arial"/>
          <w:color w:val="000000"/>
          <w:sz w:val="20"/>
          <w:szCs w:val="20"/>
        </w:rPr>
        <w:t xml:space="preserve"> </w:t>
      </w:r>
      <w:r w:rsidR="004468B6" w:rsidRPr="004468B6">
        <w:rPr>
          <w:rFonts w:ascii="Arial" w:hAnsi="Arial" w:cs="Arial"/>
          <w:i/>
          <w:iCs/>
          <w:color w:val="000000"/>
          <w:sz w:val="20"/>
          <w:szCs w:val="20"/>
        </w:rPr>
        <w:t>Postiglione v The Queen</w:t>
      </w:r>
      <w:r w:rsidR="004468B6" w:rsidRPr="003F3726">
        <w:rPr>
          <w:rFonts w:ascii="Arial" w:hAnsi="Arial" w:cs="Arial"/>
          <w:color w:val="000000"/>
          <w:sz w:val="20"/>
          <w:szCs w:val="20"/>
        </w:rPr>
        <w:t xml:space="preserve"> (1996) 189 CLR 295, 307–309 </w:t>
      </w:r>
      <w:r w:rsidR="004468B6">
        <w:rPr>
          <w:rFonts w:ascii="Arial" w:hAnsi="Arial" w:cs="Arial"/>
          <w:color w:val="000000"/>
          <w:sz w:val="20"/>
          <w:szCs w:val="20"/>
        </w:rPr>
        <w:t xml:space="preserve">&amp; </w:t>
      </w:r>
      <w:r w:rsidR="004468B6" w:rsidRPr="003F3726">
        <w:rPr>
          <w:rFonts w:ascii="Arial" w:hAnsi="Arial" w:cs="Arial"/>
          <w:color w:val="000000"/>
          <w:sz w:val="20"/>
          <w:szCs w:val="20"/>
        </w:rPr>
        <w:t xml:space="preserve">340; [1996] HCA 26; </w:t>
      </w:r>
      <w:r w:rsidR="004468B6" w:rsidRPr="004468B6">
        <w:rPr>
          <w:rFonts w:ascii="Arial" w:hAnsi="Arial" w:cs="Arial"/>
          <w:i/>
          <w:iCs/>
          <w:color w:val="000000"/>
          <w:sz w:val="20"/>
          <w:szCs w:val="20"/>
        </w:rPr>
        <w:t>Mill v The Queen</w:t>
      </w:r>
      <w:r w:rsidR="004468B6" w:rsidRPr="003F3726">
        <w:rPr>
          <w:rFonts w:ascii="Arial" w:hAnsi="Arial" w:cs="Arial"/>
          <w:color w:val="000000"/>
          <w:sz w:val="20"/>
          <w:szCs w:val="20"/>
        </w:rPr>
        <w:t xml:space="preserve"> (1988) 166 CLR 59, 62–3; [1988] HCA 70; </w:t>
      </w:r>
      <w:r w:rsidR="004468B6" w:rsidRPr="004468B6">
        <w:rPr>
          <w:rFonts w:ascii="Arial" w:hAnsi="Arial" w:cs="Arial"/>
          <w:i/>
          <w:iCs/>
          <w:color w:val="000000"/>
          <w:sz w:val="20"/>
          <w:szCs w:val="20"/>
        </w:rPr>
        <w:t>DPP v Grabovac</w:t>
      </w:r>
      <w:r w:rsidR="004468B6" w:rsidRPr="003F3726">
        <w:rPr>
          <w:rFonts w:ascii="Arial" w:hAnsi="Arial" w:cs="Arial"/>
          <w:color w:val="000000"/>
          <w:sz w:val="20"/>
          <w:szCs w:val="20"/>
        </w:rPr>
        <w:t xml:space="preserve"> [1998] 1</w:t>
      </w:r>
      <w:r w:rsidR="00AD0150">
        <w:rPr>
          <w:rFonts w:ascii="Arial" w:hAnsi="Arial" w:cs="Arial"/>
          <w:color w:val="000000"/>
          <w:sz w:val="20"/>
          <w:szCs w:val="20"/>
        </w:rPr>
        <w:t> </w:t>
      </w:r>
      <w:r w:rsidR="004468B6" w:rsidRPr="003F3726">
        <w:rPr>
          <w:rFonts w:ascii="Arial" w:hAnsi="Arial" w:cs="Arial"/>
          <w:color w:val="000000"/>
          <w:sz w:val="20"/>
          <w:szCs w:val="20"/>
        </w:rPr>
        <w:t>VR 664, 676–80.</w:t>
      </w:r>
    </w:p>
    <w:p w14:paraId="60E50383" w14:textId="13BC455D"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w:t>
      </w:r>
    </w:p>
    <w:p w14:paraId="61ECD22C" w14:textId="31796F90"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 xml:space="preserve">[107] </w:t>
      </w:r>
      <w:r w:rsidR="00AD0150" w:rsidRPr="00D70BA6">
        <w:rPr>
          <w:rFonts w:ascii="Arial" w:hAnsi="Arial" w:cs="Arial"/>
          <w:color w:val="000000"/>
          <w:sz w:val="20"/>
          <w:szCs w:val="20"/>
        </w:rPr>
        <w:t>Ordinarily, it is desirable that the principle of totality be catered for by adjusting the degree of cumulation between the individual sentences, rather than by adjusting the individual sentences themselves</w:t>
      </w:r>
      <w:r w:rsidR="00AD0150">
        <w:rPr>
          <w:rFonts w:ascii="Arial" w:hAnsi="Arial" w:cs="Arial"/>
          <w:color w:val="000000"/>
          <w:sz w:val="20"/>
          <w:szCs w:val="20"/>
        </w:rPr>
        <w:t xml:space="preserve">: </w:t>
      </w:r>
      <w:r w:rsidR="00AD0150" w:rsidRPr="00AD0150">
        <w:rPr>
          <w:rFonts w:ascii="Arial" w:hAnsi="Arial" w:cs="Arial"/>
          <w:i/>
          <w:iCs/>
          <w:color w:val="000000"/>
          <w:sz w:val="20"/>
          <w:szCs w:val="20"/>
        </w:rPr>
        <w:t>Mill v The Queen</w:t>
      </w:r>
      <w:r w:rsidR="00AD0150" w:rsidRPr="00AD0150">
        <w:rPr>
          <w:rFonts w:ascii="Arial" w:hAnsi="Arial" w:cs="Arial"/>
          <w:color w:val="000000"/>
          <w:sz w:val="20"/>
          <w:szCs w:val="20"/>
        </w:rPr>
        <w:t xml:space="preserve"> (1988) 166 CLR 59, 62–3; </w:t>
      </w:r>
      <w:r w:rsidR="00AD0150" w:rsidRPr="00AD0150">
        <w:rPr>
          <w:rFonts w:ascii="Arial" w:hAnsi="Arial" w:cs="Arial"/>
          <w:i/>
          <w:iCs/>
          <w:color w:val="000000"/>
          <w:sz w:val="20"/>
          <w:szCs w:val="20"/>
        </w:rPr>
        <w:t>R v Lomax</w:t>
      </w:r>
      <w:r w:rsidR="00AD0150" w:rsidRPr="00AD0150">
        <w:rPr>
          <w:rFonts w:ascii="Arial" w:hAnsi="Arial" w:cs="Arial"/>
          <w:color w:val="000000"/>
          <w:sz w:val="20"/>
          <w:szCs w:val="20"/>
        </w:rPr>
        <w:t xml:space="preserve"> [1998] 1 VR 551, 564; </w:t>
      </w:r>
      <w:r w:rsidR="00AD0150" w:rsidRPr="00AD0150">
        <w:rPr>
          <w:rFonts w:ascii="Arial" w:hAnsi="Arial" w:cs="Arial"/>
          <w:i/>
          <w:iCs/>
          <w:color w:val="000000"/>
          <w:sz w:val="20"/>
          <w:szCs w:val="20"/>
        </w:rPr>
        <w:t>DPP v Grabovac</w:t>
      </w:r>
      <w:r w:rsidR="00AD0150" w:rsidRPr="00AD0150">
        <w:rPr>
          <w:rFonts w:ascii="Arial" w:hAnsi="Arial" w:cs="Arial"/>
          <w:color w:val="000000"/>
          <w:sz w:val="20"/>
          <w:szCs w:val="20"/>
        </w:rPr>
        <w:t xml:space="preserve"> [1998] 1 VR 664, 682</w:t>
      </w:r>
      <w:r w:rsidR="00AD0150">
        <w:rPr>
          <w:rFonts w:ascii="Arial" w:hAnsi="Arial" w:cs="Arial"/>
          <w:color w:val="000000"/>
          <w:sz w:val="20"/>
          <w:szCs w:val="20"/>
        </w:rPr>
        <w:t>.</w:t>
      </w:r>
      <w:r w:rsidR="00AD0150" w:rsidRPr="00D70BA6">
        <w:rPr>
          <w:rFonts w:ascii="Arial" w:hAnsi="Arial" w:cs="Arial"/>
          <w:color w:val="000000"/>
          <w:sz w:val="20"/>
          <w:szCs w:val="20"/>
        </w:rPr>
        <w:t xml:space="preserve"> However, in the present case, the orders for cumulation were appropriately modest, and any moderation of them would fail to reflect, at all adequately, the additional offending involved in each charge. In those circumstances, the appropriate mechanism, by which to sufficiently accommodate the principle of totality, would be to moderate the sentences imposed on the two rape charges, which, for the reasons we have discussed, were particularly high.</w:t>
      </w:r>
      <w:r w:rsidR="00AD0150">
        <w:rPr>
          <w:rFonts w:ascii="Arial" w:hAnsi="Arial" w:cs="Arial"/>
          <w:color w:val="000000"/>
          <w:sz w:val="20"/>
          <w:szCs w:val="20"/>
        </w:rPr>
        <w:t>”</w:t>
      </w:r>
    </w:p>
    <w:p w14:paraId="1F124DC6" w14:textId="77777777" w:rsidR="00D70BA6" w:rsidRDefault="00D70BA6" w:rsidP="0043368D">
      <w:pPr>
        <w:jc w:val="both"/>
        <w:rPr>
          <w:rFonts w:ascii="Arial" w:hAnsi="Arial" w:cs="Arial"/>
          <w:color w:val="000000"/>
          <w:sz w:val="20"/>
          <w:szCs w:val="20"/>
        </w:rPr>
      </w:pPr>
    </w:p>
    <w:bookmarkEnd w:id="147"/>
    <w:p w14:paraId="5152E059" w14:textId="318EF936" w:rsidR="00D71D8D" w:rsidRPr="00FD2264"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R v Stanisavljevic</w:t>
      </w:r>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R v Fadisarkis</w:t>
      </w:r>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8" w:name="COVvs2"/>
      <w:bookmarkEnd w:id="148"/>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R v Rousetty</w:t>
      </w:r>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R v Minotto</w:t>
      </w:r>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453B00">
        <w:rPr>
          <w:rFonts w:ascii="Arial" w:hAnsi="Arial" w:cs="Arial"/>
          <w:color w:val="000000"/>
          <w:sz w:val="20"/>
        </w:rPr>
        <w:t>]-</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DPP v Gangur</w:t>
      </w:r>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R v Gavanas</w:t>
      </w:r>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r w:rsidR="004C1400" w:rsidRPr="003A6AAD">
        <w:rPr>
          <w:rFonts w:ascii="Arial" w:hAnsi="Arial" w:cs="Arial"/>
          <w:i/>
          <w:color w:val="000000"/>
          <w:sz w:val="20"/>
          <w:szCs w:val="20"/>
        </w:rPr>
        <w:t>Fridey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r w:rsidR="001254F4" w:rsidRPr="001254F4">
        <w:rPr>
          <w:rFonts w:ascii="Arial" w:hAnsi="Arial" w:cs="Arial"/>
          <w:i/>
          <w:color w:val="000000"/>
          <w:sz w:val="20"/>
        </w:rPr>
        <w:t>Sovolos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r w:rsidR="00B472DD" w:rsidRPr="00B472DD">
        <w:rPr>
          <w:rFonts w:ascii="Arial" w:hAnsi="Arial" w:cs="Arial"/>
          <w:i/>
          <w:color w:val="000000"/>
          <w:sz w:val="20"/>
        </w:rPr>
        <w:t xml:space="preserve">Mendelle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Zampatti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r w:rsidR="00C82DE2" w:rsidRPr="00C82DE2">
        <w:rPr>
          <w:rFonts w:ascii="Arial" w:hAnsi="Arial" w:cs="Arial"/>
          <w:bCs/>
          <w:i/>
          <w:iCs/>
          <w:color w:val="000000"/>
          <w:sz w:val="20"/>
          <w:szCs w:val="20"/>
        </w:rPr>
        <w:t>Donnes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(Cth)</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r w:rsidR="00D71D8D" w:rsidRPr="00D71D8D">
        <w:rPr>
          <w:rFonts w:ascii="Arial" w:hAnsi="Arial" w:cs="Arial"/>
          <w:i/>
          <w:iCs/>
          <w:color w:val="000000"/>
          <w:sz w:val="20"/>
          <w:szCs w:val="20"/>
        </w:rPr>
        <w:t>Sepehrnia v The King</w:t>
      </w:r>
      <w:r w:rsidR="00D71D8D">
        <w:rPr>
          <w:rFonts w:ascii="Arial" w:hAnsi="Arial" w:cs="Arial"/>
          <w:color w:val="000000"/>
          <w:sz w:val="20"/>
          <w:szCs w:val="20"/>
        </w:rPr>
        <w:t xml:space="preserve"> [2024] VSCA 149 at [52]-[69]</w:t>
      </w:r>
      <w:r w:rsidR="00FD2264">
        <w:rPr>
          <w:rFonts w:ascii="Arial" w:hAnsi="Arial" w:cs="Arial"/>
          <w:color w:val="000000"/>
          <w:sz w:val="20"/>
          <w:szCs w:val="20"/>
        </w:rPr>
        <w:t xml:space="preserve">; </w:t>
      </w:r>
      <w:r w:rsidR="00FD2264" w:rsidRPr="00FD2264">
        <w:rPr>
          <w:rFonts w:ascii="Arial" w:hAnsi="Arial" w:cs="Arial"/>
          <w:i/>
          <w:iCs/>
          <w:color w:val="000000"/>
          <w:sz w:val="20"/>
          <w:szCs w:val="20"/>
        </w:rPr>
        <w:t>Liberatore v The King</w:t>
      </w:r>
      <w:r w:rsidR="00FD2264">
        <w:rPr>
          <w:rFonts w:ascii="Arial" w:hAnsi="Arial" w:cs="Arial"/>
          <w:color w:val="000000"/>
          <w:sz w:val="20"/>
          <w:szCs w:val="20"/>
        </w:rPr>
        <w:t xml:space="preserve"> [2024] VSCA 263 at </w:t>
      </w:r>
      <w:r w:rsidR="00FD2264" w:rsidRPr="00FD2264">
        <w:rPr>
          <w:rFonts w:ascii="Arial" w:hAnsi="Arial" w:cs="Arial"/>
          <w:color w:val="000000"/>
          <w:sz w:val="20"/>
          <w:szCs w:val="20"/>
        </w:rPr>
        <w:t>[55]</w:t>
      </w:r>
      <w:r w:rsidR="00FD2264" w:rsidRPr="00FD2264">
        <w:rPr>
          <w:rFonts w:ascii="Arial" w:hAnsi="Arial" w:cs="Arial"/>
          <w:color w:val="000000"/>
          <w:sz w:val="20"/>
          <w:szCs w:val="20"/>
        </w:rPr>
        <w:noBreakHyphen/>
        <w:t>[80];</w:t>
      </w:r>
      <w:r w:rsidR="00FD2264" w:rsidRPr="00FD2264">
        <w:rPr>
          <w:rFonts w:ascii="Arial" w:hAnsi="Arial" w:cs="Arial"/>
          <w:i/>
          <w:iCs/>
          <w:color w:val="000000"/>
          <w:sz w:val="20"/>
          <w:szCs w:val="20"/>
        </w:rPr>
        <w:t xml:space="preserve"> Harre v The King</w:t>
      </w:r>
      <w:r w:rsidR="00FD2264" w:rsidRPr="00FD2264">
        <w:rPr>
          <w:rFonts w:ascii="Arial" w:hAnsi="Arial" w:cs="Arial"/>
          <w:color w:val="000000"/>
          <w:sz w:val="20"/>
          <w:szCs w:val="20"/>
        </w:rPr>
        <w:t xml:space="preserve"> [2024] VSCA 278 at [85]-[88]</w:t>
      </w:r>
      <w:r w:rsidR="009722CF">
        <w:rPr>
          <w:rFonts w:ascii="Arial" w:hAnsi="Arial" w:cs="Arial"/>
          <w:color w:val="000000"/>
          <w:sz w:val="20"/>
          <w:szCs w:val="20"/>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[32]-[41]</w:t>
      </w:r>
      <w:r w:rsidR="00F56419">
        <w:rPr>
          <w:rFonts w:ascii="Arial" w:hAnsi="Arial" w:cs="Arial"/>
          <w:bCs/>
          <w:color w:val="000000"/>
          <w:sz w:val="20"/>
          <w:lang w:val="en-US"/>
        </w:rPr>
        <w:t xml:space="preserve">; </w:t>
      </w:r>
      <w:r w:rsidR="00F56419" w:rsidRPr="00F56419">
        <w:rPr>
          <w:rFonts w:ascii="Arial" w:hAnsi="Arial" w:cs="Arial"/>
          <w:bCs/>
          <w:i/>
          <w:iCs/>
          <w:color w:val="000000"/>
          <w:sz w:val="20"/>
          <w:lang w:val="en-US"/>
        </w:rPr>
        <w:t>Crough v The King</w:t>
      </w:r>
      <w:r w:rsidR="00F56419">
        <w:rPr>
          <w:rFonts w:ascii="Arial" w:hAnsi="Arial" w:cs="Arial"/>
          <w:bCs/>
          <w:color w:val="000000"/>
          <w:sz w:val="20"/>
          <w:lang w:val="en-US"/>
        </w:rPr>
        <w:t xml:space="preserve"> [2025] VSCA 165 at [33]-[43]</w:t>
      </w:r>
      <w:r w:rsidR="009722CF">
        <w:rPr>
          <w:rFonts w:ascii="Arial" w:hAnsi="Arial" w:cs="Arial"/>
          <w:color w:val="000000"/>
          <w:sz w:val="20"/>
        </w:rPr>
        <w:t>.</w:t>
      </w:r>
    </w:p>
    <w:p w14:paraId="52FECC88" w14:textId="4EC232F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49" w:name="_11.1.4.5__Combination"/>
      <w:bookmarkEnd w:id="149"/>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2209E7">
      <w:pPr>
        <w:pStyle w:val="Normal-Indent"/>
        <w:widowControl/>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 xml:space="preserve">In short, the CCO offers the sentencing court the best opportunity to promote, simultaneously, the best interests of the community and the best interests of the offender and of those who are dependent on him/her.  On this analysis, if defence counsel submits </w:t>
      </w:r>
      <w:r w:rsidRPr="00FD5D57">
        <w:rPr>
          <w:rFonts w:ascii="Arial" w:hAnsi="Arial" w:cs="Arial"/>
          <w:sz w:val="20"/>
          <w:szCs w:val="16"/>
        </w:rPr>
        <w:lastRenderedPageBreak/>
        <w:t>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154BE420" w14:textId="417A7020" w:rsidR="004E2B0F" w:rsidRDefault="004E2B0F">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[50]:</w:t>
      </w:r>
    </w:p>
    <w:p w14:paraId="7C6263FB" w14:textId="7CAF46BE" w:rsidR="004E2B0F" w:rsidRPr="00FD5D57" w:rsidRDefault="004E2B0F" w:rsidP="004E2B0F">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sidRPr="004E2B0F">
        <w:rPr>
          <w:rFonts w:ascii="Arial" w:hAnsi="Arial" w:cs="Arial"/>
          <w:i/>
          <w:iCs/>
          <w:color w:val="000000"/>
          <w:sz w:val="20"/>
        </w:rPr>
        <w:t>Boulton v The Queen</w:t>
      </w:r>
      <w:r>
        <w:rPr>
          <w:rFonts w:ascii="Arial" w:hAnsi="Arial" w:cs="Arial"/>
          <w:color w:val="000000"/>
          <w:sz w:val="20"/>
        </w:rPr>
        <w:t xml:space="preserve"> (2014) 46 VR 308; [2014] VSCA 342 the Court said at [140]:</w:t>
      </w:r>
    </w:p>
    <w:p w14:paraId="5922DD8B" w14:textId="0ADC4B5C" w:rsidR="004E2B0F" w:rsidRPr="004E2B0F" w:rsidRDefault="004E2B0F" w:rsidP="004E2B0F">
      <w:pPr>
        <w:pStyle w:val="Normal-Indent"/>
        <w:widowControl/>
        <w:spacing w:before="60" w:line="240" w:lineRule="auto"/>
        <w:ind w:left="1021" w:right="1021"/>
        <w:rPr>
          <w:rFonts w:ascii="Arial" w:hAnsi="Arial" w:cs="Arial"/>
          <w:color w:val="000000"/>
          <w:sz w:val="18"/>
          <w:szCs w:val="18"/>
        </w:rPr>
      </w:pPr>
      <w:r w:rsidRPr="004E2B0F">
        <w:rPr>
          <w:rFonts w:ascii="Arial" w:hAnsi="Arial" w:cs="Arial"/>
          <w:color w:val="000000"/>
          <w:sz w:val="18"/>
          <w:szCs w:val="18"/>
        </w:rPr>
        <w:t xml:space="preserve">There will, of course, be cases where the sentencing court concludes, after engaging in the deliberation now required by s.5(4C) [of the </w:t>
      </w:r>
      <w:r w:rsidRPr="004E2B0F">
        <w:rPr>
          <w:rFonts w:ascii="Arial" w:hAnsi="Arial" w:cs="Arial"/>
          <w:i/>
          <w:iCs/>
          <w:color w:val="000000"/>
          <w:sz w:val="18"/>
          <w:szCs w:val="18"/>
        </w:rPr>
        <w:t>Sentencing Act</w:t>
      </w:r>
      <w:r w:rsidRPr="004E2B0F">
        <w:rPr>
          <w:rFonts w:ascii="Arial" w:hAnsi="Arial" w:cs="Arial"/>
          <w:color w:val="000000"/>
          <w:sz w:val="18"/>
          <w:szCs w:val="18"/>
        </w:rPr>
        <w:t>]</w:t>
      </w:r>
      <w:r>
        <w:rPr>
          <w:rFonts w:ascii="Arial" w:hAnsi="Arial" w:cs="Arial"/>
          <w:color w:val="000000"/>
          <w:sz w:val="18"/>
          <w:szCs w:val="18"/>
        </w:rPr>
        <w:t>,</w:t>
      </w:r>
      <w:r w:rsidRPr="004E2B0F">
        <w:rPr>
          <w:rFonts w:ascii="Arial" w:hAnsi="Arial" w:cs="Arial"/>
          <w:color w:val="000000"/>
          <w:sz w:val="18"/>
          <w:szCs w:val="18"/>
        </w:rPr>
        <w:t xml:space="preserve"> that </w:t>
      </w:r>
      <w:r>
        <w:rPr>
          <w:rFonts w:ascii="Arial" w:hAnsi="Arial" w:cs="Arial"/>
          <w:color w:val="000000"/>
          <w:sz w:val="18"/>
          <w:szCs w:val="18"/>
        </w:rPr>
        <w:t>certain sentencing purposes – typically just punishment, denunciation and/or deterrence – cannot be sufficiently served by the making of a CCO, even with onerous conditions. Consistent with the principle of parsimony, the court would then impose the shortest term of imprisonment consistent with the achievement of those purposes.</w:t>
      </w:r>
      <w:r w:rsidRPr="004E2B0F">
        <w:rPr>
          <w:rFonts w:ascii="Arial" w:hAnsi="Arial" w:cs="Arial"/>
          <w:color w:val="000000"/>
          <w:sz w:val="20"/>
        </w:rPr>
        <w:t>”</w:t>
      </w:r>
    </w:p>
    <w:p w14:paraId="69297055" w14:textId="77777777" w:rsidR="004E2B0F" w:rsidRDefault="004E2B0F">
      <w:pPr>
        <w:jc w:val="both"/>
        <w:rPr>
          <w:rFonts w:ascii="Arial" w:hAnsi="Arial" w:cs="Arial"/>
          <w:color w:val="000000"/>
          <w:sz w:val="20"/>
        </w:rPr>
      </w:pPr>
    </w:p>
    <w:p w14:paraId="4CE8FF62" w14:textId="6333D65F"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004E2B0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50" w:name="_11.1.5_Sentencing_orders"/>
      <w:bookmarkStart w:id="151" w:name="_Toc30671662"/>
      <w:bookmarkStart w:id="152" w:name="_Toc30674189"/>
      <w:bookmarkStart w:id="153" w:name="_Toc30691456"/>
      <w:bookmarkStart w:id="154" w:name="_Toc30691836"/>
      <w:bookmarkStart w:id="155" w:name="_Toc30692216"/>
      <w:bookmarkStart w:id="156" w:name="_Toc30692974"/>
      <w:bookmarkStart w:id="157" w:name="_Toc30693353"/>
      <w:bookmarkStart w:id="158" w:name="_Toc30693731"/>
      <w:bookmarkStart w:id="159" w:name="_Toc30694109"/>
      <w:bookmarkStart w:id="160" w:name="_Toc30694490"/>
      <w:bookmarkStart w:id="161" w:name="_Toc30699080"/>
      <w:bookmarkStart w:id="162" w:name="_Toc30699465"/>
      <w:bookmarkStart w:id="163" w:name="_Toc30699850"/>
      <w:bookmarkStart w:id="164" w:name="_Toc30701005"/>
      <w:bookmarkStart w:id="165" w:name="_Toc30701392"/>
      <w:bookmarkStart w:id="166" w:name="_Toc30743999"/>
      <w:bookmarkStart w:id="167" w:name="_Toc30754822"/>
      <w:bookmarkStart w:id="168" w:name="_Toc30757278"/>
      <w:bookmarkStart w:id="169" w:name="_Toc30757826"/>
      <w:bookmarkStart w:id="170" w:name="_Toc30758226"/>
      <w:bookmarkStart w:id="171" w:name="_Toc30762987"/>
      <w:bookmarkStart w:id="172" w:name="_Toc30767641"/>
      <w:bookmarkStart w:id="173" w:name="_Toc34823659"/>
      <w:bookmarkStart w:id="174" w:name="_Toc107101736"/>
      <w:bookmarkEnd w:id="150"/>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1"/>
      <w:bookmarkEnd w:id="172"/>
      <w:bookmarkEnd w:id="173"/>
      <w:bookmarkEnd w:id="174"/>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shd w:val="clear" w:color="auto" w:fill="auto"/>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City">
              <w:smartTag w:uri="urn:schemas-microsoft-com:office:smarttags" w:element="place">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5" w:name="_Toc30671664"/>
      <w:bookmarkStart w:id="176" w:name="_Toc30674191"/>
      <w:bookmarkStart w:id="177" w:name="_Toc30691458"/>
      <w:bookmarkStart w:id="178" w:name="_Toc30691838"/>
      <w:bookmarkStart w:id="179" w:name="_Toc30692218"/>
      <w:bookmarkStart w:id="180" w:name="_Toc30692976"/>
      <w:bookmarkStart w:id="181" w:name="_Toc30693355"/>
      <w:bookmarkStart w:id="182" w:name="_Toc30693733"/>
      <w:bookmarkStart w:id="183" w:name="_Toc30694111"/>
      <w:bookmarkStart w:id="184" w:name="_Toc30694492"/>
      <w:bookmarkStart w:id="185" w:name="_Toc30699082"/>
      <w:bookmarkStart w:id="186" w:name="_Toc30699467"/>
      <w:bookmarkStart w:id="187" w:name="_Toc30699852"/>
      <w:bookmarkStart w:id="188" w:name="_Toc30701007"/>
      <w:bookmarkStart w:id="189" w:name="_Toc30701394"/>
      <w:bookmarkStart w:id="190" w:name="_Toc30744001"/>
      <w:bookmarkStart w:id="191" w:name="_Toc30754824"/>
      <w:bookmarkStart w:id="192" w:name="_Toc30757280"/>
      <w:bookmarkStart w:id="193" w:name="_Toc30757828"/>
      <w:bookmarkStart w:id="194" w:name="_Toc30758228"/>
      <w:bookmarkStart w:id="195" w:name="_Toc30762988"/>
      <w:bookmarkStart w:id="196" w:name="_Toc30767642"/>
      <w:bookmarkStart w:id="197"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198" w:name="_11.1.6_The_community"/>
      <w:bookmarkStart w:id="199" w:name="_Toc107101737"/>
      <w:bookmarkEnd w:id="198"/>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9"/>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shd w:val="clear" w:color="auto" w:fill="auto"/>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City">
              <w:smartTag w:uri="urn:schemas-microsoft-com:office:smarttags" w:element="place">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City">
              <w:smartTag w:uri="urn:schemas-microsoft-com:office:smarttags" w:element="place">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200" w:name="_11.1.7_Power_to"/>
      <w:bookmarkEnd w:id="200"/>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1" w:name="_11.1.8_Restitution/Compensation/Cos"/>
      <w:bookmarkStart w:id="202" w:name="_Toc30671666"/>
      <w:bookmarkStart w:id="203" w:name="_Toc30674193"/>
      <w:bookmarkStart w:id="204" w:name="_Toc30691460"/>
      <w:bookmarkStart w:id="205" w:name="_Toc30691840"/>
      <w:bookmarkStart w:id="206" w:name="_Toc30692220"/>
      <w:bookmarkStart w:id="207" w:name="_Toc30692978"/>
      <w:bookmarkStart w:id="208" w:name="_Toc30693357"/>
      <w:bookmarkStart w:id="209" w:name="_Toc30693735"/>
      <w:bookmarkStart w:id="210" w:name="_Toc30694113"/>
      <w:bookmarkStart w:id="211" w:name="_Toc30694494"/>
      <w:bookmarkStart w:id="212" w:name="_Toc30699084"/>
      <w:bookmarkStart w:id="213" w:name="_Toc30699469"/>
      <w:bookmarkStart w:id="214" w:name="_Toc30699854"/>
      <w:bookmarkStart w:id="215" w:name="_Toc30701009"/>
      <w:bookmarkStart w:id="216" w:name="_Toc30701396"/>
      <w:bookmarkStart w:id="217" w:name="_Toc30744003"/>
      <w:bookmarkStart w:id="218" w:name="_Toc30754826"/>
      <w:bookmarkStart w:id="219" w:name="_Toc30757282"/>
      <w:bookmarkStart w:id="220" w:name="_Toc30757830"/>
      <w:bookmarkStart w:id="221" w:name="_Toc30758230"/>
      <w:bookmarkStart w:id="222" w:name="_Toc30762990"/>
      <w:bookmarkStart w:id="223" w:name="_Toc30767644"/>
      <w:bookmarkStart w:id="224" w:name="_Toc34823662"/>
      <w:bookmarkStart w:id="225" w:name="_Toc107101739"/>
      <w:bookmarkEnd w:id="201"/>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w:t>
      </w:r>
      <w:r w:rsidRPr="001C6E0E">
        <w:rPr>
          <w:rFonts w:ascii="Arial" w:hAnsi="Arial" w:cs="Arial"/>
          <w:color w:val="000000"/>
          <w:sz w:val="20"/>
        </w:rPr>
        <w:lastRenderedPageBreak/>
        <w:t xml:space="preserve">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BEF88D9" w14:textId="448B4793" w:rsidR="002F500C" w:rsidRDefault="009A052D" w:rsidP="002F500C">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 xml:space="preserve">RK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[2009] VSC 14 Bell J </w:t>
      </w:r>
      <w:r w:rsidR="00032829" w:rsidRPr="001C6E0E">
        <w:rPr>
          <w:rFonts w:ascii="Arial" w:hAnsi="Arial" w:cs="Arial"/>
          <w:color w:val="000000"/>
          <w:sz w:val="20"/>
        </w:rPr>
        <w:t>discussed in detail and applied the principles in ss. 85</w:t>
      </w:r>
      <w:proofErr w:type="gramStart"/>
      <w:r w:rsidR="00032829" w:rsidRPr="001C6E0E">
        <w:rPr>
          <w:rFonts w:ascii="Arial" w:hAnsi="Arial" w:cs="Arial"/>
          <w:color w:val="000000"/>
          <w:sz w:val="20"/>
        </w:rPr>
        <w:t>B(</w:t>
      </w:r>
      <w:proofErr w:type="gramEnd"/>
      <w:r w:rsidR="00032829" w:rsidRPr="001C6E0E">
        <w:rPr>
          <w:rFonts w:ascii="Arial" w:hAnsi="Arial" w:cs="Arial"/>
          <w:color w:val="000000"/>
          <w:sz w:val="20"/>
        </w:rPr>
        <w:t>1)-(4), 85C, 85F, 85G, 85</w:t>
      </w:r>
      <w:proofErr w:type="gramStart"/>
      <w:r w:rsidR="00032829" w:rsidRPr="001C6E0E">
        <w:rPr>
          <w:rFonts w:ascii="Arial" w:hAnsi="Arial" w:cs="Arial"/>
          <w:color w:val="000000"/>
          <w:sz w:val="20"/>
        </w:rPr>
        <w:t>H(</w:t>
      </w:r>
      <w:proofErr w:type="gramEnd"/>
      <w:r w:rsidR="00032829" w:rsidRPr="001C6E0E">
        <w:rPr>
          <w:rFonts w:ascii="Arial" w:hAnsi="Arial" w:cs="Arial"/>
          <w:color w:val="000000"/>
          <w:sz w:val="20"/>
        </w:rPr>
        <w:t xml:space="preserve">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r w:rsidR="002F500C">
        <w:rPr>
          <w:rFonts w:ascii="Arial" w:hAnsi="Arial" w:cs="Arial"/>
          <w:color w:val="000000"/>
          <w:sz w:val="20"/>
        </w:rPr>
        <w:t xml:space="preserve">  See also </w:t>
      </w:r>
      <w:r w:rsidR="002F500C" w:rsidRPr="002F500C">
        <w:rPr>
          <w:rFonts w:ascii="Arial" w:hAnsi="Arial" w:cs="Arial"/>
          <w:i/>
          <w:iCs/>
          <w:color w:val="000000"/>
          <w:sz w:val="20"/>
        </w:rPr>
        <w:t>Head &amp; Anor v Kingdon</w:t>
      </w:r>
      <w:r w:rsidR="002F500C" w:rsidRPr="002F500C">
        <w:rPr>
          <w:rFonts w:ascii="Arial" w:hAnsi="Arial" w:cs="Arial"/>
          <w:color w:val="000000"/>
          <w:sz w:val="20"/>
        </w:rPr>
        <w:t xml:space="preserve"> [2025] VSC 442</w:t>
      </w:r>
      <w:r w:rsidR="002F500C">
        <w:rPr>
          <w:rFonts w:ascii="Arial" w:hAnsi="Arial" w:cs="Arial"/>
          <w:color w:val="000000"/>
          <w:sz w:val="20"/>
        </w:rPr>
        <w:t>.</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place">
        <w:smartTag w:uri="urn:schemas-microsoft-com:office:smarttags" w:element="City">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6" w:name="_11.1.9_Additional_orders"/>
      <w:bookmarkStart w:id="227" w:name="_Toc30671667"/>
      <w:bookmarkStart w:id="228" w:name="_Toc30674194"/>
      <w:bookmarkStart w:id="229" w:name="_Toc30691461"/>
      <w:bookmarkStart w:id="230" w:name="_Toc30691841"/>
      <w:bookmarkStart w:id="231" w:name="_Toc30692221"/>
      <w:bookmarkStart w:id="232" w:name="_Toc30692979"/>
      <w:bookmarkStart w:id="233" w:name="_Toc30693358"/>
      <w:bookmarkStart w:id="234" w:name="_Toc30693736"/>
      <w:bookmarkStart w:id="235" w:name="_Toc30694114"/>
      <w:bookmarkStart w:id="236" w:name="_Toc30694495"/>
      <w:bookmarkStart w:id="237" w:name="_Toc30699085"/>
      <w:bookmarkStart w:id="238" w:name="_Toc30699470"/>
      <w:bookmarkStart w:id="239" w:name="_Toc30699855"/>
      <w:bookmarkStart w:id="240" w:name="_Toc30701010"/>
      <w:bookmarkStart w:id="241" w:name="_Toc30701397"/>
      <w:bookmarkStart w:id="242" w:name="_Toc30744004"/>
      <w:bookmarkStart w:id="243" w:name="_Toc30754827"/>
      <w:bookmarkStart w:id="244" w:name="_Toc30757283"/>
      <w:bookmarkStart w:id="245" w:name="_Toc30757831"/>
      <w:bookmarkStart w:id="246" w:name="_Toc30758231"/>
      <w:bookmarkStart w:id="247" w:name="_Toc30762991"/>
      <w:bookmarkStart w:id="248" w:name="_Toc30767645"/>
      <w:bookmarkStart w:id="249" w:name="_Toc34823663"/>
      <w:bookmarkStart w:id="250" w:name="_Toc107101740"/>
      <w:bookmarkEnd w:id="226"/>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City">
        <w:smartTag w:uri="urn:schemas-microsoft-com:office:smarttags" w:element="place">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79BC1A3A" w14:textId="77777777" w:rsidR="002F500C" w:rsidRPr="001C6E0E" w:rsidRDefault="002F500C" w:rsidP="002F500C">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1" w:name="_11.1.9.1__"/>
      <w:bookmarkStart w:id="252" w:name="_Hlk121924323"/>
      <w:bookmarkEnd w:id="251"/>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3"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2F500C">
            <w:pPr>
              <w:keepNext/>
              <w:keepLines/>
              <w:jc w:val="center"/>
              <w:rPr>
                <w:rFonts w:ascii="Arial" w:hAnsi="Arial" w:cs="Arial"/>
                <w:sz w:val="20"/>
                <w:szCs w:val="20"/>
              </w:rPr>
            </w:pPr>
            <w:r>
              <w:rPr>
                <w:rFonts w:ascii="Arial" w:hAnsi="Arial" w:cs="Arial"/>
                <w:sz w:val="20"/>
                <w:szCs w:val="20"/>
              </w:rPr>
              <w:lastRenderedPageBreak/>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3"/>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lastRenderedPageBreak/>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w:t>
      </w:r>
      <w:r>
        <w:rPr>
          <w:rFonts w:ascii="Arial" w:hAnsi="Arial" w:cs="Arial"/>
          <w:color w:val="000000"/>
          <w:sz w:val="20"/>
        </w:rPr>
        <w:lastRenderedPageBreak/>
        <w:t>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2F500C">
      <w:pPr>
        <w:keepNext/>
        <w:keepLines/>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lastRenderedPageBreak/>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r w:rsidR="00CA5D82" w:rsidRPr="00CA5D82">
        <w:rPr>
          <w:rFonts w:ascii="Arial" w:hAnsi="Arial" w:cs="Arial"/>
          <w:i/>
          <w:iCs/>
          <w:sz w:val="20"/>
          <w:szCs w:val="20"/>
        </w:rPr>
        <w:t>Gurbuz v The King</w:t>
      </w:r>
      <w:r w:rsidR="00CA5D82">
        <w:rPr>
          <w:rFonts w:ascii="Arial" w:hAnsi="Arial" w:cs="Arial"/>
          <w:sz w:val="20"/>
          <w:szCs w:val="20"/>
        </w:rPr>
        <w:t xml:space="preserve"> [2024] VSCA 189 at [53]-[66].</w:t>
      </w:r>
    </w:p>
    <w:bookmarkEnd w:id="252"/>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4" w:name="_11.1.9.2__"/>
      <w:bookmarkEnd w:id="254"/>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5" w:name="_11.1.9.3__"/>
      <w:bookmarkEnd w:id="255"/>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w:t>
      </w:r>
      <w:r w:rsidR="00C00FEA">
        <w:rPr>
          <w:rFonts w:ascii="Arial" w:hAnsi="Arial" w:cs="Arial"/>
          <w:color w:val="000000"/>
          <w:sz w:val="20"/>
        </w:rPr>
        <w:lastRenderedPageBreak/>
        <w:t xml:space="preserve">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6" w:name="_11.1.10_Struck_out"/>
      <w:bookmarkStart w:id="257" w:name="_Toc30671668"/>
      <w:bookmarkStart w:id="258" w:name="_Toc30674195"/>
      <w:bookmarkStart w:id="259" w:name="_Toc30691462"/>
      <w:bookmarkStart w:id="260" w:name="_Toc30691842"/>
      <w:bookmarkStart w:id="261" w:name="_Toc30692222"/>
      <w:bookmarkStart w:id="262" w:name="_Toc30692980"/>
      <w:bookmarkStart w:id="263" w:name="_Toc30693359"/>
      <w:bookmarkStart w:id="264" w:name="_Toc30693737"/>
      <w:bookmarkStart w:id="265" w:name="_Toc30694115"/>
      <w:bookmarkStart w:id="266" w:name="_Toc30694496"/>
      <w:bookmarkStart w:id="267" w:name="_Toc30699086"/>
      <w:bookmarkStart w:id="268" w:name="_Toc30699471"/>
      <w:bookmarkStart w:id="269" w:name="_Toc30699856"/>
      <w:bookmarkStart w:id="270" w:name="_Toc30701011"/>
      <w:bookmarkStart w:id="271" w:name="_Toc30701398"/>
      <w:bookmarkStart w:id="272" w:name="_Toc30744005"/>
      <w:bookmarkStart w:id="273" w:name="_Toc30754828"/>
      <w:bookmarkStart w:id="274" w:name="_Toc30757284"/>
      <w:bookmarkStart w:id="275" w:name="_Toc30757832"/>
      <w:bookmarkStart w:id="276" w:name="_Toc30758232"/>
      <w:bookmarkStart w:id="277" w:name="_Toc30762992"/>
      <w:bookmarkStart w:id="278" w:name="_Toc30767646"/>
      <w:bookmarkStart w:id="279" w:name="_Toc34823664"/>
      <w:bookmarkStart w:id="280" w:name="_Toc107101741"/>
      <w:bookmarkEnd w:id="256"/>
      <w:r w:rsidRPr="001C6E0E">
        <w:rPr>
          <w:rFonts w:ascii="Arial" w:hAnsi="Arial" w:cs="Arial"/>
          <w:b/>
          <w:bCs/>
          <w:color w:val="000000"/>
          <w:sz w:val="20"/>
        </w:rPr>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1" w:name="_11.1.11_Children’s_Court"/>
      <w:bookmarkStart w:id="282" w:name="_Toc30674196"/>
      <w:bookmarkStart w:id="283" w:name="_Toc30691463"/>
      <w:bookmarkStart w:id="284" w:name="_Toc30691843"/>
      <w:bookmarkStart w:id="285" w:name="_Toc30692223"/>
      <w:bookmarkStart w:id="286" w:name="_Toc30692981"/>
      <w:bookmarkStart w:id="287" w:name="_Toc30693360"/>
      <w:bookmarkStart w:id="288" w:name="_Toc30693738"/>
      <w:bookmarkStart w:id="289" w:name="_Toc30694116"/>
      <w:bookmarkStart w:id="290" w:name="_Toc30694497"/>
      <w:bookmarkStart w:id="291" w:name="_Toc30699087"/>
      <w:bookmarkStart w:id="292" w:name="_Toc30699472"/>
      <w:bookmarkStart w:id="293" w:name="_Toc30699857"/>
      <w:bookmarkStart w:id="294" w:name="_Toc30701012"/>
      <w:bookmarkStart w:id="295" w:name="_Toc30701399"/>
      <w:bookmarkStart w:id="296" w:name="_Toc30744006"/>
      <w:bookmarkStart w:id="297" w:name="_Toc30754829"/>
      <w:bookmarkStart w:id="298" w:name="_Toc30757285"/>
      <w:bookmarkStart w:id="299" w:name="_Toc30757833"/>
      <w:bookmarkStart w:id="300" w:name="_Toc30758233"/>
      <w:bookmarkStart w:id="301" w:name="_Toc30762993"/>
      <w:bookmarkStart w:id="302" w:name="_Toc30767647"/>
      <w:bookmarkStart w:id="303" w:name="_Toc34823665"/>
      <w:bookmarkStart w:id="304" w:name="_Toc107101742"/>
      <w:bookmarkEnd w:id="281"/>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 xml:space="preserve">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w:t>
      </w:r>
      <w:r w:rsidRPr="001C6E0E">
        <w:rPr>
          <w:rFonts w:ascii="Arial" w:hAnsi="Arial" w:cs="Arial"/>
          <w:color w:val="000000"/>
          <w:sz w:val="20"/>
        </w:rPr>
        <w:lastRenderedPageBreak/>
        <w:t>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5" w:name="_11.1.12_Order_for"/>
      <w:bookmarkStart w:id="306" w:name="_Toc30674197"/>
      <w:bookmarkStart w:id="307" w:name="_Toc30691464"/>
      <w:bookmarkStart w:id="308" w:name="_Toc30691844"/>
      <w:bookmarkStart w:id="309" w:name="_Toc30692224"/>
      <w:bookmarkStart w:id="310" w:name="_Toc30692982"/>
      <w:bookmarkStart w:id="311" w:name="_Toc30693361"/>
      <w:bookmarkStart w:id="312" w:name="_Toc30693739"/>
      <w:bookmarkStart w:id="313" w:name="_Toc30694117"/>
      <w:bookmarkStart w:id="314" w:name="_Toc30694498"/>
      <w:bookmarkStart w:id="315" w:name="_Toc30699088"/>
      <w:bookmarkStart w:id="316" w:name="_Toc30699473"/>
      <w:bookmarkStart w:id="317" w:name="_Toc30699858"/>
      <w:bookmarkStart w:id="318" w:name="_Toc30701013"/>
      <w:bookmarkStart w:id="319" w:name="_Toc30701400"/>
      <w:bookmarkStart w:id="320" w:name="_Toc30744007"/>
      <w:bookmarkStart w:id="321" w:name="_Toc30754830"/>
      <w:bookmarkStart w:id="322" w:name="_Toc30757286"/>
      <w:bookmarkStart w:id="323" w:name="_Toc30757834"/>
      <w:bookmarkStart w:id="324" w:name="_Toc30758234"/>
      <w:bookmarkStart w:id="325" w:name="_Toc30762994"/>
      <w:bookmarkStart w:id="326" w:name="_Toc30767648"/>
      <w:bookmarkStart w:id="327" w:name="_Toc34823666"/>
      <w:bookmarkStart w:id="328" w:name="_Toc107101743"/>
      <w:bookmarkEnd w:id="305"/>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 xml:space="preserve">"It is important in my opinion to note that where there is a serious forensic sample offence committed in the past in the majority of cases the granting of an order will follow without much further consideration.  If the forensic sample offence is serious and there is evidence </w:t>
      </w:r>
      <w:r w:rsidRPr="001C6E0E">
        <w:rPr>
          <w:rFonts w:ascii="Arial" w:hAnsi="Arial" w:cs="Arial"/>
          <w:color w:val="000000"/>
          <w:sz w:val="20"/>
        </w:rPr>
        <w:lastRenderedPageBreak/>
        <w:t>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3F740443" w14:textId="77777777" w:rsidR="002F500C" w:rsidRDefault="002F500C" w:rsidP="002F500C">
      <w:pPr>
        <w:pStyle w:val="Normal-Cover"/>
        <w:jc w:val="both"/>
        <w:rPr>
          <w:rFonts w:ascii="Arial" w:hAnsi="Arial" w:cs="Arial"/>
          <w:color w:val="000000"/>
          <w:sz w:val="20"/>
        </w:rPr>
      </w:pPr>
    </w:p>
    <w:p w14:paraId="60D44598" w14:textId="77777777" w:rsidR="002F500C" w:rsidRPr="00DD24BF" w:rsidRDefault="002F500C" w:rsidP="002F500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A7ECE75" w14:textId="77777777" w:rsidR="002F500C" w:rsidRDefault="002F500C" w:rsidP="002F500C">
      <w:pPr>
        <w:jc w:val="both"/>
        <w:rPr>
          <w:rFonts w:ascii="Arial" w:hAnsi="Arial" w:cs="Arial"/>
          <w:iCs/>
          <w:color w:val="000000"/>
          <w:sz w:val="20"/>
        </w:rPr>
      </w:pPr>
    </w:p>
    <w:p w14:paraId="747DFD29" w14:textId="7B4BFAD1" w:rsidR="002E10DE" w:rsidRDefault="002E10DE">
      <w:pPr>
        <w:rPr>
          <w:rFonts w:ascii="Arial" w:hAnsi="Arial" w:cs="Arial"/>
          <w:color w:val="000000"/>
          <w:sz w:val="20"/>
        </w:rPr>
      </w:pPr>
      <w:r>
        <w:rPr>
          <w:rFonts w:ascii="Arial" w:hAnsi="Arial" w:cs="Arial"/>
          <w:color w:val="000000"/>
          <w:sz w:val="20"/>
        </w:rPr>
        <w:br w:type="page"/>
      </w: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9" w:name="_11.1.13_Sentencing_of"/>
      <w:bookmarkEnd w:id="329"/>
      <w:r>
        <w:rPr>
          <w:rFonts w:ascii="Arial" w:hAnsi="Arial" w:cs="Arial"/>
          <w:b/>
          <w:bCs/>
          <w:color w:val="000000"/>
          <w:sz w:val="20"/>
        </w:rPr>
        <w:lastRenderedPageBreak/>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Pr="002F500C" w:rsidRDefault="00740B69" w:rsidP="00740B69">
      <w:pPr>
        <w:spacing w:before="60"/>
        <w:ind w:left="794" w:right="794"/>
        <w:jc w:val="both"/>
        <w:rPr>
          <w:rFonts w:ascii="Arial" w:hAnsi="Arial" w:cs="Arial"/>
          <w:sz w:val="18"/>
          <w:szCs w:val="18"/>
        </w:rPr>
      </w:pPr>
      <w:r w:rsidRPr="002F500C">
        <w:rPr>
          <w:rFonts w:ascii="Arial" w:hAnsi="Arial" w:cs="Arial"/>
          <w:sz w:val="18"/>
          <w:szCs w:val="18"/>
        </w:rPr>
        <w:lastRenderedPageBreak/>
        <w:t>‘</w:t>
      </w:r>
      <w:r w:rsidRPr="002F500C">
        <w:rPr>
          <w:rFonts w:ascii="Arial" w:hAnsi="Arial" w:cs="Arial"/>
          <w:sz w:val="18"/>
          <w:szCs w:val="20"/>
        </w:rPr>
        <w:t xml:space="preserve">…If the respondent’s offending had been detected at or about the time of its commission, he would have fallen to be sentenced under the provisions of the </w:t>
      </w:r>
      <w:r w:rsidRPr="002F500C">
        <w:rPr>
          <w:rFonts w:ascii="Arial" w:eastAsia="Book Antiqua" w:hAnsi="Arial" w:cs="Arial"/>
          <w:i/>
          <w:sz w:val="18"/>
          <w:szCs w:val="20"/>
        </w:rPr>
        <w:t>Children, Youth and Families Act 2005</w:t>
      </w:r>
      <w:r w:rsidRPr="002F500C">
        <w:rPr>
          <w:rFonts w:ascii="Arial" w:hAnsi="Arial" w:cs="Arial"/>
          <w:sz w:val="18"/>
          <w:szCs w:val="20"/>
        </w:rPr>
        <w:t>, where general deterrence would have played no part in the sentencing process.’</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30" w:name="_11.1.14_Sentencing_powers"/>
      <w:bookmarkStart w:id="331" w:name="_Toc30674198"/>
      <w:bookmarkStart w:id="332" w:name="_Toc30691465"/>
      <w:bookmarkStart w:id="333" w:name="_Toc30691845"/>
      <w:bookmarkStart w:id="334" w:name="_Toc30692225"/>
      <w:bookmarkStart w:id="335" w:name="_Toc30692983"/>
      <w:bookmarkStart w:id="336" w:name="_Toc30693362"/>
      <w:bookmarkStart w:id="337" w:name="_Toc30693740"/>
      <w:bookmarkStart w:id="338" w:name="_Toc30694118"/>
      <w:bookmarkStart w:id="339" w:name="_Toc30694499"/>
      <w:bookmarkStart w:id="340" w:name="_Toc30699089"/>
      <w:bookmarkStart w:id="341" w:name="_Toc30699474"/>
      <w:bookmarkStart w:id="342" w:name="_Toc30699859"/>
      <w:bookmarkStart w:id="343" w:name="_Toc30701014"/>
      <w:bookmarkStart w:id="344" w:name="_Toc30701401"/>
      <w:bookmarkStart w:id="345" w:name="_Toc30744008"/>
      <w:bookmarkStart w:id="346" w:name="_Toc30754831"/>
      <w:bookmarkStart w:id="347" w:name="_Toc30757287"/>
      <w:bookmarkStart w:id="348" w:name="_Toc30757835"/>
      <w:bookmarkStart w:id="349" w:name="_Toc30758235"/>
      <w:bookmarkStart w:id="350" w:name="_Toc30762995"/>
      <w:bookmarkStart w:id="351" w:name="_Toc30767649"/>
      <w:bookmarkStart w:id="352" w:name="_Toc34823667"/>
      <w:bookmarkStart w:id="353" w:name="_Toc107101744"/>
      <w:bookmarkEnd w:id="330"/>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4" w:name="_11.1.15_Relevance_to"/>
      <w:bookmarkEnd w:id="354"/>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06CD4C87" w:rsidR="00161F6C" w:rsidRDefault="00161F6C" w:rsidP="00B725AE">
      <w:pPr>
        <w:jc w:val="both"/>
        <w:rPr>
          <w:rFonts w:ascii="Arial" w:hAnsi="Arial" w:cs="Arial"/>
          <w:color w:val="000000"/>
          <w:sz w:val="20"/>
        </w:rPr>
      </w:pPr>
      <w:r>
        <w:rPr>
          <w:rFonts w:ascii="Arial" w:hAnsi="Arial" w:cs="Arial"/>
          <w:color w:val="000000"/>
          <w:sz w:val="20"/>
        </w:rPr>
        <w:lastRenderedPageBreak/>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7575C4F6" w14:textId="2BC15922" w:rsidR="00E26562" w:rsidRDefault="00E26562" w:rsidP="00B725AE">
      <w:pPr>
        <w:jc w:val="both"/>
        <w:rPr>
          <w:rFonts w:ascii="Arial" w:hAnsi="Arial" w:cs="Arial"/>
          <w:color w:val="000000"/>
          <w:sz w:val="20"/>
        </w:rPr>
      </w:pPr>
      <w:r>
        <w:rPr>
          <w:rFonts w:ascii="Arial" w:hAnsi="Arial" w:cs="Arial"/>
          <w:color w:val="000000"/>
          <w:sz w:val="20"/>
        </w:rPr>
        <w:t xml:space="preserve">In </w:t>
      </w:r>
      <w:r w:rsidRPr="00E26562">
        <w:rPr>
          <w:rFonts w:ascii="Arial" w:hAnsi="Arial" w:cs="Arial"/>
          <w:i/>
          <w:iCs/>
          <w:color w:val="000000"/>
          <w:sz w:val="20"/>
        </w:rPr>
        <w:t>Gilbert v The King</w:t>
      </w:r>
      <w:r>
        <w:rPr>
          <w:rFonts w:ascii="Arial" w:hAnsi="Arial" w:cs="Arial"/>
          <w:color w:val="000000"/>
          <w:sz w:val="20"/>
        </w:rPr>
        <w:t xml:space="preserve"> [2025] VSCA 83 Taylor JA refused an application for extension of time in which to seek leave to appeal by an applicant who had pleaded guilty to theft, dangerous driving causing serious injury and failing to render assistance and who had been sentenced to TES IMP6y8m/5y2m. The applicant’s single ground of appeal was that the “sentencing judge went behind the agreed summary and unilaterally aggravated the factual basis for the plea”. In her judgment Taylor JA discussed cases including </w:t>
      </w:r>
      <w:r w:rsidRPr="00283C93">
        <w:rPr>
          <w:rFonts w:ascii="Arial" w:hAnsi="Arial" w:cs="Arial"/>
          <w:i/>
          <w:iCs/>
          <w:color w:val="000000"/>
          <w:sz w:val="20"/>
        </w:rPr>
        <w:t>Wein</w:t>
      </w:r>
      <w:r w:rsidR="00283C93" w:rsidRPr="00283C93">
        <w:rPr>
          <w:rFonts w:ascii="Arial" w:hAnsi="Arial" w:cs="Arial"/>
          <w:i/>
          <w:iCs/>
          <w:color w:val="000000"/>
          <w:sz w:val="20"/>
        </w:rPr>
        <w:t>inger v R</w:t>
      </w:r>
      <w:r w:rsidR="00283C93">
        <w:rPr>
          <w:rFonts w:ascii="Arial" w:hAnsi="Arial" w:cs="Arial"/>
          <w:color w:val="000000"/>
          <w:sz w:val="20"/>
        </w:rPr>
        <w:t xml:space="preserve"> (2002) 212 CLR 629, </w:t>
      </w:r>
      <w:r w:rsidR="00283C93" w:rsidRPr="00283C93">
        <w:rPr>
          <w:rFonts w:ascii="Arial" w:hAnsi="Arial" w:cs="Arial"/>
          <w:i/>
          <w:iCs/>
          <w:color w:val="000000"/>
          <w:sz w:val="20"/>
        </w:rPr>
        <w:t>Ristevski v The Queen</w:t>
      </w:r>
      <w:r w:rsidR="00283C93">
        <w:rPr>
          <w:rFonts w:ascii="Arial" w:hAnsi="Arial" w:cs="Arial"/>
          <w:color w:val="000000"/>
          <w:sz w:val="20"/>
        </w:rPr>
        <w:t xml:space="preserve"> (2011) 31 VR 93; [2011] VSCA 53, </w:t>
      </w:r>
      <w:r w:rsidR="00283C93" w:rsidRPr="00283C93">
        <w:rPr>
          <w:rFonts w:ascii="Arial" w:hAnsi="Arial" w:cs="Arial"/>
          <w:i/>
          <w:iCs/>
          <w:color w:val="000000"/>
          <w:sz w:val="20"/>
        </w:rPr>
        <w:t>R v Bunning</w:t>
      </w:r>
      <w:r w:rsidR="00283C93">
        <w:rPr>
          <w:rFonts w:ascii="Arial" w:hAnsi="Arial" w:cs="Arial"/>
          <w:color w:val="000000"/>
          <w:sz w:val="20"/>
        </w:rPr>
        <w:t xml:space="preserve"> [2007] VSCA 205, </w:t>
      </w:r>
      <w:r w:rsidR="00283C93" w:rsidRPr="00283C93">
        <w:rPr>
          <w:rFonts w:ascii="Arial" w:hAnsi="Arial" w:cs="Arial"/>
          <w:i/>
          <w:iCs/>
          <w:color w:val="000000"/>
          <w:sz w:val="20"/>
        </w:rPr>
        <w:t>R v Lowe</w:t>
      </w:r>
      <w:r w:rsidR="00283C93">
        <w:rPr>
          <w:rFonts w:ascii="Arial" w:hAnsi="Arial" w:cs="Arial"/>
          <w:color w:val="000000"/>
          <w:sz w:val="20"/>
        </w:rPr>
        <w:t xml:space="preserve"> [2009] VSCA 268, </w:t>
      </w:r>
      <w:r w:rsidR="00283C93" w:rsidRPr="00283C93">
        <w:rPr>
          <w:rFonts w:ascii="Arial" w:hAnsi="Arial" w:cs="Arial"/>
          <w:i/>
          <w:iCs/>
          <w:color w:val="000000"/>
          <w:sz w:val="20"/>
        </w:rPr>
        <w:t>DPP v Walsh (a pseudonym)</w:t>
      </w:r>
      <w:r w:rsidR="00283C93">
        <w:rPr>
          <w:rFonts w:ascii="Arial" w:hAnsi="Arial" w:cs="Arial"/>
          <w:color w:val="000000"/>
          <w:sz w:val="20"/>
        </w:rPr>
        <w:t xml:space="preserve"> [2018] VSCA 172 &amp; </w:t>
      </w:r>
      <w:r w:rsidR="00283C93" w:rsidRPr="00283C93">
        <w:rPr>
          <w:rFonts w:ascii="Arial" w:hAnsi="Arial" w:cs="Arial"/>
          <w:i/>
          <w:iCs/>
          <w:color w:val="000000"/>
          <w:sz w:val="20"/>
        </w:rPr>
        <w:t>Qayyum v The King</w:t>
      </w:r>
      <w:r w:rsidR="00283C93">
        <w:rPr>
          <w:rFonts w:ascii="Arial" w:hAnsi="Arial" w:cs="Arial"/>
          <w:color w:val="000000"/>
          <w:sz w:val="20"/>
        </w:rPr>
        <w:t xml:space="preserve"> [2025] VSCA 14, noting in particular at [45]</w:t>
      </w:r>
      <w:r w:rsidR="00283C93">
        <w:rPr>
          <w:rFonts w:ascii="Arial" w:hAnsi="Arial" w:cs="Arial"/>
          <w:color w:val="000000"/>
          <w:sz w:val="20"/>
        </w:rPr>
        <w:noBreakHyphen/>
        <w:t>[47]:</w:t>
      </w:r>
    </w:p>
    <w:p w14:paraId="19C14338" w14:textId="77C0B0F2"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[45] “...[A]s this Court in </w:t>
      </w:r>
      <w:r w:rsidRPr="00283C93">
        <w:rPr>
          <w:rFonts w:ascii="Arial" w:hAnsi="Arial" w:cs="Arial"/>
          <w:i/>
          <w:iCs/>
          <w:color w:val="000000"/>
          <w:sz w:val="20"/>
        </w:rPr>
        <w:t>Lowe</w:t>
      </w:r>
      <w:r>
        <w:rPr>
          <w:rFonts w:ascii="Arial" w:hAnsi="Arial" w:cs="Arial"/>
          <w:color w:val="000000"/>
          <w:sz w:val="20"/>
        </w:rPr>
        <w:t xml:space="preserve"> [2009] VSCA 268 made plain at [16]:</w:t>
      </w:r>
    </w:p>
    <w:p w14:paraId="6E08615E" w14:textId="30C83884"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color w:val="000000"/>
          <w:sz w:val="18"/>
          <w:szCs w:val="22"/>
        </w:rPr>
        <w:t>In sentencing, the judge is not fettered by the facts upon which the parties rely. The judge may seek further facts from either party or may indicate that he or she intends to rely upon facts additional to those which the parties have put the court so long as it is done in accordance with ordinary legal principles appropriate to a criminal trial.</w:t>
      </w:r>
    </w:p>
    <w:p w14:paraId="6409F77D" w14:textId="66AC6053"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[46] And, to reiterate, the applicant does not contend that he was denied procedural fairness.</w:t>
      </w:r>
    </w:p>
    <w:p w14:paraId="384C9A75" w14:textId="0C038B53" w:rsidR="00283C93" w:rsidRPr="001C6E0E"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[47] Very recently – in </w:t>
      </w:r>
      <w:r w:rsidRPr="00283C93">
        <w:rPr>
          <w:rFonts w:ascii="Arial" w:hAnsi="Arial" w:cs="Arial"/>
          <w:i/>
          <w:iCs/>
          <w:color w:val="000000"/>
          <w:sz w:val="20"/>
        </w:rPr>
        <w:t>Qayyum v The King</w:t>
      </w:r>
      <w:r>
        <w:rPr>
          <w:rFonts w:ascii="Arial" w:hAnsi="Arial" w:cs="Arial"/>
          <w:color w:val="000000"/>
          <w:sz w:val="20"/>
        </w:rPr>
        <w:t xml:space="preserve"> [2025] VSCA 14 – this Court observed at [74] that</w:t>
      </w:r>
    </w:p>
    <w:p w14:paraId="04902CA0" w14:textId="397176DB"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i/>
          <w:iCs/>
          <w:color w:val="000000"/>
          <w:sz w:val="18"/>
          <w:szCs w:val="22"/>
        </w:rPr>
        <w:t>Lowe</w:t>
      </w:r>
      <w:r w:rsidRPr="00283C93">
        <w:rPr>
          <w:rFonts w:ascii="Arial" w:hAnsi="Arial" w:cs="Arial"/>
          <w:color w:val="000000"/>
          <w:sz w:val="18"/>
          <w:szCs w:val="22"/>
        </w:rPr>
        <w:t xml:space="preserve"> does not stand for a universal and inflexible principle that the judge is bound only by the facts contained in the indictment and prosecution opening. As is made clear in </w:t>
      </w:r>
      <w:r w:rsidRPr="00283C93">
        <w:rPr>
          <w:rFonts w:ascii="Arial" w:hAnsi="Arial" w:cs="Arial"/>
          <w:i/>
          <w:iCs/>
          <w:color w:val="000000"/>
          <w:sz w:val="18"/>
          <w:szCs w:val="22"/>
        </w:rPr>
        <w:t>Lowe</w:t>
      </w:r>
      <w:r w:rsidRPr="00283C93">
        <w:rPr>
          <w:rFonts w:ascii="Arial" w:hAnsi="Arial" w:cs="Arial"/>
          <w:color w:val="000000"/>
          <w:sz w:val="18"/>
          <w:szCs w:val="22"/>
        </w:rPr>
        <w:t>, the material available to a judge in determining an appropriate sentence varies depending on the circumstances of the case. If it becomes an issue, it is necessary to examine all the circumstances in which the plea of guilty was entered.</w:t>
      </w:r>
      <w:r w:rsidRPr="00283C93">
        <w:rPr>
          <w:rFonts w:ascii="Arial" w:hAnsi="Arial" w:cs="Arial"/>
          <w:color w:val="000000"/>
          <w:sz w:val="20"/>
        </w:rPr>
        <w:t>”</w:t>
      </w:r>
    </w:p>
    <w:p w14:paraId="06D4BAD4" w14:textId="77777777" w:rsidR="00E26562" w:rsidRDefault="00E26562"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5" w:name="_11.1.16_Procedural_fairness"/>
      <w:bookmarkEnd w:id="355"/>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w:t>
      </w:r>
      <w:r w:rsidRPr="000131F5">
        <w:rPr>
          <w:rFonts w:ascii="Arial" w:hAnsi="Arial" w:cs="Arial"/>
          <w:b/>
          <w:sz w:val="20"/>
        </w:rPr>
        <w:lastRenderedPageBreak/>
        <w:t xml:space="preserve">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6" w:name="_11.1.17_Relevance_of"/>
      <w:bookmarkEnd w:id="356"/>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 xml:space="preserve">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w:t>
      </w:r>
      <w:r w:rsidRPr="001C6E0E">
        <w:rPr>
          <w:rFonts w:ascii="Arial" w:hAnsi="Arial" w:cs="Arial"/>
          <w:color w:val="000000"/>
          <w:sz w:val="20"/>
          <w:szCs w:val="22"/>
        </w:rPr>
        <w:lastRenderedPageBreak/>
        <w:t>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7" w:name="_11.1.18_Sentencing_for"/>
      <w:bookmarkStart w:id="358" w:name="_Toc30674199"/>
      <w:bookmarkStart w:id="359" w:name="_Toc30691466"/>
      <w:bookmarkStart w:id="360" w:name="_Toc30691846"/>
      <w:bookmarkStart w:id="361" w:name="_Toc30692226"/>
      <w:bookmarkStart w:id="362" w:name="_Toc30692984"/>
      <w:bookmarkStart w:id="363" w:name="_Toc30693363"/>
      <w:bookmarkStart w:id="364" w:name="_Toc30693741"/>
      <w:bookmarkStart w:id="365" w:name="_Toc30694119"/>
      <w:bookmarkStart w:id="366" w:name="_Toc30694500"/>
      <w:bookmarkStart w:id="367" w:name="_Toc30699090"/>
      <w:bookmarkStart w:id="368" w:name="_Toc30699475"/>
      <w:bookmarkStart w:id="369" w:name="_Toc30699860"/>
      <w:bookmarkStart w:id="370" w:name="_Toc30701015"/>
      <w:bookmarkStart w:id="371" w:name="_Toc30701402"/>
      <w:bookmarkStart w:id="372" w:name="_Toc30744009"/>
      <w:bookmarkStart w:id="373" w:name="_Toc30754832"/>
      <w:bookmarkStart w:id="374" w:name="_Toc30757288"/>
      <w:bookmarkStart w:id="375" w:name="_Toc30757836"/>
      <w:bookmarkStart w:id="376" w:name="_Toc30758236"/>
      <w:bookmarkStart w:id="377" w:name="_Toc30762996"/>
      <w:bookmarkStart w:id="378" w:name="_Toc30767650"/>
      <w:bookmarkStart w:id="379" w:name="_Toc34823668"/>
      <w:bookmarkStart w:id="380" w:name="_Toc107101745"/>
      <w:bookmarkEnd w:id="357"/>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w:t>
      </w:r>
      <w:r w:rsidRPr="001C6E0E">
        <w:rPr>
          <w:rFonts w:ascii="Arial" w:hAnsi="Arial" w:cs="Arial"/>
          <w:color w:val="000000"/>
          <w:sz w:val="20"/>
        </w:rPr>
        <w:lastRenderedPageBreak/>
        <w:t xml:space="preserve">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1"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1"/>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2"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2"/>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3" w:name="HIT_1"/>
      <w:bookmarkStart w:id="384" w:name="ORIGHIT_1"/>
      <w:bookmarkEnd w:id="383"/>
      <w:bookmarkEnd w:id="384"/>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5" w:name="_11.1.19_Offending_in"/>
      <w:bookmarkEnd w:id="385"/>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6" w:name="_11.1.20_Vigiliantism"/>
      <w:bookmarkEnd w:id="386"/>
      <w:r>
        <w:rPr>
          <w:rFonts w:ascii="Arial" w:hAnsi="Arial" w:cs="Arial"/>
          <w:b/>
          <w:bCs/>
          <w:color w:val="000000"/>
          <w:sz w:val="20"/>
        </w:rPr>
        <w:lastRenderedPageBreak/>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87" w:name="_11.2_Selected_cases"/>
      <w:bookmarkEnd w:id="387"/>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lastRenderedPageBreak/>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As I have already indicated, and has been conceded by your counsel, your crimes are exceedingly serious. All of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Public Prosecution v Whiteside and Dieber</w:t>
      </w:r>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64D71863" w14:textId="77777777" w:rsidR="00A42676" w:rsidRPr="001C6E0E" w:rsidRDefault="00A42676" w:rsidP="00A42676">
      <w:pPr>
        <w:jc w:val="both"/>
        <w:rPr>
          <w:rFonts w:ascii="Arial" w:hAnsi="Arial" w:cs="Arial"/>
          <w:color w:val="000000"/>
          <w:sz w:val="20"/>
        </w:rPr>
      </w:pPr>
    </w:p>
    <w:p w14:paraId="2ACF67BB" w14:textId="03B91FB2" w:rsidR="00A42676" w:rsidRPr="001C6E0E" w:rsidRDefault="00A42676" w:rsidP="00A42676">
      <w:pPr>
        <w:pStyle w:val="Heading3"/>
        <w:keepNext/>
        <w:spacing w:after="120" w:line="240" w:lineRule="auto"/>
        <w:rPr>
          <w:rFonts w:ascii="Arial" w:hAnsi="Arial" w:cs="Arial"/>
          <w:b/>
          <w:bCs/>
          <w:color w:val="000000"/>
          <w:sz w:val="20"/>
        </w:rPr>
      </w:pPr>
      <w:bookmarkStart w:id="388" w:name="_11.1.21_Relevance_of"/>
      <w:bookmarkEnd w:id="388"/>
      <w:r>
        <w:rPr>
          <w:rFonts w:ascii="Arial" w:hAnsi="Arial" w:cs="Arial"/>
          <w:b/>
          <w:bCs/>
          <w:color w:val="000000"/>
          <w:sz w:val="20"/>
        </w:rPr>
        <w:t>11.1.21</w:t>
      </w:r>
      <w:r w:rsidRPr="001C6E0E">
        <w:rPr>
          <w:rFonts w:ascii="Arial" w:hAnsi="Arial" w:cs="Arial"/>
          <w:b/>
          <w:bCs/>
          <w:color w:val="000000"/>
          <w:sz w:val="20"/>
        </w:rPr>
        <w:tab/>
      </w:r>
      <w:r>
        <w:rPr>
          <w:rFonts w:ascii="Arial" w:hAnsi="Arial" w:cs="Arial"/>
          <w:b/>
          <w:bCs/>
          <w:color w:val="000000"/>
          <w:sz w:val="20"/>
        </w:rPr>
        <w:t>Relevance of cultural practice to sentencing for a Commonwealth offence</w:t>
      </w:r>
    </w:p>
    <w:p w14:paraId="43BFB30A" w14:textId="121D46A8" w:rsid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In </w:t>
      </w:r>
      <w:r w:rsidRPr="00242BC5">
        <w:rPr>
          <w:rFonts w:ascii="Arial" w:hAnsi="Arial" w:cs="Arial"/>
          <w:i/>
          <w:iCs/>
          <w:color w:val="000000"/>
          <w:sz w:val="20"/>
        </w:rPr>
        <w:t>Jan v DPP (Cth)</w:t>
      </w:r>
      <w:r w:rsidRPr="00242BC5">
        <w:rPr>
          <w:rFonts w:ascii="Arial" w:hAnsi="Arial" w:cs="Arial"/>
          <w:iCs/>
          <w:color w:val="000000"/>
          <w:sz w:val="20"/>
        </w:rPr>
        <w:t xml:space="preserve"> [2025] VSCA 43 the 47 year old Afghan-born applicant was convicted by a jury of causing her 17-year old daughter V to enter into a forced marriage contrary to s.270.7B(1) of the </w:t>
      </w:r>
      <w:r w:rsidRPr="00242BC5">
        <w:rPr>
          <w:rFonts w:ascii="Arial" w:hAnsi="Arial" w:cs="Arial"/>
          <w:i/>
          <w:iCs/>
          <w:color w:val="000000"/>
          <w:sz w:val="20"/>
        </w:rPr>
        <w:t>Criminal Code Act 1995</w:t>
      </w:r>
      <w:r w:rsidRPr="00242BC5">
        <w:rPr>
          <w:rFonts w:ascii="Arial" w:hAnsi="Arial" w:cs="Arial"/>
          <w:iCs/>
          <w:color w:val="000000"/>
          <w:sz w:val="20"/>
        </w:rPr>
        <w:t xml:space="preserve"> (Cth). In August 2019 V had participated in a permanent Nikah (cultural marriage) with a Mr Halimi. She had told police the day before at her school that she did not want to marry him and that she knew nothing about him, including his last name. In November 2019 V</w:t>
      </w:r>
      <w:r>
        <w:rPr>
          <w:rFonts w:ascii="Arial" w:hAnsi="Arial" w:cs="Arial"/>
          <w:iCs/>
          <w:color w:val="000000"/>
          <w:sz w:val="20"/>
        </w:rPr>
        <w:t> </w:t>
      </w:r>
      <w:r w:rsidRPr="00242BC5">
        <w:rPr>
          <w:rFonts w:ascii="Arial" w:hAnsi="Arial" w:cs="Arial"/>
          <w:iCs/>
          <w:color w:val="000000"/>
          <w:sz w:val="20"/>
        </w:rPr>
        <w:t>graduated from high school and the following day she moved to Perth with Mr Halimi. In January 2020 Mr Halimi killed V in a fit of rage by slitting her throat when she did not behave as he expected. It</w:t>
      </w:r>
      <w:r>
        <w:rPr>
          <w:rFonts w:ascii="Arial" w:hAnsi="Arial" w:cs="Arial"/>
          <w:iCs/>
          <w:color w:val="000000"/>
          <w:sz w:val="20"/>
        </w:rPr>
        <w:t> </w:t>
      </w:r>
      <w:r w:rsidRPr="00242BC5">
        <w:rPr>
          <w:rFonts w:ascii="Arial" w:hAnsi="Arial" w:cs="Arial"/>
          <w:iCs/>
          <w:color w:val="000000"/>
          <w:sz w:val="20"/>
        </w:rPr>
        <w:t>was common ground that the applicant believed that in forcing her daughter to marry she was acting in her daughter’s best interests and that she was grief-stricken at her daughter’s death. The applicant herself had been the subject of a forced marriage at the age of 12 or 13 years to a man she had never met and with whom she subsequently had 5 children of whom V was the youngest.</w:t>
      </w:r>
      <w:r w:rsidR="00BB59FC">
        <w:rPr>
          <w:rFonts w:ascii="Arial" w:hAnsi="Arial" w:cs="Arial"/>
          <w:iCs/>
          <w:color w:val="000000"/>
          <w:sz w:val="20"/>
        </w:rPr>
        <w:t xml:space="preserve"> The applicant’s husband had been killed by the Taliban about a month after V’s birth. Her father, brother and sister had also been killed by the Taliban. The applicant and her children – all of whom were married by the age of 18 or 19 in arranged marriages </w:t>
      </w:r>
      <w:r w:rsidR="0037612A">
        <w:rPr>
          <w:rFonts w:ascii="Arial" w:hAnsi="Arial" w:cs="Arial"/>
          <w:iCs/>
          <w:color w:val="000000"/>
          <w:sz w:val="20"/>
        </w:rPr>
        <w:t>–</w:t>
      </w:r>
      <w:r w:rsidR="00BB59FC">
        <w:rPr>
          <w:rFonts w:ascii="Arial" w:hAnsi="Arial" w:cs="Arial"/>
          <w:iCs/>
          <w:color w:val="000000"/>
          <w:sz w:val="20"/>
        </w:rPr>
        <w:t xml:space="preserve"> had</w:t>
      </w:r>
      <w:r w:rsidR="0037612A">
        <w:rPr>
          <w:rFonts w:ascii="Arial" w:hAnsi="Arial" w:cs="Arial"/>
          <w:iCs/>
          <w:color w:val="000000"/>
          <w:sz w:val="20"/>
        </w:rPr>
        <w:t xml:space="preserve"> </w:t>
      </w:r>
      <w:r w:rsidR="00BB59FC">
        <w:rPr>
          <w:rFonts w:ascii="Arial" w:hAnsi="Arial" w:cs="Arial"/>
          <w:iCs/>
          <w:color w:val="000000"/>
          <w:sz w:val="20"/>
        </w:rPr>
        <w:t>come to Australia as refugees and settled in Shepparton.</w:t>
      </w:r>
      <w:r w:rsidR="00394254">
        <w:rPr>
          <w:rFonts w:ascii="Arial" w:hAnsi="Arial" w:cs="Arial"/>
          <w:iCs/>
          <w:color w:val="000000"/>
          <w:sz w:val="20"/>
        </w:rPr>
        <w:t xml:space="preserve"> The applicant fell to be sentenced as a person of good character. She had been a member of the Goulburn Valley Afghanistan Association since 2013.</w:t>
      </w:r>
    </w:p>
    <w:p w14:paraId="3C2D9280" w14:textId="04890DAC" w:rsidR="00242BC5" w:rsidRP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The sentencing judge </w:t>
      </w:r>
      <w:r w:rsidR="00394254">
        <w:rPr>
          <w:rFonts w:ascii="Arial" w:hAnsi="Arial" w:cs="Arial"/>
          <w:iCs/>
          <w:color w:val="000000"/>
          <w:sz w:val="20"/>
        </w:rPr>
        <w:t xml:space="preserve">had </w:t>
      </w:r>
      <w:r w:rsidRPr="00242BC5">
        <w:rPr>
          <w:rFonts w:ascii="Arial" w:hAnsi="Arial" w:cs="Arial"/>
          <w:iCs/>
          <w:color w:val="000000"/>
          <w:sz w:val="20"/>
        </w:rPr>
        <w:t>imposed a sentence of IMP3y with the applicant mother to be released on her own recognisance after 12m.</w:t>
      </w:r>
    </w:p>
    <w:p w14:paraId="25BA7751" w14:textId="441C089F" w:rsidR="005E54A8" w:rsidRDefault="005E54A8" w:rsidP="005E54A8">
      <w:pPr>
        <w:spacing w:before="120"/>
        <w:jc w:val="both"/>
        <w:rPr>
          <w:rFonts w:ascii="Arial" w:hAnsi="Arial" w:cs="Arial"/>
          <w:iCs/>
          <w:color w:val="000000"/>
          <w:sz w:val="20"/>
        </w:rPr>
      </w:pPr>
      <w:r>
        <w:rPr>
          <w:rFonts w:ascii="Arial" w:hAnsi="Arial" w:cs="Arial"/>
          <w:iCs/>
          <w:color w:val="000000"/>
          <w:sz w:val="20"/>
        </w:rPr>
        <w:lastRenderedPageBreak/>
        <w:t>Emerton P &amp; Taylor JA refused leave to appeal</w:t>
      </w:r>
      <w:r w:rsidR="00394254">
        <w:rPr>
          <w:rFonts w:ascii="Arial" w:hAnsi="Arial" w:cs="Arial"/>
          <w:iCs/>
          <w:color w:val="000000"/>
          <w:sz w:val="20"/>
        </w:rPr>
        <w:t xml:space="preserve"> against sentence</w:t>
      </w:r>
      <w:r>
        <w:rPr>
          <w:rFonts w:ascii="Arial" w:hAnsi="Arial" w:cs="Arial"/>
          <w:iCs/>
          <w:color w:val="000000"/>
          <w:sz w:val="20"/>
        </w:rPr>
        <w:t>, categorising the applicant’s offending as a serious example of a serious offence. At [36]</w:t>
      </w:r>
      <w:r w:rsidR="007C1FAF">
        <w:rPr>
          <w:rFonts w:ascii="Arial" w:hAnsi="Arial" w:cs="Arial"/>
          <w:iCs/>
          <w:color w:val="000000"/>
          <w:sz w:val="20"/>
        </w:rPr>
        <w:t xml:space="preserve">, </w:t>
      </w:r>
      <w:r>
        <w:rPr>
          <w:rFonts w:ascii="Arial" w:hAnsi="Arial" w:cs="Arial"/>
          <w:iCs/>
          <w:color w:val="000000"/>
          <w:sz w:val="20"/>
        </w:rPr>
        <w:t xml:space="preserve">[38]-[39] </w:t>
      </w:r>
      <w:r w:rsidR="007C1FAF">
        <w:rPr>
          <w:rFonts w:ascii="Arial" w:hAnsi="Arial" w:cs="Arial"/>
          <w:iCs/>
          <w:color w:val="000000"/>
          <w:sz w:val="20"/>
        </w:rPr>
        <w:t xml:space="preserve">&amp; [43] </w:t>
      </w:r>
      <w:r>
        <w:rPr>
          <w:rFonts w:ascii="Arial" w:hAnsi="Arial" w:cs="Arial"/>
          <w:iCs/>
          <w:color w:val="000000"/>
          <w:sz w:val="20"/>
        </w:rPr>
        <w:t>their Honours said:</w:t>
      </w:r>
    </w:p>
    <w:p w14:paraId="3A82F188" w14:textId="30A4A385" w:rsidR="005E54A8" w:rsidRDefault="005E54A8" w:rsidP="005E54A8">
      <w:pPr>
        <w:spacing w:before="60"/>
        <w:ind w:left="567" w:right="567"/>
        <w:jc w:val="both"/>
        <w:rPr>
          <w:rFonts w:ascii="Arial" w:hAnsi="Arial" w:cs="Arial"/>
          <w:iCs/>
          <w:color w:val="000000"/>
          <w:sz w:val="20"/>
        </w:rPr>
      </w:pPr>
      <w:r>
        <w:rPr>
          <w:rFonts w:ascii="Arial" w:hAnsi="Arial" w:cs="Arial"/>
          <w:sz w:val="20"/>
          <w:szCs w:val="20"/>
        </w:rPr>
        <w:t xml:space="preserve">[36] “The judge was correct to hold that s.16A(2A) of the </w:t>
      </w:r>
      <w:r w:rsidRPr="005E54A8">
        <w:rPr>
          <w:rFonts w:ascii="Arial" w:hAnsi="Arial" w:cs="Arial"/>
          <w:i/>
          <w:color w:val="000000"/>
          <w:sz w:val="20"/>
        </w:rPr>
        <w:t xml:space="preserve">Crimes Act 1914 </w:t>
      </w:r>
      <w:r w:rsidRPr="005E54A8">
        <w:rPr>
          <w:rFonts w:ascii="Arial" w:hAnsi="Arial" w:cs="Arial"/>
          <w:iCs/>
          <w:color w:val="000000"/>
          <w:sz w:val="20"/>
        </w:rPr>
        <w:t>(Cth)</w:t>
      </w:r>
      <w:r>
        <w:rPr>
          <w:rFonts w:ascii="Arial" w:hAnsi="Arial" w:cs="Arial"/>
          <w:iCs/>
          <w:color w:val="000000"/>
          <w:sz w:val="20"/>
        </w:rPr>
        <w:t xml:space="preserve"> prevented consideration of the applicant’s belief that she was acting in the best interests of [her daughter] </w:t>
      </w:r>
      <w:r w:rsidR="00FF73A1">
        <w:rPr>
          <w:rFonts w:ascii="Arial" w:hAnsi="Arial" w:cs="Arial"/>
          <w:iCs/>
          <w:color w:val="000000"/>
          <w:sz w:val="20"/>
        </w:rPr>
        <w:t xml:space="preserve">in mitigation of her moral culpability </w:t>
      </w:r>
      <w:r w:rsidR="00FF73A1" w:rsidRPr="00FF73A1">
        <w:rPr>
          <w:rFonts w:ascii="Arial" w:hAnsi="Arial" w:cs="Arial"/>
          <w:i/>
          <w:color w:val="000000"/>
          <w:sz w:val="20"/>
        </w:rPr>
        <w:t>in so far</w:t>
      </w:r>
      <w:r w:rsidR="00FF73A1">
        <w:rPr>
          <w:rFonts w:ascii="Arial" w:hAnsi="Arial" w:cs="Arial"/>
          <w:iCs/>
          <w:color w:val="000000"/>
          <w:sz w:val="20"/>
        </w:rPr>
        <w:t xml:space="preserve"> as that belief arose from Hazara culture. That section did not – either theoretically or in fact – prevent the judge from considering the applicant’s background and lack of education as matters personal to her. It is clear that the judge gave what weight she could to the personal circumstances of the applicant in mitigation of penalty – short of acting contrary to s.16A(2A).”</w:t>
      </w:r>
    </w:p>
    <w:p w14:paraId="426F8E91" w14:textId="0DD1D329" w:rsidR="00FF73A1" w:rsidRDefault="00FF73A1" w:rsidP="005E54A8">
      <w:pPr>
        <w:spacing w:before="60"/>
        <w:ind w:left="567" w:right="567"/>
        <w:jc w:val="both"/>
        <w:rPr>
          <w:rFonts w:ascii="Arial" w:hAnsi="Arial" w:cs="Arial"/>
          <w:sz w:val="20"/>
          <w:szCs w:val="20"/>
        </w:rPr>
      </w:pPr>
      <w:r>
        <w:rPr>
          <w:rFonts w:ascii="Arial" w:hAnsi="Arial" w:cs="Arial"/>
          <w:sz w:val="20"/>
          <w:szCs w:val="20"/>
        </w:rPr>
        <w:t>[38] “Section 16A(1) of the Crimes Act requires a court to impose a sentence that is of a severity appropriate in all the circumstances of the offence. In addition to any other matters, s.16A(2) requires a court to take into account such of the delineated matters ‘as are relevant and known to the court’. Section 16A(2)(m) refers to the ‘character, antecedents, age, means and physical or mental condition of the person’.</w:t>
      </w:r>
    </w:p>
    <w:p w14:paraId="6B0242C5" w14:textId="6AF514F6" w:rsidR="00FF73A1" w:rsidRDefault="00FF73A1" w:rsidP="005E54A8">
      <w:pPr>
        <w:spacing w:before="60"/>
        <w:ind w:left="567" w:right="567"/>
        <w:jc w:val="both"/>
        <w:rPr>
          <w:rFonts w:ascii="Arial" w:hAnsi="Arial" w:cs="Arial"/>
          <w:sz w:val="20"/>
          <w:szCs w:val="20"/>
        </w:rPr>
      </w:pPr>
      <w:r>
        <w:rPr>
          <w:rFonts w:ascii="Arial" w:hAnsi="Arial" w:cs="Arial"/>
          <w:sz w:val="20"/>
          <w:szCs w:val="20"/>
        </w:rPr>
        <w:t>[39] Section 16A(2A) then provides as follows:</w:t>
      </w:r>
    </w:p>
    <w:p w14:paraId="358CFA69" w14:textId="2AD56631" w:rsidR="00FF73A1" w:rsidRDefault="00BB59FC" w:rsidP="00FF73A1">
      <w:pPr>
        <w:spacing w:before="60"/>
        <w:ind w:left="964" w:right="964"/>
        <w:jc w:val="both"/>
        <w:rPr>
          <w:rFonts w:ascii="Arial" w:hAnsi="Arial" w:cs="Arial"/>
          <w:sz w:val="18"/>
          <w:szCs w:val="18"/>
        </w:rPr>
      </w:pPr>
      <w:r>
        <w:rPr>
          <w:rFonts w:ascii="Arial" w:hAnsi="Arial" w:cs="Arial"/>
          <w:sz w:val="18"/>
          <w:szCs w:val="18"/>
        </w:rPr>
        <w:t>“</w:t>
      </w:r>
      <w:r w:rsidR="00FF73A1" w:rsidRPr="00FF73A1">
        <w:rPr>
          <w:rFonts w:ascii="Arial" w:hAnsi="Arial" w:cs="Arial"/>
          <w:sz w:val="18"/>
          <w:szCs w:val="18"/>
        </w:rPr>
        <w:t>However, the court must not take into account under subsection (1) or (2), other than paragraph (2)(ma) [which was not relevant in this case], any form of customary law or cultural practice as a reason for:</w:t>
      </w:r>
    </w:p>
    <w:p w14:paraId="1228DFC6" w14:textId="5E64CFBA" w:rsid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excusing, justifying, authorising, requiring or lessening the seriousness of the criminal behaviour to which the offence relates; or</w:t>
      </w:r>
    </w:p>
    <w:p w14:paraId="39C91B5B" w14:textId="1880CA18" w:rsidR="00FF73A1" w:rsidRP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aggravating the seriousness of the criminal behaviour to which the offence relates.”</w:t>
      </w:r>
    </w:p>
    <w:p w14:paraId="5349C2FD" w14:textId="49BD0A11" w:rsidR="007C1FAF" w:rsidRDefault="007C1FAF" w:rsidP="007C1FAF">
      <w:pPr>
        <w:spacing w:before="60"/>
        <w:ind w:left="567" w:right="567"/>
        <w:jc w:val="both"/>
        <w:rPr>
          <w:rFonts w:ascii="Arial" w:hAnsi="Arial" w:cs="Arial"/>
          <w:sz w:val="20"/>
          <w:szCs w:val="20"/>
        </w:rPr>
      </w:pPr>
      <w:r>
        <w:rPr>
          <w:rFonts w:ascii="Arial" w:hAnsi="Arial" w:cs="Arial"/>
          <w:sz w:val="20"/>
          <w:szCs w:val="20"/>
        </w:rPr>
        <w:t xml:space="preserve">[43] “It is to be remembered that s.16A(2A) qualifies the operation of s.16A(1) as well as s.16A(2). That is, customary law and cultural practice must not be considered when the court is determining what is ‘a sentence...that is of a severity appropriate in all the circumstances of the offence’. This determination involves consideration of the s.16A(2) factors that are relevant and known to the court, including those in s.16A(2)(a) – the nature and circumstances of the offence – and s.16A(2)(m) – the character, antecedents, age, means and physical or mental condition of the offender. The determination necessarily involves an assessment of the seriousness of the particular offending. And the task must be performed as part of the instinctive synthesis, taking into account both objective gravity and moral culpability: </w:t>
      </w:r>
      <w:r w:rsidRPr="007C1FAF">
        <w:rPr>
          <w:rFonts w:ascii="Arial" w:hAnsi="Arial" w:cs="Arial"/>
          <w:i/>
          <w:iCs/>
          <w:sz w:val="20"/>
          <w:szCs w:val="20"/>
        </w:rPr>
        <w:t>Brown v The Queen</w:t>
      </w:r>
      <w:r>
        <w:rPr>
          <w:rFonts w:ascii="Arial" w:hAnsi="Arial" w:cs="Arial"/>
          <w:sz w:val="20"/>
          <w:szCs w:val="20"/>
        </w:rPr>
        <w:t xml:space="preserve"> (2019) 59 VR 462 [55]; [2019] VSCA 286.</w:t>
      </w:r>
      <w:r w:rsidR="00A45015">
        <w:rPr>
          <w:rFonts w:ascii="Arial" w:hAnsi="Arial" w:cs="Arial"/>
          <w:sz w:val="20"/>
          <w:szCs w:val="20"/>
        </w:rPr>
        <w:t>”</w:t>
      </w:r>
    </w:p>
    <w:p w14:paraId="02913D43" w14:textId="3FBA78BD" w:rsidR="005E54A8" w:rsidRDefault="00142B57" w:rsidP="005E54A8">
      <w:pPr>
        <w:spacing w:before="120"/>
        <w:jc w:val="both"/>
        <w:rPr>
          <w:rFonts w:ascii="Arial" w:hAnsi="Arial" w:cs="Arial"/>
          <w:iCs/>
          <w:color w:val="000000"/>
          <w:sz w:val="20"/>
        </w:rPr>
      </w:pPr>
      <w:r>
        <w:rPr>
          <w:rFonts w:ascii="Arial" w:hAnsi="Arial" w:cs="Arial"/>
          <w:iCs/>
          <w:color w:val="000000"/>
          <w:sz w:val="20"/>
        </w:rPr>
        <w:t>Boyce JA dissented</w:t>
      </w:r>
      <w:r w:rsidR="00F857D1">
        <w:rPr>
          <w:rFonts w:ascii="Arial" w:hAnsi="Arial" w:cs="Arial"/>
          <w:iCs/>
          <w:color w:val="000000"/>
          <w:sz w:val="20"/>
        </w:rPr>
        <w:t>, concluding at [182] that the sentencing judge erred in construing s.16A(2A) as she did and that the error was material</w:t>
      </w:r>
      <w:r>
        <w:rPr>
          <w:rFonts w:ascii="Arial" w:hAnsi="Arial" w:cs="Arial"/>
          <w:iCs/>
          <w:color w:val="000000"/>
          <w:sz w:val="20"/>
        </w:rPr>
        <w:t>.</w:t>
      </w:r>
      <w:r w:rsidR="00F857D1">
        <w:rPr>
          <w:rFonts w:ascii="Arial" w:hAnsi="Arial" w:cs="Arial"/>
          <w:iCs/>
          <w:color w:val="000000"/>
          <w:sz w:val="20"/>
        </w:rPr>
        <w:t xml:space="preserve"> His Honour would have allowed the appeal and released the applicant from prison immediately.</w:t>
      </w:r>
    </w:p>
    <w:p w14:paraId="4B14BF6E" w14:textId="50665815" w:rsidR="005E54A8" w:rsidRDefault="005E54A8" w:rsidP="00F857D1">
      <w:pPr>
        <w:jc w:val="both"/>
        <w:rPr>
          <w:rFonts w:ascii="Arial" w:hAnsi="Arial" w:cs="Arial"/>
          <w:iCs/>
          <w:color w:val="000000"/>
          <w:sz w:val="20"/>
        </w:rPr>
      </w:pPr>
    </w:p>
    <w:p w14:paraId="133D337A" w14:textId="4C00C8E8" w:rsidR="005E54A8" w:rsidRDefault="00F857D1" w:rsidP="00F857D1">
      <w:pPr>
        <w:jc w:val="both"/>
        <w:rPr>
          <w:rFonts w:ascii="Arial" w:hAnsi="Arial" w:cs="Arial"/>
          <w:iCs/>
          <w:color w:val="000000"/>
          <w:sz w:val="20"/>
        </w:rPr>
      </w:pPr>
      <w:r>
        <w:rPr>
          <w:rFonts w:ascii="Arial" w:hAnsi="Arial" w:cs="Arial"/>
          <w:iCs/>
          <w:color w:val="000000"/>
          <w:sz w:val="20"/>
        </w:rPr>
        <w:t>Although not relevant to the above case, it should be noted that s.16A(2AA) provides that s.16A(2A) does not apply in relation to an offence against any of the following:</w:t>
      </w:r>
    </w:p>
    <w:p w14:paraId="19F8886C" w14:textId="022EA51B" w:rsidR="005E54A8"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s.22 of the </w:t>
      </w:r>
      <w:r w:rsidRPr="00F857D1">
        <w:rPr>
          <w:rFonts w:ascii="Arial" w:hAnsi="Arial" w:cs="Arial"/>
          <w:i/>
          <w:color w:val="000000"/>
          <w:sz w:val="20"/>
        </w:rPr>
        <w:t>Aboriginal and Torres Strait Islander Heritage Protection Act 1984</w:t>
      </w:r>
      <w:r>
        <w:rPr>
          <w:rFonts w:ascii="Arial" w:hAnsi="Arial" w:cs="Arial"/>
          <w:iCs/>
          <w:color w:val="000000"/>
          <w:sz w:val="20"/>
        </w:rPr>
        <w:t>;</w:t>
      </w:r>
    </w:p>
    <w:p w14:paraId="2AFDF477" w14:textId="6DF8C78F"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ss.15A, 15C, 17B, 22A, 27A, 74AA, 142A, 142B, 207B, 354A, 355A &amp; 470 of the </w:t>
      </w:r>
      <w:r w:rsidR="00A45015" w:rsidRPr="00A45015">
        <w:rPr>
          <w:rFonts w:ascii="Arial" w:hAnsi="Arial" w:cs="Arial"/>
          <w:i/>
          <w:color w:val="000000"/>
          <w:sz w:val="20"/>
        </w:rPr>
        <w:t>Environment Protection and Biodiversity Conservation Act 1999</w:t>
      </w:r>
      <w:r w:rsidR="00A45015">
        <w:rPr>
          <w:rFonts w:ascii="Arial" w:hAnsi="Arial" w:cs="Arial"/>
          <w:iCs/>
          <w:color w:val="000000"/>
          <w:sz w:val="20"/>
        </w:rPr>
        <w:t>;</w:t>
      </w:r>
    </w:p>
    <w:p w14:paraId="6FFDCC18" w14:textId="44D023B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s.48 of the </w:t>
      </w:r>
      <w:r w:rsidRPr="00F857D1">
        <w:rPr>
          <w:rFonts w:ascii="Arial" w:hAnsi="Arial" w:cs="Arial"/>
          <w:i/>
          <w:color w:val="000000"/>
          <w:sz w:val="20"/>
        </w:rPr>
        <w:t>Aboriginal Land and Waters (Jervis Bay Territory) Act 1986</w:t>
      </w:r>
      <w:r>
        <w:rPr>
          <w:rFonts w:ascii="Arial" w:hAnsi="Arial" w:cs="Arial"/>
          <w:iCs/>
          <w:color w:val="000000"/>
          <w:sz w:val="20"/>
        </w:rPr>
        <w:t>;</w:t>
      </w:r>
    </w:p>
    <w:p w14:paraId="3B4DEA6D" w14:textId="62E24E2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ss.69 &amp; 70 of the </w:t>
      </w:r>
      <w:r w:rsidRPr="00F857D1">
        <w:rPr>
          <w:rFonts w:ascii="Arial" w:hAnsi="Arial" w:cs="Arial"/>
          <w:i/>
          <w:color w:val="000000"/>
          <w:sz w:val="20"/>
        </w:rPr>
        <w:t>Aboriginal Land Rights (Northern Territory) Act 1976</w:t>
      </w:r>
      <w:r>
        <w:rPr>
          <w:rFonts w:ascii="Arial" w:hAnsi="Arial" w:cs="Arial"/>
          <w:iCs/>
          <w:color w:val="000000"/>
          <w:sz w:val="20"/>
        </w:rPr>
        <w:t>;</w:t>
      </w:r>
    </w:p>
    <w:p w14:paraId="1F443504" w14:textId="77E69792"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s.30 of the </w:t>
      </w:r>
      <w:r w:rsidRPr="00F857D1">
        <w:rPr>
          <w:rFonts w:ascii="Arial" w:hAnsi="Arial" w:cs="Arial"/>
          <w:i/>
          <w:color w:val="000000"/>
          <w:sz w:val="20"/>
        </w:rPr>
        <w:t>Aboriginal Land (Lake Condah and Framlingham Forest) Act 1987</w:t>
      </w:r>
      <w:r>
        <w:rPr>
          <w:rFonts w:ascii="Arial" w:hAnsi="Arial" w:cs="Arial"/>
          <w:iCs/>
          <w:color w:val="000000"/>
          <w:sz w:val="20"/>
        </w:rPr>
        <w:t>;</w:t>
      </w:r>
    </w:p>
    <w:p w14:paraId="2B6DCDC7" w14:textId="787E0114" w:rsidR="00F857D1" w:rsidRP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any other law prescribed by the regulations that relates to:</w:t>
      </w:r>
    </w:p>
    <w:p w14:paraId="48E61575" w14:textId="3DD1FBED" w:rsidR="00F857D1" w:rsidRPr="00F857D1" w:rsidRDefault="00F857D1">
      <w:pPr>
        <w:pStyle w:val="ListParagraph"/>
        <w:numPr>
          <w:ilvl w:val="0"/>
          <w:numId w:val="149"/>
        </w:numPr>
        <w:ind w:left="714" w:hanging="357"/>
        <w:jc w:val="both"/>
        <w:rPr>
          <w:rFonts w:ascii="Arial" w:hAnsi="Arial" w:cs="Arial"/>
          <w:iCs/>
          <w:color w:val="000000"/>
          <w:sz w:val="20"/>
        </w:rPr>
      </w:pPr>
      <w:r w:rsidRPr="00F857D1">
        <w:rPr>
          <w:rFonts w:ascii="Arial" w:hAnsi="Arial" w:cs="Arial"/>
          <w:iCs/>
          <w:color w:val="000000"/>
          <w:sz w:val="20"/>
        </w:rPr>
        <w:t>entering, remaining on or damaging cultural heritage; or</w:t>
      </w:r>
    </w:p>
    <w:p w14:paraId="17219544" w14:textId="544E04DA" w:rsidR="005E54A8" w:rsidRPr="00F857D1" w:rsidRDefault="00F857D1">
      <w:pPr>
        <w:pStyle w:val="ListParagraph"/>
        <w:numPr>
          <w:ilvl w:val="0"/>
          <w:numId w:val="149"/>
        </w:numPr>
        <w:ind w:left="714" w:hanging="357"/>
        <w:jc w:val="both"/>
        <w:rPr>
          <w:rFonts w:ascii="Arial" w:hAnsi="Arial" w:cs="Arial"/>
          <w:iCs/>
          <w:color w:val="000000"/>
          <w:sz w:val="20"/>
        </w:rPr>
      </w:pPr>
      <w:r>
        <w:rPr>
          <w:rFonts w:ascii="Arial" w:hAnsi="Arial" w:cs="Arial"/>
          <w:iCs/>
          <w:color w:val="000000"/>
          <w:sz w:val="20"/>
        </w:rPr>
        <w:t>damaging or removing a cultural heritage object.</w:t>
      </w:r>
    </w:p>
    <w:p w14:paraId="48F7CF08" w14:textId="77777777" w:rsidR="00347B83" w:rsidRPr="001C6E0E" w:rsidRDefault="00347B83" w:rsidP="00347B83">
      <w:pPr>
        <w:jc w:val="both"/>
        <w:rPr>
          <w:rFonts w:ascii="Arial" w:hAnsi="Arial" w:cs="Arial"/>
          <w:color w:val="000000"/>
          <w:sz w:val="20"/>
        </w:rPr>
      </w:pPr>
    </w:p>
    <w:p w14:paraId="65CE4FDA" w14:textId="469FCE26" w:rsidR="00347B83" w:rsidRPr="001C6E0E" w:rsidRDefault="00347B83" w:rsidP="00347B83">
      <w:pPr>
        <w:pStyle w:val="Heading3"/>
        <w:keepNext/>
        <w:spacing w:after="120" w:line="240" w:lineRule="auto"/>
        <w:rPr>
          <w:rFonts w:ascii="Arial" w:hAnsi="Arial" w:cs="Arial"/>
          <w:b/>
          <w:bCs/>
          <w:color w:val="000000"/>
          <w:sz w:val="20"/>
        </w:rPr>
      </w:pPr>
      <w:bookmarkStart w:id="389" w:name="_11.1.22_Effect_of"/>
      <w:bookmarkEnd w:id="389"/>
      <w:r>
        <w:rPr>
          <w:rFonts w:ascii="Arial" w:hAnsi="Arial" w:cs="Arial"/>
          <w:b/>
          <w:bCs/>
          <w:color w:val="000000"/>
          <w:sz w:val="20"/>
        </w:rPr>
        <w:t>11.1.2</w:t>
      </w:r>
      <w:r>
        <w:rPr>
          <w:rFonts w:ascii="Arial" w:hAnsi="Arial" w:cs="Arial"/>
          <w:b/>
          <w:bCs/>
          <w:color w:val="000000"/>
          <w:sz w:val="20"/>
        </w:rPr>
        <w:t>2</w:t>
      </w:r>
      <w:r w:rsidRPr="001C6E0E">
        <w:rPr>
          <w:rFonts w:ascii="Arial" w:hAnsi="Arial" w:cs="Arial"/>
          <w:b/>
          <w:bCs/>
          <w:color w:val="000000"/>
          <w:sz w:val="20"/>
        </w:rPr>
        <w:tab/>
      </w:r>
      <w:r>
        <w:rPr>
          <w:rFonts w:ascii="Arial" w:hAnsi="Arial" w:cs="Arial"/>
          <w:b/>
          <w:bCs/>
          <w:color w:val="000000"/>
          <w:sz w:val="20"/>
        </w:rPr>
        <w:t>Effect</w:t>
      </w:r>
      <w:r>
        <w:rPr>
          <w:rFonts w:ascii="Arial" w:hAnsi="Arial" w:cs="Arial"/>
          <w:b/>
          <w:bCs/>
          <w:color w:val="000000"/>
          <w:sz w:val="20"/>
        </w:rPr>
        <w:t xml:space="preserve"> of </w:t>
      </w:r>
      <w:r>
        <w:rPr>
          <w:rFonts w:ascii="Arial" w:hAnsi="Arial" w:cs="Arial"/>
          <w:b/>
          <w:bCs/>
          <w:color w:val="000000"/>
          <w:sz w:val="20"/>
        </w:rPr>
        <w:t xml:space="preserve">racist motivation </w:t>
      </w:r>
      <w:r w:rsidR="006C51C3">
        <w:rPr>
          <w:rFonts w:ascii="Arial" w:hAnsi="Arial" w:cs="Arial"/>
          <w:b/>
          <w:bCs/>
          <w:color w:val="000000"/>
          <w:sz w:val="20"/>
        </w:rPr>
        <w:t>for</w:t>
      </w:r>
      <w:r>
        <w:rPr>
          <w:rFonts w:ascii="Arial" w:hAnsi="Arial" w:cs="Arial"/>
          <w:b/>
          <w:bCs/>
          <w:color w:val="000000"/>
          <w:sz w:val="20"/>
        </w:rPr>
        <w:t xml:space="preserve"> offending</w:t>
      </w:r>
    </w:p>
    <w:p w14:paraId="70F46C06" w14:textId="09564624" w:rsidR="00347B83" w:rsidRDefault="00347B83" w:rsidP="00347B83">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w:t>
      </w:r>
      <w:r w:rsidR="006C51C3">
        <w:rPr>
          <w:rFonts w:ascii="Arial" w:hAnsi="Arial" w:cs="Arial"/>
          <w:color w:val="000000"/>
          <w:sz w:val="20"/>
        </w:rPr>
        <w:t>. T</w:t>
      </w:r>
      <w:r>
        <w:rPr>
          <w:rFonts w:ascii="Arial" w:hAnsi="Arial" w:cs="Arial"/>
          <w:color w:val="000000"/>
          <w:sz w:val="20"/>
        </w:rPr>
        <w:t>he first victim was of African appearance and the applicant had shouted racist abuse at him</w:t>
      </w:r>
      <w:r w:rsidR="006C51C3">
        <w:rPr>
          <w:rFonts w:ascii="Arial" w:hAnsi="Arial" w:cs="Arial"/>
          <w:color w:val="000000"/>
          <w:sz w:val="20"/>
        </w:rPr>
        <w:t>. T</w:t>
      </w:r>
      <w:r>
        <w:rPr>
          <w:rFonts w:ascii="Arial" w:hAnsi="Arial" w:cs="Arial"/>
          <w:color w:val="000000"/>
          <w:sz w:val="20"/>
        </w:rPr>
        <w:t>he applicant had used his vehicle to run over the second victim who was of Indian appearance</w:t>
      </w:r>
      <w:r w:rsidR="006C51C3">
        <w:rPr>
          <w:rFonts w:ascii="Arial" w:hAnsi="Arial" w:cs="Arial"/>
          <w:color w:val="000000"/>
          <w:sz w:val="20"/>
        </w:rPr>
        <w:t>. T</w:t>
      </w:r>
      <w:r>
        <w:rPr>
          <w:rFonts w:ascii="Arial" w:hAnsi="Arial" w:cs="Arial"/>
          <w:color w:val="000000"/>
          <w:sz w:val="20"/>
        </w:rPr>
        <w:t>he sentencing judge had found that racist motivation underlay the offending against both victims</w:t>
      </w:r>
      <w:r w:rsidR="006C51C3">
        <w:rPr>
          <w:rFonts w:ascii="Arial" w:hAnsi="Arial" w:cs="Arial"/>
          <w:color w:val="000000"/>
          <w:sz w:val="20"/>
        </w:rPr>
        <w:t>. L</w:t>
      </w:r>
      <w:r>
        <w:rPr>
          <w:rFonts w:ascii="Arial" w:hAnsi="Arial" w:cs="Arial"/>
          <w:color w:val="000000"/>
          <w:sz w:val="20"/>
        </w:rPr>
        <w:t xml:space="preserve">eave to appeal </w:t>
      </w:r>
      <w:r w:rsidR="006C51C3">
        <w:rPr>
          <w:rFonts w:ascii="Arial" w:hAnsi="Arial" w:cs="Arial"/>
          <w:color w:val="000000"/>
          <w:sz w:val="20"/>
        </w:rPr>
        <w:t xml:space="preserve">was </w:t>
      </w:r>
      <w:r>
        <w:rPr>
          <w:rFonts w:ascii="Arial" w:hAnsi="Arial" w:cs="Arial"/>
          <w:color w:val="000000"/>
          <w:sz w:val="20"/>
        </w:rPr>
        <w:t>refused. At </w:t>
      </w:r>
      <w:r>
        <w:rPr>
          <w:rFonts w:ascii="Arial" w:hAnsi="Arial" w:cs="Arial"/>
          <w:color w:val="000000"/>
          <w:sz w:val="20"/>
        </w:rPr>
        <w:t xml:space="preserve">[14]-[15] &amp; </w:t>
      </w:r>
      <w:r>
        <w:rPr>
          <w:rFonts w:ascii="Arial" w:hAnsi="Arial" w:cs="Arial"/>
          <w:color w:val="000000"/>
          <w:sz w:val="20"/>
        </w:rPr>
        <w:t>[53] Priest &amp; McLeish JJA said:</w:t>
      </w:r>
    </w:p>
    <w:p w14:paraId="6E6AD7F6" w14:textId="1AD0CC3B"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14</w:t>
      </w:r>
      <w:r>
        <w:rPr>
          <w:rFonts w:ascii="Arial" w:hAnsi="Arial" w:cs="Arial"/>
          <w:color w:val="000000"/>
          <w:sz w:val="20"/>
        </w:rPr>
        <w:t>]</w:t>
      </w:r>
      <w:r w:rsidRPr="00F6411C">
        <w:rPr>
          <w:rFonts w:ascii="Arial" w:hAnsi="Arial" w:cs="Arial"/>
          <w:color w:val="000000"/>
          <w:sz w:val="20"/>
        </w:rPr>
        <w:t xml:space="preserve"> </w:t>
      </w:r>
      <w:r>
        <w:rPr>
          <w:rFonts w:ascii="Arial" w:hAnsi="Arial" w:cs="Arial"/>
          <w:color w:val="000000"/>
          <w:sz w:val="20"/>
        </w:rPr>
        <w:t>“</w:t>
      </w:r>
      <w:r w:rsidRPr="00F6411C">
        <w:rPr>
          <w:rFonts w:ascii="Arial" w:hAnsi="Arial" w:cs="Arial"/>
          <w:color w:val="000000"/>
          <w:sz w:val="20"/>
        </w:rPr>
        <w:t>Section 5(</w:t>
      </w:r>
      <w:proofErr w:type="gramStart"/>
      <w:r w:rsidRPr="00F6411C">
        <w:rPr>
          <w:rFonts w:ascii="Arial" w:hAnsi="Arial" w:cs="Arial"/>
          <w:color w:val="000000"/>
          <w:sz w:val="20"/>
        </w:rPr>
        <w:t>2)(</w:t>
      </w:r>
      <w:proofErr w:type="spellStart"/>
      <w:proofErr w:type="gramEnd"/>
      <w:r w:rsidRPr="00F6411C">
        <w:rPr>
          <w:rFonts w:ascii="Arial" w:hAnsi="Arial" w:cs="Arial"/>
          <w:color w:val="000000"/>
          <w:sz w:val="20"/>
        </w:rPr>
        <w:t>daaa</w:t>
      </w:r>
      <w:proofErr w:type="spellEnd"/>
      <w:r w:rsidRPr="00F6411C">
        <w:rPr>
          <w:rFonts w:ascii="Arial" w:hAnsi="Arial" w:cs="Arial"/>
          <w:color w:val="000000"/>
          <w:sz w:val="20"/>
        </w:rPr>
        <w:t xml:space="preserve">) of the </w:t>
      </w:r>
      <w:r w:rsidRPr="006C51C3">
        <w:rPr>
          <w:rFonts w:ascii="Arial" w:hAnsi="Arial" w:cs="Arial"/>
          <w:i/>
          <w:iCs/>
          <w:color w:val="000000"/>
          <w:sz w:val="20"/>
        </w:rPr>
        <w:t>Sentencing Act</w:t>
      </w:r>
      <w:r w:rsidRPr="00F6411C">
        <w:rPr>
          <w:rFonts w:ascii="Arial" w:hAnsi="Arial" w:cs="Arial"/>
          <w:color w:val="000000"/>
          <w:sz w:val="20"/>
        </w:rPr>
        <w:t xml:space="preserve"> requires the sentencing judge to have regard to whether the offence was motivated by hatred for or prejudice against a group of people with common characteristics with which the victim was associated or with which the offender believed the victim was associated. By implication, the presence of such a motivation may be treated as an aggravating factor in the sentencing process.</w:t>
      </w:r>
    </w:p>
    <w:p w14:paraId="475114ED" w14:textId="42B97F48"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w:t>
      </w:r>
      <w:r w:rsidRPr="00F6411C">
        <w:rPr>
          <w:rFonts w:ascii="Arial" w:hAnsi="Arial" w:cs="Arial"/>
          <w:color w:val="000000"/>
          <w:sz w:val="20"/>
        </w:rPr>
        <w:t>15</w:t>
      </w:r>
      <w:r>
        <w:rPr>
          <w:rFonts w:ascii="Arial" w:hAnsi="Arial" w:cs="Arial"/>
          <w:color w:val="000000"/>
          <w:sz w:val="20"/>
        </w:rPr>
        <w:t>]</w:t>
      </w:r>
      <w:r w:rsidRPr="00F6411C">
        <w:rPr>
          <w:rFonts w:ascii="Arial" w:hAnsi="Arial" w:cs="Arial"/>
          <w:color w:val="000000"/>
          <w:sz w:val="20"/>
        </w:rPr>
        <w:t xml:space="preserve"> Consistently with this provision, in the course of giving the sentence indication, the judge held that the racist conduct of the applicant ‘considerably elevates the [applicant’s] moral culpability [and] diminishes any basis for mercy or compassion’.</w:t>
      </w:r>
      <w:r>
        <w:rPr>
          <w:rFonts w:ascii="Arial" w:hAnsi="Arial" w:cs="Arial"/>
          <w:color w:val="000000"/>
          <w:sz w:val="20"/>
        </w:rPr>
        <w:t>”</w:t>
      </w:r>
    </w:p>
    <w:p w14:paraId="4ACC8A33" w14:textId="374228CB" w:rsidR="006C51C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6BE10CA7" w14:textId="757AD8C1" w:rsidR="00347B8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[53] </w:t>
      </w:r>
      <w:r w:rsidR="00347B83">
        <w:rPr>
          <w:rFonts w:ascii="Arial" w:hAnsi="Arial" w:cs="Arial"/>
          <w:color w:val="000000"/>
          <w:sz w:val="20"/>
        </w:rPr>
        <w:t>“</w:t>
      </w:r>
      <w:r w:rsidR="00347B83"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00347B83" w:rsidRPr="00F6411C">
        <w:rPr>
          <w:rFonts w:ascii="Arial" w:hAnsi="Arial" w:cs="Arial"/>
          <w:color w:val="000000"/>
          <w:sz w:val="20"/>
        </w:rPr>
        <w:t>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sidR="00347B83">
        <w:rPr>
          <w:rFonts w:ascii="Arial" w:hAnsi="Arial" w:cs="Arial"/>
          <w:color w:val="000000"/>
          <w:sz w:val="20"/>
        </w:rPr>
        <w:t>”</w:t>
      </w:r>
    </w:p>
    <w:p w14:paraId="2BADE35A" w14:textId="77777777" w:rsidR="00347B83" w:rsidRDefault="00347B83" w:rsidP="00A45015">
      <w:pPr>
        <w:pStyle w:val="Normal-Cover"/>
        <w:jc w:val="both"/>
        <w:rPr>
          <w:rFonts w:ascii="Arial" w:hAnsi="Arial" w:cs="Arial"/>
          <w:color w:val="000000"/>
          <w:sz w:val="20"/>
        </w:rPr>
      </w:pPr>
    </w:p>
    <w:p w14:paraId="18E52721" w14:textId="77777777" w:rsidR="00A45015" w:rsidRPr="00DD24BF" w:rsidRDefault="00A45015" w:rsidP="00A45015">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7DFDD8D4" w14:textId="77777777" w:rsidR="00A45015" w:rsidRDefault="00A45015"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05B70776" w14:textId="77777777" w:rsidR="002C7F00" w:rsidRPr="001C6E0E" w:rsidRDefault="002C7F00" w:rsidP="003357E6">
      <w:pPr>
        <w:jc w:val="both"/>
        <w:rPr>
          <w:rFonts w:ascii="Arial" w:hAnsi="Arial" w:cs="Arial"/>
          <w:color w:val="000000"/>
          <w:sz w:val="20"/>
        </w:rPr>
      </w:pPr>
      <w:bookmarkStart w:id="390" w:name="_Toc30674200"/>
      <w:bookmarkStart w:id="391" w:name="_Toc30691467"/>
      <w:bookmarkStart w:id="392" w:name="_Toc30691847"/>
      <w:bookmarkStart w:id="393" w:name="_Toc30692227"/>
      <w:bookmarkStart w:id="394" w:name="_Toc30692985"/>
      <w:bookmarkStart w:id="395" w:name="_Toc30693364"/>
      <w:bookmarkStart w:id="396" w:name="_Toc30693742"/>
      <w:bookmarkStart w:id="397" w:name="_Toc30694120"/>
      <w:bookmarkStart w:id="398" w:name="_Toc30694501"/>
      <w:bookmarkStart w:id="399" w:name="_Toc30699091"/>
      <w:bookmarkStart w:id="400" w:name="_Toc30699476"/>
      <w:bookmarkStart w:id="401" w:name="_Toc30699861"/>
      <w:bookmarkStart w:id="402" w:name="_Toc30701016"/>
      <w:bookmarkStart w:id="403" w:name="_Toc30701403"/>
      <w:bookmarkStart w:id="404" w:name="_Toc30744010"/>
      <w:bookmarkStart w:id="405" w:name="_Toc30754833"/>
      <w:bookmarkStart w:id="406" w:name="_Toc30757289"/>
      <w:bookmarkStart w:id="407" w:name="_Toc30757837"/>
      <w:bookmarkStart w:id="408" w:name="_Toc30758237"/>
      <w:bookmarkStart w:id="409" w:name="_Toc30762997"/>
      <w:bookmarkStart w:id="410" w:name="_Toc30767651"/>
      <w:bookmarkStart w:id="411" w:name="_Toc34823669"/>
      <w:bookmarkStart w:id="412"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3" w:name="_11.2.1_Young_adults"/>
      <w:bookmarkEnd w:id="413"/>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Default="00534532" w:rsidP="00DC479C">
      <w:pPr>
        <w:jc w:val="both"/>
        <w:rPr>
          <w:rFonts w:ascii="Arial" w:hAnsi="Arial" w:cs="Arial"/>
          <w:color w:val="000000"/>
          <w:sz w:val="20"/>
        </w:rPr>
      </w:pPr>
    </w:p>
    <w:p w14:paraId="45A977E4" w14:textId="6E08F9CF" w:rsidR="00F7577D" w:rsidRDefault="00F7577D" w:rsidP="00DC479C">
      <w:pPr>
        <w:jc w:val="both"/>
        <w:rPr>
          <w:rFonts w:ascii="Arial" w:hAnsi="Arial" w:cs="Arial"/>
          <w:color w:val="000000"/>
          <w:sz w:val="20"/>
        </w:rPr>
      </w:pPr>
      <w:r>
        <w:rPr>
          <w:rFonts w:ascii="Arial" w:hAnsi="Arial" w:cs="Arial"/>
          <w:color w:val="000000"/>
          <w:sz w:val="20"/>
        </w:rPr>
        <w:t xml:space="preserve">In </w:t>
      </w:r>
      <w:r w:rsidRPr="00F7577D">
        <w:rPr>
          <w:rFonts w:ascii="Arial" w:hAnsi="Arial" w:cs="Arial"/>
          <w:i/>
          <w:iCs/>
          <w:color w:val="000000"/>
          <w:sz w:val="20"/>
        </w:rPr>
        <w:t>Vassallo v The King</w:t>
      </w:r>
      <w:r>
        <w:rPr>
          <w:rFonts w:ascii="Arial" w:hAnsi="Arial" w:cs="Arial"/>
          <w:color w:val="000000"/>
          <w:sz w:val="20"/>
        </w:rPr>
        <w:t xml:space="preserve"> [2025] VSCA 7 the appellant was between 22 &amp; 24 years of age when he committed the offences of rape (x2), false imprisonment (x2), supply a drug of dependence to a child, </w:t>
      </w:r>
      <w:r>
        <w:rPr>
          <w:rFonts w:ascii="Arial" w:hAnsi="Arial" w:cs="Arial"/>
          <w:color w:val="000000"/>
          <w:sz w:val="20"/>
        </w:rPr>
        <w:lastRenderedPageBreak/>
        <w:t xml:space="preserve">kidnapping and conduct endangering persons. In discussing the relative youth of the appellant, the Court of Appeal (Priest &amp; Kaye JJA) said at [90]-[91]: </w:t>
      </w:r>
    </w:p>
    <w:p w14:paraId="2B535F49" w14:textId="77777777" w:rsidR="00F7577D"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[90] “…While </w:t>
      </w:r>
      <w:r w:rsidRPr="00F7577D">
        <w:rPr>
          <w:rFonts w:ascii="Arial" w:hAnsi="Arial" w:cs="Arial"/>
          <w:color w:val="000000"/>
          <w:sz w:val="20"/>
        </w:rPr>
        <w:t xml:space="preserve">the applicant was young, he was, nevertheless, significantly older and more mature than his two victims. As we have noted, the applicant was a young adult; by contrast, his two victims were young adolescents. There was a patent and significant age discrepancy between the applicant and his two vulnerable victims. </w:t>
      </w:r>
    </w:p>
    <w:p w14:paraId="67868019" w14:textId="6CE82D2C" w:rsidR="00F7577D" w:rsidRPr="001C6E0E"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w:t>
      </w:r>
      <w:r w:rsidRPr="00F7577D">
        <w:rPr>
          <w:rFonts w:ascii="Arial" w:hAnsi="Arial" w:cs="Arial"/>
          <w:color w:val="000000"/>
          <w:sz w:val="20"/>
        </w:rPr>
        <w:t>91</w:t>
      </w:r>
      <w:r>
        <w:rPr>
          <w:rFonts w:ascii="Arial" w:hAnsi="Arial" w:cs="Arial"/>
          <w:color w:val="000000"/>
          <w:sz w:val="20"/>
        </w:rPr>
        <w:t>]</w:t>
      </w:r>
      <w:r w:rsidRPr="00F7577D">
        <w:rPr>
          <w:rFonts w:ascii="Arial" w:hAnsi="Arial" w:cs="Arial"/>
          <w:color w:val="000000"/>
          <w:sz w:val="20"/>
        </w:rPr>
        <w:t xml:space="preserve"> Secondly, while, ordinarily, the youth of an offender may be a mitigating factor, it is recognised that, as the level of the seriousness of the criminality of the offender increases, there will be a corresponding reduction in the mitigating effects of the offender’s youth</w:t>
      </w:r>
      <w:r>
        <w:rPr>
          <w:rFonts w:ascii="Arial" w:hAnsi="Arial" w:cs="Arial"/>
          <w:color w:val="000000"/>
          <w:sz w:val="20"/>
        </w:rPr>
        <w:t xml:space="preserve">: </w:t>
      </w:r>
      <w:r w:rsidRPr="00F7577D">
        <w:rPr>
          <w:rFonts w:ascii="Arial" w:hAnsi="Arial" w:cs="Arial"/>
          <w:i/>
          <w:iCs/>
          <w:color w:val="000000"/>
          <w:sz w:val="20"/>
        </w:rPr>
        <w:t>Azzopardi v The Queen</w:t>
      </w:r>
      <w:r w:rsidRPr="00F7577D">
        <w:rPr>
          <w:rFonts w:ascii="Arial" w:hAnsi="Arial" w:cs="Arial"/>
          <w:color w:val="000000"/>
          <w:sz w:val="20"/>
        </w:rPr>
        <w:t xml:space="preserve"> (2011) 35 VR 43, 57 [44]; </w:t>
      </w:r>
      <w:r w:rsidRPr="00F7577D">
        <w:rPr>
          <w:rFonts w:ascii="Arial" w:hAnsi="Arial" w:cs="Arial"/>
          <w:i/>
          <w:iCs/>
          <w:color w:val="000000"/>
          <w:sz w:val="20"/>
        </w:rPr>
        <w:t>DPP (Cth) v MHK (a</w:t>
      </w:r>
      <w:r>
        <w:rPr>
          <w:rFonts w:ascii="Arial" w:hAnsi="Arial" w:cs="Arial"/>
          <w:i/>
          <w:iCs/>
          <w:color w:val="000000"/>
          <w:sz w:val="20"/>
        </w:rPr>
        <w:t xml:space="preserve"> </w:t>
      </w:r>
      <w:r w:rsidRPr="00F7577D">
        <w:rPr>
          <w:rFonts w:ascii="Arial" w:hAnsi="Arial" w:cs="Arial"/>
          <w:i/>
          <w:iCs/>
          <w:color w:val="000000"/>
          <w:sz w:val="20"/>
        </w:rPr>
        <w:t>pseudonym)</w:t>
      </w:r>
      <w:r w:rsidRPr="00F7577D">
        <w:rPr>
          <w:rFonts w:ascii="Arial" w:hAnsi="Arial" w:cs="Arial"/>
          <w:color w:val="000000"/>
          <w:sz w:val="20"/>
        </w:rPr>
        <w:t xml:space="preserve"> (2017) 52 VR 272, 289 [56]; [2017] VSCA 157. Similarly, where the offence is one which is commonly committed by young offenders, the youth of the offender in question may need to be accorded less weight as a mitigating factor, in order to ensure that the sentencing principles of general deterrence and specific deterrence are given appropriate weight</w:t>
      </w:r>
      <w:r>
        <w:rPr>
          <w:rFonts w:ascii="Arial" w:hAnsi="Arial" w:cs="Arial"/>
          <w:color w:val="000000"/>
          <w:sz w:val="20"/>
        </w:rPr>
        <w:t xml:space="preserve">: </w:t>
      </w:r>
      <w:r w:rsidRPr="00F7577D">
        <w:rPr>
          <w:rFonts w:ascii="Arial" w:hAnsi="Arial" w:cs="Arial"/>
          <w:i/>
          <w:iCs/>
          <w:color w:val="000000"/>
          <w:sz w:val="20"/>
        </w:rPr>
        <w:t>DPP v Lawrence</w:t>
      </w:r>
      <w:r w:rsidRPr="00F7577D">
        <w:rPr>
          <w:rFonts w:ascii="Arial" w:hAnsi="Arial" w:cs="Arial"/>
          <w:color w:val="000000"/>
          <w:sz w:val="20"/>
        </w:rPr>
        <w:t xml:space="preserve"> (2004) 10 VR 125, 132</w:t>
      </w:r>
      <w:r>
        <w:rPr>
          <w:rFonts w:ascii="Arial" w:hAnsi="Arial" w:cs="Arial"/>
          <w:color w:val="000000"/>
          <w:sz w:val="20"/>
        </w:rPr>
        <w:t>-133</w:t>
      </w:r>
      <w:r w:rsidRPr="00F7577D">
        <w:rPr>
          <w:rFonts w:ascii="Arial" w:hAnsi="Arial" w:cs="Arial"/>
          <w:color w:val="000000"/>
          <w:sz w:val="20"/>
        </w:rPr>
        <w:t>; [2004] VSCA 154.</w:t>
      </w:r>
      <w:r>
        <w:rPr>
          <w:rFonts w:ascii="Arial" w:hAnsi="Arial" w:cs="Arial"/>
          <w:color w:val="000000"/>
          <w:sz w:val="20"/>
        </w:rPr>
        <w:t>”</w:t>
      </w:r>
    </w:p>
    <w:p w14:paraId="108534B9" w14:textId="77777777" w:rsidR="00F7577D" w:rsidRDefault="00F7577D"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w:t>
      </w:r>
      <w:r w:rsidRPr="001C6E0E">
        <w:rPr>
          <w:rFonts w:ascii="Arial" w:hAnsi="Arial" w:cs="Arial"/>
          <w:color w:val="000000"/>
          <w:sz w:val="20"/>
        </w:rPr>
        <w:lastRenderedPageBreak/>
        <w:t>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w:t>
      </w:r>
      <w:r w:rsidR="00AF20DD" w:rsidRPr="001C6E0E">
        <w:rPr>
          <w:rFonts w:ascii="Arial" w:hAnsi="Arial" w:cs="Arial"/>
          <w:color w:val="000000"/>
          <w:sz w:val="20"/>
        </w:rPr>
        <w:lastRenderedPageBreak/>
        <w:t>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lastRenderedPageBreak/>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4" w:name="mncYear"/>
      <w:bookmarkEnd w:id="414"/>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313D0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w:t>
      </w:r>
      <w:r w:rsidRPr="001C6E0E">
        <w:rPr>
          <w:rFonts w:ascii="Arial" w:hAnsi="Arial" w:cs="Arial"/>
          <w:color w:val="000000"/>
          <w:sz w:val="20"/>
        </w:rPr>
        <w:lastRenderedPageBreak/>
        <w:t>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w:t>
      </w:r>
      <w:r w:rsidRPr="001C6E0E">
        <w:rPr>
          <w:rFonts w:ascii="Arial" w:hAnsi="Arial" w:cs="Arial"/>
          <w:color w:val="000000"/>
          <w:sz w:val="20"/>
        </w:rPr>
        <w:lastRenderedPageBreak/>
        <w:t xml:space="preserve">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w:t>
      </w:r>
      <w:r w:rsidRPr="001C6E0E">
        <w:rPr>
          <w:rFonts w:ascii="Arial" w:hAnsi="Arial" w:cs="Arial"/>
          <w:color w:val="000000"/>
          <w:sz w:val="20"/>
        </w:rPr>
        <w:lastRenderedPageBreak/>
        <w:t>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313D02" w:rsidRDefault="00324DE2" w:rsidP="00CE6BE3">
      <w:pPr>
        <w:pStyle w:val="Quote1"/>
        <w:widowControl/>
        <w:spacing w:before="120"/>
        <w:ind w:left="1145" w:right="567" w:firstLine="0"/>
        <w:rPr>
          <w:rFonts w:ascii="Arial" w:hAnsi="Arial" w:cs="Arial"/>
          <w:color w:val="000000"/>
          <w:sz w:val="18"/>
        </w:rPr>
      </w:pPr>
      <w:r w:rsidRPr="00313D02">
        <w:rPr>
          <w:rFonts w:ascii="Arial" w:hAnsi="Arial" w:cs="Arial"/>
          <w:color w:val="000000"/>
          <w:sz w:val="18"/>
        </w:rPr>
        <w:t xml:space="preserve">‘… what </w:t>
      </w:r>
      <w:r w:rsidRPr="00313D02">
        <w:rPr>
          <w:rFonts w:ascii="Arial" w:hAnsi="Arial" w:cs="Arial"/>
          <w:i/>
          <w:color w:val="000000"/>
          <w:sz w:val="18"/>
        </w:rPr>
        <w:t xml:space="preserve">Mills </w:t>
      </w:r>
      <w:r w:rsidRPr="00313D02">
        <w:rPr>
          <w:rFonts w:ascii="Arial" w:hAnsi="Arial" w:cs="Arial"/>
          <w:color w:val="000000"/>
          <w:sz w:val="18"/>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313D02" w:rsidRDefault="00324DE2" w:rsidP="00324DE2">
      <w:pPr>
        <w:pStyle w:val="Quote1"/>
        <w:spacing w:before="120"/>
        <w:ind w:left="1145" w:right="567" w:firstLine="0"/>
        <w:rPr>
          <w:rFonts w:ascii="Arial" w:hAnsi="Arial" w:cs="Arial"/>
          <w:color w:val="000000"/>
          <w:sz w:val="18"/>
        </w:rPr>
      </w:pPr>
      <w:r w:rsidRPr="00313D02">
        <w:rPr>
          <w:rFonts w:ascii="Arial" w:hAnsi="Arial" w:cs="Arial"/>
          <w:i/>
          <w:color w:val="000000"/>
          <w:sz w:val="18"/>
        </w:rPr>
        <w:t xml:space="preserve">Mills </w:t>
      </w:r>
      <w:r w:rsidRPr="00313D02">
        <w:rPr>
          <w:rFonts w:ascii="Arial" w:hAnsi="Arial" w:cs="Arial"/>
          <w:color w:val="000000"/>
          <w:sz w:val="18"/>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w:t>
      </w:r>
      <w:r w:rsidRPr="001C6E0E">
        <w:rPr>
          <w:rFonts w:ascii="Arial" w:hAnsi="Arial" w:cs="Arial"/>
          <w:color w:val="000000"/>
          <w:sz w:val="20"/>
        </w:rPr>
        <w:lastRenderedPageBreak/>
        <w:t xml:space="preserve">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w:t>
      </w:r>
      <w:r w:rsidRPr="001C6E0E">
        <w:rPr>
          <w:rFonts w:ascii="Arial" w:hAnsi="Arial" w:cs="Arial"/>
          <w:color w:val="000000"/>
          <w:sz w:val="20"/>
        </w:rPr>
        <w:lastRenderedPageBreak/>
        <w:t xml:space="preserve">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lastRenderedPageBreak/>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offending.  Youth and rehabilitation must be subjugated to other considerations. Indeed, they must take a ‘back seat’ to specific and general deterrence in cases of violent offending</w:t>
      </w:r>
      <w:bookmarkStart w:id="415"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5"/>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313D02" w:rsidRDefault="00BF52E5"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 xml:space="preserve">‘…the general propositions in </w:t>
      </w:r>
      <w:r w:rsidRPr="00313D02">
        <w:rPr>
          <w:rFonts w:ascii="Arial" w:hAnsi="Arial" w:cs="Arial"/>
          <w:i/>
          <w:color w:val="000000"/>
          <w:sz w:val="18"/>
          <w:szCs w:val="18"/>
        </w:rPr>
        <w:t>R v Mills</w:t>
      </w:r>
      <w:r w:rsidRPr="00313D02">
        <w:rPr>
          <w:rFonts w:ascii="Arial" w:hAnsi="Arial" w:cs="Arial"/>
          <w:color w:val="000000"/>
          <w:sz w:val="18"/>
          <w:szCs w:val="18"/>
        </w:rPr>
        <w:t xml:space="preserve"> were just that, general propositions, not of usual or automatic application. Each case depended on its own circumstances, including the circumstances of the offence as well as of the offender: </w:t>
      </w:r>
      <w:r w:rsidRPr="00313D02">
        <w:rPr>
          <w:rFonts w:ascii="Arial" w:hAnsi="Arial" w:cs="Arial"/>
          <w:i/>
          <w:color w:val="000000"/>
          <w:sz w:val="18"/>
          <w:szCs w:val="18"/>
        </w:rPr>
        <w:t xml:space="preserve">R v </w:t>
      </w:r>
      <w:smartTag w:uri="urn:schemas-microsoft-com:office:smarttags" w:element="City">
        <w:smartTag w:uri="urn:schemas-microsoft-com:office:smarttags" w:element="place">
          <w:r w:rsidRPr="00313D02">
            <w:rPr>
              <w:rFonts w:ascii="Arial" w:hAnsi="Arial" w:cs="Arial"/>
              <w:i/>
              <w:color w:val="000000"/>
              <w:sz w:val="18"/>
              <w:szCs w:val="18"/>
            </w:rPr>
            <w:t>Bell</w:t>
          </w:r>
        </w:smartTag>
      </w:smartTag>
      <w:bookmarkStart w:id="416" w:name="JD_BC200405631fntxt2ref"/>
      <w:bookmarkEnd w:id="416"/>
      <w:r w:rsidRPr="00313D02">
        <w:rPr>
          <w:rFonts w:ascii="Arial" w:hAnsi="Arial" w:cs="Arial"/>
          <w:color w:val="000000"/>
          <w:sz w:val="18"/>
          <w:szCs w:val="18"/>
        </w:rPr>
        <w:t xml:space="preserve"> [1999] VSCA 223 at [14] and </w:t>
      </w:r>
      <w:r w:rsidRPr="00313D02">
        <w:rPr>
          <w:rFonts w:ascii="Arial" w:hAnsi="Arial" w:cs="Arial"/>
          <w:i/>
          <w:color w:val="000000"/>
          <w:sz w:val="18"/>
          <w:szCs w:val="18"/>
        </w:rPr>
        <w:t>R v Henne</w:t>
      </w:r>
      <w:bookmarkStart w:id="417" w:name="JD_BC200405631fntxt3ref"/>
      <w:bookmarkEnd w:id="417"/>
      <w:r w:rsidRPr="00313D02">
        <w:rPr>
          <w:rFonts w:ascii="Arial" w:hAnsi="Arial" w:cs="Arial"/>
          <w:i/>
          <w:color w:val="000000"/>
          <w:sz w:val="18"/>
          <w:szCs w:val="18"/>
        </w:rPr>
        <w:t xml:space="preserve">n </w:t>
      </w:r>
      <w:r w:rsidRPr="00313D02">
        <w:rPr>
          <w:rFonts w:ascii="Arial" w:hAnsi="Arial" w:cs="Arial"/>
          <w:color w:val="000000"/>
          <w:sz w:val="18"/>
          <w:szCs w:val="18"/>
          <w:lang w:eastAsia="en-AU"/>
        </w:rPr>
        <w:t>[2004] VSCA 42 at [24]</w:t>
      </w:r>
      <w:r w:rsidRPr="00313D02">
        <w:rPr>
          <w:rFonts w:ascii="Arial" w:hAnsi="Arial" w:cs="Arial"/>
          <w:color w:val="000000"/>
          <w:sz w:val="18"/>
          <w:szCs w:val="18"/>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w:t>
      </w:r>
      <w:r w:rsidRPr="001C6E0E">
        <w:rPr>
          <w:rFonts w:ascii="Arial" w:hAnsi="Arial" w:cs="Arial"/>
          <w:color w:val="000000"/>
          <w:sz w:val="20"/>
        </w:rPr>
        <w:lastRenderedPageBreak/>
        <w:t xml:space="preserve">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313D02" w:rsidRDefault="00834B23" w:rsidP="00834B2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003326B9" w:rsidRPr="00313D02">
        <w:rPr>
          <w:rFonts w:ascii="Arial" w:hAnsi="Arial" w:cs="Arial"/>
          <w:color w:val="000000"/>
          <w:sz w:val="18"/>
          <w:szCs w:val="18"/>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w:t>
      </w:r>
      <w:r w:rsidRPr="001C6E0E">
        <w:rPr>
          <w:rFonts w:ascii="Arial" w:hAnsi="Arial" w:cs="Arial"/>
          <w:color w:val="000000"/>
          <w:sz w:val="20"/>
          <w:lang w:eastAsia="en-AU"/>
        </w:rPr>
        <w:lastRenderedPageBreak/>
        <w:t>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313D02" w:rsidRDefault="003326B9" w:rsidP="003326B9">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313D02" w:rsidRDefault="0034359D"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Pr="00313D02">
        <w:rPr>
          <w:rFonts w:ascii="Arial" w:hAnsi="Arial" w:cs="Arial"/>
          <w:color w:val="000000"/>
          <w:sz w:val="18"/>
          <w:szCs w:val="18"/>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313D02" w:rsidRDefault="0034359D" w:rsidP="0034359D">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313D02">
        <w:rPr>
          <w:rFonts w:ascii="Arial" w:hAnsi="Arial" w:cs="Arial"/>
          <w:color w:val="000000"/>
          <w:sz w:val="18"/>
          <w:szCs w:val="18"/>
        </w:rPr>
        <w:t> </w:t>
      </w:r>
      <w:r w:rsidRPr="00313D02">
        <w:rPr>
          <w:rFonts w:ascii="Arial" w:hAnsi="Arial" w:cs="Arial"/>
          <w:color w:val="000000"/>
          <w:sz w:val="18"/>
          <w:szCs w:val="18"/>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8" w:name="TAACAAG"/>
      <w:bookmarkStart w:id="419" w:name="PAGE_20"/>
      <w:bookmarkEnd w:id="418"/>
      <w:bookmarkEnd w:id="419"/>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 xml:space="preserve">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w:t>
      </w:r>
      <w:r w:rsidRPr="00891DE4">
        <w:rPr>
          <w:rFonts w:ascii="Arial" w:hAnsi="Arial" w:cs="Arial"/>
          <w:sz w:val="20"/>
        </w:rPr>
        <w:lastRenderedPageBreak/>
        <w:t>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w:t>
      </w:r>
      <w:r w:rsidRPr="001C6E0E">
        <w:rPr>
          <w:rFonts w:ascii="Arial" w:hAnsi="Arial" w:cs="Arial"/>
          <w:color w:val="000000"/>
          <w:sz w:val="20"/>
        </w:rPr>
        <w:lastRenderedPageBreak/>
        <w:t>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4EF52908" w14:textId="6967C22E" w:rsidR="00313D02" w:rsidRDefault="00313D02">
      <w:pPr>
        <w:jc w:val="both"/>
        <w:rPr>
          <w:rFonts w:ascii="Arial" w:hAnsi="Arial" w:cs="Arial"/>
          <w:color w:val="000000"/>
          <w:sz w:val="20"/>
          <w:szCs w:val="20"/>
        </w:rPr>
      </w:pPr>
      <w:r>
        <w:rPr>
          <w:rFonts w:ascii="Arial" w:hAnsi="Arial" w:cs="Arial"/>
          <w:color w:val="000000"/>
          <w:sz w:val="20"/>
          <w:szCs w:val="20"/>
        </w:rPr>
        <w:t xml:space="preserve">In </w:t>
      </w:r>
      <w:r w:rsidRPr="00313D02">
        <w:rPr>
          <w:rFonts w:ascii="Arial" w:hAnsi="Arial" w:cs="Arial"/>
          <w:i/>
          <w:iCs/>
          <w:color w:val="000000"/>
          <w:sz w:val="20"/>
          <w:szCs w:val="20"/>
        </w:rPr>
        <w:t>DPP v Clifford</w:t>
      </w:r>
      <w:r>
        <w:rPr>
          <w:rFonts w:ascii="Arial" w:hAnsi="Arial" w:cs="Arial"/>
          <w:color w:val="000000"/>
          <w:sz w:val="20"/>
          <w:szCs w:val="20"/>
        </w:rPr>
        <w:t xml:space="preserve"> [2025] VSC 199 the 18 year old offender had entered an early guilty plea to manslaughter. He had stabbed the 40 year old victim seven times when confronted by the victim </w:t>
      </w:r>
      <w:r w:rsidR="00F74215">
        <w:rPr>
          <w:rFonts w:ascii="Arial" w:hAnsi="Arial" w:cs="Arial"/>
          <w:color w:val="000000"/>
          <w:sz w:val="20"/>
          <w:szCs w:val="20"/>
        </w:rPr>
        <w:t xml:space="preserve">while searching </w:t>
      </w:r>
      <w:r>
        <w:rPr>
          <w:rFonts w:ascii="Arial" w:hAnsi="Arial" w:cs="Arial"/>
          <w:color w:val="000000"/>
          <w:sz w:val="20"/>
          <w:szCs w:val="20"/>
        </w:rPr>
        <w:t>inside the victim’s parked car. The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He also had a limited criminal history, genuine remorse, a drug and alcohol addiction and reasonable prospects of rehabilitation. In sentencing him to IMP8y6m/5y, Incerti J said at [54]-[56] in relation to the offender’s youth:</w:t>
      </w:r>
    </w:p>
    <w:p w14:paraId="79512477" w14:textId="58C10B29"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[54] “Your </w:t>
      </w:r>
      <w:r w:rsidRPr="00313D02">
        <w:rPr>
          <w:rFonts w:ascii="Arial" w:hAnsi="Arial" w:cs="Arial"/>
          <w:color w:val="000000"/>
          <w:sz w:val="20"/>
        </w:rPr>
        <w:t>age is a relevant factor in sentencing you. You were 18 at the time of your offending; you are now 20.</w:t>
      </w:r>
    </w:p>
    <w:p w14:paraId="2DCFB752" w14:textId="018BA32E"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[55] </w:t>
      </w:r>
      <w:r w:rsidRPr="00313D02">
        <w:rPr>
          <w:rFonts w:ascii="Arial" w:hAnsi="Arial" w:cs="Arial"/>
          <w:color w:val="000000"/>
          <w:sz w:val="20"/>
        </w:rPr>
        <w:t>The law says that the youth of an offender should be a primary consideration for a sentencing court when the matter properly arises</w:t>
      </w:r>
      <w:r>
        <w:rPr>
          <w:rFonts w:ascii="Arial" w:hAnsi="Arial" w:cs="Arial"/>
          <w:color w:val="000000"/>
          <w:sz w:val="20"/>
        </w:rPr>
        <w:t xml:space="preserve">: </w:t>
      </w:r>
      <w:r w:rsidRPr="00313D02">
        <w:rPr>
          <w:rFonts w:ascii="Arial" w:hAnsi="Arial" w:cs="Arial"/>
          <w:i/>
          <w:iCs/>
          <w:color w:val="000000"/>
          <w:sz w:val="20"/>
        </w:rPr>
        <w:t>Azzopardi v The Queen</w:t>
      </w:r>
      <w:r w:rsidRPr="00313D02">
        <w:rPr>
          <w:rFonts w:ascii="Arial" w:hAnsi="Arial" w:cs="Arial"/>
          <w:color w:val="000000"/>
          <w:sz w:val="20"/>
        </w:rPr>
        <w:t xml:space="preserve"> (2011) 35</w:t>
      </w:r>
      <w:r>
        <w:rPr>
          <w:rFonts w:ascii="Arial" w:hAnsi="Arial" w:cs="Arial"/>
          <w:color w:val="000000"/>
          <w:sz w:val="20"/>
        </w:rPr>
        <w:t> </w:t>
      </w:r>
      <w:r w:rsidRPr="00313D02">
        <w:rPr>
          <w:rFonts w:ascii="Arial" w:hAnsi="Arial" w:cs="Arial"/>
          <w:color w:val="000000"/>
          <w:sz w:val="20"/>
        </w:rPr>
        <w:t>VR</w:t>
      </w:r>
      <w:r>
        <w:rPr>
          <w:rFonts w:ascii="Arial" w:hAnsi="Arial" w:cs="Arial"/>
          <w:color w:val="000000"/>
          <w:sz w:val="20"/>
        </w:rPr>
        <w:t> </w:t>
      </w:r>
      <w:r w:rsidRPr="00313D02">
        <w:rPr>
          <w:rFonts w:ascii="Arial" w:hAnsi="Arial" w:cs="Arial"/>
          <w:color w:val="000000"/>
          <w:sz w:val="20"/>
        </w:rPr>
        <w:t>43. In the case of such an offender, rehabilitation is usually more important than general deterrence; that is because rehabilitation benefits the community as well as the offender.</w:t>
      </w:r>
    </w:p>
    <w:p w14:paraId="21350799" w14:textId="203D530D" w:rsidR="00313D02" w:rsidRPr="001C6E0E"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[56] </w:t>
      </w:r>
      <w:r w:rsidRPr="00313D02">
        <w:rPr>
          <w:rFonts w:ascii="Arial" w:hAnsi="Arial" w:cs="Arial"/>
          <w:color w:val="000000"/>
          <w:sz w:val="20"/>
        </w:rPr>
        <w:t>These principles, however, are not absolute. Due regard must be had in each case to other relevant matters, including the seriousness of the offending and whether there has been any prior offending. Generally speaking, the more serious the offending, the less weight to be attributed to youth. However, the mitigatory effect of youth will be extinguished only in circumstances of the gravest criminal offending, and where there is no realistic prospect of rehabilitation. Your youth is an especially important factor in this sentencing exercise.</w:t>
      </w:r>
      <w:r>
        <w:rPr>
          <w:rFonts w:ascii="Arial" w:hAnsi="Arial" w:cs="Arial"/>
          <w:color w:val="000000"/>
          <w:sz w:val="20"/>
        </w:rPr>
        <w:t>”</w:t>
      </w:r>
    </w:p>
    <w:p w14:paraId="122A7E06" w14:textId="77777777" w:rsidR="00313D02" w:rsidRDefault="00313D02">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20" w:name="_11.2.2_Children_and"/>
      <w:bookmarkStart w:id="421" w:name="_Toc30674201"/>
      <w:bookmarkStart w:id="422" w:name="_Toc30691468"/>
      <w:bookmarkStart w:id="423" w:name="_Toc30691848"/>
      <w:bookmarkStart w:id="424" w:name="_Toc30692228"/>
      <w:bookmarkStart w:id="425" w:name="_Toc30692986"/>
      <w:bookmarkStart w:id="426" w:name="_Toc30693365"/>
      <w:bookmarkStart w:id="427" w:name="_Toc30693743"/>
      <w:bookmarkStart w:id="428" w:name="_Toc30694121"/>
      <w:bookmarkStart w:id="429" w:name="_Toc30694502"/>
      <w:bookmarkStart w:id="430" w:name="_Toc30699092"/>
      <w:bookmarkStart w:id="431" w:name="_Toc30699477"/>
      <w:bookmarkStart w:id="432" w:name="_Toc30699862"/>
      <w:bookmarkStart w:id="433" w:name="_Toc30701017"/>
      <w:bookmarkStart w:id="434" w:name="_Toc30701404"/>
      <w:bookmarkStart w:id="435" w:name="_Toc30744011"/>
      <w:bookmarkStart w:id="436" w:name="_Toc30754834"/>
      <w:bookmarkStart w:id="437" w:name="_Toc30757290"/>
      <w:bookmarkStart w:id="438" w:name="_Toc30757838"/>
      <w:bookmarkStart w:id="439" w:name="_Toc30758238"/>
      <w:bookmarkStart w:id="440" w:name="_Toc30762998"/>
      <w:bookmarkStart w:id="441" w:name="_Toc30767652"/>
      <w:bookmarkStart w:id="442" w:name="_Toc34823670"/>
      <w:bookmarkStart w:id="443" w:name="_Toc107101747"/>
      <w:bookmarkEnd w:id="420"/>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lastRenderedPageBreak/>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lastRenderedPageBreak/>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4" w:name="_11.2.3_Sentencing_hierarchy"/>
      <w:bookmarkStart w:id="445" w:name="_Toc30674202"/>
      <w:bookmarkStart w:id="446" w:name="_Toc30691469"/>
      <w:bookmarkStart w:id="447" w:name="_Toc30691849"/>
      <w:bookmarkStart w:id="448" w:name="_Toc30692229"/>
      <w:bookmarkStart w:id="449" w:name="_Toc30692987"/>
      <w:bookmarkStart w:id="450" w:name="_Toc30693366"/>
      <w:bookmarkStart w:id="451" w:name="_Toc30693744"/>
      <w:bookmarkStart w:id="452" w:name="_Toc30694122"/>
      <w:bookmarkStart w:id="453" w:name="_Toc30694503"/>
      <w:bookmarkStart w:id="454" w:name="_Toc30699093"/>
      <w:bookmarkStart w:id="455" w:name="_Toc30699478"/>
      <w:bookmarkStart w:id="456" w:name="_Toc30699863"/>
      <w:bookmarkStart w:id="457" w:name="_Toc30701018"/>
      <w:bookmarkStart w:id="458" w:name="_Toc30701405"/>
      <w:bookmarkStart w:id="459" w:name="_Toc30744012"/>
      <w:bookmarkStart w:id="460" w:name="_Toc30754835"/>
      <w:bookmarkStart w:id="461" w:name="_Toc30757291"/>
      <w:bookmarkStart w:id="462" w:name="_Toc30757839"/>
      <w:bookmarkStart w:id="463" w:name="_Toc30758239"/>
      <w:bookmarkStart w:id="464" w:name="_Toc30762999"/>
      <w:bookmarkStart w:id="465" w:name="_Toc30767653"/>
      <w:bookmarkStart w:id="466" w:name="_Toc34823671"/>
      <w:bookmarkStart w:id="467" w:name="_Toc107101748"/>
      <w:bookmarkEnd w:id="444"/>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8" w:name="_11.2.4_Factual_basis"/>
      <w:bookmarkStart w:id="469" w:name="_Toc30674203"/>
      <w:bookmarkStart w:id="470" w:name="_Toc30691470"/>
      <w:bookmarkStart w:id="471" w:name="_Toc30691850"/>
      <w:bookmarkStart w:id="472" w:name="_Toc30692230"/>
      <w:bookmarkStart w:id="473" w:name="_Toc30692988"/>
      <w:bookmarkStart w:id="474" w:name="_Toc30693367"/>
      <w:bookmarkStart w:id="475" w:name="_Toc30693745"/>
      <w:bookmarkStart w:id="476" w:name="_Toc30694123"/>
      <w:bookmarkStart w:id="477" w:name="_Toc30694504"/>
      <w:bookmarkStart w:id="478" w:name="_Toc30699094"/>
      <w:bookmarkStart w:id="479" w:name="_Toc30699479"/>
      <w:bookmarkStart w:id="480" w:name="_Toc30699864"/>
      <w:bookmarkStart w:id="481" w:name="_Toc30701019"/>
      <w:bookmarkStart w:id="482" w:name="_Toc30701406"/>
      <w:bookmarkStart w:id="483" w:name="_Toc30744013"/>
      <w:bookmarkStart w:id="484" w:name="_Toc30754836"/>
      <w:bookmarkStart w:id="485" w:name="_Toc30757292"/>
      <w:bookmarkStart w:id="486" w:name="_Toc30757840"/>
      <w:bookmarkStart w:id="487" w:name="_Toc30758240"/>
      <w:bookmarkStart w:id="488" w:name="_Toc30763000"/>
      <w:bookmarkStart w:id="489" w:name="_Toc30767654"/>
      <w:bookmarkStart w:id="490" w:name="_Toc34823672"/>
      <w:bookmarkStart w:id="491" w:name="_Toc107101749"/>
      <w:bookmarkEnd w:id="468"/>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 xml:space="preserve">Notwithstanding his Honour's meticulous review of a large body of evidence, the determination of at least some contested facts adversely to the appellant took into account her failure to give sworn evidence at the sentence hearing. It is not suggested </w:t>
      </w:r>
      <w:r w:rsidR="00BC5745" w:rsidRPr="00BC5745">
        <w:rPr>
          <w:rFonts w:ascii="Arial" w:hAnsi="Arial" w:cs="Arial"/>
          <w:color w:val="000000"/>
          <w:sz w:val="20"/>
        </w:rPr>
        <w:lastRenderedPageBreak/>
        <w:t>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w:t>
      </w:r>
      <w:r w:rsidRPr="00F60228">
        <w:rPr>
          <w:rFonts w:ascii="Arial" w:hAnsi="Arial" w:cs="Arial"/>
          <w:color w:val="000000"/>
          <w:sz w:val="20"/>
        </w:rPr>
        <w:lastRenderedPageBreak/>
        <w:t>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313D02">
      <w:pPr>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w:t>
      </w:r>
      <w:r w:rsidRPr="00A15D3D">
        <w:rPr>
          <w:rFonts w:ascii="Arial" w:hAnsi="Arial" w:cs="Arial"/>
          <w:sz w:val="20"/>
          <w:szCs w:val="20"/>
        </w:rPr>
        <w:lastRenderedPageBreak/>
        <w:t xml:space="preserve">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 xml:space="preserve">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w:t>
      </w:r>
      <w:r w:rsidRPr="00A15D3D">
        <w:rPr>
          <w:rFonts w:ascii="Arial" w:hAnsi="Arial" w:cs="Arial"/>
          <w:sz w:val="20"/>
          <w:szCs w:val="20"/>
        </w:rPr>
        <w:lastRenderedPageBreak/>
        <w:t>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92" w:name="_11.2.5_Purpose_of"/>
      <w:bookmarkStart w:id="493" w:name="_Toc30674204"/>
      <w:bookmarkStart w:id="494" w:name="_Toc30691471"/>
      <w:bookmarkStart w:id="495" w:name="_Toc30691851"/>
      <w:bookmarkStart w:id="496" w:name="_Toc30692231"/>
      <w:bookmarkStart w:id="497" w:name="_Toc30692989"/>
      <w:bookmarkStart w:id="498" w:name="_Toc30693368"/>
      <w:bookmarkStart w:id="499" w:name="_Toc30693746"/>
      <w:bookmarkStart w:id="500" w:name="_Toc30694124"/>
      <w:bookmarkStart w:id="501" w:name="_Toc30694505"/>
      <w:bookmarkStart w:id="502" w:name="_Toc30699095"/>
      <w:bookmarkStart w:id="503" w:name="_Toc30699480"/>
      <w:bookmarkStart w:id="504" w:name="_Toc30699865"/>
      <w:bookmarkStart w:id="505" w:name="_Toc30701020"/>
      <w:bookmarkStart w:id="506" w:name="_Toc30701407"/>
      <w:bookmarkStart w:id="507" w:name="_Toc30744014"/>
      <w:bookmarkStart w:id="508" w:name="_Toc30754837"/>
      <w:bookmarkStart w:id="509" w:name="_Toc30757293"/>
      <w:bookmarkStart w:id="510" w:name="_Toc30757841"/>
      <w:bookmarkStart w:id="511" w:name="_Toc30758241"/>
      <w:bookmarkStart w:id="512" w:name="_Toc30763001"/>
      <w:bookmarkStart w:id="513" w:name="_Toc30767655"/>
      <w:bookmarkStart w:id="514" w:name="_Toc34823673"/>
      <w:bookmarkStart w:id="515" w:name="_Toc107101750"/>
      <w:bookmarkEnd w:id="492"/>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1</w:t>
      </w:r>
      <w:r w:rsidR="0081231F">
        <w:rPr>
          <w:rFonts w:ascii="Arial" w:hAnsi="Arial" w:cs="Arial"/>
          <w:color w:val="000000"/>
          <w:sz w:val="20"/>
        </w:rPr>
        <w:t>9</w:t>
      </w:r>
      <w:r>
        <w:rPr>
          <w:rFonts w:ascii="Arial" w:hAnsi="Arial" w:cs="Arial"/>
          <w:color w:val="000000"/>
          <w:sz w:val="20"/>
        </w:rPr>
        <w:t xml:space="preserve"> year old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r w:rsidR="00F93540" w:rsidRPr="00F93540">
        <w:rPr>
          <w:rFonts w:ascii="Arial" w:hAnsi="Arial" w:cs="Arial"/>
          <w:i/>
          <w:iCs/>
          <w:color w:val="000000"/>
          <w:sz w:val="20"/>
        </w:rPr>
        <w:t>Gosland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w:t>
      </w:r>
      <w:r w:rsidRPr="00F93540">
        <w:rPr>
          <w:rFonts w:ascii="Arial" w:hAnsi="Arial" w:cs="Arial"/>
          <w:color w:val="000000"/>
          <w:sz w:val="18"/>
          <w:szCs w:val="22"/>
        </w:rPr>
        <w:lastRenderedPageBreak/>
        <w:t>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rsidP="00F93540">
      <w:pPr>
        <w:pStyle w:val="ListParagraph"/>
        <w:numPr>
          <w:ilvl w:val="0"/>
          <w:numId w:val="139"/>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rsidP="00303CCD">
      <w:pPr>
        <w:pStyle w:val="ListParagraph"/>
        <w:numPr>
          <w:ilvl w:val="0"/>
          <w:numId w:val="139"/>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6" w:name="_11.2.6_Parity_of"/>
      <w:bookmarkStart w:id="517" w:name="_Toc30674205"/>
      <w:bookmarkStart w:id="518" w:name="_Toc30691472"/>
      <w:bookmarkStart w:id="519" w:name="_Toc30691852"/>
      <w:bookmarkStart w:id="520" w:name="_Toc30692232"/>
      <w:bookmarkStart w:id="521" w:name="_Toc30692990"/>
      <w:bookmarkStart w:id="522" w:name="_Toc30693369"/>
      <w:bookmarkStart w:id="523" w:name="_Toc30693747"/>
      <w:bookmarkStart w:id="524" w:name="_Toc30694125"/>
      <w:bookmarkStart w:id="525" w:name="_Toc30694506"/>
      <w:bookmarkStart w:id="526" w:name="_Toc30699096"/>
      <w:bookmarkStart w:id="527" w:name="_Toc30699481"/>
      <w:bookmarkStart w:id="528" w:name="_Toc30699866"/>
      <w:bookmarkStart w:id="529" w:name="_Toc30701021"/>
      <w:bookmarkStart w:id="530" w:name="_Toc30701408"/>
      <w:bookmarkStart w:id="531" w:name="_Toc30744015"/>
      <w:bookmarkStart w:id="532" w:name="_Toc30754838"/>
      <w:bookmarkStart w:id="533" w:name="_Toc30757294"/>
      <w:bookmarkStart w:id="534" w:name="_Toc30757842"/>
      <w:bookmarkStart w:id="535" w:name="_Toc30758242"/>
      <w:bookmarkStart w:id="536" w:name="_Toc30763002"/>
      <w:bookmarkStart w:id="537" w:name="_Toc30767656"/>
      <w:bookmarkStart w:id="538" w:name="_Toc34823674"/>
      <w:bookmarkStart w:id="539" w:name="_Toc107101751"/>
      <w:bookmarkEnd w:id="516"/>
      <w:r w:rsidRPr="001C6E0E">
        <w:rPr>
          <w:rFonts w:ascii="Arial" w:hAnsi="Arial" w:cs="Arial"/>
          <w:b/>
          <w:bCs/>
          <w:color w:val="000000"/>
          <w:sz w:val="20"/>
        </w:rPr>
        <w:t>11.2.6</w:t>
      </w:r>
      <w:r w:rsidRPr="001C6E0E">
        <w:rPr>
          <w:rFonts w:ascii="Arial" w:hAnsi="Arial" w:cs="Arial"/>
          <w:b/>
          <w:bCs/>
          <w:color w:val="000000"/>
          <w:sz w:val="20"/>
        </w:rPr>
        <w:tab/>
        <w:t>Parity of sentencing</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w:t>
      </w:r>
      <w:r w:rsidRPr="003972EF">
        <w:rPr>
          <w:rFonts w:ascii="Arial" w:hAnsi="Arial" w:cs="Arial"/>
          <w:color w:val="000000"/>
          <w:sz w:val="20"/>
          <w:szCs w:val="22"/>
        </w:rPr>
        <w:lastRenderedPageBreak/>
        <w:t xml:space="preserve">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313D02" w:rsidRDefault="00075155" w:rsidP="00075155">
      <w:pPr>
        <w:spacing w:before="60"/>
        <w:ind w:left="1021" w:right="1021"/>
        <w:jc w:val="both"/>
        <w:rPr>
          <w:rFonts w:ascii="Arial" w:hAnsi="Arial" w:cs="Arial"/>
          <w:color w:val="000000"/>
          <w:sz w:val="18"/>
          <w:szCs w:val="18"/>
        </w:rPr>
      </w:pPr>
      <w:r w:rsidRPr="00313D02">
        <w:rPr>
          <w:rFonts w:ascii="Arial" w:hAnsi="Arial" w:cs="Arial"/>
          <w:color w:val="000000"/>
          <w:sz w:val="18"/>
          <w:szCs w:val="18"/>
        </w:rPr>
        <w:t xml:space="preserve">‘The principles governing parity are well-established: see </w:t>
      </w:r>
      <w:r w:rsidRPr="00313D02">
        <w:rPr>
          <w:rFonts w:ascii="Arial" w:hAnsi="Arial" w:cs="Arial"/>
          <w:i/>
          <w:iCs/>
          <w:color w:val="000000"/>
          <w:sz w:val="18"/>
          <w:szCs w:val="18"/>
        </w:rPr>
        <w:t>Khoa v The Queen</w:t>
      </w:r>
      <w:r w:rsidRPr="00313D02">
        <w:rPr>
          <w:rFonts w:ascii="Arial" w:hAnsi="Arial" w:cs="Arial"/>
          <w:color w:val="000000"/>
          <w:sz w:val="18"/>
          <w:szCs w:val="18"/>
        </w:rPr>
        <w:t xml:space="preserve"> [2015] VSCA 80; </w:t>
      </w:r>
      <w:r w:rsidRPr="00313D02">
        <w:rPr>
          <w:rFonts w:ascii="Arial" w:hAnsi="Arial" w:cs="Arial"/>
          <w:i/>
          <w:iCs/>
          <w:color w:val="000000"/>
          <w:sz w:val="18"/>
          <w:szCs w:val="18"/>
        </w:rPr>
        <w:t>McCloskey-Sharp v The Queen</w:t>
      </w:r>
      <w:r w:rsidRPr="00313D02">
        <w:rPr>
          <w:rFonts w:ascii="Arial" w:hAnsi="Arial" w:cs="Arial"/>
          <w:color w:val="000000"/>
          <w:sz w:val="18"/>
          <w:szCs w:val="18"/>
        </w:rPr>
        <w:t xml:space="preserve"> [2015] VSCA 87; </w:t>
      </w:r>
      <w:r w:rsidRPr="00313D02">
        <w:rPr>
          <w:rFonts w:ascii="Arial" w:hAnsi="Arial" w:cs="Arial"/>
          <w:i/>
          <w:iCs/>
          <w:color w:val="000000"/>
          <w:sz w:val="18"/>
          <w:szCs w:val="18"/>
        </w:rPr>
        <w:t>Roujnikov v The Queen</w:t>
      </w:r>
      <w:r w:rsidRPr="00313D02">
        <w:rPr>
          <w:rFonts w:ascii="Arial" w:hAnsi="Arial" w:cs="Arial"/>
          <w:color w:val="000000"/>
          <w:sz w:val="18"/>
          <w:szCs w:val="18"/>
        </w:rPr>
        <w:t xml:space="preserve"> [2015] VSCA 97 [24]–[25].  Equal justice requires that like offences be treated alike, but also that 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w:t>
      </w:r>
      <w:r w:rsidRPr="00313D02">
        <w:rPr>
          <w:rFonts w:ascii="Arial" w:hAnsi="Arial" w:cs="Arial"/>
          <w:i/>
          <w:iCs/>
          <w:color w:val="000000"/>
          <w:sz w:val="18"/>
          <w:szCs w:val="18"/>
        </w:rPr>
        <w:t>Lowe v The Queen</w:t>
      </w:r>
      <w:r w:rsidRPr="00313D02">
        <w:rPr>
          <w:rFonts w:ascii="Arial" w:hAnsi="Arial" w:cs="Arial"/>
          <w:color w:val="000000"/>
          <w:sz w:val="18"/>
          <w:szCs w:val="18"/>
        </w:rPr>
        <w:t xml:space="preserve"> (1984) 154 CLR 606;  </w:t>
      </w:r>
      <w:r w:rsidRPr="00313D02">
        <w:rPr>
          <w:rFonts w:ascii="Arial" w:hAnsi="Arial" w:cs="Arial"/>
          <w:i/>
          <w:iCs/>
          <w:color w:val="000000"/>
          <w:sz w:val="18"/>
          <w:szCs w:val="18"/>
        </w:rPr>
        <w:t>R v Postiglione</w:t>
      </w:r>
      <w:r w:rsidRPr="00313D02">
        <w:rPr>
          <w:rFonts w:ascii="Arial" w:hAnsi="Arial" w:cs="Arial"/>
          <w:color w:val="000000"/>
          <w:sz w:val="18"/>
          <w:szCs w:val="18"/>
        </w:rPr>
        <w:t xml:space="preserve"> (1997) 189 CLR 295;  </w:t>
      </w:r>
      <w:r w:rsidRPr="00313D02">
        <w:rPr>
          <w:rFonts w:ascii="Arial" w:hAnsi="Arial" w:cs="Arial"/>
          <w:i/>
          <w:iCs/>
          <w:color w:val="000000"/>
          <w:sz w:val="18"/>
          <w:szCs w:val="18"/>
        </w:rPr>
        <w:t>Green v The Queen</w:t>
      </w:r>
      <w:r w:rsidRPr="00313D02">
        <w:rPr>
          <w:rFonts w:ascii="Arial" w:hAnsi="Arial" w:cs="Arial"/>
          <w:color w:val="000000"/>
          <w:sz w:val="18"/>
          <w:szCs w:val="18"/>
        </w:rPr>
        <w:t xml:space="preserve"> (2011) 244 CLR 462.15  However, no justifiable sense of grievance can be said to arise where it was reasonably open to the sentencing judge to differentiate between co-offenders in the way in which he or she did: </w:t>
      </w:r>
      <w:r w:rsidRPr="00313D02">
        <w:rPr>
          <w:rFonts w:ascii="Arial" w:hAnsi="Arial" w:cs="Arial"/>
          <w:i/>
          <w:iCs/>
          <w:color w:val="000000"/>
          <w:sz w:val="18"/>
          <w:szCs w:val="18"/>
        </w:rPr>
        <w:t>Roujnikov</w:t>
      </w:r>
      <w:r w:rsidRPr="00313D02">
        <w:rPr>
          <w:rFonts w:ascii="Arial" w:hAnsi="Arial" w:cs="Arial"/>
          <w:color w:val="000000"/>
          <w:sz w:val="18"/>
          <w:szCs w:val="18"/>
        </w:rPr>
        <w:t xml:space="preserve"> [2015] VSCA 97, quoting </w:t>
      </w:r>
      <w:r w:rsidRPr="00313D02">
        <w:rPr>
          <w:rFonts w:ascii="Arial" w:hAnsi="Arial" w:cs="Arial"/>
          <w:i/>
          <w:iCs/>
          <w:color w:val="000000"/>
          <w:sz w:val="18"/>
          <w:szCs w:val="18"/>
        </w:rPr>
        <w:t>McCloskey-Sharp</w:t>
      </w:r>
      <w:r w:rsidRPr="00313D02">
        <w:rPr>
          <w:rFonts w:ascii="Arial" w:hAnsi="Arial" w:cs="Arial"/>
          <w:color w:val="000000"/>
          <w:sz w:val="18"/>
          <w:szCs w:val="18"/>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 </w:t>
      </w:r>
      <w:r w:rsidRPr="00313D02">
        <w:rPr>
          <w:rFonts w:ascii="Arial" w:hAnsi="Arial" w:cs="Arial"/>
          <w:i/>
          <w:iCs/>
          <w:color w:val="000000"/>
          <w:sz w:val="18"/>
          <w:szCs w:val="18"/>
        </w:rPr>
        <w:t>Hilder v The Queen</w:t>
      </w:r>
      <w:r w:rsidRPr="00313D02">
        <w:rPr>
          <w:rFonts w:ascii="Arial" w:hAnsi="Arial" w:cs="Arial"/>
          <w:color w:val="000000"/>
          <w:sz w:val="18"/>
          <w:szCs w:val="18"/>
        </w:rPr>
        <w:t xml:space="preserve"> [2011] VSCA 192 [38]–[39] (Maxwell P).’”</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w:t>
      </w:r>
      <w:r w:rsidRPr="006034BB">
        <w:rPr>
          <w:rFonts w:ascii="Arial" w:eastAsia="Book Antiqua" w:hAnsi="Arial" w:cs="Arial"/>
          <w:i/>
          <w:sz w:val="20"/>
          <w:szCs w:val="20"/>
        </w:rPr>
        <w:lastRenderedPageBreak/>
        <w:t xml:space="preserve">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Consistency in the punishment of offences against the criminal law is ‘a reflection of the notion of equal justice’ and ‘is a fundamental element in any rational and fair system of justice’.</w:t>
      </w:r>
    </w:p>
    <w:p w14:paraId="67ACD7DD"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cooffenders and to recognise that:</w:t>
      </w:r>
    </w:p>
    <w:p w14:paraId="6CE21D3D"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 xml:space="preserve">Equal justice requires identity of outcome in cases that are </w:t>
      </w:r>
      <w:r w:rsidRPr="00313D02">
        <w:rPr>
          <w:rFonts w:ascii="Arial" w:eastAsia="Book Antiqua" w:hAnsi="Arial" w:cs="Arial"/>
          <w:i/>
          <w:sz w:val="18"/>
          <w:szCs w:val="18"/>
        </w:rPr>
        <w:t>relevantly</w:t>
      </w:r>
      <w:r w:rsidRPr="00313D02">
        <w:rPr>
          <w:rFonts w:ascii="Arial" w:hAnsi="Arial" w:cs="Arial"/>
          <w:sz w:val="18"/>
          <w:szCs w:val="18"/>
        </w:rPr>
        <w:t xml:space="preserve"> identical.  It requires different outcomes in cases that are different in some relevant aspect.</w:t>
      </w:r>
    </w:p>
    <w:p w14:paraId="398892D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313D02">
        <w:rPr>
          <w:rFonts w:ascii="Arial" w:eastAsia="Book Antiqua" w:hAnsi="Arial" w:cs="Arial"/>
          <w:i/>
          <w:sz w:val="18"/>
          <w:szCs w:val="18"/>
        </w:rPr>
        <w:t>R v Djukic</w:t>
      </w:r>
      <w:r w:rsidRPr="00313D02">
        <w:rPr>
          <w:rFonts w:ascii="Arial" w:hAnsi="Arial" w:cs="Arial"/>
          <w:sz w:val="18"/>
          <w:szCs w:val="18"/>
        </w:rPr>
        <w:t>:</w:t>
      </w:r>
    </w:p>
    <w:p w14:paraId="47760850"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313D02" w:rsidRDefault="00C0005B" w:rsidP="00075155">
      <w:pPr>
        <w:spacing w:before="60"/>
        <w:ind w:left="1021" w:right="1021"/>
        <w:jc w:val="both"/>
        <w:rPr>
          <w:rFonts w:ascii="Arial" w:hAnsi="Arial" w:cs="Arial"/>
          <w:sz w:val="18"/>
          <w:szCs w:val="18"/>
        </w:rPr>
      </w:pPr>
      <w:r w:rsidRPr="00313D02">
        <w:rPr>
          <w:rFonts w:ascii="Arial" w:hAnsi="Arial" w:cs="Arial"/>
          <w:sz w:val="18"/>
          <w:szCs w:val="18"/>
        </w:rPr>
        <w:t>“</w:t>
      </w:r>
      <w:r w:rsidR="00075155" w:rsidRPr="00313D02">
        <w:rPr>
          <w:rFonts w:ascii="Arial" w:hAnsi="Arial" w:cs="Arial"/>
          <w:sz w:val="18"/>
          <w:szCs w:val="18"/>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p>
    <w:p w14:paraId="5C86A637" w14:textId="77777777" w:rsidR="00075155" w:rsidRPr="00313D02" w:rsidRDefault="00075155">
      <w:pPr>
        <w:jc w:val="both"/>
        <w:rPr>
          <w:rFonts w:ascii="Arial" w:hAnsi="Arial" w:cs="Arial"/>
          <w:color w:val="000000"/>
          <w:sz w:val="18"/>
          <w:szCs w:val="22"/>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313D02" w:rsidRDefault="00820276" w:rsidP="00820276">
      <w:pPr>
        <w:spacing w:before="60"/>
        <w:ind w:left="567" w:right="567"/>
        <w:jc w:val="both"/>
        <w:rPr>
          <w:rFonts w:ascii="Arial" w:hAnsi="Arial" w:cs="Arial"/>
          <w:color w:val="000000"/>
          <w:sz w:val="18"/>
          <w:szCs w:val="22"/>
        </w:rPr>
      </w:pPr>
      <w:r w:rsidRPr="00313D02">
        <w:rPr>
          <w:rFonts w:ascii="Arial" w:hAnsi="Arial" w:cs="Arial"/>
          <w:sz w:val="18"/>
          <w:szCs w:val="18"/>
        </w:rPr>
        <w:t xml:space="preserve">[14] </w:t>
      </w:r>
      <w:r w:rsidR="002B4E29" w:rsidRPr="00313D02">
        <w:rPr>
          <w:rFonts w:ascii="Arial" w:hAnsi="Arial" w:cs="Arial"/>
          <w:sz w:val="18"/>
          <w:szCs w:val="18"/>
        </w:rPr>
        <w:t>“[C]omplaints of unjustifiable disparity are not the exclusive preserve of co-offenders.  On</w:t>
      </w:r>
      <w:r w:rsidRPr="00313D02">
        <w:rPr>
          <w:rFonts w:ascii="Arial" w:hAnsi="Arial" w:cs="Arial"/>
          <w:sz w:val="18"/>
          <w:szCs w:val="18"/>
        </w:rPr>
        <w:t> </w:t>
      </w:r>
      <w:r w:rsidR="002B4E29" w:rsidRPr="00313D02">
        <w:rPr>
          <w:rFonts w:ascii="Arial" w:hAnsi="Arial" w:cs="Arial"/>
          <w:sz w:val="18"/>
          <w:szCs w:val="18"/>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313D02">
        <w:rPr>
          <w:rFonts w:ascii="Arial" w:eastAsia="Book Antiqua" w:hAnsi="Arial" w:cs="Arial"/>
          <w:sz w:val="18"/>
          <w:szCs w:val="18"/>
        </w:rPr>
        <w:t xml:space="preserve">‘relevantly identical’ </w:t>
      </w:r>
      <w:r w:rsidR="002B4E29" w:rsidRPr="00313D02">
        <w:rPr>
          <w:rFonts w:ascii="Arial" w:hAnsi="Arial" w:cs="Arial"/>
          <w:sz w:val="18"/>
          <w:szCs w:val="18"/>
        </w:rPr>
        <w:t xml:space="preserve">offending, then </w:t>
      </w:r>
      <w:r w:rsidR="002B4E29" w:rsidRPr="00313D02">
        <w:rPr>
          <w:rFonts w:ascii="Arial" w:eastAsia="Book Antiqua" w:hAnsi="Arial" w:cs="Arial"/>
          <w:sz w:val="18"/>
          <w:szCs w:val="18"/>
        </w:rPr>
        <w:t>—</w:t>
      </w:r>
      <w:r w:rsidR="002B4E29" w:rsidRPr="00313D02">
        <w:rPr>
          <w:rFonts w:ascii="Arial" w:hAnsi="Arial" w:cs="Arial"/>
          <w:sz w:val="18"/>
          <w:szCs w:val="18"/>
        </w:rPr>
        <w:t xml:space="preserve"> unless the disparity can be justified by material differences in their criminal records or other personal circumstances </w:t>
      </w:r>
      <w:r w:rsidR="002B4E29" w:rsidRPr="00313D02">
        <w:rPr>
          <w:rFonts w:ascii="Arial" w:eastAsia="Book Antiqua" w:hAnsi="Arial" w:cs="Arial"/>
          <w:sz w:val="18"/>
          <w:szCs w:val="18"/>
        </w:rPr>
        <w:t>—</w:t>
      </w:r>
      <w:r w:rsidR="002B4E29" w:rsidRPr="00313D02">
        <w:rPr>
          <w:rFonts w:ascii="Arial" w:hAnsi="Arial" w:cs="Arial"/>
          <w:sz w:val="18"/>
          <w:szCs w:val="18"/>
        </w:rPr>
        <w:t xml:space="preserve"> equal justice requires that the disparity be corrected: see </w:t>
      </w:r>
      <w:r w:rsidR="002B4E29" w:rsidRPr="00313D02">
        <w:rPr>
          <w:rFonts w:ascii="Arial" w:eastAsia="Book Antiqua" w:hAnsi="Arial" w:cs="Arial"/>
          <w:i/>
          <w:sz w:val="18"/>
          <w:szCs w:val="18"/>
        </w:rPr>
        <w:t>Winch v The Queen</w:t>
      </w:r>
      <w:r w:rsidR="002B4E29" w:rsidRPr="00313D02">
        <w:rPr>
          <w:rFonts w:ascii="Arial" w:hAnsi="Arial" w:cs="Arial"/>
          <w:sz w:val="18"/>
          <w:szCs w:val="18"/>
        </w:rPr>
        <w:t xml:space="preserve"> (2010) 27 VR 658, 663 [24] (Maxwell P and Redlich JA).</w:t>
      </w:r>
    </w:p>
    <w:p w14:paraId="5DDFCAB4" w14:textId="21C77924" w:rsidR="00981485" w:rsidRPr="00313D02" w:rsidRDefault="00820276" w:rsidP="00981485">
      <w:pPr>
        <w:spacing w:before="60" w:after="60"/>
        <w:ind w:left="567" w:right="567"/>
        <w:jc w:val="both"/>
        <w:rPr>
          <w:rFonts w:ascii="Arial" w:hAnsi="Arial" w:cs="Arial"/>
          <w:sz w:val="18"/>
          <w:szCs w:val="16"/>
        </w:rPr>
      </w:pPr>
      <w:r w:rsidRPr="00313D02">
        <w:rPr>
          <w:rFonts w:ascii="Arial" w:hAnsi="Arial" w:cs="Arial"/>
          <w:sz w:val="18"/>
          <w:szCs w:val="18"/>
        </w:rPr>
        <w:t xml:space="preserve">[15] In the present case, there is an unjustifiable disparity in outcome between the sentence imposed on Tawfik and those imposed in </w:t>
      </w:r>
      <w:r w:rsidRPr="00313D02">
        <w:rPr>
          <w:rFonts w:ascii="Arial" w:eastAsia="Book Antiqua" w:hAnsi="Arial" w:cs="Arial"/>
          <w:i/>
          <w:sz w:val="18"/>
          <w:szCs w:val="18"/>
        </w:rPr>
        <w:t xml:space="preserve">Director of Public Prosecutions (Cth) v Brown </w:t>
      </w:r>
      <w:r w:rsidRPr="00313D02">
        <w:rPr>
          <w:rFonts w:ascii="Arial" w:hAnsi="Arial" w:cs="Arial"/>
          <w:sz w:val="18"/>
          <w:szCs w:val="18"/>
        </w:rPr>
        <w:t xml:space="preserve">[2017] VSCA 162 and </w:t>
      </w:r>
      <w:r w:rsidRPr="00313D02">
        <w:rPr>
          <w:rFonts w:ascii="Arial" w:eastAsia="Book Antiqua" w:hAnsi="Arial" w:cs="Arial"/>
          <w:i/>
          <w:sz w:val="18"/>
          <w:szCs w:val="18"/>
        </w:rPr>
        <w:t xml:space="preserve">R v Yuan </w:t>
      </w:r>
      <w:r w:rsidRPr="00313D02">
        <w:rPr>
          <w:rFonts w:ascii="Arial" w:hAnsi="Arial" w:cs="Arial"/>
          <w:sz w:val="18"/>
          <w:szCs w:val="18"/>
        </w:rPr>
        <w:t xml:space="preserve">[2015] NSWCCA 198 respectively for drug importation offences of comparable scale and seriousness.  As the analysis in the joint judgment reveals, the </w:t>
      </w:r>
      <w:r w:rsidRPr="00313D02">
        <w:rPr>
          <w:rFonts w:ascii="Arial" w:hAnsi="Arial" w:cs="Arial"/>
          <w:sz w:val="18"/>
          <w:szCs w:val="16"/>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313D02" w:rsidRDefault="00820276" w:rsidP="0016123D">
      <w:pPr>
        <w:spacing w:before="60"/>
        <w:ind w:left="567" w:right="567"/>
        <w:jc w:val="both"/>
        <w:rPr>
          <w:rFonts w:ascii="Arial" w:hAnsi="Arial" w:cs="Arial"/>
          <w:color w:val="000000"/>
          <w:sz w:val="18"/>
          <w:szCs w:val="18"/>
        </w:rPr>
      </w:pPr>
      <w:r w:rsidRPr="00313D02">
        <w:rPr>
          <w:rFonts w:ascii="Arial" w:hAnsi="Arial" w:cs="Arial"/>
          <w:color w:val="000000"/>
          <w:sz w:val="18"/>
          <w:szCs w:val="18"/>
        </w:rPr>
        <w:t xml:space="preserve">[16] </w:t>
      </w:r>
      <w:r w:rsidR="0016123D" w:rsidRPr="00313D02">
        <w:rPr>
          <w:rFonts w:ascii="Arial" w:hAnsi="Arial" w:cs="Arial"/>
          <w:sz w:val="18"/>
          <w:szCs w:val="18"/>
        </w:rPr>
        <w:t xml:space="preserve">In my view, it is the engagement of the equal justice norm which both justifies </w:t>
      </w:r>
      <w:r w:rsidR="0016123D" w:rsidRPr="00313D02">
        <w:rPr>
          <w:rFonts w:ascii="Arial" w:eastAsia="Book Antiqua" w:hAnsi="Arial" w:cs="Arial"/>
          <w:sz w:val="18"/>
          <w:szCs w:val="18"/>
        </w:rPr>
        <w:t xml:space="preserve">and requires this Court’s intervention, rather than some inferred error of principle on </w:t>
      </w:r>
      <w:r w:rsidR="0016123D" w:rsidRPr="00313D02">
        <w:rPr>
          <w:rFonts w:ascii="Arial" w:hAnsi="Arial" w:cs="Arial"/>
          <w:sz w:val="18"/>
          <w:szCs w:val="18"/>
        </w:rPr>
        <w:t xml:space="preserve">the part of the sentencing judge.  </w:t>
      </w:r>
      <w:r w:rsidR="0016123D" w:rsidRPr="00313D02">
        <w:rPr>
          <w:rFonts w:ascii="Arial" w:hAnsi="Arial" w:cs="Arial"/>
          <w:sz w:val="18"/>
          <w:szCs w:val="18"/>
        </w:rPr>
        <w:lastRenderedPageBreak/>
        <w:t xml:space="preserve">For the reasons given by Mason J in </w:t>
      </w:r>
      <w:r w:rsidR="0016123D" w:rsidRPr="00313D02">
        <w:rPr>
          <w:rFonts w:ascii="Arial" w:eastAsia="Book Antiqua" w:hAnsi="Arial" w:cs="Arial"/>
          <w:i/>
          <w:sz w:val="18"/>
          <w:szCs w:val="18"/>
        </w:rPr>
        <w:t>Lowe,</w:t>
      </w:r>
      <w:r w:rsidR="0016123D" w:rsidRPr="00313D02">
        <w:rPr>
          <w:rFonts w:ascii="Arial" w:hAnsi="Arial" w:cs="Arial"/>
          <w:sz w:val="18"/>
          <w:szCs w:val="18"/>
        </w:rPr>
        <w:t xml:space="preserve"> public confidence in the administration of justice is likely to be enhanced if appellate </w:t>
      </w:r>
      <w:r w:rsidR="0016123D" w:rsidRPr="00313D02">
        <w:rPr>
          <w:rFonts w:ascii="Arial" w:eastAsia="Book Antiqua" w:hAnsi="Arial" w:cs="Arial"/>
          <w:sz w:val="18"/>
          <w:szCs w:val="18"/>
        </w:rPr>
        <w:t xml:space="preserve">intervention is understood as being necessary to prevent ‘unfairness and unequal treatment’: </w:t>
      </w:r>
      <w:r w:rsidR="0016123D" w:rsidRPr="00313D02">
        <w:rPr>
          <w:rFonts w:ascii="Arial" w:hAnsi="Arial" w:cs="Arial"/>
          <w:sz w:val="18"/>
          <w:szCs w:val="22"/>
        </w:rPr>
        <w:t>(1984) 154 CLR 606, 610</w:t>
      </w:r>
      <w:r w:rsidR="0016123D" w:rsidRPr="00313D02">
        <w:rPr>
          <w:rFonts w:ascii="Arial" w:eastAsia="Book Antiqua" w:hAnsi="Arial" w:cs="Arial"/>
          <w:sz w:val="18"/>
          <w:szCs w:val="22"/>
        </w:rPr>
        <w:noBreakHyphen/>
      </w:r>
      <w:r w:rsidR="0016123D" w:rsidRPr="00313D02">
        <w:rPr>
          <w:rFonts w:ascii="Arial" w:hAnsi="Arial" w:cs="Arial"/>
          <w:sz w:val="18"/>
          <w:szCs w:val="22"/>
        </w:rPr>
        <w:t>11</w:t>
      </w:r>
      <w:r w:rsidR="0016123D" w:rsidRPr="00313D02">
        <w:rPr>
          <w:rFonts w:ascii="Arial" w:hAnsi="Arial" w:cs="Arial"/>
          <w:sz w:val="18"/>
          <w:szCs w:val="18"/>
        </w:rPr>
        <w:t xml:space="preserve">  As Lor</w:t>
      </w:r>
      <w:r w:rsidR="0016123D" w:rsidRPr="00313D02">
        <w:rPr>
          <w:rFonts w:ascii="Arial" w:eastAsia="Book Antiqua" w:hAnsi="Arial" w:cs="Arial"/>
          <w:sz w:val="18"/>
          <w:szCs w:val="18"/>
        </w:rPr>
        <w:t xml:space="preserve">d Devlin said more than 40 years ago, ‘a sense of injustice is </w:t>
      </w:r>
      <w:r w:rsidR="0016123D" w:rsidRPr="00313D02">
        <w:rPr>
          <w:rFonts w:ascii="Arial" w:hAnsi="Arial" w:cs="Arial"/>
          <w:sz w:val="18"/>
          <w:szCs w:val="18"/>
        </w:rPr>
        <w:t xml:space="preserve">more easily aroused by the apprehension of unequal treatment than by anything </w:t>
      </w:r>
      <w:r w:rsidR="0016123D" w:rsidRPr="00313D02">
        <w:rPr>
          <w:rFonts w:ascii="Arial" w:eastAsia="Book Antiqua" w:hAnsi="Arial" w:cs="Arial"/>
          <w:sz w:val="18"/>
          <w:szCs w:val="18"/>
        </w:rPr>
        <w:t xml:space="preserve">else’: </w:t>
      </w:r>
      <w:r w:rsidR="0016123D" w:rsidRPr="00313D02">
        <w:rPr>
          <w:rFonts w:ascii="Arial" w:hAnsi="Arial" w:cs="Arial"/>
          <w:sz w:val="18"/>
          <w:szCs w:val="22"/>
        </w:rPr>
        <w:t xml:space="preserve">Patrick Devlin, </w:t>
      </w:r>
      <w:r w:rsidR="0016123D" w:rsidRPr="00313D02">
        <w:rPr>
          <w:rFonts w:ascii="Arial" w:eastAsia="Book Antiqua" w:hAnsi="Arial" w:cs="Arial"/>
          <w:i/>
          <w:sz w:val="18"/>
          <w:szCs w:val="22"/>
        </w:rPr>
        <w:t>The Judge</w:t>
      </w:r>
      <w:r w:rsidR="0016123D" w:rsidRPr="00313D02">
        <w:rPr>
          <w:rFonts w:ascii="Arial" w:hAnsi="Arial" w:cs="Arial"/>
          <w:sz w:val="18"/>
          <w:szCs w:val="22"/>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Pr="00313D02" w:rsidRDefault="00075155"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[15] “The rationale underpinning the parity principle is the need for consistency in the application of the law, which is a fundamental aspect of the rule of law: </w:t>
      </w:r>
      <w:r w:rsidRPr="00313D02">
        <w:rPr>
          <w:rFonts w:ascii="Arial" w:hAnsi="Arial" w:cs="Arial"/>
          <w:i/>
          <w:iCs/>
          <w:color w:val="000000"/>
          <w:sz w:val="18"/>
          <w:szCs w:val="22"/>
        </w:rPr>
        <w:t>Nipoe v The Queen</w:t>
      </w:r>
      <w:r w:rsidRPr="00313D02">
        <w:rPr>
          <w:rFonts w:ascii="Arial" w:hAnsi="Arial" w:cs="Arial"/>
          <w:color w:val="000000"/>
          <w:sz w:val="18"/>
          <w:szCs w:val="22"/>
        </w:rPr>
        <w:t xml:space="preserve"> </w:t>
      </w:r>
      <w:r w:rsidR="00FA412E" w:rsidRPr="00313D02">
        <w:rPr>
          <w:rFonts w:ascii="Arial" w:hAnsi="Arial" w:cs="Arial"/>
          <w:color w:val="000000"/>
          <w:sz w:val="18"/>
          <w:szCs w:val="22"/>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313D02">
        <w:rPr>
          <w:rFonts w:ascii="Arial" w:hAnsi="Arial" w:cs="Arial"/>
          <w:i/>
          <w:iCs/>
          <w:color w:val="000000"/>
          <w:sz w:val="18"/>
          <w:szCs w:val="22"/>
        </w:rPr>
        <w:t>relevantly</w:t>
      </w:r>
      <w:r w:rsidR="00FA412E" w:rsidRPr="00313D02">
        <w:rPr>
          <w:rFonts w:ascii="Arial" w:hAnsi="Arial" w:cs="Arial"/>
          <w:color w:val="000000"/>
          <w:sz w:val="18"/>
          <w:szCs w:val="22"/>
        </w:rPr>
        <w:t xml:space="preserve"> identical.  It requires </w:t>
      </w:r>
      <w:r w:rsidR="00FA412E" w:rsidRPr="00313D02">
        <w:rPr>
          <w:rFonts w:ascii="Arial" w:hAnsi="Arial" w:cs="Arial"/>
          <w:i/>
          <w:iCs/>
          <w:color w:val="000000"/>
          <w:sz w:val="18"/>
          <w:szCs w:val="22"/>
        </w:rPr>
        <w:t>different</w:t>
      </w:r>
      <w:r w:rsidR="00FA412E" w:rsidRPr="00313D02">
        <w:rPr>
          <w:rFonts w:ascii="Arial" w:hAnsi="Arial" w:cs="Arial"/>
          <w:color w:val="000000"/>
          <w:sz w:val="18"/>
          <w:szCs w:val="22"/>
        </w:rPr>
        <w:t xml:space="preserve"> outcomes in cases that are different in some relevant respect.’: </w:t>
      </w:r>
      <w:r w:rsidR="00FA412E" w:rsidRPr="00313D02">
        <w:rPr>
          <w:rFonts w:ascii="Arial" w:hAnsi="Arial" w:cs="Arial"/>
          <w:i/>
          <w:iCs/>
          <w:color w:val="000000"/>
          <w:sz w:val="18"/>
          <w:szCs w:val="22"/>
        </w:rPr>
        <w:t>Wong v The Queen</w:t>
      </w:r>
      <w:r w:rsidR="00FA412E" w:rsidRPr="00313D02">
        <w:rPr>
          <w:rFonts w:ascii="Arial" w:hAnsi="Arial" w:cs="Arial"/>
          <w:color w:val="000000"/>
          <w:sz w:val="18"/>
          <w:szCs w:val="22"/>
        </w:rPr>
        <w:t xml:space="preserve"> (2001) 207 CLR 584, 608 [65] per Gaudron, Gummow &amp; Hayne JJA.</w:t>
      </w:r>
    </w:p>
    <w:p w14:paraId="1CC5D702" w14:textId="68087DE2" w:rsidR="00FA412E" w:rsidRPr="00313D02" w:rsidRDefault="00FA412E"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[16] In considering a parity argument this Court must recognise the ‘qualitaive and discretionary judgments’ involved in the primary judge’s task in discerning these relevant differences and similarities between co-offenders: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[39].  As was said in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313D02">
        <w:rPr>
          <w:rFonts w:ascii="Arial" w:hAnsi="Arial" w:cs="Arial"/>
          <w:i/>
          <w:iCs/>
          <w:color w:val="000000"/>
          <w:sz w:val="18"/>
          <w:szCs w:val="22"/>
        </w:rPr>
        <w:t>Chamma v The Queen</w:t>
      </w:r>
      <w:r w:rsidR="00C0005B" w:rsidRPr="00313D02">
        <w:rPr>
          <w:rFonts w:ascii="Arial" w:hAnsi="Arial" w:cs="Arial"/>
          <w:color w:val="000000"/>
          <w:sz w:val="18"/>
          <w:szCs w:val="22"/>
        </w:rPr>
        <w:t xml:space="preserve"> [2020] VSCA 232 at [60] the task presented to appellate courts in </w:t>
      </w:r>
      <w:r w:rsidR="004D0F9C" w:rsidRPr="00313D02">
        <w:rPr>
          <w:rFonts w:ascii="Arial" w:hAnsi="Arial" w:cs="Arial"/>
          <w:color w:val="000000"/>
          <w:sz w:val="18"/>
          <w:szCs w:val="22"/>
        </w:rPr>
        <w:t>determining grounds of appeal that complain of unjustified disparity: [see quote on previous page].</w:t>
      </w:r>
    </w:p>
    <w:p w14:paraId="30F876E6" w14:textId="2582A1F6" w:rsidR="004D0F9C" w:rsidRPr="00313D02" w:rsidRDefault="004D0F9C"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313D02">
        <w:rPr>
          <w:rFonts w:ascii="Arial" w:hAnsi="Arial" w:cs="Arial"/>
          <w:i/>
          <w:iCs/>
          <w:color w:val="000000"/>
          <w:sz w:val="18"/>
          <w:szCs w:val="22"/>
        </w:rPr>
        <w:t>R v Simmons</w:t>
      </w:r>
      <w:r w:rsidRPr="00313D02">
        <w:rPr>
          <w:rFonts w:ascii="Arial" w:hAnsi="Arial" w:cs="Arial"/>
          <w:color w:val="000000"/>
          <w:sz w:val="18"/>
          <w:szCs w:val="22"/>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Winneke P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90659E8"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w:t>
      </w:r>
      <w:r w:rsidRPr="003972EF">
        <w:rPr>
          <w:rFonts w:ascii="Arial" w:hAnsi="Arial" w:cs="Arial"/>
          <w:color w:val="000000"/>
          <w:sz w:val="20"/>
        </w:rPr>
        <w:lastRenderedPageBreak/>
        <w:t xml:space="preserve">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313D02" w:rsidRDefault="006A4778" w:rsidP="00200CF6">
      <w:pPr>
        <w:spacing w:before="60"/>
        <w:ind w:left="1134" w:right="1077"/>
        <w:jc w:val="both"/>
        <w:rPr>
          <w:rFonts w:ascii="Arial" w:hAnsi="Arial" w:cs="Arial"/>
          <w:color w:val="000000"/>
          <w:sz w:val="18"/>
          <w:szCs w:val="22"/>
        </w:rPr>
      </w:pPr>
      <w:r w:rsidRPr="00313D02">
        <w:rPr>
          <w:rFonts w:ascii="Arial" w:hAnsi="Arial" w:cs="Arial"/>
          <w:color w:val="000000"/>
          <w:sz w:val="18"/>
          <w:szCs w:val="22"/>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lastRenderedPageBreak/>
        <w:t xml:space="preserve">'The age difference between the two men is a little over five years.  The sentence which was received by E came as a result of the provisions of the </w:t>
      </w:r>
      <w:r w:rsidRPr="00313D02">
        <w:rPr>
          <w:rFonts w:ascii="Arial" w:hAnsi="Arial" w:cs="Arial"/>
          <w:i/>
          <w:color w:val="000000"/>
          <w:sz w:val="18"/>
          <w:szCs w:val="22"/>
        </w:rPr>
        <w:t>Children’s Court Act</w:t>
      </w:r>
      <w:r w:rsidRPr="00313D02">
        <w:rPr>
          <w:rFonts w:ascii="Arial" w:hAnsi="Arial" w:cs="Arial"/>
          <w:color w:val="000000"/>
          <w:sz w:val="18"/>
          <w:szCs w:val="22"/>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313D02">
        <w:rPr>
          <w:rFonts w:ascii="Arial" w:hAnsi="Arial" w:cs="Arial"/>
          <w:i/>
          <w:color w:val="000000"/>
          <w:sz w:val="18"/>
          <w:szCs w:val="22"/>
        </w:rPr>
        <w:t>Lowe v. The Queen</w:t>
      </w:r>
      <w:r w:rsidRPr="00313D02">
        <w:rPr>
          <w:rFonts w:ascii="Arial" w:hAnsi="Arial" w:cs="Arial"/>
          <w:color w:val="000000"/>
          <w:sz w:val="18"/>
          <w:szCs w:val="22"/>
        </w:rPr>
        <w:t xml:space="preserve"> and by this Court in </w:t>
      </w:r>
      <w:r w:rsidRPr="00313D02">
        <w:rPr>
          <w:rFonts w:ascii="Arial" w:hAnsi="Arial" w:cs="Arial"/>
          <w:i/>
          <w:color w:val="000000"/>
          <w:sz w:val="18"/>
          <w:szCs w:val="22"/>
        </w:rPr>
        <w:t>R. v. Taudevin</w:t>
      </w:r>
      <w:r w:rsidRPr="00313D02">
        <w:rPr>
          <w:rFonts w:ascii="Arial" w:hAnsi="Arial" w:cs="Arial"/>
          <w:color w:val="000000"/>
          <w:sz w:val="18"/>
          <w:szCs w:val="22"/>
        </w:rPr>
        <w:t xml:space="preserve">, particularly at p.404, per Callaway, J.A.  I refer also to the decision of this Court in </w:t>
      </w:r>
      <w:r w:rsidRPr="00313D02">
        <w:rPr>
          <w:rFonts w:ascii="Arial" w:hAnsi="Arial" w:cs="Arial"/>
          <w:i/>
          <w:color w:val="000000"/>
          <w:sz w:val="18"/>
          <w:szCs w:val="22"/>
        </w:rPr>
        <w:t>R. v. Angus</w:t>
      </w:r>
      <w:r w:rsidRPr="00313D02">
        <w:rPr>
          <w:rFonts w:ascii="Arial" w:hAnsi="Arial" w:cs="Arial"/>
          <w:color w:val="000000"/>
          <w:sz w:val="18"/>
          <w:szCs w:val="22"/>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313D02" w:rsidRDefault="006A4778" w:rsidP="006A4778">
      <w:pPr>
        <w:ind w:left="1134" w:right="1134"/>
        <w:jc w:val="both"/>
        <w:rPr>
          <w:rFonts w:ascii="Arial" w:hAnsi="Arial" w:cs="Arial"/>
          <w:color w:val="000000"/>
          <w:sz w:val="18"/>
          <w:szCs w:val="22"/>
        </w:rPr>
      </w:pPr>
      <w:r w:rsidRPr="00313D02">
        <w:rPr>
          <w:rFonts w:ascii="Arial" w:hAnsi="Arial" w:cs="Arial"/>
          <w:color w:val="000000"/>
          <w:sz w:val="18"/>
          <w:szCs w:val="22"/>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xml:space="preserve">,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w:t>
      </w:r>
      <w:r w:rsidRPr="001C6E0E">
        <w:rPr>
          <w:rFonts w:ascii="Arial" w:hAnsi="Arial" w:cs="Arial"/>
          <w:color w:val="000000"/>
          <w:sz w:val="20"/>
        </w:rPr>
        <w:lastRenderedPageBreak/>
        <w:t>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313D02" w:rsidRDefault="00BF52E5">
      <w:pPr>
        <w:spacing w:before="60"/>
        <w:ind w:left="851" w:right="851"/>
        <w:jc w:val="both"/>
        <w:rPr>
          <w:rFonts w:ascii="Arial" w:hAnsi="Arial" w:cs="Arial"/>
          <w:color w:val="000000"/>
          <w:sz w:val="18"/>
          <w:szCs w:val="22"/>
        </w:rPr>
      </w:pPr>
      <w:r w:rsidRPr="00313D02">
        <w:rPr>
          <w:rFonts w:ascii="Arial" w:hAnsi="Arial" w:cs="Arial"/>
          <w:color w:val="000000"/>
          <w:sz w:val="18"/>
          <w:szCs w:val="22"/>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6CCAC858"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w:t>
      </w:r>
      <w:r w:rsidR="00313D02">
        <w:rPr>
          <w:rFonts w:ascii="Arial" w:hAnsi="Arial" w:cs="Arial"/>
          <w:color w:val="000000"/>
          <w:sz w:val="20"/>
        </w:rPr>
        <w:t> </w:t>
      </w:r>
      <w:r w:rsidR="00401C36" w:rsidRPr="001C6E0E">
        <w:rPr>
          <w:rFonts w:ascii="Arial" w:hAnsi="Arial" w:cs="Arial"/>
          <w:color w:val="000000"/>
          <w:sz w:val="20"/>
        </w:rPr>
        <w:t>[7]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[2] </w:t>
      </w:r>
      <w:r w:rsidR="002549CA" w:rsidRPr="00313D02">
        <w:rPr>
          <w:rFonts w:ascii="Arial" w:hAnsi="Arial" w:cs="Arial"/>
          <w:color w:val="000000"/>
          <w:sz w:val="18"/>
          <w:szCs w:val="18"/>
        </w:rPr>
        <w:t>‘</w:t>
      </w:r>
      <w:r w:rsidR="00F13A0B" w:rsidRPr="00313D02">
        <w:rPr>
          <w:rFonts w:ascii="Arial" w:hAnsi="Arial" w:cs="Arial"/>
          <w:color w:val="000000"/>
          <w:sz w:val="18"/>
          <w:szCs w:val="18"/>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313D02">
        <w:rPr>
          <w:rFonts w:ascii="Arial" w:hAnsi="Arial" w:cs="Arial"/>
          <w:color w:val="000000"/>
          <w:sz w:val="18"/>
          <w:szCs w:val="18"/>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[5] </w:t>
      </w:r>
      <w:r w:rsidR="002549CA" w:rsidRPr="00313D02">
        <w:rPr>
          <w:rFonts w:ascii="Arial" w:hAnsi="Arial" w:cs="Arial"/>
          <w:color w:val="000000"/>
          <w:sz w:val="18"/>
          <w:szCs w:val="18"/>
        </w:rPr>
        <w:t>‘</w:t>
      </w:r>
      <w:r w:rsidRPr="00313D02">
        <w:rPr>
          <w:rFonts w:ascii="Arial" w:hAnsi="Arial" w:cs="Arial"/>
          <w:color w:val="000000"/>
          <w:sz w:val="18"/>
          <w:szCs w:val="18"/>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place">
        <w:smartTag w:uri="urn:schemas-microsoft-com:office:smarttags" w:element="City">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w:t>
      </w:r>
      <w:r w:rsidRPr="001C6E0E">
        <w:rPr>
          <w:rFonts w:ascii="Arial" w:hAnsi="Arial" w:cs="Arial"/>
          <w:color w:val="000000"/>
          <w:sz w:val="20"/>
          <w:szCs w:val="20"/>
        </w:rPr>
        <w:lastRenderedPageBreak/>
        <w:t xml:space="preserve">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w:t>
      </w:r>
      <w:r w:rsidRPr="004977B5">
        <w:rPr>
          <w:rFonts w:ascii="Arial" w:hAnsi="Arial" w:cs="Arial"/>
          <w:color w:val="000000"/>
          <w:sz w:val="20"/>
        </w:rPr>
        <w:lastRenderedPageBreak/>
        <w:t xml:space="preserve">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r w:rsidRPr="00E51574">
        <w:rPr>
          <w:rFonts w:ascii="Arial" w:hAnsi="Arial" w:cs="Arial"/>
          <w:i/>
          <w:iCs/>
          <w:sz w:val="20"/>
          <w:szCs w:val="20"/>
        </w:rPr>
        <w:t>Bugmy</w:t>
      </w:r>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t>[56] “</w:t>
      </w:r>
      <w:r w:rsidRPr="00AA1C29">
        <w:rPr>
          <w:rFonts w:ascii="Arial" w:hAnsi="Arial" w:cs="Arial"/>
          <w:sz w:val="20"/>
          <w:szCs w:val="20"/>
        </w:rPr>
        <w:t xml:space="preserve">In </w:t>
      </w:r>
      <w:r w:rsidRPr="00AA1C29">
        <w:rPr>
          <w:rFonts w:ascii="Arial" w:hAnsi="Arial" w:cs="Arial"/>
          <w:i/>
          <w:iCs/>
          <w:sz w:val="20"/>
          <w:szCs w:val="20"/>
        </w:rPr>
        <w:t>Kellway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r w:rsidRPr="00DC1AD8">
        <w:rPr>
          <w:rFonts w:ascii="Arial" w:hAnsi="Arial" w:cs="Arial"/>
          <w:i/>
          <w:iCs/>
          <w:sz w:val="18"/>
          <w:szCs w:val="18"/>
        </w:rPr>
        <w:t>Nipoe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w:t>
      </w:r>
      <w:r w:rsidRPr="00DC1AD8">
        <w:rPr>
          <w:rFonts w:ascii="Arial" w:hAnsi="Arial" w:cs="Arial"/>
          <w:sz w:val="18"/>
          <w:szCs w:val="18"/>
        </w:rPr>
        <w:lastRenderedPageBreak/>
        <w:t>[2018]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[u]ltimately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Gaudron,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hisintentions.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Default="00AA1C29" w:rsidP="003D4F6D">
      <w:pPr>
        <w:jc w:val="both"/>
        <w:rPr>
          <w:rFonts w:ascii="Arial" w:hAnsi="Arial" w:cs="Arial"/>
          <w:color w:val="000000"/>
          <w:sz w:val="20"/>
        </w:rPr>
      </w:pPr>
      <w:bookmarkStart w:id="540" w:name="_Hlk184725372"/>
    </w:p>
    <w:p w14:paraId="2EA6788E" w14:textId="4B45AEE1" w:rsidR="00677929" w:rsidRDefault="00677929" w:rsidP="00677929">
      <w:pPr>
        <w:jc w:val="both"/>
        <w:rPr>
          <w:rFonts w:ascii="Arial" w:hAnsi="Arial" w:cs="Arial"/>
          <w:color w:val="000000"/>
          <w:sz w:val="20"/>
        </w:rPr>
      </w:pPr>
      <w:r>
        <w:rPr>
          <w:rFonts w:ascii="Arial" w:hAnsi="Arial" w:cs="Arial"/>
          <w:color w:val="000000"/>
          <w:sz w:val="20"/>
        </w:rPr>
        <w:t xml:space="preserve">In </w:t>
      </w:r>
      <w:r w:rsidRPr="00677929">
        <w:rPr>
          <w:rFonts w:ascii="Arial" w:hAnsi="Arial" w:cs="Arial"/>
          <w:i/>
          <w:iCs/>
          <w:color w:val="000000"/>
          <w:sz w:val="20"/>
        </w:rPr>
        <w:t>Lang &amp; Ors v The King</w:t>
      </w:r>
      <w:r>
        <w:rPr>
          <w:rFonts w:ascii="Arial" w:hAnsi="Arial" w:cs="Arial"/>
          <w:color w:val="000000"/>
          <w:sz w:val="20"/>
        </w:rPr>
        <w:t xml:space="preserve"> [2025] VSCA 49 the first-named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 it was not open to the judge to impose identical NPPs. Leave to appeal was granted for the first-named applicant and the NPP was reduced to 11y. In relation to parity principles Beach &amp; McLeish JJA said at [65]-[6</w:t>
      </w:r>
      <w:r w:rsidR="00A20CE2">
        <w:rPr>
          <w:rFonts w:ascii="Arial" w:hAnsi="Arial" w:cs="Arial"/>
          <w:color w:val="000000"/>
          <w:sz w:val="20"/>
        </w:rPr>
        <w:t>7</w:t>
      </w:r>
      <w:r>
        <w:rPr>
          <w:rFonts w:ascii="Arial" w:hAnsi="Arial" w:cs="Arial"/>
          <w:color w:val="000000"/>
          <w:sz w:val="20"/>
        </w:rPr>
        <w:t>]:</w:t>
      </w:r>
    </w:p>
    <w:p w14:paraId="184D46B5" w14:textId="71827A72" w:rsidR="00677929" w:rsidRDefault="006259C0" w:rsidP="00677929">
      <w:pPr>
        <w:spacing w:before="60"/>
        <w:ind w:left="567" w:right="567"/>
        <w:jc w:val="both"/>
        <w:rPr>
          <w:rFonts w:ascii="Arial" w:hAnsi="Arial" w:cs="Arial"/>
          <w:sz w:val="20"/>
          <w:szCs w:val="20"/>
        </w:rPr>
      </w:pPr>
      <w:r>
        <w:rPr>
          <w:rFonts w:ascii="Arial" w:hAnsi="Arial" w:cs="Arial"/>
          <w:sz w:val="20"/>
          <w:szCs w:val="20"/>
        </w:rPr>
        <w:t xml:space="preserve">[65] </w:t>
      </w:r>
      <w:r w:rsidR="00677929">
        <w:rPr>
          <w:rFonts w:ascii="Arial" w:hAnsi="Arial" w:cs="Arial"/>
          <w:sz w:val="20"/>
          <w:szCs w:val="20"/>
        </w:rPr>
        <w:t xml:space="preserve">“The principles governing parity are well known. They were conveniently summarised by this Court in </w:t>
      </w:r>
      <w:r w:rsidR="00677929" w:rsidRPr="00C35DDB">
        <w:rPr>
          <w:rFonts w:ascii="Arial" w:hAnsi="Arial" w:cs="Arial"/>
          <w:i/>
          <w:iCs/>
          <w:sz w:val="20"/>
          <w:szCs w:val="20"/>
        </w:rPr>
        <w:t>Anthony v The Queen</w:t>
      </w:r>
      <w:r w:rsidR="00677929">
        <w:rPr>
          <w:rFonts w:ascii="Arial" w:hAnsi="Arial" w:cs="Arial"/>
          <w:sz w:val="20"/>
          <w:szCs w:val="20"/>
        </w:rPr>
        <w:t xml:space="preserve"> </w:t>
      </w:r>
      <w:r w:rsidR="00C35DDB">
        <w:rPr>
          <w:rFonts w:ascii="Arial" w:hAnsi="Arial" w:cs="Arial"/>
          <w:sz w:val="20"/>
          <w:szCs w:val="20"/>
        </w:rPr>
        <w:t xml:space="preserve">[2016] VSCA </w:t>
      </w:r>
      <w:r>
        <w:rPr>
          <w:rFonts w:ascii="Arial" w:hAnsi="Arial" w:cs="Arial"/>
          <w:sz w:val="20"/>
          <w:szCs w:val="20"/>
        </w:rPr>
        <w:t>22 at [12]:</w:t>
      </w:r>
    </w:p>
    <w:p w14:paraId="3BE584C5" w14:textId="057F25FD"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 xml:space="preserve">As has been said before, equal justice requires that like offences be treated alike, but also that </w:t>
      </w:r>
      <w:r w:rsidRPr="006259C0">
        <w:rPr>
          <w:rFonts w:ascii="Arial" w:hAnsi="Arial" w:cs="Arial"/>
          <w:color w:val="000000"/>
          <w:sz w:val="18"/>
          <w:szCs w:val="22"/>
        </w:rPr>
        <w:t>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However, no justifiable sense of grievance can be said to arise where it was reasonably open to the sentencing judge to differentiate between co-offenders in a way in which he or she did. Where an appellate court considers whether it was open to the sentencing judge to differentiate, or not differentiate, in the way in which he or she did, the approach is relevantly analogous to that which arises when it is said that a sentence is manifestly excessive.</w:t>
      </w:r>
      <w:r>
        <w:rPr>
          <w:rFonts w:ascii="Arial" w:hAnsi="Arial" w:cs="Arial"/>
          <w:color w:val="000000"/>
          <w:sz w:val="18"/>
          <w:szCs w:val="22"/>
        </w:rPr>
        <w:t xml:space="preserve"> See </w:t>
      </w:r>
      <w:r w:rsidRPr="006259C0">
        <w:rPr>
          <w:rFonts w:ascii="Arial" w:hAnsi="Arial" w:cs="Arial"/>
          <w:i/>
          <w:iCs/>
          <w:color w:val="000000"/>
          <w:sz w:val="18"/>
          <w:szCs w:val="22"/>
        </w:rPr>
        <w:t xml:space="preserve">Lowe v The Queen </w:t>
      </w:r>
      <w:r w:rsidRPr="006259C0">
        <w:rPr>
          <w:rFonts w:ascii="Arial" w:hAnsi="Arial" w:cs="Arial"/>
          <w:color w:val="000000"/>
          <w:sz w:val="18"/>
          <w:szCs w:val="22"/>
        </w:rPr>
        <w:t xml:space="preserve">(1984) 154 CLR 606; </w:t>
      </w:r>
      <w:r w:rsidRPr="006259C0">
        <w:rPr>
          <w:rFonts w:ascii="Arial" w:hAnsi="Arial" w:cs="Arial"/>
          <w:i/>
          <w:iCs/>
          <w:color w:val="000000"/>
          <w:sz w:val="18"/>
          <w:szCs w:val="22"/>
        </w:rPr>
        <w:t xml:space="preserve">R v Postiglione </w:t>
      </w:r>
      <w:r w:rsidRPr="006259C0">
        <w:rPr>
          <w:rFonts w:ascii="Arial" w:hAnsi="Arial" w:cs="Arial"/>
          <w:color w:val="000000"/>
          <w:sz w:val="18"/>
          <w:szCs w:val="22"/>
        </w:rPr>
        <w:t xml:space="preserve">(1997) 189 CLR 295; </w:t>
      </w:r>
      <w:r w:rsidRPr="006259C0">
        <w:rPr>
          <w:rFonts w:ascii="Arial" w:hAnsi="Arial" w:cs="Arial"/>
          <w:i/>
          <w:iCs/>
          <w:color w:val="000000"/>
          <w:sz w:val="18"/>
          <w:szCs w:val="22"/>
        </w:rPr>
        <w:t xml:space="preserve">Green v The Queen </w:t>
      </w:r>
      <w:r w:rsidRPr="006259C0">
        <w:rPr>
          <w:rFonts w:ascii="Arial" w:hAnsi="Arial" w:cs="Arial"/>
          <w:color w:val="000000"/>
          <w:sz w:val="18"/>
          <w:szCs w:val="22"/>
        </w:rPr>
        <w:t xml:space="preserve">(2011) 244 CLR 462; </w:t>
      </w:r>
      <w:r w:rsidRPr="006259C0">
        <w:rPr>
          <w:rFonts w:ascii="Arial" w:hAnsi="Arial" w:cs="Arial"/>
          <w:i/>
          <w:iCs/>
          <w:color w:val="000000"/>
          <w:sz w:val="18"/>
          <w:szCs w:val="22"/>
        </w:rPr>
        <w:t xml:space="preserve">Hilder v The Queen </w:t>
      </w:r>
      <w:r w:rsidRPr="006259C0">
        <w:rPr>
          <w:rFonts w:ascii="Arial" w:hAnsi="Arial" w:cs="Arial"/>
          <w:color w:val="000000"/>
          <w:sz w:val="18"/>
          <w:szCs w:val="22"/>
        </w:rPr>
        <w:t xml:space="preserve">[2011] VSCA 192, [38]–[39]; </w:t>
      </w:r>
      <w:r w:rsidRPr="006259C0">
        <w:rPr>
          <w:rFonts w:ascii="Arial" w:hAnsi="Arial" w:cs="Arial"/>
          <w:i/>
          <w:iCs/>
          <w:color w:val="000000"/>
          <w:sz w:val="18"/>
          <w:szCs w:val="22"/>
        </w:rPr>
        <w:t xml:space="preserve">Khoa v The Queen </w:t>
      </w:r>
      <w:r w:rsidRPr="006259C0">
        <w:rPr>
          <w:rFonts w:ascii="Arial" w:hAnsi="Arial" w:cs="Arial"/>
          <w:color w:val="000000"/>
          <w:sz w:val="18"/>
          <w:szCs w:val="22"/>
        </w:rPr>
        <w:t xml:space="preserve">[2015] VSCA 80; </w:t>
      </w:r>
      <w:r w:rsidRPr="006259C0">
        <w:rPr>
          <w:rFonts w:ascii="Arial" w:hAnsi="Arial" w:cs="Arial"/>
          <w:i/>
          <w:iCs/>
          <w:color w:val="000000"/>
          <w:sz w:val="18"/>
          <w:szCs w:val="22"/>
        </w:rPr>
        <w:t xml:space="preserve">McCloskey-Sharp v The Queen </w:t>
      </w:r>
      <w:r w:rsidRPr="006259C0">
        <w:rPr>
          <w:rFonts w:ascii="Arial" w:hAnsi="Arial" w:cs="Arial"/>
          <w:color w:val="000000"/>
          <w:sz w:val="18"/>
          <w:szCs w:val="22"/>
        </w:rPr>
        <w:t xml:space="preserve">[2015] VSCA 87; </w:t>
      </w:r>
      <w:r w:rsidRPr="006259C0">
        <w:rPr>
          <w:rFonts w:ascii="Arial" w:hAnsi="Arial" w:cs="Arial"/>
          <w:i/>
          <w:iCs/>
          <w:color w:val="000000"/>
          <w:sz w:val="18"/>
          <w:szCs w:val="22"/>
        </w:rPr>
        <w:lastRenderedPageBreak/>
        <w:t xml:space="preserve">Roujnikov v The Queen </w:t>
      </w:r>
      <w:r w:rsidRPr="006259C0">
        <w:rPr>
          <w:rFonts w:ascii="Arial" w:hAnsi="Arial" w:cs="Arial"/>
          <w:color w:val="000000"/>
          <w:sz w:val="18"/>
          <w:szCs w:val="22"/>
        </w:rPr>
        <w:t xml:space="preserve">[2015] VSCA 97, [24]–[25]; </w:t>
      </w:r>
      <w:r w:rsidRPr="006259C0">
        <w:rPr>
          <w:rFonts w:ascii="Arial" w:hAnsi="Arial" w:cs="Arial"/>
          <w:i/>
          <w:iCs/>
          <w:color w:val="000000"/>
          <w:sz w:val="18"/>
          <w:szCs w:val="22"/>
        </w:rPr>
        <w:t xml:space="preserve">Collins v The Queen </w:t>
      </w:r>
      <w:r w:rsidRPr="006259C0">
        <w:rPr>
          <w:rFonts w:ascii="Arial" w:hAnsi="Arial" w:cs="Arial"/>
          <w:color w:val="000000"/>
          <w:sz w:val="18"/>
          <w:szCs w:val="22"/>
        </w:rPr>
        <w:t xml:space="preserve">[2015] VSCA 106, [23]. See also </w:t>
      </w:r>
      <w:r w:rsidRPr="006259C0">
        <w:rPr>
          <w:rFonts w:ascii="Arial" w:hAnsi="Arial" w:cs="Arial"/>
          <w:i/>
          <w:iCs/>
          <w:color w:val="000000"/>
          <w:sz w:val="18"/>
          <w:szCs w:val="22"/>
        </w:rPr>
        <w:t xml:space="preserve">Marchei v The Queen </w:t>
      </w:r>
      <w:r w:rsidRPr="006259C0">
        <w:rPr>
          <w:rFonts w:ascii="Arial" w:hAnsi="Arial" w:cs="Arial"/>
          <w:color w:val="000000"/>
          <w:sz w:val="18"/>
          <w:szCs w:val="22"/>
        </w:rPr>
        <w:t xml:space="preserve">[2021] VSCA 58, [49]; </w:t>
      </w:r>
      <w:r w:rsidRPr="006259C0">
        <w:rPr>
          <w:rFonts w:ascii="Arial" w:hAnsi="Arial" w:cs="Arial"/>
          <w:i/>
          <w:iCs/>
          <w:color w:val="000000"/>
          <w:sz w:val="18"/>
          <w:szCs w:val="22"/>
        </w:rPr>
        <w:t xml:space="preserve">Grey v The King </w:t>
      </w:r>
      <w:r w:rsidRPr="006259C0">
        <w:rPr>
          <w:rFonts w:ascii="Arial" w:hAnsi="Arial" w:cs="Arial"/>
          <w:color w:val="000000"/>
          <w:sz w:val="18"/>
          <w:szCs w:val="22"/>
        </w:rPr>
        <w:t>[2024] VSCA 75, [61]–[66].</w:t>
      </w:r>
    </w:p>
    <w:p w14:paraId="11276FBB" w14:textId="00FD0F90"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[66] </w:t>
      </w:r>
      <w:r w:rsidRPr="006259C0">
        <w:rPr>
          <w:rFonts w:ascii="Arial" w:hAnsi="Arial" w:cs="Arial"/>
          <w:i/>
          <w:iCs/>
          <w:sz w:val="20"/>
          <w:szCs w:val="20"/>
        </w:rPr>
        <w:t>In Abdullahi v The King</w:t>
      </w:r>
      <w:r>
        <w:rPr>
          <w:rFonts w:ascii="Arial" w:hAnsi="Arial" w:cs="Arial"/>
          <w:sz w:val="20"/>
          <w:szCs w:val="20"/>
        </w:rPr>
        <w:t xml:space="preserve"> [2024] VSCA 156 at [51] Emerton P &amp; McLeish JA noted the similarity between the grounds of manifest excess and want of parity:</w:t>
      </w:r>
    </w:p>
    <w:p w14:paraId="2A6D038A" w14:textId="77FAC687"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An argument based on an apparent disparity in treatment of co-offenders has a close similarity to an argument of manifest excess in a sentence. In both cases, the exercise of the sentencing discretion is impugned on the basis that, without necessarily ascribing the asserted miscarriage in the discretion to any specific error, the sentence imposed lay outside permissible bounds.</w:t>
      </w:r>
    </w:p>
    <w:p w14:paraId="73DF0B95" w14:textId="798BFCF3"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[67] The Court </w:t>
      </w:r>
      <w:r w:rsidR="00A20CE2">
        <w:rPr>
          <w:rFonts w:ascii="Arial" w:hAnsi="Arial" w:cs="Arial"/>
          <w:sz w:val="20"/>
          <w:szCs w:val="20"/>
        </w:rPr>
        <w:t xml:space="preserve">[in </w:t>
      </w:r>
      <w:r w:rsidR="00A20CE2" w:rsidRPr="00A20CE2">
        <w:rPr>
          <w:rFonts w:ascii="Arial" w:hAnsi="Arial" w:cs="Arial"/>
          <w:i/>
          <w:iCs/>
          <w:sz w:val="20"/>
          <w:szCs w:val="20"/>
        </w:rPr>
        <w:t>Abdullahi</w:t>
      </w:r>
      <w:r w:rsidR="00A20CE2">
        <w:rPr>
          <w:rFonts w:ascii="Arial" w:hAnsi="Arial" w:cs="Arial"/>
          <w:sz w:val="20"/>
          <w:szCs w:val="20"/>
        </w:rPr>
        <w:t xml:space="preserve">] </w:t>
      </w:r>
      <w:r>
        <w:rPr>
          <w:rFonts w:ascii="Arial" w:hAnsi="Arial" w:cs="Arial"/>
          <w:sz w:val="20"/>
          <w:szCs w:val="20"/>
        </w:rPr>
        <w:t>then set out the</w:t>
      </w:r>
      <w:r w:rsidR="00A20CE2">
        <w:rPr>
          <w:rFonts w:ascii="Arial" w:hAnsi="Arial" w:cs="Arial"/>
          <w:sz w:val="20"/>
          <w:szCs w:val="20"/>
        </w:rPr>
        <w:t>...</w:t>
      </w:r>
      <w:r>
        <w:rPr>
          <w:rFonts w:ascii="Arial" w:hAnsi="Arial" w:cs="Arial"/>
          <w:sz w:val="20"/>
          <w:szCs w:val="20"/>
        </w:rPr>
        <w:t xml:space="preserve">passage from the judgment of Emerton P, Niall &amp; Kaye JJA in </w:t>
      </w:r>
      <w:r w:rsidRPr="00A20CE2">
        <w:rPr>
          <w:rFonts w:ascii="Arial" w:hAnsi="Arial" w:cs="Arial"/>
          <w:i/>
          <w:iCs/>
          <w:sz w:val="20"/>
          <w:szCs w:val="20"/>
        </w:rPr>
        <w:t xml:space="preserve">Kellaway (a pseudonym) </w:t>
      </w:r>
      <w:r w:rsidR="00A20CE2" w:rsidRPr="00A20CE2">
        <w:rPr>
          <w:rFonts w:ascii="Arial" w:hAnsi="Arial" w:cs="Arial"/>
          <w:i/>
          <w:iCs/>
          <w:sz w:val="20"/>
          <w:szCs w:val="20"/>
        </w:rPr>
        <w:t>v The King</w:t>
      </w:r>
      <w:r w:rsidR="00A20CE2">
        <w:rPr>
          <w:rFonts w:ascii="Arial" w:hAnsi="Arial" w:cs="Arial"/>
          <w:sz w:val="20"/>
          <w:szCs w:val="20"/>
        </w:rPr>
        <w:t xml:space="preserve"> [2023] VSCA 109, [124]-[127] [which is reproduced in the above summary of </w:t>
      </w:r>
      <w:r w:rsidR="00A20CE2" w:rsidRPr="00AA1C29">
        <w:rPr>
          <w:rFonts w:ascii="Arial" w:hAnsi="Arial" w:cs="Arial"/>
          <w:i/>
          <w:iCs/>
          <w:color w:val="000000"/>
          <w:sz w:val="20"/>
        </w:rPr>
        <w:t>Moussa v The King</w:t>
      </w:r>
      <w:r w:rsidR="00A20CE2">
        <w:rPr>
          <w:rFonts w:ascii="Arial" w:hAnsi="Arial" w:cs="Arial"/>
          <w:color w:val="000000"/>
          <w:sz w:val="20"/>
        </w:rPr>
        <w:t xml:space="preserve"> [2024] VSCA 113</w:t>
      </w:r>
      <w:r w:rsidR="00A20CE2">
        <w:rPr>
          <w:rFonts w:ascii="Arial" w:hAnsi="Arial" w:cs="Arial"/>
          <w:sz w:val="20"/>
          <w:szCs w:val="20"/>
        </w:rPr>
        <w:t>].”</w:t>
      </w:r>
    </w:p>
    <w:p w14:paraId="081861CF" w14:textId="77777777" w:rsidR="006259C0" w:rsidRPr="0097257D" w:rsidRDefault="006259C0" w:rsidP="003D4F6D">
      <w:pPr>
        <w:jc w:val="both"/>
        <w:rPr>
          <w:rFonts w:ascii="Arial" w:hAnsi="Arial" w:cs="Arial"/>
          <w:color w:val="000000"/>
          <w:sz w:val="20"/>
        </w:rPr>
      </w:pPr>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321"/>
        <w:gridCol w:w="2321"/>
        <w:gridCol w:w="2322"/>
        <w:gridCol w:w="2322"/>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r w:rsidR="0097257D" w:rsidRPr="00944084">
        <w:rPr>
          <w:rFonts w:ascii="Arial" w:hAnsi="Arial" w:cs="Arial"/>
          <w:i/>
          <w:iCs/>
          <w:color w:val="000000"/>
          <w:sz w:val="20"/>
        </w:rPr>
        <w:t>O’Loughlan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[31]</w:t>
      </w:r>
      <w:r w:rsidR="00663467">
        <w:rPr>
          <w:rFonts w:ascii="Arial" w:hAnsi="Arial" w:cs="Arial"/>
          <w:color w:val="000000"/>
          <w:sz w:val="20"/>
        </w:rPr>
        <w:noBreakHyphen/>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Though [the co-offenders’] total effective sentence of 20 months’ imprisonment was undoubtedly lenient (some might say extremely so), it does not follow that this court </w:t>
      </w:r>
      <w:r w:rsidRPr="00F268B9">
        <w:rPr>
          <w:rFonts w:ascii="Arial" w:hAnsi="Arial" w:cs="Arial"/>
          <w:color w:val="000000"/>
          <w:sz w:val="18"/>
          <w:szCs w:val="18"/>
        </w:rPr>
        <w:lastRenderedPageBreak/>
        <w:t>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Default="0097257D" w:rsidP="003D4F6D">
      <w:pPr>
        <w:jc w:val="both"/>
        <w:rPr>
          <w:rFonts w:ascii="Arial" w:hAnsi="Arial" w:cs="Arial"/>
          <w:color w:val="000000"/>
          <w:sz w:val="20"/>
        </w:rPr>
      </w:pPr>
    </w:p>
    <w:p w14:paraId="25F20E09" w14:textId="640E7316" w:rsidR="001A5344" w:rsidRDefault="001A5344" w:rsidP="003C2D44">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w:t>
      </w:r>
    </w:p>
    <w:p w14:paraId="41A16BA3" w14:textId="601772E6" w:rsidR="001A5344" w:rsidRDefault="001A5344" w:rsidP="001A5344">
      <w:pPr>
        <w:spacing w:before="60"/>
        <w:ind w:left="567" w:right="567"/>
        <w:jc w:val="both"/>
        <w:rPr>
          <w:rFonts w:ascii="Arial" w:hAnsi="Arial" w:cs="Arial"/>
          <w:color w:val="000000"/>
          <w:sz w:val="20"/>
        </w:rPr>
      </w:pPr>
      <w:r>
        <w:rPr>
          <w:rFonts w:ascii="Arial" w:hAnsi="Arial" w:cs="Arial"/>
          <w:color w:val="000000"/>
          <w:sz w:val="20"/>
          <w:szCs w:val="20"/>
        </w:rPr>
        <w:t>[65] “</w:t>
      </w:r>
      <w:r w:rsidRPr="001A5344">
        <w:rPr>
          <w:rFonts w:ascii="Arial" w:hAnsi="Arial" w:cs="Arial"/>
          <w:color w:val="000000"/>
          <w:sz w:val="20"/>
        </w:rPr>
        <w:t>You will be receiving a substantially longer sentence than your two co-offenders. Let</w:t>
      </w:r>
      <w:r>
        <w:rPr>
          <w:rFonts w:ascii="Arial" w:hAnsi="Arial" w:cs="Arial"/>
          <w:color w:val="000000"/>
          <w:sz w:val="20"/>
        </w:rPr>
        <w:t> </w:t>
      </w:r>
      <w:r w:rsidRPr="001A5344">
        <w:rPr>
          <w:rFonts w:ascii="Arial" w:hAnsi="Arial" w:cs="Arial"/>
          <w:color w:val="000000"/>
          <w:sz w:val="20"/>
        </w:rPr>
        <w:t>me briefly explain why.</w:t>
      </w:r>
    </w:p>
    <w:p w14:paraId="72E326BF" w14:textId="4AEB7F02" w:rsid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[66] </w:t>
      </w:r>
      <w:r w:rsidRPr="001A5344">
        <w:rPr>
          <w:rFonts w:ascii="Arial" w:hAnsi="Arial" w:cs="Arial"/>
          <w:color w:val="000000"/>
          <w:sz w:val="20"/>
        </w:rPr>
        <w:t>Your co-offender Mohamed Mohamed, who was also 18 at the time of the offending, pleaded guilty to manslaughter on 24 November 2023. I sentenced him to four years’ detention in a Youth Justice Centre</w:t>
      </w:r>
      <w:r>
        <w:rPr>
          <w:rFonts w:ascii="Arial" w:hAnsi="Arial" w:cs="Arial"/>
          <w:color w:val="000000"/>
          <w:sz w:val="20"/>
        </w:rPr>
        <w:t xml:space="preserve">: </w:t>
      </w:r>
      <w:r w:rsidRPr="001A5344">
        <w:rPr>
          <w:rFonts w:ascii="Arial" w:hAnsi="Arial" w:cs="Arial"/>
          <w:i/>
          <w:iCs/>
          <w:color w:val="000000"/>
          <w:sz w:val="20"/>
        </w:rPr>
        <w:t xml:space="preserve">R v Mohamed </w:t>
      </w:r>
      <w:r w:rsidRPr="001A5344">
        <w:rPr>
          <w:rFonts w:ascii="Arial" w:hAnsi="Arial" w:cs="Arial"/>
          <w:color w:val="000000"/>
          <w:sz w:val="20"/>
        </w:rPr>
        <w:t>[2024] VSC 318. I did not give him credit for the approximately two and a half years of pre-sentence detention.</w:t>
      </w:r>
      <w:r>
        <w:rPr>
          <w:rFonts w:ascii="Arial" w:hAnsi="Arial" w:cs="Arial"/>
          <w:color w:val="000000"/>
          <w:sz w:val="20"/>
        </w:rPr>
        <w:t xml:space="preserve"> I </w:t>
      </w:r>
      <w:r w:rsidRPr="001A5344">
        <w:rPr>
          <w:rFonts w:ascii="Arial" w:hAnsi="Arial" w:cs="Arial"/>
          <w:color w:val="000000"/>
          <w:sz w:val="20"/>
        </w:rPr>
        <w:t>sentenced him on the basis that he was the driver of the getaway car and did not actually enter the deceased’s home. I also placed great weight on the fact that he spent approximately 10 months in near solitary confinement, which expert evidence indicated had a significantly adverse effect on his mental health.</w:t>
      </w:r>
    </w:p>
    <w:p w14:paraId="5284D95D" w14:textId="7C3B58B1" w:rsidR="001A5344" w:rsidRP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[67] </w:t>
      </w:r>
      <w:r w:rsidRPr="001A5344">
        <w:rPr>
          <w:rFonts w:ascii="Arial" w:hAnsi="Arial" w:cs="Arial"/>
          <w:color w:val="000000"/>
          <w:sz w:val="20"/>
        </w:rPr>
        <w:t>Your co-offender Daniel Sisal, who was 19 at the time of the offending, also pleaded guilty to manslaughter on 24 November 2023. I sentenced him to nine years’ imprisonment with a minimum term of six years’ imprisonment</w:t>
      </w:r>
      <w:r>
        <w:rPr>
          <w:rFonts w:ascii="Arial" w:hAnsi="Arial" w:cs="Arial"/>
          <w:color w:val="000000"/>
          <w:sz w:val="20"/>
        </w:rPr>
        <w:t xml:space="preserve">: </w:t>
      </w:r>
      <w:r w:rsidRPr="001A5344">
        <w:rPr>
          <w:rFonts w:ascii="Arial" w:hAnsi="Arial" w:cs="Arial"/>
          <w:i/>
          <w:iCs/>
          <w:color w:val="000000"/>
          <w:sz w:val="20"/>
        </w:rPr>
        <w:t xml:space="preserve">DPP v Sisal </w:t>
      </w:r>
      <w:r w:rsidRPr="001A5344">
        <w:rPr>
          <w:rFonts w:ascii="Arial" w:hAnsi="Arial" w:cs="Arial"/>
          <w:color w:val="000000"/>
          <w:sz w:val="20"/>
        </w:rPr>
        <w:t>[2024] VSC 589</w:t>
      </w:r>
      <w:r>
        <w:rPr>
          <w:rFonts w:ascii="Arial" w:hAnsi="Arial" w:cs="Arial"/>
          <w:color w:val="000000"/>
          <w:sz w:val="20"/>
        </w:rPr>
        <w:t xml:space="preserve">. </w:t>
      </w:r>
      <w:r w:rsidRPr="001A5344">
        <w:rPr>
          <w:rFonts w:ascii="Arial" w:hAnsi="Arial" w:cs="Arial"/>
          <w:color w:val="000000"/>
          <w:sz w:val="20"/>
        </w:rPr>
        <w:t>I sentenced him on the basis that he entered the house. Of course, he was not the shooter. You were. And he pleaded guilty almost a year before you did. He also spent a substantial period on</w:t>
      </w:r>
      <w:r>
        <w:rPr>
          <w:rFonts w:ascii="Arial" w:hAnsi="Arial" w:cs="Arial"/>
          <w:color w:val="000000"/>
          <w:sz w:val="20"/>
        </w:rPr>
        <w:t xml:space="preserve"> remand in near solitary confinement.”</w:t>
      </w:r>
    </w:p>
    <w:p w14:paraId="64257C06" w14:textId="77777777" w:rsidR="001A5344" w:rsidRDefault="001A5344" w:rsidP="00DC723C">
      <w:pPr>
        <w:jc w:val="both"/>
        <w:rPr>
          <w:rFonts w:ascii="Arial" w:hAnsi="Arial" w:cs="Arial"/>
          <w:color w:val="000000"/>
          <w:sz w:val="20"/>
        </w:rPr>
      </w:pPr>
    </w:p>
    <w:bookmarkEnd w:id="540"/>
    <w:p w14:paraId="5A47946B" w14:textId="0EF42E09"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R v Merceica</w:t>
      </w:r>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R v Sibic &amp; Sibic</w:t>
      </w:r>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R v Moroz &amp; Mendelis</w:t>
      </w:r>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R v Koumis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esp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R v Velevski</w:t>
      </w:r>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w:t>
      </w:r>
      <w:r w:rsidR="006F2695" w:rsidRPr="001C6E0E">
        <w:rPr>
          <w:rFonts w:ascii="Arial" w:hAnsi="Arial" w:cs="Arial"/>
          <w:color w:val="000000"/>
          <w:sz w:val="20"/>
        </w:rPr>
        <w:lastRenderedPageBreak/>
        <w:t>[2010]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R v Goussis</w:t>
      </w:r>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DPP(Cth)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Ulutui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(Cth)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41" w:name="_Toc30674206"/>
      <w:bookmarkStart w:id="542" w:name="_Toc30691473"/>
      <w:bookmarkStart w:id="543" w:name="_Toc30691853"/>
      <w:bookmarkStart w:id="544" w:name="_Toc30692233"/>
      <w:bookmarkStart w:id="545" w:name="_Toc30692991"/>
      <w:bookmarkStart w:id="546" w:name="_Toc30693370"/>
      <w:bookmarkStart w:id="547" w:name="_Toc30693748"/>
      <w:bookmarkStart w:id="548" w:name="_Toc30694126"/>
      <w:bookmarkStart w:id="549" w:name="_Toc30694507"/>
      <w:bookmarkStart w:id="550" w:name="_Toc30699097"/>
      <w:bookmarkStart w:id="551" w:name="_Toc30699482"/>
      <w:bookmarkStart w:id="552" w:name="_Toc30699867"/>
      <w:bookmarkStart w:id="553" w:name="_Toc30701022"/>
      <w:bookmarkStart w:id="554" w:name="_Toc30701409"/>
      <w:bookmarkStart w:id="555" w:name="_Toc30744016"/>
      <w:bookmarkStart w:id="556" w:name="_Toc30754839"/>
      <w:bookmarkStart w:id="557" w:name="_Toc30757295"/>
      <w:bookmarkStart w:id="558" w:name="_Toc30757843"/>
      <w:bookmarkStart w:id="559" w:name="_Toc30758243"/>
      <w:bookmarkStart w:id="560" w:name="_Toc30763003"/>
      <w:bookmarkStart w:id="561" w:name="_Toc30767657"/>
      <w:bookmarkStart w:id="562" w:name="_Toc34823675"/>
      <w:bookmarkStart w:id="563"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100630" w:rsidRPr="00100630">
        <w:rPr>
          <w:rFonts w:ascii="Arial" w:hAnsi="Arial" w:cs="Arial"/>
          <w:i/>
          <w:iCs/>
          <w:color w:val="000000"/>
          <w:sz w:val="20"/>
        </w:rPr>
        <w:t>Ngaa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Ah-Kau v The Queen; Ofamooni v The Queen</w:t>
      </w:r>
      <w:r w:rsidR="00CF0397">
        <w:rPr>
          <w:rFonts w:ascii="Arial" w:hAnsi="Arial" w:cs="Arial"/>
          <w:color w:val="000000"/>
          <w:sz w:val="20"/>
        </w:rPr>
        <w:t xml:space="preserve"> [2018] VSCA 296; </w:t>
      </w:r>
      <w:r w:rsidR="0018226F" w:rsidRPr="00A04F3F">
        <w:rPr>
          <w:rFonts w:ascii="Arial" w:hAnsi="Arial" w:cs="Arial"/>
          <w:i/>
          <w:color w:val="000000"/>
          <w:sz w:val="20"/>
        </w:rPr>
        <w:t>Buovac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r w:rsidR="00A00C0D" w:rsidRPr="00A00C0D">
        <w:rPr>
          <w:rFonts w:ascii="Arial" w:hAnsi="Arial" w:cs="Arial"/>
          <w:i/>
          <w:color w:val="000000"/>
          <w:sz w:val="20"/>
        </w:rPr>
        <w:t>Shakhanov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Thuy Thanh Thi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r w:rsidR="007D7C4C" w:rsidRPr="007D7C4C">
        <w:rPr>
          <w:rFonts w:ascii="Arial" w:hAnsi="Arial" w:cs="Arial"/>
          <w:i/>
          <w:iCs/>
          <w:sz w:val="20"/>
        </w:rPr>
        <w:t xml:space="preserve">Thi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r w:rsidR="00100630" w:rsidRPr="00100630">
        <w:rPr>
          <w:rFonts w:ascii="Arial" w:hAnsi="Arial" w:cs="Arial"/>
          <w:i/>
          <w:iCs/>
          <w:sz w:val="20"/>
        </w:rPr>
        <w:t>Hochkins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r w:rsidR="00452366" w:rsidRPr="00452366">
        <w:rPr>
          <w:rFonts w:ascii="Arial" w:hAnsi="Arial" w:cs="Arial"/>
          <w:i/>
          <w:iCs/>
          <w:sz w:val="20"/>
        </w:rPr>
        <w:t>Shbaro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r w:rsidR="00AA0591" w:rsidRPr="000008FC">
        <w:rPr>
          <w:rFonts w:ascii="Arial" w:hAnsi="Arial" w:cs="Arial"/>
          <w:i/>
          <w:iCs/>
          <w:sz w:val="20"/>
        </w:rPr>
        <w:t>Garipoli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r w:rsidR="001144E9" w:rsidRPr="00FA15A7">
        <w:rPr>
          <w:rFonts w:ascii="Arial" w:hAnsi="Arial" w:cs="Arial"/>
          <w:i/>
          <w:iCs/>
          <w:sz w:val="20"/>
        </w:rPr>
        <w:t xml:space="preserve">Obian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4" w:name="_11.2.7_Double_Jeopardy"/>
      <w:bookmarkEnd w:id="564"/>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r w:rsidR="00B46C81" w:rsidRPr="00B46C81">
        <w:rPr>
          <w:rFonts w:ascii="Arial" w:hAnsi="Arial" w:cs="Arial"/>
          <w:i/>
          <w:iCs/>
          <w:sz w:val="20"/>
          <w:szCs w:val="16"/>
        </w:rPr>
        <w:t>Almatrah v The King</w:t>
      </w:r>
      <w:r w:rsidR="00B46C81">
        <w:rPr>
          <w:rFonts w:ascii="Arial" w:hAnsi="Arial" w:cs="Arial"/>
          <w:sz w:val="20"/>
          <w:szCs w:val="16"/>
        </w:rPr>
        <w:t xml:space="preserve"> [2024] VSCA 301 at [16]-[28]</w:t>
      </w:r>
      <w:r w:rsidR="00944566">
        <w:rPr>
          <w:rFonts w:ascii="Arial" w:hAnsi="Arial" w:cs="Arial"/>
          <w:sz w:val="20"/>
          <w:szCs w:val="16"/>
        </w:rPr>
        <w:t xml:space="preserve">; </w:t>
      </w:r>
      <w:r w:rsidR="00944566" w:rsidRPr="00944566">
        <w:rPr>
          <w:rFonts w:ascii="Arial" w:hAnsi="Arial" w:cs="Arial"/>
          <w:i/>
          <w:iCs/>
          <w:sz w:val="20"/>
          <w:szCs w:val="16"/>
        </w:rPr>
        <w:t>Hu v The King</w:t>
      </w:r>
      <w:r w:rsidR="00944566">
        <w:rPr>
          <w:rFonts w:ascii="Arial" w:hAnsi="Arial" w:cs="Arial"/>
          <w:sz w:val="20"/>
          <w:szCs w:val="16"/>
        </w:rPr>
        <w:t xml:space="preserve"> [2025] VSCA 60 at [53]-[90]; </w:t>
      </w:r>
      <w:r w:rsidR="00944566" w:rsidRPr="00944566">
        <w:rPr>
          <w:rFonts w:ascii="Arial" w:hAnsi="Arial" w:cs="Arial"/>
          <w:i/>
          <w:iCs/>
          <w:sz w:val="20"/>
          <w:szCs w:val="16"/>
        </w:rPr>
        <w:t>Udemba v The King</w:t>
      </w:r>
      <w:r w:rsidR="00944566">
        <w:rPr>
          <w:rFonts w:ascii="Arial" w:hAnsi="Arial" w:cs="Arial"/>
          <w:sz w:val="20"/>
          <w:szCs w:val="16"/>
        </w:rPr>
        <w:t xml:space="preserve"> [2025] VSCA 61 at [74]-[89]</w:t>
      </w:r>
      <w:r w:rsidR="00051E63">
        <w:rPr>
          <w:rFonts w:ascii="Arial" w:hAnsi="Arial" w:cs="Arial"/>
          <w:sz w:val="20"/>
          <w:szCs w:val="16"/>
        </w:rPr>
        <w:t xml:space="preserve">; </w:t>
      </w:r>
      <w:r w:rsidR="00051E63" w:rsidRPr="00051E63">
        <w:rPr>
          <w:rFonts w:ascii="Arial" w:hAnsi="Arial" w:cs="Arial"/>
          <w:i/>
          <w:iCs/>
          <w:sz w:val="20"/>
          <w:szCs w:val="16"/>
        </w:rPr>
        <w:t>Everett v The King</w:t>
      </w:r>
      <w:r w:rsidR="00051E63">
        <w:rPr>
          <w:rFonts w:ascii="Arial" w:hAnsi="Arial" w:cs="Arial"/>
          <w:sz w:val="20"/>
          <w:szCs w:val="16"/>
        </w:rPr>
        <w:t xml:space="preserve"> [2025] VSCA 96 at [41]-[49]</w:t>
      </w:r>
      <w:r w:rsidR="000B494F">
        <w:rPr>
          <w:rFonts w:ascii="Arial" w:hAnsi="Arial" w:cs="Arial"/>
          <w:sz w:val="20"/>
          <w:szCs w:val="16"/>
        </w:rPr>
        <w:t xml:space="preserve">; </w:t>
      </w:r>
      <w:r w:rsidR="000B494F" w:rsidRPr="004077FA">
        <w:rPr>
          <w:rFonts w:ascii="Arial" w:hAnsi="Arial" w:cs="Arial"/>
          <w:i/>
          <w:iCs/>
          <w:color w:val="000000"/>
          <w:sz w:val="20"/>
        </w:rPr>
        <w:t>Cullinan-Smayle v The King</w:t>
      </w:r>
      <w:r w:rsidR="000B494F">
        <w:rPr>
          <w:rFonts w:ascii="Arial" w:hAnsi="Arial" w:cs="Arial"/>
          <w:color w:val="000000"/>
          <w:sz w:val="20"/>
        </w:rPr>
        <w:t xml:space="preserve"> [2025] VSCA 109 at [177]-[180]</w:t>
      </w:r>
      <w:r w:rsidR="000A4D41">
        <w:rPr>
          <w:rFonts w:ascii="Arial" w:hAnsi="Arial" w:cs="Arial"/>
          <w:color w:val="000000"/>
          <w:sz w:val="20"/>
        </w:rPr>
        <w:t xml:space="preserve">; </w:t>
      </w:r>
      <w:r w:rsidR="000A4D41" w:rsidRPr="000A4D41">
        <w:rPr>
          <w:rFonts w:ascii="Arial" w:hAnsi="Arial" w:cs="Arial"/>
          <w:i/>
          <w:iCs/>
          <w:color w:val="000000"/>
          <w:sz w:val="20"/>
        </w:rPr>
        <w:t>Abbas v The King</w:t>
      </w:r>
      <w:r w:rsidR="000A4D41">
        <w:rPr>
          <w:rFonts w:ascii="Arial" w:hAnsi="Arial" w:cs="Arial"/>
          <w:color w:val="000000"/>
          <w:sz w:val="20"/>
        </w:rPr>
        <w:t xml:space="preserve"> [2025] VSCA 116 at [29]-[41]</w:t>
      </w:r>
      <w:r w:rsidR="00F70075">
        <w:rPr>
          <w:rFonts w:ascii="Arial" w:hAnsi="Arial" w:cs="Arial"/>
          <w:color w:val="000000"/>
          <w:sz w:val="20"/>
        </w:rPr>
        <w:t xml:space="preserve">; </w:t>
      </w:r>
      <w:r w:rsidR="00F70075" w:rsidRPr="00F70075">
        <w:rPr>
          <w:rFonts w:ascii="Arial" w:hAnsi="Arial" w:cs="Arial"/>
          <w:i/>
          <w:iCs/>
          <w:color w:val="000000"/>
          <w:sz w:val="20"/>
        </w:rPr>
        <w:t>Raymond Stephan v The King</w:t>
      </w:r>
      <w:r w:rsidR="00F70075">
        <w:rPr>
          <w:rFonts w:ascii="Arial" w:hAnsi="Arial" w:cs="Arial"/>
          <w:color w:val="000000"/>
          <w:sz w:val="20"/>
        </w:rPr>
        <w:t xml:space="preserve"> [2025] VSCA 121 at [51]-[68]</w:t>
      </w:r>
      <w:r w:rsidR="00B04651">
        <w:rPr>
          <w:rFonts w:ascii="Arial" w:hAnsi="Arial" w:cs="Arial"/>
          <w:color w:val="000000"/>
          <w:sz w:val="20"/>
        </w:rPr>
        <w:t xml:space="preserve">; </w:t>
      </w:r>
      <w:r w:rsidR="00B04651" w:rsidRPr="00B04651">
        <w:rPr>
          <w:rFonts w:ascii="Arial" w:hAnsi="Arial" w:cs="Arial"/>
          <w:i/>
          <w:iCs/>
          <w:color w:val="000000"/>
          <w:sz w:val="20"/>
        </w:rPr>
        <w:t>Fenton v The King</w:t>
      </w:r>
      <w:r w:rsidR="00B04651">
        <w:rPr>
          <w:rFonts w:ascii="Arial" w:hAnsi="Arial" w:cs="Arial"/>
          <w:color w:val="000000"/>
          <w:sz w:val="20"/>
        </w:rPr>
        <w:t xml:space="preserve"> [2025] VSCA 168 at [51]-[65]</w:t>
      </w:r>
      <w:r w:rsidR="00B46EA1">
        <w:rPr>
          <w:rFonts w:ascii="Arial" w:hAnsi="Arial" w:cs="Arial"/>
          <w:sz w:val="20"/>
          <w:szCs w:val="16"/>
        </w:rPr>
        <w:t>.</w:t>
      </w:r>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65" w:name="_11.2.6A_Current_sentencing"/>
      <w:bookmarkStart w:id="566" w:name="_Hlk184726651"/>
      <w:bookmarkEnd w:id="565"/>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67"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67"/>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w:t>
      </w:r>
      <w:r w:rsidRPr="001C6E0E">
        <w:rPr>
          <w:rFonts w:ascii="Arial" w:hAnsi="Arial" w:cs="Arial"/>
          <w:bCs/>
          <w:color w:val="000000"/>
          <w:sz w:val="20"/>
        </w:rPr>
        <w:lastRenderedPageBreak/>
        <w:t xml:space="preserve">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51"/>
        <w:gridCol w:w="3963"/>
        <w:gridCol w:w="2551"/>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r w:rsidRPr="005E4106">
        <w:rPr>
          <w:rFonts w:ascii="Arial" w:hAnsi="Arial" w:cs="Arial"/>
          <w:b/>
          <w:bCs/>
          <w:i/>
          <w:iCs/>
          <w:color w:val="000000"/>
          <w:sz w:val="20"/>
        </w:rPr>
        <w:t>Stalio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r w:rsidRPr="005E4106">
        <w:rPr>
          <w:rFonts w:ascii="Arial" w:hAnsi="Arial" w:cs="Arial"/>
          <w:i/>
          <w:iCs/>
          <w:color w:val="000000"/>
          <w:sz w:val="20"/>
        </w:rPr>
        <w:t>Stalio</w:t>
      </w:r>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concerned offending in around 1964–82. In all but one case, the offender had pleaded guilty to the charges for which he was to be sentenced. The gravest individual 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3860F1BB" w14:textId="6424C6E0" w:rsidR="00310580" w:rsidRDefault="00310580" w:rsidP="00310580">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Pr>
          <w:rFonts w:ascii="Arial" w:hAnsi="Arial" w:cs="Arial"/>
          <w:sz w:val="20"/>
          <w:szCs w:val="20"/>
        </w:rPr>
        <w:t xml:space="preserve"> and a </w:t>
      </w:r>
      <w:r w:rsidRPr="008E048A">
        <w:rPr>
          <w:rFonts w:ascii="Arial" w:hAnsi="Arial" w:cs="Arial"/>
          <w:sz w:val="20"/>
          <w:szCs w:val="20"/>
        </w:rPr>
        <w:t xml:space="preserve">severely disadvantaged upbringing. </w:t>
      </w:r>
      <w:r>
        <w:rPr>
          <w:rFonts w:ascii="Arial" w:hAnsi="Arial" w:cs="Arial"/>
          <w:sz w:val="20"/>
          <w:szCs w:val="20"/>
        </w:rPr>
        <w:t>In granting leave to appeal but dismissing the appeal, the Court of Appeal (Emerton P &amp; J Forrest JA) said at [109]-[110]:</w:t>
      </w:r>
    </w:p>
    <w:p w14:paraId="1DCF0A76" w14:textId="47207069" w:rsidR="00310580" w:rsidRDefault="00310580"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[109] “</w:t>
      </w:r>
      <w:r w:rsidRPr="00310580">
        <w:rPr>
          <w:rFonts w:ascii="Arial" w:hAnsi="Arial" w:cs="Arial"/>
          <w:color w:val="000000"/>
          <w:sz w:val="20"/>
        </w:rPr>
        <w:t xml:space="preserve">As to the submission that the sentence was out of step with current sentencing practice, this Court and the High Court have pointed out that there is limited utility in </w:t>
      </w:r>
      <w:r w:rsidRPr="00310580">
        <w:rPr>
          <w:rFonts w:ascii="Arial" w:hAnsi="Arial" w:cs="Arial"/>
          <w:color w:val="000000"/>
          <w:sz w:val="20"/>
        </w:rPr>
        <w:lastRenderedPageBreak/>
        <w:t>comparing and contrasting decisions of other judges involving different circumstances and antecedents</w:t>
      </w:r>
      <w:r>
        <w:rPr>
          <w:rFonts w:ascii="Arial" w:hAnsi="Arial" w:cs="Arial"/>
          <w:color w:val="000000"/>
          <w:sz w:val="20"/>
        </w:rPr>
        <w:t>: s</w:t>
      </w:r>
      <w:r w:rsidRPr="00310580">
        <w:rPr>
          <w:rFonts w:ascii="Arial" w:hAnsi="Arial" w:cs="Arial"/>
          <w:color w:val="000000"/>
          <w:sz w:val="20"/>
        </w:rPr>
        <w:t xml:space="preserve">ee, eg, </w:t>
      </w:r>
      <w:r w:rsidRPr="00310580">
        <w:rPr>
          <w:rFonts w:ascii="Arial" w:hAnsi="Arial" w:cs="Arial"/>
          <w:i/>
          <w:iCs/>
          <w:color w:val="000000"/>
          <w:sz w:val="20"/>
        </w:rPr>
        <w:t>Wong v The Queen</w:t>
      </w:r>
      <w:r w:rsidRPr="00310580">
        <w:rPr>
          <w:rFonts w:ascii="Arial" w:hAnsi="Arial" w:cs="Arial"/>
          <w:color w:val="000000"/>
          <w:sz w:val="20"/>
        </w:rPr>
        <w:t xml:space="preserve"> (2001) 207 CLR 584, 591 [6]; </w:t>
      </w:r>
      <w:r w:rsidRPr="00310580">
        <w:rPr>
          <w:rFonts w:ascii="Arial" w:hAnsi="Arial" w:cs="Arial"/>
          <w:i/>
          <w:iCs/>
          <w:color w:val="000000"/>
          <w:sz w:val="20"/>
        </w:rPr>
        <w:t>Hili v The Queen</w:t>
      </w:r>
      <w:r w:rsidRPr="00310580">
        <w:rPr>
          <w:rFonts w:ascii="Arial" w:hAnsi="Arial" w:cs="Arial"/>
          <w:color w:val="000000"/>
          <w:sz w:val="20"/>
        </w:rPr>
        <w:t xml:space="preserve"> (2010) 242 CLR 520, 534 [44], 535–6 [48]–[49]; </w:t>
      </w:r>
      <w:r w:rsidRPr="00310580">
        <w:rPr>
          <w:rFonts w:ascii="Arial" w:hAnsi="Arial" w:cs="Arial"/>
          <w:i/>
          <w:iCs/>
          <w:color w:val="000000"/>
          <w:sz w:val="20"/>
        </w:rPr>
        <w:t>Barbaro v The Queen</w:t>
      </w:r>
      <w:r w:rsidRPr="00310580">
        <w:rPr>
          <w:rFonts w:ascii="Arial" w:hAnsi="Arial" w:cs="Arial"/>
          <w:color w:val="000000"/>
          <w:sz w:val="20"/>
        </w:rPr>
        <w:t xml:space="preserve"> (2014) 253 CLR 58, 74 [40]–[41]; </w:t>
      </w:r>
      <w:r w:rsidRPr="00310580">
        <w:rPr>
          <w:rFonts w:ascii="Arial" w:hAnsi="Arial" w:cs="Arial"/>
          <w:i/>
          <w:iCs/>
          <w:color w:val="000000"/>
          <w:sz w:val="20"/>
        </w:rPr>
        <w:t>R v Pham</w:t>
      </w:r>
      <w:r w:rsidRPr="00310580">
        <w:rPr>
          <w:rFonts w:ascii="Arial" w:hAnsi="Arial" w:cs="Arial"/>
          <w:color w:val="000000"/>
          <w:sz w:val="20"/>
        </w:rPr>
        <w:t xml:space="preserve"> (2015) 256 CLR 550, 558–9 [26]–[28]; </w:t>
      </w:r>
      <w:r w:rsidRPr="00310580">
        <w:rPr>
          <w:rFonts w:ascii="Arial" w:hAnsi="Arial" w:cs="Arial"/>
          <w:i/>
          <w:iCs/>
          <w:color w:val="000000"/>
          <w:sz w:val="20"/>
        </w:rPr>
        <w:t>Dalgliesh</w:t>
      </w:r>
      <w:r w:rsidRPr="00310580">
        <w:rPr>
          <w:rFonts w:ascii="Arial" w:hAnsi="Arial" w:cs="Arial"/>
          <w:color w:val="000000"/>
          <w:sz w:val="20"/>
        </w:rPr>
        <w:t xml:space="preserve"> (2017) 262 CLR 428, 453–4 [82]–[83]; </w:t>
      </w:r>
      <w:r w:rsidRPr="00310580">
        <w:rPr>
          <w:rFonts w:ascii="Arial" w:hAnsi="Arial" w:cs="Arial"/>
          <w:i/>
          <w:iCs/>
          <w:color w:val="000000"/>
          <w:sz w:val="20"/>
        </w:rPr>
        <w:t>Hudson v The Queen</w:t>
      </w:r>
      <w:r w:rsidRPr="00310580">
        <w:rPr>
          <w:rFonts w:ascii="Arial" w:hAnsi="Arial" w:cs="Arial"/>
          <w:color w:val="000000"/>
          <w:sz w:val="20"/>
        </w:rPr>
        <w:t xml:space="preserve"> (2010) 30 VR 610, 617–18 [28]–[33]; </w:t>
      </w:r>
      <w:r w:rsidRPr="00310580">
        <w:rPr>
          <w:rFonts w:ascii="Arial" w:hAnsi="Arial" w:cs="Arial"/>
          <w:i/>
          <w:iCs/>
          <w:color w:val="000000"/>
          <w:sz w:val="20"/>
        </w:rPr>
        <w:t>Nguyen v The Queen</w:t>
      </w:r>
      <w:r w:rsidRPr="00310580">
        <w:rPr>
          <w:rFonts w:ascii="Arial" w:hAnsi="Arial" w:cs="Arial"/>
          <w:color w:val="000000"/>
          <w:sz w:val="20"/>
        </w:rPr>
        <w:t xml:space="preserve"> (2016) 261 A Crim R 1, [71]–[72]; </w:t>
      </w:r>
      <w:r w:rsidRPr="00424CB3">
        <w:rPr>
          <w:rFonts w:ascii="Arial" w:hAnsi="Arial" w:cs="Arial"/>
          <w:i/>
          <w:iCs/>
          <w:color w:val="000000"/>
          <w:sz w:val="20"/>
        </w:rPr>
        <w:t>DPP (Cth) v Thomas</w:t>
      </w:r>
      <w:r w:rsidRPr="00310580">
        <w:rPr>
          <w:rFonts w:ascii="Arial" w:hAnsi="Arial" w:cs="Arial"/>
          <w:color w:val="000000"/>
          <w:sz w:val="20"/>
        </w:rPr>
        <w:t xml:space="preserve"> (2016) 53 VR 546, 606–11 [171]– [187]; </w:t>
      </w:r>
      <w:r w:rsidRPr="00424CB3">
        <w:rPr>
          <w:rFonts w:ascii="Arial" w:hAnsi="Arial" w:cs="Arial"/>
          <w:i/>
          <w:iCs/>
          <w:color w:val="000000"/>
          <w:sz w:val="20"/>
        </w:rPr>
        <w:t>Hasan v The Queen</w:t>
      </w:r>
      <w:r w:rsidRPr="00310580">
        <w:rPr>
          <w:rFonts w:ascii="Arial" w:hAnsi="Arial" w:cs="Arial"/>
          <w:color w:val="000000"/>
          <w:sz w:val="20"/>
        </w:rPr>
        <w:t xml:space="preserve"> (2010) 31 VR 28, 38 [44]; </w:t>
      </w:r>
      <w:r w:rsidRPr="00424CB3">
        <w:rPr>
          <w:rFonts w:ascii="Arial" w:hAnsi="Arial" w:cs="Arial"/>
          <w:i/>
          <w:iCs/>
          <w:color w:val="000000"/>
          <w:sz w:val="20"/>
        </w:rPr>
        <w:t>Fichtner v The Queen</w:t>
      </w:r>
      <w:r w:rsidRPr="00310580">
        <w:rPr>
          <w:rFonts w:ascii="Arial" w:hAnsi="Arial" w:cs="Arial"/>
          <w:color w:val="000000"/>
          <w:sz w:val="20"/>
        </w:rPr>
        <w:t xml:space="preserve"> [2019] VSCA 297, [100]; </w:t>
      </w:r>
      <w:r w:rsidRPr="00424CB3">
        <w:rPr>
          <w:rFonts w:ascii="Arial" w:hAnsi="Arial" w:cs="Arial"/>
          <w:i/>
          <w:iCs/>
          <w:color w:val="000000"/>
          <w:sz w:val="20"/>
        </w:rPr>
        <w:t>Staples v The Queen</w:t>
      </w:r>
      <w:r w:rsidRPr="00310580">
        <w:rPr>
          <w:rFonts w:ascii="Arial" w:hAnsi="Arial" w:cs="Arial"/>
          <w:color w:val="000000"/>
          <w:sz w:val="20"/>
        </w:rPr>
        <w:t xml:space="preserve"> [2021] VSCA 307, [88]; </w:t>
      </w:r>
      <w:r w:rsidRPr="00424CB3">
        <w:rPr>
          <w:rFonts w:ascii="Arial" w:hAnsi="Arial" w:cs="Arial"/>
          <w:i/>
          <w:iCs/>
          <w:color w:val="000000"/>
          <w:sz w:val="20"/>
        </w:rPr>
        <w:t>Lieu v The Queen</w:t>
      </w:r>
      <w:r w:rsidRPr="00310580">
        <w:rPr>
          <w:rFonts w:ascii="Arial" w:hAnsi="Arial" w:cs="Arial"/>
          <w:color w:val="000000"/>
          <w:sz w:val="20"/>
        </w:rPr>
        <w:t xml:space="preserve"> (2016) 263 A Crim R 173, [46]–[47]; </w:t>
      </w:r>
      <w:r w:rsidRPr="00424CB3">
        <w:rPr>
          <w:rFonts w:ascii="Arial" w:hAnsi="Arial" w:cs="Arial"/>
          <w:i/>
          <w:iCs/>
          <w:color w:val="000000"/>
          <w:sz w:val="20"/>
        </w:rPr>
        <w:t>DPP (Cth) &amp; DPP (Vic) v Edge</w:t>
      </w:r>
      <w:r w:rsidRPr="00310580">
        <w:rPr>
          <w:rFonts w:ascii="Arial" w:hAnsi="Arial" w:cs="Arial"/>
          <w:color w:val="000000"/>
          <w:sz w:val="20"/>
        </w:rPr>
        <w:t xml:space="preserve"> [2012] VSCA 289, [60]; </w:t>
      </w:r>
      <w:r w:rsidRPr="00424CB3">
        <w:rPr>
          <w:rFonts w:ascii="Arial" w:hAnsi="Arial" w:cs="Arial"/>
          <w:i/>
          <w:iCs/>
          <w:color w:val="000000"/>
          <w:sz w:val="20"/>
        </w:rPr>
        <w:t>R v Stratton</w:t>
      </w:r>
      <w:r w:rsidRPr="00310580">
        <w:rPr>
          <w:rFonts w:ascii="Arial" w:hAnsi="Arial" w:cs="Arial"/>
          <w:color w:val="000000"/>
          <w:sz w:val="20"/>
        </w:rPr>
        <w:t xml:space="preserve"> (2008) 20 VR 539, [93], citing </w:t>
      </w:r>
      <w:r w:rsidRPr="00424CB3">
        <w:rPr>
          <w:rFonts w:ascii="Arial" w:hAnsi="Arial" w:cs="Arial"/>
          <w:i/>
          <w:iCs/>
          <w:color w:val="000000"/>
          <w:sz w:val="20"/>
        </w:rPr>
        <w:t>R v Arney</w:t>
      </w:r>
      <w:r w:rsidRPr="00310580">
        <w:rPr>
          <w:rFonts w:ascii="Arial" w:hAnsi="Arial" w:cs="Arial"/>
          <w:color w:val="000000"/>
          <w:sz w:val="20"/>
        </w:rPr>
        <w:t xml:space="preserve"> [2007] VSCA 126, [14].</w:t>
      </w:r>
      <w:r w:rsidR="00424CB3">
        <w:rPr>
          <w:rFonts w:ascii="Arial" w:hAnsi="Arial" w:cs="Arial"/>
          <w:color w:val="000000"/>
          <w:sz w:val="20"/>
        </w:rPr>
        <w:t xml:space="preserve"> </w:t>
      </w:r>
      <w:r w:rsidR="00424CB3" w:rsidRPr="00310580">
        <w:rPr>
          <w:rFonts w:ascii="Arial" w:hAnsi="Arial" w:cs="Arial"/>
          <w:color w:val="000000"/>
          <w:sz w:val="20"/>
        </w:rPr>
        <w:t>In sentencing, the judge must instinctively synthesise the factors relevant to the offender and the offending, and dispense individualised justice.</w:t>
      </w:r>
    </w:p>
    <w:p w14:paraId="2B5FE8DE" w14:textId="03580B5D" w:rsidR="00424CB3" w:rsidRDefault="00424CB3"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[110] </w:t>
      </w:r>
      <w:r w:rsidRPr="00310580">
        <w:rPr>
          <w:rFonts w:ascii="Arial" w:hAnsi="Arial" w:cs="Arial"/>
          <w:color w:val="000000"/>
          <w:sz w:val="20"/>
        </w:rPr>
        <w:t xml:space="preserve">In any event, we do not consider that the sentence imposed was out of step with current sentencing practice. In </w:t>
      </w:r>
      <w:r w:rsidRPr="00424CB3">
        <w:rPr>
          <w:rFonts w:ascii="Arial" w:hAnsi="Arial" w:cs="Arial"/>
          <w:i/>
          <w:iCs/>
          <w:color w:val="000000"/>
          <w:sz w:val="20"/>
        </w:rPr>
        <w:t>Tufue</w:t>
      </w:r>
      <w:r w:rsidRPr="00310580">
        <w:rPr>
          <w:rFonts w:ascii="Arial" w:hAnsi="Arial" w:cs="Arial"/>
          <w:color w:val="000000"/>
          <w:sz w:val="20"/>
        </w:rPr>
        <w:t xml:space="preserve"> </w:t>
      </w:r>
      <w:r w:rsidR="00C07B6D">
        <w:rPr>
          <w:rFonts w:ascii="Arial" w:hAnsi="Arial" w:cs="Arial"/>
          <w:color w:val="000000"/>
          <w:sz w:val="20"/>
        </w:rPr>
        <w:t xml:space="preserve">[2024] VSCA 22, </w:t>
      </w:r>
      <w:r w:rsidRPr="00310580">
        <w:rPr>
          <w:rFonts w:ascii="Arial" w:hAnsi="Arial" w:cs="Arial"/>
          <w:color w:val="000000"/>
          <w:sz w:val="20"/>
        </w:rPr>
        <w:t xml:space="preserve">the appellant had a limited criminal history and in </w:t>
      </w:r>
      <w:r w:rsidRPr="00424CB3">
        <w:rPr>
          <w:rFonts w:ascii="Arial" w:hAnsi="Arial" w:cs="Arial"/>
          <w:i/>
          <w:iCs/>
          <w:color w:val="000000"/>
          <w:sz w:val="20"/>
        </w:rPr>
        <w:t>Raoof</w:t>
      </w:r>
      <w:r w:rsidRPr="00310580">
        <w:rPr>
          <w:rFonts w:ascii="Arial" w:hAnsi="Arial" w:cs="Arial"/>
          <w:color w:val="000000"/>
          <w:sz w:val="20"/>
        </w:rPr>
        <w:t xml:space="preserve"> </w:t>
      </w:r>
      <w:r w:rsidR="00C07B6D">
        <w:rPr>
          <w:rFonts w:ascii="Arial" w:hAnsi="Arial" w:cs="Arial"/>
          <w:color w:val="000000"/>
          <w:sz w:val="20"/>
        </w:rPr>
        <w:t xml:space="preserve">[2016] VSCA 180, </w:t>
      </w:r>
      <w:r w:rsidRPr="00310580">
        <w:rPr>
          <w:rFonts w:ascii="Arial" w:hAnsi="Arial" w:cs="Arial"/>
          <w:color w:val="000000"/>
          <w:sz w:val="20"/>
        </w:rPr>
        <w:t>the applicant required involuntary psychiatric treatment immediately following the offending. He did not have prior convictions for aggravated burglary.</w:t>
      </w:r>
      <w:r>
        <w:rPr>
          <w:rFonts w:ascii="Arial" w:hAnsi="Arial" w:cs="Arial"/>
          <w:color w:val="000000"/>
          <w:sz w:val="20"/>
        </w:rPr>
        <w:t>”</w:t>
      </w:r>
    </w:p>
    <w:p w14:paraId="3260B5F5" w14:textId="77777777" w:rsidR="00310580" w:rsidRDefault="00310580" w:rsidP="00424CB3">
      <w:pPr>
        <w:pStyle w:val="Normal-Cover"/>
        <w:widowControl/>
        <w:jc w:val="both"/>
        <w:rPr>
          <w:rFonts w:ascii="Arial" w:hAnsi="Arial" w:cs="Arial"/>
          <w:color w:val="000000"/>
          <w:sz w:val="20"/>
        </w:rPr>
      </w:pPr>
    </w:p>
    <w:p w14:paraId="4E406C3F" w14:textId="08B51D62"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r w:rsidR="00FB2E4B" w:rsidRPr="00B233F7">
        <w:rPr>
          <w:rFonts w:ascii="Arial" w:hAnsi="Arial" w:cs="Arial"/>
          <w:i/>
          <w:iCs/>
          <w:color w:val="000000"/>
          <w:sz w:val="20"/>
        </w:rPr>
        <w:t>Jawahiri v 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r w:rsidR="00807D42" w:rsidRPr="00EA5B5D">
        <w:rPr>
          <w:rFonts w:ascii="Arial" w:hAnsi="Arial" w:cs="Arial"/>
          <w:bCs/>
          <w:i/>
          <w:iCs/>
          <w:color w:val="000000"/>
          <w:sz w:val="20"/>
          <w:lang w:val="en-US"/>
        </w:rPr>
        <w:t>Haddara v The King</w:t>
      </w:r>
      <w:r w:rsidR="00807D42">
        <w:rPr>
          <w:rFonts w:ascii="Arial" w:hAnsi="Arial" w:cs="Arial"/>
          <w:bCs/>
          <w:color w:val="000000"/>
          <w:sz w:val="20"/>
          <w:lang w:val="en-US"/>
        </w:rPr>
        <w:t xml:space="preserve"> [2024] VSCA 269</w:t>
      </w:r>
      <w:r w:rsidR="00783F77">
        <w:rPr>
          <w:rFonts w:ascii="Arial" w:hAnsi="Arial" w:cs="Arial"/>
          <w:bCs/>
          <w:color w:val="000000"/>
          <w:sz w:val="20"/>
          <w:lang w:val="en-US"/>
        </w:rPr>
        <w:t xml:space="preserve">; </w:t>
      </w:r>
      <w:r w:rsidR="00D51602" w:rsidRPr="00D51602">
        <w:rPr>
          <w:rFonts w:ascii="Arial" w:hAnsi="Arial" w:cs="Arial"/>
          <w:bCs/>
          <w:i/>
          <w:iCs/>
          <w:color w:val="000000"/>
          <w:sz w:val="20"/>
          <w:lang w:val="en-US"/>
        </w:rPr>
        <w:t>R v Loughnane</w:t>
      </w:r>
      <w:r w:rsidR="00D51602">
        <w:rPr>
          <w:rFonts w:ascii="Arial" w:hAnsi="Arial" w:cs="Arial"/>
          <w:bCs/>
          <w:color w:val="000000"/>
          <w:sz w:val="20"/>
          <w:lang w:val="en-US"/>
        </w:rPr>
        <w:t xml:space="preserve"> [2025] VSC 41 at [</w:t>
      </w:r>
      <w:r w:rsidR="004512E1">
        <w:rPr>
          <w:rFonts w:ascii="Arial" w:hAnsi="Arial" w:cs="Arial"/>
          <w:bCs/>
          <w:color w:val="000000"/>
          <w:sz w:val="20"/>
          <w:lang w:val="en-US"/>
        </w:rPr>
        <w:t>72</w:t>
      </w:r>
      <w:r w:rsidR="00D51602">
        <w:rPr>
          <w:rFonts w:ascii="Arial" w:hAnsi="Arial" w:cs="Arial"/>
          <w:bCs/>
          <w:color w:val="000000"/>
          <w:sz w:val="20"/>
          <w:lang w:val="en-US"/>
        </w:rPr>
        <w:t>]</w:t>
      </w:r>
      <w:r w:rsidR="00807D42">
        <w:rPr>
          <w:rFonts w:ascii="Arial" w:hAnsi="Arial" w:cs="Arial"/>
          <w:bCs/>
          <w:color w:val="000000"/>
          <w:sz w:val="20"/>
          <w:lang w:val="en-US"/>
        </w:rPr>
        <w:t>.</w:t>
      </w:r>
    </w:p>
    <w:p w14:paraId="76B8E0FE" w14:textId="77777777" w:rsidR="008E575B" w:rsidRDefault="008E575B" w:rsidP="00871139">
      <w:pPr>
        <w:pStyle w:val="Normal-Cover"/>
        <w:jc w:val="both"/>
        <w:rPr>
          <w:rFonts w:ascii="Arial" w:hAnsi="Arial" w:cs="Arial"/>
          <w:color w:val="000000"/>
          <w:sz w:val="20"/>
        </w:rPr>
      </w:pPr>
    </w:p>
    <w:bookmarkEnd w:id="566"/>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place">
        <w:smartTag w:uri="urn:schemas-microsoft-com:office:smarttags" w:element="City">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w:t>
      </w:r>
      <w:r w:rsidR="003A0EFE" w:rsidRPr="001C6E0E">
        <w:rPr>
          <w:rFonts w:ascii="Arial" w:hAnsi="Arial" w:cs="Arial"/>
          <w:color w:val="000000"/>
          <w:sz w:val="20"/>
        </w:rPr>
        <w:lastRenderedPageBreak/>
        <w:t xml:space="preserve">[15]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w:t>
      </w:r>
      <w:r w:rsidR="001F027C" w:rsidRPr="001C6E0E">
        <w:rPr>
          <w:rFonts w:ascii="Arial" w:hAnsi="Arial" w:cs="Arial"/>
          <w:color w:val="000000"/>
          <w:sz w:val="20"/>
        </w:rPr>
        <w:lastRenderedPageBreak/>
        <w:t>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w:t>
      </w:r>
      <w:r w:rsidRPr="00E034D6">
        <w:rPr>
          <w:rFonts w:ascii="Arial" w:hAnsi="Arial" w:cs="Arial"/>
          <w:sz w:val="18"/>
          <w:szCs w:val="18"/>
        </w:rPr>
        <w:lastRenderedPageBreak/>
        <w:t>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00932B9B"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R v King - R v 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r w:rsidR="0013582B">
        <w:rPr>
          <w:rFonts w:ascii="Arial" w:hAnsi="Arial" w:cs="Arial"/>
          <w:color w:val="000000"/>
          <w:sz w:val="20"/>
        </w:rPr>
        <w:t xml:space="preserve">; </w:t>
      </w:r>
      <w:r w:rsidR="0013582B" w:rsidRPr="00170185">
        <w:rPr>
          <w:rFonts w:ascii="Arial" w:hAnsi="Arial" w:cs="Arial"/>
          <w:bCs/>
          <w:i/>
          <w:iCs/>
          <w:color w:val="000000"/>
          <w:sz w:val="20"/>
          <w:szCs w:val="20"/>
          <w:lang w:val="en-US"/>
        </w:rPr>
        <w:t>Andrews v The King</w:t>
      </w:r>
      <w:r w:rsidR="0013582B" w:rsidRPr="00170185">
        <w:rPr>
          <w:rFonts w:ascii="Arial" w:hAnsi="Arial" w:cs="Arial"/>
          <w:bCs/>
          <w:color w:val="000000"/>
          <w:sz w:val="20"/>
          <w:szCs w:val="20"/>
          <w:lang w:val="en-US"/>
        </w:rPr>
        <w:t xml:space="preserve"> [2025] VSCA 26</w:t>
      </w:r>
      <w:r w:rsidR="0013582B">
        <w:rPr>
          <w:rFonts w:ascii="Arial" w:hAnsi="Arial" w:cs="Arial"/>
          <w:bCs/>
          <w:color w:val="000000"/>
          <w:sz w:val="20"/>
          <w:szCs w:val="20"/>
          <w:lang w:val="en-US"/>
        </w:rPr>
        <w:t xml:space="preserve"> at [36]-[52]</w:t>
      </w:r>
      <w:r w:rsidR="00C55772">
        <w:rPr>
          <w:rFonts w:ascii="Arial" w:hAnsi="Arial" w:cs="Arial"/>
          <w:bCs/>
          <w:color w:val="000000"/>
          <w:sz w:val="20"/>
          <w:szCs w:val="20"/>
          <w:lang w:val="en-US"/>
        </w:rPr>
        <w:t xml:space="preserve">; </w:t>
      </w:r>
      <w:r w:rsidR="00C55772">
        <w:rPr>
          <w:rFonts w:ascii="Arial" w:hAnsi="Arial" w:cs="Arial"/>
          <w:i/>
          <w:iCs/>
          <w:color w:val="000000"/>
          <w:sz w:val="20"/>
        </w:rPr>
        <w:t>Tarasinski</w:t>
      </w:r>
      <w:r w:rsidR="00C55772" w:rsidRPr="00B04651">
        <w:rPr>
          <w:rFonts w:ascii="Arial" w:hAnsi="Arial" w:cs="Arial"/>
          <w:i/>
          <w:iCs/>
          <w:color w:val="000000"/>
          <w:sz w:val="20"/>
        </w:rPr>
        <w:t xml:space="preserve"> v The King</w:t>
      </w:r>
      <w:r w:rsidR="00C55772">
        <w:rPr>
          <w:rFonts w:ascii="Arial" w:hAnsi="Arial" w:cs="Arial"/>
          <w:color w:val="000000"/>
          <w:sz w:val="20"/>
        </w:rPr>
        <w:t xml:space="preserve"> [2025] VSCA 162 at [19]-[33]</w:t>
      </w:r>
      <w:r w:rsidR="00EA5D71">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68"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lastRenderedPageBreak/>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69" w:name="_11.2.8_Effect_of"/>
      <w:bookmarkEnd w:id="569"/>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68"/>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C55772">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 xml:space="preserve">“[T]he deception did not relate to any aspect of the offending but to one aspect of the personal circumstances of the applicant.  We doubt that the deception supported the inference that the appellant had no remorse at all.  Rather, the discount for a plea of </w:t>
      </w:r>
      <w:r w:rsidRPr="001C6E0E">
        <w:rPr>
          <w:rFonts w:ascii="Arial" w:hAnsi="Arial" w:cs="Arial"/>
          <w:color w:val="000000"/>
          <w:sz w:val="20"/>
        </w:rPr>
        <w:lastRenderedPageBreak/>
        <w:t>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70" w:name="_Hlk528830091"/>
    </w:p>
    <w:bookmarkEnd w:id="570"/>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 xml:space="preserve">The utilitarian benefits which flow from the plea may also inform the extent of the discount to be allowed for the offender’s willingness to </w:t>
      </w:r>
      <w:r w:rsidRPr="001C6E0E">
        <w:rPr>
          <w:rFonts w:ascii="Arial" w:hAnsi="Arial" w:cs="Arial"/>
          <w:color w:val="000000"/>
          <w:sz w:val="20"/>
        </w:rPr>
        <w:lastRenderedPageBreak/>
        <w:t>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r w:rsidR="00E710D1" w:rsidRPr="00E710D1">
        <w:rPr>
          <w:rFonts w:ascii="Arial" w:hAnsi="Arial" w:cs="Arial"/>
          <w:i/>
          <w:color w:val="000000"/>
          <w:sz w:val="20"/>
        </w:rPr>
        <w:t>Shaptafaj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 xml:space="preserve">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w:t>
      </w:r>
      <w:r w:rsidRPr="00AE29F1">
        <w:rPr>
          <w:rFonts w:ascii="Arial" w:hAnsi="Arial" w:cs="Arial"/>
          <w:sz w:val="18"/>
          <w:szCs w:val="18"/>
        </w:rPr>
        <w:lastRenderedPageBreak/>
        <w:t>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71" w:name="_11.2.8.1__"/>
      <w:bookmarkEnd w:id="571"/>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C55772" w:rsidRDefault="00DA0D73"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t>
      </w:r>
      <w:r w:rsidR="00A13989" w:rsidRPr="00C55772">
        <w:rPr>
          <w:rFonts w:ascii="Arial" w:hAnsi="Arial" w:cs="Arial"/>
          <w:color w:val="000000"/>
          <w:sz w:val="18"/>
          <w:szCs w:val="18"/>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sidRPr="00C55772">
        <w:rPr>
          <w:rFonts w:ascii="Arial" w:hAnsi="Arial" w:cs="Arial"/>
          <w:color w:val="000000"/>
          <w:sz w:val="18"/>
          <w:szCs w:val="18"/>
        </w:rPr>
        <w:t>“</w:t>
      </w:r>
      <w:r w:rsidRPr="00C55772">
        <w:rPr>
          <w:rFonts w:ascii="Arial" w:hAnsi="Arial" w:cs="Arial"/>
          <w:color w:val="000000"/>
          <w:sz w:val="18"/>
          <w:szCs w:val="18"/>
        </w:rPr>
        <w:t>precision of approach...in complying with the obligation to take the plea of guilty into account</w:t>
      </w:r>
      <w:r w:rsidR="007E7A01" w:rsidRPr="00C55772">
        <w:rPr>
          <w:rFonts w:ascii="Arial" w:hAnsi="Arial" w:cs="Arial"/>
          <w:color w:val="000000"/>
          <w:sz w:val="18"/>
          <w:szCs w:val="18"/>
        </w:rPr>
        <w:t>”</w:t>
      </w:r>
      <w:r w:rsidRPr="00C55772">
        <w:rPr>
          <w:rFonts w:ascii="Arial" w:hAnsi="Arial" w:cs="Arial"/>
          <w:color w:val="000000"/>
          <w:sz w:val="18"/>
          <w:szCs w:val="18"/>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C55772">
        <w:rPr>
          <w:rFonts w:ascii="Arial" w:hAnsi="Arial" w:cs="Arial"/>
          <w:i/>
          <w:color w:val="000000"/>
          <w:sz w:val="18"/>
          <w:szCs w:val="18"/>
        </w:rPr>
        <w:t>Phillips</w:t>
      </w:r>
      <w:r w:rsidRPr="00C55772">
        <w:rPr>
          <w:rFonts w:ascii="Arial" w:hAnsi="Arial" w:cs="Arial"/>
          <w:color w:val="000000"/>
          <w:sz w:val="18"/>
          <w:szCs w:val="18"/>
        </w:rPr>
        <w:t xml:space="preserve">, </w:t>
      </w:r>
      <w:r w:rsidR="00DA0D73" w:rsidRPr="00C55772">
        <w:rPr>
          <w:rFonts w:ascii="Arial" w:hAnsi="Arial" w:cs="Arial"/>
          <w:color w:val="000000"/>
          <w:sz w:val="18"/>
          <w:szCs w:val="18"/>
        </w:rPr>
        <w:t>“</w:t>
      </w:r>
      <w:r w:rsidRPr="00C55772">
        <w:rPr>
          <w:rFonts w:ascii="Arial" w:hAnsi="Arial" w:cs="Arial"/>
          <w:color w:val="000000"/>
          <w:sz w:val="18"/>
          <w:szCs w:val="18"/>
        </w:rPr>
        <w:t>[t]he conduct and statements of the offender over time provide a more informative and precise guide than the plea alone as to whether genuine and deep contrition exists</w:t>
      </w:r>
      <w:r w:rsidR="00DA0D73" w:rsidRPr="00C55772">
        <w:rPr>
          <w:rFonts w:ascii="Arial" w:hAnsi="Arial" w:cs="Arial"/>
          <w:color w:val="000000"/>
          <w:sz w:val="18"/>
          <w:szCs w:val="18"/>
        </w:rPr>
        <w:t>”</w:t>
      </w:r>
      <w:r w:rsidRPr="00C55772">
        <w:rPr>
          <w:rFonts w:ascii="Arial" w:hAnsi="Arial" w:cs="Arial"/>
          <w:color w:val="000000"/>
          <w:sz w:val="18"/>
          <w:szCs w:val="18"/>
        </w:rPr>
        <w:t>.</w:t>
      </w:r>
    </w:p>
    <w:p w14:paraId="677FE51B" w14:textId="77777777" w:rsidR="007E7A01" w:rsidRPr="00C55772" w:rsidRDefault="007E7A01"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respectfully agree with Redlich JA and Curtain AJA that “[i]n every case the genuineness of the contrition and the time and manner in which it is manifested in association with the plea of guilty will require evaluation by the sentencing judge in the light of the overall complexity of the facts before the court”.’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C55772" w:rsidRDefault="007E7A01" w:rsidP="007E7A01">
      <w:pPr>
        <w:spacing w:before="60"/>
        <w:ind w:left="1021" w:right="1021"/>
        <w:jc w:val="both"/>
        <w:rPr>
          <w:rFonts w:ascii="Arial" w:hAnsi="Arial" w:cs="Arial"/>
          <w:color w:val="000000"/>
          <w:sz w:val="18"/>
          <w:szCs w:val="18"/>
        </w:rPr>
      </w:pPr>
      <w:r w:rsidRPr="00C55772">
        <w:rPr>
          <w:rFonts w:ascii="Arial" w:hAnsi="Arial" w:cs="Arial"/>
          <w:color w:val="000000"/>
          <w:sz w:val="18"/>
          <w:szCs w:val="18"/>
        </w:rPr>
        <w:t xml:space="preserve">‘[W]e do not think that Broadbent’s (admitted) lack of consideration for others at the time of the offending justified any “qualification” of the Court’s acceptance of the remorse which he expressed subsequently.  In our view, Broadbent’s expressions of “deep remorse” — to which both the prosecutor and defence counsel had drawn attention — reflected his subsequent realisation of, and deep regret for, the very lack of </w:t>
      </w:r>
      <w:r w:rsidRPr="00C55772">
        <w:rPr>
          <w:rFonts w:ascii="Arial" w:hAnsi="Arial" w:cs="Arial"/>
          <w:color w:val="000000"/>
          <w:sz w:val="18"/>
          <w:szCs w:val="18"/>
        </w:rPr>
        <w:lastRenderedPageBreak/>
        <w:t>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72" w:name="_11.2.8.2__"/>
      <w:bookmarkEnd w:id="572"/>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C55772">
      <w:pPr>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w:t>
      </w:r>
      <w:r w:rsidR="00321468" w:rsidRPr="0068410F">
        <w:rPr>
          <w:rFonts w:ascii="Arial" w:hAnsi="Arial" w:cs="Arial"/>
          <w:color w:val="000000"/>
          <w:sz w:val="20"/>
        </w:rPr>
        <w:lastRenderedPageBreak/>
        <w:t xml:space="preserve">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C55772" w:rsidRDefault="003711F8" w:rsidP="003711F8">
      <w:pPr>
        <w:spacing w:before="80" w:after="80"/>
        <w:ind w:left="1021" w:right="1021"/>
        <w:jc w:val="both"/>
        <w:rPr>
          <w:rFonts w:ascii="Arial" w:hAnsi="Arial" w:cs="Arial"/>
          <w:color w:val="000000"/>
          <w:sz w:val="18"/>
          <w:szCs w:val="18"/>
        </w:rPr>
      </w:pPr>
      <w:r w:rsidRPr="00C55772">
        <w:rPr>
          <w:rFonts w:ascii="Arial" w:hAnsi="Arial" w:cs="Arial"/>
          <w:color w:val="000000"/>
          <w:sz w:val="18"/>
          <w:szCs w:val="18"/>
        </w:rPr>
        <w:t>‘</w:t>
      </w:r>
      <w:r w:rsidRPr="00C55772">
        <w:rPr>
          <w:rFonts w:ascii="Arial" w:hAnsi="Arial" w:cs="Arial"/>
          <w:sz w:val="18"/>
          <w:szCs w:val="20"/>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16"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Pr="00C55772" w:rsidRDefault="005D459E" w:rsidP="005D459E">
      <w:pPr>
        <w:spacing w:before="60"/>
        <w:ind w:left="1021" w:right="1021"/>
        <w:jc w:val="both"/>
        <w:rPr>
          <w:rFonts w:ascii="Arial" w:hAnsi="Arial" w:cs="Arial"/>
          <w:color w:val="000000"/>
          <w:sz w:val="18"/>
          <w:szCs w:val="18"/>
        </w:rPr>
      </w:pPr>
      <w:r w:rsidRPr="00C55772">
        <w:rPr>
          <w:rFonts w:ascii="Arial" w:hAnsi="Arial" w:cs="Arial"/>
          <w:color w:val="000000"/>
          <w:sz w:val="18"/>
          <w:szCs w:val="18"/>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hyperlink r:id="rId17"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509EC2E6"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w:t>
      </w:r>
      <w:r w:rsidRPr="001C6E0E">
        <w:rPr>
          <w:rFonts w:ascii="Arial" w:hAnsi="Arial" w:cs="Arial"/>
          <w:color w:val="000000"/>
          <w:sz w:val="20"/>
        </w:rPr>
        <w:lastRenderedPageBreak/>
        <w:t xml:space="preserve">(1995)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D71E4B">
        <w:rPr>
          <w:rFonts w:ascii="Arial" w:hAnsi="Arial" w:cs="Arial"/>
          <w:color w:val="000000"/>
          <w:sz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3" w:name="_Toc30674207"/>
      <w:bookmarkStart w:id="574" w:name="_Toc30691474"/>
      <w:bookmarkStart w:id="575" w:name="_Toc30691854"/>
      <w:bookmarkStart w:id="576" w:name="_Toc30692234"/>
      <w:bookmarkStart w:id="577" w:name="_Toc30692992"/>
      <w:bookmarkStart w:id="578" w:name="_Toc30693371"/>
      <w:bookmarkStart w:id="579" w:name="_Toc30693749"/>
      <w:bookmarkStart w:id="580" w:name="_Toc30694127"/>
      <w:bookmarkStart w:id="581" w:name="_Toc30694508"/>
      <w:bookmarkStart w:id="582" w:name="_Toc30699098"/>
      <w:bookmarkStart w:id="583" w:name="_Toc30699483"/>
      <w:bookmarkStart w:id="584" w:name="_Toc30699868"/>
      <w:bookmarkStart w:id="585" w:name="_Toc30701023"/>
      <w:bookmarkStart w:id="586" w:name="_Toc30701410"/>
      <w:bookmarkStart w:id="587" w:name="_Toc30744017"/>
      <w:bookmarkStart w:id="588" w:name="_Toc30754840"/>
      <w:bookmarkStart w:id="589" w:name="_Toc30757296"/>
      <w:bookmarkStart w:id="590" w:name="_Toc30757844"/>
      <w:bookmarkStart w:id="591" w:name="_Toc30758244"/>
      <w:bookmarkStart w:id="592" w:name="_Toc30763004"/>
      <w:bookmarkStart w:id="593" w:name="_Toc30767658"/>
      <w:bookmarkStart w:id="594"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95"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95"/>
    </w:p>
    <w:p w14:paraId="4FE3192F" w14:textId="77777777" w:rsidR="00526FDA" w:rsidRPr="001C6E0E" w:rsidRDefault="00526FDA" w:rsidP="00C55772">
      <w:pPr>
        <w:numPr>
          <w:ilvl w:val="0"/>
          <w:numId w:val="34"/>
        </w:numPr>
        <w:tabs>
          <w:tab w:val="clear" w:pos="420"/>
        </w:tabs>
        <w:spacing w:before="120"/>
        <w:ind w:left="1106" w:hanging="539"/>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C55772">
      <w:pPr>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lastRenderedPageBreak/>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(Cth)</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D71E4B">
      <w:pPr>
        <w:pStyle w:val="Heading3"/>
        <w:spacing w:after="120" w:line="240" w:lineRule="auto"/>
        <w:rPr>
          <w:rFonts w:ascii="Arial" w:hAnsi="Arial" w:cs="Arial"/>
          <w:b/>
          <w:bCs/>
          <w:color w:val="000000"/>
          <w:sz w:val="20"/>
          <w:lang w:val="en-AU"/>
        </w:rPr>
      </w:pPr>
      <w:bookmarkStart w:id="596" w:name="_11.2.8.3__"/>
      <w:bookmarkEnd w:id="596"/>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w:t>
      </w:r>
      <w:r w:rsidRPr="001C6E0E">
        <w:rPr>
          <w:rFonts w:ascii="Arial" w:hAnsi="Arial" w:cs="Arial"/>
          <w:color w:val="000000"/>
          <w:sz w:val="20"/>
        </w:rPr>
        <w:lastRenderedPageBreak/>
        <w:t xml:space="preserve">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w:t>
      </w:r>
      <w:r w:rsidR="004A1A58" w:rsidRPr="001C6E0E">
        <w:rPr>
          <w:rFonts w:ascii="Arial" w:hAnsi="Arial" w:cs="Arial"/>
          <w:color w:val="000000"/>
          <w:sz w:val="20"/>
        </w:rPr>
        <w:lastRenderedPageBreak/>
        <w:t xml:space="preserve">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Given the seriousness of the applicant’s offending, had it not been for the applicant’s assistance to authorities, we would have considered the sentence imposed on him to have 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 xml:space="preserve">In those circumstances, we are not persuaded that the principle of parity has been infringed, or that the sentence imposed on the applicant is otherwise manifestly excessive.  </w:t>
      </w:r>
      <w:r w:rsidRPr="00063BD2">
        <w:rPr>
          <w:rFonts w:ascii="Arial" w:hAnsi="Arial" w:cs="Arial"/>
          <w:sz w:val="20"/>
        </w:rPr>
        <w:lastRenderedPageBreak/>
        <w:t>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lastRenderedPageBreak/>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the lack of a tariff or standard discount for the provision of information, which acknowledges the broad variety of circumstances which 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 xml:space="preserve">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w:t>
      </w:r>
      <w:r w:rsidRPr="004230A6">
        <w:rPr>
          <w:rFonts w:ascii="Arial" w:hAnsi="Arial" w:cs="Arial"/>
          <w:color w:val="000000"/>
          <w:sz w:val="20"/>
          <w:szCs w:val="20"/>
        </w:rPr>
        <w:lastRenderedPageBreak/>
        <w:t>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2426656D"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97" w:name="_11.2.8.4__"/>
      <w:bookmarkEnd w:id="597"/>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w:t>
      </w:r>
      <w:r w:rsidRPr="001C6E0E">
        <w:rPr>
          <w:rFonts w:ascii="Arial" w:hAnsi="Arial" w:cs="Arial"/>
          <w:color w:val="000000"/>
          <w:sz w:val="20"/>
        </w:rPr>
        <w:lastRenderedPageBreak/>
        <w:t xml:space="preserve">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w:t>
      </w:r>
      <w:r w:rsidRPr="001C6E0E">
        <w:rPr>
          <w:rFonts w:ascii="Arial" w:hAnsi="Arial" w:cs="Arial"/>
          <w:color w:val="000000"/>
          <w:sz w:val="20"/>
          <w:szCs w:val="20"/>
        </w:rPr>
        <w:lastRenderedPageBreak/>
        <w:t xml:space="preserve">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06A7C509"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R v Dimitrakis</w:t>
      </w:r>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DPP v Duhovic</w:t>
      </w:r>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r w:rsidR="00D71E4B">
        <w:rPr>
          <w:rFonts w:ascii="Arial" w:hAnsi="Arial" w:cs="Arial"/>
          <w:color w:val="000000"/>
          <w:sz w:val="20"/>
          <w:szCs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98" w:name="_11.2.9_Relevance_of"/>
      <w:bookmarkStart w:id="599" w:name="_Toc107101754"/>
      <w:bookmarkEnd w:id="598"/>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City">
        <w:smartTag w:uri="urn:schemas-microsoft-com:office:smarttags" w:element="place">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w:t>
      </w:r>
      <w:r w:rsidRPr="001C6E0E">
        <w:rPr>
          <w:rFonts w:ascii="Arial" w:hAnsi="Arial" w:cs="Arial"/>
          <w:color w:val="000000"/>
          <w:sz w:val="20"/>
        </w:rPr>
        <w:lastRenderedPageBreak/>
        <w:t xml:space="preserve">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C62AE1">
      <w:pPr>
        <w:pStyle w:val="Style1"/>
      </w:pPr>
      <w:bookmarkStart w:id="600" w:name="_Hlk166748643"/>
      <w:r>
        <w:t xml:space="preserve">In </w:t>
      </w:r>
      <w:r w:rsidRPr="00E01619">
        <w:rPr>
          <w:i/>
          <w:iCs/>
        </w:rPr>
        <w:t>Yat v The King</w:t>
      </w:r>
      <w: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t xml:space="preserve">(Walker &amp; Boyce JJA) </w:t>
      </w:r>
      <w: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C62AE1">
      <w:pPr>
        <w:pStyle w:val="Style1"/>
        <w:spacing w:before="120"/>
      </w:pPr>
      <w:r>
        <w:t xml:space="preserve">In the course of a detailed discussion about the relevance </w:t>
      </w:r>
      <w:r w:rsidR="00932251">
        <w:t xml:space="preserve">to the sentencing process </w:t>
      </w:r>
      <w: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r w:rsidR="00725FE0" w:rsidRPr="00725FE0">
        <w:rPr>
          <w:rFonts w:ascii="Arial" w:hAnsi="Arial" w:cs="Arial"/>
          <w:i/>
          <w:iCs/>
          <w:sz w:val="20"/>
          <w:szCs w:val="16"/>
        </w:rPr>
        <w:t>Bekink v The Queen</w:t>
      </w:r>
      <w:r w:rsidR="00725FE0" w:rsidRPr="00E01619">
        <w:rPr>
          <w:rFonts w:ascii="Arial" w:hAnsi="Arial" w:cs="Arial"/>
          <w:sz w:val="20"/>
          <w:szCs w:val="16"/>
        </w:rPr>
        <w:t xml:space="preserve"> (1999) 107 A Crim </w:t>
      </w:r>
      <w:r w:rsidR="00725FE0" w:rsidRPr="00E01619">
        <w:rPr>
          <w:rFonts w:ascii="Arial" w:hAnsi="Arial" w:cs="Arial"/>
          <w:sz w:val="20"/>
          <w:szCs w:val="16"/>
        </w:rPr>
        <w:lastRenderedPageBreak/>
        <w:t>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r w:rsidR="00932251" w:rsidRPr="00932251">
        <w:rPr>
          <w:rFonts w:ascii="Arial" w:hAnsi="Arial" w:cs="Arial"/>
          <w:i/>
          <w:iCs/>
          <w:sz w:val="20"/>
          <w:szCs w:val="16"/>
        </w:rPr>
        <w:t>Milenkovski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C62AE1">
      <w:pPr>
        <w:pStyle w:val="Style1"/>
        <w:spacing w:before="120"/>
      </w:pPr>
      <w:r>
        <w:t>At [72]-[79] Walker &amp; Boy</w:t>
      </w:r>
      <w:r w:rsidR="006D0F9C">
        <w:t>ce</w:t>
      </w:r>
      <w:r>
        <w:t xml:space="preserve"> JJA discussed aspects of the judgment of the Court of Appeal in </w:t>
      </w:r>
      <w:r w:rsidRPr="001C6E0E">
        <w:rPr>
          <w:i/>
        </w:rPr>
        <w:t>R v Stevens</w:t>
      </w:r>
      <w:r w:rsidRPr="001C6E0E">
        <w:t xml:space="preserve"> [2009] VSCA 81</w:t>
      </w:r>
      <w:r>
        <w:t xml:space="preserve"> before holding that “we do not take </w:t>
      </w:r>
      <w:r w:rsidRPr="006D0F9C">
        <w:rPr>
          <w:i/>
          <w:iCs/>
        </w:rPr>
        <w:t>Stevens</w:t>
      </w:r>
      <w:r>
        <w:t xml:space="preserve"> as having decided that a prisoner’s endurance of sufficiently harsh conditions in custody will always be irrelevant as a mitigatory matter</w:t>
      </w:r>
      <w:r w:rsidR="006D0F9C">
        <w:t xml:space="preserve"> pertaining to sentence if those conditions arise as a result of the prisoner’s own misbehaviour.</w:t>
      </w:r>
      <w:r w:rsidR="00772DF9">
        <w:t>”</w:t>
      </w:r>
    </w:p>
    <w:p w14:paraId="49795A7A" w14:textId="234BDC58" w:rsidR="00F16E37" w:rsidRDefault="006D0F9C" w:rsidP="00C62AE1">
      <w:pPr>
        <w:pStyle w:val="Style1"/>
        <w:spacing w:before="120"/>
      </w:pPr>
      <w:r>
        <w:t>At [70]-[71] &amp; [84] Walker &amp; Boyce JJA said</w:t>
      </w:r>
      <w:r w:rsidR="009D2F73">
        <w:t xml:space="preserve"> (emphasis added)</w:t>
      </w:r>
      <w: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BE4BCD" w:rsidRDefault="00F61D70" w:rsidP="00BE4BCD">
      <w:pPr>
        <w:pStyle w:val="Heading3"/>
        <w:spacing w:after="120" w:line="240" w:lineRule="auto"/>
        <w:rPr>
          <w:rFonts w:ascii="Arial" w:hAnsi="Arial" w:cs="Arial"/>
          <w:b/>
          <w:bCs/>
          <w:sz w:val="20"/>
          <w:szCs w:val="12"/>
        </w:rPr>
      </w:pPr>
      <w:bookmarkStart w:id="601" w:name="_11.2.10_Effect_of"/>
      <w:bookmarkEnd w:id="600"/>
      <w:bookmarkEnd w:id="601"/>
      <w:r w:rsidRPr="00BE4BCD">
        <w:rPr>
          <w:rFonts w:ascii="Arial" w:hAnsi="Arial" w:cs="Arial"/>
          <w:b/>
          <w:bCs/>
          <w:sz w:val="20"/>
          <w:szCs w:val="12"/>
        </w:rPr>
        <w:t>11.2.10</w:t>
      </w:r>
      <w:r w:rsidRPr="00BE4BCD">
        <w:rPr>
          <w:rFonts w:ascii="Arial" w:hAnsi="Arial" w:cs="Arial"/>
          <w:b/>
          <w:bCs/>
          <w:sz w:val="20"/>
          <w:szCs w:val="12"/>
        </w:rPr>
        <w:tab/>
        <w:t xml:space="preserve">Effect of </w:t>
      </w:r>
      <w:r w:rsidRPr="00BE4BCD">
        <w:rPr>
          <w:rFonts w:ascii="Arial" w:hAnsi="Arial" w:cs="Arial"/>
          <w:b/>
          <w:bCs/>
          <w:sz w:val="20"/>
          <w:szCs w:val="16"/>
        </w:rPr>
        <w:t>forgiveness by the victim</w:t>
      </w:r>
    </w:p>
    <w:bookmarkEnd w:id="599"/>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In the present case, however, there was good reason why the judge would be cautious in evaluating the 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w:t>
      </w:r>
      <w:r w:rsidRPr="001C6E0E">
        <w:rPr>
          <w:rFonts w:ascii="Arial" w:hAnsi="Arial" w:cs="Arial"/>
          <w:color w:val="000000"/>
          <w:sz w:val="20"/>
        </w:rPr>
        <w:lastRenderedPageBreak/>
        <w:t>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11163A" w:rsidRDefault="00BF52E5" w:rsidP="0011163A">
      <w:pPr>
        <w:spacing w:after="120"/>
        <w:rPr>
          <w:rFonts w:ascii="Arial" w:hAnsi="Arial" w:cs="Arial"/>
          <w:b/>
          <w:bCs/>
          <w:sz w:val="20"/>
          <w:szCs w:val="20"/>
        </w:rPr>
      </w:pPr>
      <w:bookmarkStart w:id="602" w:name="_11.2.11_Effect_of"/>
      <w:bookmarkStart w:id="603" w:name="_Toc107101755"/>
      <w:bookmarkEnd w:id="602"/>
      <w:r w:rsidRPr="0011163A">
        <w:rPr>
          <w:rFonts w:ascii="Arial" w:hAnsi="Arial" w:cs="Arial"/>
          <w:b/>
          <w:bCs/>
          <w:sz w:val="20"/>
          <w:szCs w:val="20"/>
        </w:rPr>
        <w:t>11.2.1</w:t>
      </w:r>
      <w:r w:rsidR="00FB17E7" w:rsidRPr="0011163A">
        <w:rPr>
          <w:rFonts w:ascii="Arial" w:hAnsi="Arial" w:cs="Arial"/>
          <w:b/>
          <w:bCs/>
          <w:sz w:val="20"/>
          <w:szCs w:val="20"/>
        </w:rPr>
        <w:t>1</w:t>
      </w:r>
      <w:r w:rsidRPr="0011163A">
        <w:rPr>
          <w:rFonts w:ascii="Arial" w:hAnsi="Arial" w:cs="Arial"/>
          <w:b/>
          <w:bCs/>
          <w:sz w:val="20"/>
          <w:szCs w:val="20"/>
        </w:rPr>
        <w:tab/>
        <w:t>Effect of mental illness / mental disorder</w:t>
      </w:r>
      <w:bookmarkEnd w:id="603"/>
      <w:r w:rsidR="000956A1" w:rsidRPr="0011163A">
        <w:rPr>
          <w:rFonts w:ascii="Arial" w:hAnsi="Arial" w:cs="Arial"/>
          <w:b/>
          <w:bCs/>
          <w:sz w:val="20"/>
          <w:szCs w:val="20"/>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04" w:name="_11.2.11.1__Effect"/>
      <w:bookmarkEnd w:id="604"/>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lastRenderedPageBreak/>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Nepi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counsel submitted that the sentence should have reflected the appellant's reduced moral culpability </w:t>
      </w:r>
      <w:r w:rsidRPr="001C6E0E">
        <w:rPr>
          <w:rFonts w:ascii="Arial" w:hAnsi="Arial" w:cs="Arial"/>
          <w:color w:val="000000"/>
          <w:sz w:val="20"/>
        </w:rPr>
        <w:lastRenderedPageBreak/>
        <w:t>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05"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 xml:space="preserve">R v </w:t>
      </w:r>
      <w:r w:rsidRPr="001C6E0E">
        <w:rPr>
          <w:rFonts w:ascii="Arial" w:hAnsi="Arial" w:cs="Arial"/>
          <w:i/>
          <w:iCs/>
          <w:color w:val="000000"/>
          <w:sz w:val="20"/>
        </w:rPr>
        <w:lastRenderedPageBreak/>
        <w:t>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w:t>
      </w:r>
      <w:r w:rsidRPr="001C6E0E">
        <w:rPr>
          <w:rFonts w:ascii="Arial" w:hAnsi="Arial" w:cs="Arial"/>
          <w:color w:val="000000"/>
          <w:sz w:val="20"/>
        </w:rPr>
        <w:lastRenderedPageBreak/>
        <w:t xml:space="preserve">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w:t>
      </w:r>
      <w:r w:rsidR="007A4AB1" w:rsidRPr="001C6E0E">
        <w:rPr>
          <w:rFonts w:ascii="Arial" w:hAnsi="Arial" w:cs="Arial"/>
          <w:color w:val="000000"/>
          <w:sz w:val="20"/>
        </w:rPr>
        <w:lastRenderedPageBreak/>
        <w:t xml:space="preserve">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w:t>
      </w:r>
      <w:r w:rsidRPr="001C6E0E">
        <w:rPr>
          <w:rFonts w:ascii="Arial" w:hAnsi="Arial" w:cs="Arial"/>
          <w:color w:val="000000"/>
          <w:sz w:val="20"/>
        </w:rPr>
        <w:lastRenderedPageBreak/>
        <w:t xml:space="preserve">[22]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06" w:name="_11.2.11.2__Effect"/>
      <w:bookmarkEnd w:id="606"/>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lastRenderedPageBreak/>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07" w:name="_Toc80756419"/>
      <w:bookmarkStart w:id="608"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lastRenderedPageBreak/>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lastRenderedPageBreak/>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w:t>
      </w:r>
      <w:r w:rsidRPr="001C6E0E">
        <w:rPr>
          <w:rFonts w:ascii="Arial" w:hAnsi="Arial" w:cs="Arial"/>
          <w:color w:val="000000"/>
          <w:sz w:val="20"/>
        </w:rPr>
        <w:lastRenderedPageBreak/>
        <w:t>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lastRenderedPageBreak/>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C37421">
      <w:pPr>
        <w:pStyle w:val="Style1"/>
      </w:pPr>
      <w:r>
        <w:rPr>
          <w:bCs/>
          <w:color w:val="000000"/>
        </w:rPr>
        <w:t xml:space="preserve">In </w:t>
      </w:r>
      <w:r w:rsidRPr="00405C7B">
        <w:rPr>
          <w:bCs/>
          <w:i/>
          <w:iCs/>
          <w:color w:val="000000"/>
        </w:rPr>
        <w:t>R v Chol</w:t>
      </w:r>
      <w:r>
        <w:rPr>
          <w:bCs/>
          <w:color w:val="000000"/>
        </w:rPr>
        <w:t xml:space="preserve"> [2022] VSC 341 </w:t>
      </w:r>
      <w:r>
        <w:t xml:space="preserve">the 15 year old offender stabbed a 17 year old acquaintance once in the abdomen in circumstances where “a play fight turned serious”.  He pleaded guilty to manslaughter by unlawful and dangerous act.  In </w:t>
      </w:r>
      <w:r w:rsidR="00E85B92">
        <w:t>moderating the sentence “</w:t>
      </w:r>
      <w:r w:rsidR="004A3D6B">
        <w:t>to a modest extent</w:t>
      </w:r>
      <w:r w:rsidR="00E85B92">
        <w:t xml:space="preserve">” on the basis of </w:t>
      </w:r>
      <w:r w:rsidRPr="00405C7B">
        <w:rPr>
          <w:i/>
          <w:iCs/>
        </w:rPr>
        <w:t>Verdins</w:t>
      </w:r>
      <w:r>
        <w:t xml:space="preserve"> principles 1, 3 &amp; 4 </w:t>
      </w:r>
      <w:r w:rsidR="00E85B92">
        <w:t xml:space="preserve">and </w:t>
      </w:r>
      <w: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w:t>
      </w:r>
      <w:r w:rsidR="00562751" w:rsidRPr="004F372E">
        <w:rPr>
          <w:rFonts w:ascii="Arial" w:hAnsi="Arial" w:cs="Arial"/>
          <w:bCs/>
          <w:color w:val="000000"/>
          <w:sz w:val="20"/>
        </w:rPr>
        <w:lastRenderedPageBreak/>
        <w:t>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A sentence should not be increased 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09"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r w:rsidRPr="00682B9C">
        <w:rPr>
          <w:rFonts w:ascii="Arial" w:hAnsi="Arial" w:cs="Arial"/>
          <w:i/>
          <w:iCs/>
          <w:sz w:val="20"/>
          <w:szCs w:val="20"/>
        </w:rPr>
        <w:t>Sharbell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09"/>
    <w:p w14:paraId="71661D7A" w14:textId="77777777" w:rsidR="00682B9C" w:rsidRPr="007555C5" w:rsidRDefault="00682B9C" w:rsidP="009830B9">
      <w:pPr>
        <w:rPr>
          <w:rFonts w:ascii="Arial" w:hAnsi="Arial" w:cs="Arial"/>
          <w:bCs/>
          <w:color w:val="000000"/>
          <w:sz w:val="20"/>
        </w:rPr>
      </w:pPr>
    </w:p>
    <w:p w14:paraId="090699A5" w14:textId="04C9A850" w:rsidR="00077267" w:rsidRPr="005D375F"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w:t>
      </w:r>
      <w:r w:rsidR="00AD47D3" w:rsidRPr="001C6E0E">
        <w:rPr>
          <w:rFonts w:ascii="Arial" w:hAnsi="Arial" w:cs="Arial"/>
          <w:color w:val="000000"/>
          <w:sz w:val="20"/>
        </w:rPr>
        <w:lastRenderedPageBreak/>
        <w:t xml:space="preserve">[27];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10" w:name="COVvsc"/>
      <w:bookmarkEnd w:id="610"/>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11"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11"/>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r w:rsidR="002C2268" w:rsidRPr="005358F1">
        <w:rPr>
          <w:rFonts w:ascii="Arial" w:hAnsi="Arial" w:cs="Arial"/>
          <w:i/>
          <w:iCs/>
          <w:sz w:val="20"/>
          <w:szCs w:val="20"/>
        </w:rPr>
        <w:t>Tewaka v The King</w:t>
      </w:r>
      <w:r w:rsidR="002C2268" w:rsidRPr="005358F1">
        <w:rPr>
          <w:rFonts w:ascii="Arial" w:hAnsi="Arial" w:cs="Arial"/>
          <w:sz w:val="20"/>
          <w:szCs w:val="20"/>
        </w:rPr>
        <w:t xml:space="preserve"> [2022] VSCA 275 at [37]-</w:t>
      </w:r>
      <w:r w:rsidR="002C2268" w:rsidRPr="005D375F">
        <w:rPr>
          <w:rFonts w:ascii="Arial" w:hAnsi="Arial" w:cs="Arial"/>
          <w:sz w:val="20"/>
          <w:szCs w:val="20"/>
        </w:rPr>
        <w:t>[41]</w:t>
      </w:r>
      <w:r w:rsidR="009B2107" w:rsidRPr="005D375F">
        <w:rPr>
          <w:rFonts w:ascii="Arial" w:hAnsi="Arial" w:cs="Arial"/>
          <w:sz w:val="20"/>
          <w:szCs w:val="20"/>
        </w:rPr>
        <w:t xml:space="preserve">; </w:t>
      </w:r>
      <w:r w:rsidR="009B2107" w:rsidRPr="005D375F">
        <w:rPr>
          <w:rFonts w:ascii="Arial" w:hAnsi="Arial" w:cs="Arial"/>
          <w:i/>
          <w:iCs/>
          <w:color w:val="000000"/>
          <w:sz w:val="20"/>
          <w:szCs w:val="20"/>
        </w:rPr>
        <w:t xml:space="preserve">DPP v Ledlin </w:t>
      </w:r>
      <w:r w:rsidR="009B2107" w:rsidRPr="005D375F">
        <w:rPr>
          <w:rFonts w:ascii="Arial" w:hAnsi="Arial" w:cs="Arial"/>
          <w:color w:val="000000"/>
          <w:sz w:val="20"/>
          <w:szCs w:val="20"/>
        </w:rPr>
        <w:t>[2022] VSC 826 at [71]-[76]</w:t>
      </w:r>
      <w:r w:rsidR="00864CD0" w:rsidRPr="005D375F">
        <w:rPr>
          <w:rFonts w:ascii="Arial" w:hAnsi="Arial" w:cs="Arial"/>
          <w:color w:val="000000"/>
          <w:sz w:val="20"/>
          <w:szCs w:val="20"/>
        </w:rPr>
        <w:t xml:space="preserve">; </w:t>
      </w:r>
      <w:r w:rsidR="00864CD0" w:rsidRPr="005D375F">
        <w:rPr>
          <w:rFonts w:ascii="Arial" w:hAnsi="Arial" w:cs="Arial"/>
          <w:i/>
          <w:iCs/>
          <w:color w:val="000000"/>
          <w:sz w:val="20"/>
          <w:szCs w:val="20"/>
        </w:rPr>
        <w:t>Sweeney v The King</w:t>
      </w:r>
      <w:r w:rsidR="00864CD0" w:rsidRPr="005D375F">
        <w:rPr>
          <w:rFonts w:ascii="Arial" w:hAnsi="Arial" w:cs="Arial"/>
          <w:color w:val="000000"/>
          <w:sz w:val="20"/>
          <w:szCs w:val="20"/>
        </w:rPr>
        <w:t xml:space="preserve"> [2023] VSCA 9 at [36]-[46]</w:t>
      </w:r>
      <w:r w:rsidR="003B6A65" w:rsidRPr="005D375F">
        <w:rPr>
          <w:rFonts w:ascii="Arial" w:hAnsi="Arial" w:cs="Arial"/>
          <w:color w:val="000000"/>
          <w:sz w:val="20"/>
          <w:szCs w:val="20"/>
        </w:rPr>
        <w:t xml:space="preserve">; </w:t>
      </w:r>
      <w:bookmarkStart w:id="612" w:name="_Hlk128386752"/>
      <w:r w:rsidR="003B6A65" w:rsidRPr="005D375F">
        <w:rPr>
          <w:rFonts w:ascii="Arial" w:hAnsi="Arial" w:cs="Arial"/>
          <w:i/>
          <w:iCs/>
          <w:color w:val="000000"/>
          <w:sz w:val="20"/>
          <w:szCs w:val="20"/>
        </w:rPr>
        <w:t>Van Kempten v The King</w:t>
      </w:r>
      <w:r w:rsidR="003B6A65" w:rsidRPr="005D375F">
        <w:rPr>
          <w:rFonts w:ascii="Arial" w:hAnsi="Arial" w:cs="Arial"/>
          <w:color w:val="000000"/>
          <w:sz w:val="20"/>
          <w:szCs w:val="20"/>
        </w:rPr>
        <w:t xml:space="preserve"> [2023] VSCA 26 </w:t>
      </w:r>
      <w:bookmarkEnd w:id="612"/>
      <w:r w:rsidR="003B6A65" w:rsidRPr="005D375F">
        <w:rPr>
          <w:rFonts w:ascii="Arial" w:hAnsi="Arial" w:cs="Arial"/>
          <w:color w:val="000000"/>
          <w:sz w:val="20"/>
          <w:szCs w:val="20"/>
        </w:rPr>
        <w:t>at [53]-[59]</w:t>
      </w:r>
      <w:r w:rsidR="00570428" w:rsidRPr="005D375F">
        <w:rPr>
          <w:rFonts w:ascii="Arial" w:hAnsi="Arial" w:cs="Arial"/>
          <w:color w:val="000000"/>
          <w:sz w:val="20"/>
          <w:szCs w:val="20"/>
        </w:rPr>
        <w:t xml:space="preserve">; </w:t>
      </w:r>
      <w:r w:rsidR="00570428" w:rsidRPr="005D375F">
        <w:rPr>
          <w:rFonts w:ascii="Arial" w:hAnsi="Arial" w:cs="Arial"/>
          <w:i/>
          <w:iCs/>
          <w:color w:val="000000"/>
          <w:sz w:val="20"/>
          <w:szCs w:val="20"/>
        </w:rPr>
        <w:t>Roberts v The King</w:t>
      </w:r>
      <w:r w:rsidR="00570428" w:rsidRPr="005D375F">
        <w:rPr>
          <w:rFonts w:ascii="Arial" w:hAnsi="Arial" w:cs="Arial"/>
          <w:color w:val="000000"/>
          <w:sz w:val="20"/>
          <w:szCs w:val="20"/>
        </w:rPr>
        <w:t xml:space="preserve"> [2023] VSCA 92</w:t>
      </w:r>
      <w:r w:rsidR="00C30168" w:rsidRPr="005D375F">
        <w:rPr>
          <w:rFonts w:ascii="Arial" w:hAnsi="Arial" w:cs="Arial"/>
          <w:color w:val="000000"/>
          <w:sz w:val="20"/>
          <w:szCs w:val="20"/>
        </w:rPr>
        <w:t xml:space="preserve">; </w:t>
      </w:r>
      <w:r w:rsidR="00FF0DF7" w:rsidRPr="005D375F">
        <w:rPr>
          <w:rFonts w:ascii="Arial" w:hAnsi="Arial" w:cs="Arial"/>
          <w:i/>
          <w:iCs/>
          <w:color w:val="000000"/>
          <w:sz w:val="20"/>
          <w:szCs w:val="20"/>
        </w:rPr>
        <w:t>Kruger v The King</w:t>
      </w:r>
      <w:r w:rsidR="00FF0DF7" w:rsidRPr="005D375F">
        <w:rPr>
          <w:rFonts w:ascii="Arial" w:hAnsi="Arial" w:cs="Arial"/>
          <w:color w:val="000000"/>
          <w:sz w:val="20"/>
          <w:szCs w:val="20"/>
        </w:rPr>
        <w:t xml:space="preserve"> [2023] VSCA 149 at [44]-[46]; </w:t>
      </w:r>
      <w:r w:rsidR="00C30168" w:rsidRPr="005D375F">
        <w:rPr>
          <w:rFonts w:ascii="Arial" w:hAnsi="Arial" w:cs="Arial"/>
          <w:i/>
          <w:iCs/>
          <w:color w:val="000000"/>
          <w:sz w:val="20"/>
          <w:szCs w:val="20"/>
        </w:rPr>
        <w:t xml:space="preserve">DPP v Newell </w:t>
      </w:r>
      <w:r w:rsidR="00C30168" w:rsidRPr="005D375F">
        <w:rPr>
          <w:rFonts w:ascii="Arial" w:hAnsi="Arial" w:cs="Arial"/>
          <w:color w:val="000000"/>
          <w:sz w:val="20"/>
          <w:szCs w:val="20"/>
        </w:rPr>
        <w:t>[2023] VSC 237 at [59]-[67]</w:t>
      </w:r>
      <w:r w:rsidR="005358F1" w:rsidRPr="005D375F">
        <w:rPr>
          <w:rFonts w:ascii="Arial" w:hAnsi="Arial" w:cs="Arial"/>
          <w:color w:val="000000"/>
          <w:sz w:val="20"/>
          <w:szCs w:val="20"/>
        </w:rPr>
        <w:t xml:space="preserve">; </w:t>
      </w:r>
      <w:r w:rsidR="005358F1" w:rsidRPr="005D375F">
        <w:rPr>
          <w:rFonts w:ascii="Arial" w:hAnsi="Arial" w:cs="Arial"/>
          <w:i/>
          <w:iCs/>
          <w:color w:val="000000"/>
          <w:sz w:val="20"/>
          <w:szCs w:val="20"/>
        </w:rPr>
        <w:t>R v Deng</w:t>
      </w:r>
      <w:r w:rsidR="005358F1" w:rsidRPr="005D375F">
        <w:rPr>
          <w:rFonts w:ascii="Arial" w:hAnsi="Arial" w:cs="Arial"/>
          <w:color w:val="000000"/>
          <w:sz w:val="20"/>
          <w:szCs w:val="20"/>
        </w:rPr>
        <w:t xml:space="preserve"> [2023] VSC 257 at [167]-[174]</w:t>
      </w:r>
      <w:r w:rsidR="00DB3549" w:rsidRPr="005D375F">
        <w:rPr>
          <w:rFonts w:ascii="Arial" w:hAnsi="Arial" w:cs="Arial"/>
          <w:color w:val="000000"/>
          <w:sz w:val="20"/>
          <w:szCs w:val="20"/>
        </w:rPr>
        <w:t xml:space="preserve">; </w:t>
      </w:r>
      <w:r w:rsidR="00DB3549" w:rsidRPr="005D375F">
        <w:rPr>
          <w:rFonts w:ascii="Arial" w:hAnsi="Arial" w:cs="Arial"/>
          <w:i/>
          <w:iCs/>
          <w:sz w:val="20"/>
          <w:szCs w:val="20"/>
        </w:rPr>
        <w:t>DPP v JN</w:t>
      </w:r>
      <w:r w:rsidR="00DB3549" w:rsidRPr="005D375F">
        <w:rPr>
          <w:rFonts w:ascii="Arial" w:hAnsi="Arial" w:cs="Arial"/>
          <w:sz w:val="20"/>
          <w:szCs w:val="20"/>
        </w:rPr>
        <w:t xml:space="preserve"> [2023] VSC 500 at [36]-[47]</w:t>
      </w:r>
      <w:r w:rsidR="00B93C85" w:rsidRPr="005D375F">
        <w:rPr>
          <w:rFonts w:ascii="Arial" w:hAnsi="Arial" w:cs="Arial"/>
          <w:sz w:val="20"/>
          <w:szCs w:val="20"/>
        </w:rPr>
        <w:t xml:space="preserve">; </w:t>
      </w:r>
      <w:r w:rsidR="00B93C85" w:rsidRPr="005D375F">
        <w:rPr>
          <w:rFonts w:ascii="Arial" w:hAnsi="Arial" w:cs="Arial"/>
          <w:i/>
          <w:iCs/>
          <w:sz w:val="20"/>
          <w:szCs w:val="20"/>
        </w:rPr>
        <w:t>Kerney v The King</w:t>
      </w:r>
      <w:r w:rsidR="00B93C85" w:rsidRPr="005D375F">
        <w:rPr>
          <w:rFonts w:ascii="Arial" w:hAnsi="Arial" w:cs="Arial"/>
          <w:sz w:val="20"/>
          <w:szCs w:val="20"/>
        </w:rPr>
        <w:t xml:space="preserve"> [2023] VSCA 202 at [38]</w:t>
      </w:r>
      <w:r w:rsidR="005D375F">
        <w:rPr>
          <w:rFonts w:ascii="Arial" w:hAnsi="Arial" w:cs="Arial"/>
          <w:sz w:val="20"/>
          <w:szCs w:val="20"/>
        </w:rPr>
        <w:noBreakHyphen/>
      </w:r>
      <w:r w:rsidR="00B93C85" w:rsidRPr="005D375F">
        <w:rPr>
          <w:rFonts w:ascii="Arial" w:hAnsi="Arial" w:cs="Arial"/>
          <w:sz w:val="20"/>
          <w:szCs w:val="20"/>
        </w:rPr>
        <w:t>[69]</w:t>
      </w:r>
      <w:r w:rsidR="00170067" w:rsidRPr="005D375F">
        <w:rPr>
          <w:rFonts w:ascii="Arial" w:hAnsi="Arial" w:cs="Arial"/>
          <w:sz w:val="20"/>
          <w:szCs w:val="20"/>
        </w:rPr>
        <w:t xml:space="preserve">; </w:t>
      </w:r>
      <w:r w:rsidR="00170067" w:rsidRPr="005D375F">
        <w:rPr>
          <w:rFonts w:ascii="Arial" w:hAnsi="Arial" w:cs="Arial"/>
          <w:i/>
          <w:iCs/>
          <w:sz w:val="20"/>
          <w:szCs w:val="20"/>
        </w:rPr>
        <w:t>Kazami v The King</w:t>
      </w:r>
      <w:r w:rsidR="00170067" w:rsidRPr="005D375F">
        <w:rPr>
          <w:rFonts w:ascii="Arial" w:hAnsi="Arial" w:cs="Arial"/>
          <w:sz w:val="20"/>
          <w:szCs w:val="20"/>
        </w:rPr>
        <w:t xml:space="preserve"> [2023] VSCA 267 at [34]-[55]</w:t>
      </w:r>
      <w:r w:rsidR="00130F4C" w:rsidRPr="005D375F">
        <w:rPr>
          <w:rFonts w:ascii="Arial" w:hAnsi="Arial" w:cs="Arial"/>
          <w:sz w:val="20"/>
          <w:szCs w:val="20"/>
        </w:rPr>
        <w:t xml:space="preserve">; </w:t>
      </w:r>
      <w:r w:rsidR="005D375F" w:rsidRPr="005D375F">
        <w:rPr>
          <w:rFonts w:ascii="Arial" w:hAnsi="Arial" w:cs="Arial"/>
          <w:sz w:val="20"/>
          <w:szCs w:val="20"/>
        </w:rPr>
        <w:t>at [35]-[85];</w:t>
      </w:r>
      <w:r w:rsidR="005D375F">
        <w:rPr>
          <w:rFonts w:ascii="Arial" w:hAnsi="Arial" w:cs="Arial"/>
          <w:sz w:val="20"/>
          <w:szCs w:val="20"/>
        </w:rPr>
        <w:t xml:space="preserve"> </w:t>
      </w:r>
      <w:r w:rsidR="005D375F" w:rsidRPr="005D375F">
        <w:rPr>
          <w:rFonts w:ascii="Arial" w:hAnsi="Arial" w:cs="Arial"/>
          <w:i/>
          <w:iCs/>
          <w:sz w:val="20"/>
          <w:szCs w:val="20"/>
        </w:rPr>
        <w:t>DPP v Charisiou</w:t>
      </w:r>
      <w:r w:rsidR="005D375F" w:rsidRPr="005D375F">
        <w:rPr>
          <w:rFonts w:ascii="Arial" w:hAnsi="Arial" w:cs="Arial"/>
          <w:sz w:val="20"/>
          <w:szCs w:val="20"/>
        </w:rPr>
        <w:t xml:space="preserve"> [2024] VSC 303</w:t>
      </w:r>
      <w:r w:rsidR="005D375F">
        <w:rPr>
          <w:rFonts w:ascii="Arial" w:hAnsi="Arial" w:cs="Arial"/>
          <w:sz w:val="20"/>
          <w:szCs w:val="20"/>
        </w:rPr>
        <w:t xml:space="preserve"> at [35]-[85];</w:t>
      </w:r>
      <w:r w:rsidR="005D375F" w:rsidRPr="005D375F">
        <w:rPr>
          <w:rFonts w:ascii="Arial" w:hAnsi="Arial" w:cs="Arial"/>
          <w:sz w:val="20"/>
          <w:szCs w:val="20"/>
        </w:rPr>
        <w:t xml:space="preserve"> </w:t>
      </w:r>
      <w:r w:rsidR="00130F4C" w:rsidRPr="005D375F">
        <w:rPr>
          <w:rFonts w:ascii="Arial" w:hAnsi="Arial" w:cs="Arial"/>
          <w:i/>
          <w:iCs/>
          <w:sz w:val="20"/>
          <w:szCs w:val="20"/>
        </w:rPr>
        <w:t>DPP v Stiler</w:t>
      </w:r>
      <w:r w:rsidR="00130F4C" w:rsidRPr="005D375F">
        <w:rPr>
          <w:rFonts w:ascii="Arial" w:hAnsi="Arial" w:cs="Arial"/>
          <w:sz w:val="20"/>
          <w:szCs w:val="20"/>
        </w:rPr>
        <w:t xml:space="preserve"> [2024] VSC 314 at [53]-[78]</w:t>
      </w:r>
      <w:r w:rsidR="00EF124E" w:rsidRPr="005D375F">
        <w:rPr>
          <w:rFonts w:ascii="Arial" w:hAnsi="Arial" w:cs="Arial"/>
          <w:sz w:val="20"/>
          <w:szCs w:val="20"/>
        </w:rPr>
        <w:t xml:space="preserve">; </w:t>
      </w:r>
      <w:r w:rsidR="00EF124E" w:rsidRPr="005D375F">
        <w:rPr>
          <w:rFonts w:ascii="Arial" w:hAnsi="Arial" w:cs="Arial"/>
          <w:i/>
          <w:iCs/>
          <w:sz w:val="20"/>
          <w:szCs w:val="20"/>
        </w:rPr>
        <w:t>Bednar v The King</w:t>
      </w:r>
      <w:r w:rsidR="00EF124E" w:rsidRPr="005D375F">
        <w:rPr>
          <w:rFonts w:ascii="Arial" w:hAnsi="Arial" w:cs="Arial"/>
          <w:sz w:val="20"/>
          <w:szCs w:val="20"/>
        </w:rPr>
        <w:t xml:space="preserve"> [2024] VSCA 180 at [156]-[187]</w:t>
      </w:r>
      <w:r w:rsidR="007C3704" w:rsidRPr="005D375F">
        <w:rPr>
          <w:rFonts w:ascii="Arial" w:hAnsi="Arial" w:cs="Arial"/>
          <w:sz w:val="20"/>
          <w:szCs w:val="20"/>
        </w:rPr>
        <w:t xml:space="preserve">; </w:t>
      </w:r>
      <w:r w:rsidR="007C3704" w:rsidRPr="005D375F">
        <w:rPr>
          <w:rFonts w:ascii="Arial" w:hAnsi="Arial" w:cs="Arial"/>
          <w:i/>
          <w:iCs/>
          <w:sz w:val="20"/>
          <w:szCs w:val="20"/>
        </w:rPr>
        <w:t>R v Cohrs</w:t>
      </w:r>
      <w:r w:rsidR="007C3704" w:rsidRPr="005D375F">
        <w:rPr>
          <w:rFonts w:ascii="Arial" w:hAnsi="Arial" w:cs="Arial"/>
          <w:sz w:val="20"/>
          <w:szCs w:val="20"/>
        </w:rPr>
        <w:t xml:space="preserve"> [2024] VSC 617 at [80]-[92]</w:t>
      </w:r>
      <w:r w:rsidR="002C6E0D" w:rsidRPr="005D375F">
        <w:rPr>
          <w:rFonts w:ascii="Arial" w:hAnsi="Arial" w:cs="Arial"/>
          <w:sz w:val="20"/>
          <w:szCs w:val="20"/>
        </w:rPr>
        <w:t xml:space="preserve">; </w:t>
      </w:r>
      <w:r w:rsidR="002C6E0D" w:rsidRPr="005D375F">
        <w:rPr>
          <w:rFonts w:ascii="Arial" w:hAnsi="Arial" w:cs="Arial"/>
          <w:i/>
          <w:iCs/>
          <w:color w:val="000000"/>
          <w:sz w:val="20"/>
          <w:szCs w:val="20"/>
        </w:rPr>
        <w:t>Snowball v The King</w:t>
      </w:r>
      <w:r w:rsidR="002C6E0D" w:rsidRPr="005D375F">
        <w:rPr>
          <w:rFonts w:ascii="Arial" w:hAnsi="Arial" w:cs="Arial"/>
          <w:color w:val="000000"/>
          <w:sz w:val="20"/>
          <w:szCs w:val="20"/>
        </w:rPr>
        <w:t xml:space="preserve"> [2025] VSCA 23 at [105]</w:t>
      </w:r>
      <w:r w:rsidR="005D375F">
        <w:rPr>
          <w:rFonts w:ascii="Arial" w:hAnsi="Arial" w:cs="Arial"/>
          <w:color w:val="000000"/>
          <w:sz w:val="20"/>
          <w:szCs w:val="20"/>
        </w:rPr>
        <w:noBreakHyphen/>
      </w:r>
      <w:r w:rsidR="002C6E0D" w:rsidRPr="005D375F">
        <w:rPr>
          <w:rFonts w:ascii="Arial" w:hAnsi="Arial" w:cs="Arial"/>
          <w:color w:val="000000"/>
          <w:sz w:val="20"/>
          <w:szCs w:val="20"/>
        </w:rPr>
        <w:t>[111]</w:t>
      </w:r>
      <w:r w:rsidR="002C08ED" w:rsidRPr="005D375F">
        <w:rPr>
          <w:rFonts w:ascii="Arial" w:hAnsi="Arial" w:cs="Arial"/>
          <w:color w:val="000000"/>
          <w:sz w:val="20"/>
          <w:szCs w:val="20"/>
        </w:rPr>
        <w:t xml:space="preserve">; </w:t>
      </w:r>
      <w:r w:rsidR="002C08ED" w:rsidRPr="005D375F">
        <w:rPr>
          <w:rFonts w:ascii="Arial" w:hAnsi="Arial" w:cs="Arial"/>
          <w:i/>
          <w:iCs/>
          <w:color w:val="000000"/>
          <w:sz w:val="20"/>
          <w:szCs w:val="20"/>
        </w:rPr>
        <w:t>DPP v Clifford</w:t>
      </w:r>
      <w:r w:rsidR="002C08ED" w:rsidRPr="005D375F">
        <w:rPr>
          <w:rFonts w:ascii="Arial" w:hAnsi="Arial" w:cs="Arial"/>
          <w:color w:val="000000"/>
          <w:sz w:val="20"/>
          <w:szCs w:val="20"/>
        </w:rPr>
        <w:t xml:space="preserve"> [2025] VSC 199 at [51]</w:t>
      </w:r>
      <w:r w:rsidR="002C6E0D" w:rsidRPr="005D375F">
        <w:rPr>
          <w:rFonts w:ascii="Arial" w:hAnsi="Arial" w:cs="Arial"/>
          <w:color w:val="000000"/>
          <w:sz w:val="20"/>
          <w:szCs w:val="20"/>
        </w:rPr>
        <w:t>.</w:t>
      </w:r>
    </w:p>
    <w:p w14:paraId="33098263" w14:textId="77777777" w:rsidR="007E1FCA" w:rsidRDefault="007E1FCA" w:rsidP="007E1FCA">
      <w:pPr>
        <w:jc w:val="both"/>
        <w:rPr>
          <w:rFonts w:ascii="Arial" w:hAnsi="Arial" w:cs="Arial"/>
          <w:color w:val="000000"/>
          <w:sz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992E092" w14:textId="77777777" w:rsidR="00E07644" w:rsidRDefault="00E07644">
      <w:pPr>
        <w:rPr>
          <w:rFonts w:ascii="Arial" w:hAnsi="Arial" w:cs="Arial"/>
          <w:b/>
          <w:color w:val="000000"/>
          <w:kern w:val="28"/>
          <w:sz w:val="20"/>
          <w:szCs w:val="20"/>
          <w:lang w:val="en-GB"/>
        </w:rPr>
      </w:pPr>
      <w:bookmarkStart w:id="613" w:name="_11.2.11.3__Effect"/>
      <w:bookmarkEnd w:id="613"/>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11.2.11.</w:t>
      </w:r>
      <w:r>
        <w:rPr>
          <w:rFonts w:ascii="Arial" w:hAnsi="Arial" w:cs="Arial"/>
          <w:b/>
          <w:color w:val="000000"/>
          <w:sz w:val="20"/>
        </w:rPr>
        <w:t>3  Effect of intellectual disability</w:t>
      </w:r>
    </w:p>
    <w:bookmarkEnd w:id="607"/>
    <w:bookmarkEnd w:id="608"/>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14"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lastRenderedPageBreak/>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15"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16" w:name="_11.2.11.4__Effect"/>
      <w:bookmarkEnd w:id="616"/>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 xml:space="preserve">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w:t>
      </w:r>
      <w:r w:rsidR="007D7CF2" w:rsidRPr="007D7CF2">
        <w:rPr>
          <w:rFonts w:ascii="Arial" w:hAnsi="Arial" w:cs="Arial"/>
          <w:sz w:val="20"/>
          <w:szCs w:val="20"/>
        </w:rPr>
        <w:lastRenderedPageBreak/>
        <w:t>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4F794FCE"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2C6E0D">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17" w:name="_11.2.12_Effect_of"/>
      <w:bookmarkEnd w:id="617"/>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r w:rsidR="00BA3FB7" w:rsidRPr="00BA3FB7">
        <w:rPr>
          <w:rFonts w:ascii="Arial" w:hAnsi="Arial" w:cs="Arial"/>
          <w:b/>
          <w:bCs/>
          <w:i/>
          <w:iCs/>
          <w:color w:val="000000"/>
          <w:sz w:val="20"/>
        </w:rPr>
        <w:t>Bugmy</w:t>
      </w:r>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lastRenderedPageBreak/>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lastRenderedPageBreak/>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lastRenderedPageBreak/>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w:t>
      </w:r>
      <w:r w:rsidRPr="00FD719E">
        <w:rPr>
          <w:rFonts w:ascii="Arial" w:hAnsi="Arial" w:cs="Arial"/>
          <w:sz w:val="18"/>
          <w:szCs w:val="18"/>
        </w:rPr>
        <w:lastRenderedPageBreak/>
        <w:t xml:space="preserve">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18"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18"/>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r w:rsidRPr="00BA320D">
        <w:rPr>
          <w:rFonts w:ascii="Arial" w:hAnsi="Arial" w:cs="Arial"/>
          <w:i/>
          <w:iCs/>
          <w:sz w:val="20"/>
          <w:szCs w:val="20"/>
        </w:rPr>
        <w:t>Bugmy</w:t>
      </w:r>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r w:rsidRPr="00BA320D">
        <w:rPr>
          <w:rFonts w:ascii="Arial" w:hAnsi="Arial" w:cs="Arial"/>
          <w:i/>
          <w:iCs/>
          <w:sz w:val="20"/>
          <w:szCs w:val="20"/>
        </w:rPr>
        <w:t>Bugmy</w:t>
      </w:r>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w:t>
      </w:r>
      <w:r w:rsidRPr="00BA320D">
        <w:rPr>
          <w:rFonts w:ascii="Arial" w:hAnsi="Arial" w:cs="Arial"/>
          <w:sz w:val="20"/>
          <w:szCs w:val="20"/>
        </w:rPr>
        <w:lastRenderedPageBreak/>
        <w:t xml:space="preserve">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 xml:space="preserve">[31] “...[C]ounsel </w:t>
      </w:r>
      <w:r w:rsidR="00554AD0" w:rsidRPr="00554AD0">
        <w:rPr>
          <w:rFonts w:ascii="Arial" w:hAnsi="Arial" w:cs="Arial"/>
          <w:sz w:val="20"/>
          <w:szCs w:val="20"/>
        </w:rPr>
        <w:t>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r w:rsidRPr="00EA1FA2">
        <w:rPr>
          <w:rFonts w:ascii="Arial" w:hAnsi="Arial" w:cs="Arial"/>
          <w:i/>
          <w:iCs/>
          <w:sz w:val="20"/>
          <w:szCs w:val="20"/>
        </w:rPr>
        <w:t>Bugmy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r w:rsidR="00554AD0" w:rsidRPr="00EA1FA2">
        <w:rPr>
          <w:rFonts w:ascii="Arial" w:hAnsi="Arial" w:cs="Arial"/>
          <w:i/>
          <w:iCs/>
          <w:sz w:val="20"/>
          <w:szCs w:val="20"/>
        </w:rPr>
        <w:t>Bugmy</w:t>
      </w:r>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w:t>
      </w:r>
      <w:r w:rsidRPr="00442CCC">
        <w:rPr>
          <w:rFonts w:ascii="Arial" w:hAnsi="Arial" w:cs="Arial"/>
          <w:sz w:val="18"/>
          <w:szCs w:val="18"/>
        </w:rPr>
        <w:lastRenderedPageBreak/>
        <w:t>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702AA3BF" w14:textId="21B39AA8" w:rsidR="008E048A" w:rsidRDefault="008E048A" w:rsidP="002D5EBC">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sidR="002A38EF">
        <w:rPr>
          <w:rFonts w:ascii="Arial" w:hAnsi="Arial" w:cs="Arial"/>
          <w:sz w:val="20"/>
          <w:szCs w:val="20"/>
        </w:rPr>
        <w:t xml:space="preserve"> and a </w:t>
      </w:r>
      <w:r w:rsidR="002A38EF" w:rsidRPr="008E048A">
        <w:rPr>
          <w:rFonts w:ascii="Arial" w:hAnsi="Arial" w:cs="Arial"/>
          <w:sz w:val="20"/>
          <w:szCs w:val="20"/>
        </w:rPr>
        <w:t>severely disadvantaged upbringing</w:t>
      </w:r>
      <w:r w:rsidRPr="008E048A">
        <w:rPr>
          <w:rFonts w:ascii="Arial" w:hAnsi="Arial" w:cs="Arial"/>
          <w:sz w:val="20"/>
          <w:szCs w:val="20"/>
        </w:rPr>
        <w:t xml:space="preserve">. At the time of offending, he had ongoing substance abuse issues. </w:t>
      </w:r>
      <w:r>
        <w:rPr>
          <w:rFonts w:ascii="Arial" w:hAnsi="Arial" w:cs="Arial"/>
          <w:sz w:val="20"/>
          <w:szCs w:val="20"/>
        </w:rPr>
        <w:t>He</w:t>
      </w:r>
      <w:r w:rsidR="002A38EF">
        <w:rPr>
          <w:rFonts w:ascii="Arial" w:hAnsi="Arial" w:cs="Arial"/>
          <w:sz w:val="20"/>
          <w:szCs w:val="20"/>
        </w:rPr>
        <w:t xml:space="preserve"> </w:t>
      </w:r>
      <w:r>
        <w:rPr>
          <w:rFonts w:ascii="Arial" w:hAnsi="Arial" w:cs="Arial"/>
          <w:sz w:val="20"/>
          <w:szCs w:val="20"/>
        </w:rPr>
        <w:t xml:space="preserve">also </w:t>
      </w:r>
      <w:r w:rsidRPr="008E048A">
        <w:rPr>
          <w:rFonts w:ascii="Arial" w:hAnsi="Arial" w:cs="Arial"/>
          <w:sz w:val="20"/>
          <w:szCs w:val="20"/>
        </w:rPr>
        <w:t>had</w:t>
      </w:r>
      <w:r w:rsidR="002A38EF">
        <w:rPr>
          <w:rFonts w:ascii="Arial" w:hAnsi="Arial" w:cs="Arial"/>
          <w:sz w:val="20"/>
          <w:szCs w:val="20"/>
        </w:rPr>
        <w:t xml:space="preserve"> a significant history of like offending. In granting leave to appeal but dismissing the appeal, the Court of Appeal (Emerton P &amp; J Forrest JA) spoke at [86]-[87] of the </w:t>
      </w:r>
      <w:r w:rsidR="00C43E8E">
        <w:rPr>
          <w:rFonts w:ascii="Arial" w:hAnsi="Arial" w:cs="Arial"/>
          <w:sz w:val="20"/>
          <w:szCs w:val="20"/>
        </w:rPr>
        <w:t xml:space="preserve">complex </w:t>
      </w:r>
      <w:r w:rsidR="002A38EF">
        <w:rPr>
          <w:rFonts w:ascii="Arial" w:hAnsi="Arial" w:cs="Arial"/>
          <w:sz w:val="20"/>
          <w:szCs w:val="20"/>
        </w:rPr>
        <w:t xml:space="preserve">balance between the </w:t>
      </w:r>
      <w:r w:rsidR="002A38EF" w:rsidRPr="002A38EF">
        <w:rPr>
          <w:rFonts w:ascii="Arial" w:hAnsi="Arial" w:cs="Arial"/>
          <w:i/>
          <w:iCs/>
          <w:sz w:val="20"/>
          <w:szCs w:val="20"/>
        </w:rPr>
        <w:t>Bugmy</w:t>
      </w:r>
      <w:r w:rsidR="002A38EF">
        <w:rPr>
          <w:rFonts w:ascii="Arial" w:hAnsi="Arial" w:cs="Arial"/>
          <w:sz w:val="20"/>
          <w:szCs w:val="20"/>
        </w:rPr>
        <w:t xml:space="preserve"> principles and community protection:</w:t>
      </w:r>
    </w:p>
    <w:p w14:paraId="578109A7" w14:textId="285BCA11" w:rsidR="008E048A" w:rsidRDefault="008E048A" w:rsidP="008E048A">
      <w:pPr>
        <w:spacing w:before="80"/>
        <w:ind w:left="567" w:right="567"/>
        <w:jc w:val="both"/>
        <w:rPr>
          <w:rFonts w:ascii="Arial" w:hAnsi="Arial" w:cs="Arial"/>
          <w:sz w:val="20"/>
          <w:szCs w:val="20"/>
        </w:rPr>
      </w:pPr>
      <w:r>
        <w:rPr>
          <w:rFonts w:ascii="Arial" w:hAnsi="Arial" w:cs="Arial"/>
          <w:sz w:val="20"/>
          <w:szCs w:val="20"/>
        </w:rPr>
        <w:t>[86] “</w:t>
      </w:r>
      <w:r w:rsidRPr="008E048A">
        <w:rPr>
          <w:rFonts w:ascii="Arial" w:hAnsi="Arial" w:cs="Arial"/>
          <w:sz w:val="20"/>
          <w:szCs w:val="20"/>
        </w:rPr>
        <w:t xml:space="preserve">Having regard to the discussions of </w:t>
      </w:r>
      <w:r w:rsidRPr="002A38EF">
        <w:rPr>
          <w:rFonts w:ascii="Arial" w:hAnsi="Arial" w:cs="Arial"/>
          <w:i/>
          <w:iCs/>
          <w:sz w:val="20"/>
          <w:szCs w:val="20"/>
        </w:rPr>
        <w:t>Bugmy</w:t>
      </w:r>
      <w:r w:rsidRPr="008E048A">
        <w:rPr>
          <w:rFonts w:ascii="Arial" w:hAnsi="Arial" w:cs="Arial"/>
          <w:sz w:val="20"/>
          <w:szCs w:val="20"/>
        </w:rPr>
        <w:t xml:space="preserve"> in </w:t>
      </w:r>
      <w:r w:rsidRPr="002A38EF">
        <w:rPr>
          <w:rFonts w:ascii="Arial" w:hAnsi="Arial" w:cs="Arial"/>
          <w:i/>
          <w:iCs/>
          <w:sz w:val="20"/>
          <w:szCs w:val="20"/>
        </w:rPr>
        <w:t>Herrmann</w:t>
      </w:r>
      <w:r w:rsidRPr="008E048A">
        <w:rPr>
          <w:rFonts w:ascii="Arial" w:hAnsi="Arial" w:cs="Arial"/>
          <w:sz w:val="20"/>
          <w:szCs w:val="20"/>
        </w:rPr>
        <w:t xml:space="preserve"> and </w:t>
      </w:r>
      <w:r w:rsidRPr="002A38EF">
        <w:rPr>
          <w:rFonts w:ascii="Arial" w:hAnsi="Arial" w:cs="Arial"/>
          <w:i/>
          <w:iCs/>
          <w:sz w:val="20"/>
          <w:szCs w:val="20"/>
        </w:rPr>
        <w:t>Drake</w:t>
      </w:r>
      <w:r w:rsidR="002A38EF">
        <w:rPr>
          <w:rFonts w:ascii="Arial" w:hAnsi="Arial" w:cs="Arial"/>
          <w:sz w:val="20"/>
          <w:szCs w:val="20"/>
        </w:rPr>
        <w:t xml:space="preserve"> </w:t>
      </w:r>
      <w:r w:rsidR="002A38EF" w:rsidRPr="002A38EF">
        <w:rPr>
          <w:rFonts w:ascii="Arial" w:hAnsi="Arial" w:cs="Arial"/>
          <w:sz w:val="20"/>
          <w:szCs w:val="20"/>
        </w:rPr>
        <w:t>[2019] VSCA 203</w:t>
      </w:r>
      <w:r w:rsidR="002A38EF">
        <w:rPr>
          <w:rFonts w:ascii="Arial" w:hAnsi="Arial" w:cs="Arial"/>
          <w:sz w:val="20"/>
          <w:szCs w:val="20"/>
        </w:rPr>
        <w:t xml:space="preserve"> at [49]</w:t>
      </w:r>
      <w:r w:rsidRPr="008E048A">
        <w:rPr>
          <w:rFonts w:ascii="Arial" w:hAnsi="Arial" w:cs="Arial"/>
          <w:sz w:val="20"/>
          <w:szCs w:val="20"/>
        </w:rPr>
        <w:t xml:space="preserve">, we are satisfied that the judge’s statement that he took </w:t>
      </w:r>
      <w:r w:rsidRPr="002A38EF">
        <w:rPr>
          <w:rFonts w:ascii="Arial" w:hAnsi="Arial" w:cs="Arial"/>
          <w:i/>
          <w:iCs/>
          <w:sz w:val="20"/>
          <w:szCs w:val="20"/>
        </w:rPr>
        <w:t>Bugmy</w:t>
      </w:r>
      <w:r w:rsidRPr="008E048A">
        <w:rPr>
          <w:rFonts w:ascii="Arial" w:hAnsi="Arial" w:cs="Arial"/>
          <w:sz w:val="20"/>
          <w:szCs w:val="20"/>
        </w:rPr>
        <w:t xml:space="preserve"> considerations into account ‘generally’, means that his Honour also considered the effects of the applicant’s deprived childhood when making a judgement about the extent of his blameworthiness. The judge did not specify the extent to which childhood deprivation reduced the applicant’s blameworthiness over and above the reduction attributable to his cognitive deficits and mental health factors, but he did not need to. He was required to take into account the evidence of the applicant’s deprived background and mental impairments to arrive at a single assessment of moral culpability, which he did.</w:t>
      </w:r>
    </w:p>
    <w:p w14:paraId="5B49C724" w14:textId="6D0255F9" w:rsidR="008E048A" w:rsidRDefault="008E048A" w:rsidP="008E048A">
      <w:pPr>
        <w:spacing w:before="80"/>
        <w:ind w:left="567" w:right="567"/>
        <w:jc w:val="both"/>
        <w:rPr>
          <w:rFonts w:ascii="Arial" w:hAnsi="Arial" w:cs="Arial"/>
          <w:sz w:val="20"/>
          <w:szCs w:val="20"/>
        </w:rPr>
      </w:pPr>
      <w:r>
        <w:rPr>
          <w:rFonts w:ascii="Arial" w:hAnsi="Arial" w:cs="Arial"/>
          <w:sz w:val="20"/>
          <w:szCs w:val="20"/>
        </w:rPr>
        <w:t xml:space="preserve">[87] </w:t>
      </w:r>
      <w:r w:rsidRPr="008E048A">
        <w:rPr>
          <w:rFonts w:ascii="Arial" w:hAnsi="Arial" w:cs="Arial"/>
          <w:sz w:val="20"/>
          <w:szCs w:val="20"/>
        </w:rPr>
        <w:t xml:space="preserve">In this context, however, the judge also made it clear that the applicant’s criminal history, his pattern of reoffending, and his guarded prospects of rehabilitation, raised other sentencing considerations. His Honour ‘exposed’ the </w:t>
      </w:r>
      <w:r w:rsidRPr="002A38EF">
        <w:rPr>
          <w:rFonts w:ascii="Arial" w:hAnsi="Arial" w:cs="Arial"/>
          <w:i/>
          <w:iCs/>
          <w:sz w:val="20"/>
          <w:szCs w:val="20"/>
        </w:rPr>
        <w:t>Bugmy</w:t>
      </w:r>
      <w:r w:rsidRPr="008E048A">
        <w:rPr>
          <w:rFonts w:ascii="Arial" w:hAnsi="Arial" w:cs="Arial"/>
          <w:sz w:val="20"/>
          <w:szCs w:val="20"/>
        </w:rPr>
        <w:t xml:space="preserve"> principles by reference to passages in </w:t>
      </w:r>
      <w:r w:rsidRPr="002A38EF">
        <w:rPr>
          <w:rFonts w:ascii="Arial" w:hAnsi="Arial" w:cs="Arial"/>
          <w:i/>
          <w:iCs/>
          <w:sz w:val="20"/>
          <w:szCs w:val="20"/>
        </w:rPr>
        <w:t>L’Eveille</w:t>
      </w:r>
      <w:r w:rsidRPr="008E048A">
        <w:rPr>
          <w:rFonts w:ascii="Arial" w:hAnsi="Arial" w:cs="Arial"/>
          <w:sz w:val="20"/>
          <w:szCs w:val="20"/>
        </w:rPr>
        <w:t xml:space="preserve"> </w:t>
      </w:r>
      <w:r w:rsidR="002A38EF" w:rsidRPr="002A38EF">
        <w:rPr>
          <w:rFonts w:ascii="Arial" w:hAnsi="Arial" w:cs="Arial"/>
          <w:sz w:val="20"/>
          <w:szCs w:val="20"/>
        </w:rPr>
        <w:t>[2018] VSCA 60</w:t>
      </w:r>
      <w:r w:rsidR="002A38EF">
        <w:rPr>
          <w:rFonts w:ascii="Arial" w:hAnsi="Arial" w:cs="Arial"/>
          <w:sz w:val="20"/>
          <w:szCs w:val="20"/>
        </w:rPr>
        <w:t xml:space="preserve"> at</w:t>
      </w:r>
      <w:r w:rsidR="002A38EF" w:rsidRPr="002A38EF">
        <w:rPr>
          <w:rFonts w:ascii="Arial" w:hAnsi="Arial" w:cs="Arial"/>
          <w:sz w:val="20"/>
          <w:szCs w:val="20"/>
        </w:rPr>
        <w:t xml:space="preserve"> [26]</w:t>
      </w:r>
      <w:r w:rsidR="002A38EF">
        <w:rPr>
          <w:rFonts w:ascii="Arial" w:hAnsi="Arial" w:cs="Arial"/>
          <w:sz w:val="20"/>
          <w:szCs w:val="20"/>
        </w:rPr>
        <w:t xml:space="preserve"> &amp;</w:t>
      </w:r>
      <w:r w:rsidR="002A38EF" w:rsidRPr="002A38EF">
        <w:rPr>
          <w:rFonts w:ascii="Arial" w:hAnsi="Arial" w:cs="Arial"/>
          <w:sz w:val="20"/>
          <w:szCs w:val="20"/>
        </w:rPr>
        <w:t xml:space="preserve"> [29]</w:t>
      </w:r>
      <w:r w:rsidR="002A38EF">
        <w:rPr>
          <w:rFonts w:ascii="Arial" w:hAnsi="Arial" w:cs="Arial"/>
          <w:sz w:val="20"/>
          <w:szCs w:val="20"/>
        </w:rPr>
        <w:t>-</w:t>
      </w:r>
      <w:r w:rsidR="002A38EF" w:rsidRPr="002A38EF">
        <w:rPr>
          <w:rFonts w:ascii="Arial" w:hAnsi="Arial" w:cs="Arial"/>
          <w:sz w:val="20"/>
          <w:szCs w:val="20"/>
        </w:rPr>
        <w:t xml:space="preserve">[30] </w:t>
      </w:r>
      <w:r w:rsidRPr="008E048A">
        <w:rPr>
          <w:rFonts w:ascii="Arial" w:hAnsi="Arial" w:cs="Arial"/>
          <w:sz w:val="20"/>
          <w:szCs w:val="20"/>
        </w:rPr>
        <w:t xml:space="preserve">which, on examination, emphasise the point made by the High Court in </w:t>
      </w:r>
      <w:r w:rsidRPr="002A38EF">
        <w:rPr>
          <w:rFonts w:ascii="Arial" w:hAnsi="Arial" w:cs="Arial"/>
          <w:i/>
          <w:iCs/>
          <w:sz w:val="20"/>
          <w:szCs w:val="20"/>
        </w:rPr>
        <w:t>Bugmy</w:t>
      </w:r>
      <w:r w:rsidRPr="008E048A">
        <w:rPr>
          <w:rFonts w:ascii="Arial" w:hAnsi="Arial" w:cs="Arial"/>
          <w:sz w:val="20"/>
          <w:szCs w:val="20"/>
        </w:rPr>
        <w:t xml:space="preserve"> that while childhood exposure to extreme violence and alcohol abuse may explain an offender’s recourse to violence when frustrated, such that their moral culpability for the inability to control that impulse may be substantially reduced, this might also increase the importance of community protection as a sentencing consideration.</w:t>
      </w:r>
      <w:r>
        <w:rPr>
          <w:rFonts w:ascii="Arial" w:hAnsi="Arial" w:cs="Arial"/>
          <w:sz w:val="20"/>
          <w:szCs w:val="20"/>
        </w:rPr>
        <w:t>”</w:t>
      </w:r>
    </w:p>
    <w:p w14:paraId="386A9990" w14:textId="77777777" w:rsidR="008E048A" w:rsidRDefault="008E048A" w:rsidP="002D5EBC">
      <w:pPr>
        <w:jc w:val="both"/>
        <w:rPr>
          <w:rFonts w:ascii="Arial" w:hAnsi="Arial" w:cs="Arial"/>
          <w:sz w:val="20"/>
          <w:szCs w:val="20"/>
        </w:rPr>
      </w:pPr>
    </w:p>
    <w:p w14:paraId="311921DC" w14:textId="1E53006F" w:rsidR="00A9590F" w:rsidRDefault="00F81F16" w:rsidP="003B4D22">
      <w:pPr>
        <w:spacing w:before="20" w:after="20"/>
        <w:jc w:val="both"/>
        <w:rPr>
          <w:rFonts w:ascii="Arial" w:hAnsi="Arial" w:cs="Arial"/>
          <w:sz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r w:rsidRPr="00E91892">
        <w:rPr>
          <w:rFonts w:ascii="Arial" w:hAnsi="Arial" w:cs="Arial"/>
          <w:i/>
          <w:iCs/>
          <w:sz w:val="20"/>
        </w:rPr>
        <w:t>Bugmy</w:t>
      </w:r>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r w:rsidR="00037F69" w:rsidRPr="003619C4">
        <w:rPr>
          <w:rFonts w:ascii="Arial" w:hAnsi="Arial" w:cs="Arial"/>
          <w:i/>
          <w:iCs/>
          <w:color w:val="000000"/>
          <w:sz w:val="20"/>
        </w:rPr>
        <w:t>Kellway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VSCA 276 at [80]-[83]</w:t>
      </w:r>
      <w:r w:rsidR="004F58A8">
        <w:rPr>
          <w:rFonts w:ascii="Arial" w:hAnsi="Arial" w:cs="Arial"/>
          <w:color w:val="000000"/>
          <w:sz w:val="20"/>
          <w:szCs w:val="20"/>
        </w:rPr>
        <w:t xml:space="preserve">; </w:t>
      </w:r>
      <w:r w:rsidR="004F58A8" w:rsidRPr="004F58A8">
        <w:rPr>
          <w:rFonts w:ascii="Arial" w:hAnsi="Arial" w:cs="Arial"/>
          <w:i/>
          <w:iCs/>
          <w:color w:val="000000"/>
          <w:sz w:val="20"/>
          <w:szCs w:val="20"/>
        </w:rPr>
        <w:t>Hurst v The King</w:t>
      </w:r>
      <w:r w:rsidR="004F58A8">
        <w:rPr>
          <w:rFonts w:ascii="Arial" w:hAnsi="Arial" w:cs="Arial"/>
          <w:color w:val="000000"/>
          <w:sz w:val="20"/>
          <w:szCs w:val="20"/>
        </w:rPr>
        <w:t xml:space="preserve"> [2023] VSCA 286 at [65]-[79]</w:t>
      </w:r>
      <w:r w:rsidR="00C81490">
        <w:rPr>
          <w:rFonts w:ascii="Arial" w:hAnsi="Arial" w:cs="Arial"/>
          <w:color w:val="000000"/>
          <w:sz w:val="20"/>
          <w:szCs w:val="20"/>
        </w:rPr>
        <w:t xml:space="preserve">; </w:t>
      </w:r>
      <w:r w:rsidR="00C81490" w:rsidRPr="0022654A">
        <w:rPr>
          <w:rFonts w:ascii="Arial" w:hAnsi="Arial" w:cs="Arial"/>
          <w:i/>
          <w:iCs/>
          <w:color w:val="000000"/>
          <w:sz w:val="20"/>
          <w:szCs w:val="20"/>
        </w:rPr>
        <w:t>DPP v Atkinson</w:t>
      </w:r>
      <w:r w:rsidR="00C81490">
        <w:rPr>
          <w:rFonts w:ascii="Arial" w:hAnsi="Arial" w:cs="Arial"/>
          <w:color w:val="000000"/>
          <w:sz w:val="20"/>
          <w:szCs w:val="20"/>
        </w:rPr>
        <w:t xml:space="preserve"> [2024] VSC 286 at [63]-[66]</w:t>
      </w:r>
      <w:r w:rsidR="00F20F38">
        <w:rPr>
          <w:rFonts w:ascii="Arial" w:hAnsi="Arial" w:cs="Arial"/>
          <w:color w:val="000000"/>
          <w:sz w:val="20"/>
          <w:szCs w:val="20"/>
        </w:rPr>
        <w:t xml:space="preserve">; </w:t>
      </w:r>
      <w:r w:rsidR="00F20F38">
        <w:rPr>
          <w:rFonts w:ascii="Arial" w:hAnsi="Arial" w:cs="Arial"/>
          <w:i/>
          <w:iCs/>
          <w:color w:val="000000"/>
          <w:sz w:val="20"/>
        </w:rPr>
        <w:t xml:space="preserve">DPP v Bell </w:t>
      </w:r>
      <w:r w:rsidR="00F20F38" w:rsidRPr="00EA76E9">
        <w:rPr>
          <w:rFonts w:ascii="Arial" w:hAnsi="Arial" w:cs="Arial"/>
          <w:color w:val="000000"/>
          <w:sz w:val="20"/>
        </w:rPr>
        <w:t xml:space="preserve">[2024] VSC </w:t>
      </w:r>
      <w:r w:rsidR="00F20F38">
        <w:rPr>
          <w:rFonts w:ascii="Arial" w:hAnsi="Arial" w:cs="Arial"/>
          <w:color w:val="000000"/>
          <w:sz w:val="20"/>
        </w:rPr>
        <w:t>576 at [44]-[48]</w:t>
      </w:r>
      <w:r w:rsidR="008F257F">
        <w:rPr>
          <w:rFonts w:ascii="Arial" w:hAnsi="Arial" w:cs="Arial"/>
          <w:color w:val="000000"/>
          <w:sz w:val="20"/>
        </w:rPr>
        <w:t xml:space="preserve">; </w:t>
      </w:r>
      <w:r w:rsidR="008F257F" w:rsidRPr="008F257F">
        <w:rPr>
          <w:rFonts w:ascii="Arial" w:hAnsi="Arial" w:cs="Arial"/>
          <w:i/>
          <w:iCs/>
          <w:color w:val="000000"/>
          <w:sz w:val="20"/>
        </w:rPr>
        <w:t>Fisher (a pseudonym) v The King</w:t>
      </w:r>
      <w:r w:rsidR="008F257F">
        <w:rPr>
          <w:rFonts w:ascii="Arial" w:hAnsi="Arial" w:cs="Arial"/>
          <w:color w:val="000000"/>
          <w:sz w:val="20"/>
        </w:rPr>
        <w:t xml:space="preserve"> [2025] VSCA 131 at [30]-[36]</w:t>
      </w:r>
      <w:r w:rsidR="00813895">
        <w:rPr>
          <w:rFonts w:ascii="Arial" w:hAnsi="Arial" w:cs="Arial"/>
          <w:color w:val="000000"/>
          <w:sz w:val="20"/>
        </w:rPr>
        <w:t xml:space="preserve">; </w:t>
      </w:r>
      <w:proofErr w:type="spellStart"/>
      <w:r w:rsidR="00813895" w:rsidRPr="00813895">
        <w:rPr>
          <w:rFonts w:ascii="Arial" w:hAnsi="Arial" w:cs="Arial"/>
          <w:i/>
          <w:iCs/>
          <w:sz w:val="20"/>
          <w:szCs w:val="20"/>
        </w:rPr>
        <w:t>Rozynski</w:t>
      </w:r>
      <w:proofErr w:type="spellEnd"/>
      <w:r w:rsidR="00813895" w:rsidRPr="00813895">
        <w:rPr>
          <w:rFonts w:ascii="Arial" w:hAnsi="Arial" w:cs="Arial"/>
          <w:i/>
          <w:iCs/>
          <w:sz w:val="20"/>
          <w:szCs w:val="20"/>
        </w:rPr>
        <w:t xml:space="preserve"> v The King</w:t>
      </w:r>
      <w:r w:rsidR="00813895">
        <w:rPr>
          <w:rFonts w:ascii="Arial" w:hAnsi="Arial" w:cs="Arial"/>
          <w:sz w:val="20"/>
          <w:szCs w:val="20"/>
        </w:rPr>
        <w:t xml:space="preserve"> [2025] VSCA 199 at [30], [37] &amp; [42]-[52].</w:t>
      </w:r>
    </w:p>
    <w:p w14:paraId="07999AD4" w14:textId="77777777" w:rsidR="00D90BDA" w:rsidRDefault="00D90BDA" w:rsidP="00D90BDA">
      <w:pPr>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1DFBD058" w14:textId="77777777" w:rsidR="00D90BDA" w:rsidRDefault="00D90BDA" w:rsidP="00D90BDA">
      <w:pPr>
        <w:rPr>
          <w:rFonts w:ascii="Arial" w:hAnsi="Arial" w:cs="Arial"/>
          <w:b/>
          <w:color w:val="000000"/>
          <w:kern w:val="28"/>
          <w:sz w:val="20"/>
          <w:szCs w:val="20"/>
          <w:lang w:val="en-GB"/>
        </w:rPr>
      </w:pPr>
      <w:r>
        <w:rPr>
          <w:rFonts w:ascii="Arial" w:hAnsi="Arial" w:cs="Arial"/>
          <w:b/>
          <w:color w:val="000000"/>
          <w:sz w:val="20"/>
        </w:rPr>
        <w:br w:type="page"/>
      </w:r>
    </w:p>
    <w:p w14:paraId="2C34CEC3" w14:textId="6D9CBA38"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9" w:name="_11.2.13_Effect_of"/>
      <w:bookmarkEnd w:id="619"/>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15"/>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20"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Default="00671FA7" w:rsidP="0089224B">
      <w:pPr>
        <w:jc w:val="both"/>
        <w:rPr>
          <w:rFonts w:ascii="Arial" w:hAnsi="Arial" w:cs="Arial"/>
          <w:color w:val="000000"/>
          <w:sz w:val="20"/>
        </w:rPr>
      </w:pPr>
    </w:p>
    <w:p w14:paraId="2EEE2565" w14:textId="5BECF55A" w:rsidR="00992A33" w:rsidRDefault="00992A33" w:rsidP="0089224B">
      <w:pPr>
        <w:jc w:val="both"/>
        <w:rPr>
          <w:rFonts w:ascii="Arial" w:hAnsi="Arial" w:cs="Arial"/>
          <w:color w:val="000000"/>
          <w:sz w:val="20"/>
        </w:rPr>
      </w:pPr>
      <w:r>
        <w:rPr>
          <w:rFonts w:ascii="Arial" w:hAnsi="Arial" w:cs="Arial"/>
          <w:color w:val="000000"/>
          <w:sz w:val="20"/>
        </w:rPr>
        <w:t xml:space="preserve">In </w:t>
      </w:r>
      <w:r w:rsidRPr="00DD7C8D">
        <w:rPr>
          <w:rFonts w:ascii="Arial" w:hAnsi="Arial" w:cs="Arial"/>
          <w:i/>
          <w:iCs/>
          <w:color w:val="000000"/>
          <w:sz w:val="20"/>
        </w:rPr>
        <w:t>R v Belbruno</w:t>
      </w:r>
      <w:r>
        <w:rPr>
          <w:rFonts w:ascii="Arial" w:hAnsi="Arial" w:cs="Arial"/>
          <w:color w:val="000000"/>
          <w:sz w:val="20"/>
        </w:rPr>
        <w:t xml:space="preserve"> </w:t>
      </w:r>
      <w:r w:rsidR="00DD7C8D">
        <w:rPr>
          <w:rFonts w:ascii="Arial" w:hAnsi="Arial" w:cs="Arial"/>
          <w:color w:val="000000"/>
          <w:sz w:val="20"/>
        </w:rPr>
        <w:t xml:space="preserve">(2000) 117 A Crim R 150, 153 [9] – cited with approval by Orr JA in </w:t>
      </w:r>
      <w:r w:rsidR="00DD7C8D" w:rsidRPr="00DD7C8D">
        <w:rPr>
          <w:rFonts w:ascii="Arial" w:hAnsi="Arial" w:cs="Arial"/>
          <w:i/>
          <w:iCs/>
          <w:color w:val="000000"/>
          <w:sz w:val="20"/>
        </w:rPr>
        <w:t>Long (a pseudonym) v The King</w:t>
      </w:r>
      <w:r w:rsidR="00DD7C8D">
        <w:rPr>
          <w:rFonts w:ascii="Arial" w:hAnsi="Arial" w:cs="Arial"/>
          <w:color w:val="000000"/>
          <w:sz w:val="20"/>
        </w:rPr>
        <w:t xml:space="preserve"> [2025] VSCA 15 at [52] – the Court of Appeal said:</w:t>
      </w:r>
    </w:p>
    <w:p w14:paraId="4E941FE9" w14:textId="10FEF119" w:rsidR="00DD7C8D" w:rsidRPr="001C6E0E" w:rsidRDefault="00DD7C8D" w:rsidP="00DD7C8D">
      <w:pPr>
        <w:spacing w:before="60"/>
        <w:ind w:left="567" w:right="567"/>
        <w:jc w:val="both"/>
        <w:rPr>
          <w:rFonts w:ascii="Arial" w:hAnsi="Arial" w:cs="Arial"/>
          <w:color w:val="000000"/>
          <w:sz w:val="20"/>
        </w:rPr>
      </w:pPr>
      <w:r>
        <w:rPr>
          <w:rFonts w:ascii="Arial" w:hAnsi="Arial" w:cs="Arial"/>
          <w:color w:val="000000"/>
          <w:sz w:val="20"/>
        </w:rPr>
        <w:t>“</w:t>
      </w:r>
      <w:r w:rsidRPr="00992A33">
        <w:rPr>
          <w:rFonts w:ascii="Arial" w:hAnsi="Arial" w:cs="Arial"/>
          <w:color w:val="000000"/>
          <w:sz w:val="20"/>
        </w:rPr>
        <w:t>Age, whether young or old, will, of course, always be a factor relevant to the sentencing discretion, but those of advancing years who commit crimes as serious as these were</w:t>
      </w:r>
      <w:r>
        <w:rPr>
          <w:rFonts w:ascii="Arial" w:hAnsi="Arial" w:cs="Arial"/>
          <w:color w:val="000000"/>
          <w:sz w:val="20"/>
        </w:rPr>
        <w:t xml:space="preserve"> [namely </w:t>
      </w:r>
      <w:r w:rsidRPr="00992A33">
        <w:rPr>
          <w:rFonts w:ascii="Arial" w:hAnsi="Arial" w:cs="Arial"/>
          <w:color w:val="000000"/>
          <w:sz w:val="20"/>
        </w:rPr>
        <w:t>trafficking of commercial quantities of heroin and cannabis</w:t>
      </w:r>
      <w:r>
        <w:rPr>
          <w:rFonts w:ascii="Arial" w:hAnsi="Arial" w:cs="Arial"/>
          <w:color w:val="000000"/>
          <w:sz w:val="20"/>
        </w:rPr>
        <w:t>]</w:t>
      </w:r>
      <w:r w:rsidRPr="00992A33">
        <w:rPr>
          <w:rFonts w:ascii="Arial" w:hAnsi="Arial" w:cs="Arial"/>
          <w:color w:val="000000"/>
          <w:sz w:val="20"/>
        </w:rPr>
        <w:t>, cannot expect to escape appropriate punishment by reason of that factor alone.</w:t>
      </w:r>
      <w:r>
        <w:rPr>
          <w:rFonts w:ascii="Arial" w:hAnsi="Arial" w:cs="Arial"/>
          <w:color w:val="000000"/>
          <w:sz w:val="20"/>
        </w:rPr>
        <w:t>”</w:t>
      </w:r>
    </w:p>
    <w:p w14:paraId="5EAFA6B8" w14:textId="77777777" w:rsidR="00992A33" w:rsidRPr="001C6E0E" w:rsidRDefault="00992A33"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21" w:name="Heading189"/>
      <w:bookmarkEnd w:id="621"/>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02D3779B"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r w:rsidR="009B5377" w:rsidRPr="00F86035">
        <w:rPr>
          <w:rFonts w:ascii="Arial" w:hAnsi="Arial" w:cs="Arial"/>
          <w:color w:val="000000"/>
          <w:sz w:val="20"/>
          <w:szCs w:val="20"/>
        </w:rPr>
        <w:t>negligently</w:t>
      </w:r>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w:t>
      </w:r>
      <w:r>
        <w:rPr>
          <w:rFonts w:ascii="Arial" w:hAnsi="Arial" w:cs="Arial"/>
          <w:color w:val="000000"/>
          <w:sz w:val="20"/>
        </w:rPr>
        <w:lastRenderedPageBreak/>
        <w:t xml:space="preserve">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3CBD855"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AF1611">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2" w:name="_11.2.14_Effect_of"/>
      <w:bookmarkEnd w:id="622"/>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20"/>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23" w:name="JD_BC200408427fntxt9ref"/>
      <w:bookmarkEnd w:id="623"/>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24" w:name="JD_BC200408427fntxt10ref"/>
      <w:bookmarkEnd w:id="624"/>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25" w:name="JD_BC200408427fntxt11ref"/>
      <w:bookmarkEnd w:id="625"/>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w:t>
      </w:r>
      <w:r w:rsidRPr="001C6E0E">
        <w:rPr>
          <w:rFonts w:ascii="Arial" w:hAnsi="Arial" w:cs="Arial"/>
          <w:color w:val="000000"/>
          <w:sz w:val="20"/>
          <w:szCs w:val="20"/>
        </w:rPr>
        <w:lastRenderedPageBreak/>
        <w:t xml:space="preserve">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City">
        <w:smartTag w:uri="urn:schemas-microsoft-com:office:smarttags" w:element="place">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1A3A1DEB"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C53DC9" w:rsidRPr="00C53DC9">
        <w:rPr>
          <w:rFonts w:ascii="Arial" w:hAnsi="Arial" w:cs="Arial"/>
          <w:i/>
          <w:iCs/>
          <w:color w:val="000000"/>
          <w:sz w:val="20"/>
        </w:rPr>
        <w:t>Arthars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26"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26"/>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v Mathiei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27"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r w:rsidR="00F761AA" w:rsidRPr="00F761AA">
        <w:rPr>
          <w:rFonts w:ascii="Arial" w:hAnsi="Arial" w:cs="Arial"/>
          <w:sz w:val="20"/>
          <w:szCs w:val="20"/>
          <w:lang w:val="en-US"/>
        </w:rPr>
        <w:t>.</w:t>
      </w:r>
      <w:bookmarkEnd w:id="627"/>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8" w:name="_11.2.15_Relevance_of"/>
      <w:bookmarkStart w:id="629" w:name="_Toc107101759"/>
      <w:bookmarkEnd w:id="628"/>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14"/>
      <w:bookmarkEnd w:id="629"/>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0" w:name="_11.2.16_Relevance_of"/>
      <w:bookmarkStart w:id="631" w:name="_Toc107101760"/>
      <w:bookmarkEnd w:id="630"/>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31"/>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w:t>
      </w:r>
      <w:r w:rsidRPr="001C6E0E">
        <w:rPr>
          <w:rFonts w:ascii="Arial" w:hAnsi="Arial" w:cs="Arial"/>
          <w:color w:val="000000"/>
          <w:sz w:val="20"/>
          <w:szCs w:val="20"/>
        </w:rPr>
        <w:lastRenderedPageBreak/>
        <w:t xml:space="preserve">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place">
        <w:smartTag w:uri="urn:schemas-microsoft-com:office:smarttags" w:element="City">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place">
        <w:smartTag w:uri="urn:schemas-microsoft-com:office:smarttags" w:element="Stat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w:t>
      </w:r>
      <w:r w:rsidRPr="001C6E0E">
        <w:rPr>
          <w:rFonts w:ascii="Arial" w:hAnsi="Arial" w:cs="Arial"/>
          <w:color w:val="000000"/>
          <w:sz w:val="20"/>
          <w:szCs w:val="20"/>
          <w:lang w:eastAsia="en-AU"/>
        </w:rPr>
        <w:lastRenderedPageBreak/>
        <w:t xml:space="preserve">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32" w:name="para13"/>
      <w:bookmarkEnd w:id="632"/>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02F83BE3" w14:textId="67E3DFB0" w:rsidR="00A94E4C" w:rsidRDefault="00A94E4C" w:rsidP="006764DC">
      <w:pPr>
        <w:jc w:val="both"/>
        <w:rPr>
          <w:rFonts w:ascii="Arial" w:hAnsi="Arial" w:cs="Arial"/>
          <w:color w:val="000000"/>
          <w:sz w:val="20"/>
          <w:szCs w:val="20"/>
        </w:rPr>
      </w:pPr>
      <w:r>
        <w:rPr>
          <w:rFonts w:ascii="Arial" w:hAnsi="Arial" w:cs="Arial"/>
          <w:sz w:val="20"/>
          <w:szCs w:val="20"/>
          <w:lang w:eastAsia="en-AU"/>
        </w:rPr>
        <w:t xml:space="preserve">In </w:t>
      </w:r>
      <w:r w:rsidRPr="00A94E4C">
        <w:rPr>
          <w:rFonts w:ascii="Arial" w:hAnsi="Arial" w:cs="Arial"/>
          <w:i/>
          <w:iCs/>
          <w:sz w:val="20"/>
          <w:szCs w:val="20"/>
          <w:lang w:eastAsia="en-AU"/>
        </w:rPr>
        <w:t>DPP v Clifford</w:t>
      </w:r>
      <w:r>
        <w:rPr>
          <w:rFonts w:ascii="Arial" w:hAnsi="Arial" w:cs="Arial"/>
          <w:sz w:val="20"/>
          <w:szCs w:val="20"/>
          <w:lang w:eastAsia="en-AU"/>
        </w:rPr>
        <w:t xml:space="preserve"> [2025] the 1</w:t>
      </w:r>
      <w:r>
        <w:rPr>
          <w:rFonts w:ascii="Arial" w:hAnsi="Arial" w:cs="Arial"/>
          <w:color w:val="000000"/>
          <w:sz w:val="20"/>
          <w:szCs w:val="20"/>
        </w:rPr>
        <w:t xml:space="preserve">8 year old offender (now aged 20) had entered an early guilty plea to manslaughter by stabbing the 40 year old victim seven times when confronted by the victim while searching inside the victim’s parked car. The offender has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and reasonable prospects of rehabilitation. In imposing a sentence of IMP8y6m/5y], Incerti J discussed at [</w:t>
      </w:r>
      <w:r w:rsidR="00F55723">
        <w:rPr>
          <w:rFonts w:ascii="Arial" w:hAnsi="Arial" w:cs="Arial"/>
          <w:color w:val="000000"/>
          <w:sz w:val="20"/>
          <w:szCs w:val="20"/>
        </w:rPr>
        <w:t>52</w:t>
      </w:r>
      <w:r>
        <w:rPr>
          <w:rFonts w:ascii="Arial" w:hAnsi="Arial" w:cs="Arial"/>
          <w:color w:val="000000"/>
          <w:sz w:val="20"/>
          <w:szCs w:val="20"/>
        </w:rPr>
        <w:t>]-[</w:t>
      </w:r>
      <w:r w:rsidR="00F55723">
        <w:rPr>
          <w:rFonts w:ascii="Arial" w:hAnsi="Arial" w:cs="Arial"/>
          <w:color w:val="000000"/>
          <w:sz w:val="20"/>
          <w:szCs w:val="20"/>
        </w:rPr>
        <w:t>53</w:t>
      </w:r>
      <w:r>
        <w:rPr>
          <w:rFonts w:ascii="Arial" w:hAnsi="Arial" w:cs="Arial"/>
          <w:color w:val="000000"/>
          <w:sz w:val="20"/>
          <w:szCs w:val="20"/>
        </w:rPr>
        <w:t xml:space="preserve">] the </w:t>
      </w:r>
      <w:r w:rsidR="00F55723">
        <w:rPr>
          <w:rFonts w:ascii="Arial" w:hAnsi="Arial" w:cs="Arial"/>
          <w:color w:val="000000"/>
          <w:sz w:val="20"/>
          <w:szCs w:val="20"/>
        </w:rPr>
        <w:t>impact of the offender’s drug addiction on his moral culpability:</w:t>
      </w:r>
    </w:p>
    <w:p w14:paraId="22E664DB" w14:textId="342AF2C7" w:rsidR="00A94E4C" w:rsidRDefault="00F55723" w:rsidP="00F55723">
      <w:pPr>
        <w:spacing w:before="60"/>
        <w:ind w:left="567" w:right="567"/>
        <w:jc w:val="both"/>
        <w:rPr>
          <w:rFonts w:ascii="Arial" w:hAnsi="Arial" w:cs="Arial"/>
          <w:sz w:val="20"/>
          <w:szCs w:val="20"/>
          <w:lang w:eastAsia="en-AU"/>
        </w:rPr>
      </w:pPr>
      <w:r>
        <w:rPr>
          <w:rFonts w:ascii="Arial" w:hAnsi="Arial" w:cs="Arial"/>
          <w:sz w:val="20"/>
        </w:rPr>
        <w:t>[52] “</w:t>
      </w:r>
      <w:r w:rsidR="00A94E4C" w:rsidRPr="00A94E4C">
        <w:rPr>
          <w:rFonts w:ascii="Arial" w:hAnsi="Arial" w:cs="Arial"/>
          <w:sz w:val="20"/>
          <w:szCs w:val="20"/>
          <w:lang w:eastAsia="en-AU"/>
        </w:rPr>
        <w:t xml:space="preserve">It was submitted on your behalf that I should have regard to the </w:t>
      </w:r>
      <w:r w:rsidR="00A94E4C" w:rsidRPr="00A94E4C">
        <w:rPr>
          <w:rFonts w:ascii="Arial" w:hAnsi="Arial" w:cs="Arial"/>
          <w:i/>
          <w:iCs/>
          <w:sz w:val="20"/>
          <w:szCs w:val="20"/>
          <w:lang w:eastAsia="en-AU"/>
        </w:rPr>
        <w:t xml:space="preserve">McKee </w:t>
      </w:r>
      <w:r w:rsidR="00A94E4C" w:rsidRPr="00A94E4C">
        <w:rPr>
          <w:rFonts w:ascii="Arial" w:hAnsi="Arial" w:cs="Arial"/>
          <w:sz w:val="20"/>
          <w:szCs w:val="20"/>
          <w:lang w:eastAsia="en-AU"/>
        </w:rPr>
        <w:t xml:space="preserve">principle. The Court of Appeal in </w:t>
      </w:r>
      <w:r w:rsidR="00A94E4C" w:rsidRPr="00A94E4C">
        <w:rPr>
          <w:rFonts w:ascii="Arial" w:hAnsi="Arial" w:cs="Arial"/>
          <w:i/>
          <w:iCs/>
          <w:sz w:val="20"/>
          <w:szCs w:val="20"/>
          <w:lang w:eastAsia="en-AU"/>
        </w:rPr>
        <w:t>R v McKee and Brooks</w:t>
      </w:r>
      <w:r>
        <w:rPr>
          <w:rFonts w:ascii="Arial" w:hAnsi="Arial" w:cs="Arial"/>
          <w:sz w:val="20"/>
          <w:szCs w:val="20"/>
          <w:lang w:eastAsia="en-AU"/>
        </w:rPr>
        <w:t xml:space="preserve"> </w:t>
      </w:r>
      <w:r w:rsidR="00A94E4C" w:rsidRPr="00A94E4C">
        <w:rPr>
          <w:rFonts w:ascii="Arial" w:hAnsi="Arial" w:cs="Arial"/>
          <w:sz w:val="20"/>
          <w:szCs w:val="20"/>
          <w:lang w:eastAsia="en-AU"/>
        </w:rPr>
        <w:t>(2003) 138 A Crim R 88</w:t>
      </w:r>
      <w:r>
        <w:rPr>
          <w:rFonts w:ascii="Arial" w:hAnsi="Arial" w:cs="Arial"/>
          <w:sz w:val="20"/>
          <w:szCs w:val="20"/>
          <w:lang w:eastAsia="en-AU"/>
        </w:rPr>
        <w:t xml:space="preserve"> </w:t>
      </w:r>
      <w:r w:rsidR="00A94E4C" w:rsidRPr="00A94E4C">
        <w:rPr>
          <w:rFonts w:ascii="Arial" w:hAnsi="Arial" w:cs="Arial"/>
          <w:sz w:val="20"/>
          <w:szCs w:val="20"/>
          <w:lang w:eastAsia="en-AU"/>
        </w:rPr>
        <w:t xml:space="preserve">explained </w:t>
      </w:r>
      <w:r>
        <w:rPr>
          <w:rFonts w:ascii="Arial" w:hAnsi="Arial" w:cs="Arial"/>
          <w:sz w:val="20"/>
          <w:szCs w:val="20"/>
          <w:lang w:eastAsia="en-AU"/>
        </w:rPr>
        <w:t>at 92</w:t>
      </w:r>
      <w:r>
        <w:rPr>
          <w:rFonts w:ascii="Arial" w:hAnsi="Arial" w:cs="Arial"/>
          <w:sz w:val="20"/>
          <w:szCs w:val="20"/>
          <w:lang w:eastAsia="en-AU"/>
        </w:rPr>
        <w:noBreakHyphen/>
        <w:t xml:space="preserve">93 </w:t>
      </w:r>
      <w:r w:rsidR="00A94E4C" w:rsidRPr="00A94E4C">
        <w:rPr>
          <w:rFonts w:ascii="Arial" w:hAnsi="Arial" w:cs="Arial"/>
          <w:sz w:val="20"/>
          <w:szCs w:val="20"/>
          <w:lang w:eastAsia="en-AU"/>
        </w:rPr>
        <w:t>that the existence of an addiction as a causal factor in offending may warrant a reduction in moral culpability if the decision to experiment with drugs is not a decision made freely; for example, if the decision is affected by youth, or by ‘despair and low self-regard’ resulting from disadvantage or abuse. A sentence may be tailored by the judge that considers those factors, in addition to whether the addiction is ongoing or is being treated.</w:t>
      </w:r>
      <w:r>
        <w:rPr>
          <w:rFonts w:ascii="Arial" w:hAnsi="Arial" w:cs="Arial"/>
          <w:sz w:val="20"/>
          <w:szCs w:val="20"/>
          <w:lang w:eastAsia="en-AU"/>
        </w:rPr>
        <w:t xml:space="preserve"> </w:t>
      </w:r>
      <w:r w:rsidR="00A94E4C" w:rsidRPr="00A94E4C">
        <w:rPr>
          <w:rFonts w:ascii="Arial" w:hAnsi="Arial" w:cs="Arial"/>
          <w:sz w:val="20"/>
          <w:szCs w:val="20"/>
          <w:lang w:eastAsia="en-AU"/>
        </w:rPr>
        <w:t>Drug addiction or drug use is not usually a mitigating factor, and in some circumstances can be an aggravating factor.</w:t>
      </w:r>
    </w:p>
    <w:p w14:paraId="1DA1D131" w14:textId="42558646" w:rsidR="00A94E4C" w:rsidRDefault="00F55723" w:rsidP="00F55723">
      <w:pPr>
        <w:spacing w:before="60"/>
        <w:ind w:left="567" w:right="567"/>
        <w:jc w:val="both"/>
        <w:rPr>
          <w:rFonts w:ascii="Arial" w:hAnsi="Arial" w:cs="Arial"/>
          <w:sz w:val="20"/>
          <w:szCs w:val="20"/>
          <w:lang w:eastAsia="en-AU"/>
        </w:rPr>
      </w:pPr>
      <w:r>
        <w:rPr>
          <w:rFonts w:ascii="Arial" w:hAnsi="Arial" w:cs="Arial"/>
          <w:sz w:val="20"/>
          <w:szCs w:val="20"/>
          <w:lang w:eastAsia="en-AU"/>
        </w:rPr>
        <w:t xml:space="preserve">[53] </w:t>
      </w:r>
      <w:r w:rsidR="00A94E4C" w:rsidRPr="00A94E4C">
        <w:rPr>
          <w:rFonts w:ascii="Arial" w:hAnsi="Arial" w:cs="Arial"/>
          <w:sz w:val="20"/>
          <w:szCs w:val="20"/>
          <w:lang w:eastAsia="en-AU"/>
        </w:rPr>
        <w:t>I accept that you began experimenting with hard drugs at a very young age. It appears that this continued and escalated after the car accident in 2021. I also accept that your drug and alcohol addiction from such a young age, along with your TBI, have had ‘serious corrosive effects ‘ that influenced your conduct at the time of the offending</w:t>
      </w:r>
      <w:r>
        <w:rPr>
          <w:rFonts w:ascii="Arial" w:hAnsi="Arial" w:cs="Arial"/>
          <w:sz w:val="20"/>
          <w:szCs w:val="20"/>
          <w:lang w:eastAsia="en-AU"/>
        </w:rPr>
        <w:t xml:space="preserve">: </w:t>
      </w:r>
      <w:r w:rsidR="00A94E4C" w:rsidRPr="00A94E4C">
        <w:rPr>
          <w:rFonts w:ascii="Arial" w:hAnsi="Arial" w:cs="Arial"/>
          <w:i/>
          <w:iCs/>
          <w:sz w:val="20"/>
          <w:szCs w:val="20"/>
          <w:lang w:eastAsia="en-AU"/>
        </w:rPr>
        <w:t xml:space="preserve">DPP v Jabbour </w:t>
      </w:r>
      <w:r w:rsidR="00A94E4C" w:rsidRPr="00A94E4C">
        <w:rPr>
          <w:rFonts w:ascii="Arial" w:hAnsi="Arial" w:cs="Arial"/>
          <w:sz w:val="20"/>
          <w:szCs w:val="20"/>
          <w:lang w:eastAsia="en-AU"/>
        </w:rPr>
        <w:t>[2023] VSCA 204, [43]. There was no challenge that at the time of your offending, the addiction was chronically affecting your life. Having said that, you must be fully responsible and accountable for the conduct you have voluntarily engaged in, that is drug taking, which led to you committing this offence. It cannot be seen as an excuse for your conduct; rather it can be considered for a variety of sentencing purposes, including a reduction in your moral culpability.</w:t>
      </w:r>
      <w:r>
        <w:rPr>
          <w:rFonts w:ascii="Arial" w:hAnsi="Arial" w:cs="Arial"/>
          <w:sz w:val="20"/>
          <w:szCs w:val="20"/>
          <w:lang w:eastAsia="en-AU"/>
        </w:rPr>
        <w:t>”</w:t>
      </w:r>
    </w:p>
    <w:p w14:paraId="35665FFA" w14:textId="77777777" w:rsidR="00F55723" w:rsidRPr="009F607D" w:rsidRDefault="00F55723" w:rsidP="00F55723">
      <w:pPr>
        <w:jc w:val="both"/>
        <w:rPr>
          <w:rFonts w:ascii="Arial" w:hAnsi="Arial" w:cs="Arial"/>
          <w:color w:val="000000"/>
          <w:sz w:val="20"/>
          <w:szCs w:val="22"/>
        </w:rPr>
      </w:pPr>
      <w:bookmarkStart w:id="633" w:name="_11.2.17_Relevance_of"/>
      <w:bookmarkStart w:id="634" w:name="_Toc107101761"/>
      <w:bookmarkEnd w:id="633"/>
    </w:p>
    <w:p w14:paraId="337CC8B9" w14:textId="77777777" w:rsidR="00F55723" w:rsidRPr="001E6BE9" w:rsidRDefault="00F55723" w:rsidP="00F557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52D1EF2" w14:textId="77777777" w:rsidR="00F55723" w:rsidRPr="001C6E0E" w:rsidRDefault="00F55723" w:rsidP="00F55723">
      <w:pPr>
        <w:rPr>
          <w:rFonts w:ascii="Arial" w:hAnsi="Arial" w:cs="Arial"/>
          <w:color w:val="000000"/>
          <w:sz w:val="20"/>
        </w:rPr>
      </w:pPr>
    </w:p>
    <w:p w14:paraId="5BBDAE52" w14:textId="77777777" w:rsidR="00A94E4C" w:rsidRDefault="00A94E4C">
      <w:pPr>
        <w:rPr>
          <w:rFonts w:ascii="Arial" w:hAnsi="Arial" w:cs="Arial"/>
          <w:b/>
          <w:bCs/>
          <w:color w:val="000000"/>
          <w:sz w:val="20"/>
        </w:rPr>
      </w:pPr>
      <w:r>
        <w:rPr>
          <w:rFonts w:ascii="Arial" w:hAnsi="Arial" w:cs="Arial"/>
          <w:b/>
          <w:bCs/>
          <w:color w:val="000000"/>
          <w:sz w:val="20"/>
        </w:rPr>
        <w:br w:type="page"/>
      </w:r>
    </w:p>
    <w:p w14:paraId="31068887" w14:textId="2A42B244" w:rsidR="00D04885" w:rsidRPr="00C53DC9" w:rsidRDefault="00D04885" w:rsidP="00C53DC9">
      <w:pPr>
        <w:spacing w:after="120"/>
        <w:rPr>
          <w:rFonts w:ascii="Arial" w:hAnsi="Arial" w:cs="Arial"/>
          <w:sz w:val="20"/>
          <w:szCs w:val="20"/>
          <w:lang w:eastAsia="en-AU"/>
        </w:rPr>
      </w:pPr>
      <w:r w:rsidRPr="001C6E0E">
        <w:rPr>
          <w:rFonts w:ascii="Arial" w:hAnsi="Arial" w:cs="Arial"/>
          <w:b/>
          <w:bCs/>
          <w:color w:val="000000"/>
          <w:sz w:val="20"/>
        </w:rPr>
        <w:lastRenderedPageBreak/>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place">
        <w:smartTag w:uri="urn:schemas-microsoft-com:office:smarttags" w:element="City">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City">
        <w:smartTag w:uri="urn:schemas-microsoft-com:office:smarttags" w:element="place">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City">
        <w:smartTag w:uri="urn:schemas-microsoft-com:office:smarttags" w:element="place">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lastRenderedPageBreak/>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DD7C8D">
      <w:pPr>
        <w:keepNext/>
        <w:keepLines/>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 xml:space="preserve">We respectfully agree with his Honour’s conclusion that, in the circumstances of this case, the applicant’s moral culpability is not reduced by reason of his psychotic state.  We would not, however, endorse the general proposition which underpins this conclusion – </w:t>
      </w:r>
      <w:r w:rsidRPr="004E764E">
        <w:rPr>
          <w:rFonts w:ascii="Arial" w:hAnsi="Arial" w:cs="Arial"/>
          <w:sz w:val="20"/>
          <w:szCs w:val="16"/>
        </w:rPr>
        <w:lastRenderedPageBreak/>
        <w:t>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4E764E">
        <w:rPr>
          <w:rFonts w:ascii="Arial" w:hAnsi="Arial" w:cs="Arial"/>
          <w:i/>
          <w:sz w:val="20"/>
          <w:szCs w:val="16"/>
        </w:rPr>
        <w:t>Sebalj</w:t>
      </w:r>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r w:rsidRPr="004E764E">
        <w:rPr>
          <w:rFonts w:ascii="Arial" w:hAnsi="Arial" w:cs="Arial"/>
          <w:i/>
          <w:sz w:val="20"/>
          <w:szCs w:val="16"/>
        </w:rPr>
        <w:t>Sebalj</w:t>
      </w:r>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R v Sebalj</w:t>
      </w:r>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xml:space="preserve">,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w:t>
      </w:r>
      <w:r w:rsidRPr="002B5E35">
        <w:rPr>
          <w:rFonts w:ascii="Arial" w:hAnsi="Arial" w:cs="Arial"/>
          <w:sz w:val="20"/>
          <w:szCs w:val="20"/>
        </w:rPr>
        <w:lastRenderedPageBreak/>
        <w:t>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druginduced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(Cth)</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lastRenderedPageBreak/>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5" w:name="_11.2.18_Relevance_of"/>
      <w:bookmarkEnd w:id="635"/>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34"/>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place">
        <w:smartTag w:uri="urn:schemas-microsoft-com:office:smarttags" w:element="Stat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w:t>
      </w:r>
      <w:r w:rsidRPr="001C6E0E">
        <w:rPr>
          <w:rFonts w:ascii="Arial" w:hAnsi="Arial" w:cs="Arial"/>
          <w:color w:val="000000"/>
          <w:sz w:val="20"/>
        </w:rPr>
        <w:lastRenderedPageBreak/>
        <w:t>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30B2A1E4"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w:t>
      </w:r>
      <w:r w:rsidR="00AC09DC">
        <w:rPr>
          <w:rFonts w:ascii="Arial" w:hAnsi="Arial" w:cs="Arial"/>
          <w:color w:val="000000"/>
          <w:sz w:val="20"/>
        </w:rPr>
        <w:t>(</w:t>
      </w:r>
      <w:r w:rsidR="00A254BD" w:rsidRPr="001C6E0E">
        <w:rPr>
          <w:rFonts w:ascii="Arial" w:hAnsi="Arial" w:cs="Arial"/>
          <w:color w:val="000000"/>
          <w:sz w:val="20"/>
        </w:rPr>
        <w:t xml:space="preserve">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w:t>
      </w:r>
      <w:r w:rsidR="00DD7C8D" w:rsidRPr="001C6E0E">
        <w:rPr>
          <w:rFonts w:ascii="Arial" w:hAnsi="Arial" w:cs="Arial"/>
          <w:i/>
          <w:color w:val="000000"/>
          <w:sz w:val="20"/>
          <w:szCs w:val="20"/>
        </w:rPr>
        <w:t>Carter</w:t>
      </w:r>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w:t>
      </w:r>
      <w:r w:rsidR="00AC09DC">
        <w:rPr>
          <w:rFonts w:ascii="Arial" w:hAnsi="Arial" w:cs="Arial"/>
          <w:color w:val="000000"/>
          <w:sz w:val="20"/>
        </w:rPr>
        <w:t xml:space="preserve">at [44] </w:t>
      </w:r>
      <w:r w:rsidR="00A254BD" w:rsidRPr="001C6E0E">
        <w:rPr>
          <w:rFonts w:ascii="Arial" w:hAnsi="Arial" w:cs="Arial"/>
          <w:color w:val="000000"/>
          <w:sz w:val="20"/>
        </w:rPr>
        <w:t xml:space="preserve">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(1982) 30 SASR 21</w:t>
      </w:r>
      <w:r w:rsidR="00AC09DC">
        <w:rPr>
          <w:rFonts w:ascii="Arial" w:hAnsi="Arial" w:cs="Arial"/>
          <w:color w:val="000000"/>
          <w:sz w:val="20"/>
        </w:rPr>
        <w:t>2 at 212-213:</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lastRenderedPageBreak/>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w:t>
      </w:r>
      <w:r w:rsidR="0085692D" w:rsidRPr="00F86035">
        <w:rPr>
          <w:rFonts w:ascii="Arial" w:hAnsi="Arial" w:cs="Arial"/>
          <w:color w:val="000000"/>
          <w:sz w:val="20"/>
        </w:rPr>
        <w:lastRenderedPageBreak/>
        <w:t>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w:t>
      </w:r>
      <w:r w:rsidR="004C1E89" w:rsidRPr="00F7600C">
        <w:rPr>
          <w:rFonts w:ascii="Arial" w:hAnsi="Arial" w:cs="Arial"/>
          <w:sz w:val="20"/>
          <w:szCs w:val="20"/>
        </w:rPr>
        <w:lastRenderedPageBreak/>
        <w:t xml:space="preserve">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2E6F51C4" w14:textId="661EFF8F" w:rsidR="005509E4" w:rsidRDefault="007637AF">
      <w:pPr>
        <w:jc w:val="both"/>
        <w:rPr>
          <w:rFonts w:ascii="Arial" w:hAnsi="Arial" w:cs="Arial"/>
          <w:color w:val="000000"/>
          <w:sz w:val="20"/>
        </w:rPr>
      </w:pPr>
      <w:r>
        <w:rPr>
          <w:rFonts w:ascii="Arial" w:hAnsi="Arial" w:cs="Arial"/>
          <w:color w:val="000000"/>
          <w:sz w:val="20"/>
        </w:rPr>
        <w:t xml:space="preserve">In </w:t>
      </w:r>
      <w:r w:rsidRPr="007637AF">
        <w:rPr>
          <w:rFonts w:ascii="Arial" w:hAnsi="Arial" w:cs="Arial"/>
          <w:i/>
          <w:iCs/>
          <w:color w:val="000000"/>
          <w:sz w:val="20"/>
        </w:rPr>
        <w:t>Carabott v The King</w:t>
      </w:r>
      <w:r>
        <w:rPr>
          <w:rFonts w:ascii="Arial" w:hAnsi="Arial" w:cs="Arial"/>
          <w:color w:val="000000"/>
          <w:sz w:val="20"/>
        </w:rPr>
        <w:t xml:space="preserve"> [2025] VSCA 118 the applicant had pleaded guilty to 11 drug-related offences and had been sentenced to TES IMP3y6m/1y9m. The applicant’s 4-year old son was suffering from non-verbal autism. His wife was suffering from mental and physical health conditions </w:t>
      </w:r>
      <w:r w:rsidR="00541A88">
        <w:rPr>
          <w:rFonts w:ascii="Arial" w:hAnsi="Arial" w:cs="Arial"/>
          <w:color w:val="000000"/>
          <w:sz w:val="20"/>
        </w:rPr>
        <w:t xml:space="preserve">following the birth of their son, a letter setting out her difficulties being quoted in part at paragraph [51(b)]. </w:t>
      </w:r>
      <w:r w:rsidR="005509E4">
        <w:rPr>
          <w:rFonts w:ascii="Arial" w:hAnsi="Arial" w:cs="Arial"/>
          <w:color w:val="000000"/>
          <w:sz w:val="20"/>
        </w:rPr>
        <w:t>On appeal the prosecutor did not dispute the judge’s finding of exceptional family hardship but submitted that the son’s difficulties were known at the time of the offending and thus the judge would have little regard to the hardship. At [50] the Court of Appeal said:</w:t>
      </w:r>
    </w:p>
    <w:p w14:paraId="29977DB7" w14:textId="69AFAC8E" w:rsidR="005509E4" w:rsidRDefault="005509E4" w:rsidP="005509E4">
      <w:pPr>
        <w:spacing w:before="60"/>
        <w:ind w:left="567" w:right="567"/>
        <w:jc w:val="both"/>
        <w:rPr>
          <w:rFonts w:ascii="Arial" w:hAnsi="Arial" w:cs="Arial"/>
          <w:color w:val="000000"/>
          <w:sz w:val="20"/>
        </w:rPr>
      </w:pPr>
      <w:r>
        <w:rPr>
          <w:rFonts w:ascii="Arial" w:hAnsi="Arial" w:cs="Arial"/>
          <w:color w:val="000000"/>
          <w:sz w:val="20"/>
        </w:rPr>
        <w:t>“</w:t>
      </w:r>
      <w:r w:rsidRPr="005509E4">
        <w:rPr>
          <w:rFonts w:ascii="Arial" w:hAnsi="Arial" w:cs="Arial"/>
          <w:color w:val="000000"/>
          <w:sz w:val="20"/>
        </w:rPr>
        <w:t>This submission is misconceived. Once exceptional hardship to the family has been established, the sentencing benefit is to alleviate the family’s hardship, not the offender’s hardship.</w:t>
      </w:r>
      <w:r>
        <w:rPr>
          <w:rFonts w:ascii="Arial" w:hAnsi="Arial" w:cs="Arial"/>
          <w:color w:val="000000"/>
          <w:sz w:val="20"/>
        </w:rPr>
        <w:t>”</w:t>
      </w:r>
    </w:p>
    <w:p w14:paraId="2A7BD9CC" w14:textId="5C053D6B" w:rsidR="007637AF" w:rsidRDefault="003C7D97" w:rsidP="004B5811">
      <w:pPr>
        <w:spacing w:before="60"/>
        <w:jc w:val="both"/>
        <w:rPr>
          <w:rFonts w:ascii="Arial" w:hAnsi="Arial" w:cs="Arial"/>
          <w:color w:val="000000"/>
          <w:sz w:val="20"/>
        </w:rPr>
      </w:pPr>
      <w:r>
        <w:rPr>
          <w:rFonts w:ascii="Arial" w:hAnsi="Arial" w:cs="Arial"/>
          <w:color w:val="000000"/>
          <w:sz w:val="20"/>
        </w:rPr>
        <w:t xml:space="preserve">Holding that </w:t>
      </w:r>
      <w:r w:rsidR="00CF7001">
        <w:rPr>
          <w:rFonts w:ascii="Arial" w:hAnsi="Arial" w:cs="Arial"/>
          <w:color w:val="000000"/>
          <w:sz w:val="20"/>
        </w:rPr>
        <w:t xml:space="preserve">the </w:t>
      </w:r>
      <w:r w:rsidR="00D57CCD">
        <w:rPr>
          <w:rFonts w:ascii="Arial" w:hAnsi="Arial" w:cs="Arial"/>
          <w:color w:val="000000"/>
          <w:sz w:val="20"/>
        </w:rPr>
        <w:t xml:space="preserve">individual </w:t>
      </w:r>
      <w:r w:rsidR="00CF7001">
        <w:rPr>
          <w:rFonts w:ascii="Arial" w:hAnsi="Arial" w:cs="Arial"/>
          <w:color w:val="000000"/>
          <w:sz w:val="20"/>
        </w:rPr>
        <w:t xml:space="preserve">sentences and TES had failed to give proper consideration to </w:t>
      </w:r>
      <w:r w:rsidR="005509E4">
        <w:rPr>
          <w:rFonts w:ascii="Arial" w:hAnsi="Arial" w:cs="Arial"/>
          <w:color w:val="000000"/>
          <w:sz w:val="20"/>
        </w:rPr>
        <w:t>the family hardship</w:t>
      </w:r>
      <w:r w:rsidR="00CF7001">
        <w:rPr>
          <w:rFonts w:ascii="Arial" w:hAnsi="Arial" w:cs="Arial"/>
          <w:color w:val="000000"/>
          <w:sz w:val="20"/>
        </w:rPr>
        <w:t xml:space="preserve"> and were therefore beyond the range of sentences reasonabl</w:t>
      </w:r>
      <w:r w:rsidR="005072EA">
        <w:rPr>
          <w:rFonts w:ascii="Arial" w:hAnsi="Arial" w:cs="Arial"/>
          <w:color w:val="000000"/>
          <w:sz w:val="20"/>
        </w:rPr>
        <w:t>y</w:t>
      </w:r>
      <w:r w:rsidR="00CF7001">
        <w:rPr>
          <w:rFonts w:ascii="Arial" w:hAnsi="Arial" w:cs="Arial"/>
          <w:color w:val="000000"/>
          <w:sz w:val="20"/>
        </w:rPr>
        <w:t xml:space="preserve"> open to the sentencing judge, </w:t>
      </w:r>
      <w:r>
        <w:rPr>
          <w:rFonts w:ascii="Arial" w:hAnsi="Arial" w:cs="Arial"/>
          <w:color w:val="000000"/>
          <w:sz w:val="20"/>
        </w:rPr>
        <w:t>t</w:t>
      </w:r>
      <w:r w:rsidR="00541A88">
        <w:rPr>
          <w:rFonts w:ascii="Arial" w:hAnsi="Arial" w:cs="Arial"/>
          <w:color w:val="000000"/>
          <w:sz w:val="20"/>
        </w:rPr>
        <w:t xml:space="preserve">he Court of Appeal granted leave to appeal, allowed the appeal and re-sentenced the applicant to IMP16m/8m. </w:t>
      </w:r>
      <w:bookmarkStart w:id="636" w:name="_Hlk199400553"/>
      <w:r w:rsidR="004B5811">
        <w:rPr>
          <w:rFonts w:ascii="Arial" w:hAnsi="Arial" w:cs="Arial"/>
          <w:color w:val="000000"/>
          <w:sz w:val="20"/>
        </w:rPr>
        <w:t>This in</w:t>
      </w:r>
      <w:r w:rsidR="00C65721">
        <w:rPr>
          <w:rFonts w:ascii="Arial" w:hAnsi="Arial" w:cs="Arial"/>
          <w:color w:val="000000"/>
          <w:sz w:val="20"/>
        </w:rPr>
        <w:t>cluded</w:t>
      </w:r>
      <w:r w:rsidR="004B5811">
        <w:rPr>
          <w:rFonts w:ascii="Arial" w:hAnsi="Arial" w:cs="Arial"/>
          <w:color w:val="000000"/>
          <w:sz w:val="20"/>
        </w:rPr>
        <w:t xml:space="preserve"> a reduction in the sentence for a ‘rolled-up’ charge 2 (p</w:t>
      </w:r>
      <w:r w:rsidR="004B5811" w:rsidRPr="004B5811">
        <w:rPr>
          <w:rFonts w:ascii="Arial" w:hAnsi="Arial" w:cs="Arial"/>
          <w:color w:val="000000"/>
          <w:sz w:val="20"/>
        </w:rPr>
        <w:t>ossession of substances, materials, documents and equipment for trafficking in a drug of dependence</w:t>
      </w:r>
      <w:r w:rsidR="004B5811">
        <w:rPr>
          <w:rFonts w:ascii="Arial" w:hAnsi="Arial" w:cs="Arial"/>
          <w:color w:val="000000"/>
          <w:sz w:val="20"/>
        </w:rPr>
        <w:t>) from IMP2y4m to IMP9m.</w:t>
      </w:r>
      <w:r w:rsidR="00C65721">
        <w:rPr>
          <w:rFonts w:ascii="Arial" w:hAnsi="Arial" w:cs="Arial"/>
          <w:color w:val="000000"/>
          <w:sz w:val="20"/>
        </w:rPr>
        <w:t xml:space="preserve"> </w:t>
      </w:r>
      <w:bookmarkEnd w:id="636"/>
      <w:r w:rsidR="00CF7001">
        <w:rPr>
          <w:rFonts w:ascii="Arial" w:hAnsi="Arial" w:cs="Arial"/>
          <w:color w:val="000000"/>
          <w:sz w:val="20"/>
        </w:rPr>
        <w:t>At [</w:t>
      </w:r>
      <w:r w:rsidR="00070379">
        <w:rPr>
          <w:rFonts w:ascii="Arial" w:hAnsi="Arial" w:cs="Arial"/>
          <w:color w:val="000000"/>
          <w:sz w:val="20"/>
        </w:rPr>
        <w:t>37</w:t>
      </w:r>
      <w:r w:rsidR="00CF7001">
        <w:rPr>
          <w:rFonts w:ascii="Arial" w:hAnsi="Arial" w:cs="Arial"/>
          <w:color w:val="000000"/>
          <w:sz w:val="20"/>
        </w:rPr>
        <w:t>]</w:t>
      </w:r>
      <w:r w:rsidR="00541A88">
        <w:rPr>
          <w:rFonts w:ascii="Arial" w:hAnsi="Arial" w:cs="Arial"/>
          <w:color w:val="000000"/>
          <w:sz w:val="20"/>
        </w:rPr>
        <w:t xml:space="preserve"> </w:t>
      </w:r>
      <w:r w:rsidR="00070379">
        <w:rPr>
          <w:rFonts w:ascii="Arial" w:hAnsi="Arial" w:cs="Arial"/>
          <w:color w:val="000000"/>
          <w:sz w:val="20"/>
        </w:rPr>
        <w:t xml:space="preserve">&amp; [54] </w:t>
      </w:r>
      <w:r w:rsidR="00CF7001">
        <w:rPr>
          <w:rFonts w:ascii="Arial" w:hAnsi="Arial" w:cs="Arial"/>
          <w:color w:val="000000"/>
          <w:sz w:val="20"/>
        </w:rPr>
        <w:t xml:space="preserve">Niall CJ </w:t>
      </w:r>
      <w:r w:rsidR="00D57CCD">
        <w:rPr>
          <w:rFonts w:ascii="Arial" w:hAnsi="Arial" w:cs="Arial"/>
          <w:color w:val="000000"/>
          <w:sz w:val="20"/>
        </w:rPr>
        <w:t>&amp;</w:t>
      </w:r>
      <w:r w:rsidR="00CF7001">
        <w:rPr>
          <w:rFonts w:ascii="Arial" w:hAnsi="Arial" w:cs="Arial"/>
          <w:color w:val="000000"/>
          <w:sz w:val="20"/>
        </w:rPr>
        <w:t xml:space="preserve"> T Forrest JA said:</w:t>
      </w:r>
    </w:p>
    <w:p w14:paraId="52A60A60" w14:textId="34C23DF2" w:rsidR="00070379" w:rsidRDefault="00070379" w:rsidP="00CF7001">
      <w:pPr>
        <w:spacing w:before="60"/>
        <w:ind w:left="567" w:right="567"/>
        <w:jc w:val="both"/>
        <w:rPr>
          <w:rFonts w:ascii="Arial" w:hAnsi="Arial" w:cs="Arial"/>
          <w:color w:val="000000"/>
          <w:sz w:val="20"/>
        </w:rPr>
      </w:pPr>
      <w:r>
        <w:rPr>
          <w:rFonts w:ascii="Arial" w:hAnsi="Arial" w:cs="Arial"/>
          <w:color w:val="000000"/>
          <w:sz w:val="20"/>
        </w:rPr>
        <w:t xml:space="preserve">[37] </w:t>
      </w:r>
      <w:r w:rsidR="00FE198A">
        <w:rPr>
          <w:rFonts w:ascii="Arial" w:hAnsi="Arial" w:cs="Arial"/>
          <w:color w:val="000000"/>
          <w:sz w:val="20"/>
        </w:rPr>
        <w:t>“</w:t>
      </w:r>
      <w:r w:rsidR="00FE198A" w:rsidRPr="00FE198A">
        <w:rPr>
          <w:rFonts w:ascii="Arial" w:hAnsi="Arial" w:cs="Arial"/>
          <w:color w:val="000000"/>
          <w:sz w:val="20"/>
        </w:rPr>
        <w:t>It is uncontroversial that family hardship to an offender’s family members may be taken into account in two ways:</w:t>
      </w:r>
    </w:p>
    <w:p w14:paraId="51FCC89C" w14:textId="1FF493FC" w:rsidR="00070379" w:rsidRDefault="00FE198A" w:rsidP="00070379">
      <w:pPr>
        <w:pStyle w:val="ListParagraph"/>
        <w:numPr>
          <w:ilvl w:val="0"/>
          <w:numId w:val="151"/>
        </w:numPr>
        <w:spacing w:before="60"/>
        <w:ind w:right="567"/>
        <w:jc w:val="both"/>
        <w:rPr>
          <w:rFonts w:ascii="Arial" w:hAnsi="Arial" w:cs="Arial"/>
          <w:color w:val="000000"/>
          <w:sz w:val="20"/>
        </w:rPr>
      </w:pPr>
      <w:r w:rsidRPr="00070379">
        <w:rPr>
          <w:rFonts w:ascii="Arial" w:hAnsi="Arial" w:cs="Arial"/>
          <w:color w:val="000000"/>
          <w:sz w:val="20"/>
        </w:rPr>
        <w:t xml:space="preserve">only in an exceptional case, where the plea for mercy is seen as irresistible can family hardship be taken into account. The focus of the enquiry is on the impact the sentence will have </w:t>
      </w:r>
      <w:r w:rsidRPr="00070379">
        <w:rPr>
          <w:rFonts w:ascii="Arial" w:hAnsi="Arial" w:cs="Arial"/>
          <w:i/>
          <w:iCs/>
          <w:color w:val="000000"/>
          <w:sz w:val="20"/>
        </w:rPr>
        <w:t>on the offender’s family members</w:t>
      </w:r>
      <w:r w:rsidRPr="00070379">
        <w:rPr>
          <w:rFonts w:ascii="Arial" w:hAnsi="Arial" w:cs="Arial"/>
          <w:color w:val="000000"/>
          <w:sz w:val="20"/>
        </w:rPr>
        <w:t>, and the court may tailor its sentence to relieve the plight of those family members</w:t>
      </w:r>
      <w:r w:rsidR="00070379">
        <w:rPr>
          <w:rFonts w:ascii="Arial" w:hAnsi="Arial" w:cs="Arial"/>
          <w:color w:val="000000"/>
          <w:sz w:val="20"/>
        </w:rPr>
        <w:t xml:space="preserve"> [</w:t>
      </w:r>
      <w:r w:rsidR="00070379" w:rsidRPr="00070379">
        <w:rPr>
          <w:rFonts w:ascii="Arial" w:hAnsi="Arial" w:cs="Arial"/>
          <w:i/>
          <w:iCs/>
          <w:color w:val="000000"/>
          <w:sz w:val="20"/>
        </w:rPr>
        <w:t>Markovic</w:t>
      </w:r>
      <w:r w:rsidR="00070379" w:rsidRPr="00070379">
        <w:rPr>
          <w:rFonts w:ascii="Arial" w:hAnsi="Arial" w:cs="Arial"/>
          <w:color w:val="000000"/>
          <w:sz w:val="20"/>
        </w:rPr>
        <w:t xml:space="preserve"> (2010) 30 VR 589</w:t>
      </w:r>
      <w:r w:rsidR="00070379">
        <w:rPr>
          <w:rFonts w:ascii="Arial" w:hAnsi="Arial" w:cs="Arial"/>
          <w:color w:val="000000"/>
          <w:sz w:val="20"/>
        </w:rPr>
        <w:t>, 592-3</w:t>
      </w:r>
      <w:r w:rsidR="00070379" w:rsidRPr="00070379">
        <w:rPr>
          <w:rFonts w:ascii="Arial" w:hAnsi="Arial" w:cs="Arial"/>
          <w:color w:val="000000"/>
          <w:sz w:val="20"/>
        </w:rPr>
        <w:t xml:space="preserve">; [2010] VSCA 105, citing </w:t>
      </w:r>
      <w:r w:rsidR="00070379" w:rsidRPr="005072EA">
        <w:rPr>
          <w:rFonts w:ascii="Arial" w:hAnsi="Arial" w:cs="Arial"/>
          <w:i/>
          <w:iCs/>
          <w:color w:val="000000"/>
          <w:sz w:val="20"/>
        </w:rPr>
        <w:t>R v Panuccio</w:t>
      </w:r>
      <w:r w:rsidR="00070379" w:rsidRPr="00070379">
        <w:rPr>
          <w:rFonts w:ascii="Arial" w:hAnsi="Arial" w:cs="Arial"/>
          <w:color w:val="000000"/>
          <w:sz w:val="20"/>
        </w:rPr>
        <w:t xml:space="preserve"> (Court of Appeal of the Supreme Court of Victoria, 4 May 1998)</w:t>
      </w:r>
      <w:r w:rsidR="00070379">
        <w:rPr>
          <w:rFonts w:ascii="Arial" w:hAnsi="Arial" w:cs="Arial"/>
          <w:color w:val="000000"/>
          <w:sz w:val="20"/>
        </w:rPr>
        <w:t>]; and/or</w:t>
      </w:r>
    </w:p>
    <w:p w14:paraId="10C41938" w14:textId="464367C9" w:rsidR="00070379" w:rsidRDefault="00070379" w:rsidP="00070379">
      <w:pPr>
        <w:pStyle w:val="ListParagraph"/>
        <w:numPr>
          <w:ilvl w:val="0"/>
          <w:numId w:val="151"/>
        </w:numPr>
        <w:spacing w:before="60"/>
        <w:ind w:right="567"/>
        <w:jc w:val="both"/>
        <w:rPr>
          <w:rFonts w:ascii="Arial" w:hAnsi="Arial" w:cs="Arial"/>
          <w:color w:val="000000"/>
          <w:sz w:val="20"/>
        </w:rPr>
      </w:pPr>
      <w:r w:rsidRPr="00070379">
        <w:rPr>
          <w:rFonts w:ascii="Arial" w:hAnsi="Arial" w:cs="Arial"/>
          <w:color w:val="000000"/>
          <w:sz w:val="20"/>
        </w:rPr>
        <w:t>a sentencing court may take into account, as a separate sentencing consideration, the effect on the offender of hardship caused to family members by his or her absence if imprisoned.</w:t>
      </w:r>
      <w:r>
        <w:rPr>
          <w:rFonts w:ascii="Arial" w:hAnsi="Arial" w:cs="Arial"/>
          <w:color w:val="000000"/>
          <w:sz w:val="20"/>
        </w:rPr>
        <w:t>”</w:t>
      </w:r>
    </w:p>
    <w:p w14:paraId="49DF7BFE" w14:textId="74F1DABF" w:rsidR="00CF7001" w:rsidRPr="00070379" w:rsidRDefault="00070379" w:rsidP="00070379">
      <w:pPr>
        <w:spacing w:before="60"/>
        <w:ind w:left="567" w:right="567"/>
        <w:jc w:val="both"/>
        <w:rPr>
          <w:rFonts w:ascii="Arial" w:hAnsi="Arial" w:cs="Arial"/>
          <w:color w:val="000000"/>
          <w:sz w:val="20"/>
        </w:rPr>
      </w:pPr>
      <w:r>
        <w:rPr>
          <w:rFonts w:ascii="Arial" w:hAnsi="Arial" w:cs="Arial"/>
          <w:color w:val="000000"/>
          <w:sz w:val="20"/>
        </w:rPr>
        <w:t xml:space="preserve">[54] </w:t>
      </w:r>
      <w:r w:rsidR="00CF7001">
        <w:rPr>
          <w:rFonts w:ascii="Arial" w:hAnsi="Arial" w:cs="Arial"/>
          <w:color w:val="000000"/>
          <w:sz w:val="20"/>
        </w:rPr>
        <w:t>“</w:t>
      </w:r>
      <w:r w:rsidR="00CF7001" w:rsidRPr="00CF7001">
        <w:rPr>
          <w:rFonts w:ascii="Arial" w:hAnsi="Arial" w:cs="Arial"/>
          <w:color w:val="000000"/>
          <w:sz w:val="20"/>
        </w:rPr>
        <w:t>The focus of the exceptional family hardship ‘</w:t>
      </w:r>
      <w:r w:rsidR="00CF7001" w:rsidRPr="00CF7001">
        <w:rPr>
          <w:rFonts w:ascii="Arial" w:hAnsi="Arial" w:cs="Arial"/>
          <w:i/>
          <w:iCs/>
          <w:color w:val="000000"/>
          <w:sz w:val="20"/>
        </w:rPr>
        <w:t>Markovic</w:t>
      </w:r>
      <w:r w:rsidR="00CF7001" w:rsidRPr="00CF7001">
        <w:rPr>
          <w:rFonts w:ascii="Arial" w:hAnsi="Arial" w:cs="Arial"/>
          <w:color w:val="000000"/>
          <w:sz w:val="20"/>
        </w:rPr>
        <w:t>’ consideration is to alleviate that hardship to the family, and in the rare case where the hardship circumstances are truly exceptional, the court ought to tailor its sentence to achieve this end. It may result in a sentence that on first blush may appear striking, but that is how the exceptional hardship doctrine can sometimes work. If, having found exceptional hardship circumstances, the sentence is moderated insufficiently to alleviate the family hardship in a practical sense, then the inquiry into family hardship and the finding that it is exceptional, is futile.</w:t>
      </w:r>
      <w:r w:rsidR="00CF7001">
        <w:rPr>
          <w:rFonts w:ascii="Arial" w:hAnsi="Arial" w:cs="Arial"/>
          <w:color w:val="000000"/>
          <w:sz w:val="20"/>
        </w:rPr>
        <w:t>”</w:t>
      </w:r>
    </w:p>
    <w:p w14:paraId="087CBC42" w14:textId="34F0B619" w:rsidR="007637AF" w:rsidRDefault="00CF7001" w:rsidP="00CF7001">
      <w:pPr>
        <w:spacing w:before="60"/>
        <w:jc w:val="both"/>
        <w:rPr>
          <w:rFonts w:ascii="Arial" w:hAnsi="Arial" w:cs="Arial"/>
          <w:color w:val="000000"/>
          <w:sz w:val="20"/>
        </w:rPr>
      </w:pPr>
      <w:r>
        <w:rPr>
          <w:rFonts w:ascii="Arial" w:hAnsi="Arial" w:cs="Arial"/>
          <w:color w:val="000000"/>
          <w:sz w:val="20"/>
        </w:rPr>
        <w:t xml:space="preserve">At [52] their Honours also </w:t>
      </w:r>
      <w:r w:rsidR="005509E4">
        <w:rPr>
          <w:rFonts w:ascii="Arial" w:hAnsi="Arial" w:cs="Arial"/>
          <w:color w:val="000000"/>
          <w:sz w:val="20"/>
        </w:rPr>
        <w:t xml:space="preserve">highlighted </w:t>
      </w:r>
      <w:r w:rsidR="00C548A0">
        <w:rPr>
          <w:rFonts w:ascii="Arial" w:hAnsi="Arial" w:cs="Arial"/>
          <w:color w:val="000000"/>
          <w:sz w:val="20"/>
        </w:rPr>
        <w:t>the</w:t>
      </w:r>
      <w:r w:rsidR="005509E4">
        <w:rPr>
          <w:rFonts w:ascii="Arial" w:hAnsi="Arial" w:cs="Arial"/>
          <w:color w:val="000000"/>
          <w:sz w:val="20"/>
        </w:rPr>
        <w:t xml:space="preserve"> nexus between the consideration</w:t>
      </w:r>
      <w:r w:rsidR="00C548A0">
        <w:rPr>
          <w:rFonts w:ascii="Arial" w:hAnsi="Arial" w:cs="Arial"/>
          <w:color w:val="000000"/>
          <w:sz w:val="20"/>
        </w:rPr>
        <w:t>s</w:t>
      </w:r>
      <w:r w:rsidR="005509E4">
        <w:rPr>
          <w:rFonts w:ascii="Arial" w:hAnsi="Arial" w:cs="Arial"/>
          <w:color w:val="000000"/>
          <w:sz w:val="20"/>
        </w:rPr>
        <w:t xml:space="preserve"> of family hardship and the exercise of mercy, </w:t>
      </w:r>
      <w:r w:rsidR="00C942BD">
        <w:rPr>
          <w:rFonts w:ascii="Arial" w:hAnsi="Arial" w:cs="Arial"/>
          <w:color w:val="000000"/>
          <w:sz w:val="20"/>
        </w:rPr>
        <w:t xml:space="preserve">the latter </w:t>
      </w:r>
      <w:r w:rsidR="005509E4">
        <w:rPr>
          <w:rFonts w:ascii="Arial" w:hAnsi="Arial" w:cs="Arial"/>
          <w:color w:val="000000"/>
          <w:sz w:val="20"/>
        </w:rPr>
        <w:t xml:space="preserve">discussed more fully in </w:t>
      </w:r>
      <w:r w:rsidR="005509E4" w:rsidRPr="005509E4">
        <w:rPr>
          <w:rFonts w:ascii="Arial" w:hAnsi="Arial" w:cs="Arial"/>
          <w:b/>
          <w:bCs/>
          <w:color w:val="000000"/>
          <w:sz w:val="20"/>
          <w:shd w:val="clear" w:color="auto" w:fill="C5E0B3" w:themeFill="accent6" w:themeFillTint="66"/>
        </w:rPr>
        <w:t>section 1</w:t>
      </w:r>
      <w:r w:rsidR="005B3D55">
        <w:rPr>
          <w:rFonts w:ascii="Arial" w:hAnsi="Arial" w:cs="Arial"/>
          <w:b/>
          <w:bCs/>
          <w:color w:val="000000"/>
          <w:sz w:val="20"/>
          <w:shd w:val="clear" w:color="auto" w:fill="C5E0B3" w:themeFill="accent6" w:themeFillTint="66"/>
        </w:rPr>
        <w:t>1</w:t>
      </w:r>
      <w:r w:rsidR="005509E4" w:rsidRPr="005509E4">
        <w:rPr>
          <w:rFonts w:ascii="Arial" w:hAnsi="Arial" w:cs="Arial"/>
          <w:b/>
          <w:bCs/>
          <w:color w:val="000000"/>
          <w:sz w:val="20"/>
          <w:shd w:val="clear" w:color="auto" w:fill="C5E0B3" w:themeFill="accent6" w:themeFillTint="66"/>
        </w:rPr>
        <w:t>.3.5</w:t>
      </w:r>
      <w:r w:rsidR="005509E4">
        <w:rPr>
          <w:rFonts w:ascii="Arial" w:hAnsi="Arial" w:cs="Arial"/>
          <w:color w:val="000000"/>
          <w:sz w:val="20"/>
        </w:rPr>
        <w:t>:</w:t>
      </w:r>
    </w:p>
    <w:p w14:paraId="2844F051" w14:textId="7407EEBE" w:rsidR="005509E4" w:rsidRPr="00C548A0" w:rsidRDefault="005509E4" w:rsidP="005509E4">
      <w:pPr>
        <w:spacing w:before="60"/>
        <w:ind w:left="567" w:right="567"/>
        <w:jc w:val="both"/>
        <w:rPr>
          <w:rFonts w:ascii="Arial" w:hAnsi="Arial" w:cs="Arial"/>
          <w:color w:val="000000"/>
          <w:sz w:val="20"/>
          <w:szCs w:val="20"/>
        </w:rPr>
      </w:pPr>
      <w:r w:rsidRPr="00C548A0">
        <w:rPr>
          <w:rFonts w:ascii="Arial" w:hAnsi="Arial" w:cs="Arial"/>
          <w:color w:val="000000"/>
          <w:sz w:val="20"/>
          <w:szCs w:val="20"/>
        </w:rPr>
        <w:t>[52] “</w:t>
      </w:r>
      <w:r w:rsidR="00CF7001" w:rsidRPr="00C548A0">
        <w:rPr>
          <w:rFonts w:ascii="Arial" w:hAnsi="Arial" w:cs="Arial"/>
          <w:color w:val="000000"/>
          <w:sz w:val="20"/>
          <w:szCs w:val="20"/>
        </w:rPr>
        <w:t>The proposition that ‘there must always be a place in sentencing for the exercise of mercy is of longstanding and high authority and has been repeatedly affirmed by this Court’</w:t>
      </w:r>
      <w:r w:rsidR="00C548A0" w:rsidRPr="00C548A0">
        <w:rPr>
          <w:rFonts w:ascii="Arial" w:hAnsi="Arial" w:cs="Arial"/>
          <w:color w:val="000000"/>
          <w:sz w:val="20"/>
          <w:szCs w:val="20"/>
        </w:rPr>
        <w:t xml:space="preserve">: </w:t>
      </w:r>
      <w:r w:rsidR="00C548A0" w:rsidRPr="00C548A0">
        <w:rPr>
          <w:rFonts w:ascii="Arial" w:hAnsi="Arial" w:cs="Arial"/>
          <w:i/>
          <w:iCs/>
          <w:color w:val="000000"/>
          <w:sz w:val="20"/>
          <w:szCs w:val="20"/>
        </w:rPr>
        <w:t>DPP v Snow (a pseudonym)</w:t>
      </w:r>
      <w:r w:rsidR="00C548A0" w:rsidRPr="00C548A0">
        <w:rPr>
          <w:rFonts w:ascii="Arial" w:hAnsi="Arial" w:cs="Arial"/>
          <w:color w:val="000000"/>
          <w:sz w:val="20"/>
          <w:szCs w:val="20"/>
        </w:rPr>
        <w:t xml:space="preserve"> [2020] VSCA 67, [53], [80], citing </w:t>
      </w:r>
      <w:r w:rsidR="00C548A0" w:rsidRPr="00C548A0">
        <w:rPr>
          <w:rFonts w:ascii="Arial" w:hAnsi="Arial" w:cs="Arial"/>
          <w:i/>
          <w:iCs/>
          <w:color w:val="000000"/>
          <w:sz w:val="20"/>
          <w:szCs w:val="20"/>
        </w:rPr>
        <w:t>R v Kane</w:t>
      </w:r>
      <w:r w:rsidR="00C548A0" w:rsidRPr="00C548A0">
        <w:rPr>
          <w:rFonts w:ascii="Arial" w:hAnsi="Arial" w:cs="Arial"/>
          <w:color w:val="000000"/>
          <w:sz w:val="20"/>
          <w:szCs w:val="20"/>
        </w:rPr>
        <w:t xml:space="preserve"> (1974) VR 759, 766; </w:t>
      </w:r>
      <w:r w:rsidR="00C548A0" w:rsidRPr="00C548A0">
        <w:rPr>
          <w:rFonts w:ascii="Arial" w:hAnsi="Arial" w:cs="Arial"/>
          <w:i/>
          <w:iCs/>
          <w:color w:val="000000"/>
          <w:sz w:val="20"/>
          <w:szCs w:val="20"/>
        </w:rPr>
        <w:t>DPP v Miceli</w:t>
      </w:r>
      <w:r w:rsidR="00C548A0" w:rsidRPr="00C548A0">
        <w:rPr>
          <w:rFonts w:ascii="Arial" w:hAnsi="Arial" w:cs="Arial"/>
          <w:color w:val="000000"/>
          <w:sz w:val="20"/>
          <w:szCs w:val="20"/>
        </w:rPr>
        <w:t xml:space="preserve"> (1997) 94 A Crim R 327, 332; </w:t>
      </w:r>
      <w:r w:rsidR="00C548A0" w:rsidRPr="00C548A0">
        <w:rPr>
          <w:rFonts w:ascii="Arial" w:hAnsi="Arial" w:cs="Arial"/>
          <w:i/>
          <w:iCs/>
          <w:color w:val="000000"/>
          <w:sz w:val="20"/>
          <w:szCs w:val="20"/>
        </w:rPr>
        <w:t>DPP v Milson</w:t>
      </w:r>
      <w:r w:rsidR="00C548A0" w:rsidRPr="00C548A0">
        <w:rPr>
          <w:rFonts w:ascii="Arial" w:hAnsi="Arial" w:cs="Arial"/>
          <w:color w:val="000000"/>
          <w:sz w:val="20"/>
          <w:szCs w:val="20"/>
        </w:rPr>
        <w:t xml:space="preserve"> [2019] VSCA 55, [51]</w:t>
      </w:r>
      <w:r w:rsidR="00CF7001" w:rsidRPr="00C548A0">
        <w:rPr>
          <w:rFonts w:ascii="Arial" w:hAnsi="Arial" w:cs="Arial"/>
          <w:color w:val="000000"/>
          <w:sz w:val="20"/>
          <w:szCs w:val="20"/>
        </w:rPr>
        <w:t xml:space="preserve">. In </w:t>
      </w:r>
      <w:r w:rsidR="00CF7001" w:rsidRPr="00C548A0">
        <w:rPr>
          <w:rFonts w:ascii="Arial" w:hAnsi="Arial" w:cs="Arial"/>
          <w:i/>
          <w:iCs/>
          <w:color w:val="000000"/>
          <w:sz w:val="20"/>
          <w:szCs w:val="20"/>
        </w:rPr>
        <w:t>DPP v Milson</w:t>
      </w:r>
      <w:r w:rsidR="00C548A0">
        <w:rPr>
          <w:rFonts w:ascii="Arial" w:hAnsi="Arial" w:cs="Arial"/>
          <w:color w:val="000000"/>
          <w:sz w:val="20"/>
          <w:szCs w:val="20"/>
        </w:rPr>
        <w:t xml:space="preserve"> at [51]</w:t>
      </w:r>
      <w:r w:rsidR="00CF7001" w:rsidRPr="00C548A0">
        <w:rPr>
          <w:rFonts w:ascii="Arial" w:hAnsi="Arial" w:cs="Arial"/>
          <w:color w:val="000000"/>
          <w:sz w:val="20"/>
          <w:szCs w:val="20"/>
        </w:rPr>
        <w:t xml:space="preserve"> the Court said: </w:t>
      </w:r>
    </w:p>
    <w:p w14:paraId="7992D349" w14:textId="23ED6535" w:rsidR="00CF7001" w:rsidRDefault="00CF7001" w:rsidP="005509E4">
      <w:pPr>
        <w:spacing w:before="60"/>
        <w:ind w:left="1021" w:right="1021"/>
        <w:jc w:val="both"/>
        <w:rPr>
          <w:rFonts w:ascii="Arial" w:hAnsi="Arial" w:cs="Arial"/>
          <w:color w:val="000000"/>
          <w:sz w:val="20"/>
        </w:rPr>
      </w:pPr>
      <w:r w:rsidRPr="005509E4">
        <w:rPr>
          <w:rFonts w:ascii="Arial" w:hAnsi="Arial" w:cs="Arial"/>
          <w:color w:val="000000"/>
          <w:sz w:val="18"/>
          <w:szCs w:val="22"/>
        </w:rPr>
        <w:t>Mercy may justify the imposition of a sentence which may bear less heavily upon an offender than if he or she were to receive his or her just deserts [sic]. Mercy thus permits considerations such as extreme disadvantage and hardship to be recognised as a factor mitigating sentence. Mercy may also come into play where a judge forms the view that leniency at that particular stage of the offender’s life might lead to reform. Mercy must, however, be exercised ‘upon considerations which are supported by the evidence and which make an appeal not only to sympathy but also to well-balanced judgment’.</w:t>
      </w:r>
    </w:p>
    <w:p w14:paraId="469AD09D" w14:textId="77777777" w:rsidR="00CF7001" w:rsidRDefault="00CF7001">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DPP v 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w:t>
      </w:r>
      <w:r w:rsidR="00354C26" w:rsidRPr="00F86035">
        <w:rPr>
          <w:rFonts w:ascii="Arial" w:hAnsi="Arial" w:cs="Arial"/>
          <w:iCs/>
          <w:color w:val="000000"/>
          <w:sz w:val="20"/>
          <w:szCs w:val="20"/>
          <w:lang w:eastAsia="en-AU"/>
        </w:rPr>
        <w:lastRenderedPageBreak/>
        <w:t>[2013]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r w:rsidRPr="008468A0">
        <w:rPr>
          <w:rFonts w:ascii="Arial" w:hAnsi="Arial" w:cs="Arial"/>
          <w:i/>
          <w:iCs/>
          <w:sz w:val="20"/>
        </w:rPr>
        <w:t>Totaan</w:t>
      </w:r>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086C5534" w14:textId="6C5A5198" w:rsidR="008D531D" w:rsidRDefault="007B4B9A" w:rsidP="00322B31">
      <w:pPr>
        <w:pStyle w:val="Quote1Char"/>
        <w:spacing w:before="0"/>
        <w:ind w:left="0" w:right="0" w:firstLine="0"/>
        <w:rPr>
          <w:rFonts w:ascii="Arial" w:hAnsi="Arial" w:cs="Arial"/>
          <w:sz w:val="20"/>
        </w:rPr>
      </w:pPr>
      <w:r>
        <w:rPr>
          <w:rFonts w:ascii="Arial" w:hAnsi="Arial" w:cs="Arial"/>
          <w:color w:val="000000"/>
          <w:sz w:val="20"/>
        </w:rPr>
        <w:t xml:space="preserve">In </w:t>
      </w:r>
      <w:bookmarkStart w:id="637" w:name="_Hlk193091123"/>
      <w:r w:rsidRPr="007B4B9A">
        <w:rPr>
          <w:rFonts w:ascii="Arial" w:hAnsi="Arial" w:cs="Arial"/>
          <w:i/>
          <w:iCs/>
          <w:color w:val="000000"/>
          <w:sz w:val="20"/>
        </w:rPr>
        <w:t>Hooimeyer v The King</w:t>
      </w:r>
      <w:r>
        <w:rPr>
          <w:rFonts w:ascii="Arial" w:hAnsi="Arial" w:cs="Arial"/>
          <w:color w:val="000000"/>
          <w:sz w:val="20"/>
        </w:rPr>
        <w:t xml:space="preserve"> [2025] VSCA 37 </w:t>
      </w:r>
      <w:bookmarkEnd w:id="637"/>
      <w:r>
        <w:rPr>
          <w:rFonts w:ascii="Arial" w:hAnsi="Arial" w:cs="Arial"/>
          <w:color w:val="000000"/>
          <w:sz w:val="20"/>
        </w:rPr>
        <w:t>the 23 year old applicant had pleaded guilty to charges of obtaining a financial advantage of $160</w:t>
      </w:r>
      <w:r w:rsidR="008D531D">
        <w:rPr>
          <w:rFonts w:ascii="Arial" w:hAnsi="Arial" w:cs="Arial"/>
          <w:color w:val="000000"/>
          <w:sz w:val="20"/>
        </w:rPr>
        <w:t>,</w:t>
      </w:r>
      <w:r>
        <w:rPr>
          <w:rFonts w:ascii="Arial" w:hAnsi="Arial" w:cs="Arial"/>
          <w:color w:val="000000"/>
          <w:sz w:val="20"/>
        </w:rPr>
        <w:t xml:space="preserve">102 from a Commonwealth entity by lodging business activity statements containing false information. </w:t>
      </w:r>
      <w:r w:rsidR="00322B31">
        <w:rPr>
          <w:rFonts w:ascii="Arial" w:hAnsi="Arial" w:cs="Arial"/>
          <w:color w:val="000000"/>
          <w:sz w:val="20"/>
        </w:rPr>
        <w:t>She had been sentenced to TES IMP</w:t>
      </w:r>
      <w:r w:rsidR="00322B31" w:rsidRPr="00322B31">
        <w:rPr>
          <w:rFonts w:ascii="Arial" w:hAnsi="Arial" w:cs="Arial"/>
          <w:sz w:val="20"/>
        </w:rPr>
        <w:t>18</w:t>
      </w:r>
      <w:r w:rsidR="00322B31">
        <w:rPr>
          <w:rFonts w:ascii="Arial" w:hAnsi="Arial" w:cs="Arial"/>
          <w:sz w:val="20"/>
        </w:rPr>
        <w:t>m</w:t>
      </w:r>
      <w:r w:rsidR="00322B31" w:rsidRPr="00322B31">
        <w:rPr>
          <w:rFonts w:ascii="Arial" w:hAnsi="Arial" w:cs="Arial"/>
          <w:sz w:val="20"/>
        </w:rPr>
        <w:t xml:space="preserve"> </w:t>
      </w:r>
      <w:r w:rsidR="00322B31">
        <w:rPr>
          <w:rFonts w:ascii="Arial" w:hAnsi="Arial" w:cs="Arial"/>
          <w:sz w:val="20"/>
        </w:rPr>
        <w:t xml:space="preserve">with a $500 2y RRO after serving IMP8m. </w:t>
      </w:r>
      <w:r>
        <w:rPr>
          <w:rFonts w:ascii="Arial" w:hAnsi="Arial" w:cs="Arial"/>
          <w:color w:val="000000"/>
          <w:sz w:val="20"/>
        </w:rPr>
        <w:t xml:space="preserve">The applicant </w:t>
      </w:r>
      <w:r w:rsidR="007546C6">
        <w:rPr>
          <w:rFonts w:ascii="Arial" w:hAnsi="Arial" w:cs="Arial"/>
          <w:color w:val="000000"/>
          <w:sz w:val="20"/>
        </w:rPr>
        <w:t xml:space="preserve">– who had a history of depression and social anxiety – </w:t>
      </w:r>
      <w:r>
        <w:rPr>
          <w:rFonts w:ascii="Arial" w:hAnsi="Arial" w:cs="Arial"/>
          <w:color w:val="000000"/>
          <w:sz w:val="20"/>
        </w:rPr>
        <w:t>was</w:t>
      </w:r>
      <w:r w:rsidR="007546C6">
        <w:rPr>
          <w:rFonts w:ascii="Arial" w:hAnsi="Arial" w:cs="Arial"/>
          <w:color w:val="000000"/>
          <w:sz w:val="20"/>
        </w:rPr>
        <w:t xml:space="preserve"> </w:t>
      </w:r>
      <w:r>
        <w:rPr>
          <w:rFonts w:ascii="Arial" w:hAnsi="Arial" w:cs="Arial"/>
          <w:color w:val="000000"/>
          <w:sz w:val="20"/>
        </w:rPr>
        <w:t>the primary carer of a 15</w:t>
      </w:r>
      <w:r w:rsidR="008D531D">
        <w:rPr>
          <w:rFonts w:ascii="Arial" w:hAnsi="Arial" w:cs="Arial"/>
          <w:color w:val="000000"/>
          <w:sz w:val="20"/>
        </w:rPr>
        <w:t>-</w:t>
      </w:r>
      <w:r>
        <w:rPr>
          <w:rFonts w:ascii="Arial" w:hAnsi="Arial" w:cs="Arial"/>
          <w:color w:val="000000"/>
          <w:sz w:val="20"/>
        </w:rPr>
        <w:t xml:space="preserve">month old child and was pregnant at the time of sentencing. </w:t>
      </w:r>
      <w:r w:rsidRPr="007B4B9A">
        <w:rPr>
          <w:rFonts w:ascii="Arial" w:hAnsi="Arial" w:cs="Arial"/>
          <w:color w:val="000000"/>
          <w:sz w:val="20"/>
        </w:rPr>
        <w:t xml:space="preserve">The applicant’s relationship with the </w:t>
      </w:r>
      <w:r w:rsidR="00605AD8">
        <w:rPr>
          <w:rFonts w:ascii="Arial" w:hAnsi="Arial" w:cs="Arial"/>
          <w:color w:val="000000"/>
          <w:sz w:val="20"/>
        </w:rPr>
        <w:t xml:space="preserve">child’s </w:t>
      </w:r>
      <w:r w:rsidRPr="007B4B9A">
        <w:rPr>
          <w:rFonts w:ascii="Arial" w:hAnsi="Arial" w:cs="Arial"/>
          <w:color w:val="000000"/>
          <w:sz w:val="20"/>
        </w:rPr>
        <w:t>father had ended in the context of his ‘excessive alcohol use and verbally abusive behaviour’</w:t>
      </w:r>
      <w:r w:rsidR="007546C6">
        <w:rPr>
          <w:rFonts w:ascii="Arial" w:hAnsi="Arial" w:cs="Arial"/>
          <w:color w:val="000000"/>
          <w:sz w:val="20"/>
        </w:rPr>
        <w:t xml:space="preserve"> and t</w:t>
      </w:r>
      <w:r w:rsidRPr="007B4B9A">
        <w:rPr>
          <w:rFonts w:ascii="Arial" w:hAnsi="Arial" w:cs="Arial"/>
          <w:color w:val="000000"/>
          <w:sz w:val="20"/>
        </w:rPr>
        <w:t xml:space="preserve">he applicant and her </w:t>
      </w:r>
      <w:r w:rsidR="00605AD8">
        <w:rPr>
          <w:rFonts w:ascii="Arial" w:hAnsi="Arial" w:cs="Arial"/>
          <w:color w:val="000000"/>
          <w:sz w:val="20"/>
        </w:rPr>
        <w:t>child</w:t>
      </w:r>
      <w:r w:rsidRPr="007B4B9A">
        <w:rPr>
          <w:rFonts w:ascii="Arial" w:hAnsi="Arial" w:cs="Arial"/>
          <w:color w:val="000000"/>
          <w:sz w:val="20"/>
        </w:rPr>
        <w:t xml:space="preserve"> were living with the applicant’s parents</w:t>
      </w:r>
      <w:r w:rsidR="000D6BB8">
        <w:rPr>
          <w:rFonts w:ascii="Arial" w:hAnsi="Arial" w:cs="Arial"/>
          <w:color w:val="000000"/>
          <w:sz w:val="20"/>
        </w:rPr>
        <w:t>.</w:t>
      </w:r>
      <w:r w:rsidRPr="007B4B9A">
        <w:rPr>
          <w:rFonts w:ascii="Arial" w:hAnsi="Arial" w:cs="Arial"/>
          <w:color w:val="000000"/>
          <w:sz w:val="20"/>
        </w:rPr>
        <w:t xml:space="preserve"> </w:t>
      </w:r>
      <w:r w:rsidR="008D531D">
        <w:rPr>
          <w:rFonts w:ascii="Arial" w:hAnsi="Arial" w:cs="Arial"/>
          <w:color w:val="000000"/>
          <w:sz w:val="20"/>
        </w:rPr>
        <w:t xml:space="preserve">Granting leave to appeal and allowing the appeal, </w:t>
      </w:r>
      <w:r w:rsidR="00322B31">
        <w:rPr>
          <w:rFonts w:ascii="Arial" w:hAnsi="Arial" w:cs="Arial"/>
          <w:color w:val="000000"/>
          <w:sz w:val="20"/>
        </w:rPr>
        <w:t>the Court of Appeal</w:t>
      </w:r>
      <w:r w:rsidR="008D531D">
        <w:rPr>
          <w:rFonts w:ascii="Arial" w:hAnsi="Arial" w:cs="Arial"/>
          <w:color w:val="000000"/>
          <w:sz w:val="20"/>
        </w:rPr>
        <w:t xml:space="preserve"> held that the sentencing judge had erred by reducing the mitigatory weight to be given to hardship flowing from the </w:t>
      </w:r>
      <w:r w:rsidR="008D531D" w:rsidRPr="008D531D">
        <w:rPr>
          <w:rFonts w:ascii="Arial" w:hAnsi="Arial" w:cs="Arial"/>
          <w:color w:val="000000"/>
          <w:sz w:val="20"/>
        </w:rPr>
        <w:t xml:space="preserve">applicant’s separation from </w:t>
      </w:r>
      <w:r w:rsidR="00CA4F2D">
        <w:rPr>
          <w:rFonts w:ascii="Arial" w:hAnsi="Arial" w:cs="Arial"/>
          <w:color w:val="000000"/>
          <w:sz w:val="20"/>
        </w:rPr>
        <w:t xml:space="preserve">her </w:t>
      </w:r>
      <w:r w:rsidR="008D531D" w:rsidRPr="008D531D">
        <w:rPr>
          <w:rFonts w:ascii="Arial" w:hAnsi="Arial" w:cs="Arial"/>
          <w:color w:val="000000"/>
          <w:sz w:val="20"/>
        </w:rPr>
        <w:t xml:space="preserve">15-month old child because she had not applied to have </w:t>
      </w:r>
      <w:r w:rsidR="00A775F6">
        <w:rPr>
          <w:rFonts w:ascii="Arial" w:hAnsi="Arial" w:cs="Arial"/>
          <w:color w:val="000000"/>
          <w:sz w:val="20"/>
        </w:rPr>
        <w:t xml:space="preserve">the </w:t>
      </w:r>
      <w:r w:rsidR="008D531D" w:rsidRPr="008D531D">
        <w:rPr>
          <w:rFonts w:ascii="Arial" w:hAnsi="Arial" w:cs="Arial"/>
          <w:color w:val="000000"/>
          <w:sz w:val="20"/>
        </w:rPr>
        <w:t>child with her in custody</w:t>
      </w:r>
      <w:r w:rsidR="008D531D">
        <w:rPr>
          <w:rFonts w:ascii="Arial" w:hAnsi="Arial" w:cs="Arial"/>
          <w:color w:val="000000"/>
          <w:sz w:val="20"/>
        </w:rPr>
        <w:t xml:space="preserve">. </w:t>
      </w:r>
      <w:r w:rsidR="00322B31">
        <w:rPr>
          <w:rFonts w:ascii="Arial" w:hAnsi="Arial" w:cs="Arial"/>
          <w:sz w:val="20"/>
        </w:rPr>
        <w:t>Orr &amp; T</w:t>
      </w:r>
      <w:r w:rsidR="007546C6">
        <w:rPr>
          <w:rFonts w:ascii="Arial" w:hAnsi="Arial" w:cs="Arial"/>
          <w:sz w:val="20"/>
        </w:rPr>
        <w:t> </w:t>
      </w:r>
      <w:r w:rsidR="00322B31">
        <w:rPr>
          <w:rFonts w:ascii="Arial" w:hAnsi="Arial" w:cs="Arial"/>
          <w:sz w:val="20"/>
        </w:rPr>
        <w:t xml:space="preserve">Forrest </w:t>
      </w:r>
      <w:r w:rsidR="002A1008">
        <w:rPr>
          <w:rFonts w:ascii="Arial" w:hAnsi="Arial" w:cs="Arial"/>
          <w:sz w:val="20"/>
        </w:rPr>
        <w:t>J</w:t>
      </w:r>
      <w:r w:rsidR="00322B31">
        <w:rPr>
          <w:rFonts w:ascii="Arial" w:hAnsi="Arial" w:cs="Arial"/>
          <w:sz w:val="20"/>
        </w:rPr>
        <w:t xml:space="preserve">JA held at </w:t>
      </w:r>
      <w:r w:rsidR="0082273B">
        <w:rPr>
          <w:rFonts w:ascii="Arial" w:hAnsi="Arial" w:cs="Arial"/>
          <w:sz w:val="20"/>
        </w:rPr>
        <w:t>[14]</w:t>
      </w:r>
      <w:r w:rsidR="00CA4F2D">
        <w:rPr>
          <w:rFonts w:ascii="Arial" w:hAnsi="Arial" w:cs="Arial"/>
          <w:sz w:val="20"/>
        </w:rPr>
        <w:t>-</w:t>
      </w:r>
      <w:r w:rsidR="000D6BB8">
        <w:rPr>
          <w:rFonts w:ascii="Arial" w:hAnsi="Arial" w:cs="Arial"/>
          <w:sz w:val="20"/>
        </w:rPr>
        <w:t>[15]</w:t>
      </w:r>
      <w:r w:rsidR="0082273B">
        <w:rPr>
          <w:rFonts w:ascii="Arial" w:hAnsi="Arial" w:cs="Arial"/>
          <w:sz w:val="20"/>
        </w:rPr>
        <w:t xml:space="preserve"> &amp; </w:t>
      </w:r>
      <w:r w:rsidR="00322B31">
        <w:rPr>
          <w:rFonts w:ascii="Arial" w:hAnsi="Arial" w:cs="Arial"/>
          <w:sz w:val="20"/>
        </w:rPr>
        <w:t>[22]:</w:t>
      </w:r>
    </w:p>
    <w:p w14:paraId="06B83B32" w14:textId="00102F0C" w:rsidR="000D6BB8" w:rsidRDefault="0082273B" w:rsidP="00322B31">
      <w:pPr>
        <w:pStyle w:val="Quote1Char"/>
        <w:spacing w:before="60"/>
        <w:ind w:left="567" w:right="567" w:firstLine="0"/>
        <w:rPr>
          <w:rFonts w:ascii="Arial" w:hAnsi="Arial" w:cs="Arial"/>
          <w:sz w:val="20"/>
        </w:rPr>
      </w:pPr>
      <w:bookmarkStart w:id="638" w:name="_Hlk193089214"/>
      <w:r>
        <w:rPr>
          <w:rFonts w:ascii="Arial" w:hAnsi="Arial" w:cs="Arial"/>
          <w:sz w:val="20"/>
        </w:rPr>
        <w:t>[14] “</w:t>
      </w:r>
      <w:r w:rsidRPr="0082273B">
        <w:rPr>
          <w:rFonts w:ascii="Arial" w:hAnsi="Arial" w:cs="Arial"/>
          <w:sz w:val="20"/>
        </w:rPr>
        <w:t xml:space="preserve">Section 16A(2)(m) of the </w:t>
      </w:r>
      <w:r w:rsidRPr="0082273B">
        <w:rPr>
          <w:rFonts w:ascii="Arial" w:hAnsi="Arial" w:cs="Arial"/>
          <w:i/>
          <w:iCs/>
          <w:sz w:val="20"/>
        </w:rPr>
        <w:t>Crimes Act 1914</w:t>
      </w:r>
      <w:r w:rsidRPr="0082273B">
        <w:rPr>
          <w:rFonts w:ascii="Arial" w:hAnsi="Arial" w:cs="Arial"/>
          <w:sz w:val="20"/>
        </w:rPr>
        <w:t xml:space="preserve"> (Cth) provides that a sentencing court must take into account ‘the character, antecedents, age, means and physical or mental condition of the person’ being sentenced. Section 16A(2)(p) requires a court to take into account ‘the probable effect that any sentence or order under consideration would have on any of the person’s family or dependents’. In </w:t>
      </w:r>
      <w:r w:rsidRPr="0082273B">
        <w:rPr>
          <w:rFonts w:ascii="Arial" w:hAnsi="Arial" w:cs="Arial"/>
          <w:i/>
          <w:iCs/>
          <w:sz w:val="20"/>
        </w:rPr>
        <w:t>Totaan v The Queen</w:t>
      </w:r>
      <w:r w:rsidRPr="0082273B">
        <w:rPr>
          <w:rFonts w:ascii="Arial" w:hAnsi="Arial" w:cs="Arial"/>
          <w:sz w:val="20"/>
        </w:rPr>
        <w:t xml:space="preserve"> </w:t>
      </w:r>
      <w:r w:rsidRPr="008468A0">
        <w:rPr>
          <w:rFonts w:ascii="Arial" w:hAnsi="Arial" w:cs="Arial"/>
          <w:sz w:val="20"/>
        </w:rPr>
        <w:t xml:space="preserve">[2022] NSWCCA </w:t>
      </w:r>
      <w:r w:rsidRPr="008468A0">
        <w:rPr>
          <w:rFonts w:ascii="Arial" w:hAnsi="Arial" w:cs="Arial"/>
          <w:sz w:val="20"/>
        </w:rPr>
        <w:lastRenderedPageBreak/>
        <w:t>75</w:t>
      </w:r>
      <w:r w:rsidRPr="0082273B">
        <w:rPr>
          <w:rFonts w:ascii="Arial" w:hAnsi="Arial" w:cs="Arial"/>
          <w:sz w:val="20"/>
        </w:rPr>
        <w:t>, the New South Wales Court of Criminal Appeal held that s 16A(2)(p) did not require a sentencing court to be satisfied that there were exceptional circumstances before taking probable hardship into account.</w:t>
      </w:r>
      <w:r w:rsidR="000D6BB8">
        <w:rPr>
          <w:rFonts w:ascii="Arial" w:hAnsi="Arial" w:cs="Arial"/>
          <w:sz w:val="20"/>
        </w:rPr>
        <w:t>..</w:t>
      </w:r>
    </w:p>
    <w:p w14:paraId="0608C138" w14:textId="37E072EB" w:rsidR="0082273B" w:rsidRDefault="000D6BB8" w:rsidP="00322B31">
      <w:pPr>
        <w:pStyle w:val="Quote1Char"/>
        <w:spacing w:before="60"/>
        <w:ind w:left="567" w:right="567" w:firstLine="0"/>
        <w:rPr>
          <w:rFonts w:ascii="Arial" w:hAnsi="Arial" w:cs="Arial"/>
          <w:sz w:val="20"/>
        </w:rPr>
      </w:pPr>
      <w:r>
        <w:rPr>
          <w:rFonts w:ascii="Arial" w:hAnsi="Arial" w:cs="Arial"/>
          <w:sz w:val="20"/>
        </w:rPr>
        <w:t xml:space="preserve">[15] </w:t>
      </w:r>
      <w:r w:rsidRPr="000D6BB8">
        <w:rPr>
          <w:rFonts w:ascii="Arial" w:hAnsi="Arial" w:cs="Arial"/>
          <w:i/>
          <w:iCs/>
          <w:sz w:val="20"/>
        </w:rPr>
        <w:t>Totaan</w:t>
      </w:r>
      <w:r w:rsidRPr="000D6BB8">
        <w:rPr>
          <w:rFonts w:ascii="Arial" w:hAnsi="Arial" w:cs="Arial"/>
          <w:sz w:val="20"/>
        </w:rPr>
        <w:t xml:space="preserve"> has been followed in Victoria since 5 August 2022</w:t>
      </w:r>
      <w:r>
        <w:rPr>
          <w:rFonts w:ascii="Arial" w:hAnsi="Arial" w:cs="Arial"/>
          <w:sz w:val="20"/>
        </w:rPr>
        <w:t xml:space="preserve">: </w:t>
      </w:r>
      <w:r w:rsidRPr="000D6BB8">
        <w:rPr>
          <w:rFonts w:ascii="Arial" w:hAnsi="Arial" w:cs="Arial"/>
          <w:i/>
          <w:iCs/>
          <w:sz w:val="20"/>
        </w:rPr>
        <w:t>Rodgerson v R (No 2)</w:t>
      </w:r>
      <w:r w:rsidRPr="000D6BB8">
        <w:rPr>
          <w:rFonts w:ascii="Arial" w:hAnsi="Arial" w:cs="Arial"/>
          <w:sz w:val="20"/>
        </w:rPr>
        <w:t xml:space="preserve"> [2022] VSCA 154, [73]</w:t>
      </w:r>
      <w:r>
        <w:rPr>
          <w:rFonts w:ascii="Arial" w:hAnsi="Arial" w:cs="Arial"/>
          <w:sz w:val="20"/>
        </w:rPr>
        <w:t>.”</w:t>
      </w:r>
    </w:p>
    <w:bookmarkEnd w:id="638"/>
    <w:p w14:paraId="5E42483E" w14:textId="20AD4E05" w:rsidR="00322B31" w:rsidRDefault="0082273B" w:rsidP="00322B31">
      <w:pPr>
        <w:pStyle w:val="Quote1Char"/>
        <w:spacing w:before="60"/>
        <w:ind w:left="567" w:right="567" w:firstLine="0"/>
        <w:rPr>
          <w:rFonts w:ascii="Arial" w:hAnsi="Arial" w:cs="Arial"/>
          <w:sz w:val="20"/>
          <w:szCs w:val="16"/>
        </w:rPr>
      </w:pPr>
      <w:r>
        <w:rPr>
          <w:rFonts w:ascii="Arial" w:hAnsi="Arial" w:cs="Arial"/>
          <w:sz w:val="20"/>
        </w:rPr>
        <w:t xml:space="preserve">[22] </w:t>
      </w:r>
      <w:r w:rsidR="00322B31">
        <w:rPr>
          <w:rFonts w:ascii="Arial" w:hAnsi="Arial" w:cs="Arial"/>
          <w:sz w:val="20"/>
        </w:rPr>
        <w:t>“</w:t>
      </w:r>
      <w:r w:rsidR="00322B31" w:rsidRPr="00322B31">
        <w:rPr>
          <w:rFonts w:ascii="Arial" w:hAnsi="Arial" w:cs="Arial"/>
          <w:sz w:val="20"/>
        </w:rPr>
        <w:t>There is no statutory mandate nor sentencing principle to support the proposition that the probable effect of hardship on an offender, or a dependant, should be reduced or moderated based on what actions he or she has taken in an attempt to mitigate that hardship. Section 16A(2)(p) is a straightforward section that should be applied according to its terms. So should s 16A(2)(m).</w:t>
      </w:r>
      <w:r w:rsidR="00322B31">
        <w:rPr>
          <w:rFonts w:ascii="Arial" w:hAnsi="Arial" w:cs="Arial"/>
          <w:sz w:val="20"/>
        </w:rPr>
        <w:t>”</w:t>
      </w:r>
    </w:p>
    <w:p w14:paraId="3BFBFC67" w14:textId="6CF89EA2" w:rsidR="008D531D" w:rsidRDefault="00322B31" w:rsidP="00322B31">
      <w:pPr>
        <w:pStyle w:val="Quote1Char"/>
        <w:spacing w:before="60"/>
        <w:ind w:left="0" w:right="567" w:firstLine="0"/>
        <w:rPr>
          <w:rFonts w:ascii="Arial" w:hAnsi="Arial" w:cs="Arial"/>
          <w:sz w:val="20"/>
        </w:rPr>
      </w:pPr>
      <w:r>
        <w:rPr>
          <w:rFonts w:ascii="Arial" w:hAnsi="Arial" w:cs="Arial"/>
          <w:sz w:val="20"/>
        </w:rPr>
        <w:t>The applicant was re-sentenced to TES IMP12m with a $500 18m RRO after serving IMP4m.</w:t>
      </w:r>
    </w:p>
    <w:p w14:paraId="323CEE9A" w14:textId="60DD364F" w:rsidR="007B4B9A" w:rsidRDefault="007B4B9A" w:rsidP="00AA44B8">
      <w:pPr>
        <w:pStyle w:val="Quote1Char"/>
        <w:spacing w:before="0"/>
        <w:ind w:left="0" w:right="567" w:firstLine="0"/>
        <w:rPr>
          <w:rFonts w:ascii="Arial" w:hAnsi="Arial" w:cs="Arial"/>
          <w:color w:val="000000"/>
          <w:sz w:val="20"/>
        </w:rPr>
      </w:pPr>
    </w:p>
    <w:p w14:paraId="5F5BBB6A" w14:textId="29564678"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r w:rsidR="00A400F8" w:rsidRPr="00A400F8">
        <w:rPr>
          <w:rFonts w:ascii="Arial" w:hAnsi="Arial" w:cs="Arial"/>
          <w:i/>
          <w:iCs/>
          <w:color w:val="000000"/>
          <w:sz w:val="20"/>
        </w:rPr>
        <w:t>Farshchi v The King</w:t>
      </w:r>
      <w:r w:rsidR="00A400F8">
        <w:rPr>
          <w:rFonts w:ascii="Arial" w:hAnsi="Arial" w:cs="Arial"/>
          <w:color w:val="000000"/>
          <w:sz w:val="20"/>
        </w:rPr>
        <w:t xml:space="preserve"> [2024] VSCA 235 at [67]-[73].</w:t>
      </w:r>
    </w:p>
    <w:p w14:paraId="72BD8D96" w14:textId="77777777" w:rsidR="004651B1" w:rsidRPr="009F607D" w:rsidRDefault="004651B1" w:rsidP="004651B1">
      <w:pPr>
        <w:jc w:val="both"/>
        <w:rPr>
          <w:rFonts w:ascii="Arial" w:hAnsi="Arial" w:cs="Arial"/>
          <w:color w:val="000000"/>
          <w:sz w:val="20"/>
          <w:szCs w:val="22"/>
        </w:rPr>
      </w:pPr>
    </w:p>
    <w:p w14:paraId="6CEDA322" w14:textId="77777777" w:rsidR="004651B1" w:rsidRPr="001E6BE9" w:rsidRDefault="004651B1" w:rsidP="004651B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984210" w14:textId="77777777" w:rsidR="004651B1" w:rsidRPr="001C6E0E" w:rsidRDefault="004651B1" w:rsidP="004651B1">
      <w:pPr>
        <w:rPr>
          <w:rFonts w:ascii="Arial" w:hAnsi="Arial" w:cs="Arial"/>
          <w:color w:val="000000"/>
          <w:sz w:val="20"/>
        </w:rPr>
      </w:pPr>
    </w:p>
    <w:p w14:paraId="34C65E49" w14:textId="77777777" w:rsidR="004651B1" w:rsidRDefault="004651B1">
      <w:pPr>
        <w:rPr>
          <w:rFonts w:ascii="Arial" w:hAnsi="Arial" w:cs="Arial"/>
          <w:b/>
          <w:bCs/>
          <w:color w:val="000000"/>
          <w:kern w:val="28"/>
          <w:sz w:val="20"/>
          <w:szCs w:val="20"/>
          <w:lang w:val="en-GB"/>
        </w:rPr>
      </w:pPr>
      <w:bookmarkStart w:id="639" w:name="_11.2.19_Relevance_of"/>
      <w:bookmarkStart w:id="640" w:name="_Toc57964463"/>
      <w:bookmarkStart w:id="641" w:name="_Toc107101762"/>
      <w:bookmarkEnd w:id="605"/>
      <w:bookmarkEnd w:id="639"/>
      <w:r>
        <w:rPr>
          <w:rFonts w:ascii="Arial" w:hAnsi="Arial" w:cs="Arial"/>
          <w:b/>
          <w:bCs/>
          <w:color w:val="000000"/>
          <w:sz w:val="20"/>
        </w:rPr>
        <w:br w:type="page"/>
      </w:r>
    </w:p>
    <w:p w14:paraId="5EF80113" w14:textId="756EBFF0"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place">
        <w:smartTag w:uri="urn:schemas-microsoft-com:office:smarttags" w:element="City">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w:t>
      </w:r>
      <w:r w:rsidRPr="001C6E0E">
        <w:rPr>
          <w:rFonts w:ascii="Arial" w:hAnsi="Arial" w:cs="Arial"/>
          <w:color w:val="000000"/>
          <w:sz w:val="20"/>
        </w:rPr>
        <w:lastRenderedPageBreak/>
        <w:t>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2" w:name="_11.2.20_Relevance_of"/>
      <w:bookmarkEnd w:id="642"/>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3" w:name="_11.2.21_Relevance_of"/>
      <w:bookmarkEnd w:id="643"/>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w:t>
      </w:r>
      <w:r w:rsidRPr="001C6E0E">
        <w:rPr>
          <w:rFonts w:ascii="Arial" w:hAnsi="Arial" w:cs="Arial"/>
          <w:color w:val="000000"/>
          <w:sz w:val="20"/>
        </w:rPr>
        <w:lastRenderedPageBreak/>
        <w:t xml:space="preserve">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44" w:name="_11.2.22_Sentencing_for"/>
      <w:bookmarkEnd w:id="644"/>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40"/>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41"/>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45" w:name="_11.2.22.1__"/>
      <w:bookmarkEnd w:id="645"/>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w:t>
      </w:r>
      <w:r w:rsidR="00D67B0A" w:rsidRPr="001C6E0E">
        <w:rPr>
          <w:rFonts w:ascii="Arial" w:hAnsi="Arial" w:cs="Arial"/>
          <w:color w:val="000000"/>
          <w:sz w:val="20"/>
        </w:rPr>
        <w:lastRenderedPageBreak/>
        <w:t xml:space="preserve">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City">
        <w:smartTag w:uri="urn:schemas-microsoft-com:office:smarttags" w:element="place">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r w:rsidR="001C1FEB">
        <w:rPr>
          <w:rFonts w:ascii="Arial" w:hAnsi="Arial" w:cs="Arial"/>
          <w:color w:val="000000"/>
          <w:sz w:val="20"/>
        </w:rPr>
        <w:t>enuniciat</w:t>
      </w:r>
      <w:r w:rsidR="00256B7A">
        <w:rPr>
          <w:rFonts w:ascii="Arial" w:hAnsi="Arial" w:cs="Arial"/>
          <w:color w:val="000000"/>
          <w:sz w:val="20"/>
        </w:rPr>
        <w:t>ing</w:t>
      </w:r>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9" w:history="1">
        <w:r w:rsidR="00B426FB" w:rsidRPr="00B426FB">
          <w:rPr>
            <w:rStyle w:val="Hyperlink"/>
            <w:rFonts w:ascii="Arial" w:hAnsi="Arial" w:cs="Arial"/>
            <w:i/>
            <w:iCs/>
            <w:color w:val="000000" w:themeColor="text1"/>
            <w:sz w:val="18"/>
            <w:szCs w:val="18"/>
            <w:u w:val="none"/>
          </w:rPr>
          <w:t>R v Williscroft</w:t>
        </w:r>
      </w:hyperlink>
      <w:r w:rsidR="00B426FB" w:rsidRPr="00B426FB">
        <w:rPr>
          <w:rFonts w:ascii="Arial" w:hAnsi="Arial" w:cs="Arial"/>
          <w:color w:val="000000" w:themeColor="text1"/>
          <w:sz w:val="18"/>
          <w:szCs w:val="18"/>
        </w:rPr>
        <w:t> [1975] VR 292 at </w:t>
      </w:r>
      <w:hyperlink r:id="rId20"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21" w:history="1">
        <w:r w:rsidR="00B426FB" w:rsidRPr="00B426FB">
          <w:rPr>
            <w:rStyle w:val="Hyperlink"/>
            <w:rFonts w:ascii="Arial" w:hAnsi="Arial" w:cs="Arial"/>
            <w:i/>
            <w:iCs/>
            <w:color w:val="000000" w:themeColor="text1"/>
            <w:sz w:val="18"/>
            <w:szCs w:val="18"/>
            <w:u w:val="none"/>
          </w:rPr>
          <w:t>R v Papazisis and Bird</w:t>
        </w:r>
      </w:hyperlink>
      <w:r w:rsidR="00B426FB" w:rsidRPr="00B426FB">
        <w:rPr>
          <w:rFonts w:ascii="Arial" w:hAnsi="Arial" w:cs="Arial"/>
          <w:color w:val="000000" w:themeColor="text1"/>
          <w:sz w:val="18"/>
          <w:szCs w:val="18"/>
        </w:rPr>
        <w:t> (1991) 51 A Crim R 242 at </w:t>
      </w:r>
      <w:hyperlink r:id="rId22"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lastRenderedPageBreak/>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3"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4"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46"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5"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6"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46"/>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w:t>
      </w:r>
      <w:r w:rsidRPr="001C6E0E">
        <w:rPr>
          <w:rFonts w:ascii="Arial" w:hAnsi="Arial" w:cs="Arial"/>
          <w:color w:val="000000"/>
          <w:sz w:val="20"/>
        </w:rPr>
        <w:lastRenderedPageBreak/>
        <w:t>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place">
        <w:smartTag w:uri="urn:schemas-microsoft-com:office:smarttags" w:element="Stat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w:t>
      </w:r>
      <w:r w:rsidRPr="001C6E0E">
        <w:rPr>
          <w:rFonts w:ascii="Arial" w:hAnsi="Arial" w:cs="Arial"/>
          <w:color w:val="000000"/>
          <w:sz w:val="20"/>
        </w:rPr>
        <w:lastRenderedPageBreak/>
        <w:t xml:space="preserve">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‘W]ith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w:t>
      </w:r>
      <w:r w:rsidRPr="001C6E0E">
        <w:rPr>
          <w:rFonts w:ascii="Arial" w:hAnsi="Arial" w:cs="Arial"/>
          <w:color w:val="000000"/>
          <w:sz w:val="20"/>
        </w:rPr>
        <w:lastRenderedPageBreak/>
        <w:t xml:space="preserve">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 xml:space="preserve">There </w:t>
      </w:r>
      <w:r w:rsidR="007F1849">
        <w:rPr>
          <w:rFonts w:ascii="Arial" w:hAnsi="Arial" w:cs="Arial"/>
          <w:sz w:val="20"/>
          <w:szCs w:val="20"/>
        </w:rPr>
        <w:lastRenderedPageBreak/>
        <w:t>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w:t>
      </w:r>
      <w:r w:rsidRPr="000C5F9F">
        <w:rPr>
          <w:rFonts w:ascii="Arial" w:hAnsi="Arial" w:cs="Arial"/>
          <w:sz w:val="20"/>
          <w:szCs w:val="20"/>
        </w:rPr>
        <w:lastRenderedPageBreak/>
        <w:t xml:space="preserve">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evidently a very serious offence. As for the gravity of your offending, the circumstances of this case 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Default="00A1353E">
      <w:pPr>
        <w:jc w:val="both"/>
        <w:rPr>
          <w:rFonts w:ascii="Arial" w:hAnsi="Arial" w:cs="Arial"/>
          <w:color w:val="000000"/>
          <w:sz w:val="20"/>
          <w:szCs w:val="20"/>
        </w:rPr>
      </w:pPr>
    </w:p>
    <w:p w14:paraId="4DC65E3A" w14:textId="6E101FB3" w:rsidR="00B32E52" w:rsidRDefault="00B32E52">
      <w:pPr>
        <w:jc w:val="both"/>
        <w:rPr>
          <w:rFonts w:ascii="Arial" w:hAnsi="Arial" w:cs="Arial"/>
          <w:color w:val="000000"/>
          <w:sz w:val="20"/>
          <w:szCs w:val="20"/>
        </w:rPr>
      </w:pPr>
      <w:r>
        <w:rPr>
          <w:rFonts w:ascii="Arial" w:hAnsi="Arial" w:cs="Arial"/>
          <w:color w:val="000000"/>
          <w:sz w:val="20"/>
          <w:szCs w:val="20"/>
        </w:rPr>
        <w:t xml:space="preserve">In </w:t>
      </w:r>
      <w:r w:rsidRPr="00B32E52">
        <w:rPr>
          <w:rFonts w:ascii="Arial" w:hAnsi="Arial" w:cs="Arial"/>
          <w:i/>
          <w:iCs/>
          <w:color w:val="000000"/>
          <w:sz w:val="20"/>
          <w:szCs w:val="20"/>
        </w:rPr>
        <w:t>DPP v Allen</w:t>
      </w:r>
      <w:r>
        <w:rPr>
          <w:rFonts w:ascii="Arial" w:hAnsi="Arial" w:cs="Arial"/>
          <w:color w:val="000000"/>
          <w:sz w:val="20"/>
          <w:szCs w:val="20"/>
        </w:rPr>
        <w:t xml:space="preserve"> [2025] VSC 219 the 23 year old accused had entered early pleas of guilty to a charge of manslaughter by unlawful and dangerous act and a charge of armed robbery</w:t>
      </w:r>
      <w:r w:rsidR="00D050B3">
        <w:rPr>
          <w:rFonts w:ascii="Arial" w:hAnsi="Arial" w:cs="Arial"/>
          <w:color w:val="000000"/>
          <w:sz w:val="20"/>
          <w:szCs w:val="20"/>
        </w:rPr>
        <w:t xml:space="preserve"> arising from a separate incident</w:t>
      </w:r>
      <w:r>
        <w:rPr>
          <w:rFonts w:ascii="Arial" w:hAnsi="Arial" w:cs="Arial"/>
          <w:color w:val="000000"/>
          <w:sz w:val="20"/>
          <w:szCs w:val="20"/>
        </w:rPr>
        <w:t>. The accused was armed with a knife and a co-offender with a machete. They confronted the victim and an associate and the accused stabbed the victim with a knife. The accused – who fled to Queensland after the offence – had a substantial criminal history and childhood deprivation resulting in drug and alcohol dependency. Noting a significant utilitarian value of the pleas of guilty, Kaye JA sentenced the accused to IMP9y6m on the manslaughter charge and IMP4y on the armed robbery charge, of which 18m was to be served cumulatively on the sentence for manslaughter. This resulted in</w:t>
      </w:r>
      <w:r w:rsidR="00D050B3">
        <w:rPr>
          <w:rFonts w:ascii="Arial" w:hAnsi="Arial" w:cs="Arial"/>
          <w:color w:val="000000"/>
          <w:sz w:val="20"/>
          <w:szCs w:val="20"/>
        </w:rPr>
        <w:t xml:space="preserve"> a</w:t>
      </w:r>
      <w:r>
        <w:rPr>
          <w:rFonts w:ascii="Arial" w:hAnsi="Arial" w:cs="Arial"/>
          <w:color w:val="000000"/>
          <w:sz w:val="20"/>
          <w:szCs w:val="20"/>
        </w:rPr>
        <w:t xml:space="preserve"> TES IMP11y/7y4m. At </w:t>
      </w:r>
      <w:r w:rsidR="00D050B3">
        <w:rPr>
          <w:rFonts w:ascii="Arial" w:hAnsi="Arial" w:cs="Arial"/>
          <w:color w:val="000000"/>
          <w:sz w:val="20"/>
          <w:szCs w:val="20"/>
        </w:rPr>
        <w:t xml:space="preserve">[74] &amp; </w:t>
      </w:r>
      <w:r>
        <w:rPr>
          <w:rFonts w:ascii="Arial" w:hAnsi="Arial" w:cs="Arial"/>
          <w:color w:val="000000"/>
          <w:sz w:val="20"/>
          <w:szCs w:val="20"/>
        </w:rPr>
        <w:t>[76]-[</w:t>
      </w:r>
      <w:r w:rsidR="00D050B3">
        <w:rPr>
          <w:rFonts w:ascii="Arial" w:hAnsi="Arial" w:cs="Arial"/>
          <w:color w:val="000000"/>
          <w:sz w:val="20"/>
          <w:szCs w:val="20"/>
        </w:rPr>
        <w:t>82</w:t>
      </w:r>
      <w:r>
        <w:rPr>
          <w:rFonts w:ascii="Arial" w:hAnsi="Arial" w:cs="Arial"/>
          <w:color w:val="000000"/>
          <w:sz w:val="20"/>
          <w:szCs w:val="20"/>
        </w:rPr>
        <w:t>] Kaye JA said:</w:t>
      </w:r>
    </w:p>
    <w:p w14:paraId="241E2754" w14:textId="65EC220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[74] “I also take into account, as a mitigating factor, your relative youth, both at the time of the offending and at the time of sentence. In that respect I do note, however, that the offences, for which you are to be sentenced, are of a kind that are not uncommonly committed by other youthful offenders. To that extent, the mitigatory effect of your youth is reduced, in order to ensure that sufficient weight is given to the sentencing purposes of general deterrence and denunciation...</w:t>
      </w:r>
    </w:p>
    <w:p w14:paraId="15546357" w14:textId="19CF3C4C" w:rsidR="00B32E52"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[76] </w:t>
      </w:r>
      <w:r w:rsidR="00B32E52">
        <w:rPr>
          <w:rFonts w:ascii="Arial" w:hAnsi="Arial" w:cs="Arial"/>
          <w:color w:val="000000"/>
          <w:sz w:val="20"/>
          <w:szCs w:val="20"/>
        </w:rPr>
        <w:t xml:space="preserve">In determining your sentence, </w:t>
      </w:r>
      <w:r w:rsidRPr="00B32E52">
        <w:rPr>
          <w:rFonts w:ascii="Arial" w:hAnsi="Arial" w:cs="Arial"/>
          <w:color w:val="000000"/>
          <w:sz w:val="20"/>
          <w:szCs w:val="20"/>
        </w:rPr>
        <w:t xml:space="preserve">I have had regard to current sentencing practices, particularly in respect of the offence of manslaughter. In that respect, I have been assisted by the sentencing decisions to which the prosecution has referred me, namely, </w:t>
      </w:r>
      <w:r w:rsidRPr="00D050B3">
        <w:rPr>
          <w:rFonts w:ascii="Arial" w:hAnsi="Arial" w:cs="Arial"/>
          <w:i/>
          <w:iCs/>
          <w:color w:val="000000"/>
          <w:sz w:val="20"/>
          <w:szCs w:val="20"/>
        </w:rPr>
        <w:t>R v Gurlu</w:t>
      </w:r>
      <w:r>
        <w:rPr>
          <w:rFonts w:ascii="Arial" w:hAnsi="Arial" w:cs="Arial"/>
          <w:color w:val="000000"/>
          <w:sz w:val="20"/>
          <w:szCs w:val="20"/>
        </w:rPr>
        <w:t xml:space="preserve"> </w:t>
      </w:r>
      <w:r w:rsidRPr="00B32E52">
        <w:rPr>
          <w:rFonts w:ascii="Arial" w:hAnsi="Arial" w:cs="Arial"/>
          <w:color w:val="000000"/>
          <w:sz w:val="20"/>
          <w:szCs w:val="20"/>
        </w:rPr>
        <w:t xml:space="preserve">[2022] VSC 820, </w:t>
      </w:r>
      <w:r w:rsidRPr="00D050B3">
        <w:rPr>
          <w:rFonts w:ascii="Arial" w:hAnsi="Arial" w:cs="Arial"/>
          <w:i/>
          <w:iCs/>
          <w:color w:val="000000"/>
          <w:sz w:val="20"/>
          <w:szCs w:val="20"/>
        </w:rPr>
        <w:t>R v Volpe</w:t>
      </w:r>
      <w:r>
        <w:rPr>
          <w:rFonts w:ascii="Arial" w:hAnsi="Arial" w:cs="Arial"/>
          <w:color w:val="000000"/>
          <w:sz w:val="20"/>
          <w:szCs w:val="20"/>
        </w:rPr>
        <w:t xml:space="preserve"> [2021] VSC 353,</w:t>
      </w:r>
      <w:r w:rsidRPr="00B32E52">
        <w:rPr>
          <w:rFonts w:ascii="Arial" w:hAnsi="Arial" w:cs="Arial"/>
          <w:color w:val="000000"/>
          <w:sz w:val="20"/>
          <w:szCs w:val="20"/>
        </w:rPr>
        <w:t xml:space="preserve"> </w:t>
      </w:r>
      <w:r w:rsidRPr="00D050B3">
        <w:rPr>
          <w:rFonts w:ascii="Arial" w:hAnsi="Arial" w:cs="Arial"/>
          <w:i/>
          <w:iCs/>
          <w:color w:val="000000"/>
          <w:sz w:val="20"/>
          <w:szCs w:val="20"/>
        </w:rPr>
        <w:t>DPP v Hocking</w:t>
      </w:r>
      <w:r>
        <w:rPr>
          <w:rFonts w:ascii="Arial" w:hAnsi="Arial" w:cs="Arial"/>
          <w:color w:val="000000"/>
          <w:sz w:val="20"/>
          <w:szCs w:val="20"/>
        </w:rPr>
        <w:t xml:space="preserve"> [2022] VSC 608,</w:t>
      </w:r>
      <w:r w:rsidRPr="00B32E52">
        <w:rPr>
          <w:rFonts w:ascii="Arial" w:hAnsi="Arial" w:cs="Arial"/>
          <w:color w:val="000000"/>
          <w:sz w:val="20"/>
          <w:szCs w:val="20"/>
        </w:rPr>
        <w:t xml:space="preserve"> </w:t>
      </w:r>
      <w:r w:rsidRPr="00D050B3">
        <w:rPr>
          <w:rFonts w:ascii="Arial" w:hAnsi="Arial" w:cs="Arial"/>
          <w:i/>
          <w:iCs/>
          <w:color w:val="000000"/>
          <w:sz w:val="20"/>
          <w:szCs w:val="20"/>
        </w:rPr>
        <w:t>DPP v Yasmin</w:t>
      </w:r>
      <w:r>
        <w:rPr>
          <w:rFonts w:ascii="Arial" w:hAnsi="Arial" w:cs="Arial"/>
          <w:color w:val="000000"/>
          <w:sz w:val="20"/>
          <w:szCs w:val="20"/>
        </w:rPr>
        <w:t xml:space="preserve"> [2021] VSC 780</w:t>
      </w:r>
      <w:r w:rsidRPr="00B32E52">
        <w:rPr>
          <w:rFonts w:ascii="Arial" w:hAnsi="Arial" w:cs="Arial"/>
          <w:color w:val="000000"/>
          <w:sz w:val="20"/>
          <w:szCs w:val="20"/>
        </w:rPr>
        <w:t xml:space="preserve"> and </w:t>
      </w:r>
      <w:r w:rsidRPr="00D050B3">
        <w:rPr>
          <w:rFonts w:ascii="Arial" w:hAnsi="Arial" w:cs="Arial"/>
          <w:i/>
          <w:iCs/>
          <w:color w:val="000000"/>
          <w:sz w:val="20"/>
          <w:szCs w:val="20"/>
        </w:rPr>
        <w:t>DPP v Harrison</w:t>
      </w:r>
      <w:r>
        <w:rPr>
          <w:rFonts w:ascii="Arial" w:hAnsi="Arial" w:cs="Arial"/>
          <w:i/>
          <w:iCs/>
          <w:color w:val="000000"/>
          <w:sz w:val="20"/>
          <w:szCs w:val="20"/>
        </w:rPr>
        <w:t xml:space="preserve"> </w:t>
      </w:r>
      <w:r w:rsidRPr="00D050B3">
        <w:rPr>
          <w:rFonts w:ascii="Arial" w:hAnsi="Arial" w:cs="Arial"/>
          <w:color w:val="000000"/>
          <w:sz w:val="20"/>
          <w:szCs w:val="20"/>
        </w:rPr>
        <w:t>[2021] VSC 601</w:t>
      </w:r>
      <w:r w:rsidRPr="00B32E52">
        <w:rPr>
          <w:rFonts w:ascii="Arial" w:hAnsi="Arial" w:cs="Arial"/>
          <w:color w:val="000000"/>
          <w:sz w:val="20"/>
          <w:szCs w:val="20"/>
        </w:rPr>
        <w:t xml:space="preserve">. I have also been assisted by the sentencing decisions to which your counsel has referred me, namely, </w:t>
      </w:r>
      <w:r w:rsidRPr="00D050B3">
        <w:rPr>
          <w:rFonts w:ascii="Arial" w:hAnsi="Arial" w:cs="Arial"/>
          <w:i/>
          <w:iCs/>
          <w:color w:val="000000"/>
          <w:sz w:val="20"/>
          <w:szCs w:val="20"/>
        </w:rPr>
        <w:t>R v Garrard</w:t>
      </w:r>
      <w:r w:rsidRPr="00B32E52">
        <w:rPr>
          <w:rFonts w:ascii="Arial" w:hAnsi="Arial" w:cs="Arial"/>
          <w:color w:val="000000"/>
          <w:sz w:val="20"/>
          <w:szCs w:val="20"/>
        </w:rPr>
        <w:t xml:space="preserve"> </w:t>
      </w:r>
      <w:r>
        <w:rPr>
          <w:rFonts w:ascii="Arial" w:hAnsi="Arial" w:cs="Arial"/>
          <w:color w:val="000000"/>
          <w:sz w:val="20"/>
          <w:szCs w:val="20"/>
        </w:rPr>
        <w:t>[2021] VSC 154,</w:t>
      </w:r>
      <w:r w:rsidRPr="00B32E52">
        <w:rPr>
          <w:rFonts w:ascii="Arial" w:hAnsi="Arial" w:cs="Arial"/>
          <w:color w:val="000000"/>
          <w:sz w:val="20"/>
          <w:szCs w:val="20"/>
        </w:rPr>
        <w:t xml:space="preserve"> </w:t>
      </w:r>
      <w:r w:rsidRPr="00D050B3">
        <w:rPr>
          <w:rFonts w:ascii="Arial" w:hAnsi="Arial" w:cs="Arial"/>
          <w:i/>
          <w:iCs/>
          <w:color w:val="000000"/>
          <w:sz w:val="20"/>
          <w:szCs w:val="20"/>
        </w:rPr>
        <w:t>R v Oakley</w:t>
      </w:r>
      <w:r>
        <w:rPr>
          <w:rFonts w:ascii="Arial" w:hAnsi="Arial" w:cs="Arial"/>
          <w:color w:val="000000"/>
          <w:sz w:val="20"/>
          <w:szCs w:val="20"/>
        </w:rPr>
        <w:t xml:space="preserve"> [2021] VSC 430,</w:t>
      </w:r>
      <w:r w:rsidRPr="00B32E52">
        <w:rPr>
          <w:rFonts w:ascii="Arial" w:hAnsi="Arial" w:cs="Arial"/>
          <w:color w:val="000000"/>
          <w:sz w:val="20"/>
          <w:szCs w:val="20"/>
        </w:rPr>
        <w:t xml:space="preserve"> </w:t>
      </w:r>
      <w:r w:rsidRPr="00D050B3">
        <w:rPr>
          <w:rFonts w:ascii="Arial" w:hAnsi="Arial" w:cs="Arial"/>
          <w:i/>
          <w:iCs/>
          <w:color w:val="000000"/>
          <w:sz w:val="20"/>
          <w:szCs w:val="20"/>
        </w:rPr>
        <w:t>DPP v Manuel</w:t>
      </w:r>
      <w:r w:rsidR="00261F55">
        <w:rPr>
          <w:rFonts w:ascii="Arial" w:hAnsi="Arial" w:cs="Arial"/>
          <w:color w:val="000000"/>
          <w:sz w:val="20"/>
          <w:szCs w:val="20"/>
        </w:rPr>
        <w:t xml:space="preserve"> [2021] VSC 568,</w:t>
      </w:r>
      <w:r w:rsidRPr="00B32E52">
        <w:rPr>
          <w:rFonts w:ascii="Arial" w:hAnsi="Arial" w:cs="Arial"/>
          <w:color w:val="000000"/>
          <w:sz w:val="20"/>
          <w:szCs w:val="20"/>
        </w:rPr>
        <w:t xml:space="preserve"> </w:t>
      </w:r>
      <w:r w:rsidRPr="00D050B3">
        <w:rPr>
          <w:rFonts w:ascii="Arial" w:hAnsi="Arial" w:cs="Arial"/>
          <w:i/>
          <w:iCs/>
          <w:color w:val="000000"/>
          <w:sz w:val="20"/>
          <w:szCs w:val="20"/>
        </w:rPr>
        <w:t>R</w:t>
      </w:r>
      <w:r w:rsidR="00261F55">
        <w:rPr>
          <w:rFonts w:ascii="Arial" w:hAnsi="Arial" w:cs="Arial"/>
          <w:sz w:val="20"/>
          <w:szCs w:val="20"/>
        </w:rPr>
        <w:t> </w:t>
      </w:r>
      <w:r w:rsidRPr="00D050B3">
        <w:rPr>
          <w:rFonts w:ascii="Arial" w:hAnsi="Arial" w:cs="Arial"/>
          <w:i/>
          <w:iCs/>
          <w:color w:val="000000"/>
          <w:sz w:val="20"/>
          <w:szCs w:val="20"/>
        </w:rPr>
        <w:t>v Smart</w:t>
      </w:r>
      <w:r w:rsidRPr="00B32E52">
        <w:rPr>
          <w:rFonts w:ascii="Arial" w:hAnsi="Arial" w:cs="Arial"/>
          <w:color w:val="000000"/>
          <w:sz w:val="20"/>
          <w:szCs w:val="20"/>
        </w:rPr>
        <w:t xml:space="preserve"> </w:t>
      </w:r>
      <w:r w:rsidRPr="00D050B3">
        <w:rPr>
          <w:rFonts w:ascii="Arial" w:hAnsi="Arial" w:cs="Arial"/>
          <w:i/>
          <w:iCs/>
          <w:color w:val="000000"/>
          <w:sz w:val="20"/>
          <w:szCs w:val="20"/>
        </w:rPr>
        <w:t>&amp; Ors</w:t>
      </w:r>
      <w:r w:rsidRPr="00B32E52">
        <w:rPr>
          <w:rFonts w:ascii="Arial" w:hAnsi="Arial" w:cs="Arial"/>
          <w:color w:val="000000"/>
          <w:sz w:val="20"/>
          <w:szCs w:val="20"/>
        </w:rPr>
        <w:t xml:space="preserve"> </w:t>
      </w:r>
      <w:r w:rsidR="00261F55">
        <w:rPr>
          <w:rFonts w:ascii="Arial" w:hAnsi="Arial" w:cs="Arial"/>
          <w:color w:val="000000"/>
          <w:sz w:val="20"/>
          <w:szCs w:val="20"/>
        </w:rPr>
        <w:t xml:space="preserve">[2023] VSC 469 </w:t>
      </w:r>
      <w:r w:rsidRPr="00B32E52">
        <w:rPr>
          <w:rFonts w:ascii="Arial" w:hAnsi="Arial" w:cs="Arial"/>
          <w:color w:val="000000"/>
          <w:sz w:val="20"/>
          <w:szCs w:val="20"/>
        </w:rPr>
        <w:t xml:space="preserve">and </w:t>
      </w:r>
      <w:r w:rsidRPr="00D050B3">
        <w:rPr>
          <w:rFonts w:ascii="Arial" w:hAnsi="Arial" w:cs="Arial"/>
          <w:i/>
          <w:iCs/>
          <w:color w:val="000000"/>
          <w:sz w:val="20"/>
          <w:szCs w:val="20"/>
        </w:rPr>
        <w:t>DPP v Clifford</w:t>
      </w:r>
      <w:r w:rsidR="00261F55">
        <w:rPr>
          <w:rFonts w:ascii="Arial" w:hAnsi="Arial" w:cs="Arial"/>
          <w:color w:val="000000"/>
          <w:sz w:val="20"/>
          <w:szCs w:val="20"/>
        </w:rPr>
        <w:t xml:space="preserve"> [2025] VSC 199.</w:t>
      </w:r>
    </w:p>
    <w:p w14:paraId="50E9CF88" w14:textId="2C5A2BD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[77] </w:t>
      </w:r>
      <w:r w:rsidRPr="00B32E52">
        <w:rPr>
          <w:rFonts w:ascii="Arial" w:hAnsi="Arial" w:cs="Arial"/>
          <w:color w:val="000000"/>
          <w:sz w:val="20"/>
          <w:szCs w:val="20"/>
        </w:rPr>
        <w:t>In considering those decisions, I bear in mind that, for any criminal offence, the range of factors, relating to the offending itself, and to the circumstances of the offender, necessarily vary significantly, so it is never a straightforward task to identify the appropriate range of sentence. Nevertheless, the decisions, to which I have been referred, have, in a broad sense, assisted to indicate the current sentencing practices that are relevant in respect of the offence of manslaughter, committed by you. As the High Court has emphasised, it is important to keep in mind that current sentencing practices are but one factor, out of many, which are relevant to be taken into account in the determination of your sentence</w:t>
      </w:r>
      <w:r>
        <w:rPr>
          <w:rFonts w:ascii="Arial" w:hAnsi="Arial" w:cs="Arial"/>
          <w:color w:val="000000"/>
          <w:sz w:val="20"/>
          <w:szCs w:val="20"/>
        </w:rPr>
        <w:t xml:space="preserve">: </w:t>
      </w:r>
      <w:r w:rsidRPr="00D050B3">
        <w:rPr>
          <w:rFonts w:ascii="Arial" w:hAnsi="Arial" w:cs="Arial"/>
          <w:i/>
          <w:iCs/>
          <w:color w:val="000000"/>
          <w:sz w:val="20"/>
          <w:szCs w:val="20"/>
        </w:rPr>
        <w:t>DPP (Vic) v Dalgliesh (a pseudonym)</w:t>
      </w:r>
      <w:r w:rsidRPr="00B32E52">
        <w:rPr>
          <w:rFonts w:ascii="Arial" w:hAnsi="Arial" w:cs="Arial"/>
          <w:color w:val="000000"/>
          <w:sz w:val="20"/>
          <w:szCs w:val="20"/>
        </w:rPr>
        <w:t xml:space="preserve"> (2017) 262 CLR 428, 434 [5]–[9] </w:t>
      </w:r>
      <w:r>
        <w:rPr>
          <w:rFonts w:ascii="Arial" w:hAnsi="Arial" w:cs="Arial"/>
          <w:color w:val="000000"/>
          <w:sz w:val="20"/>
          <w:szCs w:val="20"/>
        </w:rPr>
        <w:t xml:space="preserve">&amp; </w:t>
      </w:r>
      <w:r w:rsidRPr="00B32E52">
        <w:rPr>
          <w:rFonts w:ascii="Arial" w:hAnsi="Arial" w:cs="Arial"/>
          <w:color w:val="000000"/>
          <w:sz w:val="20"/>
          <w:szCs w:val="20"/>
        </w:rPr>
        <w:t>453–4 [82].</w:t>
      </w:r>
    </w:p>
    <w:p w14:paraId="151C7851" w14:textId="6BBD14F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[78] </w:t>
      </w:r>
      <w:r w:rsidRPr="00B32E52">
        <w:rPr>
          <w:rFonts w:ascii="Arial" w:hAnsi="Arial" w:cs="Arial"/>
          <w:color w:val="000000"/>
          <w:sz w:val="20"/>
          <w:szCs w:val="20"/>
        </w:rPr>
        <w:t>The principles, that apply to the determination of your sentence, are well established. It is necessary that the sentences, that I impose on you, be sufficient to express the condemnation by the Court, and the community, of your violent offending, and, in the case of the offence of manslaughter, to vindicate the value of the life of each individual member of our community</w:t>
      </w:r>
      <w:r>
        <w:rPr>
          <w:rFonts w:ascii="Arial" w:hAnsi="Arial" w:cs="Arial"/>
          <w:color w:val="000000"/>
          <w:sz w:val="20"/>
          <w:szCs w:val="20"/>
        </w:rPr>
        <w:t>.</w:t>
      </w:r>
    </w:p>
    <w:p w14:paraId="309A2C26" w14:textId="2747D0D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[79] </w:t>
      </w:r>
      <w:r w:rsidRPr="00B32E52">
        <w:rPr>
          <w:rFonts w:ascii="Arial" w:hAnsi="Arial" w:cs="Arial"/>
          <w:color w:val="000000"/>
          <w:sz w:val="20"/>
          <w:szCs w:val="20"/>
        </w:rPr>
        <w:t>In addition, the sentences must be sufficiently severe to constitute a general deterrent, by sending a clear message to any person, who might be minded to engage in violent conduct of the kind resorted to by you in each of the two offences, that such conduct</w:t>
      </w:r>
      <w:r>
        <w:rPr>
          <w:rFonts w:ascii="Arial" w:hAnsi="Arial" w:cs="Arial"/>
          <w:color w:val="000000"/>
          <w:sz w:val="20"/>
          <w:szCs w:val="20"/>
        </w:rPr>
        <w:t xml:space="preserve"> </w:t>
      </w:r>
      <w:r w:rsidRPr="00B32E52">
        <w:rPr>
          <w:rFonts w:ascii="Arial" w:hAnsi="Arial" w:cs="Arial"/>
          <w:color w:val="000000"/>
          <w:sz w:val="20"/>
          <w:szCs w:val="20"/>
        </w:rPr>
        <w:t>will be met with a stern sentence, involving the deprivation of the offender’s right to remain at liberty within our society for a significant period of time.</w:t>
      </w:r>
    </w:p>
    <w:p w14:paraId="65261F71" w14:textId="4C109598"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[80] </w:t>
      </w:r>
      <w:r w:rsidRPr="00B32E52">
        <w:rPr>
          <w:rFonts w:ascii="Arial" w:hAnsi="Arial" w:cs="Arial"/>
          <w:color w:val="000000"/>
          <w:sz w:val="20"/>
          <w:szCs w:val="20"/>
        </w:rPr>
        <w:t>The purpose of general deterrence is of particular relevance in the present case, given the proliferation of cases, which have come before the courts in recent times, involving the indiscriminate use of knives, and other such weapons, by young persons to commit serious criminal offences in our society. Such persons must understand that, upon apprehension and being brought before the Court, their offending will be met with stern sentences, involving a significant deprivation of their liberty.</w:t>
      </w:r>
    </w:p>
    <w:p w14:paraId="656D8E48" w14:textId="18FB9811"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[81] </w:t>
      </w:r>
      <w:r w:rsidRPr="00B32E52">
        <w:rPr>
          <w:rFonts w:ascii="Arial" w:hAnsi="Arial" w:cs="Arial"/>
          <w:color w:val="000000"/>
          <w:sz w:val="20"/>
          <w:szCs w:val="20"/>
        </w:rPr>
        <w:t>In addition, it is important that the sentence, that I impose on you, is sufficient to ensure that you yourself understand that any further conduct, of the kind to which you resorted in each of the two offences in this case, will be met with severe consequences to you.</w:t>
      </w:r>
    </w:p>
    <w:p w14:paraId="77113BBE" w14:textId="1E82AF5E" w:rsidR="00D050B3" w:rsidRPr="00F86035"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[82] </w:t>
      </w:r>
      <w:r w:rsidRPr="00B32E52">
        <w:rPr>
          <w:rFonts w:ascii="Arial" w:hAnsi="Arial" w:cs="Arial"/>
          <w:color w:val="000000"/>
          <w:sz w:val="20"/>
          <w:szCs w:val="20"/>
        </w:rPr>
        <w:t>The two offences, for which you are to be sentenced, are separate offences. Nevertheless, the requirement, that the total effective sentence not exceed that which is appropriate in the circumstances, has the effect that there should be a reasonably substantial degree</w:t>
      </w:r>
      <w:r>
        <w:rPr>
          <w:rFonts w:ascii="Arial" w:hAnsi="Arial" w:cs="Arial"/>
          <w:color w:val="000000"/>
          <w:sz w:val="20"/>
          <w:szCs w:val="20"/>
        </w:rPr>
        <w:t xml:space="preserve"> of concurrency between the sentences imposed on each of the two charges. Furthermore, in the interests of the community, it is important that there be a sufficient potential period of parole available to you to enable your successful rehabilitation into the community while you are subject to supervision.”</w:t>
      </w:r>
    </w:p>
    <w:p w14:paraId="007BB346" w14:textId="77777777" w:rsidR="00B32E52" w:rsidRDefault="00B32E52">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w:t>
      </w:r>
      <w:r w:rsidR="00025736">
        <w:rPr>
          <w:rFonts w:ascii="Arial" w:hAnsi="Arial" w:cs="Arial"/>
          <w:color w:val="000000"/>
          <w:sz w:val="20"/>
          <w:szCs w:val="20"/>
        </w:rPr>
        <w:lastRenderedPageBreak/>
        <w:t>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81A6A">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 xml:space="preserve">and to focus on </w:t>
      </w:r>
      <w:r w:rsidRPr="00C74066">
        <w:rPr>
          <w:rFonts w:ascii="Arial" w:hAnsi="Arial" w:cs="Arial"/>
          <w:sz w:val="20"/>
          <w:szCs w:val="20"/>
        </w:rPr>
        <w:lastRenderedPageBreak/>
        <w:t>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69E5EE48"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57BBB7FF" w14:textId="36E4DC90" w:rsidR="00B11515" w:rsidRDefault="00620A37">
      <w:pPr>
        <w:jc w:val="both"/>
        <w:rPr>
          <w:rFonts w:ascii="Arial" w:hAnsi="Arial" w:cs="Arial"/>
          <w:sz w:val="20"/>
          <w:szCs w:val="20"/>
        </w:rPr>
      </w:pPr>
      <w:bookmarkStart w:id="647" w:name="_Hlk190159097"/>
      <w:r>
        <w:rPr>
          <w:rFonts w:ascii="Arial" w:hAnsi="Arial" w:cs="Arial"/>
          <w:sz w:val="20"/>
          <w:szCs w:val="20"/>
        </w:rPr>
        <w:t xml:space="preserve">In </w:t>
      </w:r>
      <w:r w:rsidRPr="006A4A17">
        <w:rPr>
          <w:rFonts w:ascii="Arial" w:hAnsi="Arial" w:cs="Arial"/>
          <w:i/>
          <w:iCs/>
          <w:sz w:val="20"/>
          <w:szCs w:val="20"/>
        </w:rPr>
        <w:t>DPP v ZZ</w:t>
      </w:r>
      <w:r>
        <w:rPr>
          <w:rFonts w:ascii="Arial" w:hAnsi="Arial" w:cs="Arial"/>
          <w:sz w:val="20"/>
          <w:szCs w:val="20"/>
        </w:rPr>
        <w:t xml:space="preserve"> [2024] VSC 762 a 15 year old offender ZZ had pleaded guilty to manslaughter by stabbing in the course of a group attack on a 20 year old member</w:t>
      </w:r>
      <w:r w:rsidR="00B87485">
        <w:rPr>
          <w:rFonts w:ascii="Arial" w:hAnsi="Arial" w:cs="Arial"/>
          <w:sz w:val="20"/>
          <w:szCs w:val="20"/>
        </w:rPr>
        <w:t xml:space="preserve"> [H]</w:t>
      </w:r>
      <w:r>
        <w:rPr>
          <w:rFonts w:ascii="Arial" w:hAnsi="Arial" w:cs="Arial"/>
          <w:sz w:val="20"/>
          <w:szCs w:val="20"/>
        </w:rPr>
        <w:t xml:space="preserve"> of a rival gang at the St Kilda foreshore. ZZ had subsequent </w:t>
      </w:r>
      <w:r w:rsidR="00B87485">
        <w:rPr>
          <w:rFonts w:ascii="Arial" w:hAnsi="Arial" w:cs="Arial"/>
          <w:sz w:val="20"/>
          <w:szCs w:val="20"/>
        </w:rPr>
        <w:t xml:space="preserve">Children’s Court </w:t>
      </w:r>
      <w:r>
        <w:rPr>
          <w:rFonts w:ascii="Arial" w:hAnsi="Arial" w:cs="Arial"/>
          <w:sz w:val="20"/>
          <w:szCs w:val="20"/>
        </w:rPr>
        <w:t xml:space="preserve">convictions for which he was close to completing a sentence of 2y detention in a YJC. </w:t>
      </w:r>
      <w:r w:rsidR="00B11515">
        <w:rPr>
          <w:rFonts w:ascii="Arial" w:hAnsi="Arial" w:cs="Arial"/>
          <w:sz w:val="20"/>
          <w:szCs w:val="20"/>
        </w:rPr>
        <w:t>In relation to the high objective gravity of ZZ’s offending, Jane Dixon J said at [31]</w:t>
      </w:r>
      <w:r w:rsidR="00B11515">
        <w:rPr>
          <w:rFonts w:ascii="Arial" w:hAnsi="Arial" w:cs="Arial"/>
          <w:sz w:val="20"/>
          <w:szCs w:val="20"/>
        </w:rPr>
        <w:noBreakHyphen/>
        <w:t>[3</w:t>
      </w:r>
      <w:r w:rsidR="00DD12D5">
        <w:rPr>
          <w:rFonts w:ascii="Arial" w:hAnsi="Arial" w:cs="Arial"/>
          <w:sz w:val="20"/>
          <w:szCs w:val="20"/>
        </w:rPr>
        <w:t>4</w:t>
      </w:r>
      <w:r w:rsidR="00B11515">
        <w:rPr>
          <w:rFonts w:ascii="Arial" w:hAnsi="Arial" w:cs="Arial"/>
          <w:sz w:val="20"/>
          <w:szCs w:val="20"/>
        </w:rPr>
        <w:t>]:</w:t>
      </w:r>
    </w:p>
    <w:p w14:paraId="33A001AB" w14:textId="66D968C6" w:rsidR="00B11515" w:rsidRDefault="00B11515" w:rsidP="00B11515">
      <w:pPr>
        <w:spacing w:before="60"/>
        <w:ind w:left="567" w:right="567"/>
        <w:jc w:val="both"/>
        <w:rPr>
          <w:rFonts w:ascii="Arial" w:hAnsi="Arial" w:cs="Arial"/>
          <w:sz w:val="20"/>
          <w:szCs w:val="20"/>
        </w:rPr>
      </w:pPr>
      <w:r>
        <w:rPr>
          <w:rFonts w:ascii="Arial" w:hAnsi="Arial" w:cs="Arial"/>
          <w:sz w:val="20"/>
          <w:szCs w:val="20"/>
        </w:rPr>
        <w:t>[31] “</w:t>
      </w:r>
      <w:r w:rsidRPr="00B11515">
        <w:rPr>
          <w:rFonts w:ascii="Arial" w:hAnsi="Arial" w:cs="Arial"/>
          <w:sz w:val="20"/>
          <w:szCs w:val="20"/>
        </w:rPr>
        <w:t>The following matters were relied on by the Crown as markers of the high objective gravity of your crime:</w:t>
      </w:r>
    </w:p>
    <w:p w14:paraId="263C7490" w14:textId="277A164D"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B11515">
        <w:rPr>
          <w:rFonts w:ascii="Arial" w:hAnsi="Arial" w:cs="Arial"/>
          <w:sz w:val="20"/>
          <w:szCs w:val="20"/>
        </w:rPr>
        <w:t>The brazenness of the offending occurring during daylight hours in a densely populated seaside area, exposing many members of the public to horrific violence;</w:t>
      </w:r>
    </w:p>
    <w:p w14:paraId="2D2D9993" w14:textId="5E95D984"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B11515">
        <w:rPr>
          <w:rFonts w:ascii="Arial" w:hAnsi="Arial" w:cs="Arial"/>
          <w:sz w:val="20"/>
          <w:szCs w:val="20"/>
        </w:rPr>
        <w:t>The use of knives, including your decision to carry a knife while attending the St Kilda foreshore, in company with others who also were carrying knives, and your resort to using your weapon;</w:t>
      </w:r>
    </w:p>
    <w:p w14:paraId="1D5A324B" w14:textId="2D14283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B11515">
        <w:rPr>
          <w:rFonts w:ascii="Arial" w:hAnsi="Arial" w:cs="Arial"/>
          <w:sz w:val="20"/>
          <w:szCs w:val="20"/>
        </w:rPr>
        <w:t>The offending occurring in company;</w:t>
      </w:r>
    </w:p>
    <w:p w14:paraId="0FE01176" w14:textId="2F846DD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B11515">
        <w:rPr>
          <w:rFonts w:ascii="Arial" w:hAnsi="Arial" w:cs="Arial"/>
          <w:sz w:val="20"/>
          <w:szCs w:val="20"/>
        </w:rPr>
        <w:t>The victim being attacked while he was defenceless on the ground and while outnumbered by members of your group, as well as being unarmed and not one of the initial aggressors from Group 1;</w:t>
      </w:r>
    </w:p>
    <w:p w14:paraId="2492048B" w14:textId="506C2526"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B11515">
        <w:rPr>
          <w:rFonts w:ascii="Arial" w:hAnsi="Arial" w:cs="Arial"/>
          <w:sz w:val="20"/>
          <w:szCs w:val="20"/>
        </w:rPr>
        <w:t>The return of you and your group to the scene soon after the stabbing, with verbal abuse and spitting, which further terrified members of the public and showed disregard for the victim as he lay dying;</w:t>
      </w:r>
    </w:p>
    <w:p w14:paraId="4939B20D" w14:textId="1ABCC07E"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B11515">
        <w:rPr>
          <w:rFonts w:ascii="Arial" w:hAnsi="Arial" w:cs="Arial"/>
          <w:sz w:val="20"/>
          <w:szCs w:val="20"/>
        </w:rPr>
        <w:t>The post-offending pursuit of the lone male afterwards</w:t>
      </w:r>
      <w:r>
        <w:rPr>
          <w:rFonts w:ascii="Arial" w:hAnsi="Arial" w:cs="Arial"/>
          <w:sz w:val="20"/>
          <w:szCs w:val="20"/>
        </w:rPr>
        <w:t>, a 16 year old New Zealander; and</w:t>
      </w:r>
    </w:p>
    <w:p w14:paraId="058CD622" w14:textId="10DD67AA"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B11515">
        <w:rPr>
          <w:rFonts w:ascii="Arial" w:hAnsi="Arial" w:cs="Arial"/>
          <w:sz w:val="20"/>
          <w:szCs w:val="20"/>
        </w:rPr>
        <w:t>Your lies to police about your previous whereabouts when speaking to police after the offending, showing a continuing defiant attitude.</w:t>
      </w:r>
    </w:p>
    <w:p w14:paraId="1B8B88FB" w14:textId="6E0570A3" w:rsidR="00B11515" w:rsidRDefault="00E32504" w:rsidP="00E32504">
      <w:pPr>
        <w:tabs>
          <w:tab w:val="left" w:pos="357"/>
        </w:tabs>
        <w:spacing w:before="60"/>
        <w:ind w:left="567" w:right="567"/>
        <w:jc w:val="both"/>
        <w:rPr>
          <w:rFonts w:ascii="Arial" w:hAnsi="Arial" w:cs="Arial"/>
          <w:sz w:val="20"/>
          <w:szCs w:val="20"/>
        </w:rPr>
      </w:pPr>
      <w:r>
        <w:rPr>
          <w:rFonts w:ascii="Arial" w:hAnsi="Arial" w:cs="Arial"/>
          <w:sz w:val="20"/>
          <w:szCs w:val="20"/>
        </w:rPr>
        <w:t xml:space="preserve">[32] In </w:t>
      </w:r>
      <w:r w:rsidRPr="00B11515">
        <w:rPr>
          <w:rFonts w:ascii="Arial" w:hAnsi="Arial" w:cs="Arial"/>
          <w:sz w:val="20"/>
          <w:szCs w:val="20"/>
        </w:rPr>
        <w:t>considering these matters relied on by the Crown, I note that your behaviour following the commission of the crime, whilst contextually relevant is not part of the offence of manslaughter</w:t>
      </w:r>
      <w:r>
        <w:rPr>
          <w:rFonts w:ascii="Arial" w:hAnsi="Arial" w:cs="Arial"/>
          <w:sz w:val="20"/>
          <w:szCs w:val="20"/>
        </w:rPr>
        <w:t>: s</w:t>
      </w:r>
      <w:r w:rsidRPr="00E32504">
        <w:rPr>
          <w:rFonts w:ascii="Arial" w:hAnsi="Arial" w:cs="Arial"/>
          <w:sz w:val="20"/>
          <w:szCs w:val="20"/>
        </w:rPr>
        <w:t xml:space="preserve">ee, eg, </w:t>
      </w:r>
      <w:r w:rsidRPr="00E32504">
        <w:rPr>
          <w:rFonts w:ascii="Arial" w:hAnsi="Arial" w:cs="Arial"/>
          <w:i/>
          <w:iCs/>
          <w:sz w:val="20"/>
          <w:szCs w:val="20"/>
        </w:rPr>
        <w:t>R v De Simoni</w:t>
      </w:r>
      <w:r w:rsidRPr="00E32504">
        <w:rPr>
          <w:rFonts w:ascii="Arial" w:hAnsi="Arial" w:cs="Arial"/>
          <w:sz w:val="20"/>
          <w:szCs w:val="20"/>
        </w:rPr>
        <w:t xml:space="preserve"> (1981) 147 CLR 383; </w:t>
      </w:r>
      <w:r w:rsidRPr="00E32504">
        <w:rPr>
          <w:rFonts w:ascii="Arial" w:hAnsi="Arial" w:cs="Arial"/>
          <w:i/>
          <w:iCs/>
          <w:sz w:val="20"/>
          <w:szCs w:val="20"/>
        </w:rPr>
        <w:t>DPP v McMaster</w:t>
      </w:r>
      <w:r w:rsidRPr="00E32504">
        <w:rPr>
          <w:rFonts w:ascii="Arial" w:hAnsi="Arial" w:cs="Arial"/>
          <w:sz w:val="20"/>
          <w:szCs w:val="20"/>
        </w:rPr>
        <w:t xml:space="preserve"> (2008) 19 VR 191, 200; </w:t>
      </w:r>
      <w:r w:rsidRPr="00E32504">
        <w:rPr>
          <w:rFonts w:ascii="Arial" w:hAnsi="Arial" w:cs="Arial"/>
          <w:i/>
          <w:iCs/>
          <w:sz w:val="20"/>
          <w:szCs w:val="20"/>
        </w:rPr>
        <w:t>LN v R</w:t>
      </w:r>
      <w:r w:rsidRPr="00E32504">
        <w:rPr>
          <w:rFonts w:ascii="Arial" w:hAnsi="Arial" w:cs="Arial"/>
          <w:sz w:val="20"/>
          <w:szCs w:val="20"/>
        </w:rPr>
        <w:t xml:space="preserve"> [2020] NSWCCA 131, [40]–[41]; </w:t>
      </w:r>
      <w:r w:rsidRPr="00E32504">
        <w:rPr>
          <w:rFonts w:ascii="Arial" w:hAnsi="Arial" w:cs="Arial"/>
          <w:i/>
          <w:iCs/>
          <w:sz w:val="20"/>
          <w:szCs w:val="20"/>
        </w:rPr>
        <w:t>R v Nobile</w:t>
      </w:r>
      <w:r w:rsidRPr="00E32504">
        <w:rPr>
          <w:rFonts w:ascii="Arial" w:hAnsi="Arial" w:cs="Arial"/>
          <w:sz w:val="20"/>
          <w:szCs w:val="20"/>
        </w:rPr>
        <w:t xml:space="preserve"> [2006] VSCA 211, [8]; and the discussion in </w:t>
      </w:r>
      <w:r w:rsidRPr="00E32504">
        <w:rPr>
          <w:rFonts w:ascii="Arial" w:hAnsi="Arial" w:cs="Arial"/>
          <w:i/>
          <w:iCs/>
          <w:sz w:val="20"/>
          <w:szCs w:val="20"/>
        </w:rPr>
        <w:t>Jackson v The Queen</w:t>
      </w:r>
      <w:r w:rsidRPr="00E32504">
        <w:rPr>
          <w:rFonts w:ascii="Arial" w:hAnsi="Arial" w:cs="Arial"/>
          <w:sz w:val="20"/>
          <w:szCs w:val="20"/>
        </w:rPr>
        <w:t xml:space="preserve"> [2020] VSCA 95, [66]</w:t>
      </w:r>
      <w:r>
        <w:rPr>
          <w:rFonts w:ascii="Arial" w:hAnsi="Arial" w:cs="Arial"/>
          <w:sz w:val="20"/>
          <w:szCs w:val="20"/>
        </w:rPr>
        <w:t>; s</w:t>
      </w:r>
      <w:r w:rsidRPr="00E32504">
        <w:rPr>
          <w:rFonts w:ascii="Arial" w:hAnsi="Arial" w:cs="Arial"/>
          <w:sz w:val="20"/>
          <w:szCs w:val="20"/>
        </w:rPr>
        <w:t>ee also, eg, Judicial College of Victoria, Victorian Sentencing Manual (4th ed, 2023) 89–90 [5.2.8.5], 306 [21.3.2].</w:t>
      </w:r>
    </w:p>
    <w:p w14:paraId="7A8812D2" w14:textId="063B8A9F" w:rsidR="00E32504" w:rsidRDefault="00B87485" w:rsidP="00E32504">
      <w:p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I also take into account my assessment as to:</w:t>
      </w:r>
    </w:p>
    <w:p w14:paraId="4DBE362C" w14:textId="7132B3AE" w:rsidR="00B87485" w:rsidRDefault="00B87485" w:rsidP="00B87485">
      <w:pPr>
        <w:pStyle w:val="ListParagraph"/>
        <w:numPr>
          <w:ilvl w:val="0"/>
          <w:numId w:val="145"/>
        </w:num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The relatively spontaneous and un-premeditated nature in which the conflict erupted and in which </w:t>
      </w:r>
      <w:r>
        <w:rPr>
          <w:rFonts w:ascii="Arial" w:hAnsi="Arial" w:cs="Arial"/>
          <w:sz w:val="20"/>
          <w:szCs w:val="20"/>
        </w:rPr>
        <w:t>[H]</w:t>
      </w:r>
      <w:r w:rsidRPr="00B11515">
        <w:rPr>
          <w:rFonts w:ascii="Arial" w:hAnsi="Arial" w:cs="Arial"/>
          <w:sz w:val="20"/>
          <w:szCs w:val="20"/>
        </w:rPr>
        <w:t xml:space="preserve"> ultimately lost his life;</w:t>
      </w:r>
    </w:p>
    <w:p w14:paraId="4AADEE2C" w14:textId="77777777" w:rsidR="00B87485" w:rsidRPr="00B87485" w:rsidRDefault="00B87485" w:rsidP="00B87485">
      <w:pPr>
        <w:tabs>
          <w:tab w:val="left" w:pos="357"/>
        </w:tabs>
        <w:ind w:left="567" w:right="567"/>
        <w:jc w:val="both"/>
        <w:rPr>
          <w:rFonts w:ascii="Arial" w:hAnsi="Arial" w:cs="Arial"/>
          <w:sz w:val="6"/>
          <w:szCs w:val="6"/>
        </w:rPr>
      </w:pPr>
    </w:p>
    <w:p w14:paraId="529F0C81" w14:textId="1356E345" w:rsidR="00B87485" w:rsidRPr="00B87485" w:rsidRDefault="00B87485" w:rsidP="00B87485">
      <w:pPr>
        <w:pStyle w:val="ListParagraph"/>
        <w:numPr>
          <w:ilvl w:val="0"/>
          <w:numId w:val="145"/>
        </w:numPr>
        <w:tabs>
          <w:tab w:val="left" w:pos="357"/>
        </w:tabs>
        <w:ind w:left="924" w:right="567" w:hanging="357"/>
        <w:jc w:val="both"/>
        <w:rPr>
          <w:rFonts w:ascii="Arial" w:hAnsi="Arial" w:cs="Arial"/>
          <w:sz w:val="20"/>
          <w:szCs w:val="20"/>
        </w:rPr>
      </w:pPr>
      <w:r w:rsidRPr="00B11515">
        <w:rPr>
          <w:rFonts w:ascii="Arial" w:hAnsi="Arial" w:cs="Arial"/>
          <w:sz w:val="20"/>
          <w:szCs w:val="20"/>
        </w:rPr>
        <w:t>The fact that your Group of 7 males was confronted by a much larger group of 13 males, and that it was a member of Group 1 who first produced a knife.</w:t>
      </w:r>
    </w:p>
    <w:p w14:paraId="31516E7E" w14:textId="4118AAEB"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[33] </w:t>
      </w:r>
      <w:r w:rsidRPr="00B11515">
        <w:rPr>
          <w:rFonts w:ascii="Arial" w:hAnsi="Arial" w:cs="Arial"/>
          <w:sz w:val="20"/>
          <w:szCs w:val="20"/>
        </w:rPr>
        <w:t xml:space="preserve">However, these latter aspects provide only slight mitigation of objective gravity. In considering the appalling way in which </w:t>
      </w:r>
      <w:r>
        <w:rPr>
          <w:rFonts w:ascii="Arial" w:hAnsi="Arial" w:cs="Arial"/>
          <w:sz w:val="20"/>
          <w:szCs w:val="20"/>
        </w:rPr>
        <w:t>[H]</w:t>
      </w:r>
      <w:r w:rsidRPr="00B11515">
        <w:rPr>
          <w:rFonts w:ascii="Arial" w:hAnsi="Arial" w:cs="Arial"/>
          <w:sz w:val="20"/>
          <w:szCs w:val="20"/>
        </w:rPr>
        <w:t xml:space="preserve"> lost his life, I endorse the remarks of Taylor J in </w:t>
      </w:r>
      <w:r w:rsidRPr="00B87485">
        <w:rPr>
          <w:rFonts w:ascii="Arial" w:hAnsi="Arial" w:cs="Arial"/>
          <w:i/>
          <w:iCs/>
          <w:sz w:val="20"/>
          <w:szCs w:val="20"/>
        </w:rPr>
        <w:t>R v Tafa</w:t>
      </w:r>
      <w:r w:rsidR="006A4A17">
        <w:rPr>
          <w:rFonts w:ascii="Arial" w:hAnsi="Arial" w:cs="Arial"/>
          <w:sz w:val="20"/>
          <w:szCs w:val="20"/>
        </w:rPr>
        <w:t xml:space="preserve"> [2022] VSC 466 at [47]:</w:t>
      </w:r>
    </w:p>
    <w:p w14:paraId="09EA52C0" w14:textId="23D018CB" w:rsidR="00B87485" w:rsidRPr="006A4A17" w:rsidRDefault="006A4A17" w:rsidP="006A4A17">
      <w:pPr>
        <w:tabs>
          <w:tab w:val="left" w:pos="357"/>
        </w:tabs>
        <w:spacing w:before="60"/>
        <w:ind w:left="1361" w:right="1134"/>
        <w:jc w:val="both"/>
        <w:rPr>
          <w:rFonts w:ascii="Arial" w:hAnsi="Arial" w:cs="Arial"/>
          <w:sz w:val="18"/>
          <w:szCs w:val="18"/>
        </w:rPr>
      </w:pPr>
      <w:r w:rsidRPr="006A4A17">
        <w:rPr>
          <w:rFonts w:ascii="Arial" w:hAnsi="Arial" w:cs="Arial"/>
          <w:sz w:val="18"/>
          <w:szCs w:val="18"/>
        </w:rPr>
        <w:t>Bravery is not demonstrated nor is respect found in pack behaviour. Being a member of a gang masks cowardice. True courage is shown by stepping away from a group bent on unlawful, violent behaviour and indeed, by opposing it.</w:t>
      </w:r>
    </w:p>
    <w:p w14:paraId="2DA7656A" w14:textId="270CED19"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[34] The </w:t>
      </w:r>
      <w:r w:rsidRPr="00B11515">
        <w:rPr>
          <w:rFonts w:ascii="Arial" w:hAnsi="Arial" w:cs="Arial"/>
          <w:sz w:val="20"/>
          <w:szCs w:val="20"/>
        </w:rPr>
        <w:t>Crown submitted, and I accept, that despite your youth, general deterrence is an important sentencing purpose because of the frequency of youth knife crime and its corrosive effect on community safety, amplifying the need for courts to respond appropriately.</w:t>
      </w:r>
    </w:p>
    <w:p w14:paraId="77E139BE" w14:textId="2109A70D" w:rsidR="00620A37" w:rsidRDefault="00620A37" w:rsidP="006A4A17">
      <w:pPr>
        <w:spacing w:before="120"/>
        <w:jc w:val="both"/>
        <w:rPr>
          <w:rFonts w:ascii="Arial" w:hAnsi="Arial" w:cs="Arial"/>
          <w:sz w:val="20"/>
          <w:szCs w:val="20"/>
        </w:rPr>
      </w:pPr>
      <w:r>
        <w:rPr>
          <w:rFonts w:ascii="Arial" w:hAnsi="Arial" w:cs="Arial"/>
          <w:sz w:val="20"/>
          <w:szCs w:val="20"/>
        </w:rPr>
        <w:t>At [</w:t>
      </w:r>
      <w:r w:rsidR="00886454">
        <w:rPr>
          <w:rFonts w:ascii="Arial" w:hAnsi="Arial" w:cs="Arial"/>
          <w:sz w:val="20"/>
          <w:szCs w:val="20"/>
        </w:rPr>
        <w:t>77</w:t>
      </w:r>
      <w:r>
        <w:rPr>
          <w:rFonts w:ascii="Arial" w:hAnsi="Arial" w:cs="Arial"/>
          <w:sz w:val="20"/>
          <w:szCs w:val="20"/>
        </w:rPr>
        <w:t>]</w:t>
      </w:r>
      <w:r w:rsidR="00886454">
        <w:rPr>
          <w:rFonts w:ascii="Arial" w:hAnsi="Arial" w:cs="Arial"/>
          <w:sz w:val="20"/>
          <w:szCs w:val="20"/>
        </w:rPr>
        <w:t>-[8</w:t>
      </w:r>
      <w:r w:rsidR="00F679DE">
        <w:rPr>
          <w:rFonts w:ascii="Arial" w:hAnsi="Arial" w:cs="Arial"/>
          <w:sz w:val="20"/>
          <w:szCs w:val="20"/>
        </w:rPr>
        <w:t>2</w:t>
      </w:r>
      <w:r w:rsidR="00886454">
        <w:rPr>
          <w:rFonts w:ascii="Arial" w:hAnsi="Arial" w:cs="Arial"/>
          <w:sz w:val="20"/>
          <w:szCs w:val="20"/>
        </w:rPr>
        <w:t>]</w:t>
      </w:r>
      <w:r>
        <w:rPr>
          <w:rFonts w:ascii="Arial" w:hAnsi="Arial" w:cs="Arial"/>
          <w:sz w:val="20"/>
          <w:szCs w:val="20"/>
        </w:rPr>
        <w:t xml:space="preserve"> her Honour </w:t>
      </w:r>
      <w:r w:rsidR="006A4A17">
        <w:rPr>
          <w:rFonts w:ascii="Arial" w:hAnsi="Arial" w:cs="Arial"/>
          <w:sz w:val="20"/>
          <w:szCs w:val="20"/>
        </w:rPr>
        <w:t>sai</w:t>
      </w:r>
      <w:r>
        <w:rPr>
          <w:rFonts w:ascii="Arial" w:hAnsi="Arial" w:cs="Arial"/>
          <w:sz w:val="20"/>
          <w:szCs w:val="20"/>
        </w:rPr>
        <w:t xml:space="preserve">d: </w:t>
      </w:r>
    </w:p>
    <w:p w14:paraId="5A3AEA2D" w14:textId="6F01ED99" w:rsidR="00886454" w:rsidRDefault="00886454" w:rsidP="00886454">
      <w:pPr>
        <w:spacing w:before="60"/>
        <w:ind w:left="567" w:right="567"/>
        <w:jc w:val="both"/>
        <w:rPr>
          <w:rFonts w:ascii="Arial" w:hAnsi="Arial" w:cs="Arial"/>
          <w:sz w:val="20"/>
          <w:szCs w:val="20"/>
        </w:rPr>
      </w:pPr>
      <w:r>
        <w:rPr>
          <w:rFonts w:ascii="Arial" w:hAnsi="Arial" w:cs="Arial"/>
          <w:sz w:val="20"/>
          <w:szCs w:val="20"/>
        </w:rPr>
        <w:t xml:space="preserve">[77] “[The prosecutor] </w:t>
      </w:r>
      <w:r w:rsidRPr="00886454">
        <w:rPr>
          <w:rFonts w:ascii="Arial" w:hAnsi="Arial" w:cs="Arial"/>
          <w:sz w:val="20"/>
          <w:szCs w:val="20"/>
        </w:rPr>
        <w:t xml:space="preserve">conceded that youthfulness is relevant to an assessment of subjective culpability and to your rehabilitative prospects. She referred to the recent statements of principle of Hollingworth J in </w:t>
      </w:r>
      <w:r w:rsidRPr="00886454">
        <w:rPr>
          <w:rFonts w:ascii="Arial" w:hAnsi="Arial" w:cs="Arial"/>
          <w:i/>
          <w:iCs/>
          <w:sz w:val="20"/>
          <w:szCs w:val="20"/>
        </w:rPr>
        <w:t>DPP v JA &amp; Ors</w:t>
      </w:r>
      <w:r>
        <w:rPr>
          <w:rFonts w:ascii="Arial" w:hAnsi="Arial" w:cs="Arial"/>
          <w:i/>
          <w:iCs/>
          <w:sz w:val="20"/>
          <w:szCs w:val="20"/>
        </w:rPr>
        <w:t xml:space="preserve"> </w:t>
      </w:r>
      <w:r w:rsidRPr="00886454">
        <w:rPr>
          <w:rFonts w:ascii="Arial" w:hAnsi="Arial" w:cs="Arial"/>
          <w:sz w:val="20"/>
          <w:szCs w:val="20"/>
        </w:rPr>
        <w:t>[2023] VSC 531, [25]</w:t>
      </w:r>
      <w:r>
        <w:rPr>
          <w:rFonts w:ascii="Arial" w:hAnsi="Arial" w:cs="Arial"/>
          <w:sz w:val="20"/>
          <w:szCs w:val="20"/>
        </w:rPr>
        <w:t>-</w:t>
      </w:r>
      <w:r w:rsidRPr="00886454">
        <w:rPr>
          <w:rFonts w:ascii="Arial" w:hAnsi="Arial" w:cs="Arial"/>
          <w:sz w:val="20"/>
          <w:szCs w:val="20"/>
        </w:rPr>
        <w:t xml:space="preserve">[27], highlighting the delicate balance of factors to be weighed in cases such as yours. This </w:t>
      </w:r>
      <w:r w:rsidRPr="00886454">
        <w:rPr>
          <w:rFonts w:ascii="Arial" w:hAnsi="Arial" w:cs="Arial"/>
          <w:sz w:val="20"/>
          <w:szCs w:val="20"/>
        </w:rPr>
        <w:lastRenderedPageBreak/>
        <w:t>includes recognition that children are understood to be less mature, less able to form moral judgments or control their impulses, and less aware of the seriousness and consequences of their actions, so that youthful actions may be committed impulsively. The Court must consider the public benefit in rehabilitating a young offender whilst also giving weight to offence gravity, since the more serious the offending, the less weight that can be given to youthfulness as a factor in mitigation.</w:t>
      </w:r>
    </w:p>
    <w:p w14:paraId="28B63D3F" w14:textId="1D763D9A"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78</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 xml:space="preserve">[The prosecutor] </w:t>
      </w:r>
      <w:r w:rsidRPr="00886454">
        <w:rPr>
          <w:rFonts w:ascii="Arial" w:hAnsi="Arial" w:cs="Arial"/>
          <w:sz w:val="20"/>
          <w:szCs w:val="20"/>
        </w:rPr>
        <w:t>emphasised the importance of giving prominence to the nature and seriousness of your offence alongside consideration of your age, character and past history, in deciding if a YJC order is warranted</w:t>
      </w:r>
      <w:r>
        <w:rPr>
          <w:rFonts w:ascii="Arial" w:hAnsi="Arial" w:cs="Arial"/>
          <w:sz w:val="20"/>
          <w:szCs w:val="20"/>
        </w:rPr>
        <w:t xml:space="preserve">: </w:t>
      </w:r>
      <w:r w:rsidRPr="00886454">
        <w:rPr>
          <w:rFonts w:ascii="Arial" w:hAnsi="Arial" w:cs="Arial"/>
          <w:i/>
          <w:iCs/>
          <w:sz w:val="20"/>
          <w:szCs w:val="20"/>
        </w:rPr>
        <w:t>Sentencing Act 1991</w:t>
      </w:r>
      <w:r w:rsidRPr="00886454">
        <w:rPr>
          <w:rFonts w:ascii="Arial" w:hAnsi="Arial" w:cs="Arial"/>
          <w:sz w:val="20"/>
          <w:szCs w:val="20"/>
        </w:rPr>
        <w:t xml:space="preserve"> s 32(2).</w:t>
      </w:r>
    </w:p>
    <w:p w14:paraId="753B0EC9" w14:textId="2A1669A1"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79</w:t>
      </w:r>
      <w:r>
        <w:rPr>
          <w:rFonts w:ascii="Arial" w:hAnsi="Arial" w:cs="Arial"/>
          <w:sz w:val="20"/>
          <w:szCs w:val="20"/>
        </w:rPr>
        <w:t>]</w:t>
      </w:r>
      <w:r w:rsidRPr="00886454">
        <w:rPr>
          <w:rFonts w:ascii="Arial" w:hAnsi="Arial" w:cs="Arial"/>
          <w:sz w:val="20"/>
          <w:szCs w:val="20"/>
        </w:rPr>
        <w:t xml:space="preserve"> It was put by the Crown, and I accept, that your sentence should reflect denunciation and just punishment, as well as specific and general deterrence. Community protection was also submitted to be relevant because of the seriousness and public nature of the offence before the Court, grounded as it was in gang rivalry, and also in light of your other offending. In this regard it was also noted that when you were arrested in mid-December you were found in possession of a knife in circumstances where you had been involved in the crime before the Court only 11 days earlier.</w:t>
      </w:r>
    </w:p>
    <w:p w14:paraId="1EE6050F" w14:textId="5774C719" w:rsidR="00620A37"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80</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[The prosecutor]</w:t>
      </w:r>
      <w:r w:rsidRPr="00886454">
        <w:rPr>
          <w:rFonts w:ascii="Arial" w:hAnsi="Arial" w:cs="Arial"/>
          <w:sz w:val="20"/>
          <w:szCs w:val="20"/>
        </w:rPr>
        <w:t xml:space="preserve"> submitted that even if you meet the tests under s 32(1)(a) and/or (b) of the Act, your case does not overcome the need to show exceptional circumstances. You have, after all, accepted guilt of stabbing the deceased even though the Crown does not allege that you inflicted the fatal wound. Reliance was placed on the case of </w:t>
      </w:r>
      <w:r w:rsidRPr="00886454">
        <w:rPr>
          <w:rFonts w:ascii="Arial" w:hAnsi="Arial" w:cs="Arial"/>
          <w:i/>
          <w:iCs/>
          <w:sz w:val="20"/>
          <w:szCs w:val="20"/>
        </w:rPr>
        <w:t>Castillo (a pseudonym) v The King</w:t>
      </w:r>
      <w:r w:rsidRPr="00886454">
        <w:rPr>
          <w:rFonts w:ascii="Arial" w:hAnsi="Arial" w:cs="Arial"/>
          <w:sz w:val="20"/>
          <w:szCs w:val="20"/>
        </w:rPr>
        <w:t xml:space="preserve"> </w:t>
      </w:r>
      <w:r>
        <w:rPr>
          <w:rFonts w:ascii="Arial" w:hAnsi="Arial" w:cs="Arial"/>
          <w:sz w:val="20"/>
          <w:szCs w:val="20"/>
        </w:rPr>
        <w:t>[2023] VSCA 150</w:t>
      </w:r>
      <w:r w:rsidRPr="00886454">
        <w:rPr>
          <w:rFonts w:ascii="Arial" w:hAnsi="Arial" w:cs="Arial"/>
          <w:sz w:val="20"/>
          <w:szCs w:val="20"/>
        </w:rPr>
        <w:t xml:space="preserve">, and it was argued that the combined factors referred to by </w:t>
      </w:r>
      <w:r>
        <w:rPr>
          <w:rFonts w:ascii="Arial" w:hAnsi="Arial" w:cs="Arial"/>
          <w:sz w:val="20"/>
          <w:szCs w:val="20"/>
        </w:rPr>
        <w:t>[defence counsel]</w:t>
      </w:r>
      <w:r w:rsidRPr="00886454">
        <w:rPr>
          <w:rFonts w:ascii="Arial" w:hAnsi="Arial" w:cs="Arial"/>
          <w:sz w:val="20"/>
          <w:szCs w:val="20"/>
        </w:rPr>
        <w:t xml:space="preserve"> to invoke exceptional circumstances were routine, and not exceptional, individually or in combination. However, </w:t>
      </w:r>
      <w:r>
        <w:rPr>
          <w:rFonts w:ascii="Arial" w:hAnsi="Arial" w:cs="Arial"/>
          <w:sz w:val="20"/>
          <w:szCs w:val="20"/>
        </w:rPr>
        <w:t>[the prosecutor]</w:t>
      </w:r>
      <w:r w:rsidRPr="00886454">
        <w:rPr>
          <w:rFonts w:ascii="Arial" w:hAnsi="Arial" w:cs="Arial"/>
          <w:sz w:val="20"/>
          <w:szCs w:val="20"/>
        </w:rPr>
        <w:t xml:space="preserve"> allowed that if the Court were satisfied that exceptional circumstances were made out, then the prerequisite criteria for a YJC order would otherwise leave such a sentence open for the Court to impose. She also conceded that totality was a relevant consideration for the Court.</w:t>
      </w:r>
    </w:p>
    <w:p w14:paraId="376C056D" w14:textId="77777777" w:rsidR="006A4A17" w:rsidRDefault="006A4A17" w:rsidP="006A4A17">
      <w:pPr>
        <w:spacing w:before="60"/>
        <w:ind w:left="567" w:right="567"/>
        <w:jc w:val="both"/>
        <w:rPr>
          <w:rFonts w:ascii="Arial" w:hAnsi="Arial" w:cs="Arial"/>
          <w:sz w:val="20"/>
          <w:szCs w:val="20"/>
        </w:rPr>
      </w:pPr>
      <w:r>
        <w:rPr>
          <w:rFonts w:ascii="Arial" w:hAnsi="Arial" w:cs="Arial"/>
          <w:sz w:val="20"/>
          <w:szCs w:val="20"/>
        </w:rPr>
        <w:t xml:space="preserve">[81] </w:t>
      </w:r>
      <w:r w:rsidRPr="006A4A17">
        <w:rPr>
          <w:rFonts w:ascii="Arial" w:hAnsi="Arial" w:cs="Arial"/>
          <w:sz w:val="20"/>
          <w:szCs w:val="20"/>
        </w:rPr>
        <w:t>In considering each side’s submission on disposition, firstly, I make plain that based on the Newton Report and the Youth Justice report I find that both limbs of s 32(1) of the Act are met in your case, in terms of consideration of an order for YJC.53 I have also had regard to s 32(2), and note that although the nature of the offence is serious, you were only one of a number of young people embroiled in the incident and you are standing sentence for the most serious charge of all those involved. Whilst you have now been sentenced for a series of concerning offences committed prior to 4 December 2022, you had not been dealt with for those matters before being arrested for the current charge. Although the maximum available sentence of YJC is 4 years, that is still a lengthy sentence for a young person who went into youth detention at the age of 15 and who has been in custody for nearly two years and who is yet to commence serving a sentence for the current offence.</w:t>
      </w:r>
    </w:p>
    <w:p w14:paraId="0F714935" w14:textId="3C6270F4" w:rsidR="00B11515" w:rsidRDefault="006A4A17" w:rsidP="00F679DE">
      <w:pPr>
        <w:spacing w:before="60"/>
        <w:ind w:left="567" w:right="567"/>
        <w:jc w:val="both"/>
        <w:rPr>
          <w:rFonts w:ascii="Arial" w:hAnsi="Arial" w:cs="Arial"/>
          <w:sz w:val="20"/>
          <w:szCs w:val="20"/>
        </w:rPr>
      </w:pPr>
      <w:r>
        <w:rPr>
          <w:rFonts w:ascii="Arial" w:hAnsi="Arial" w:cs="Arial"/>
          <w:sz w:val="20"/>
          <w:szCs w:val="20"/>
        </w:rPr>
        <w:t>[</w:t>
      </w:r>
      <w:r w:rsidRPr="006A4A17">
        <w:rPr>
          <w:rFonts w:ascii="Arial" w:hAnsi="Arial" w:cs="Arial"/>
          <w:sz w:val="20"/>
          <w:szCs w:val="20"/>
        </w:rPr>
        <w:t>82</w:t>
      </w:r>
      <w:r>
        <w:rPr>
          <w:rFonts w:ascii="Arial" w:hAnsi="Arial" w:cs="Arial"/>
          <w:sz w:val="20"/>
          <w:szCs w:val="20"/>
        </w:rPr>
        <w:t>]</w:t>
      </w:r>
      <w:r w:rsidRPr="006A4A17">
        <w:rPr>
          <w:rFonts w:ascii="Arial" w:hAnsi="Arial" w:cs="Arial"/>
          <w:sz w:val="20"/>
          <w:szCs w:val="20"/>
        </w:rPr>
        <w:t xml:space="preserve"> Pursuant to s 32(2C) of the Act, I am also satisfied that </w:t>
      </w:r>
      <w:bookmarkStart w:id="648" w:name="_Hlk190160419"/>
      <w:r w:rsidRPr="006A4A17">
        <w:rPr>
          <w:rFonts w:ascii="Arial" w:hAnsi="Arial" w:cs="Arial"/>
          <w:sz w:val="20"/>
          <w:szCs w:val="20"/>
        </w:rPr>
        <w:t xml:space="preserve">exceptional circumstances </w:t>
      </w:r>
      <w:r w:rsidR="00547226">
        <w:rPr>
          <w:rFonts w:ascii="Arial" w:hAnsi="Arial" w:cs="Arial"/>
          <w:sz w:val="20"/>
          <w:szCs w:val="20"/>
        </w:rPr>
        <w:t xml:space="preserve">exist </w:t>
      </w:r>
      <w:r w:rsidR="00547226" w:rsidRPr="00547226">
        <w:rPr>
          <w:rFonts w:ascii="Arial" w:hAnsi="Arial" w:cs="Arial"/>
          <w:sz w:val="20"/>
          <w:szCs w:val="20"/>
        </w:rPr>
        <w:t>justifying the imposition of a YJC order</w:t>
      </w:r>
      <w:r w:rsidR="00547226">
        <w:rPr>
          <w:rFonts w:ascii="Arial" w:hAnsi="Arial" w:cs="Arial"/>
          <w:sz w:val="20"/>
          <w:szCs w:val="20"/>
        </w:rPr>
        <w:t>…”</w:t>
      </w:r>
      <w:bookmarkEnd w:id="648"/>
    </w:p>
    <w:p w14:paraId="145A4FF1" w14:textId="332A6F85" w:rsidR="00F679DE" w:rsidRDefault="00F679DE" w:rsidP="00F679DE">
      <w:pPr>
        <w:spacing w:before="120"/>
        <w:jc w:val="both"/>
        <w:rPr>
          <w:rFonts w:ascii="Arial" w:hAnsi="Arial" w:cs="Arial"/>
          <w:sz w:val="20"/>
          <w:szCs w:val="20"/>
        </w:rPr>
      </w:pPr>
      <w:r>
        <w:rPr>
          <w:rFonts w:ascii="Arial" w:hAnsi="Arial" w:cs="Arial"/>
          <w:sz w:val="20"/>
          <w:szCs w:val="20"/>
        </w:rPr>
        <w:t>Jane Dixon J also noted that–</w:t>
      </w:r>
    </w:p>
    <w:p w14:paraId="251D9D23" w14:textId="081CB4C1" w:rsidR="00F679DE" w:rsidRPr="00F679DE" w:rsidRDefault="00F679DE" w:rsidP="00F679DE">
      <w:pPr>
        <w:numPr>
          <w:ilvl w:val="0"/>
          <w:numId w:val="1"/>
        </w:numPr>
        <w:jc w:val="both"/>
        <w:rPr>
          <w:rFonts w:ascii="Arial" w:hAnsi="Arial" w:cs="Arial"/>
          <w:color w:val="000000"/>
          <w:sz w:val="20"/>
        </w:rPr>
      </w:pPr>
      <w:r>
        <w:rPr>
          <w:rFonts w:ascii="Arial" w:hAnsi="Arial" w:cs="Arial"/>
          <w:sz w:val="20"/>
          <w:szCs w:val="20"/>
        </w:rPr>
        <w:t xml:space="preserve">there were some </w:t>
      </w:r>
      <w:r w:rsidRPr="00620A37">
        <w:rPr>
          <w:rFonts w:ascii="Arial" w:hAnsi="Arial" w:cs="Arial"/>
          <w:i/>
          <w:iCs/>
          <w:sz w:val="20"/>
          <w:szCs w:val="20"/>
        </w:rPr>
        <w:t>Bugmy</w:t>
      </w:r>
      <w:r>
        <w:rPr>
          <w:rFonts w:ascii="Arial" w:hAnsi="Arial" w:cs="Arial"/>
          <w:sz w:val="20"/>
          <w:szCs w:val="20"/>
        </w:rPr>
        <w:t xml:space="preserve"> factors;</w:t>
      </w:r>
    </w:p>
    <w:p w14:paraId="6C8D9D0E" w14:textId="77777777"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ZZ had reasonable prospects of rehabilitation</w:t>
      </w:r>
      <w:r>
        <w:rPr>
          <w:rFonts w:ascii="Arial" w:hAnsi="Arial" w:cs="Arial"/>
          <w:sz w:val="20"/>
          <w:szCs w:val="20"/>
        </w:rPr>
        <w:t>; and</w:t>
      </w:r>
    </w:p>
    <w:p w14:paraId="1B7C7741" w14:textId="15528603"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 xml:space="preserve">the most relevant comparative cases are those of </w:t>
      </w:r>
      <w:r w:rsidRPr="00F679DE">
        <w:rPr>
          <w:rFonts w:ascii="Arial" w:hAnsi="Arial" w:cs="Arial"/>
          <w:i/>
          <w:iCs/>
          <w:sz w:val="20"/>
          <w:szCs w:val="20"/>
        </w:rPr>
        <w:t>R v Chol</w:t>
      </w:r>
      <w:r w:rsidRPr="00F679DE">
        <w:rPr>
          <w:rFonts w:ascii="Arial" w:hAnsi="Arial" w:cs="Arial"/>
          <w:sz w:val="20"/>
          <w:szCs w:val="20"/>
        </w:rPr>
        <w:t xml:space="preserve"> [2022] VSC 341; </w:t>
      </w:r>
      <w:r w:rsidRPr="00F679DE">
        <w:rPr>
          <w:rFonts w:ascii="Arial" w:hAnsi="Arial" w:cs="Arial"/>
          <w:i/>
          <w:iCs/>
          <w:sz w:val="20"/>
          <w:szCs w:val="20"/>
        </w:rPr>
        <w:t xml:space="preserve">DPP v JA &amp; Ors </w:t>
      </w:r>
      <w:r w:rsidRPr="00F679DE">
        <w:rPr>
          <w:rFonts w:ascii="Arial" w:hAnsi="Arial" w:cs="Arial"/>
          <w:sz w:val="20"/>
          <w:szCs w:val="20"/>
        </w:rPr>
        <w:t xml:space="preserve">[2023] VSC 531 and </w:t>
      </w:r>
      <w:r w:rsidRPr="00F679DE">
        <w:rPr>
          <w:rFonts w:ascii="Arial" w:hAnsi="Arial" w:cs="Arial"/>
          <w:i/>
          <w:iCs/>
          <w:sz w:val="20"/>
          <w:szCs w:val="20"/>
        </w:rPr>
        <w:t>DPP v ST</w:t>
      </w:r>
      <w:r w:rsidRPr="00F679DE">
        <w:rPr>
          <w:rFonts w:ascii="Arial" w:hAnsi="Arial" w:cs="Arial"/>
          <w:sz w:val="20"/>
          <w:szCs w:val="20"/>
        </w:rPr>
        <w:t xml:space="preserve"> [2023] VSC 49.</w:t>
      </w:r>
    </w:p>
    <w:p w14:paraId="10F7BA67" w14:textId="7DBBCDF3" w:rsidR="00F679DE" w:rsidRDefault="00F679DE" w:rsidP="00F679DE">
      <w:pPr>
        <w:spacing w:before="120"/>
        <w:jc w:val="both"/>
        <w:rPr>
          <w:rFonts w:ascii="Arial" w:hAnsi="Arial" w:cs="Arial"/>
          <w:sz w:val="20"/>
          <w:szCs w:val="20"/>
        </w:rPr>
      </w:pPr>
      <w:r>
        <w:rPr>
          <w:rFonts w:ascii="Arial" w:hAnsi="Arial" w:cs="Arial"/>
          <w:sz w:val="20"/>
          <w:szCs w:val="20"/>
        </w:rPr>
        <w:t xml:space="preserve">Her Honour imposed a sentence of 4y YJC to be served concurrently with the remainder of the sentence ZZ was currently undergoing.  But for the plea of guilty she would have imposed a sentence of IMP6y/4y. For reasons detailed at [95]-[105] her Honour also ordered that a DNA retention order be made in respect of ZZ pursuant to s.464ZFB(1) of the </w:t>
      </w:r>
      <w:r w:rsidRPr="00F679DE">
        <w:rPr>
          <w:rFonts w:ascii="Arial" w:hAnsi="Arial" w:cs="Arial"/>
          <w:i/>
          <w:iCs/>
          <w:sz w:val="20"/>
          <w:szCs w:val="20"/>
        </w:rPr>
        <w:t>Crimes Act 1958</w:t>
      </w:r>
      <w:r>
        <w:rPr>
          <w:rFonts w:ascii="Arial" w:hAnsi="Arial" w:cs="Arial"/>
          <w:sz w:val="20"/>
          <w:szCs w:val="20"/>
        </w:rPr>
        <w:t>.</w:t>
      </w:r>
    </w:p>
    <w:p w14:paraId="6B51FE8D" w14:textId="77777777" w:rsidR="00F679DE" w:rsidRDefault="00F679DE">
      <w:pPr>
        <w:jc w:val="both"/>
        <w:rPr>
          <w:rFonts w:ascii="Arial" w:hAnsi="Arial" w:cs="Arial"/>
          <w:sz w:val="20"/>
          <w:szCs w:val="20"/>
        </w:rPr>
      </w:pPr>
    </w:p>
    <w:bookmarkEnd w:id="647"/>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 xml:space="preserve">At trial, judge ruled no case to answer on murder, entered acquittal on that charge, </w:t>
      </w:r>
      <w:r w:rsidRPr="00E34BD7">
        <w:rPr>
          <w:rFonts w:ascii="Arial" w:hAnsi="Arial" w:cs="Arial"/>
          <w:sz w:val="20"/>
          <w:szCs w:val="20"/>
        </w:rPr>
        <w:lastRenderedPageBreak/>
        <w:t>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r>
        <w:rPr>
          <w:rFonts w:ascii="Arial" w:hAnsi="Arial" w:cs="Arial"/>
          <w:color w:val="000000"/>
          <w:sz w:val="20"/>
          <w:szCs w:val="20"/>
        </w:rPr>
        <w:t xml:space="preserve">coffenders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by other c</w:t>
      </w:r>
      <w:r w:rsidR="00F81366">
        <w:rPr>
          <w:rFonts w:ascii="Arial" w:hAnsi="Arial" w:cs="Arial"/>
          <w:color w:val="000000"/>
          <w:sz w:val="20"/>
          <w:szCs w:val="20"/>
        </w:rPr>
        <w:t>o</w:t>
      </w:r>
      <w:r w:rsidR="003464C6">
        <w:rPr>
          <w:rFonts w:ascii="Arial" w:hAnsi="Arial" w:cs="Arial"/>
          <w:color w:val="000000"/>
          <w:sz w:val="20"/>
          <w:szCs w:val="20"/>
        </w:rPr>
        <w:t>offenders</w:t>
      </w:r>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[31]</w:t>
      </w:r>
      <w:r w:rsidR="00F81366">
        <w:rPr>
          <w:rFonts w:ascii="Arial" w:hAnsi="Arial" w:cs="Arial"/>
          <w:color w:val="000000"/>
          <w:sz w:val="20"/>
          <w:szCs w:val="20"/>
        </w:rPr>
        <w:noBreakHyphen/>
      </w:r>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lastRenderedPageBreak/>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3E48DCDE"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lastRenderedPageBreak/>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lastRenderedPageBreak/>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w:t>
      </w:r>
      <w:r w:rsidR="0094746A">
        <w:rPr>
          <w:rFonts w:ascii="Arial" w:hAnsi="Arial" w:cs="Arial"/>
          <w:sz w:val="20"/>
          <w:szCs w:val="20"/>
        </w:rPr>
        <w:lastRenderedPageBreak/>
        <w:t xml:space="preserve">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lastRenderedPageBreak/>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r w:rsidR="00B15D2E" w:rsidRPr="00B15D2E">
        <w:rPr>
          <w:rFonts w:ascii="Arial" w:hAnsi="Arial" w:cs="Arial"/>
          <w:i/>
          <w:iCs/>
          <w:color w:val="000000"/>
          <w:sz w:val="20"/>
          <w:szCs w:val="20"/>
        </w:rPr>
        <w:t>Bugmy</w:t>
      </w:r>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r w:rsidRPr="005E4FFA">
        <w:rPr>
          <w:rFonts w:ascii="Arial" w:hAnsi="Arial" w:cs="Arial"/>
          <w:i/>
          <w:iCs/>
          <w:color w:val="000000"/>
          <w:sz w:val="20"/>
          <w:szCs w:val="20"/>
        </w:rPr>
        <w:t>Bugmy</w:t>
      </w:r>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r w:rsidRPr="005468C4">
        <w:rPr>
          <w:rFonts w:ascii="Arial" w:hAnsi="Arial" w:cs="Arial"/>
          <w:i/>
          <w:iCs/>
          <w:color w:val="000000"/>
          <w:sz w:val="20"/>
          <w:szCs w:val="20"/>
        </w:rPr>
        <w:t>Bugmy</w:t>
      </w:r>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w:t>
      </w:r>
      <w:r w:rsidR="005468C4" w:rsidRPr="005468C4">
        <w:rPr>
          <w:rFonts w:ascii="Arial" w:hAnsi="Arial" w:cs="Arial"/>
          <w:color w:val="000000"/>
          <w:sz w:val="20"/>
          <w:szCs w:val="20"/>
        </w:rPr>
        <w:lastRenderedPageBreak/>
        <w:t xml:space="preserve">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Bugmy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w:t>
      </w:r>
      <w:r>
        <w:rPr>
          <w:rFonts w:ascii="Arial" w:hAnsi="Arial" w:cs="Arial"/>
          <w:color w:val="000000"/>
          <w:sz w:val="20"/>
          <w:szCs w:val="20"/>
        </w:rPr>
        <w:lastRenderedPageBreak/>
        <w:t xml:space="preserve">deceased in a public supermarket – </w:t>
      </w:r>
      <w:r w:rsidRPr="00C81490">
        <w:rPr>
          <w:rFonts w:ascii="Arial" w:hAnsi="Arial" w:cs="Arial"/>
          <w:i/>
          <w:iCs/>
          <w:color w:val="000000"/>
          <w:sz w:val="20"/>
          <w:szCs w:val="20"/>
        </w:rPr>
        <w:t>Bugmy</w:t>
      </w:r>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Verdins &amp; Bugmy</w:t>
      </w:r>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cooffending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 xml:space="preserve">[Cooffenders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had previously been in an intimate relationship with victim — C texted victim multiple times on day in question and lured victim to car on false pretences — Whilst victim sat in front passenger seat, and C sat in drivers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lastRenderedPageBreak/>
        <w:t>DPP v Gatwech-Chouil</w:t>
      </w:r>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r w:rsidR="00374931" w:rsidRPr="00374931">
        <w:rPr>
          <w:rFonts w:ascii="Arial" w:hAnsi="Arial" w:cs="Arial"/>
          <w:i/>
          <w:iCs/>
          <w:color w:val="000000"/>
          <w:sz w:val="20"/>
          <w:szCs w:val="20"/>
        </w:rPr>
        <w:t>Bugmy</w:t>
      </w:r>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[29 year offender pleaded guilty to manslaughter by unlawful and dangerous act, namely stabbing the deceased who was a friend of the offender’s former partner – IMP10y6m/7y].</w:t>
      </w:r>
    </w:p>
    <w:p w14:paraId="6EAF2561" w14:textId="6D0DF630" w:rsidR="0001128F"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w:t>
      </w:r>
      <w:r w:rsidR="00B54D73">
        <w:rPr>
          <w:rFonts w:ascii="Arial" w:hAnsi="Arial" w:cs="Arial"/>
          <w:color w:val="000000"/>
          <w:sz w:val="20"/>
          <w:szCs w:val="20"/>
        </w:rPr>
        <w:t>A</w:t>
      </w:r>
      <w:r>
        <w:rPr>
          <w:rFonts w:ascii="Arial" w:hAnsi="Arial" w:cs="Arial"/>
          <w:color w:val="000000"/>
          <w:sz w:val="20"/>
          <w:szCs w:val="20"/>
        </w:rPr>
        <w:t xml:space="preserve">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r w:rsidRPr="0001128F">
        <w:rPr>
          <w:rFonts w:ascii="Arial" w:hAnsi="Arial" w:cs="Arial"/>
          <w:i/>
          <w:iCs/>
          <w:color w:val="000000"/>
          <w:sz w:val="20"/>
          <w:szCs w:val="20"/>
        </w:rPr>
        <w:t>Bugmy</w:t>
      </w:r>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496B63BA" w14:textId="51329DED" w:rsidR="00B54D73" w:rsidRDefault="00B54D73"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Ivankovich </w:t>
      </w:r>
      <w:r w:rsidRPr="00B54D73">
        <w:rPr>
          <w:rFonts w:ascii="Arial" w:hAnsi="Arial" w:cs="Arial"/>
          <w:color w:val="000000"/>
          <w:sz w:val="20"/>
          <w:szCs w:val="20"/>
        </w:rPr>
        <w:t xml:space="preserve">[2025] VSC 50 [After a sentence indication the </w:t>
      </w:r>
      <w:r>
        <w:rPr>
          <w:rFonts w:ascii="Arial" w:hAnsi="Arial" w:cs="Arial"/>
          <w:color w:val="000000"/>
          <w:sz w:val="20"/>
          <w:szCs w:val="20"/>
        </w:rPr>
        <w:t>57 year old offender pleaded guilty to manslaughter in the context of an assault on his elderly mother causing her death – reasonable prospects for rehabilitation – IMP8y/5y].</w:t>
      </w:r>
    </w:p>
    <w:p w14:paraId="28A65689" w14:textId="501830BF" w:rsidR="00D127D6" w:rsidRDefault="001F2C8E"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Fenwick </w:t>
      </w:r>
      <w:r w:rsidRPr="001F2C8E">
        <w:rPr>
          <w:rFonts w:ascii="Arial" w:hAnsi="Arial" w:cs="Arial"/>
          <w:color w:val="000000"/>
          <w:sz w:val="20"/>
          <w:szCs w:val="20"/>
        </w:rPr>
        <w:t xml:space="preserve">[2025] VSC 95 [In 2006, accused </w:t>
      </w:r>
      <w:r>
        <w:rPr>
          <w:rFonts w:ascii="Arial" w:hAnsi="Arial" w:cs="Arial"/>
          <w:color w:val="000000"/>
          <w:sz w:val="20"/>
          <w:szCs w:val="20"/>
        </w:rPr>
        <w:t>now aged 6</w:t>
      </w:r>
      <w:r w:rsidR="00A11DA4">
        <w:rPr>
          <w:rFonts w:ascii="Arial" w:hAnsi="Arial" w:cs="Arial"/>
          <w:color w:val="000000"/>
          <w:sz w:val="20"/>
          <w:szCs w:val="20"/>
        </w:rPr>
        <w:t>1</w:t>
      </w:r>
      <w:r>
        <w:rPr>
          <w:rFonts w:ascii="Arial" w:hAnsi="Arial" w:cs="Arial"/>
          <w:color w:val="000000"/>
          <w:sz w:val="20"/>
          <w:szCs w:val="20"/>
        </w:rPr>
        <w:t xml:space="preserve"> </w:t>
      </w:r>
      <w:r w:rsidRPr="001F2C8E">
        <w:rPr>
          <w:rFonts w:ascii="Arial" w:hAnsi="Arial" w:cs="Arial"/>
          <w:color w:val="000000"/>
          <w:sz w:val="20"/>
          <w:szCs w:val="20"/>
        </w:rPr>
        <w:t xml:space="preserve">assisted AB to assault deceased, who died, and </w:t>
      </w:r>
      <w:r>
        <w:rPr>
          <w:rFonts w:ascii="Arial" w:hAnsi="Arial" w:cs="Arial"/>
          <w:color w:val="000000"/>
          <w:sz w:val="20"/>
          <w:szCs w:val="20"/>
        </w:rPr>
        <w:t xml:space="preserve">to </w:t>
      </w:r>
      <w:r w:rsidRPr="001F2C8E">
        <w:rPr>
          <w:rFonts w:ascii="Arial" w:hAnsi="Arial" w:cs="Arial"/>
          <w:color w:val="000000"/>
          <w:sz w:val="20"/>
          <w:szCs w:val="20"/>
        </w:rPr>
        <w:t xml:space="preserve">bury body in bush — </w:t>
      </w:r>
      <w:r w:rsidR="00D127D6">
        <w:rPr>
          <w:rFonts w:ascii="Arial" w:hAnsi="Arial" w:cs="Arial"/>
          <w:color w:val="000000"/>
          <w:sz w:val="20"/>
          <w:szCs w:val="20"/>
        </w:rPr>
        <w:t>f</w:t>
      </w:r>
      <w:r w:rsidRPr="001F2C8E">
        <w:rPr>
          <w:rFonts w:ascii="Arial" w:hAnsi="Arial" w:cs="Arial"/>
          <w:color w:val="000000"/>
          <w:sz w:val="20"/>
          <w:szCs w:val="20"/>
        </w:rPr>
        <w:t xml:space="preserve">or next 16 years, deceased’s fate unknown to family — </w:t>
      </w:r>
      <w:r w:rsidR="00D127D6">
        <w:rPr>
          <w:rFonts w:ascii="Arial" w:hAnsi="Arial" w:cs="Arial"/>
          <w:color w:val="000000"/>
          <w:sz w:val="20"/>
          <w:szCs w:val="20"/>
        </w:rPr>
        <w:t>i</w:t>
      </w:r>
      <w:r w:rsidRPr="001F2C8E">
        <w:rPr>
          <w:rFonts w:ascii="Arial" w:hAnsi="Arial" w:cs="Arial"/>
          <w:color w:val="000000"/>
          <w:sz w:val="20"/>
          <w:szCs w:val="20"/>
        </w:rPr>
        <w:t xml:space="preserve">n 2022, accused confessed to covert operative of his and AB’s involvement in killing — </w:t>
      </w:r>
      <w:r w:rsidR="00D127D6">
        <w:rPr>
          <w:rFonts w:ascii="Arial" w:hAnsi="Arial" w:cs="Arial"/>
          <w:color w:val="000000"/>
          <w:sz w:val="20"/>
          <w:szCs w:val="20"/>
        </w:rPr>
        <w:t>a</w:t>
      </w:r>
      <w:r w:rsidRPr="001F2C8E">
        <w:rPr>
          <w:rFonts w:ascii="Arial" w:hAnsi="Arial" w:cs="Arial"/>
          <w:color w:val="000000"/>
          <w:sz w:val="20"/>
          <w:szCs w:val="20"/>
        </w:rPr>
        <w:t xml:space="preserve">ccused tried, but failed, to find deceased’s bush grave — </w:t>
      </w:r>
      <w:r w:rsidR="00D127D6">
        <w:rPr>
          <w:rFonts w:ascii="Arial" w:hAnsi="Arial" w:cs="Arial"/>
          <w:color w:val="000000"/>
          <w:sz w:val="20"/>
          <w:szCs w:val="20"/>
        </w:rPr>
        <w:t>w</w:t>
      </w:r>
      <w:r w:rsidRPr="001F2C8E">
        <w:rPr>
          <w:rFonts w:ascii="Arial" w:hAnsi="Arial" w:cs="Arial"/>
          <w:color w:val="000000"/>
          <w:sz w:val="20"/>
          <w:szCs w:val="20"/>
        </w:rPr>
        <w:t xml:space="preserve">hen arrested, accused denied involvement in homicide, but later admitted presence when AB assaulted deceased — </w:t>
      </w:r>
      <w:r w:rsidR="00D127D6">
        <w:rPr>
          <w:rFonts w:ascii="Arial" w:hAnsi="Arial" w:cs="Arial"/>
          <w:color w:val="000000"/>
          <w:sz w:val="20"/>
          <w:szCs w:val="20"/>
        </w:rPr>
        <w:t>a</w:t>
      </w:r>
      <w:r w:rsidRPr="001F2C8E">
        <w:rPr>
          <w:rFonts w:ascii="Arial" w:hAnsi="Arial" w:cs="Arial"/>
          <w:color w:val="000000"/>
          <w:sz w:val="20"/>
          <w:szCs w:val="20"/>
        </w:rPr>
        <w:t xml:space="preserve">ccused and AB charged with murder — AB’s charge withdrawn before committal — </w:t>
      </w:r>
      <w:r w:rsidR="00D127D6">
        <w:rPr>
          <w:rFonts w:ascii="Arial" w:hAnsi="Arial" w:cs="Arial"/>
          <w:color w:val="000000"/>
          <w:sz w:val="20"/>
          <w:szCs w:val="20"/>
        </w:rPr>
        <w:t>a</w:t>
      </w:r>
      <w:r w:rsidRPr="001F2C8E">
        <w:rPr>
          <w:rFonts w:ascii="Arial" w:hAnsi="Arial" w:cs="Arial"/>
          <w:color w:val="000000"/>
          <w:sz w:val="20"/>
          <w:szCs w:val="20"/>
        </w:rPr>
        <w:t xml:space="preserve">ccused then made statement to police implicating himself and AB, pleaded guilty to manslaughter, and gave undertaking to give evidence in fresh proceeding against AB — </w:t>
      </w:r>
      <w:r w:rsidR="00D127D6">
        <w:rPr>
          <w:rFonts w:ascii="Arial" w:hAnsi="Arial" w:cs="Arial"/>
          <w:color w:val="000000"/>
          <w:sz w:val="20"/>
          <w:szCs w:val="20"/>
        </w:rPr>
        <w:t>s</w:t>
      </w:r>
      <w:r w:rsidRPr="001F2C8E">
        <w:rPr>
          <w:rFonts w:ascii="Arial" w:hAnsi="Arial" w:cs="Arial"/>
          <w:color w:val="000000"/>
          <w:sz w:val="20"/>
          <w:szCs w:val="20"/>
        </w:rPr>
        <w:t xml:space="preserve">erious instance of manslaughter — </w:t>
      </w:r>
      <w:r w:rsidR="00D127D6">
        <w:rPr>
          <w:rFonts w:ascii="Arial" w:hAnsi="Arial" w:cs="Arial"/>
          <w:color w:val="000000"/>
          <w:sz w:val="20"/>
          <w:szCs w:val="20"/>
        </w:rPr>
        <w:t>o</w:t>
      </w:r>
      <w:r w:rsidRPr="001F2C8E">
        <w:rPr>
          <w:rFonts w:ascii="Arial" w:hAnsi="Arial" w:cs="Arial"/>
          <w:color w:val="000000"/>
          <w:sz w:val="20"/>
          <w:szCs w:val="20"/>
        </w:rPr>
        <w:t xml:space="preserve">ffence aggravated by disposal of body, extended delay in disclosing deceased’s fate, and burning car — </w:t>
      </w:r>
      <w:r w:rsidR="00D127D6">
        <w:rPr>
          <w:rFonts w:ascii="Arial" w:hAnsi="Arial" w:cs="Arial"/>
          <w:color w:val="000000"/>
          <w:sz w:val="20"/>
          <w:szCs w:val="20"/>
        </w:rPr>
        <w:t>a</w:t>
      </w:r>
      <w:r w:rsidRPr="001F2C8E">
        <w:rPr>
          <w:rFonts w:ascii="Arial" w:hAnsi="Arial" w:cs="Arial"/>
          <w:color w:val="000000"/>
          <w:sz w:val="20"/>
          <w:szCs w:val="20"/>
        </w:rPr>
        <w:t>ccused vulnerable to AB’s domineering influence</w:t>
      </w:r>
      <w:r>
        <w:rPr>
          <w:rFonts w:ascii="Arial" w:hAnsi="Arial" w:cs="Arial"/>
          <w:color w:val="000000"/>
          <w:sz w:val="20"/>
          <w:szCs w:val="20"/>
        </w:rPr>
        <w:t xml:space="preserve"> – </w:t>
      </w:r>
      <w:r w:rsidR="00D127D6">
        <w:rPr>
          <w:rFonts w:ascii="Arial" w:hAnsi="Arial" w:cs="Arial"/>
          <w:color w:val="000000"/>
          <w:sz w:val="20"/>
          <w:szCs w:val="20"/>
        </w:rPr>
        <w:t>p</w:t>
      </w:r>
      <w:r w:rsidRPr="001F2C8E">
        <w:rPr>
          <w:rFonts w:ascii="Arial" w:hAnsi="Arial" w:cs="Arial"/>
          <w:color w:val="000000"/>
          <w:sz w:val="20"/>
          <w:szCs w:val="20"/>
        </w:rPr>
        <w:t xml:space="preserve">rison likely to affect mental health adversely — </w:t>
      </w:r>
      <w:r w:rsidR="00D127D6">
        <w:rPr>
          <w:rFonts w:ascii="Arial" w:hAnsi="Arial" w:cs="Arial"/>
          <w:color w:val="000000"/>
          <w:sz w:val="20"/>
          <w:szCs w:val="20"/>
        </w:rPr>
        <w:t>l</w:t>
      </w:r>
      <w:r w:rsidRPr="001F2C8E">
        <w:rPr>
          <w:rFonts w:ascii="Arial" w:hAnsi="Arial" w:cs="Arial"/>
          <w:color w:val="000000"/>
          <w:sz w:val="20"/>
          <w:szCs w:val="20"/>
        </w:rPr>
        <w:t xml:space="preserve">ow risk of violent reoffending — </w:t>
      </w:r>
      <w:r w:rsidR="00D127D6">
        <w:rPr>
          <w:rFonts w:ascii="Arial" w:hAnsi="Arial" w:cs="Arial"/>
          <w:color w:val="000000"/>
          <w:sz w:val="20"/>
          <w:szCs w:val="20"/>
        </w:rPr>
        <w:t>g</w:t>
      </w:r>
      <w:r w:rsidRPr="001F2C8E">
        <w:rPr>
          <w:rFonts w:ascii="Arial" w:hAnsi="Arial" w:cs="Arial"/>
          <w:color w:val="000000"/>
          <w:sz w:val="20"/>
          <w:szCs w:val="20"/>
        </w:rPr>
        <w:t xml:space="preserve">ood prospects of rehabilitation — </w:t>
      </w:r>
      <w:r>
        <w:rPr>
          <w:rFonts w:ascii="Arial" w:hAnsi="Arial" w:cs="Arial"/>
          <w:color w:val="000000"/>
          <w:sz w:val="20"/>
          <w:szCs w:val="20"/>
        </w:rPr>
        <w:t>IMP5y6m/2y9m</w:t>
      </w:r>
      <w:r w:rsidR="00D127D6">
        <w:rPr>
          <w:rFonts w:ascii="Arial" w:hAnsi="Arial" w:cs="Arial"/>
          <w:color w:val="000000"/>
          <w:sz w:val="20"/>
          <w:szCs w:val="20"/>
        </w:rPr>
        <w:t xml:space="preserve"> – had there been a plea of guilty but no undertaking to give evidence IMP10y/6y6m – had there been neither a plea of guilty or an undertaking to give evidence IMP13y6m/10y].</w:t>
      </w:r>
    </w:p>
    <w:p w14:paraId="2FDC8F90" w14:textId="7C357299" w:rsidR="000C743B" w:rsidRDefault="000C743B" w:rsidP="000C743B">
      <w:pPr>
        <w:numPr>
          <w:ilvl w:val="0"/>
          <w:numId w:val="76"/>
        </w:numPr>
        <w:ind w:left="357" w:hanging="357"/>
        <w:jc w:val="both"/>
        <w:rPr>
          <w:rFonts w:ascii="Arial" w:hAnsi="Arial" w:cs="Arial"/>
          <w:color w:val="000000"/>
          <w:sz w:val="20"/>
          <w:szCs w:val="20"/>
        </w:rPr>
      </w:pPr>
      <w:r w:rsidRPr="000C743B">
        <w:rPr>
          <w:rFonts w:ascii="Arial" w:hAnsi="Arial" w:cs="Arial"/>
          <w:i/>
          <w:iCs/>
          <w:color w:val="000000"/>
          <w:sz w:val="20"/>
          <w:szCs w:val="20"/>
        </w:rPr>
        <w:t>DPP v Clifford</w:t>
      </w:r>
      <w:r>
        <w:rPr>
          <w:rFonts w:ascii="Arial" w:hAnsi="Arial" w:cs="Arial"/>
          <w:color w:val="000000"/>
          <w:sz w:val="20"/>
          <w:szCs w:val="20"/>
        </w:rPr>
        <w:t xml:space="preserve"> [2025] VSC 199 [18 year old offender </w:t>
      </w:r>
      <w:r w:rsidR="003E23E6">
        <w:rPr>
          <w:rFonts w:ascii="Arial" w:hAnsi="Arial" w:cs="Arial"/>
          <w:color w:val="000000"/>
          <w:sz w:val="20"/>
          <w:szCs w:val="20"/>
        </w:rPr>
        <w:t>(</w:t>
      </w:r>
      <w:r>
        <w:rPr>
          <w:rFonts w:ascii="Arial" w:hAnsi="Arial" w:cs="Arial"/>
          <w:color w:val="000000"/>
          <w:sz w:val="20"/>
          <w:szCs w:val="20"/>
        </w:rPr>
        <w:t>now aged 20</w:t>
      </w:r>
      <w:r w:rsidR="003E23E6">
        <w:rPr>
          <w:rFonts w:ascii="Arial" w:hAnsi="Arial" w:cs="Arial"/>
          <w:color w:val="000000"/>
          <w:sz w:val="20"/>
          <w:szCs w:val="20"/>
        </w:rPr>
        <w:t>)</w:t>
      </w:r>
      <w:r>
        <w:rPr>
          <w:rFonts w:ascii="Arial" w:hAnsi="Arial" w:cs="Arial"/>
          <w:color w:val="000000"/>
          <w:sz w:val="20"/>
          <w:szCs w:val="20"/>
        </w:rPr>
        <w:t xml:space="preserve"> entered an early guilty plea to manslaughter by stabbing the 40 year old victim seven times when confronted by the victim </w:t>
      </w:r>
      <w:r w:rsidR="003E23E6">
        <w:rPr>
          <w:rFonts w:ascii="Arial" w:hAnsi="Arial" w:cs="Arial"/>
          <w:color w:val="000000"/>
          <w:sz w:val="20"/>
          <w:szCs w:val="20"/>
        </w:rPr>
        <w:t xml:space="preserve">while searching </w:t>
      </w:r>
      <w:r>
        <w:rPr>
          <w:rFonts w:ascii="Arial" w:hAnsi="Arial" w:cs="Arial"/>
          <w:color w:val="000000"/>
          <w:sz w:val="20"/>
          <w:szCs w:val="20"/>
        </w:rPr>
        <w:t>inside the victim’s parked car –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 limited criminal history – genuine remorse – offender’s drug and alcohol addiction</w:t>
      </w:r>
      <w:r w:rsidR="00A94E4C">
        <w:rPr>
          <w:rFonts w:ascii="Arial" w:hAnsi="Arial" w:cs="Arial"/>
          <w:color w:val="000000"/>
          <w:sz w:val="20"/>
          <w:szCs w:val="20"/>
        </w:rPr>
        <w:t xml:space="preserve"> discussed in </w:t>
      </w:r>
      <w:r w:rsidR="00A94E4C" w:rsidRPr="00A94E4C">
        <w:rPr>
          <w:rFonts w:ascii="Arial" w:hAnsi="Arial" w:cs="Arial"/>
          <w:b/>
          <w:bCs/>
          <w:color w:val="000000"/>
          <w:sz w:val="20"/>
          <w:szCs w:val="20"/>
          <w:shd w:val="clear" w:color="auto" w:fill="C5E0B3" w:themeFill="accent6" w:themeFillTint="66"/>
        </w:rPr>
        <w:t xml:space="preserve">section </w:t>
      </w:r>
      <w:r w:rsidR="00A94E4C">
        <w:rPr>
          <w:rFonts w:ascii="Arial" w:hAnsi="Arial" w:cs="Arial"/>
          <w:b/>
          <w:bCs/>
          <w:color w:val="000000"/>
          <w:sz w:val="20"/>
          <w:szCs w:val="20"/>
          <w:shd w:val="clear" w:color="auto" w:fill="C5E0B3" w:themeFill="accent6" w:themeFillTint="66"/>
        </w:rPr>
        <w:t>11.2</w:t>
      </w:r>
      <w:r w:rsidR="00A94E4C" w:rsidRPr="00A94E4C">
        <w:rPr>
          <w:rFonts w:ascii="Arial" w:hAnsi="Arial" w:cs="Arial"/>
          <w:b/>
          <w:bCs/>
          <w:color w:val="000000"/>
          <w:sz w:val="20"/>
          <w:szCs w:val="20"/>
          <w:shd w:val="clear" w:color="auto" w:fill="C5E0B3" w:themeFill="accent6" w:themeFillTint="66"/>
        </w:rPr>
        <w:t>.16</w:t>
      </w:r>
      <w:r>
        <w:rPr>
          <w:rFonts w:ascii="Arial" w:hAnsi="Arial" w:cs="Arial"/>
          <w:color w:val="000000"/>
          <w:sz w:val="20"/>
          <w:szCs w:val="20"/>
        </w:rPr>
        <w:t xml:space="preserve"> – reasonable prospects of rehabilitation – IMP8y6m/5y].</w:t>
      </w:r>
    </w:p>
    <w:p w14:paraId="0C8BE657" w14:textId="319B82F8" w:rsidR="00A05195" w:rsidRDefault="00A05195" w:rsidP="000C743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Costanzo </w:t>
      </w:r>
      <w:r w:rsidRPr="00A05195">
        <w:rPr>
          <w:rFonts w:ascii="Arial" w:hAnsi="Arial" w:cs="Arial"/>
          <w:color w:val="000000"/>
          <w:sz w:val="20"/>
          <w:szCs w:val="20"/>
        </w:rPr>
        <w:t>[2025] VSC 421 [</w:t>
      </w:r>
      <w:r>
        <w:rPr>
          <w:rFonts w:ascii="Arial" w:hAnsi="Arial" w:cs="Arial"/>
          <w:color w:val="000000"/>
          <w:sz w:val="20"/>
          <w:szCs w:val="20"/>
        </w:rPr>
        <w:t>33</w:t>
      </w:r>
      <w:r w:rsidRPr="00A05195">
        <w:rPr>
          <w:rFonts w:ascii="Arial" w:hAnsi="Arial" w:cs="Arial"/>
          <w:color w:val="000000"/>
          <w:sz w:val="20"/>
          <w:szCs w:val="20"/>
        </w:rPr>
        <w:t xml:space="preserve"> year old offender </w:t>
      </w:r>
      <w:r>
        <w:rPr>
          <w:rFonts w:ascii="Arial" w:hAnsi="Arial" w:cs="Arial"/>
          <w:color w:val="000000"/>
          <w:sz w:val="20"/>
          <w:szCs w:val="20"/>
        </w:rPr>
        <w:t xml:space="preserve">(now age 35) </w:t>
      </w:r>
      <w:r w:rsidRPr="00A05195">
        <w:rPr>
          <w:rFonts w:ascii="Arial" w:hAnsi="Arial" w:cs="Arial"/>
          <w:color w:val="000000"/>
          <w:sz w:val="20"/>
          <w:szCs w:val="20"/>
        </w:rPr>
        <w:t xml:space="preserve">pleaded guilty to </w:t>
      </w:r>
      <w:r>
        <w:rPr>
          <w:rFonts w:ascii="Arial" w:hAnsi="Arial" w:cs="Arial"/>
          <w:color w:val="000000"/>
          <w:sz w:val="20"/>
          <w:szCs w:val="20"/>
        </w:rPr>
        <w:t>manslaughter by criminal negligence in the context of driving a motor vehicle in pursuit of the deceased following an earlier altercation – no aggressive intent – dishonest account to police – good prospects of rehabilitation despite prior convictions of a different kind – IMP5y/3y].</w:t>
      </w:r>
    </w:p>
    <w:p w14:paraId="0F48E53F" w14:textId="5E76041F" w:rsidR="002C6EC4" w:rsidRDefault="002C6EC4" w:rsidP="00E71019">
      <w:pPr>
        <w:numPr>
          <w:ilvl w:val="0"/>
          <w:numId w:val="76"/>
        </w:numPr>
        <w:ind w:left="357" w:hanging="357"/>
        <w:jc w:val="both"/>
        <w:rPr>
          <w:rFonts w:ascii="Arial" w:hAnsi="Arial" w:cs="Arial"/>
          <w:color w:val="000000"/>
          <w:sz w:val="20"/>
          <w:szCs w:val="20"/>
        </w:rPr>
      </w:pPr>
      <w:r w:rsidRPr="002C6EC4">
        <w:rPr>
          <w:rFonts w:ascii="Arial" w:hAnsi="Arial" w:cs="Arial"/>
          <w:i/>
          <w:iCs/>
          <w:color w:val="000000"/>
          <w:sz w:val="20"/>
          <w:szCs w:val="20"/>
        </w:rPr>
        <w:t>R v Twomey</w:t>
      </w:r>
      <w:r w:rsidRPr="002C6EC4">
        <w:rPr>
          <w:rFonts w:ascii="Arial" w:hAnsi="Arial" w:cs="Arial"/>
          <w:color w:val="000000"/>
          <w:sz w:val="20"/>
          <w:szCs w:val="20"/>
        </w:rPr>
        <w:t xml:space="preserve"> [2025] VSC 529 [</w:t>
      </w:r>
      <w:r>
        <w:rPr>
          <w:rFonts w:ascii="Arial" w:hAnsi="Arial" w:cs="Arial"/>
          <w:color w:val="000000"/>
          <w:sz w:val="20"/>
          <w:szCs w:val="20"/>
        </w:rPr>
        <w:t>I</w:t>
      </w:r>
      <w:r w:rsidRPr="002C6EC4">
        <w:rPr>
          <w:rFonts w:ascii="Arial" w:hAnsi="Arial" w:cs="Arial"/>
          <w:color w:val="000000"/>
          <w:sz w:val="20"/>
          <w:szCs w:val="20"/>
        </w:rPr>
        <w:t xml:space="preserve">n the days before his death the deceased </w:t>
      </w:r>
      <w:r w:rsidRPr="002C6EC4">
        <w:rPr>
          <w:rFonts w:ascii="Arial" w:hAnsi="Arial" w:cs="Arial"/>
          <w:color w:val="000000"/>
          <w:sz w:val="20"/>
          <w:szCs w:val="20"/>
        </w:rPr>
        <w:t xml:space="preserve">suffered significant facial and head injuries by falling off pushbike, falling into </w:t>
      </w:r>
      <w:r>
        <w:rPr>
          <w:rFonts w:ascii="Arial" w:hAnsi="Arial" w:cs="Arial"/>
          <w:color w:val="000000"/>
          <w:sz w:val="20"/>
          <w:szCs w:val="20"/>
        </w:rPr>
        <w:t xml:space="preserve">a </w:t>
      </w:r>
      <w:r w:rsidRPr="002C6EC4">
        <w:rPr>
          <w:rFonts w:ascii="Arial" w:hAnsi="Arial" w:cs="Arial"/>
          <w:color w:val="000000"/>
          <w:sz w:val="20"/>
          <w:szCs w:val="20"/>
        </w:rPr>
        <w:t xml:space="preserve">car and assault by unknown person/s — </w:t>
      </w:r>
      <w:r>
        <w:rPr>
          <w:rFonts w:ascii="Arial" w:hAnsi="Arial" w:cs="Arial"/>
          <w:color w:val="000000"/>
          <w:sz w:val="20"/>
          <w:szCs w:val="20"/>
        </w:rPr>
        <w:t>o</w:t>
      </w:r>
      <w:r w:rsidRPr="002C6EC4">
        <w:rPr>
          <w:rFonts w:ascii="Arial" w:hAnsi="Arial" w:cs="Arial"/>
          <w:color w:val="000000"/>
          <w:sz w:val="20"/>
          <w:szCs w:val="20"/>
        </w:rPr>
        <w:t xml:space="preserve">n day of offence, accused went to deceased’s home to check on his welfare — </w:t>
      </w:r>
      <w:r>
        <w:rPr>
          <w:rFonts w:ascii="Arial" w:hAnsi="Arial" w:cs="Arial"/>
          <w:color w:val="000000"/>
          <w:sz w:val="20"/>
          <w:szCs w:val="20"/>
        </w:rPr>
        <w:t>b</w:t>
      </w:r>
      <w:r w:rsidRPr="002C6EC4">
        <w:rPr>
          <w:rFonts w:ascii="Arial" w:hAnsi="Arial" w:cs="Arial"/>
          <w:color w:val="000000"/>
          <w:sz w:val="20"/>
          <w:szCs w:val="20"/>
        </w:rPr>
        <w:t xml:space="preserve">oth men drank heavily all afternoon and into evening, and were sozzled — </w:t>
      </w:r>
      <w:r>
        <w:rPr>
          <w:rFonts w:ascii="Arial" w:hAnsi="Arial" w:cs="Arial"/>
          <w:color w:val="000000"/>
          <w:sz w:val="20"/>
          <w:szCs w:val="20"/>
        </w:rPr>
        <w:t>a</w:t>
      </w:r>
      <w:r w:rsidRPr="002C6EC4">
        <w:rPr>
          <w:rFonts w:ascii="Arial" w:hAnsi="Arial" w:cs="Arial"/>
          <w:color w:val="000000"/>
          <w:sz w:val="20"/>
          <w:szCs w:val="20"/>
        </w:rPr>
        <w:t xml:space="preserve">fter deceased left room, without warning, person accused believed to be intruder (not deceased) attacked accused on couch, and </w:t>
      </w:r>
      <w:r w:rsidRPr="002C6EC4">
        <w:rPr>
          <w:rFonts w:ascii="Arial" w:hAnsi="Arial" w:cs="Arial"/>
          <w:color w:val="000000"/>
          <w:sz w:val="20"/>
          <w:szCs w:val="20"/>
        </w:rPr>
        <w:lastRenderedPageBreak/>
        <w:t xml:space="preserve">scuffle ensued — </w:t>
      </w:r>
      <w:r>
        <w:rPr>
          <w:rFonts w:ascii="Arial" w:hAnsi="Arial" w:cs="Arial"/>
          <w:color w:val="000000"/>
          <w:sz w:val="20"/>
          <w:szCs w:val="20"/>
        </w:rPr>
        <w:t>a</w:t>
      </w:r>
      <w:r w:rsidRPr="002C6EC4">
        <w:rPr>
          <w:rFonts w:ascii="Arial" w:hAnsi="Arial" w:cs="Arial"/>
          <w:color w:val="000000"/>
          <w:sz w:val="20"/>
          <w:szCs w:val="20"/>
        </w:rPr>
        <w:t xml:space="preserve">fter trading blows with “intruder”, accused told him to stop fighting — </w:t>
      </w:r>
      <w:r>
        <w:rPr>
          <w:rFonts w:ascii="Arial" w:hAnsi="Arial" w:cs="Arial"/>
          <w:color w:val="000000"/>
          <w:sz w:val="20"/>
          <w:szCs w:val="20"/>
        </w:rPr>
        <w:t>a</w:t>
      </w:r>
      <w:r w:rsidRPr="002C6EC4">
        <w:rPr>
          <w:rFonts w:ascii="Arial" w:hAnsi="Arial" w:cs="Arial"/>
          <w:color w:val="000000"/>
          <w:sz w:val="20"/>
          <w:szCs w:val="20"/>
        </w:rPr>
        <w:t xml:space="preserve">s “intruder” then came towards him, accused threw two punches at head, causing him to fall to floor — “Intruder” unresponsive thereafter — </w:t>
      </w:r>
      <w:r>
        <w:rPr>
          <w:rFonts w:ascii="Arial" w:hAnsi="Arial" w:cs="Arial"/>
          <w:color w:val="000000"/>
          <w:sz w:val="20"/>
          <w:szCs w:val="20"/>
        </w:rPr>
        <w:t>a</w:t>
      </w:r>
      <w:r w:rsidRPr="002C6EC4">
        <w:rPr>
          <w:rFonts w:ascii="Arial" w:hAnsi="Arial" w:cs="Arial"/>
          <w:color w:val="000000"/>
          <w:sz w:val="20"/>
          <w:szCs w:val="20"/>
        </w:rPr>
        <w:t xml:space="preserve">ccused went next door and told neighbour, “You better come … someone’s dead” — </w:t>
      </w:r>
      <w:r>
        <w:rPr>
          <w:rFonts w:ascii="Arial" w:hAnsi="Arial" w:cs="Arial"/>
          <w:color w:val="000000"/>
          <w:sz w:val="20"/>
          <w:szCs w:val="20"/>
        </w:rPr>
        <w:t>i</w:t>
      </w:r>
      <w:r w:rsidRPr="002C6EC4">
        <w:rPr>
          <w:rFonts w:ascii="Arial" w:hAnsi="Arial" w:cs="Arial"/>
          <w:color w:val="000000"/>
          <w:sz w:val="20"/>
          <w:szCs w:val="20"/>
        </w:rPr>
        <w:t xml:space="preserve">n truth, “intruder” was deceased — </w:t>
      </w:r>
      <w:r>
        <w:rPr>
          <w:rFonts w:ascii="Arial" w:hAnsi="Arial" w:cs="Arial"/>
          <w:color w:val="000000"/>
          <w:sz w:val="20"/>
          <w:szCs w:val="20"/>
        </w:rPr>
        <w:t>o</w:t>
      </w:r>
      <w:r w:rsidRPr="002C6EC4">
        <w:rPr>
          <w:rFonts w:ascii="Arial" w:hAnsi="Arial" w:cs="Arial"/>
          <w:color w:val="000000"/>
          <w:sz w:val="20"/>
          <w:szCs w:val="20"/>
        </w:rPr>
        <w:t xml:space="preserve">n Arunta calls, accused told ex-wife and daughter that deceased “just lost it”; “I fought back, and … went overboard, obviously”; “I was telling him to stop”; “I had no choice but to fight back”; “If I hadn’t … fought back, I would have been the victim on the floor” — </w:t>
      </w:r>
      <w:r>
        <w:rPr>
          <w:rFonts w:ascii="Arial" w:hAnsi="Arial" w:cs="Arial"/>
          <w:color w:val="000000"/>
          <w:sz w:val="20"/>
          <w:szCs w:val="20"/>
        </w:rPr>
        <w:t>o</w:t>
      </w:r>
      <w:r w:rsidRPr="002C6EC4">
        <w:rPr>
          <w:rFonts w:ascii="Arial" w:hAnsi="Arial" w:cs="Arial"/>
          <w:color w:val="000000"/>
          <w:sz w:val="20"/>
          <w:szCs w:val="20"/>
        </w:rPr>
        <w:t xml:space="preserve">ffence constituted by spontaneous drunken acts of excessive self-defence with fists in response to unexpected violence by deceased — </w:t>
      </w:r>
      <w:r>
        <w:rPr>
          <w:rFonts w:ascii="Arial" w:hAnsi="Arial" w:cs="Arial"/>
          <w:color w:val="000000"/>
          <w:sz w:val="20"/>
          <w:szCs w:val="20"/>
        </w:rPr>
        <w:t>m</w:t>
      </w:r>
      <w:r w:rsidRPr="002C6EC4">
        <w:rPr>
          <w:rFonts w:ascii="Arial" w:hAnsi="Arial" w:cs="Arial"/>
          <w:color w:val="000000"/>
          <w:sz w:val="20"/>
          <w:szCs w:val="20"/>
        </w:rPr>
        <w:t xml:space="preserve">oral culpability reduced accordingly — </w:t>
      </w:r>
      <w:r>
        <w:rPr>
          <w:rFonts w:ascii="Arial" w:hAnsi="Arial" w:cs="Arial"/>
          <w:color w:val="000000"/>
          <w:sz w:val="20"/>
          <w:szCs w:val="20"/>
        </w:rPr>
        <w:t>o</w:t>
      </w:r>
      <w:r w:rsidRPr="002C6EC4">
        <w:rPr>
          <w:rFonts w:ascii="Arial" w:hAnsi="Arial" w:cs="Arial"/>
          <w:color w:val="000000"/>
          <w:sz w:val="20"/>
          <w:szCs w:val="20"/>
        </w:rPr>
        <w:t xml:space="preserve">bjective gravity of offence at lower level for manslaughter — Plea of guilty following sentence indication (of seven years’ imprisonment with non-parole period of four years) — </w:t>
      </w:r>
      <w:r>
        <w:rPr>
          <w:rFonts w:ascii="Arial" w:hAnsi="Arial" w:cs="Arial"/>
          <w:color w:val="000000"/>
          <w:sz w:val="20"/>
          <w:szCs w:val="20"/>
        </w:rPr>
        <w:t>p</w:t>
      </w:r>
      <w:r w:rsidRPr="002C6EC4">
        <w:rPr>
          <w:rFonts w:ascii="Arial" w:hAnsi="Arial" w:cs="Arial"/>
          <w:color w:val="000000"/>
          <w:sz w:val="20"/>
          <w:szCs w:val="20"/>
        </w:rPr>
        <w:t xml:space="preserve">lea of guilty despite viable defences concerning self-defence and causation — </w:t>
      </w:r>
      <w:r>
        <w:rPr>
          <w:rFonts w:ascii="Arial" w:hAnsi="Arial" w:cs="Arial"/>
          <w:color w:val="000000"/>
          <w:sz w:val="20"/>
          <w:szCs w:val="20"/>
        </w:rPr>
        <w:t>g</w:t>
      </w:r>
      <w:r w:rsidRPr="002C6EC4">
        <w:rPr>
          <w:rFonts w:ascii="Arial" w:hAnsi="Arial" w:cs="Arial"/>
          <w:color w:val="000000"/>
          <w:sz w:val="20"/>
          <w:szCs w:val="20"/>
        </w:rPr>
        <w:t xml:space="preserve">enuine remorse — </w:t>
      </w:r>
      <w:r>
        <w:rPr>
          <w:rFonts w:ascii="Arial" w:hAnsi="Arial" w:cs="Arial"/>
          <w:color w:val="000000"/>
          <w:sz w:val="20"/>
          <w:szCs w:val="20"/>
        </w:rPr>
        <w:t>l</w:t>
      </w:r>
      <w:r w:rsidRPr="002C6EC4">
        <w:rPr>
          <w:rFonts w:ascii="Arial" w:hAnsi="Arial" w:cs="Arial"/>
          <w:color w:val="000000"/>
          <w:sz w:val="20"/>
          <w:szCs w:val="20"/>
        </w:rPr>
        <w:t xml:space="preserve">imited and irrelevant criminal history at </w:t>
      </w:r>
      <w:r>
        <w:rPr>
          <w:rFonts w:ascii="Arial" w:hAnsi="Arial" w:cs="Arial"/>
          <w:color w:val="000000"/>
          <w:sz w:val="20"/>
          <w:szCs w:val="20"/>
        </w:rPr>
        <w:t xml:space="preserve">age </w:t>
      </w:r>
      <w:r w:rsidRPr="002C6EC4">
        <w:rPr>
          <w:rFonts w:ascii="Arial" w:hAnsi="Arial" w:cs="Arial"/>
          <w:color w:val="000000"/>
          <w:sz w:val="20"/>
          <w:szCs w:val="20"/>
        </w:rPr>
        <w:t>47 —</w:t>
      </w:r>
      <w:r>
        <w:rPr>
          <w:rFonts w:ascii="Arial" w:hAnsi="Arial" w:cs="Arial"/>
          <w:color w:val="000000"/>
          <w:sz w:val="20"/>
          <w:szCs w:val="20"/>
        </w:rPr>
        <w:t xml:space="preserve"> IMP6y/3y]</w:t>
      </w:r>
      <w:r w:rsidR="006C730C">
        <w:rPr>
          <w:rFonts w:ascii="Arial" w:hAnsi="Arial" w:cs="Arial"/>
          <w:color w:val="000000"/>
          <w:sz w:val="20"/>
          <w:szCs w:val="20"/>
        </w:rPr>
        <w:t>.</w:t>
      </w:r>
    </w:p>
    <w:p w14:paraId="6BCB47F9" w14:textId="6C8411E1" w:rsidR="006C730C" w:rsidRDefault="006C730C" w:rsidP="006C730C">
      <w:pPr>
        <w:numPr>
          <w:ilvl w:val="0"/>
          <w:numId w:val="76"/>
        </w:numPr>
        <w:ind w:left="357" w:hanging="357"/>
        <w:jc w:val="both"/>
        <w:rPr>
          <w:rFonts w:ascii="Arial" w:hAnsi="Arial" w:cs="Arial"/>
          <w:color w:val="000000"/>
          <w:sz w:val="20"/>
          <w:szCs w:val="20"/>
        </w:rPr>
      </w:pPr>
      <w:r w:rsidRPr="00D9062E">
        <w:rPr>
          <w:rFonts w:ascii="Arial" w:hAnsi="Arial" w:cs="Arial"/>
          <w:i/>
          <w:iCs/>
          <w:color w:val="000000"/>
          <w:sz w:val="20"/>
          <w:szCs w:val="20"/>
        </w:rPr>
        <w:t xml:space="preserve">DPP v Hansen </w:t>
      </w:r>
      <w:r w:rsidRPr="00D9062E">
        <w:rPr>
          <w:rFonts w:ascii="Arial" w:hAnsi="Arial" w:cs="Arial"/>
          <w:color w:val="000000"/>
          <w:sz w:val="20"/>
          <w:szCs w:val="20"/>
        </w:rPr>
        <w:t xml:space="preserve">[2025] VSC 534 </w:t>
      </w:r>
      <w:r w:rsidRPr="006C730C">
        <w:rPr>
          <w:rFonts w:ascii="Arial" w:hAnsi="Arial" w:cs="Arial"/>
          <w:color w:val="000000"/>
          <w:sz w:val="20"/>
          <w:szCs w:val="20"/>
        </w:rPr>
        <w:t xml:space="preserve">[25 year old offender </w:t>
      </w:r>
      <w:r w:rsidR="00D9062E">
        <w:rPr>
          <w:rFonts w:ascii="Arial" w:hAnsi="Arial" w:cs="Arial"/>
          <w:color w:val="000000"/>
          <w:sz w:val="20"/>
          <w:szCs w:val="20"/>
        </w:rPr>
        <w:t>– serious example of manslaughter – criminal history including violence and driving offences – guarded prospects of rehabilitation – limited evidence of remorse – boy not located for a period of 2years – guilty plea – IMP9y6m/6y6m].</w:t>
      </w:r>
    </w:p>
    <w:p w14:paraId="7094FCC9" w14:textId="77777777" w:rsidR="006C730C" w:rsidRDefault="006C730C" w:rsidP="006C730C">
      <w:pPr>
        <w:jc w:val="both"/>
        <w:rPr>
          <w:rFonts w:ascii="Arial" w:hAnsi="Arial" w:cs="Arial"/>
          <w:color w:val="000000"/>
          <w:sz w:val="20"/>
          <w:szCs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77777777" w:rsidR="005B2CF6" w:rsidRPr="005B2CF6" w:rsidRDefault="005B2CF6">
      <w:pPr>
        <w:rPr>
          <w:rFonts w:ascii="Arial" w:hAnsi="Arial" w:cs="Arial"/>
          <w:bCs/>
          <w:color w:val="000000"/>
          <w:sz w:val="20"/>
        </w:rPr>
      </w:pPr>
      <w:bookmarkStart w:id="649" w:name="_11.2.22.2__"/>
      <w:bookmarkEnd w:id="649"/>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50" w:name="_11.2.22.3__"/>
      <w:bookmarkEnd w:id="650"/>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DPP v Cigercioglu</w:t>
      </w:r>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Default="009F52E5" w:rsidP="00CD5A37">
      <w:pPr>
        <w:jc w:val="both"/>
        <w:rPr>
          <w:rFonts w:ascii="Arial" w:hAnsi="Arial" w:cs="Arial"/>
          <w:color w:val="000000"/>
          <w:sz w:val="20"/>
        </w:rPr>
      </w:pPr>
    </w:p>
    <w:p w14:paraId="55D62D5E" w14:textId="4EDB8973" w:rsidR="00A312D1" w:rsidRDefault="00A312D1" w:rsidP="00CD5A37">
      <w:pPr>
        <w:jc w:val="both"/>
        <w:rPr>
          <w:rFonts w:ascii="Arial" w:hAnsi="Arial" w:cs="Arial"/>
          <w:color w:val="000000"/>
          <w:sz w:val="20"/>
        </w:rPr>
      </w:pPr>
      <w:r>
        <w:rPr>
          <w:rFonts w:ascii="Arial" w:hAnsi="Arial" w:cs="Arial"/>
          <w:color w:val="000000"/>
          <w:sz w:val="20"/>
        </w:rPr>
        <w:t xml:space="preserve">In </w:t>
      </w:r>
      <w:r w:rsidRPr="00A312D1">
        <w:rPr>
          <w:rFonts w:ascii="Arial" w:hAnsi="Arial" w:cs="Arial"/>
          <w:i/>
          <w:iCs/>
          <w:color w:val="000000"/>
          <w:sz w:val="20"/>
        </w:rPr>
        <w:t>Malovski v The King</w:t>
      </w:r>
      <w:r>
        <w:rPr>
          <w:rFonts w:ascii="Arial" w:hAnsi="Arial" w:cs="Arial"/>
          <w:color w:val="000000"/>
          <w:sz w:val="20"/>
        </w:rPr>
        <w:t xml:space="preserve"> [2025] VSCA 72 the applicant had been sentenced to IMP18y for attempted murder and IMP5y of which 2y was cumulative for being a prohibited person possessing a firearm, resulting in TES IMP20y/15y. The victim had grown close to the applicant’s former wife and children. The applicant </w:t>
      </w:r>
      <w:r w:rsidRPr="00A312D1">
        <w:rPr>
          <w:rFonts w:ascii="Arial" w:hAnsi="Arial" w:cs="Arial"/>
          <w:color w:val="000000"/>
          <w:sz w:val="20"/>
        </w:rPr>
        <w:t xml:space="preserve">pursued and repeatedly shot </w:t>
      </w:r>
      <w:r>
        <w:rPr>
          <w:rFonts w:ascii="Arial" w:hAnsi="Arial" w:cs="Arial"/>
          <w:color w:val="000000"/>
          <w:sz w:val="20"/>
        </w:rPr>
        <w:t xml:space="preserve">the </w:t>
      </w:r>
      <w:r w:rsidRPr="00A312D1">
        <w:rPr>
          <w:rFonts w:ascii="Arial" w:hAnsi="Arial" w:cs="Arial"/>
          <w:color w:val="000000"/>
          <w:sz w:val="20"/>
        </w:rPr>
        <w:t xml:space="preserve">victim at </w:t>
      </w:r>
      <w:r>
        <w:rPr>
          <w:rFonts w:ascii="Arial" w:hAnsi="Arial" w:cs="Arial"/>
          <w:color w:val="000000"/>
          <w:sz w:val="20"/>
        </w:rPr>
        <w:t xml:space="preserve">a </w:t>
      </w:r>
      <w:r w:rsidRPr="00A312D1">
        <w:rPr>
          <w:rFonts w:ascii="Arial" w:hAnsi="Arial" w:cs="Arial"/>
          <w:color w:val="000000"/>
          <w:sz w:val="20"/>
        </w:rPr>
        <w:t>roadside location</w:t>
      </w:r>
      <w:r w:rsidR="006B7B69">
        <w:rPr>
          <w:rFonts w:ascii="Arial" w:hAnsi="Arial" w:cs="Arial"/>
          <w:color w:val="000000"/>
          <w:sz w:val="20"/>
        </w:rPr>
        <w:t xml:space="preserve"> in the presence of the victim’s former wife, son, niece and members of the public</w:t>
      </w:r>
      <w:r>
        <w:rPr>
          <w:rFonts w:ascii="Arial" w:hAnsi="Arial" w:cs="Arial"/>
          <w:color w:val="000000"/>
          <w:sz w:val="20"/>
        </w:rPr>
        <w:t xml:space="preserve">. The victim sustained grave injuries resulting in severe and permanent disability. In upholding the IMP18y sentence for attempted murder, the Court of Appeal </w:t>
      </w:r>
      <w:r w:rsidR="006B7B69">
        <w:rPr>
          <w:rFonts w:ascii="Arial" w:hAnsi="Arial" w:cs="Arial"/>
          <w:color w:val="000000"/>
          <w:sz w:val="20"/>
        </w:rPr>
        <w:t xml:space="preserve">(Priest, McLeish &amp; Orr JJA) </w:t>
      </w:r>
      <w:r>
        <w:rPr>
          <w:rFonts w:ascii="Arial" w:hAnsi="Arial" w:cs="Arial"/>
          <w:color w:val="000000"/>
          <w:sz w:val="20"/>
        </w:rPr>
        <w:t xml:space="preserve">described the </w:t>
      </w:r>
      <w:r w:rsidR="006B7B69">
        <w:rPr>
          <w:rFonts w:ascii="Arial" w:hAnsi="Arial" w:cs="Arial"/>
          <w:color w:val="000000"/>
          <w:sz w:val="20"/>
        </w:rPr>
        <w:t>offending</w:t>
      </w:r>
      <w:r>
        <w:rPr>
          <w:rFonts w:ascii="Arial" w:hAnsi="Arial" w:cs="Arial"/>
          <w:color w:val="000000"/>
          <w:sz w:val="20"/>
        </w:rPr>
        <w:t xml:space="preserve"> as being in the upper end range of seriousness and </w:t>
      </w:r>
      <w:r w:rsidR="006B7B69">
        <w:rPr>
          <w:rFonts w:ascii="Arial" w:hAnsi="Arial" w:cs="Arial"/>
          <w:color w:val="000000"/>
          <w:sz w:val="20"/>
        </w:rPr>
        <w:t xml:space="preserve">was callous and cowardly. There was a moderate risk of further violent offending. The sentence was the highest recorded sentence for attempted murder but was not inconsistent with current sentencing practices and the family violence context warranted a very substantial sentence of imprisonment. However, the Court of Appeal did consider the </w:t>
      </w:r>
      <w:r w:rsidR="004D28EF">
        <w:rPr>
          <w:rFonts w:ascii="Arial" w:hAnsi="Arial" w:cs="Arial"/>
          <w:color w:val="000000"/>
          <w:sz w:val="20"/>
        </w:rPr>
        <w:t xml:space="preserve">IMP5y </w:t>
      </w:r>
      <w:r w:rsidR="006B7B69">
        <w:rPr>
          <w:rFonts w:ascii="Arial" w:hAnsi="Arial" w:cs="Arial"/>
          <w:color w:val="000000"/>
          <w:sz w:val="20"/>
        </w:rPr>
        <w:t xml:space="preserve">sentence for possession of a firearm </w:t>
      </w:r>
      <w:r w:rsidR="004D28EF">
        <w:rPr>
          <w:rFonts w:ascii="Arial" w:hAnsi="Arial" w:cs="Arial"/>
          <w:color w:val="000000"/>
          <w:sz w:val="20"/>
        </w:rPr>
        <w:t xml:space="preserve">– also the highest recorded sentence for this offence – </w:t>
      </w:r>
      <w:r w:rsidR="006B7B69">
        <w:rPr>
          <w:rFonts w:ascii="Arial" w:hAnsi="Arial" w:cs="Arial"/>
          <w:color w:val="000000"/>
          <w:sz w:val="20"/>
        </w:rPr>
        <w:t>was</w:t>
      </w:r>
      <w:r w:rsidR="004D28EF">
        <w:rPr>
          <w:rFonts w:ascii="Arial" w:hAnsi="Arial" w:cs="Arial"/>
          <w:color w:val="000000"/>
          <w:sz w:val="20"/>
        </w:rPr>
        <w:t xml:space="preserve"> </w:t>
      </w:r>
      <w:r w:rsidR="006B7B69">
        <w:rPr>
          <w:rFonts w:ascii="Arial" w:hAnsi="Arial" w:cs="Arial"/>
          <w:color w:val="000000"/>
          <w:sz w:val="20"/>
        </w:rPr>
        <w:t>manifestly excessive and substituted a sentence of IMP2y6m of which 1y was cumulative. The resultant TES was IMP19y/14y3m.</w:t>
      </w:r>
    </w:p>
    <w:p w14:paraId="2AE01C2B" w14:textId="77777777" w:rsidR="006B7B69" w:rsidRDefault="006B7B69" w:rsidP="00CD5A37">
      <w:pPr>
        <w:jc w:val="both"/>
        <w:rPr>
          <w:rFonts w:ascii="Arial" w:hAnsi="Arial" w:cs="Arial"/>
          <w:color w:val="000000"/>
          <w:sz w:val="20"/>
        </w:rPr>
      </w:pPr>
    </w:p>
    <w:p w14:paraId="65D9DE92" w14:textId="7320C03E"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DPP v Malovski</w:t>
      </w:r>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A55C86">
        <w:rPr>
          <w:rFonts w:ascii="Arial" w:hAnsi="Arial" w:cs="Arial"/>
          <w:sz w:val="20"/>
          <w:szCs w:val="20"/>
          <w:lang w:val="en-US"/>
        </w:rPr>
        <w:t xml:space="preserve">; </w:t>
      </w:r>
      <w:r w:rsidR="00A55C86" w:rsidRPr="00A55C86">
        <w:rPr>
          <w:rFonts w:ascii="Arial" w:hAnsi="Arial" w:cs="Arial"/>
          <w:i/>
          <w:iCs/>
          <w:sz w:val="20"/>
          <w:szCs w:val="20"/>
          <w:lang w:val="en-US"/>
        </w:rPr>
        <w:t>DPP v Chambers</w:t>
      </w:r>
      <w:r w:rsidR="00A55C86">
        <w:rPr>
          <w:rFonts w:ascii="Arial" w:hAnsi="Arial" w:cs="Arial"/>
          <w:sz w:val="20"/>
          <w:szCs w:val="20"/>
          <w:lang w:val="en-US"/>
        </w:rPr>
        <w:t xml:space="preserve"> [2025] VSC 63 esp at [84]-[89]</w:t>
      </w:r>
      <w:r w:rsidR="0026045A">
        <w:rPr>
          <w:rFonts w:ascii="Arial" w:hAnsi="Arial" w:cs="Arial"/>
          <w:color w:val="000000"/>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51" w:name="_11.2.22.4__"/>
      <w:bookmarkEnd w:id="651"/>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 xml:space="preserve">In fact, the sentencing judge did not find that the appellant was irredeemable.  He said that </w:t>
      </w:r>
      <w:r w:rsidRPr="001C6E0E">
        <w:rPr>
          <w:rFonts w:ascii="Arial" w:hAnsi="Arial" w:cs="Arial"/>
          <w:color w:val="000000"/>
          <w:sz w:val="20"/>
          <w:szCs w:val="20"/>
        </w:rPr>
        <w:lastRenderedPageBreak/>
        <w:t>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 xml:space="preserve">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w:t>
      </w:r>
      <w:r w:rsidRPr="004E4D34">
        <w:rPr>
          <w:rFonts w:ascii="Arial" w:hAnsi="Arial" w:cs="Arial"/>
          <w:sz w:val="20"/>
          <w:szCs w:val="20"/>
        </w:rPr>
        <w:lastRenderedPageBreak/>
        <w:t>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088CDD94" w:rsidR="00F14AA3" w:rsidRDefault="002C1E2E" w:rsidP="00A7283E">
      <w:pPr>
        <w:jc w:val="both"/>
        <w:rPr>
          <w:rFonts w:ascii="Arial" w:hAnsi="Arial" w:cs="Arial"/>
          <w:color w:val="000000"/>
          <w:sz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lastRenderedPageBreak/>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coffenders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cooffenders’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IMP18y/12y. 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t>‘</w:t>
      </w:r>
      <w:r w:rsidR="003C0DE3" w:rsidRPr="00180206">
        <w:rPr>
          <w:rFonts w:ascii="Arial" w:hAnsi="Arial" w:cs="Arial"/>
          <w:color w:val="000000"/>
          <w:sz w:val="18"/>
          <w:szCs w:val="22"/>
        </w:rPr>
        <w:t xml:space="preserve">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w:t>
      </w:r>
      <w:r w:rsidR="003C0DE3" w:rsidRPr="00180206">
        <w:rPr>
          <w:rFonts w:ascii="Arial" w:hAnsi="Arial" w:cs="Arial"/>
          <w:color w:val="000000"/>
          <w:sz w:val="18"/>
          <w:szCs w:val="22"/>
        </w:rPr>
        <w:lastRenderedPageBreak/>
        <w:t>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w:t>
      </w:r>
      <w:r w:rsidRPr="00B74171">
        <w:rPr>
          <w:rFonts w:ascii="Arial" w:hAnsi="Arial" w:cs="Arial"/>
          <w:sz w:val="20"/>
          <w:szCs w:val="20"/>
        </w:rPr>
        <w:lastRenderedPageBreak/>
        <w:t xml:space="preserve">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2DC276D9" w14:textId="7558A35F" w:rsidR="00141BDB" w:rsidRDefault="00141BDB" w:rsidP="00D82BF3">
      <w:pPr>
        <w:jc w:val="both"/>
        <w:rPr>
          <w:rFonts w:ascii="Arial" w:hAnsi="Arial" w:cs="Arial"/>
          <w:color w:val="000000"/>
          <w:sz w:val="20"/>
        </w:rPr>
      </w:pPr>
      <w:r>
        <w:rPr>
          <w:rFonts w:ascii="Arial" w:hAnsi="Arial" w:cs="Arial"/>
          <w:color w:val="000000"/>
          <w:sz w:val="20"/>
        </w:rPr>
        <w:t xml:space="preserve">In </w:t>
      </w:r>
      <w:r w:rsidRPr="00141BDB">
        <w:rPr>
          <w:rFonts w:ascii="Arial" w:hAnsi="Arial" w:cs="Arial"/>
          <w:i/>
          <w:iCs/>
          <w:color w:val="000000"/>
          <w:sz w:val="20"/>
        </w:rPr>
        <w:t>DPP v XQ</w:t>
      </w:r>
      <w:r>
        <w:rPr>
          <w:rFonts w:ascii="Arial" w:hAnsi="Arial" w:cs="Arial"/>
          <w:color w:val="000000"/>
          <w:sz w:val="20"/>
        </w:rPr>
        <w:t xml:space="preserve"> [2025] VSC 188 the offender – who was 15y3m old at the time of the offence and who had an autism spectrum disorder and an induced rare delusional disorder known as </w:t>
      </w:r>
      <w:r w:rsidRPr="00141BDB">
        <w:rPr>
          <w:rFonts w:ascii="Arial" w:hAnsi="Arial" w:cs="Arial"/>
          <w:color w:val="000000"/>
          <w:sz w:val="20"/>
        </w:rPr>
        <w:t xml:space="preserve">known as </w:t>
      </w:r>
      <w:r w:rsidRPr="00141BDB">
        <w:rPr>
          <w:rFonts w:ascii="Arial" w:hAnsi="Arial" w:cs="Arial"/>
          <w:i/>
          <w:iCs/>
          <w:color w:val="000000"/>
          <w:sz w:val="20"/>
        </w:rPr>
        <w:t>folie à deux</w:t>
      </w:r>
      <w:r>
        <w:rPr>
          <w:rFonts w:ascii="Arial" w:hAnsi="Arial" w:cs="Arial"/>
          <w:color w:val="000000"/>
          <w:sz w:val="20"/>
        </w:rPr>
        <w:t xml:space="preserve"> – had pleaded guilty to </w:t>
      </w:r>
      <w:r w:rsidR="0065174E">
        <w:rPr>
          <w:rFonts w:ascii="Arial" w:hAnsi="Arial" w:cs="Arial"/>
          <w:color w:val="000000"/>
          <w:sz w:val="20"/>
        </w:rPr>
        <w:t xml:space="preserve">the shocking </w:t>
      </w:r>
      <w:r>
        <w:rPr>
          <w:rFonts w:ascii="Arial" w:hAnsi="Arial" w:cs="Arial"/>
          <w:color w:val="000000"/>
          <w:sz w:val="20"/>
        </w:rPr>
        <w:t xml:space="preserve">murder of his mother in the “truly exceptional </w:t>
      </w:r>
      <w:r>
        <w:rPr>
          <w:rFonts w:ascii="Arial" w:hAnsi="Arial" w:cs="Arial"/>
          <w:color w:val="000000"/>
          <w:sz w:val="20"/>
        </w:rPr>
        <w:lastRenderedPageBreak/>
        <w:t>circumstances” summarised by Elliott J at [3]-[29]. He was sentenced to IMP15y/10y. At [72] Elliott J said:</w:t>
      </w:r>
    </w:p>
    <w:p w14:paraId="75334771" w14:textId="71AC3437" w:rsidR="00141BDB" w:rsidRPr="008504D4" w:rsidRDefault="00141BDB" w:rsidP="008504D4">
      <w:pPr>
        <w:spacing w:before="80"/>
        <w:ind w:left="720" w:right="567"/>
        <w:jc w:val="both"/>
        <w:rPr>
          <w:rFonts w:ascii="Arial" w:hAnsi="Arial" w:cs="Arial"/>
          <w:sz w:val="20"/>
          <w:szCs w:val="20"/>
        </w:rPr>
      </w:pPr>
      <w:r>
        <w:rPr>
          <w:rFonts w:ascii="Arial" w:hAnsi="Arial" w:cs="Arial"/>
          <w:sz w:val="20"/>
          <w:szCs w:val="20"/>
        </w:rPr>
        <w:t>“Although I am announcing the reasons for your sentence today [</w:t>
      </w:r>
      <w:r w:rsidR="008504D4">
        <w:rPr>
          <w:rFonts w:ascii="Arial" w:hAnsi="Arial" w:cs="Arial"/>
          <w:sz w:val="20"/>
          <w:szCs w:val="20"/>
        </w:rPr>
        <w:t xml:space="preserve">11 April 2025], </w:t>
      </w:r>
      <w:r w:rsidRPr="00141BDB">
        <w:rPr>
          <w:rFonts w:ascii="Arial" w:hAnsi="Arial" w:cs="Arial"/>
          <w:color w:val="000000"/>
          <w:sz w:val="20"/>
        </w:rPr>
        <w:t>your sentence will not be imposed until the Adult Parole Board has considered my reasons for sentence, which is expected to have occurred by next Tuesday, 15 April 2025. Unless the court is advised that the Adult Parole Board has not been able to consider the matter in that timeframe and to schedule a meeting for 16 April 2025, I will then impose the sentence upon you on the morning of Wednesday, 16 April 2025 and the Adult Parole Board may convene that same day to make its decision. This is to ensure that you will not be required to be transferred to adult prison and will instead remain at a youth justice centre until that decision is made.</w:t>
      </w:r>
      <w:r w:rsidR="008504D4">
        <w:rPr>
          <w:rFonts w:ascii="Arial" w:hAnsi="Arial" w:cs="Arial"/>
          <w:color w:val="000000"/>
          <w:sz w:val="20"/>
        </w:rPr>
        <w:t>”</w:t>
      </w:r>
    </w:p>
    <w:p w14:paraId="3F1FD62C" w14:textId="77777777" w:rsidR="00141BDB" w:rsidRDefault="00141BDB" w:rsidP="00D82BF3">
      <w:pPr>
        <w:jc w:val="both"/>
        <w:rPr>
          <w:rFonts w:ascii="Arial" w:hAnsi="Arial" w:cs="Arial"/>
          <w:color w:val="000000"/>
          <w:sz w:val="20"/>
        </w:rPr>
      </w:pPr>
    </w:p>
    <w:p w14:paraId="1B659263" w14:textId="2DA5A638" w:rsidR="00390BD9" w:rsidRDefault="00F057C0" w:rsidP="00D82BF3">
      <w:pPr>
        <w:jc w:val="both"/>
        <w:rPr>
          <w:rFonts w:ascii="Arial" w:hAnsi="Arial" w:cs="Arial"/>
          <w:color w:val="000000"/>
          <w:sz w:val="20"/>
        </w:rPr>
      </w:pPr>
      <w:r>
        <w:rPr>
          <w:rFonts w:ascii="Arial" w:hAnsi="Arial" w:cs="Arial"/>
          <w:color w:val="000000"/>
          <w:sz w:val="20"/>
        </w:rPr>
        <w:t xml:space="preserve">In </w:t>
      </w:r>
      <w:r w:rsidRPr="00F057C0">
        <w:rPr>
          <w:rFonts w:ascii="Arial" w:hAnsi="Arial" w:cs="Arial"/>
          <w:i/>
          <w:iCs/>
          <w:color w:val="000000"/>
          <w:sz w:val="20"/>
        </w:rPr>
        <w:t>R v ST</w:t>
      </w:r>
      <w:r>
        <w:rPr>
          <w:rFonts w:ascii="Arial" w:hAnsi="Arial" w:cs="Arial"/>
          <w:color w:val="000000"/>
          <w:sz w:val="20"/>
        </w:rPr>
        <w:t xml:space="preserve"> [2025] VSC 227 the 17-year old offender (now aged 19) had pleaded guilty to murder and intentionally causing injury </w:t>
      </w:r>
      <w:r w:rsidR="009846ED">
        <w:rPr>
          <w:rFonts w:ascii="Arial" w:hAnsi="Arial" w:cs="Arial"/>
          <w:color w:val="000000"/>
          <w:sz w:val="20"/>
        </w:rPr>
        <w:t xml:space="preserve">after a sentence indication </w:t>
      </w:r>
      <w:r>
        <w:rPr>
          <w:rFonts w:ascii="Arial" w:hAnsi="Arial" w:cs="Arial"/>
          <w:color w:val="000000"/>
          <w:sz w:val="20"/>
        </w:rPr>
        <w:t xml:space="preserve">in the following circumstances. ST was one of a group of four Year 12 students who </w:t>
      </w:r>
      <w:r w:rsidR="00E14B89">
        <w:rPr>
          <w:rFonts w:ascii="Arial" w:hAnsi="Arial" w:cs="Arial"/>
          <w:color w:val="000000"/>
          <w:sz w:val="20"/>
        </w:rPr>
        <w:t xml:space="preserve">– </w:t>
      </w:r>
      <w:r>
        <w:rPr>
          <w:rFonts w:ascii="Arial" w:hAnsi="Arial" w:cs="Arial"/>
          <w:color w:val="000000"/>
          <w:sz w:val="20"/>
        </w:rPr>
        <w:t>armed</w:t>
      </w:r>
      <w:r w:rsidR="00E14B89">
        <w:rPr>
          <w:rFonts w:ascii="Arial" w:hAnsi="Arial" w:cs="Arial"/>
          <w:color w:val="000000"/>
          <w:sz w:val="20"/>
        </w:rPr>
        <w:t xml:space="preserve"> </w:t>
      </w:r>
      <w:r>
        <w:rPr>
          <w:rFonts w:ascii="Arial" w:hAnsi="Arial" w:cs="Arial"/>
          <w:color w:val="000000"/>
          <w:sz w:val="20"/>
        </w:rPr>
        <w:t xml:space="preserve">with machetes and knives </w:t>
      </w:r>
      <w:r w:rsidR="00E14B89">
        <w:rPr>
          <w:rFonts w:ascii="Arial" w:hAnsi="Arial" w:cs="Arial"/>
          <w:color w:val="000000"/>
          <w:sz w:val="20"/>
        </w:rPr>
        <w:t xml:space="preserve">– </w:t>
      </w:r>
      <w:r>
        <w:rPr>
          <w:rFonts w:ascii="Arial" w:hAnsi="Arial" w:cs="Arial"/>
          <w:color w:val="000000"/>
          <w:sz w:val="20"/>
        </w:rPr>
        <w:t>confronted</w:t>
      </w:r>
      <w:r w:rsidR="00E14B89">
        <w:rPr>
          <w:rFonts w:ascii="Arial" w:hAnsi="Arial" w:cs="Arial"/>
          <w:color w:val="000000"/>
          <w:sz w:val="20"/>
        </w:rPr>
        <w:t xml:space="preserve"> </w:t>
      </w:r>
      <w:r>
        <w:rPr>
          <w:rFonts w:ascii="Arial" w:hAnsi="Arial" w:cs="Arial"/>
          <w:color w:val="000000"/>
          <w:sz w:val="20"/>
        </w:rPr>
        <w:t>a second group of schoolboys in a street near a busy suburban bus interchange</w:t>
      </w:r>
      <w:r w:rsidR="00AA524F">
        <w:rPr>
          <w:rFonts w:ascii="Arial" w:hAnsi="Arial" w:cs="Arial"/>
          <w:color w:val="000000"/>
          <w:sz w:val="20"/>
        </w:rPr>
        <w:t xml:space="preserve"> at Sunshine</w:t>
      </w:r>
      <w:r>
        <w:rPr>
          <w:rFonts w:ascii="Arial" w:hAnsi="Arial" w:cs="Arial"/>
          <w:color w:val="000000"/>
          <w:sz w:val="20"/>
        </w:rPr>
        <w:t xml:space="preserve">. </w:t>
      </w:r>
      <w:r w:rsidR="009846ED">
        <w:rPr>
          <w:rFonts w:ascii="Arial" w:hAnsi="Arial" w:cs="Arial"/>
          <w:color w:val="000000"/>
          <w:sz w:val="20"/>
        </w:rPr>
        <w:t xml:space="preserve">This was a planned confrontation in company in disguise with weapons </w:t>
      </w:r>
      <w:r w:rsidR="00E14B89">
        <w:rPr>
          <w:rFonts w:ascii="Arial" w:hAnsi="Arial" w:cs="Arial"/>
          <w:color w:val="000000"/>
          <w:sz w:val="20"/>
        </w:rPr>
        <w:t xml:space="preserve">and </w:t>
      </w:r>
      <w:r w:rsidR="009846ED">
        <w:rPr>
          <w:rFonts w:ascii="Arial" w:hAnsi="Arial" w:cs="Arial"/>
          <w:color w:val="000000"/>
          <w:sz w:val="20"/>
        </w:rPr>
        <w:t>in full view of the public. ST chased VC (aged 16) and stabbed him in the elbow with a knife, causing injury. Partly for reasons of parity with co</w:t>
      </w:r>
      <w:r w:rsidR="00E14B89">
        <w:rPr>
          <w:rFonts w:ascii="Arial" w:hAnsi="Arial" w:cs="Arial"/>
          <w:color w:val="000000"/>
          <w:sz w:val="20"/>
        </w:rPr>
        <w:noBreakHyphen/>
      </w:r>
      <w:r w:rsidR="009846ED">
        <w:rPr>
          <w:rFonts w:ascii="Arial" w:hAnsi="Arial" w:cs="Arial"/>
          <w:color w:val="000000"/>
          <w:sz w:val="20"/>
        </w:rPr>
        <w:t>offenders ST was placed on a good behaviour bond under s.367 of the CYFA on the charge of intentionally causing injury. ST then chased PL (aged 16) and stabbed him twice in the back causing death. VC &amp; PL had been unarmed. There was a profound victim impact statement from PL’s loved ones. ST fled the scene but handed himself in 12 days later. ST ha</w:t>
      </w:r>
      <w:r w:rsidR="00663FE3">
        <w:rPr>
          <w:rFonts w:ascii="Arial" w:hAnsi="Arial" w:cs="Arial"/>
          <w:color w:val="000000"/>
          <w:sz w:val="20"/>
        </w:rPr>
        <w:t>d</w:t>
      </w:r>
      <w:r w:rsidR="009846ED">
        <w:rPr>
          <w:rFonts w:ascii="Arial" w:hAnsi="Arial" w:cs="Arial"/>
          <w:color w:val="000000"/>
          <w:sz w:val="20"/>
        </w:rPr>
        <w:t xml:space="preserve"> been on remand in a YJC since then.</w:t>
      </w:r>
      <w:r w:rsidR="00390BD9" w:rsidRPr="00390BD9">
        <w:rPr>
          <w:rFonts w:ascii="Arial" w:hAnsi="Arial" w:cs="Arial"/>
          <w:color w:val="000000"/>
          <w:sz w:val="20"/>
        </w:rPr>
        <w:t xml:space="preserve"> </w:t>
      </w:r>
      <w:r w:rsidR="00390BD9">
        <w:rPr>
          <w:rFonts w:ascii="Arial" w:hAnsi="Arial" w:cs="Arial"/>
          <w:color w:val="000000"/>
          <w:sz w:val="20"/>
        </w:rPr>
        <w:t>He has strong support from his family, former school teachers and teachers in YJC. He has no prior convictions, positively good character</w:t>
      </w:r>
      <w:r w:rsidR="00D55942">
        <w:rPr>
          <w:rFonts w:ascii="Arial" w:hAnsi="Arial" w:cs="Arial"/>
          <w:color w:val="000000"/>
          <w:sz w:val="20"/>
        </w:rPr>
        <w:t xml:space="preserve"> aside from </w:t>
      </w:r>
      <w:r w:rsidR="00D55942" w:rsidRPr="00D55942">
        <w:rPr>
          <w:rFonts w:ascii="Arial" w:hAnsi="Arial" w:cs="Arial"/>
          <w:color w:val="000000"/>
          <w:sz w:val="20"/>
        </w:rPr>
        <w:t xml:space="preserve">some of his conduct in custody, </w:t>
      </w:r>
      <w:r w:rsidR="00390BD9">
        <w:rPr>
          <w:rFonts w:ascii="Arial" w:hAnsi="Arial" w:cs="Arial"/>
          <w:color w:val="000000"/>
          <w:sz w:val="20"/>
        </w:rPr>
        <w:t>genuine remorse and excellent prospects of rehabilitation. On the charge of murder he was sentenced to IMP13y/8y.</w:t>
      </w:r>
    </w:p>
    <w:p w14:paraId="62B18047" w14:textId="472DDE0C" w:rsidR="00600F19" w:rsidRDefault="00600F19" w:rsidP="00390BD9">
      <w:pPr>
        <w:spacing w:before="120"/>
        <w:jc w:val="both"/>
        <w:rPr>
          <w:rFonts w:ascii="Arial" w:hAnsi="Arial" w:cs="Arial"/>
          <w:color w:val="000000"/>
          <w:sz w:val="20"/>
        </w:rPr>
      </w:pPr>
      <w:r>
        <w:rPr>
          <w:rFonts w:ascii="Arial" w:hAnsi="Arial" w:cs="Arial"/>
          <w:color w:val="000000"/>
          <w:sz w:val="20"/>
        </w:rPr>
        <w:t>ST</w:t>
      </w:r>
      <w:r w:rsidR="009846ED">
        <w:rPr>
          <w:rFonts w:ascii="Arial" w:hAnsi="Arial" w:cs="Arial"/>
          <w:color w:val="000000"/>
          <w:sz w:val="20"/>
        </w:rPr>
        <w:t xml:space="preserve"> </w:t>
      </w:r>
      <w:r>
        <w:rPr>
          <w:rFonts w:ascii="Arial" w:hAnsi="Arial" w:cs="Arial"/>
          <w:color w:val="000000"/>
          <w:sz w:val="20"/>
        </w:rPr>
        <w:t xml:space="preserve">had </w:t>
      </w:r>
      <w:r w:rsidR="009846ED">
        <w:rPr>
          <w:rFonts w:ascii="Arial" w:hAnsi="Arial" w:cs="Arial"/>
          <w:color w:val="000000"/>
          <w:sz w:val="20"/>
        </w:rPr>
        <w:t>pleaded guilty to murder after the sentence indication despite the</w:t>
      </w:r>
      <w:r w:rsidR="00FE58A7">
        <w:rPr>
          <w:rFonts w:ascii="Arial" w:hAnsi="Arial" w:cs="Arial"/>
          <w:color w:val="000000"/>
          <w:sz w:val="20"/>
        </w:rPr>
        <w:t xml:space="preserve">re being a triable issue on murderous intent. </w:t>
      </w:r>
      <w:r w:rsidR="00390BD9">
        <w:rPr>
          <w:rFonts w:ascii="Arial" w:hAnsi="Arial" w:cs="Arial"/>
          <w:color w:val="000000"/>
          <w:sz w:val="20"/>
        </w:rPr>
        <w:t xml:space="preserve">It was accepted by the prosecution that ST intended only to cause really serious injury to PL, not to kill him. </w:t>
      </w:r>
      <w:r>
        <w:rPr>
          <w:rFonts w:ascii="Arial" w:hAnsi="Arial" w:cs="Arial"/>
          <w:color w:val="000000"/>
          <w:sz w:val="20"/>
        </w:rPr>
        <w:t>At [58]-[6</w:t>
      </w:r>
      <w:r w:rsidR="00E20E1F">
        <w:rPr>
          <w:rFonts w:ascii="Arial" w:hAnsi="Arial" w:cs="Arial"/>
          <w:color w:val="000000"/>
          <w:sz w:val="20"/>
        </w:rPr>
        <w:t>2</w:t>
      </w:r>
      <w:r>
        <w:rPr>
          <w:rFonts w:ascii="Arial" w:hAnsi="Arial" w:cs="Arial"/>
          <w:color w:val="000000"/>
          <w:sz w:val="20"/>
        </w:rPr>
        <w:t>] Croucher J said of this:</w:t>
      </w:r>
    </w:p>
    <w:p w14:paraId="56951340" w14:textId="0B6BC69E" w:rsidR="00600F19" w:rsidRDefault="00600F19" w:rsidP="00600F19">
      <w:pPr>
        <w:spacing w:before="60"/>
        <w:ind w:left="567" w:right="567"/>
        <w:jc w:val="both"/>
        <w:rPr>
          <w:rFonts w:ascii="Arial" w:hAnsi="Arial" w:cs="Arial"/>
          <w:color w:val="000000"/>
          <w:sz w:val="20"/>
        </w:rPr>
      </w:pPr>
      <w:r>
        <w:rPr>
          <w:rFonts w:ascii="Arial" w:hAnsi="Arial" w:cs="Arial"/>
          <w:sz w:val="20"/>
          <w:szCs w:val="20"/>
        </w:rPr>
        <w:t>[58] “...</w:t>
      </w:r>
      <w:r w:rsidRPr="00390BD9">
        <w:rPr>
          <w:rFonts w:ascii="Arial" w:hAnsi="Arial" w:cs="Arial"/>
          <w:color w:val="000000"/>
          <w:sz w:val="20"/>
        </w:rPr>
        <w:t>It is sometimes said that this distinction may not matter, as each case must turn on its own facts</w:t>
      </w:r>
      <w:r>
        <w:rPr>
          <w:rFonts w:ascii="Arial" w:hAnsi="Arial" w:cs="Arial"/>
          <w:color w:val="000000"/>
          <w:sz w:val="20"/>
        </w:rPr>
        <w:t>: s</w:t>
      </w:r>
      <w:r w:rsidRPr="00390BD9">
        <w:rPr>
          <w:rFonts w:ascii="Arial" w:hAnsi="Arial" w:cs="Arial"/>
          <w:color w:val="000000"/>
          <w:sz w:val="20"/>
        </w:rPr>
        <w:t xml:space="preserve">ee, e.g., </w:t>
      </w:r>
      <w:r w:rsidRPr="00390BD9">
        <w:rPr>
          <w:rFonts w:ascii="Arial" w:hAnsi="Arial" w:cs="Arial"/>
          <w:i/>
          <w:iCs/>
          <w:color w:val="000000"/>
          <w:sz w:val="20"/>
        </w:rPr>
        <w:t xml:space="preserve">Walters v The Queen </w:t>
      </w:r>
      <w:r w:rsidRPr="00390BD9">
        <w:rPr>
          <w:rFonts w:ascii="Arial" w:hAnsi="Arial" w:cs="Arial"/>
          <w:color w:val="000000"/>
          <w:sz w:val="20"/>
        </w:rPr>
        <w:t>[2013] VSCA 164 at [5]</w:t>
      </w:r>
      <w:r>
        <w:rPr>
          <w:rFonts w:ascii="Arial" w:hAnsi="Arial" w:cs="Arial"/>
          <w:color w:val="000000"/>
          <w:sz w:val="20"/>
        </w:rPr>
        <w:t>-</w:t>
      </w:r>
      <w:r w:rsidRPr="00390BD9">
        <w:rPr>
          <w:rFonts w:ascii="Arial" w:hAnsi="Arial" w:cs="Arial"/>
          <w:color w:val="000000"/>
          <w:sz w:val="20"/>
        </w:rPr>
        <w:t>[10] &amp; [25]</w:t>
      </w:r>
      <w:r>
        <w:rPr>
          <w:rFonts w:ascii="Arial" w:hAnsi="Arial" w:cs="Arial"/>
          <w:color w:val="000000"/>
          <w:sz w:val="20"/>
        </w:rPr>
        <w:t>-</w:t>
      </w:r>
      <w:r w:rsidRPr="00390BD9">
        <w:rPr>
          <w:rFonts w:ascii="Arial" w:hAnsi="Arial" w:cs="Arial"/>
          <w:color w:val="000000"/>
          <w:sz w:val="20"/>
        </w:rPr>
        <w:t>[27]</w:t>
      </w:r>
      <w:r>
        <w:rPr>
          <w:rFonts w:ascii="Arial" w:hAnsi="Arial" w:cs="Arial"/>
          <w:color w:val="000000"/>
          <w:sz w:val="20"/>
        </w:rPr>
        <w:t>. Thus, as Priest JA remarked at [26]:</w:t>
      </w:r>
    </w:p>
    <w:p w14:paraId="00A289E1" w14:textId="6CC243C0" w:rsidR="00600F19" w:rsidRPr="00600F19" w:rsidRDefault="00600F19" w:rsidP="00600F19">
      <w:pPr>
        <w:spacing w:before="60"/>
        <w:ind w:left="1021" w:right="1021"/>
        <w:jc w:val="both"/>
        <w:rPr>
          <w:rFonts w:ascii="Arial" w:hAnsi="Arial" w:cs="Arial"/>
          <w:color w:val="000000"/>
          <w:sz w:val="18"/>
          <w:szCs w:val="22"/>
        </w:rPr>
      </w:pPr>
      <w:r w:rsidRPr="00600F19">
        <w:rPr>
          <w:rFonts w:ascii="Arial" w:hAnsi="Arial" w:cs="Arial"/>
          <w:color w:val="000000"/>
          <w:sz w:val="18"/>
          <w:szCs w:val="22"/>
        </w:rPr>
        <w:t>‘</w:t>
      </w:r>
      <w:r w:rsidRPr="00390BD9">
        <w:rPr>
          <w:rFonts w:ascii="Arial" w:hAnsi="Arial" w:cs="Arial"/>
          <w:color w:val="000000"/>
          <w:sz w:val="18"/>
          <w:szCs w:val="22"/>
        </w:rPr>
        <w:t>[T]he deliberate killing by a person of [his or her] beloved, suffering and terminally ill spouse, motivated by considerations of mercy, might — all other things being equal — be regarded as morally less culpable than a protracted and savage assault where the intention is to cause really serious injury.</w:t>
      </w:r>
      <w:r w:rsidRPr="00600F19">
        <w:rPr>
          <w:rFonts w:ascii="Arial" w:hAnsi="Arial" w:cs="Arial"/>
          <w:color w:val="000000"/>
          <w:sz w:val="18"/>
          <w:szCs w:val="22"/>
        </w:rPr>
        <w:t>’</w:t>
      </w:r>
    </w:p>
    <w:p w14:paraId="159EF3C2" w14:textId="245BDCD6"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[59] </w:t>
      </w:r>
      <w:r w:rsidRPr="00390BD9">
        <w:rPr>
          <w:rFonts w:ascii="Arial" w:hAnsi="Arial" w:cs="Arial"/>
          <w:color w:val="000000"/>
          <w:sz w:val="20"/>
        </w:rPr>
        <w:t>While I respectfully accept, as I must, that each case turns on its own facts, and that Priest JA’s illustration is entirely apt, nevertheless, in my opinion, the distinction at issue matters in this particular case. All else being equal, to kill another with the</w:t>
      </w:r>
      <w:r>
        <w:rPr>
          <w:rFonts w:ascii="Arial" w:hAnsi="Arial" w:cs="Arial"/>
          <w:color w:val="000000"/>
          <w:sz w:val="20"/>
        </w:rPr>
        <w:t xml:space="preserve"> </w:t>
      </w:r>
      <w:r w:rsidRPr="00390BD9">
        <w:rPr>
          <w:rFonts w:ascii="Arial" w:hAnsi="Arial" w:cs="Arial"/>
          <w:color w:val="000000"/>
          <w:sz w:val="20"/>
        </w:rPr>
        <w:t>specific intention of ending that person’s life involves greater moral culpability than to kill another not intending death but only with an intention to cause really serious bodily injury, as here. I consider it axiomatic that, had all relevant facts been the same, except that ST intended to kill Pasawm when he stabbed him fatally, his crime would have been graver precisely because his moral culpability necessarily involved in intending such an outcome would have been much the higher. It follows that ST’s offence is less serious because his intention was only to cause really serious injury, and not to kill.</w:t>
      </w:r>
    </w:p>
    <w:p w14:paraId="08A85BC7" w14:textId="78903530"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[60] </w:t>
      </w:r>
      <w:r w:rsidRPr="00390BD9">
        <w:rPr>
          <w:rFonts w:ascii="Arial" w:hAnsi="Arial" w:cs="Arial"/>
          <w:color w:val="000000"/>
          <w:sz w:val="20"/>
        </w:rPr>
        <w:t>Second, while a group confrontation with weapons was planned, I am also satisfied that ST did not form any intention to cause really serious injury to Pasawm until the moment he stabbed him. Rather, as I shall explain later, in part by reference to psychological opinion about ST, I am satisfied that his formation of that intention was impulsive.</w:t>
      </w:r>
    </w:p>
    <w:p w14:paraId="77AF02B4" w14:textId="2444A58F" w:rsidR="00390BD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[61] </w:t>
      </w:r>
      <w:r w:rsidRPr="00600F19">
        <w:rPr>
          <w:rFonts w:ascii="Arial" w:hAnsi="Arial" w:cs="Arial"/>
          <w:color w:val="000000"/>
          <w:sz w:val="20"/>
        </w:rPr>
        <w:t>Third, even then, it was only a fleeting intent. After the stabbing, ST did not seek to inflict any further violence on Pasawm, as sometimes occurs in homicides. Rather, as quickly as he stabbed him, he turned and ran away.</w:t>
      </w:r>
    </w:p>
    <w:p w14:paraId="1C806AE0" w14:textId="351D4D8A"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[62] </w:t>
      </w:r>
      <w:r w:rsidRPr="00600F19">
        <w:rPr>
          <w:rFonts w:ascii="Arial" w:hAnsi="Arial" w:cs="Arial"/>
          <w:color w:val="000000"/>
          <w:sz w:val="20"/>
        </w:rPr>
        <w:t>Overall, while, for the reasons I have given, the murder is necessarily a serious offence with incalculable victim impact, it is not as serious as many other murders commonly encountered in practice. Indeed, in the circumstances of this case, and particularly because of ST’s impulsive and fleeting intent, and that that intent was only to cause really serious injury, the offence barely crosses the threshold between manslaughter and the lower reaches of the elements of murder at common law — but murder it is.</w:t>
      </w:r>
      <w:r>
        <w:rPr>
          <w:rFonts w:ascii="Arial" w:hAnsi="Arial" w:cs="Arial"/>
          <w:color w:val="000000"/>
          <w:sz w:val="20"/>
        </w:rPr>
        <w:t>”</w:t>
      </w:r>
    </w:p>
    <w:p w14:paraId="3E28FA04" w14:textId="6C8A2F5A" w:rsidR="00390BD9" w:rsidRDefault="00D452D0" w:rsidP="00D55942">
      <w:pPr>
        <w:spacing w:before="120"/>
        <w:jc w:val="both"/>
        <w:rPr>
          <w:rFonts w:ascii="Arial" w:hAnsi="Arial" w:cs="Arial"/>
          <w:color w:val="000000"/>
          <w:sz w:val="20"/>
        </w:rPr>
      </w:pPr>
      <w:r>
        <w:rPr>
          <w:rFonts w:ascii="Arial" w:hAnsi="Arial" w:cs="Arial"/>
          <w:color w:val="000000"/>
          <w:sz w:val="20"/>
        </w:rPr>
        <w:lastRenderedPageBreak/>
        <w:t>In</w:t>
      </w:r>
      <w:r w:rsidR="00D55942">
        <w:rPr>
          <w:rFonts w:ascii="Arial" w:hAnsi="Arial" w:cs="Arial"/>
          <w:color w:val="000000"/>
          <w:sz w:val="20"/>
        </w:rPr>
        <w:t xml:space="preserve"> relation to ST’s youth, Croucher J said at [125]:</w:t>
      </w:r>
    </w:p>
    <w:p w14:paraId="69E8A508" w14:textId="3DA3E225" w:rsidR="00D55942" w:rsidRPr="00D55942" w:rsidRDefault="00D55942" w:rsidP="00D55942">
      <w:pPr>
        <w:spacing w:before="60"/>
        <w:ind w:left="567" w:right="567"/>
        <w:jc w:val="both"/>
        <w:rPr>
          <w:rFonts w:ascii="Arial" w:hAnsi="Arial" w:cs="Arial"/>
          <w:color w:val="000000"/>
          <w:sz w:val="20"/>
        </w:rPr>
      </w:pPr>
      <w:r>
        <w:rPr>
          <w:rFonts w:ascii="Arial" w:hAnsi="Arial" w:cs="Arial"/>
          <w:color w:val="000000"/>
          <w:sz w:val="20"/>
        </w:rPr>
        <w:t>[125] “</w:t>
      </w:r>
      <w:r w:rsidRPr="00D55942">
        <w:rPr>
          <w:rFonts w:ascii="Arial" w:hAnsi="Arial" w:cs="Arial"/>
          <w:color w:val="000000"/>
          <w:sz w:val="20"/>
        </w:rPr>
        <w:t>One of the great aims of the criminal law is to rehabilitate younger offenders. The young are usually treated more leniently in recognition of the fact that they are less mature, less able to form moral judgments or control their impulses, and less aware of the seriousness and consequences of their actions. This is especially so in the case of offences committed impulsively</w:t>
      </w:r>
      <w:r>
        <w:rPr>
          <w:rFonts w:ascii="Arial" w:hAnsi="Arial" w:cs="Arial"/>
          <w:color w:val="000000"/>
          <w:sz w:val="20"/>
        </w:rPr>
        <w:t xml:space="preserve">, as here. See e.g. </w:t>
      </w:r>
      <w:r w:rsidRPr="00D55942">
        <w:rPr>
          <w:rFonts w:ascii="Arial" w:hAnsi="Arial" w:cs="Arial"/>
          <w:i/>
          <w:iCs/>
          <w:color w:val="000000"/>
          <w:sz w:val="20"/>
        </w:rPr>
        <w:t xml:space="preserve">DPP v JA &amp; Ors </w:t>
      </w:r>
      <w:r w:rsidRPr="00D55942">
        <w:rPr>
          <w:rFonts w:ascii="Arial" w:hAnsi="Arial" w:cs="Arial"/>
          <w:color w:val="000000"/>
          <w:sz w:val="20"/>
        </w:rPr>
        <w:t>[2023] VSC 531 at [26]</w:t>
      </w:r>
      <w:r>
        <w:rPr>
          <w:rFonts w:ascii="Arial" w:hAnsi="Arial" w:cs="Arial"/>
          <w:color w:val="000000"/>
          <w:sz w:val="20"/>
        </w:rPr>
        <w:t>-</w:t>
      </w:r>
      <w:r w:rsidRPr="00D55942">
        <w:rPr>
          <w:rFonts w:ascii="Arial" w:hAnsi="Arial" w:cs="Arial"/>
          <w:color w:val="000000"/>
          <w:sz w:val="20"/>
        </w:rPr>
        <w:t>[27]</w:t>
      </w:r>
      <w:r>
        <w:rPr>
          <w:rFonts w:ascii="Arial" w:hAnsi="Arial" w:cs="Arial"/>
          <w:color w:val="000000"/>
          <w:sz w:val="20"/>
        </w:rPr>
        <w:t xml:space="preserve">. </w:t>
      </w:r>
      <w:r w:rsidRPr="00D55942">
        <w:rPr>
          <w:rFonts w:ascii="Arial" w:hAnsi="Arial" w:cs="Arial"/>
          <w:color w:val="000000"/>
          <w:sz w:val="20"/>
        </w:rPr>
        <w:t>ST’s offending is, at least in part, a product of youthful limitations of those kinds.</w:t>
      </w:r>
      <w:r>
        <w:rPr>
          <w:rFonts w:ascii="Arial" w:hAnsi="Arial" w:cs="Arial"/>
          <w:color w:val="000000"/>
          <w:sz w:val="20"/>
        </w:rPr>
        <w:t>”</w:t>
      </w:r>
    </w:p>
    <w:p w14:paraId="17AA26D9" w14:textId="00FBEB98" w:rsidR="00D55942" w:rsidRDefault="00D452D0" w:rsidP="00D452D0">
      <w:pPr>
        <w:spacing w:before="120"/>
        <w:jc w:val="both"/>
        <w:rPr>
          <w:rFonts w:ascii="Arial" w:hAnsi="Arial" w:cs="Arial"/>
          <w:color w:val="000000"/>
          <w:sz w:val="20"/>
        </w:rPr>
      </w:pPr>
      <w:r>
        <w:rPr>
          <w:rFonts w:ascii="Arial" w:hAnsi="Arial" w:cs="Arial"/>
          <w:color w:val="000000"/>
          <w:sz w:val="20"/>
        </w:rPr>
        <w:t>And finally at [159]-[163] Croucher J discussed current sentencing practices for murder under headings “</w:t>
      </w:r>
      <w:r w:rsidRPr="00D452D0">
        <w:rPr>
          <w:rFonts w:ascii="Arial" w:hAnsi="Arial" w:cs="Arial"/>
          <w:b/>
          <w:bCs/>
          <w:color w:val="000000"/>
          <w:sz w:val="20"/>
        </w:rPr>
        <w:t>Sentencing statistics for murder</w:t>
      </w:r>
      <w:r>
        <w:rPr>
          <w:rFonts w:ascii="Arial" w:hAnsi="Arial" w:cs="Arial"/>
          <w:color w:val="000000"/>
          <w:sz w:val="20"/>
        </w:rPr>
        <w:t>” and “</w:t>
      </w:r>
      <w:r w:rsidRPr="00A664F6">
        <w:rPr>
          <w:rFonts w:ascii="Arial" w:hAnsi="Arial" w:cs="Arial"/>
          <w:b/>
          <w:bCs/>
          <w:color w:val="000000"/>
          <w:sz w:val="20"/>
        </w:rPr>
        <w:t>Case comparisons: Murder by children under 18</w:t>
      </w:r>
      <w:r>
        <w:rPr>
          <w:rFonts w:ascii="Arial" w:hAnsi="Arial" w:cs="Arial"/>
          <w:color w:val="000000"/>
          <w:sz w:val="20"/>
        </w:rPr>
        <w:t>”, including at [161]/footnote 41 a table of 14 Victorian cases between 2006 &amp; 2024 where young offenders had been sentenced for murder</w:t>
      </w:r>
      <w:r w:rsidR="003E76F2">
        <w:rPr>
          <w:rFonts w:ascii="Arial" w:hAnsi="Arial" w:cs="Arial"/>
          <w:color w:val="000000"/>
          <w:sz w:val="20"/>
        </w:rPr>
        <w:t xml:space="preserve"> committed when they were under 18 years of age.</w:t>
      </w:r>
    </w:p>
    <w:p w14:paraId="6A964643" w14:textId="77777777" w:rsidR="00D452D0" w:rsidRDefault="00D452D0" w:rsidP="00D55942">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141BDB">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lastRenderedPageBreak/>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esp at [200]-[227].</w:t>
      </w:r>
    </w:p>
    <w:p w14:paraId="7907BF1E" w14:textId="5A1DB56D"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40C5EE0A" w14:textId="7FB76842" w:rsidR="00447E06" w:rsidRDefault="00447E06"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R v Minhinnick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 xml:space="preserve">made it clear </w:t>
      </w:r>
      <w:r w:rsidRPr="002231BB">
        <w:rPr>
          <w:rFonts w:ascii="Arial" w:hAnsi="Arial" w:cs="Arial"/>
          <w:sz w:val="20"/>
          <w:szCs w:val="22"/>
        </w:rPr>
        <w:lastRenderedPageBreak/>
        <w:t>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52" w:name="ORIGHIT_2"/>
      <w:bookmarkStart w:id="653" w:name="HIT_2"/>
      <w:bookmarkEnd w:id="652"/>
      <w:bookmarkEnd w:id="653"/>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lastRenderedPageBreak/>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debial over a very protracted period of any knowledge 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 xml:space="preserve">to IMP25y/18y6m on a charge of </w:t>
      </w:r>
      <w:r w:rsidR="008D663B">
        <w:rPr>
          <w:rFonts w:ascii="Arial" w:hAnsi="Arial" w:cs="Arial"/>
          <w:color w:val="000000"/>
          <w:sz w:val="20"/>
        </w:rPr>
        <w:lastRenderedPageBreak/>
        <w:t>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rsidP="00CC27A5">
      <w:pPr>
        <w:pStyle w:val="ListParagraph"/>
        <w:numPr>
          <w:ilvl w:val="0"/>
          <w:numId w:val="128"/>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rsidP="00CC27A5">
      <w:pPr>
        <w:pStyle w:val="ListParagraph"/>
        <w:numPr>
          <w:ilvl w:val="0"/>
          <w:numId w:val="128"/>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 xml:space="preserve">The prosecution submits that Mr Payne’s behaviour towards you is relevant to your moral culpability and his behaviour over the course of your relationship ‘goes some way </w:t>
      </w:r>
      <w:r w:rsidRPr="003C0B14">
        <w:rPr>
          <w:rFonts w:ascii="Arial" w:hAnsi="Arial" w:cs="Arial"/>
          <w:sz w:val="20"/>
          <w:szCs w:val="20"/>
        </w:rPr>
        <w:lastRenderedPageBreak/>
        <w:t>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r w:rsidR="00253614" w:rsidRPr="00253614">
        <w:rPr>
          <w:rFonts w:ascii="Arial" w:hAnsi="Arial" w:cs="Arial"/>
          <w:i/>
          <w:iCs/>
          <w:color w:val="000000"/>
          <w:sz w:val="20"/>
        </w:rPr>
        <w:t>Kourpanidis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xml:space="preserve">, </w:t>
      </w:r>
      <w:r>
        <w:rPr>
          <w:rFonts w:ascii="Arial" w:hAnsi="Arial" w:cs="Arial"/>
          <w:sz w:val="20"/>
          <w:szCs w:val="20"/>
        </w:rPr>
        <w:lastRenderedPageBreak/>
        <w:t>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r w:rsidRPr="00977CC8">
        <w:rPr>
          <w:rFonts w:ascii="Arial" w:hAnsi="Arial" w:cs="Arial"/>
          <w:i/>
          <w:iCs/>
          <w:sz w:val="18"/>
          <w:szCs w:val="18"/>
        </w:rPr>
        <w:t>Bugmy</w:t>
      </w:r>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exceed[ing]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Refer, eg,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r w:rsidRPr="0082709A">
        <w:rPr>
          <w:rFonts w:ascii="Arial" w:hAnsi="Arial" w:cs="Arial"/>
          <w:i/>
          <w:iCs/>
          <w:sz w:val="20"/>
          <w:szCs w:val="20"/>
        </w:rPr>
        <w:t xml:space="preserve">Likiardopoulos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lastRenderedPageBreak/>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563A67A9" w14:textId="77777777" w:rsidR="00506DEF" w:rsidRDefault="00506DEF"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DPP v Kurera</w:t>
      </w:r>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E57CA96"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One of the most aggravating features of your offending is that it occurred in the presence of your children. It was a shocking breach of trust as both a husband and a father. It is hard to comprehend how you were not moved to lay down your weapon and leave once 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3ED60545" w14:textId="7777777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In </w:t>
      </w:r>
      <w:r w:rsidRPr="00506DEF">
        <w:rPr>
          <w:rFonts w:ascii="Arial" w:hAnsi="Arial" w:cs="Arial"/>
          <w:i/>
          <w:iCs/>
          <w:color w:val="000000"/>
          <w:sz w:val="20"/>
          <w:szCs w:val="20"/>
        </w:rPr>
        <w:t>Director of Public Prosecutions v Wal</w:t>
      </w:r>
      <w:r>
        <w:rPr>
          <w:rFonts w:ascii="Arial" w:hAnsi="Arial" w:cs="Arial"/>
          <w:color w:val="000000"/>
          <w:sz w:val="20"/>
          <w:szCs w:val="20"/>
        </w:rPr>
        <w:t xml:space="preserve"> [2025] VSC 111 the 40 year old offender – who had used a knife and hammer to kill a friend who lived in a neighbouring room in an accommodation home – pleaded guilty to murder after a sentence indication. At the time of the offending Mr Wal was suffering from:</w:t>
      </w:r>
    </w:p>
    <w:p w14:paraId="7620A7A3"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Schizophrenia, which by that time had been untreated for approximately 5 months, with active auditory hallucinations, pathological suspiciousness and persecutory delusions regarding people in your environment.</w:t>
      </w:r>
    </w:p>
    <w:p w14:paraId="0BFB7624"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 xml:space="preserve">A mixed substance use disorder with ongoing usage of alcohol, cannabis and methamphetamine; and related to this, at the actual time of offending </w:t>
      </w:r>
      <w:r>
        <w:rPr>
          <w:rFonts w:ascii="Arial" w:hAnsi="Arial" w:cs="Arial"/>
          <w:color w:val="000000"/>
          <w:sz w:val="20"/>
          <w:szCs w:val="20"/>
        </w:rPr>
        <w:t>he was</w:t>
      </w:r>
      <w:r w:rsidRPr="00506DEF">
        <w:rPr>
          <w:rFonts w:ascii="Arial" w:hAnsi="Arial" w:cs="Arial"/>
          <w:color w:val="000000"/>
          <w:sz w:val="20"/>
          <w:szCs w:val="20"/>
        </w:rPr>
        <w:t xml:space="preserve"> severely intoxicated with alcohol.</w:t>
      </w:r>
    </w:p>
    <w:p w14:paraId="4EDB3835" w14:textId="3FF7152D" w:rsidR="00506DEF" w:rsidRP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The longstanding cognitive effects of a major neurocognitive disorder.</w:t>
      </w:r>
    </w:p>
    <w:p w14:paraId="2C751311" w14:textId="731036B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The offender appeared to have held the belief that the victim was deliberately not paying back a debt but there was no clear evidence that this belief was delusional or that it related to the offender’s cognitive deficits. There was expert evidence that the offender’s various mental disorders did significantly contribute causally to his offending. The offender had had a traumatic childhood in South Sudan where he was exposed to conflict and violence. He had a prior criminal history and the prospect of deportation. </w:t>
      </w:r>
      <w:r w:rsidR="00B37389">
        <w:rPr>
          <w:rFonts w:ascii="Arial" w:hAnsi="Arial" w:cs="Arial"/>
          <w:color w:val="000000"/>
          <w:sz w:val="20"/>
          <w:szCs w:val="20"/>
        </w:rPr>
        <w:t xml:space="preserve">Consistent with the principles in </w:t>
      </w:r>
      <w:r w:rsidR="00B37389" w:rsidRPr="00B37389">
        <w:rPr>
          <w:rFonts w:ascii="Arial" w:hAnsi="Arial" w:cs="Arial"/>
          <w:i/>
          <w:iCs/>
          <w:color w:val="000000"/>
          <w:sz w:val="20"/>
          <w:szCs w:val="20"/>
        </w:rPr>
        <w:t>R v Verdins</w:t>
      </w:r>
      <w:r w:rsidR="00B37389" w:rsidRPr="00B37389">
        <w:rPr>
          <w:rFonts w:ascii="Arial" w:hAnsi="Arial" w:cs="Arial"/>
          <w:color w:val="000000"/>
          <w:sz w:val="20"/>
          <w:szCs w:val="20"/>
        </w:rPr>
        <w:t xml:space="preserve">, </w:t>
      </w:r>
      <w:r w:rsidR="00B37389">
        <w:rPr>
          <w:rFonts w:ascii="Arial" w:hAnsi="Arial" w:cs="Arial"/>
          <w:color w:val="000000"/>
          <w:sz w:val="20"/>
          <w:szCs w:val="20"/>
        </w:rPr>
        <w:t>the offender’s</w:t>
      </w:r>
      <w:r w:rsidR="00B37389" w:rsidRPr="00B37389">
        <w:rPr>
          <w:rFonts w:ascii="Arial" w:hAnsi="Arial" w:cs="Arial"/>
          <w:color w:val="000000"/>
          <w:sz w:val="20"/>
          <w:szCs w:val="20"/>
        </w:rPr>
        <w:t xml:space="preserve"> moral culpability must be sensibly reduced</w:t>
      </w:r>
      <w:r w:rsidR="00B37389">
        <w:rPr>
          <w:rFonts w:ascii="Arial" w:hAnsi="Arial" w:cs="Arial"/>
          <w:color w:val="000000"/>
          <w:sz w:val="20"/>
          <w:szCs w:val="20"/>
        </w:rPr>
        <w:t>. Prison was likely to be more burdensome than for the average prisoner. IMP22y/16y.</w:t>
      </w:r>
    </w:p>
    <w:p w14:paraId="453ACB83" w14:textId="0FAAE759" w:rsidR="00506DEF" w:rsidRDefault="00506DEF" w:rsidP="00AB191B">
      <w:pPr>
        <w:jc w:val="both"/>
        <w:rPr>
          <w:rFonts w:ascii="Arial" w:hAnsi="Arial" w:cs="Arial"/>
          <w:color w:val="000000"/>
          <w:sz w:val="20"/>
          <w:szCs w:val="20"/>
        </w:rPr>
      </w:pPr>
    </w:p>
    <w:p w14:paraId="489BE302" w14:textId="3AE439BD" w:rsidR="006F666E" w:rsidRDefault="006F666E" w:rsidP="00AB191B">
      <w:pPr>
        <w:jc w:val="both"/>
        <w:rPr>
          <w:rFonts w:ascii="Arial" w:hAnsi="Arial" w:cs="Arial"/>
          <w:color w:val="000000"/>
          <w:sz w:val="20"/>
          <w:szCs w:val="20"/>
        </w:rPr>
      </w:pPr>
      <w:r>
        <w:rPr>
          <w:rFonts w:ascii="Arial" w:hAnsi="Arial" w:cs="Arial"/>
          <w:color w:val="000000"/>
          <w:sz w:val="20"/>
          <w:szCs w:val="20"/>
        </w:rPr>
        <w:t xml:space="preserve">In </w:t>
      </w:r>
      <w:r w:rsidRPr="006F666E">
        <w:rPr>
          <w:rFonts w:ascii="Arial" w:hAnsi="Arial" w:cs="Arial"/>
          <w:i/>
          <w:iCs/>
          <w:color w:val="000000"/>
          <w:sz w:val="20"/>
          <w:szCs w:val="20"/>
        </w:rPr>
        <w:t>DPP v Lee</w:t>
      </w:r>
      <w:r>
        <w:rPr>
          <w:rFonts w:ascii="Arial" w:hAnsi="Arial" w:cs="Arial"/>
          <w:color w:val="000000"/>
          <w:sz w:val="20"/>
          <w:szCs w:val="20"/>
        </w:rPr>
        <w:t xml:space="preserve"> [2025] VSC 376 the 65 year old accused had poured petrol over a man working on the property next door and set him alight, intending to cause really serious injury. Death resulted. The actions of the accused – who suffered from a personality disorder of moderate severity – were motivated by anger, not by fear. His moral culpability was reduced but still high. Categorising the offending as “towards the upper end range of seriousness”, Tinney J imposed a sentence of IMP35y/27y. At [118]-[119] Tinney J said:</w:t>
      </w:r>
    </w:p>
    <w:p w14:paraId="0C2929EC" w14:textId="77777777" w:rsidR="006F666E" w:rsidRDefault="006F666E" w:rsidP="006F666E">
      <w:pPr>
        <w:spacing w:before="60"/>
        <w:ind w:left="567" w:right="567"/>
        <w:jc w:val="both"/>
        <w:rPr>
          <w:rFonts w:ascii="Arial" w:hAnsi="Arial" w:cs="Arial"/>
          <w:color w:val="000000"/>
          <w:sz w:val="20"/>
          <w:szCs w:val="20"/>
        </w:rPr>
      </w:pPr>
      <w:r>
        <w:rPr>
          <w:rFonts w:ascii="Arial" w:hAnsi="Arial" w:cs="Arial"/>
          <w:sz w:val="20"/>
          <w:szCs w:val="20"/>
        </w:rPr>
        <w:t>[118] “The</w:t>
      </w:r>
      <w:r w:rsidRPr="006F666E">
        <w:rPr>
          <w:rFonts w:ascii="Arial" w:hAnsi="Arial" w:cs="Arial"/>
          <w:color w:val="000000"/>
          <w:sz w:val="20"/>
          <w:szCs w:val="20"/>
        </w:rPr>
        <w:t xml:space="preserve"> sentence must communicate in clear terms this Court’s condemnation and disapproval of your violent and extreme conduct. As was said by the Court of Appeal in </w:t>
      </w:r>
      <w:r w:rsidRPr="006F666E">
        <w:rPr>
          <w:rFonts w:ascii="Arial" w:hAnsi="Arial" w:cs="Arial"/>
          <w:i/>
          <w:iCs/>
          <w:color w:val="000000"/>
          <w:sz w:val="20"/>
          <w:szCs w:val="20"/>
        </w:rPr>
        <w:t>Fares v The King</w:t>
      </w:r>
      <w:r w:rsidRPr="006F666E">
        <w:rPr>
          <w:rFonts w:ascii="Arial" w:hAnsi="Arial" w:cs="Arial"/>
          <w:color w:val="000000"/>
          <w:sz w:val="20"/>
          <w:szCs w:val="20"/>
        </w:rPr>
        <w:t>:</w:t>
      </w:r>
      <w:r>
        <w:rPr>
          <w:rFonts w:ascii="Arial" w:hAnsi="Arial" w:cs="Arial"/>
          <w:color w:val="000000"/>
          <w:sz w:val="20"/>
          <w:szCs w:val="20"/>
        </w:rPr>
        <w:t>[2024] VSCA 108 at [222]:</w:t>
      </w:r>
    </w:p>
    <w:p w14:paraId="5E114C72" w14:textId="07C9145D" w:rsidR="006F666E" w:rsidRPr="006F666E" w:rsidRDefault="006F666E" w:rsidP="006F666E">
      <w:pPr>
        <w:spacing w:before="60"/>
        <w:ind w:left="1021" w:right="1021"/>
        <w:jc w:val="both"/>
        <w:rPr>
          <w:rFonts w:ascii="Arial" w:hAnsi="Arial" w:cs="Arial"/>
          <w:sz w:val="18"/>
          <w:szCs w:val="18"/>
        </w:rPr>
      </w:pPr>
      <w:r w:rsidRPr="006F666E">
        <w:rPr>
          <w:rFonts w:ascii="Arial" w:hAnsi="Arial" w:cs="Arial"/>
          <w:color w:val="000000"/>
          <w:sz w:val="18"/>
          <w:szCs w:val="18"/>
        </w:rPr>
        <w:lastRenderedPageBreak/>
        <w:t>[I]t was of primary importance that the sentence imposed by the judge constitute an unambiguous condemnation, by the Court, and as such by our society, of the total and utter disregard displayed by the applicant…for the sanctity of human life, which is the most fundamental value of our community</w:t>
      </w:r>
      <w:r>
        <w:rPr>
          <w:rFonts w:ascii="Arial" w:hAnsi="Arial" w:cs="Arial"/>
          <w:color w:val="000000"/>
          <w:sz w:val="18"/>
          <w:szCs w:val="18"/>
        </w:rPr>
        <w:t>.</w:t>
      </w:r>
    </w:p>
    <w:p w14:paraId="47E9A568" w14:textId="72B030AA" w:rsidR="006F666E" w:rsidRDefault="006F666E" w:rsidP="006F666E">
      <w:pPr>
        <w:spacing w:before="60"/>
        <w:ind w:left="567" w:right="567"/>
        <w:jc w:val="both"/>
        <w:rPr>
          <w:rFonts w:ascii="Arial" w:hAnsi="Arial" w:cs="Arial"/>
          <w:color w:val="000000"/>
          <w:sz w:val="20"/>
          <w:szCs w:val="20"/>
        </w:rPr>
      </w:pPr>
      <w:r>
        <w:rPr>
          <w:rFonts w:ascii="Arial" w:hAnsi="Arial" w:cs="Arial"/>
          <w:color w:val="000000"/>
          <w:sz w:val="20"/>
          <w:szCs w:val="20"/>
        </w:rPr>
        <w:t xml:space="preserve">[119] </w:t>
      </w:r>
      <w:r w:rsidRPr="006F666E">
        <w:rPr>
          <w:rFonts w:ascii="Arial" w:hAnsi="Arial" w:cs="Arial"/>
          <w:color w:val="000000"/>
          <w:sz w:val="20"/>
          <w:szCs w:val="20"/>
        </w:rPr>
        <w:t>In respect of general deterrence, the sentence I pass must bring it clearly home to any person who might be minded to carry out a murderous attack upon another person, through the most malevolent means of the use of an accelerant and a flame source, that such conduct will be met with very strong punishment.</w:t>
      </w:r>
      <w:r>
        <w:rPr>
          <w:rFonts w:ascii="Arial" w:hAnsi="Arial" w:cs="Arial"/>
          <w:color w:val="000000"/>
          <w:sz w:val="20"/>
          <w:szCs w:val="20"/>
        </w:rPr>
        <w:t>”</w:t>
      </w:r>
    </w:p>
    <w:p w14:paraId="5B46F5CA" w14:textId="77777777" w:rsidR="006F666E" w:rsidRDefault="006F666E" w:rsidP="00AB191B">
      <w:pPr>
        <w:jc w:val="both"/>
        <w:rPr>
          <w:rFonts w:ascii="Arial" w:hAnsi="Arial" w:cs="Arial"/>
          <w:color w:val="000000"/>
          <w:sz w:val="20"/>
          <w:szCs w:val="20"/>
        </w:rPr>
      </w:pPr>
    </w:p>
    <w:p w14:paraId="169E2AF9" w14:textId="4AE15820" w:rsidR="003B75B6" w:rsidRDefault="003B75B6" w:rsidP="00AB191B">
      <w:pPr>
        <w:jc w:val="both"/>
        <w:rPr>
          <w:rFonts w:ascii="Arial" w:hAnsi="Arial" w:cs="Arial"/>
          <w:color w:val="000000"/>
          <w:sz w:val="20"/>
          <w:szCs w:val="20"/>
        </w:rPr>
      </w:pPr>
      <w:r>
        <w:rPr>
          <w:rFonts w:ascii="Arial" w:hAnsi="Arial" w:cs="Arial"/>
          <w:color w:val="000000"/>
          <w:sz w:val="20"/>
          <w:szCs w:val="20"/>
        </w:rPr>
        <w:t xml:space="preserve">In </w:t>
      </w:r>
      <w:r w:rsidRPr="003B75B6">
        <w:rPr>
          <w:rFonts w:ascii="Arial" w:hAnsi="Arial" w:cs="Arial"/>
          <w:i/>
          <w:iCs/>
          <w:color w:val="000000"/>
          <w:sz w:val="20"/>
          <w:szCs w:val="20"/>
        </w:rPr>
        <w:t>DPP v E</w:t>
      </w:r>
      <w:r w:rsidR="000122C6">
        <w:rPr>
          <w:rFonts w:ascii="Arial" w:hAnsi="Arial" w:cs="Arial"/>
          <w:i/>
          <w:iCs/>
          <w:color w:val="000000"/>
          <w:sz w:val="20"/>
          <w:szCs w:val="20"/>
        </w:rPr>
        <w:t>n</w:t>
      </w:r>
      <w:r w:rsidRPr="003B75B6">
        <w:rPr>
          <w:rFonts w:ascii="Arial" w:hAnsi="Arial" w:cs="Arial"/>
          <w:i/>
          <w:iCs/>
          <w:color w:val="000000"/>
          <w:sz w:val="20"/>
          <w:szCs w:val="20"/>
        </w:rPr>
        <w:t>e</w:t>
      </w:r>
      <w:r w:rsidR="000122C6">
        <w:rPr>
          <w:rFonts w:ascii="Arial" w:hAnsi="Arial" w:cs="Arial"/>
          <w:i/>
          <w:iCs/>
          <w:color w:val="000000"/>
          <w:sz w:val="20"/>
          <w:szCs w:val="20"/>
        </w:rPr>
        <w:t>,</w:t>
      </w:r>
      <w:r w:rsidRPr="003B75B6">
        <w:rPr>
          <w:rFonts w:ascii="Arial" w:hAnsi="Arial" w:cs="Arial"/>
          <w:i/>
          <w:iCs/>
          <w:color w:val="000000"/>
          <w:sz w:val="20"/>
          <w:szCs w:val="20"/>
        </w:rPr>
        <w:t xml:space="preserve"> </w:t>
      </w:r>
      <w:proofErr w:type="spellStart"/>
      <w:r w:rsidRPr="003B75B6">
        <w:rPr>
          <w:rFonts w:ascii="Arial" w:hAnsi="Arial" w:cs="Arial"/>
          <w:i/>
          <w:iCs/>
          <w:color w:val="000000"/>
          <w:sz w:val="20"/>
          <w:szCs w:val="20"/>
        </w:rPr>
        <w:t>Kakato</w:t>
      </w:r>
      <w:proofErr w:type="spellEnd"/>
      <w:r w:rsidRPr="003B75B6">
        <w:rPr>
          <w:rFonts w:ascii="Arial" w:hAnsi="Arial" w:cs="Arial"/>
          <w:i/>
          <w:iCs/>
          <w:color w:val="000000"/>
          <w:sz w:val="20"/>
          <w:szCs w:val="20"/>
        </w:rPr>
        <w:t xml:space="preserve"> &amp; </w:t>
      </w:r>
      <w:proofErr w:type="spellStart"/>
      <w:r w:rsidRPr="003B75B6">
        <w:rPr>
          <w:rFonts w:ascii="Arial" w:hAnsi="Arial" w:cs="Arial"/>
          <w:i/>
          <w:iCs/>
          <w:color w:val="000000"/>
          <w:sz w:val="20"/>
          <w:szCs w:val="20"/>
        </w:rPr>
        <w:t>Taumoefolau</w:t>
      </w:r>
      <w:proofErr w:type="spellEnd"/>
      <w:r>
        <w:rPr>
          <w:rFonts w:ascii="Arial" w:hAnsi="Arial" w:cs="Arial"/>
          <w:color w:val="000000"/>
          <w:sz w:val="20"/>
          <w:szCs w:val="20"/>
        </w:rPr>
        <w:t xml:space="preserve"> [2025] VSC 281 the three accused – aged respectively 24, 26 &amp; 28 at the time of the offence and now aged 30, 32 &amp; 34 – had “been found guilty by a jury, following a lengthy trial, of the murder of [X], an entirely blameless and innocent person whose violent death [by shooting] was so callous, cruel and unwarranted as to almost defy belief.”</w:t>
      </w:r>
      <w:r w:rsidR="005F51D7">
        <w:rPr>
          <w:rFonts w:ascii="Arial" w:hAnsi="Arial" w:cs="Arial"/>
          <w:color w:val="000000"/>
          <w:sz w:val="20"/>
          <w:szCs w:val="20"/>
        </w:rPr>
        <w:t xml:space="preserve"> The accused were all members of the Comanchero, an outlaw motorcycle gang. In a planned attack for the purpose of protecting and enhancing the reputation of the Comanchero, X was shot multiple times while driving home at night time. The accused were all awarded a special patch as a reward for their conduct. </w:t>
      </w:r>
      <w:r w:rsidR="00782299">
        <w:rPr>
          <w:rFonts w:ascii="Arial" w:hAnsi="Arial" w:cs="Arial"/>
          <w:color w:val="000000"/>
          <w:sz w:val="20"/>
          <w:szCs w:val="20"/>
        </w:rPr>
        <w:t xml:space="preserve">The accused had taken steps to avoid apprehension after their crime.  </w:t>
      </w:r>
      <w:r w:rsidR="005F51D7">
        <w:rPr>
          <w:rFonts w:ascii="Arial" w:hAnsi="Arial" w:cs="Arial"/>
          <w:color w:val="000000"/>
          <w:sz w:val="20"/>
          <w:szCs w:val="20"/>
        </w:rPr>
        <w:t>This was extremely grave offending with a high degree of planning and involved a</w:t>
      </w:r>
      <w:r w:rsidR="00245221">
        <w:rPr>
          <w:rFonts w:ascii="Arial" w:hAnsi="Arial" w:cs="Arial"/>
          <w:color w:val="000000"/>
          <w:sz w:val="20"/>
          <w:szCs w:val="20"/>
        </w:rPr>
        <w:t>n extremely</w:t>
      </w:r>
      <w:r w:rsidR="005F51D7">
        <w:rPr>
          <w:rFonts w:ascii="Arial" w:hAnsi="Arial" w:cs="Arial"/>
          <w:color w:val="000000"/>
          <w:sz w:val="20"/>
          <w:szCs w:val="20"/>
        </w:rPr>
        <w:t xml:space="preserve"> high degree of moral culpability. </w:t>
      </w:r>
      <w:r w:rsidR="00245221">
        <w:rPr>
          <w:rFonts w:ascii="Arial" w:hAnsi="Arial" w:cs="Arial"/>
          <w:color w:val="000000"/>
          <w:sz w:val="20"/>
          <w:szCs w:val="20"/>
        </w:rPr>
        <w:t>At [149] Tinney J said:</w:t>
      </w:r>
    </w:p>
    <w:p w14:paraId="2444E235" w14:textId="2A19D95D" w:rsidR="00245221" w:rsidRDefault="002D5A5C" w:rsidP="00245221">
      <w:pPr>
        <w:spacing w:before="60"/>
        <w:ind w:left="567" w:right="567"/>
        <w:jc w:val="both"/>
        <w:rPr>
          <w:rFonts w:ascii="Arial" w:hAnsi="Arial" w:cs="Arial"/>
          <w:color w:val="000000"/>
          <w:sz w:val="20"/>
          <w:szCs w:val="20"/>
        </w:rPr>
      </w:pPr>
      <w:r>
        <w:rPr>
          <w:rFonts w:ascii="Arial" w:hAnsi="Arial" w:cs="Arial"/>
          <w:color w:val="000000"/>
          <w:sz w:val="20"/>
          <w:szCs w:val="20"/>
        </w:rPr>
        <w:t>“</w:t>
      </w:r>
      <w:r w:rsidR="00245221" w:rsidRPr="00245221">
        <w:rPr>
          <w:rFonts w:ascii="Arial" w:hAnsi="Arial" w:cs="Arial"/>
          <w:color w:val="000000"/>
          <w:sz w:val="20"/>
          <w:szCs w:val="20"/>
        </w:rPr>
        <w:t xml:space="preserve">As I have already indicated, the murder of which you have all been found guilty is exceedingly grave, and at the upper end of the spectrum of seriousness. Set against the background of your membership of the Comanchero, the efforts of that organisation, with no justification at all, in seeking the recovery of a debt not even owed to it, and anger apparently felt within the organisation about the perceived affront to the reputation of the Comanchero as a result of the actions of Witness L and in rebuffing the demands of the Comanchero, the three of you along with your cooffender, embarked upon a plan to murder an innocent man, </w:t>
      </w:r>
      <w:r w:rsidR="00245221">
        <w:rPr>
          <w:rFonts w:ascii="Arial" w:hAnsi="Arial" w:cs="Arial"/>
          <w:color w:val="000000"/>
          <w:sz w:val="20"/>
          <w:szCs w:val="20"/>
        </w:rPr>
        <w:t>[X]</w:t>
      </w:r>
      <w:r w:rsidR="00245221" w:rsidRPr="00245221">
        <w:rPr>
          <w:rFonts w:ascii="Arial" w:hAnsi="Arial" w:cs="Arial"/>
          <w:color w:val="000000"/>
          <w:sz w:val="20"/>
          <w:szCs w:val="20"/>
        </w:rPr>
        <w:t>, who was seen, as the Crown put it, as ‘a convenient, accessible and sufficient vehicle’, in your eyes, to send the desired message. Yours was a truly terrible crime, carried out with shocking and brutal efficiency, following a high level of planning. Your crime showed a complete disregard for the law, a distinct lack of human decency and humanity, and a callous disregard for the sanctity of human life. Your crime was an affront to normal, decent society.</w:t>
      </w:r>
      <w:r w:rsidR="00245221">
        <w:rPr>
          <w:rFonts w:ascii="Arial" w:hAnsi="Arial" w:cs="Arial"/>
          <w:color w:val="000000"/>
          <w:sz w:val="20"/>
          <w:szCs w:val="20"/>
        </w:rPr>
        <w:t>”</w:t>
      </w:r>
    </w:p>
    <w:p w14:paraId="60A0AE0F" w14:textId="61729E50" w:rsidR="00245221" w:rsidRDefault="002D5A5C" w:rsidP="002D5A5C">
      <w:pPr>
        <w:spacing w:before="60"/>
        <w:jc w:val="both"/>
        <w:rPr>
          <w:rFonts w:ascii="Arial" w:hAnsi="Arial" w:cs="Arial"/>
          <w:color w:val="000000"/>
          <w:sz w:val="20"/>
          <w:szCs w:val="20"/>
        </w:rPr>
      </w:pPr>
      <w:r>
        <w:rPr>
          <w:rFonts w:ascii="Arial" w:hAnsi="Arial" w:cs="Arial"/>
          <w:color w:val="000000"/>
          <w:sz w:val="20"/>
          <w:szCs w:val="20"/>
        </w:rPr>
        <w:t xml:space="preserve">For reasons discussed at [166]-[169] Tinney J held that a head sentence of life imprisonment was the appropriate and necessary sentence in the circumstances for each of the 3 accused. However, for reasons discussed at [173]-[177] Tinney J held that </w:t>
      </w:r>
      <w:r w:rsidRPr="002D5A5C">
        <w:rPr>
          <w:rFonts w:ascii="Arial" w:hAnsi="Arial" w:cs="Arial"/>
          <w:color w:val="000000"/>
          <w:sz w:val="20"/>
          <w:szCs w:val="20"/>
        </w:rPr>
        <w:t xml:space="preserve">that </w:t>
      </w:r>
      <w:r>
        <w:rPr>
          <w:rFonts w:ascii="Arial" w:hAnsi="Arial" w:cs="Arial"/>
          <w:color w:val="000000"/>
          <w:sz w:val="20"/>
          <w:szCs w:val="20"/>
        </w:rPr>
        <w:t>“</w:t>
      </w:r>
      <w:r w:rsidRPr="002D5A5C">
        <w:rPr>
          <w:rFonts w:ascii="Arial" w:hAnsi="Arial" w:cs="Arial"/>
          <w:color w:val="000000"/>
          <w:sz w:val="20"/>
          <w:szCs w:val="20"/>
        </w:rPr>
        <w:t xml:space="preserve">it is in the interests of justice that non-parole periods lower than the 30 year period specified in s 11A(4)(a) </w:t>
      </w:r>
      <w:r>
        <w:rPr>
          <w:rFonts w:ascii="Arial" w:hAnsi="Arial" w:cs="Arial"/>
          <w:color w:val="000000"/>
          <w:sz w:val="20"/>
          <w:szCs w:val="20"/>
        </w:rPr>
        <w:t xml:space="preserve">[of the </w:t>
      </w:r>
      <w:r w:rsidRPr="002D5A5C">
        <w:rPr>
          <w:rFonts w:ascii="Arial" w:hAnsi="Arial" w:cs="Arial"/>
          <w:i/>
          <w:iCs/>
          <w:color w:val="000000"/>
          <w:sz w:val="20"/>
          <w:szCs w:val="20"/>
        </w:rPr>
        <w:t>Sentencing Act 1991</w:t>
      </w:r>
      <w:r>
        <w:rPr>
          <w:rFonts w:ascii="Arial" w:hAnsi="Arial" w:cs="Arial"/>
          <w:color w:val="000000"/>
          <w:sz w:val="20"/>
          <w:szCs w:val="20"/>
        </w:rPr>
        <w:t xml:space="preserve">] </w:t>
      </w:r>
      <w:r w:rsidRPr="002D5A5C">
        <w:rPr>
          <w:rFonts w:ascii="Arial" w:hAnsi="Arial" w:cs="Arial"/>
          <w:color w:val="000000"/>
          <w:sz w:val="20"/>
          <w:szCs w:val="20"/>
        </w:rPr>
        <w:t>be fixed in each of your cases</w:t>
      </w:r>
      <w:r>
        <w:rPr>
          <w:rFonts w:ascii="Arial" w:hAnsi="Arial" w:cs="Arial"/>
          <w:color w:val="000000"/>
          <w:sz w:val="20"/>
          <w:szCs w:val="20"/>
        </w:rPr>
        <w:t>”</w:t>
      </w:r>
      <w:r w:rsidRPr="002D5A5C">
        <w:rPr>
          <w:rFonts w:ascii="Arial" w:hAnsi="Arial" w:cs="Arial"/>
          <w:color w:val="000000"/>
          <w:sz w:val="20"/>
          <w:szCs w:val="20"/>
        </w:rPr>
        <w:t>.</w:t>
      </w:r>
      <w:r>
        <w:rPr>
          <w:rFonts w:ascii="Arial" w:hAnsi="Arial" w:cs="Arial"/>
          <w:color w:val="000000"/>
          <w:sz w:val="20"/>
          <w:szCs w:val="20"/>
        </w:rPr>
        <w:t xml:space="preserve"> His Honour fixed non-parole periods of 28y for E</w:t>
      </w:r>
      <w:r w:rsidR="000122C6">
        <w:rPr>
          <w:rFonts w:ascii="Arial" w:hAnsi="Arial" w:cs="Arial"/>
          <w:color w:val="000000"/>
          <w:sz w:val="20"/>
          <w:szCs w:val="20"/>
        </w:rPr>
        <w:t>n</w:t>
      </w:r>
      <w:r>
        <w:rPr>
          <w:rFonts w:ascii="Arial" w:hAnsi="Arial" w:cs="Arial"/>
          <w:color w:val="000000"/>
          <w:sz w:val="20"/>
          <w:szCs w:val="20"/>
        </w:rPr>
        <w:t xml:space="preserve">e &amp; </w:t>
      </w:r>
      <w:proofErr w:type="spellStart"/>
      <w:r>
        <w:rPr>
          <w:rFonts w:ascii="Arial" w:hAnsi="Arial" w:cs="Arial"/>
          <w:color w:val="000000"/>
          <w:sz w:val="20"/>
          <w:szCs w:val="20"/>
        </w:rPr>
        <w:t>Kakato</w:t>
      </w:r>
      <w:proofErr w:type="spellEnd"/>
      <w:r>
        <w:rPr>
          <w:rFonts w:ascii="Arial" w:hAnsi="Arial" w:cs="Arial"/>
          <w:color w:val="000000"/>
          <w:sz w:val="20"/>
          <w:szCs w:val="20"/>
        </w:rPr>
        <w:t xml:space="preserve"> and 26y for </w:t>
      </w:r>
      <w:proofErr w:type="spellStart"/>
      <w:r w:rsidRPr="003B75B6">
        <w:rPr>
          <w:rFonts w:ascii="Arial" w:hAnsi="Arial" w:cs="Arial"/>
          <w:color w:val="000000"/>
          <w:sz w:val="20"/>
          <w:szCs w:val="20"/>
        </w:rPr>
        <w:t>Taumoefolau</w:t>
      </w:r>
      <w:proofErr w:type="spellEnd"/>
      <w:r>
        <w:rPr>
          <w:rFonts w:ascii="Arial" w:hAnsi="Arial" w:cs="Arial"/>
          <w:color w:val="000000"/>
          <w:sz w:val="20"/>
          <w:szCs w:val="20"/>
        </w:rPr>
        <w:t>.</w:t>
      </w:r>
    </w:p>
    <w:p w14:paraId="02078C19" w14:textId="77777777" w:rsidR="00245221" w:rsidRDefault="00245221" w:rsidP="00AB191B">
      <w:pPr>
        <w:jc w:val="both"/>
        <w:rPr>
          <w:rFonts w:ascii="Arial" w:hAnsi="Arial" w:cs="Arial"/>
          <w:color w:val="000000"/>
          <w:sz w:val="20"/>
          <w:szCs w:val="20"/>
        </w:rPr>
      </w:pPr>
    </w:p>
    <w:p w14:paraId="1026F357" w14:textId="3AFC2E6C"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r w:rsidR="004E7D03" w:rsidRPr="004E7D03">
        <w:rPr>
          <w:rFonts w:ascii="Arial" w:hAnsi="Arial" w:cs="Arial"/>
          <w:i/>
          <w:iCs/>
          <w:color w:val="000000"/>
          <w:sz w:val="20"/>
          <w:szCs w:val="20"/>
        </w:rPr>
        <w:t>Wilio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r w:rsidR="002C5958" w:rsidRPr="00E710D1">
        <w:rPr>
          <w:rFonts w:ascii="Arial" w:hAnsi="Arial" w:cs="Arial"/>
          <w:i/>
          <w:color w:val="000000"/>
          <w:sz w:val="20"/>
        </w:rPr>
        <w:t>Shaptafaj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DPP v Pandilovsky</w:t>
      </w:r>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R v Rozynski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DPP v Pualic</w:t>
      </w:r>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8A3A7D" w:rsidRPr="00E9044F">
        <w:rPr>
          <w:rFonts w:ascii="Arial" w:hAnsi="Arial" w:cs="Arial"/>
          <w:sz w:val="20"/>
          <w:szCs w:val="20"/>
        </w:rPr>
        <w:t xml:space="preserve"> and </w:t>
      </w:r>
      <w:r w:rsidR="00E9044F" w:rsidRPr="00E9044F">
        <w:rPr>
          <w:rFonts w:ascii="Arial" w:hAnsi="Arial" w:cs="Arial"/>
          <w:sz w:val="20"/>
          <w:szCs w:val="20"/>
        </w:rPr>
        <w:t xml:space="preserve">dismissal of appeal </w:t>
      </w:r>
      <w:r w:rsidR="009503D1">
        <w:rPr>
          <w:rFonts w:ascii="Arial" w:hAnsi="Arial" w:cs="Arial"/>
          <w:sz w:val="20"/>
          <w:szCs w:val="20"/>
        </w:rPr>
        <w:t xml:space="preserve">in [2025] VSCA 178 </w:t>
      </w:r>
      <w:r w:rsidR="00E9044F" w:rsidRPr="00E9044F">
        <w:rPr>
          <w:rFonts w:ascii="Arial" w:hAnsi="Arial" w:cs="Arial"/>
          <w:sz w:val="20"/>
          <w:szCs w:val="20"/>
        </w:rPr>
        <w:t xml:space="preserve">discussed in </w:t>
      </w:r>
      <w:r w:rsidR="00E9044F">
        <w:rPr>
          <w:rFonts w:ascii="Arial" w:hAnsi="Arial" w:cs="Arial"/>
          <w:b/>
          <w:bCs/>
          <w:sz w:val="20"/>
          <w:szCs w:val="20"/>
          <w:shd w:val="clear" w:color="auto" w:fill="C5E0B3" w:themeFill="accent6" w:themeFillTint="66"/>
        </w:rPr>
        <w:t>Part 11.19</w:t>
      </w:r>
      <w:r w:rsidR="00AE02EF">
        <w:rPr>
          <w:rFonts w:ascii="Arial" w:hAnsi="Arial" w:cs="Arial"/>
          <w:sz w:val="20"/>
          <w:szCs w:val="20"/>
        </w:rPr>
        <w:t>]</w:t>
      </w:r>
      <w:r w:rsidR="00476DB3">
        <w:rPr>
          <w:rFonts w:ascii="Arial" w:hAnsi="Arial" w:cs="Arial"/>
          <w:sz w:val="20"/>
          <w:szCs w:val="20"/>
        </w:rPr>
        <w:t xml:space="preserve">; </w:t>
      </w:r>
      <w:r w:rsidR="00476DB3" w:rsidRPr="00476DB3">
        <w:rPr>
          <w:rFonts w:ascii="Arial" w:hAnsi="Arial" w:cs="Arial"/>
          <w:i/>
          <w:iCs/>
          <w:sz w:val="20"/>
          <w:szCs w:val="20"/>
        </w:rPr>
        <w:t>R v Loughnane</w:t>
      </w:r>
      <w:r w:rsidR="00476DB3">
        <w:rPr>
          <w:rFonts w:ascii="Arial" w:hAnsi="Arial" w:cs="Arial"/>
          <w:sz w:val="20"/>
          <w:szCs w:val="20"/>
        </w:rPr>
        <w:t xml:space="preserve"> [2025] VSC 41</w:t>
      </w:r>
      <w:r w:rsidR="00EA403D">
        <w:rPr>
          <w:rFonts w:ascii="Arial" w:hAnsi="Arial" w:cs="Arial"/>
          <w:sz w:val="20"/>
          <w:szCs w:val="20"/>
        </w:rPr>
        <w:t xml:space="preserve">; </w:t>
      </w:r>
      <w:r w:rsidR="00EA403D" w:rsidRPr="00EA403D">
        <w:rPr>
          <w:rFonts w:ascii="Arial" w:hAnsi="Arial" w:cs="Arial"/>
          <w:i/>
          <w:iCs/>
          <w:sz w:val="20"/>
          <w:szCs w:val="20"/>
        </w:rPr>
        <w:t>R v Gebregiorgis; R v Kassa</w:t>
      </w:r>
      <w:r w:rsidR="00EA403D">
        <w:rPr>
          <w:rFonts w:ascii="Arial" w:hAnsi="Arial" w:cs="Arial"/>
          <w:sz w:val="20"/>
          <w:szCs w:val="20"/>
        </w:rPr>
        <w:t xml:space="preserve"> [2025] VSC 86</w:t>
      </w:r>
      <w:r w:rsidR="00031572">
        <w:rPr>
          <w:rFonts w:ascii="Arial" w:hAnsi="Arial" w:cs="Arial"/>
          <w:sz w:val="20"/>
          <w:szCs w:val="20"/>
        </w:rPr>
        <w:t xml:space="preserve">; </w:t>
      </w:r>
      <w:r w:rsidR="00031572" w:rsidRPr="00031572">
        <w:rPr>
          <w:rFonts w:ascii="Arial" w:hAnsi="Arial" w:cs="Arial"/>
          <w:i/>
          <w:iCs/>
          <w:sz w:val="20"/>
          <w:szCs w:val="20"/>
        </w:rPr>
        <w:t>R v Birchall</w:t>
      </w:r>
      <w:r w:rsidR="00031572">
        <w:rPr>
          <w:rFonts w:ascii="Arial" w:hAnsi="Arial" w:cs="Arial"/>
          <w:sz w:val="20"/>
          <w:szCs w:val="20"/>
        </w:rPr>
        <w:t xml:space="preserve"> [2025] VSC 170</w:t>
      </w:r>
      <w:r w:rsidR="00FA572D" w:rsidRPr="00FA572D">
        <w:rPr>
          <w:rFonts w:ascii="Arial" w:hAnsi="Arial" w:cs="Arial"/>
          <w:i/>
          <w:iCs/>
          <w:sz w:val="20"/>
          <w:szCs w:val="20"/>
        </w:rPr>
        <w:t>; R v Petrov</w:t>
      </w:r>
      <w:r w:rsidR="00FA572D">
        <w:rPr>
          <w:rFonts w:ascii="Arial" w:hAnsi="Arial" w:cs="Arial"/>
          <w:sz w:val="20"/>
          <w:szCs w:val="20"/>
        </w:rPr>
        <w:t xml:space="preserve"> [2025] VSC 200</w:t>
      </w:r>
      <w:r w:rsidR="00415119">
        <w:rPr>
          <w:rFonts w:ascii="Arial" w:hAnsi="Arial" w:cs="Arial"/>
          <w:sz w:val="20"/>
          <w:szCs w:val="20"/>
        </w:rPr>
        <w:t xml:space="preserve">; </w:t>
      </w:r>
      <w:r w:rsidR="00415119" w:rsidRPr="00415119">
        <w:rPr>
          <w:rFonts w:ascii="Arial" w:hAnsi="Arial" w:cs="Arial"/>
          <w:i/>
          <w:iCs/>
          <w:sz w:val="20"/>
          <w:szCs w:val="20"/>
        </w:rPr>
        <w:t>DPP v Milhuisen</w:t>
      </w:r>
      <w:r w:rsidR="00415119">
        <w:rPr>
          <w:rFonts w:ascii="Arial" w:hAnsi="Arial" w:cs="Arial"/>
          <w:sz w:val="20"/>
          <w:szCs w:val="20"/>
        </w:rPr>
        <w:t xml:space="preserve"> [2025] VSC 269</w:t>
      </w:r>
      <w:r w:rsidR="00813895">
        <w:rPr>
          <w:rFonts w:ascii="Arial" w:hAnsi="Arial" w:cs="Arial"/>
          <w:sz w:val="20"/>
          <w:szCs w:val="20"/>
        </w:rPr>
        <w:t xml:space="preserve">; </w:t>
      </w:r>
      <w:proofErr w:type="spellStart"/>
      <w:r w:rsidR="00813895" w:rsidRPr="00813895">
        <w:rPr>
          <w:rFonts w:ascii="Arial" w:hAnsi="Arial" w:cs="Arial"/>
          <w:i/>
          <w:iCs/>
          <w:sz w:val="20"/>
          <w:szCs w:val="20"/>
        </w:rPr>
        <w:t>Rozynski</w:t>
      </w:r>
      <w:proofErr w:type="spellEnd"/>
      <w:r w:rsidR="00813895" w:rsidRPr="00813895">
        <w:rPr>
          <w:rFonts w:ascii="Arial" w:hAnsi="Arial" w:cs="Arial"/>
          <w:i/>
          <w:iCs/>
          <w:sz w:val="20"/>
          <w:szCs w:val="20"/>
        </w:rPr>
        <w:t xml:space="preserve"> v The King</w:t>
      </w:r>
      <w:r w:rsidR="00813895">
        <w:rPr>
          <w:rFonts w:ascii="Arial" w:hAnsi="Arial" w:cs="Arial"/>
          <w:sz w:val="20"/>
          <w:szCs w:val="20"/>
        </w:rPr>
        <w:t xml:space="preserve"> [2025] VSCA 199</w:t>
      </w:r>
      <w:r w:rsidR="00C73B84">
        <w:rPr>
          <w:rFonts w:ascii="Arial" w:hAnsi="Arial" w:cs="Arial"/>
          <w:sz w:val="20"/>
          <w:szCs w:val="20"/>
        </w:rPr>
        <w:t xml:space="preserve">; </w:t>
      </w:r>
      <w:r w:rsidR="00C73B84" w:rsidRPr="00C73B84">
        <w:rPr>
          <w:rFonts w:ascii="Arial" w:hAnsi="Arial" w:cs="Arial"/>
          <w:i/>
          <w:iCs/>
          <w:sz w:val="20"/>
          <w:szCs w:val="20"/>
        </w:rPr>
        <w:t>DPP v Mehdi &amp; Ors (Sentence)</w:t>
      </w:r>
      <w:r w:rsidR="00C73B84">
        <w:rPr>
          <w:rFonts w:ascii="Arial" w:hAnsi="Arial" w:cs="Arial"/>
          <w:sz w:val="20"/>
          <w:szCs w:val="20"/>
        </w:rPr>
        <w:t xml:space="preserve"> [2025] VSC 532</w:t>
      </w:r>
      <w:r w:rsidR="00813895">
        <w:rPr>
          <w:rFonts w:ascii="Arial" w:hAnsi="Arial" w:cs="Arial"/>
          <w:sz w:val="20"/>
          <w:szCs w:val="20"/>
        </w:rPr>
        <w:t>.</w:t>
      </w:r>
    </w:p>
    <w:p w14:paraId="410BF40E" w14:textId="2E2A823D" w:rsidR="00652FC9" w:rsidRPr="001C6E0E" w:rsidRDefault="00427D57" w:rsidP="00652FC9">
      <w:pPr>
        <w:pStyle w:val="Heading3"/>
        <w:keepNext/>
        <w:spacing w:line="240" w:lineRule="auto"/>
        <w:rPr>
          <w:rFonts w:ascii="Arial" w:hAnsi="Arial" w:cs="Arial"/>
          <w:b/>
          <w:bCs/>
          <w:color w:val="000000"/>
          <w:sz w:val="20"/>
        </w:rPr>
      </w:pPr>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54" w:name="_11.2.22.6___1"/>
      <w:bookmarkEnd w:id="654"/>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lastRenderedPageBreak/>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R v 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lastRenderedPageBreak/>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55" w:name="_11.2.22.6__"/>
      <w:bookmarkStart w:id="656" w:name="_11.2.22.7__"/>
      <w:bookmarkEnd w:id="655"/>
      <w:bookmarkEnd w:id="656"/>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39AC21A4" w14:textId="77777777" w:rsidR="004C3602" w:rsidRPr="00302CF8" w:rsidRDefault="004C3602" w:rsidP="004C3602">
      <w:pPr>
        <w:pStyle w:val="Heading2"/>
        <w:tabs>
          <w:tab w:val="left" w:pos="567"/>
        </w:tabs>
        <w:spacing w:line="240" w:lineRule="auto"/>
        <w:ind w:left="567" w:hanging="567"/>
        <w:rPr>
          <w:rFonts w:ascii="Arial" w:hAnsi="Arial" w:cs="Arial"/>
          <w:color w:val="000000"/>
          <w:sz w:val="20"/>
        </w:rPr>
      </w:pPr>
    </w:p>
    <w:p w14:paraId="1B935A4F" w14:textId="25DD15F4" w:rsidR="004C3602" w:rsidRPr="001C6E0E" w:rsidRDefault="004C3602" w:rsidP="004C3602">
      <w:pPr>
        <w:pStyle w:val="Heading3"/>
        <w:keepNext/>
        <w:spacing w:after="120" w:line="240" w:lineRule="auto"/>
        <w:rPr>
          <w:rFonts w:ascii="Arial" w:hAnsi="Arial" w:cs="Arial"/>
          <w:b/>
          <w:bCs/>
          <w:color w:val="000000"/>
          <w:sz w:val="20"/>
        </w:rPr>
      </w:pPr>
      <w:bookmarkStart w:id="657" w:name="_11.2.22.8__"/>
      <w:bookmarkEnd w:id="657"/>
      <w:r>
        <w:rPr>
          <w:rFonts w:ascii="Arial" w:hAnsi="Arial" w:cs="Arial"/>
          <w:b/>
          <w:color w:val="000000"/>
          <w:sz w:val="20"/>
        </w:rPr>
        <w:t xml:space="preserve">11.2.22.8   </w:t>
      </w:r>
      <w:r w:rsidRPr="001C6E0E">
        <w:rPr>
          <w:rFonts w:ascii="Arial" w:hAnsi="Arial" w:cs="Arial"/>
          <w:b/>
          <w:color w:val="000000"/>
          <w:sz w:val="20"/>
        </w:rPr>
        <w:t xml:space="preserve">Sentencing for </w:t>
      </w:r>
      <w:r>
        <w:rPr>
          <w:rFonts w:ascii="Arial" w:hAnsi="Arial" w:cs="Arial"/>
          <w:b/>
          <w:color w:val="000000"/>
          <w:sz w:val="20"/>
        </w:rPr>
        <w:t>homicide by firearm</w:t>
      </w:r>
    </w:p>
    <w:p w14:paraId="01E560F8" w14:textId="40EBB4C0" w:rsidR="004C3602" w:rsidRDefault="004C3602">
      <w:pPr>
        <w:jc w:val="both"/>
        <w:rPr>
          <w:rFonts w:ascii="Arial" w:hAnsi="Arial" w:cs="Arial"/>
          <w:color w:val="000000"/>
          <w:sz w:val="20"/>
        </w:rPr>
      </w:pPr>
      <w:r>
        <w:rPr>
          <w:rFonts w:ascii="Arial" w:hAnsi="Arial" w:cs="Arial"/>
          <w:color w:val="000000"/>
          <w:sz w:val="20"/>
        </w:rPr>
        <w:t xml:space="preserve">Inserted in 2020, s.5B of the </w:t>
      </w:r>
      <w:r w:rsidRPr="00C4711F">
        <w:rPr>
          <w:rFonts w:ascii="Arial" w:hAnsi="Arial" w:cs="Arial"/>
          <w:i/>
          <w:iCs/>
          <w:color w:val="000000"/>
          <w:sz w:val="20"/>
        </w:rPr>
        <w:t>Crimes Act 1958</w:t>
      </w:r>
      <w:r>
        <w:rPr>
          <w:rFonts w:ascii="Arial" w:hAnsi="Arial" w:cs="Arial"/>
          <w:color w:val="000000"/>
          <w:sz w:val="20"/>
        </w:rPr>
        <w:t xml:space="preserve"> defines the offence of homicide by firearm as follows: “A person who, by discharging a firearm, causes the death of another person in circumstances that constitute manslaughter is guilty of homicide by firearm and liable to level 2 imprisonment (25 years maximum).”</w:t>
      </w:r>
    </w:p>
    <w:p w14:paraId="57C56580" w14:textId="77777777" w:rsidR="004C3602" w:rsidRDefault="004C3602">
      <w:pPr>
        <w:jc w:val="both"/>
        <w:rPr>
          <w:rFonts w:ascii="Arial" w:hAnsi="Arial" w:cs="Arial"/>
          <w:color w:val="000000"/>
          <w:sz w:val="20"/>
        </w:rPr>
      </w:pPr>
    </w:p>
    <w:p w14:paraId="188BFD3D" w14:textId="78657B66" w:rsidR="004C3602" w:rsidRDefault="004C3602">
      <w:pPr>
        <w:jc w:val="both"/>
        <w:rPr>
          <w:rFonts w:ascii="Arial" w:hAnsi="Arial" w:cs="Arial"/>
          <w:color w:val="000000"/>
          <w:sz w:val="20"/>
        </w:rPr>
      </w:pPr>
      <w:r>
        <w:rPr>
          <w:rFonts w:ascii="Arial" w:hAnsi="Arial" w:cs="Arial"/>
          <w:color w:val="000000"/>
          <w:sz w:val="20"/>
        </w:rPr>
        <w:t xml:space="preserve">Section 5C of the </w:t>
      </w:r>
      <w:r w:rsidRPr="00C4711F">
        <w:rPr>
          <w:rFonts w:ascii="Arial" w:hAnsi="Arial" w:cs="Arial"/>
          <w:i/>
          <w:iCs/>
          <w:color w:val="000000"/>
          <w:sz w:val="20"/>
        </w:rPr>
        <w:t>Crimes Act 1958</w:t>
      </w:r>
      <w:r>
        <w:rPr>
          <w:rFonts w:ascii="Arial" w:hAnsi="Arial" w:cs="Arial"/>
          <w:color w:val="000000"/>
          <w:sz w:val="20"/>
        </w:rPr>
        <w:t xml:space="preserve"> provides that nothing </w:t>
      </w:r>
      <w:r w:rsidRPr="004C3602">
        <w:rPr>
          <w:rFonts w:ascii="Arial" w:hAnsi="Arial" w:cs="Arial"/>
          <w:color w:val="000000"/>
          <w:sz w:val="20"/>
        </w:rPr>
        <w:t>in s</w:t>
      </w:r>
      <w:r>
        <w:rPr>
          <w:rFonts w:ascii="Arial" w:hAnsi="Arial" w:cs="Arial"/>
          <w:color w:val="000000"/>
          <w:sz w:val="20"/>
        </w:rPr>
        <w:t>.</w:t>
      </w:r>
      <w:r w:rsidRPr="004C3602">
        <w:rPr>
          <w:rFonts w:ascii="Arial" w:hAnsi="Arial" w:cs="Arial"/>
          <w:color w:val="000000"/>
          <w:sz w:val="20"/>
        </w:rPr>
        <w:t>5A or 5B is to be taken to provide that conduct that constitutes any one of the following offences is, because it constitutes that offence, incapable of constituting another of those offences—</w:t>
      </w:r>
    </w:p>
    <w:p w14:paraId="0DB4E5A3" w14:textId="683BEF90" w:rsidR="004C3602" w:rsidRPr="004C3602" w:rsidRDefault="004C3602" w:rsidP="004C3602">
      <w:pPr>
        <w:jc w:val="both"/>
        <w:rPr>
          <w:rFonts w:ascii="Arial" w:hAnsi="Arial" w:cs="Arial"/>
          <w:color w:val="000000"/>
          <w:sz w:val="20"/>
        </w:rPr>
      </w:pPr>
      <w:r w:rsidRPr="004C3602">
        <w:rPr>
          <w:rFonts w:ascii="Arial" w:hAnsi="Arial" w:cs="Arial"/>
          <w:color w:val="000000"/>
          <w:sz w:val="20"/>
        </w:rPr>
        <w:t>(a)</w:t>
      </w:r>
      <w:r w:rsidRPr="004C3602">
        <w:rPr>
          <w:rFonts w:ascii="Arial" w:hAnsi="Arial" w:cs="Arial"/>
          <w:color w:val="000000"/>
          <w:sz w:val="20"/>
        </w:rPr>
        <w:tab/>
        <w:t>manslaughter;</w:t>
      </w:r>
    </w:p>
    <w:p w14:paraId="6FDA445A" w14:textId="5E625CB9" w:rsidR="004C3602" w:rsidRPr="004C3602" w:rsidRDefault="004C3602" w:rsidP="004C3602">
      <w:pPr>
        <w:jc w:val="both"/>
        <w:rPr>
          <w:rFonts w:ascii="Arial" w:hAnsi="Arial" w:cs="Arial"/>
          <w:color w:val="000000"/>
          <w:sz w:val="20"/>
        </w:rPr>
      </w:pPr>
      <w:r w:rsidRPr="004C3602">
        <w:rPr>
          <w:rFonts w:ascii="Arial" w:hAnsi="Arial" w:cs="Arial"/>
          <w:color w:val="000000"/>
          <w:sz w:val="20"/>
        </w:rPr>
        <w:t>(b)</w:t>
      </w:r>
      <w:r w:rsidRPr="004C3602">
        <w:rPr>
          <w:rFonts w:ascii="Arial" w:hAnsi="Arial" w:cs="Arial"/>
          <w:color w:val="000000"/>
          <w:sz w:val="20"/>
        </w:rPr>
        <w:tab/>
        <w:t>child homicide;</w:t>
      </w:r>
    </w:p>
    <w:p w14:paraId="237D277F" w14:textId="7E8C173F" w:rsidR="004C3602" w:rsidRPr="004C3602" w:rsidRDefault="004C3602" w:rsidP="004C3602">
      <w:pPr>
        <w:jc w:val="both"/>
        <w:rPr>
          <w:rFonts w:ascii="Arial" w:hAnsi="Arial" w:cs="Arial"/>
          <w:color w:val="000000"/>
          <w:sz w:val="20"/>
        </w:rPr>
      </w:pPr>
      <w:r w:rsidRPr="004C3602">
        <w:rPr>
          <w:rFonts w:ascii="Arial" w:hAnsi="Arial" w:cs="Arial"/>
          <w:color w:val="000000"/>
          <w:sz w:val="20"/>
        </w:rPr>
        <w:t>(c)</w:t>
      </w:r>
      <w:r w:rsidRPr="004C3602">
        <w:rPr>
          <w:rFonts w:ascii="Arial" w:hAnsi="Arial" w:cs="Arial"/>
          <w:color w:val="000000"/>
          <w:sz w:val="20"/>
        </w:rPr>
        <w:tab/>
        <w:t>homicide by firearm.</w:t>
      </w:r>
    </w:p>
    <w:p w14:paraId="1F3886A6" w14:textId="77777777" w:rsidR="004C3602" w:rsidRDefault="004C3602">
      <w:pPr>
        <w:jc w:val="both"/>
        <w:rPr>
          <w:rFonts w:ascii="Arial" w:hAnsi="Arial" w:cs="Arial"/>
          <w:color w:val="000000"/>
          <w:sz w:val="20"/>
        </w:rPr>
      </w:pPr>
    </w:p>
    <w:p w14:paraId="0B2D14E2" w14:textId="77777777" w:rsidR="004C3602" w:rsidRDefault="004C3602" w:rsidP="004C3602">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31 year old Aboriginal offender had pleaded guilty to a charge of homicide by firearm.  It was accepted by the prosecution that the offender did not possess the firearm at any time.  By his plea, the offender accepted that he entered into an agreement, arrangement or understanding with a cooffender to confront and threaten the victim with a loaded firearm.  The cooffender had pleaded guilty to manslaughter and had been sentenced to IMP9y6m/5y6m.  Noting that the standard sentence for homicide by firearm was IMP13y, Incerti J imposed a reduced sentence of IMP7y6m/4y6m applying at [59]-[65] parity principles and at [44]-[48] the principles in </w:t>
      </w:r>
      <w:r w:rsidRPr="008D7346">
        <w:rPr>
          <w:rFonts w:ascii="Arial" w:hAnsi="Arial" w:cs="Arial"/>
          <w:i/>
          <w:iCs/>
          <w:color w:val="000000"/>
          <w:sz w:val="20"/>
        </w:rPr>
        <w:t>Bugmy v The Queen</w:t>
      </w:r>
      <w:r>
        <w:rPr>
          <w:rFonts w:ascii="Arial" w:hAnsi="Arial" w:cs="Arial"/>
          <w:color w:val="000000"/>
          <w:sz w:val="20"/>
        </w:rPr>
        <w:t xml:space="preserve"> (2013) 249 CLR 571 [</w:t>
      </w:r>
      <w:r>
        <w:rPr>
          <w:rFonts w:ascii="Arial" w:hAnsi="Arial" w:cs="Arial"/>
          <w:color w:val="000000"/>
          <w:sz w:val="20"/>
          <w:szCs w:val="20"/>
          <w:lang w:eastAsia="en-AU"/>
        </w:rPr>
        <w:t xml:space="preserve">see </w:t>
      </w:r>
      <w:r w:rsidRPr="00E94F6B">
        <w:rPr>
          <w:rFonts w:ascii="Arial" w:hAnsi="Arial" w:cs="Arial"/>
          <w:b/>
          <w:bCs/>
          <w:color w:val="000000"/>
          <w:sz w:val="20"/>
          <w:szCs w:val="20"/>
          <w:shd w:val="clear" w:color="auto" w:fill="C5E0B3" w:themeFill="accent6" w:themeFillTint="66"/>
          <w:lang w:eastAsia="en-AU"/>
        </w:rPr>
        <w:t>section 11.2.</w:t>
      </w:r>
      <w:r>
        <w:rPr>
          <w:rFonts w:ascii="Arial" w:hAnsi="Arial" w:cs="Arial"/>
          <w:b/>
          <w:bCs/>
          <w:color w:val="000000"/>
          <w:sz w:val="20"/>
          <w:szCs w:val="20"/>
          <w:shd w:val="clear" w:color="auto" w:fill="C5E0B3" w:themeFill="accent6" w:themeFillTint="66"/>
          <w:lang w:eastAsia="en-AU"/>
        </w:rPr>
        <w:t>12</w:t>
      </w:r>
      <w:r>
        <w:rPr>
          <w:rFonts w:ascii="Arial" w:hAnsi="Arial" w:cs="Arial"/>
          <w:color w:val="000000"/>
          <w:sz w:val="20"/>
          <w:szCs w:val="20"/>
          <w:lang w:eastAsia="en-AU"/>
        </w:rPr>
        <w:t xml:space="preserve"> above] and because </w:t>
      </w:r>
      <w:r>
        <w:rPr>
          <w:rFonts w:ascii="Arial" w:hAnsi="Arial" w:cs="Arial"/>
          <w:color w:val="000000"/>
          <w:sz w:val="20"/>
        </w:rPr>
        <w:t>the offender had entered an early guilty plea and had genuine remorse.</w:t>
      </w:r>
    </w:p>
    <w:p w14:paraId="5B86E0AA" w14:textId="77777777" w:rsidR="004C3602" w:rsidRDefault="004C3602" w:rsidP="004C3602">
      <w:pPr>
        <w:pStyle w:val="Heading2"/>
        <w:tabs>
          <w:tab w:val="left" w:pos="567"/>
        </w:tabs>
        <w:spacing w:line="240" w:lineRule="auto"/>
        <w:rPr>
          <w:rFonts w:ascii="Arial" w:hAnsi="Arial" w:cs="Arial"/>
          <w:bCs/>
          <w:color w:val="000000"/>
          <w:sz w:val="20"/>
          <w:lang w:val="en-US"/>
        </w:rPr>
      </w:pPr>
    </w:p>
    <w:p w14:paraId="6065CD4C" w14:textId="77777777" w:rsidR="004C3602" w:rsidRDefault="004C3602" w:rsidP="00C37421">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 see </w:t>
      </w:r>
      <w:r w:rsidRPr="00D32C06">
        <w:rPr>
          <w:i/>
          <w:iCs/>
        </w:rPr>
        <w:t>DPP v Mohamed</w:t>
      </w:r>
      <w:r w:rsidRPr="00D32C06">
        <w:t xml:space="preserve"> [2024] VSC 318; </w:t>
      </w:r>
      <w:r w:rsidRPr="00D32C06">
        <w:rPr>
          <w:i/>
          <w:iCs/>
        </w:rPr>
        <w:t xml:space="preserve">DPP v Sisal </w:t>
      </w:r>
      <w:r w:rsidRPr="00D32C06">
        <w:t>[2024] VSC 589</w:t>
      </w:r>
      <w:r>
        <w:t xml:space="preserve"> summarized in </w:t>
      </w:r>
      <w:r w:rsidRPr="0036614D">
        <w:rPr>
          <w:b/>
          <w:shd w:val="clear" w:color="auto" w:fill="C5E0B3" w:themeFill="accent6" w:themeFillTint="66"/>
        </w:rPr>
        <w:t>section 11.2.22.1</w:t>
      </w:r>
      <w:r>
        <w:t xml:space="preserve"> above. Mr Mohamed was the driver of the </w:t>
      </w:r>
      <w:r>
        <w:lastRenderedPageBreak/>
        <w:t>getaway car and did not actually enter the deceased’s home was sentenced to 4y YJC (presentence incarceration not counted as time served). Mr Sisal had entered the house but was not the shooter.</w:t>
      </w:r>
    </w:p>
    <w:p w14:paraId="4B460A0B" w14:textId="77777777" w:rsidR="00A54773" w:rsidRDefault="00A54773" w:rsidP="00A54773">
      <w:pPr>
        <w:jc w:val="both"/>
        <w:rPr>
          <w:rFonts w:ascii="Arial" w:hAnsi="Arial" w:cs="Arial"/>
          <w:color w:val="000000"/>
          <w:sz w:val="20"/>
        </w:rPr>
      </w:pPr>
      <w:bookmarkStart w:id="658" w:name="_11.2.23_Sentencing_for"/>
      <w:bookmarkStart w:id="659" w:name="_Toc107101763"/>
      <w:bookmarkEnd w:id="658"/>
    </w:p>
    <w:p w14:paraId="58FC2E0C" w14:textId="77777777" w:rsidR="00A54773" w:rsidRPr="00DD24BF" w:rsidRDefault="00A54773" w:rsidP="00A54773">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D7F6B55" w14:textId="77777777" w:rsidR="00A54773" w:rsidRPr="007B6500" w:rsidRDefault="00A54773" w:rsidP="00A54773">
      <w:pPr>
        <w:pStyle w:val="Heading2"/>
        <w:tabs>
          <w:tab w:val="left" w:pos="567"/>
        </w:tabs>
        <w:spacing w:line="240" w:lineRule="auto"/>
        <w:ind w:left="567" w:hanging="567"/>
        <w:rPr>
          <w:rFonts w:ascii="Arial" w:hAnsi="Arial" w:cs="Arial"/>
          <w:color w:val="000000"/>
          <w:sz w:val="20"/>
        </w:rPr>
      </w:pPr>
    </w:p>
    <w:p w14:paraId="626EE053" w14:textId="77777777" w:rsidR="006B0029" w:rsidRDefault="006B0029">
      <w:pPr>
        <w:rPr>
          <w:rFonts w:ascii="Arial" w:hAnsi="Arial" w:cs="Arial"/>
          <w:b/>
          <w:bCs/>
          <w:color w:val="000000"/>
          <w:kern w:val="28"/>
          <w:sz w:val="20"/>
          <w:szCs w:val="20"/>
          <w:lang w:val="en-GB"/>
        </w:rPr>
      </w:pPr>
      <w:r>
        <w:rPr>
          <w:rFonts w:ascii="Arial" w:hAnsi="Arial" w:cs="Arial"/>
          <w:b/>
          <w:bCs/>
          <w:color w:val="000000"/>
          <w:sz w:val="20"/>
        </w:rPr>
        <w:br w:type="page"/>
      </w:r>
    </w:p>
    <w:p w14:paraId="3531A318" w14:textId="62B204CC" w:rsidR="00274EB3" w:rsidRPr="00274EB3" w:rsidRDefault="00BF52E5" w:rsidP="009A6CB5">
      <w:pPr>
        <w:pStyle w:val="Heading3"/>
        <w:keepNext/>
        <w:keepLines/>
        <w:widowControl/>
        <w:spacing w:line="240" w:lineRule="auto"/>
        <w:rPr>
          <w:rFonts w:ascii="Arial" w:hAnsi="Arial" w:cs="Arial"/>
          <w:b/>
          <w:bCs/>
          <w:color w:val="000000"/>
          <w:sz w:val="20"/>
        </w:rPr>
      </w:pPr>
      <w:bookmarkStart w:id="660" w:name="_11.2.23_Sentencing_for_1"/>
      <w:bookmarkEnd w:id="660"/>
      <w:r w:rsidRPr="001C6E0E">
        <w:rPr>
          <w:rFonts w:ascii="Arial" w:hAnsi="Arial" w:cs="Arial"/>
          <w:b/>
          <w:bCs/>
          <w:color w:val="000000"/>
          <w:sz w:val="20"/>
        </w:rPr>
        <w:lastRenderedPageBreak/>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59"/>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61" w:name="_A_CULPABLE_DRIVING"/>
      <w:bookmarkEnd w:id="661"/>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Winneke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 xml:space="preserve">DPP v </w:t>
      </w:r>
      <w:r w:rsidRPr="001C6E0E">
        <w:rPr>
          <w:rFonts w:ascii="Arial" w:hAnsi="Arial" w:cs="Arial"/>
          <w:i/>
          <w:color w:val="000000"/>
          <w:sz w:val="20"/>
        </w:rPr>
        <w:lastRenderedPageBreak/>
        <w:t>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rsidP="00E14B8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[82] “[L]ack of restraint in consequence of the combination of the appellant’s premorbid state and the effects of his head injury provide an explanation, though not an excuse, for his offending before, at the time ofl,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place">
        <w:smartTag w:uri="urn:schemas-microsoft-com:office:smarttags" w:element="country-region">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Street">
        <w:smartTag w:uri="urn:schemas-microsoft-com:office:smarttags" w:element="address">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w:t>
      </w:r>
      <w:r w:rsidR="00BF52E5" w:rsidRPr="001C6E0E">
        <w:rPr>
          <w:rFonts w:ascii="Arial" w:hAnsi="Arial" w:cs="Arial"/>
          <w:color w:val="000000"/>
          <w:sz w:val="20"/>
        </w:rPr>
        <w:lastRenderedPageBreak/>
        <w:t xml:space="preserve">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E14B89">
      <w:pPr>
        <w:keepNext/>
        <w:keepLines/>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33"/>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lastRenderedPageBreak/>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Serious driving offences frequently involve offenders who are of generally good character and who have excellent prospects for reformation.  No-one likes sending such people to gaol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w:t>
      </w:r>
      <w:r w:rsidRPr="001C6E0E">
        <w:rPr>
          <w:rFonts w:ascii="Arial" w:hAnsi="Arial" w:cs="Arial"/>
          <w:color w:val="000000"/>
          <w:sz w:val="20"/>
        </w:rPr>
        <w:lastRenderedPageBreak/>
        <w:t>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 xml:space="preserve">admissions that he should not have been driving, he was fatigued, his senses </w:t>
      </w:r>
      <w:r w:rsidR="006C16ED" w:rsidRPr="006C16ED">
        <w:rPr>
          <w:rFonts w:ascii="Arial" w:hAnsi="Arial" w:cs="Arial"/>
          <w:sz w:val="20"/>
          <w:szCs w:val="20"/>
        </w:rPr>
        <w:lastRenderedPageBreak/>
        <w:t>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 xml:space="preserve"> 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2E6A70B1"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62" w:name="_B_DANGEROUS_DRIVING"/>
      <w:bookmarkStart w:id="663" w:name="_Hlk158025989"/>
      <w:bookmarkEnd w:id="662"/>
      <w:r>
        <w:rPr>
          <w:rFonts w:ascii="Arial" w:hAnsi="Arial" w:cs="Arial"/>
          <w:b/>
          <w:color w:val="FFFFFF" w:themeColor="background1"/>
          <w:sz w:val="20"/>
          <w:szCs w:val="22"/>
          <w:shd w:val="clear" w:color="auto" w:fill="000000"/>
        </w:rPr>
        <w:lastRenderedPageBreak/>
        <w:t>B</w:t>
      </w:r>
      <w:bookmarkEnd w:id="663"/>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referable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lastRenderedPageBreak/>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64"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64"/>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w:t>
      </w:r>
      <w:r w:rsidR="00AB1BC5" w:rsidRPr="00AB1BC5">
        <w:rPr>
          <w:rFonts w:ascii="Arial" w:hAnsi="Arial" w:cs="Arial"/>
          <w:sz w:val="20"/>
          <w:szCs w:val="20"/>
        </w:rPr>
        <w:lastRenderedPageBreak/>
        <w:t xml:space="preserve">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 xml:space="preserve">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w:t>
      </w:r>
      <w:r w:rsidRPr="0002489D">
        <w:rPr>
          <w:rFonts w:ascii="Arial" w:hAnsi="Arial" w:cs="Arial"/>
          <w:sz w:val="20"/>
          <w:szCs w:val="20"/>
        </w:rPr>
        <w:lastRenderedPageBreak/>
        <w:t>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(eb)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lastRenderedPageBreak/>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r w:rsidRPr="00D31D28">
        <w:rPr>
          <w:rFonts w:ascii="Arial" w:hAnsi="Arial" w:cs="Arial"/>
          <w:i/>
          <w:iCs/>
          <w:sz w:val="20"/>
          <w:szCs w:val="20"/>
        </w:rPr>
        <w:t>Papagelou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009BF514"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Martinez</w:t>
      </w:r>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DPP v Sheather</w:t>
      </w:r>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r w:rsidR="00133929">
        <w:rPr>
          <w:rFonts w:ascii="Arial" w:hAnsi="Arial" w:cs="Arial"/>
          <w:sz w:val="20"/>
          <w:szCs w:val="20"/>
        </w:rPr>
        <w:t>; [2025] VSC 67</w:t>
      </w:r>
      <w:r w:rsidR="00FF7DF3">
        <w:rPr>
          <w:rFonts w:ascii="Arial" w:hAnsi="Arial" w:cs="Arial"/>
          <w:sz w:val="20"/>
          <w:szCs w:val="20"/>
        </w:rPr>
        <w:t xml:space="preserve">; </w:t>
      </w:r>
      <w:r w:rsidR="00FF7DF3" w:rsidRPr="00FF7DF3">
        <w:rPr>
          <w:rFonts w:ascii="Arial" w:hAnsi="Arial" w:cs="Arial"/>
          <w:i/>
          <w:iCs/>
          <w:sz w:val="20"/>
          <w:szCs w:val="20"/>
        </w:rPr>
        <w:t>Holmes v The King</w:t>
      </w:r>
      <w:r w:rsidR="00FF7DF3">
        <w:rPr>
          <w:rFonts w:ascii="Arial" w:hAnsi="Arial" w:cs="Arial"/>
          <w:sz w:val="20"/>
          <w:szCs w:val="20"/>
        </w:rPr>
        <w:t xml:space="preserve"> [2025] VSCA 136</w:t>
      </w:r>
      <w:r w:rsidR="00D93001">
        <w:rPr>
          <w:rFonts w:ascii="Arial" w:hAnsi="Arial" w:cs="Arial"/>
          <w:sz w:val="20"/>
          <w:szCs w:val="20"/>
        </w:rPr>
        <w:t xml:space="preserve">; </w:t>
      </w:r>
      <w:r w:rsidR="00D93001" w:rsidRPr="00D93001">
        <w:rPr>
          <w:rFonts w:ascii="Arial" w:hAnsi="Arial" w:cs="Arial"/>
          <w:i/>
          <w:iCs/>
          <w:sz w:val="20"/>
          <w:szCs w:val="20"/>
        </w:rPr>
        <w:t>Ritchie v The King</w:t>
      </w:r>
      <w:r w:rsidR="00D93001">
        <w:rPr>
          <w:rFonts w:ascii="Arial" w:hAnsi="Arial" w:cs="Arial"/>
          <w:sz w:val="20"/>
          <w:szCs w:val="20"/>
        </w:rPr>
        <w:t xml:space="preserve"> [2025] VSCA 154</w:t>
      </w:r>
      <w:r w:rsidR="00813895">
        <w:rPr>
          <w:rFonts w:ascii="Arial" w:hAnsi="Arial" w:cs="Arial"/>
          <w:sz w:val="20"/>
          <w:szCs w:val="20"/>
        </w:rPr>
        <w:t xml:space="preserve">; </w:t>
      </w:r>
      <w:r w:rsidR="00813895" w:rsidRPr="00813895">
        <w:rPr>
          <w:rFonts w:ascii="Arial" w:hAnsi="Arial" w:cs="Arial"/>
          <w:i/>
          <w:iCs/>
          <w:sz w:val="20"/>
          <w:szCs w:val="20"/>
        </w:rPr>
        <w:t>Andrews v The King</w:t>
      </w:r>
      <w:r w:rsidR="00813895">
        <w:rPr>
          <w:rFonts w:ascii="Arial" w:hAnsi="Arial" w:cs="Arial"/>
          <w:sz w:val="20"/>
          <w:szCs w:val="20"/>
        </w:rPr>
        <w:t xml:space="preserve"> [2025] VSCA 197</w:t>
      </w:r>
      <w:r w:rsidR="000529C4">
        <w:rPr>
          <w:rFonts w:ascii="Arial" w:hAnsi="Arial" w:cs="Arial"/>
          <w:sz w:val="20"/>
          <w:szCs w:val="20"/>
        </w:rPr>
        <w:t xml:space="preserve">; </w:t>
      </w:r>
      <w:proofErr w:type="spellStart"/>
      <w:r w:rsidR="000529C4" w:rsidRPr="000529C4">
        <w:rPr>
          <w:rFonts w:ascii="Arial" w:hAnsi="Arial" w:cs="Arial"/>
          <w:i/>
          <w:iCs/>
          <w:sz w:val="20"/>
          <w:szCs w:val="20"/>
        </w:rPr>
        <w:t>Pershouse</w:t>
      </w:r>
      <w:proofErr w:type="spellEnd"/>
      <w:r w:rsidR="000529C4" w:rsidRPr="000529C4">
        <w:rPr>
          <w:rFonts w:ascii="Arial" w:hAnsi="Arial" w:cs="Arial"/>
          <w:i/>
          <w:iCs/>
          <w:sz w:val="20"/>
          <w:szCs w:val="20"/>
        </w:rPr>
        <w:t xml:space="preserve"> v The King</w:t>
      </w:r>
      <w:r w:rsidR="000529C4">
        <w:rPr>
          <w:rFonts w:ascii="Arial" w:hAnsi="Arial" w:cs="Arial"/>
          <w:sz w:val="20"/>
          <w:szCs w:val="20"/>
        </w:rPr>
        <w:t xml:space="preserve"> [2025] VSCA 189</w:t>
      </w:r>
      <w:r w:rsidR="00DC35B7">
        <w:rPr>
          <w:rFonts w:ascii="Arial" w:hAnsi="Arial" w:cs="Arial"/>
          <w:sz w:val="20"/>
          <w:szCs w:val="20"/>
        </w:rPr>
        <w:t>.</w:t>
      </w:r>
    </w:p>
    <w:p w14:paraId="4A9BC4E5" w14:textId="7AEFE391"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65" w:name="_11.2.24_Sentencing_for"/>
      <w:bookmarkEnd w:id="665"/>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lastRenderedPageBreak/>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r w:rsidRPr="00B6735A">
        <w:rPr>
          <w:rFonts w:ascii="Arial" w:hAnsi="Arial" w:cs="Arial"/>
          <w:i/>
          <w:iCs/>
          <w:color w:val="000000"/>
          <w:sz w:val="20"/>
        </w:rPr>
        <w:t>Avder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3B0458BC" w14:textId="77777777" w:rsidR="00D74ECA" w:rsidRDefault="00D74ECA" w:rsidP="00D74ECA">
      <w:pPr>
        <w:jc w:val="both"/>
        <w:rPr>
          <w:rFonts w:ascii="Arial" w:hAnsi="Arial" w:cs="Arial"/>
          <w:color w:val="000000"/>
          <w:sz w:val="20"/>
        </w:rPr>
      </w:pPr>
    </w:p>
    <w:p w14:paraId="484DEFDB" w14:textId="646C5B0A" w:rsidR="006C51C3" w:rsidRDefault="006C51C3" w:rsidP="006C51C3">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 The first victim was of African appearance and the applicant had shouted racist abuse at him. The applicant had used his vehicle to run over the second victim who was of Indian appearance. The sentencing judge had found that racist motivation underlay the offending against both victims. Leave to appeal was refused. At</w:t>
      </w:r>
      <w:r w:rsidR="0063570E">
        <w:rPr>
          <w:rFonts w:ascii="Arial" w:hAnsi="Arial" w:cs="Arial"/>
          <w:color w:val="000000"/>
          <w:sz w:val="20"/>
        </w:rPr>
        <w:t xml:space="preserve"> </w:t>
      </w:r>
      <w:r>
        <w:rPr>
          <w:rFonts w:ascii="Arial" w:hAnsi="Arial" w:cs="Arial"/>
          <w:color w:val="000000"/>
          <w:sz w:val="20"/>
        </w:rPr>
        <w:t>[53] Priest &amp; McLeish JJA said:</w:t>
      </w:r>
    </w:p>
    <w:p w14:paraId="63823B26" w14:textId="77777777"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[53] “</w:t>
      </w:r>
      <w:r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Pr="00F6411C">
        <w:rPr>
          <w:rFonts w:ascii="Arial" w:hAnsi="Arial" w:cs="Arial"/>
          <w:color w:val="000000"/>
          <w:sz w:val="20"/>
        </w:rPr>
        <w:t>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Pr>
          <w:rFonts w:ascii="Arial" w:hAnsi="Arial" w:cs="Arial"/>
          <w:color w:val="000000"/>
          <w:sz w:val="20"/>
        </w:rPr>
        <w:t>”</w:t>
      </w:r>
    </w:p>
    <w:p w14:paraId="6C65DB53" w14:textId="77777777" w:rsidR="00F6411C" w:rsidRDefault="00F6411C" w:rsidP="00D74ECA">
      <w:pPr>
        <w:jc w:val="both"/>
        <w:rPr>
          <w:rFonts w:ascii="Arial" w:hAnsi="Arial" w:cs="Arial"/>
          <w:color w:val="000000"/>
          <w:sz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66" w:name="_11.2.24.1__"/>
      <w:bookmarkEnd w:id="666"/>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67" w:name="_A_INTENTIONALLY_CAUSING"/>
      <w:bookmarkEnd w:id="667"/>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2A207A03"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68" w:name="ORIGHIT_3"/>
      <w:bookmarkStart w:id="669" w:name="HIT_3"/>
      <w:bookmarkEnd w:id="668"/>
      <w:bookmarkEnd w:id="669"/>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70" w:name="PAGE_43"/>
      <w:bookmarkStart w:id="671" w:name="TAAG"/>
      <w:bookmarkEnd w:id="670"/>
      <w:bookmarkEnd w:id="671"/>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w:t>
      </w:r>
      <w:r w:rsidRPr="001C6E0E">
        <w:rPr>
          <w:rFonts w:ascii="Arial" w:hAnsi="Arial" w:cs="Arial"/>
          <w:color w:val="000000"/>
          <w:sz w:val="20"/>
        </w:rPr>
        <w:lastRenderedPageBreak/>
        <w:t xml:space="preserve">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lastRenderedPageBreak/>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72" w:name="fnB22"/>
      <w:r w:rsidRPr="001C6E0E">
        <w:rPr>
          <w:rFonts w:ascii="Arial" w:hAnsi="Arial" w:cs="Arial"/>
          <w:color w:val="000000"/>
          <w:sz w:val="20"/>
          <w:lang w:val="en-US"/>
        </w:rPr>
        <w:t xml:space="preserve"> [2010] VSCA 119,</w:t>
      </w:r>
      <w:bookmarkEnd w:id="672"/>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lastRenderedPageBreak/>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lastRenderedPageBreak/>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Veenings — who was a completely innocent bystander — by holding the shotgun to his head, but he fired it into Mr Veenings’ knee, causing terrible injuries. So much was a gratuitous, spiteful and cruel act of violence, which, as we have said, caused Mr Veenings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lastRenderedPageBreak/>
        <w:t xml:space="preserve">DPP v Deak </w:t>
      </w:r>
      <w:r w:rsidRPr="00104EFD">
        <w:rPr>
          <w:rFonts w:ascii="Arial" w:hAnsi="Arial" w:cs="Arial"/>
          <w:color w:val="000000"/>
          <w:sz w:val="20"/>
        </w:rPr>
        <w:t>[2024] VSC</w:t>
      </w:r>
      <w:r>
        <w:rPr>
          <w:rFonts w:ascii="Arial" w:hAnsi="Arial" w:cs="Arial"/>
          <w:color w:val="000000"/>
          <w:sz w:val="20"/>
        </w:rPr>
        <w:t xml:space="preserve"> 723 [60-year old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r w:rsidRPr="00104EFD">
        <w:rPr>
          <w:rFonts w:ascii="Arial" w:hAnsi="Arial" w:cs="Arial"/>
          <w:i/>
          <w:iCs/>
          <w:color w:val="000000"/>
          <w:sz w:val="20"/>
        </w:rPr>
        <w:t>Bugmy</w:t>
      </w:r>
      <w:r>
        <w:rPr>
          <w:rFonts w:ascii="Arial" w:hAnsi="Arial" w:cs="Arial"/>
          <w:color w:val="000000"/>
          <w:sz w:val="20"/>
        </w:rPr>
        <w:t xml:space="preserve"> considerations – limited criminal history – positive prospects of rehabilitation – IMP4y/2y2m].</w:t>
      </w:r>
    </w:p>
    <w:p w14:paraId="0F618485" w14:textId="732C244C" w:rsidR="0045003F" w:rsidRPr="0045003F" w:rsidRDefault="0045003F" w:rsidP="0045003F">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Pihlgren v The King </w:t>
      </w:r>
      <w:r w:rsidRPr="0045003F">
        <w:rPr>
          <w:rFonts w:ascii="Arial" w:hAnsi="Arial" w:cs="Arial"/>
          <w:color w:val="000000"/>
          <w:sz w:val="20"/>
        </w:rPr>
        <w:t>[2024] VSCA 47 [</w:t>
      </w:r>
      <w:r>
        <w:rPr>
          <w:rFonts w:ascii="Arial" w:hAnsi="Arial" w:cs="Arial"/>
          <w:color w:val="000000"/>
          <w:sz w:val="20"/>
        </w:rPr>
        <w:t>52 year old accused with a substantial criminal record pleaded guilty to one charge of intentionally causing serious injury in the context of an unprovoked knife attack on a stranger in public – sentenced as a serious violent offender and there were very few mitigating factors – IMP12y/8y – leave to appeal granted but appeal dismissed].</w:t>
      </w:r>
    </w:p>
    <w:p w14:paraId="3E50DD93" w14:textId="096AD1CB" w:rsidR="00995273" w:rsidRDefault="00995273" w:rsidP="00995273">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Zheng </w:t>
      </w:r>
      <w:r w:rsidRPr="00995273">
        <w:rPr>
          <w:rFonts w:ascii="Arial" w:hAnsi="Arial" w:cs="Arial"/>
          <w:color w:val="000000"/>
          <w:sz w:val="20"/>
        </w:rPr>
        <w:t>[2025] VSC 76 [</w:t>
      </w:r>
      <w:r>
        <w:rPr>
          <w:rFonts w:ascii="Arial" w:hAnsi="Arial" w:cs="Arial"/>
          <w:color w:val="000000"/>
          <w:sz w:val="20"/>
        </w:rPr>
        <w:t>30</w:t>
      </w:r>
      <w:r w:rsidRPr="00995273">
        <w:rPr>
          <w:rFonts w:ascii="Arial" w:hAnsi="Arial" w:cs="Arial"/>
          <w:color w:val="000000"/>
          <w:sz w:val="20"/>
        </w:rPr>
        <w:t xml:space="preserve"> year old accused </w:t>
      </w:r>
      <w:r>
        <w:rPr>
          <w:rFonts w:ascii="Arial" w:hAnsi="Arial" w:cs="Arial"/>
          <w:color w:val="000000"/>
          <w:sz w:val="20"/>
        </w:rPr>
        <w:t>had a verbal and physical altercation with his wife at a house party – a male guest who assisted the wife was stabbed multiple times to the torso – the male victim would have died without urgent medical care – an offer to plead guilty to a lesser charge was not accepted with relation to the stabbing – lack of remorse – IMP9y/6y6m].</w:t>
      </w:r>
    </w:p>
    <w:p w14:paraId="6E436389" w14:textId="771F8418" w:rsidR="006068EF" w:rsidRDefault="006068EF" w:rsidP="00995273">
      <w:pPr>
        <w:numPr>
          <w:ilvl w:val="0"/>
          <w:numId w:val="37"/>
        </w:numPr>
        <w:ind w:left="357" w:hanging="357"/>
        <w:jc w:val="both"/>
        <w:rPr>
          <w:rFonts w:ascii="Arial" w:hAnsi="Arial" w:cs="Arial"/>
          <w:color w:val="000000"/>
          <w:sz w:val="20"/>
        </w:rPr>
      </w:pPr>
      <w:r w:rsidRPr="00F44A9E">
        <w:rPr>
          <w:rFonts w:ascii="Arial" w:hAnsi="Arial" w:cs="Arial"/>
          <w:i/>
          <w:iCs/>
          <w:color w:val="000000"/>
          <w:sz w:val="20"/>
        </w:rPr>
        <w:t>R v Liang</w:t>
      </w:r>
      <w:r>
        <w:rPr>
          <w:rFonts w:ascii="Arial" w:hAnsi="Arial" w:cs="Arial"/>
          <w:color w:val="000000"/>
          <w:sz w:val="20"/>
        </w:rPr>
        <w:t xml:space="preserve"> [2025] VSC 218 [59 year old accused (aged 61 at time of sentence) pleaded guilty to intentionally causing serious injury to his 39 year old estranged wife in the kitchen of the family home by stabbing her with a knife, without warning, multiple times to the face, upper body, arms and hands – after one of their children wrestled the knife from him, he resumed the attack with a meat cleaver – their children ultimately stopped the assault, allowing their mother to flee – her injuries included permanent blindness in the left eye, significant laceration of her tongue and notable facial and other scarring – offence committed in breach of a family violence intervention order and an adjourned undertaking for breaching a similar order – grave example of offence – accused handed himself in to police and made some admissions – genuine remorse – no prior convictions but previous instances of family violence (albeit not physical) – solid work history and support of adult son – good prospects of rehabilitation – accused’s severe depression, adjustment disorder, cognitive deficits and lack of English make imprisonment more burdensome </w:t>
      </w:r>
      <w:r w:rsidR="00F44A9E">
        <w:rPr>
          <w:rFonts w:ascii="Arial" w:hAnsi="Arial" w:cs="Arial"/>
          <w:color w:val="000000"/>
          <w:sz w:val="20"/>
        </w:rPr>
        <w:t>–</w:t>
      </w:r>
      <w:r>
        <w:rPr>
          <w:rFonts w:ascii="Arial" w:hAnsi="Arial" w:cs="Arial"/>
          <w:color w:val="000000"/>
          <w:sz w:val="20"/>
        </w:rPr>
        <w:t xml:space="preserve"> </w:t>
      </w:r>
      <w:r w:rsidR="00F44A9E">
        <w:rPr>
          <w:rFonts w:ascii="Arial" w:hAnsi="Arial" w:cs="Arial"/>
          <w:color w:val="000000"/>
          <w:sz w:val="20"/>
        </w:rPr>
        <w:t>IMP10y/7y].</w:t>
      </w:r>
    </w:p>
    <w:p w14:paraId="1C2E1683" w14:textId="77777777" w:rsidR="006068EF" w:rsidRDefault="006068EF"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73" w:name="_B_INTENTIONALLY_CAUSING"/>
      <w:bookmarkEnd w:id="673"/>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w:t>
      </w:r>
      <w:r w:rsidRPr="00E42E72">
        <w:rPr>
          <w:rFonts w:ascii="Arial" w:hAnsi="Arial" w:cs="Arial"/>
          <w:sz w:val="20"/>
          <w:szCs w:val="20"/>
        </w:rPr>
        <w:lastRenderedPageBreak/>
        <w:t xml:space="preserve">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74"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74"/>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1F4D6C51" w14:textId="39D48931" w:rsidR="00227507" w:rsidRDefault="00227507" w:rsidP="00EA4EB8">
      <w:pPr>
        <w:jc w:val="both"/>
        <w:rPr>
          <w:rFonts w:ascii="Arial" w:hAnsi="Arial" w:cs="Arial"/>
          <w:sz w:val="20"/>
          <w:szCs w:val="20"/>
        </w:rPr>
      </w:pPr>
      <w:r>
        <w:rPr>
          <w:rFonts w:ascii="Arial" w:hAnsi="Arial" w:cs="Arial"/>
          <w:sz w:val="20"/>
          <w:szCs w:val="20"/>
        </w:rPr>
        <w:t xml:space="preserve">See also </w:t>
      </w:r>
      <w:r w:rsidRPr="00C308DA">
        <w:rPr>
          <w:rFonts w:ascii="Arial" w:hAnsi="Arial" w:cs="Arial"/>
          <w:i/>
          <w:iCs/>
          <w:sz w:val="20"/>
          <w:szCs w:val="20"/>
        </w:rPr>
        <w:t>FD v DPP</w:t>
      </w:r>
      <w:r>
        <w:rPr>
          <w:rFonts w:ascii="Arial" w:hAnsi="Arial" w:cs="Arial"/>
          <w:sz w:val="20"/>
          <w:szCs w:val="20"/>
        </w:rPr>
        <w:t xml:space="preserve"> [2025] VSC 519</w:t>
      </w:r>
      <w:r>
        <w:rPr>
          <w:rFonts w:ascii="Arial" w:hAnsi="Arial" w:cs="Arial"/>
          <w:sz w:val="20"/>
          <w:szCs w:val="20"/>
        </w:rPr>
        <w:t xml:space="preserve"> summarised in </w:t>
      </w:r>
      <w:r w:rsidRPr="00227507">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w:t>
      </w:r>
    </w:p>
    <w:p w14:paraId="75FD1CE0" w14:textId="77777777" w:rsidR="00227507" w:rsidRDefault="00227507"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cricumstances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lastRenderedPageBreak/>
        <w:t>Van Kempen v The Queen</w:t>
      </w:r>
      <w:r>
        <w:rPr>
          <w:rFonts w:ascii="Arial" w:hAnsi="Arial" w:cs="Arial"/>
          <w:sz w:val="20"/>
          <w:szCs w:val="20"/>
        </w:rPr>
        <w:t xml:space="preserve"> [2023] VSCA 26 </w:t>
      </w:r>
      <w:r w:rsidRPr="00E02FBC">
        <w:rPr>
          <w:rFonts w:ascii="Arial" w:hAnsi="Arial" w:cs="Arial"/>
          <w:sz w:val="20"/>
          <w:szCs w:val="20"/>
        </w:rPr>
        <w:t>upon which the respondent relied, for very 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11F4016C" w14:textId="1002B640" w:rsidR="005E43F4" w:rsidRDefault="005E43F4" w:rsidP="00EA4EB8">
      <w:pPr>
        <w:jc w:val="both"/>
        <w:rPr>
          <w:rFonts w:ascii="Arial" w:hAnsi="Arial" w:cs="Arial"/>
          <w:sz w:val="20"/>
          <w:szCs w:val="20"/>
        </w:rPr>
      </w:pPr>
      <w:r>
        <w:rPr>
          <w:rFonts w:ascii="Arial" w:hAnsi="Arial" w:cs="Arial"/>
          <w:sz w:val="20"/>
          <w:szCs w:val="20"/>
        </w:rPr>
        <w:t xml:space="preserve">In </w:t>
      </w:r>
      <w:r w:rsidRPr="005E43F4">
        <w:rPr>
          <w:rFonts w:ascii="Arial" w:hAnsi="Arial" w:cs="Arial"/>
          <w:i/>
          <w:iCs/>
          <w:sz w:val="20"/>
          <w:szCs w:val="20"/>
        </w:rPr>
        <w:t>R v Uluivuya</w:t>
      </w:r>
      <w:r>
        <w:rPr>
          <w:rFonts w:ascii="Arial" w:hAnsi="Arial" w:cs="Arial"/>
          <w:sz w:val="20"/>
          <w:szCs w:val="20"/>
        </w:rPr>
        <w:t xml:space="preserve"> [2025] VSC 29 the 55 year old accused who had no criminal history had pleaded guilty after a sentence indication to intentionally causing serious injury in circumstances of gross violence. He had falsely implicated the complainant in driving infringements in order to avoid demerit points. Upon learning </w:t>
      </w:r>
      <w:r w:rsidRPr="005E43F4">
        <w:rPr>
          <w:rFonts w:ascii="Arial" w:hAnsi="Arial" w:cs="Arial"/>
          <w:sz w:val="20"/>
          <w:szCs w:val="20"/>
        </w:rPr>
        <w:t xml:space="preserve">this, </w:t>
      </w:r>
      <w:r>
        <w:rPr>
          <w:rFonts w:ascii="Arial" w:hAnsi="Arial" w:cs="Arial"/>
          <w:sz w:val="20"/>
          <w:szCs w:val="20"/>
        </w:rPr>
        <w:t xml:space="preserve">the </w:t>
      </w:r>
      <w:r w:rsidRPr="005E43F4">
        <w:rPr>
          <w:rFonts w:ascii="Arial" w:hAnsi="Arial" w:cs="Arial"/>
          <w:sz w:val="20"/>
          <w:szCs w:val="20"/>
        </w:rPr>
        <w:t xml:space="preserve">complainant made threats to </w:t>
      </w:r>
      <w:r>
        <w:rPr>
          <w:rFonts w:ascii="Arial" w:hAnsi="Arial" w:cs="Arial"/>
          <w:sz w:val="20"/>
          <w:szCs w:val="20"/>
        </w:rPr>
        <w:t xml:space="preserve">the </w:t>
      </w:r>
      <w:r w:rsidRPr="005E43F4">
        <w:rPr>
          <w:rFonts w:ascii="Arial" w:hAnsi="Arial" w:cs="Arial"/>
          <w:sz w:val="20"/>
          <w:szCs w:val="20"/>
        </w:rPr>
        <w:t>accused</w:t>
      </w:r>
      <w:r>
        <w:rPr>
          <w:rFonts w:ascii="Arial" w:hAnsi="Arial" w:cs="Arial"/>
          <w:sz w:val="20"/>
          <w:szCs w:val="20"/>
        </w:rPr>
        <w:t xml:space="preserve">. </w:t>
      </w:r>
      <w:r w:rsidRPr="005E43F4">
        <w:rPr>
          <w:rFonts w:ascii="Arial" w:hAnsi="Arial" w:cs="Arial"/>
          <w:sz w:val="20"/>
          <w:szCs w:val="20"/>
        </w:rPr>
        <w:t xml:space="preserve">Frightened and angered by </w:t>
      </w:r>
      <w:r>
        <w:rPr>
          <w:rFonts w:ascii="Arial" w:hAnsi="Arial" w:cs="Arial"/>
          <w:sz w:val="20"/>
          <w:szCs w:val="20"/>
        </w:rPr>
        <w:t xml:space="preserve">the </w:t>
      </w:r>
      <w:r w:rsidRPr="005E43F4">
        <w:rPr>
          <w:rFonts w:ascii="Arial" w:hAnsi="Arial" w:cs="Arial"/>
          <w:sz w:val="20"/>
          <w:szCs w:val="20"/>
        </w:rPr>
        <w:t xml:space="preserve">threats, </w:t>
      </w:r>
      <w:r>
        <w:rPr>
          <w:rFonts w:ascii="Arial" w:hAnsi="Arial" w:cs="Arial"/>
          <w:sz w:val="20"/>
          <w:szCs w:val="20"/>
        </w:rPr>
        <w:t xml:space="preserve">the </w:t>
      </w:r>
      <w:r w:rsidRPr="005E43F4">
        <w:rPr>
          <w:rFonts w:ascii="Arial" w:hAnsi="Arial" w:cs="Arial"/>
          <w:sz w:val="20"/>
          <w:szCs w:val="20"/>
        </w:rPr>
        <w:t xml:space="preserve">accused followed </w:t>
      </w:r>
      <w:r>
        <w:rPr>
          <w:rFonts w:ascii="Arial" w:hAnsi="Arial" w:cs="Arial"/>
          <w:sz w:val="20"/>
          <w:szCs w:val="20"/>
        </w:rPr>
        <w:t xml:space="preserve">the </w:t>
      </w:r>
      <w:r w:rsidRPr="005E43F4">
        <w:rPr>
          <w:rFonts w:ascii="Arial" w:hAnsi="Arial" w:cs="Arial"/>
          <w:sz w:val="20"/>
          <w:szCs w:val="20"/>
        </w:rPr>
        <w:t>complainant to his front door</w:t>
      </w:r>
      <w:r>
        <w:rPr>
          <w:rFonts w:ascii="Arial" w:hAnsi="Arial" w:cs="Arial"/>
          <w:sz w:val="20"/>
          <w:szCs w:val="20"/>
        </w:rPr>
        <w:t xml:space="preserve"> </w:t>
      </w:r>
      <w:r w:rsidRPr="005E43F4">
        <w:rPr>
          <w:rFonts w:ascii="Arial" w:hAnsi="Arial" w:cs="Arial"/>
          <w:sz w:val="20"/>
          <w:szCs w:val="20"/>
        </w:rPr>
        <w:t>and struck him repeatedly to head with blunt side of small axe, causing serious injury</w:t>
      </w:r>
      <w:r>
        <w:rPr>
          <w:rFonts w:ascii="Arial" w:hAnsi="Arial" w:cs="Arial"/>
          <w:sz w:val="20"/>
          <w:szCs w:val="20"/>
        </w:rPr>
        <w:t>. The c</w:t>
      </w:r>
      <w:r w:rsidRPr="005E43F4">
        <w:rPr>
          <w:rFonts w:ascii="Arial" w:hAnsi="Arial" w:cs="Arial"/>
          <w:sz w:val="20"/>
          <w:szCs w:val="20"/>
        </w:rPr>
        <w:t>omplainant suffered multiple head injuries, requiring surgery</w:t>
      </w:r>
      <w:r>
        <w:rPr>
          <w:rFonts w:ascii="Arial" w:hAnsi="Arial" w:cs="Arial"/>
          <w:sz w:val="20"/>
          <w:szCs w:val="20"/>
        </w:rPr>
        <w:t xml:space="preserve">. He has </w:t>
      </w:r>
      <w:r w:rsidRPr="005E43F4">
        <w:rPr>
          <w:rFonts w:ascii="Arial" w:hAnsi="Arial" w:cs="Arial"/>
          <w:sz w:val="20"/>
          <w:szCs w:val="20"/>
        </w:rPr>
        <w:t>now largely recovered physically, but still suffers psychological sequalae</w:t>
      </w:r>
      <w:r>
        <w:rPr>
          <w:rFonts w:ascii="Arial" w:hAnsi="Arial" w:cs="Arial"/>
          <w:sz w:val="20"/>
          <w:szCs w:val="20"/>
        </w:rPr>
        <w:t>. A serious example of the offence.  The accused’s PTSD makes imprisonment more burdensome. Accused has a strong work history and excellent prospects of rehabilitation. After a sentence indication IMP6y/4y. But for plea of guilty IMP9y/6y.</w:t>
      </w:r>
    </w:p>
    <w:p w14:paraId="3ABD6897" w14:textId="5316623E" w:rsidR="005E43F4" w:rsidRDefault="005E43F4"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75" w:name="_C_RECKLESSLY_CAUSING"/>
      <w:bookmarkEnd w:id="675"/>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76" w:name="_11.2.24.2__"/>
      <w:bookmarkEnd w:id="676"/>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DPP v Mathiei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Mathiei </w:t>
      </w:r>
      <w:r>
        <w:rPr>
          <w:rFonts w:ascii="Arial" w:hAnsi="Arial" w:cs="Arial"/>
          <w:sz w:val="20"/>
          <w:szCs w:val="20"/>
        </w:rPr>
        <w:t xml:space="preserve">(aged 23 at the time of the offending) </w:t>
      </w:r>
      <w:r w:rsidRPr="00D10746">
        <w:rPr>
          <w:rFonts w:ascii="Arial" w:hAnsi="Arial" w:cs="Arial"/>
          <w:sz w:val="20"/>
          <w:szCs w:val="20"/>
        </w:rPr>
        <w:t xml:space="preserve">pleaded guilty to causing serious injury recklessly in circumstances of gross violence, and </w:t>
      </w:r>
      <w:r w:rsidRPr="00D10746">
        <w:rPr>
          <w:rFonts w:ascii="Arial" w:hAnsi="Arial" w:cs="Arial"/>
          <w:sz w:val="20"/>
          <w:szCs w:val="20"/>
        </w:rPr>
        <w:lastRenderedPageBreak/>
        <w:t>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25C1CCD4" w14:textId="77777777" w:rsidR="00D9062E" w:rsidRDefault="00D9062E"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77" w:name="_11.2.24.2___1"/>
      <w:bookmarkEnd w:id="677"/>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78"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78"/>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79"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79"/>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lastRenderedPageBreak/>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01C90CAF"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w:t>
      </w:r>
      <w:r w:rsidR="0045003F">
        <w:rPr>
          <w:rFonts w:ascii="Arial" w:hAnsi="Arial" w:cs="Arial"/>
          <w:color w:val="000000"/>
          <w:sz w:val="20"/>
        </w:rPr>
        <w:t>12y/8y</w:t>
      </w:r>
      <w:r w:rsidR="00B20B0B" w:rsidRPr="00503C7D">
        <w:rPr>
          <w:rFonts w:ascii="Arial" w:hAnsi="Arial" w:cs="Arial"/>
          <w:color w:val="000000"/>
          <w:sz w:val="20"/>
        </w:rPr>
        <w:t>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Batich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w:t>
      </w:r>
      <w:r w:rsidR="008C3A06" w:rsidRPr="00503C7D">
        <w:rPr>
          <w:rFonts w:ascii="Arial" w:hAnsi="Arial" w:cs="Arial"/>
          <w:color w:val="000000"/>
          <w:sz w:val="20"/>
        </w:rPr>
        <w:lastRenderedPageBreak/>
        <w:t xml:space="preserve">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w:t>
      </w:r>
      <w:r w:rsidR="00AB1A1E" w:rsidRPr="00AB1A1E">
        <w:rPr>
          <w:rFonts w:ascii="Arial" w:hAnsi="Arial" w:cs="Arial"/>
          <w:color w:val="000000"/>
          <w:sz w:val="20"/>
        </w:rPr>
        <w:lastRenderedPageBreak/>
        <w:t xml:space="preserve">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Before I </w:t>
      </w:r>
      <w:r w:rsidRPr="001C6E0E">
        <w:rPr>
          <w:rFonts w:ascii="Arial" w:hAnsi="Arial" w:cs="Arial"/>
          <w:color w:val="000000"/>
          <w:sz w:val="20"/>
        </w:rPr>
        <w:lastRenderedPageBreak/>
        <w:t xml:space="preserve">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w:t>
      </w:r>
      <w:r w:rsidRPr="001C6E0E">
        <w:rPr>
          <w:rFonts w:ascii="Arial" w:hAnsi="Arial" w:cs="Arial"/>
          <w:color w:val="000000"/>
          <w:sz w:val="20"/>
          <w:szCs w:val="20"/>
        </w:rPr>
        <w:lastRenderedPageBreak/>
        <w:t>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440EE71B"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DPP v McKinnin</w:t>
      </w:r>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r w:rsidR="006A6D84" w:rsidRPr="00F84A01">
        <w:rPr>
          <w:rFonts w:ascii="Arial" w:hAnsi="Arial" w:cs="Arial"/>
          <w:i/>
          <w:iCs/>
          <w:color w:val="000000"/>
          <w:sz w:val="20"/>
          <w:szCs w:val="20"/>
        </w:rPr>
        <w:t>Worboyes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80"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80"/>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81"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F84A01" w:rsidRPr="00F84A01">
        <w:rPr>
          <w:rFonts w:ascii="Arial" w:hAnsi="Arial" w:cs="Arial"/>
          <w:color w:val="000000"/>
          <w:sz w:val="20"/>
          <w:szCs w:val="20"/>
        </w:rPr>
        <w:t>.</w:t>
      </w:r>
      <w:bookmarkEnd w:id="681"/>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82" w:name="_11.2.24.3__"/>
      <w:bookmarkEnd w:id="682"/>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7DCB6C62"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r w:rsidR="00065798" w:rsidRPr="003619C4">
        <w:rPr>
          <w:rFonts w:ascii="Arial" w:hAnsi="Arial" w:cs="Arial"/>
          <w:i/>
          <w:iCs/>
          <w:color w:val="000000"/>
          <w:sz w:val="20"/>
        </w:rPr>
        <w:t>Kellway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C44965">
        <w:rPr>
          <w:rFonts w:ascii="Arial" w:hAnsi="Arial" w:cs="Arial"/>
          <w:color w:val="000000"/>
          <w:sz w:val="20"/>
        </w:rPr>
        <w:t xml:space="preserve">; </w:t>
      </w:r>
      <w:r w:rsidR="00C44965" w:rsidRPr="00C44965">
        <w:rPr>
          <w:rFonts w:ascii="Arial" w:hAnsi="Arial" w:cs="Arial"/>
          <w:i/>
          <w:iCs/>
          <w:color w:val="000000"/>
          <w:sz w:val="20"/>
        </w:rPr>
        <w:t>Di Gregorio v The King</w:t>
      </w:r>
      <w:r w:rsidR="00C44965">
        <w:rPr>
          <w:rFonts w:ascii="Arial" w:hAnsi="Arial" w:cs="Arial"/>
          <w:color w:val="000000"/>
          <w:sz w:val="20"/>
        </w:rPr>
        <w:t xml:space="preserve"> [2025] VSCA 103</w:t>
      </w:r>
      <w:r w:rsidR="00F05B57">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83" w:name="_11.2.24.4__"/>
      <w:bookmarkEnd w:id="683"/>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w:t>
      </w:r>
      <w:r w:rsidRPr="00066304">
        <w:rPr>
          <w:rFonts w:ascii="Arial" w:hAnsi="Arial" w:cs="Arial"/>
          <w:sz w:val="20"/>
        </w:rPr>
        <w:lastRenderedPageBreak/>
        <w:t>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[66] Ultimately, given the objective seriousness of the offending, we are not persuaded that the sentence was manisfestly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w:t>
      </w:r>
      <w:r w:rsidR="00E9616B" w:rsidRPr="00C8028E">
        <w:rPr>
          <w:rFonts w:ascii="Arial" w:hAnsi="Arial" w:cs="Arial"/>
          <w:color w:val="000000"/>
          <w:sz w:val="20"/>
          <w:szCs w:val="20"/>
        </w:rPr>
        <w:lastRenderedPageBreak/>
        <w:t xml:space="preserve">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74EBB43D" w14:textId="77777777" w:rsidR="006F01B0" w:rsidRDefault="006F01B0" w:rsidP="009364A3">
      <w:pPr>
        <w:jc w:val="both"/>
        <w:rPr>
          <w:rFonts w:ascii="Arial" w:hAnsi="Arial" w:cs="Arial"/>
          <w:color w:val="000000"/>
          <w:sz w:val="20"/>
        </w:rPr>
      </w:pPr>
    </w:p>
    <w:p w14:paraId="1F5B8015" w14:textId="3BA732D2"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Pr>
          <w:rFonts w:ascii="Arial" w:hAnsi="Arial" w:cs="Arial"/>
          <w:color w:val="000000"/>
          <w:sz w:val="20"/>
        </w:rPr>
        <w:t>.</w:t>
      </w:r>
    </w:p>
    <w:p w14:paraId="29C18B82" w14:textId="18556F3E"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84" w:name="_11.2.24.5__"/>
      <w:bookmarkStart w:id="685" w:name="_11.2.24.5___1"/>
      <w:bookmarkEnd w:id="684"/>
      <w:bookmarkEnd w:id="685"/>
      <w:r w:rsidRPr="00DD24BF">
        <w:rPr>
          <w:rFonts w:ascii="Arial" w:hAnsi="Arial" w:cs="Arial"/>
          <w:b/>
          <w:bCs/>
          <w:color w:val="000000"/>
          <w:sz w:val="22"/>
          <w:szCs w:val="28"/>
        </w:rPr>
        <w:t>THE REST OF THIS PAGE IS BLANK</w:t>
      </w:r>
    </w:p>
    <w:p w14:paraId="6A9BE13A" w14:textId="77777777" w:rsidR="000A5ACE" w:rsidRPr="007B6500" w:rsidRDefault="000A5ACE" w:rsidP="000A5ACE">
      <w:pPr>
        <w:pStyle w:val="Heading2"/>
        <w:tabs>
          <w:tab w:val="left" w:pos="567"/>
        </w:tabs>
        <w:spacing w:line="240" w:lineRule="auto"/>
        <w:ind w:left="567" w:hanging="567"/>
        <w:rPr>
          <w:rFonts w:ascii="Arial" w:hAnsi="Arial" w:cs="Arial"/>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86" w:name="_11.2.24.5___2"/>
      <w:bookmarkEnd w:id="686"/>
      <w:r w:rsidRPr="001C6E0E">
        <w:rPr>
          <w:rFonts w:ascii="Arial" w:hAnsi="Arial" w:cs="Arial"/>
          <w:b/>
          <w:bCs/>
          <w:color w:val="000000"/>
          <w:sz w:val="20"/>
        </w:rPr>
        <w:lastRenderedPageBreak/>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DPP v Sewell; DPP v Hersant</w:t>
      </w:r>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Mr Sewell (aged 28) and Mr Hersant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Hersant was sentenced to IMP3d with a community correction order of 14m.  </w:t>
      </w:r>
      <w:r w:rsidR="007E081F">
        <w:rPr>
          <w:rFonts w:ascii="Arial" w:hAnsi="Arial" w:cs="Arial"/>
          <w:color w:val="000000"/>
          <w:sz w:val="20"/>
        </w:rPr>
        <w:t xml:space="preserve">The Court of Appeal held that the sentence imposed on Mr Sewell was not manifestly inadequate and dismissed the Director’s appeal.  It held that the sentence imposed on Mr Hersant was manifestly inadequate but noting that Mr Hersant had completed all 200 hours of unpaid community work, that it </w:t>
      </w:r>
      <w:r w:rsidR="007E081F">
        <w:rPr>
          <w:rFonts w:ascii="Arial" w:hAnsi="Arial" w:cs="Arial"/>
          <w:color w:val="000000"/>
          <w:sz w:val="20"/>
        </w:rPr>
        <w:lastRenderedPageBreak/>
        <w:t>was undesirable to return him to custdy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 xml:space="preserve">Turning first to Mr Sewell, he was a leader of one of the groups, was older and committed the offence whilst on bail. Nevertheless, the judge was entitled to give weight to the plea given it saved a lengthy trial, as well as having some regard to Worboyes (given the prosecution concession that it applied). She was also entitled to have regard to </w:t>
      </w:r>
      <w:r w:rsidRPr="00791548">
        <w:rPr>
          <w:rFonts w:ascii="Arial" w:hAnsi="Arial" w:cs="Arial"/>
          <w:sz w:val="20"/>
          <w:szCs w:val="20"/>
        </w:rPr>
        <w:lastRenderedPageBreak/>
        <w:t>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66A1AD08" w14:textId="77777777" w:rsidR="00512CFD" w:rsidRDefault="00512CFD" w:rsidP="00ED210C">
      <w:pPr>
        <w:jc w:val="both"/>
        <w:rPr>
          <w:rFonts w:ascii="Arial" w:hAnsi="Arial" w:cs="Arial"/>
          <w:color w:val="000000"/>
          <w:sz w:val="20"/>
        </w:rPr>
      </w:pPr>
    </w:p>
    <w:p w14:paraId="728DFABB" w14:textId="77777777" w:rsidR="001D22D9" w:rsidRDefault="001D22D9" w:rsidP="00ED210C">
      <w:pPr>
        <w:jc w:val="both"/>
        <w:rPr>
          <w:rFonts w:ascii="Arial" w:hAnsi="Arial" w:cs="Arial"/>
          <w:color w:val="000000"/>
          <w:sz w:val="20"/>
        </w:rPr>
      </w:pP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87" w:name="_11.2.24.6__"/>
      <w:bookmarkEnd w:id="687"/>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8" w:name="_A_RECKLESS_CONDUCT"/>
      <w:bookmarkEnd w:id="688"/>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 xml:space="preserve">“confronted with an extremely difficult set of </w:t>
      </w:r>
      <w:r w:rsidR="004B644A">
        <w:rPr>
          <w:rFonts w:ascii="Arial" w:hAnsi="Arial" w:cs="Arial"/>
          <w:color w:val="000000"/>
          <w:sz w:val="20"/>
        </w:rPr>
        <w:lastRenderedPageBreak/>
        <w:t>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44A214C7" w14:textId="253B47D7" w:rsidR="00A3142A" w:rsidRDefault="00A3142A" w:rsidP="005D2AEF">
      <w:pPr>
        <w:jc w:val="both"/>
        <w:rPr>
          <w:rFonts w:ascii="Arial" w:hAnsi="Arial" w:cs="Arial"/>
          <w:sz w:val="18"/>
          <w:szCs w:val="18"/>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3 the Court of Appeal dismissed an appeal against a sentence of IMP20m imposed on the 47 year old applicant with a ‘dreadful’ criminal history on a charge of </w:t>
      </w:r>
      <w:r w:rsidRPr="008708E2">
        <w:rPr>
          <w:rFonts w:ascii="Arial" w:hAnsi="Arial" w:cs="Arial"/>
          <w:color w:val="000000"/>
          <w:sz w:val="20"/>
          <w:szCs w:val="20"/>
        </w:rPr>
        <w:t>reckless conduct endangering serious injury</w:t>
      </w:r>
      <w:r>
        <w:rPr>
          <w:rFonts w:ascii="Arial" w:hAnsi="Arial" w:cs="Arial"/>
          <w:color w:val="000000"/>
          <w:sz w:val="20"/>
          <w:szCs w:val="20"/>
        </w:rPr>
        <w:t xml:space="preserve"> in the context of driving described by the sentencing judge as ‘simply appalling’. Both Niall CJ at [25] and Walker JA at [48] &amp; [56] considered that no different sentence ought be imposed. </w:t>
      </w:r>
      <w:r w:rsidR="005D2AEF">
        <w:rPr>
          <w:rFonts w:ascii="Arial" w:hAnsi="Arial" w:cs="Arial"/>
          <w:color w:val="000000"/>
          <w:sz w:val="20"/>
          <w:szCs w:val="20"/>
        </w:rPr>
        <w:t>After describing the 20m sentence as “lenient” Niall CJ said a</w:t>
      </w:r>
      <w:r>
        <w:rPr>
          <w:rFonts w:ascii="Arial" w:hAnsi="Arial" w:cs="Arial"/>
          <w:color w:val="000000"/>
          <w:sz w:val="20"/>
          <w:szCs w:val="20"/>
        </w:rPr>
        <w:t>t [</w:t>
      </w:r>
      <w:r w:rsidR="005D2AEF">
        <w:rPr>
          <w:rFonts w:ascii="Arial" w:hAnsi="Arial" w:cs="Arial"/>
          <w:color w:val="000000"/>
          <w:sz w:val="20"/>
          <w:szCs w:val="20"/>
        </w:rPr>
        <w:t>39</w:t>
      </w:r>
      <w:r>
        <w:rPr>
          <w:rFonts w:ascii="Arial" w:hAnsi="Arial" w:cs="Arial"/>
          <w:color w:val="000000"/>
          <w:sz w:val="20"/>
          <w:szCs w:val="20"/>
        </w:rPr>
        <w:t>]</w:t>
      </w:r>
      <w:r w:rsidR="005D2AEF">
        <w:rPr>
          <w:rFonts w:ascii="Arial" w:hAnsi="Arial" w:cs="Arial"/>
          <w:color w:val="000000"/>
          <w:sz w:val="20"/>
          <w:szCs w:val="20"/>
        </w:rPr>
        <w:t>-[40]</w:t>
      </w:r>
      <w:r>
        <w:rPr>
          <w:rFonts w:ascii="Arial" w:hAnsi="Arial" w:cs="Arial"/>
          <w:color w:val="000000"/>
          <w:sz w:val="20"/>
          <w:szCs w:val="20"/>
        </w:rPr>
        <w:t>:</w:t>
      </w:r>
    </w:p>
    <w:p w14:paraId="65651765" w14:textId="77777777" w:rsidR="005D2AEF" w:rsidRDefault="005D2AEF" w:rsidP="005D2AEF">
      <w:pPr>
        <w:spacing w:before="60"/>
        <w:ind w:left="567" w:right="567"/>
        <w:jc w:val="both"/>
        <w:rPr>
          <w:rFonts w:ascii="Arial" w:hAnsi="Arial" w:cs="Arial"/>
          <w:sz w:val="20"/>
          <w:szCs w:val="20"/>
        </w:rPr>
      </w:pPr>
      <w:r>
        <w:rPr>
          <w:rFonts w:ascii="Arial" w:hAnsi="Arial" w:cs="Arial"/>
          <w:color w:val="000000"/>
          <w:sz w:val="20"/>
        </w:rPr>
        <w:t xml:space="preserve">[39] </w:t>
      </w:r>
      <w:r w:rsidR="00A3142A">
        <w:rPr>
          <w:rFonts w:ascii="Arial" w:hAnsi="Arial" w:cs="Arial"/>
          <w:color w:val="000000"/>
          <w:sz w:val="20"/>
        </w:rPr>
        <w:t>“</w:t>
      </w:r>
      <w:r w:rsidRPr="005D2AEF">
        <w:rPr>
          <w:rFonts w:ascii="Arial" w:hAnsi="Arial" w:cs="Arial"/>
          <w:sz w:val="20"/>
          <w:szCs w:val="20"/>
        </w:rPr>
        <w:t xml:space="preserve">The charge of recklessly endangering serious injury can cover a variety of circumstances, only some of which involve the operation of a motor vehicle. Where as in this case the offending arises from driving a car on a freeway, the risk of danger is often large. Here, the applicant was driving his car at speeds which were considerably greater than surrounding vehicles on a busy stretch of freeway and engaged in aggressive and unpredictable driving. The risk of serious injury is obvious. The collision that ultimately </w:t>
      </w:r>
      <w:r w:rsidRPr="005D2AEF">
        <w:rPr>
          <w:rFonts w:ascii="Arial" w:hAnsi="Arial" w:cs="Arial"/>
          <w:sz w:val="20"/>
          <w:szCs w:val="20"/>
        </w:rPr>
        <w:lastRenderedPageBreak/>
        <w:t xml:space="preserve">ensued could very easily have resulted in very serious injury for the occupant of that car or other road users. The driver lost control of her car as a result of the collision and it rebounded in a way that could have easily resulted in a further collision with oncoming traffic. The judge’s description of the driving as ‘appalling’ was entirely apt, and the risk it involved was high. The objective gravity was significant and certainly not towards the lower end. </w:t>
      </w:r>
    </w:p>
    <w:p w14:paraId="4060DBCF" w14:textId="35FA391F" w:rsidR="005D2AEF" w:rsidRPr="005D2AEF" w:rsidRDefault="005D2AEF" w:rsidP="005D2AEF">
      <w:pPr>
        <w:spacing w:before="60"/>
        <w:ind w:left="567" w:right="567"/>
        <w:jc w:val="both"/>
        <w:rPr>
          <w:rFonts w:ascii="Arial" w:hAnsi="Arial" w:cs="Arial"/>
          <w:color w:val="000000"/>
          <w:sz w:val="20"/>
        </w:rPr>
      </w:pPr>
      <w:r>
        <w:rPr>
          <w:rFonts w:ascii="Arial" w:hAnsi="Arial" w:cs="Arial"/>
          <w:sz w:val="20"/>
          <w:szCs w:val="20"/>
        </w:rPr>
        <w:t>[</w:t>
      </w:r>
      <w:r w:rsidRPr="005D2AEF">
        <w:rPr>
          <w:rFonts w:ascii="Arial" w:hAnsi="Arial" w:cs="Arial"/>
          <w:sz w:val="20"/>
          <w:szCs w:val="20"/>
        </w:rPr>
        <w:t>40</w:t>
      </w:r>
      <w:r>
        <w:rPr>
          <w:rFonts w:ascii="Arial" w:hAnsi="Arial" w:cs="Arial"/>
          <w:sz w:val="20"/>
          <w:szCs w:val="20"/>
        </w:rPr>
        <w:t>]</w:t>
      </w:r>
      <w:r w:rsidRPr="005D2AEF">
        <w:rPr>
          <w:rFonts w:ascii="Arial" w:hAnsi="Arial" w:cs="Arial"/>
          <w:sz w:val="20"/>
          <w:szCs w:val="20"/>
        </w:rPr>
        <w:t xml:space="preserve"> Importantly, offending of this kind required close attention to general deterrence to deter reckless and cavalier driving at speed on public roads. The important need for deterrence meant that it was legitimate to temper the moderating impact of the personal circumstances of the applicant</w:t>
      </w:r>
      <w:r>
        <w:rPr>
          <w:rFonts w:ascii="Arial" w:hAnsi="Arial" w:cs="Arial"/>
          <w:sz w:val="20"/>
          <w:szCs w:val="20"/>
        </w:rPr>
        <w:t>..</w:t>
      </w:r>
      <w:r w:rsidRPr="005D2AEF">
        <w:rPr>
          <w:rFonts w:ascii="Arial" w:hAnsi="Arial" w:cs="Arial"/>
          <w:sz w:val="20"/>
          <w:szCs w:val="20"/>
        </w:rPr>
        <w:t>.</w:t>
      </w:r>
      <w:r>
        <w:rPr>
          <w:rFonts w:ascii="Arial" w:hAnsi="Arial" w:cs="Arial"/>
          <w:sz w:val="20"/>
          <w:szCs w:val="20"/>
        </w:rPr>
        <w:t>”</w:t>
      </w:r>
    </w:p>
    <w:p w14:paraId="6CE22930" w14:textId="77777777" w:rsidR="005D2AEF" w:rsidRDefault="005D2AEF" w:rsidP="00A03D24">
      <w:pPr>
        <w:ind w:right="1021"/>
        <w:jc w:val="both"/>
        <w:rPr>
          <w:rFonts w:ascii="Arial" w:hAnsi="Arial" w:cs="Arial"/>
          <w:sz w:val="18"/>
          <w:szCs w:val="18"/>
        </w:rPr>
      </w:pPr>
    </w:p>
    <w:p w14:paraId="600653C7" w14:textId="62FCE5A4" w:rsidR="002A1008" w:rsidRPr="002A1008" w:rsidRDefault="002A1008" w:rsidP="002043D0">
      <w:pPr>
        <w:jc w:val="both"/>
        <w:rPr>
          <w:rFonts w:ascii="Arial" w:hAnsi="Arial" w:cs="Arial"/>
          <w:sz w:val="20"/>
          <w:szCs w:val="20"/>
        </w:rPr>
      </w:pPr>
      <w:r w:rsidRPr="002A1008">
        <w:rPr>
          <w:rFonts w:ascii="Arial" w:hAnsi="Arial" w:cs="Arial"/>
          <w:sz w:val="20"/>
          <w:szCs w:val="20"/>
        </w:rPr>
        <w:t xml:space="preserve">In </w:t>
      </w:r>
      <w:r w:rsidRPr="002A1008">
        <w:rPr>
          <w:rFonts w:ascii="Arial" w:hAnsi="Arial" w:cs="Arial"/>
          <w:i/>
          <w:iCs/>
          <w:sz w:val="20"/>
          <w:szCs w:val="20"/>
        </w:rPr>
        <w:t>Brown v The King</w:t>
      </w:r>
      <w:r w:rsidRPr="002A1008">
        <w:rPr>
          <w:rFonts w:ascii="Arial" w:hAnsi="Arial" w:cs="Arial"/>
          <w:sz w:val="20"/>
          <w:szCs w:val="20"/>
        </w:rPr>
        <w:t xml:space="preserve"> [2025] VSCA 39 the app</w:t>
      </w:r>
      <w:r w:rsidR="00CE37D0">
        <w:rPr>
          <w:rFonts w:ascii="Arial" w:hAnsi="Arial" w:cs="Arial"/>
          <w:sz w:val="20"/>
          <w:szCs w:val="20"/>
        </w:rPr>
        <w:t>ell</w:t>
      </w:r>
      <w:r w:rsidRPr="002A1008">
        <w:rPr>
          <w:rFonts w:ascii="Arial" w:hAnsi="Arial" w:cs="Arial"/>
          <w:sz w:val="20"/>
          <w:szCs w:val="20"/>
        </w:rPr>
        <w:t xml:space="preserve">ant </w:t>
      </w:r>
      <w:r>
        <w:rPr>
          <w:rFonts w:ascii="Arial" w:hAnsi="Arial" w:cs="Arial"/>
          <w:sz w:val="20"/>
          <w:szCs w:val="20"/>
        </w:rPr>
        <w:t xml:space="preserve">had pleaded guilty </w:t>
      </w:r>
      <w:r w:rsidR="00CE37D0">
        <w:rPr>
          <w:rFonts w:ascii="Arial" w:hAnsi="Arial" w:cs="Arial"/>
          <w:sz w:val="20"/>
          <w:szCs w:val="20"/>
        </w:rPr>
        <w:t xml:space="preserve">at an early stage </w:t>
      </w:r>
      <w:r>
        <w:rPr>
          <w:rFonts w:ascii="Arial" w:hAnsi="Arial" w:cs="Arial"/>
          <w:sz w:val="20"/>
          <w:szCs w:val="20"/>
        </w:rPr>
        <w:t>to reckless conduct endangering persons and had been sentenced to IMP18m/12m.</w:t>
      </w:r>
      <w:r w:rsidR="002043D0">
        <w:rPr>
          <w:rFonts w:ascii="Arial" w:hAnsi="Arial" w:cs="Arial"/>
          <w:sz w:val="20"/>
          <w:szCs w:val="20"/>
        </w:rPr>
        <w:t xml:space="preserve"> The co-accused, his brother, had ignited a blow-torch in two places in a house while the occupants were asleep. The app</w:t>
      </w:r>
      <w:r w:rsidR="00CE37D0">
        <w:rPr>
          <w:rFonts w:ascii="Arial" w:hAnsi="Arial" w:cs="Arial"/>
          <w:sz w:val="20"/>
          <w:szCs w:val="20"/>
        </w:rPr>
        <w:t>ell</w:t>
      </w:r>
      <w:r w:rsidR="002043D0">
        <w:rPr>
          <w:rFonts w:ascii="Arial" w:hAnsi="Arial" w:cs="Arial"/>
          <w:sz w:val="20"/>
          <w:szCs w:val="20"/>
        </w:rPr>
        <w:t xml:space="preserve">ant was present only during the first ignition which was minor and did not cause damage to the house. </w:t>
      </w:r>
      <w:r w:rsidR="000D2258">
        <w:rPr>
          <w:rFonts w:ascii="Arial" w:hAnsi="Arial" w:cs="Arial"/>
          <w:sz w:val="20"/>
          <w:szCs w:val="20"/>
        </w:rPr>
        <w:t xml:space="preserve">The second ignition – in which the appellant was not involved – had resulted in the destruction of the house. </w:t>
      </w:r>
      <w:r w:rsidR="00CE37D0">
        <w:rPr>
          <w:rFonts w:ascii="Arial" w:hAnsi="Arial" w:cs="Arial"/>
          <w:sz w:val="20"/>
          <w:szCs w:val="20"/>
        </w:rPr>
        <w:t>Noting that the offending had occurred only days after the death of the appellant’s mother and h</w:t>
      </w:r>
      <w:r w:rsidR="002043D0">
        <w:rPr>
          <w:rFonts w:ascii="Arial" w:hAnsi="Arial" w:cs="Arial"/>
          <w:sz w:val="20"/>
          <w:szCs w:val="20"/>
        </w:rPr>
        <w:t>olding that the co-accused’s offending had been erroneously considered when sentencing the app</w:t>
      </w:r>
      <w:r w:rsidR="00CE37D0">
        <w:rPr>
          <w:rFonts w:ascii="Arial" w:hAnsi="Arial" w:cs="Arial"/>
          <w:sz w:val="20"/>
          <w:szCs w:val="20"/>
        </w:rPr>
        <w:t>ell</w:t>
      </w:r>
      <w:r w:rsidR="002043D0">
        <w:rPr>
          <w:rFonts w:ascii="Arial" w:hAnsi="Arial" w:cs="Arial"/>
          <w:sz w:val="20"/>
          <w:szCs w:val="20"/>
        </w:rPr>
        <w:t>ant, the Court of Appeal allowed the appeal and substituted a sentence of IMP9m.</w:t>
      </w:r>
    </w:p>
    <w:p w14:paraId="38094876" w14:textId="77777777" w:rsidR="002A1008" w:rsidRDefault="002A1008" w:rsidP="00A03D24">
      <w:pPr>
        <w:ind w:right="1021"/>
        <w:jc w:val="both"/>
        <w:rPr>
          <w:rFonts w:ascii="Arial" w:hAnsi="Arial" w:cs="Arial"/>
          <w:sz w:val="18"/>
          <w:szCs w:val="18"/>
        </w:rPr>
      </w:pPr>
    </w:p>
    <w:p w14:paraId="28676DE5" w14:textId="0341182E"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4233D" w:rsidRPr="005244BA">
        <w:rPr>
          <w:rFonts w:ascii="Arial" w:hAnsi="Arial" w:cs="Arial"/>
          <w:color w:val="000000"/>
          <w:sz w:val="20"/>
          <w:szCs w:val="20"/>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9" w:name="_B_RECKLESSLY_EXPOSING"/>
      <w:bookmarkEnd w:id="689"/>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90" w:name="_11.2.25_Sentencing_for"/>
      <w:bookmarkStart w:id="691" w:name="_Toc107101764"/>
      <w:bookmarkEnd w:id="690"/>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91"/>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Default="001C023A" w:rsidP="006F261E">
      <w:pPr>
        <w:jc w:val="both"/>
        <w:rPr>
          <w:rFonts w:ascii="Arial" w:hAnsi="Arial" w:cs="Arial"/>
          <w:color w:val="000000"/>
          <w:sz w:val="20"/>
        </w:rPr>
      </w:pPr>
    </w:p>
    <w:p w14:paraId="7F964866" w14:textId="105CF8A0" w:rsidR="00A710FB" w:rsidRDefault="00A710FB" w:rsidP="006F261E">
      <w:pPr>
        <w:jc w:val="both"/>
        <w:rPr>
          <w:rFonts w:ascii="Arial" w:hAnsi="Arial" w:cs="Arial"/>
          <w:color w:val="000000"/>
          <w:sz w:val="20"/>
        </w:rPr>
      </w:pPr>
      <w:r>
        <w:rPr>
          <w:rFonts w:ascii="Arial" w:hAnsi="Arial" w:cs="Arial"/>
          <w:color w:val="000000"/>
          <w:sz w:val="20"/>
        </w:rPr>
        <w:t xml:space="preserve">In </w:t>
      </w:r>
      <w:r w:rsidRPr="00A710FB">
        <w:rPr>
          <w:rFonts w:ascii="Arial" w:hAnsi="Arial" w:cs="Arial"/>
          <w:i/>
          <w:iCs/>
          <w:color w:val="000000"/>
          <w:sz w:val="20"/>
        </w:rPr>
        <w:t>Lang &amp; Ors v The King</w:t>
      </w:r>
      <w:r>
        <w:rPr>
          <w:rFonts w:ascii="Arial" w:hAnsi="Arial" w:cs="Arial"/>
          <w:color w:val="000000"/>
          <w:sz w:val="20"/>
        </w:rPr>
        <w:t xml:space="preserve"> [2025] VSCA 49 the </w:t>
      </w:r>
      <w:r w:rsidR="00042353">
        <w:rPr>
          <w:rFonts w:ascii="Arial" w:hAnsi="Arial" w:cs="Arial"/>
          <w:color w:val="000000"/>
          <w:sz w:val="20"/>
        </w:rPr>
        <w:t>first</w:t>
      </w:r>
      <w:r w:rsidR="00970F22">
        <w:rPr>
          <w:rFonts w:ascii="Arial" w:hAnsi="Arial" w:cs="Arial"/>
          <w:color w:val="000000"/>
          <w:sz w:val="20"/>
        </w:rPr>
        <w:t>-</w:t>
      </w:r>
      <w:r w:rsidR="00042353">
        <w:rPr>
          <w:rFonts w:ascii="Arial" w:hAnsi="Arial" w:cs="Arial"/>
          <w:color w:val="000000"/>
          <w:sz w:val="20"/>
        </w:rPr>
        <w: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w:t>
      </w:r>
      <w:r w:rsidR="00970F22">
        <w:rPr>
          <w:rFonts w:ascii="Arial" w:hAnsi="Arial" w:cs="Arial"/>
          <w:color w:val="000000"/>
          <w:sz w:val="20"/>
        </w:rPr>
        <w:t xml:space="preserve"> it was not open to the judge to impose identical NPPs. Leave to appeal was granted for the first-named applicant and the NPP was reduced to 11y. In relation to sentencing commercial quantity drug traffickers, Beach &amp; McLeish JJA said at [63]</w:t>
      </w:r>
      <w:r w:rsidR="00677929">
        <w:rPr>
          <w:rFonts w:ascii="Arial" w:hAnsi="Arial" w:cs="Arial"/>
          <w:color w:val="000000"/>
          <w:sz w:val="20"/>
        </w:rPr>
        <w:t>:</w:t>
      </w:r>
    </w:p>
    <w:p w14:paraId="04F09EA3" w14:textId="5D95CDB5" w:rsidR="00970F22" w:rsidRPr="008825B2" w:rsidRDefault="00970F22" w:rsidP="00970F22">
      <w:pPr>
        <w:spacing w:before="60"/>
        <w:ind w:left="567" w:right="567"/>
        <w:jc w:val="both"/>
        <w:rPr>
          <w:rFonts w:ascii="Arial" w:hAnsi="Arial" w:cs="Arial"/>
          <w:color w:val="000000"/>
          <w:sz w:val="20"/>
          <w:szCs w:val="20"/>
        </w:rPr>
      </w:pPr>
      <w:r>
        <w:rPr>
          <w:rFonts w:ascii="Arial" w:hAnsi="Arial" w:cs="Arial"/>
          <w:color w:val="000000"/>
          <w:sz w:val="20"/>
          <w:szCs w:val="20"/>
        </w:rPr>
        <w:t xml:space="preserve">“In </w:t>
      </w:r>
      <w:r w:rsidRPr="00970F22">
        <w:rPr>
          <w:rFonts w:ascii="Arial" w:hAnsi="Arial" w:cs="Arial"/>
          <w:i/>
          <w:iCs/>
          <w:color w:val="000000"/>
          <w:sz w:val="20"/>
          <w:szCs w:val="20"/>
        </w:rPr>
        <w:t>Lieu v The Queen</w:t>
      </w:r>
      <w:r>
        <w:rPr>
          <w:rFonts w:ascii="Arial" w:hAnsi="Arial" w:cs="Arial"/>
          <w:color w:val="000000"/>
          <w:sz w:val="20"/>
          <w:szCs w:val="20"/>
        </w:rPr>
        <w:t xml:space="preserve"> (2016) 263 A Crim R 173; [2016] VSCA 277, </w:t>
      </w:r>
      <w:r w:rsidRPr="00970F22">
        <w:rPr>
          <w:rFonts w:ascii="Arial" w:hAnsi="Arial" w:cs="Arial"/>
          <w:color w:val="000000"/>
          <w:sz w:val="20"/>
        </w:rPr>
        <w:t xml:space="preserve">this Court dealt with the principles applicable in the sentencing of offenders who had engaged in commercial quantity drug trafficking. </w:t>
      </w:r>
      <w:r>
        <w:rPr>
          <w:rFonts w:ascii="Arial" w:hAnsi="Arial" w:cs="Arial"/>
          <w:color w:val="000000"/>
          <w:sz w:val="20"/>
        </w:rPr>
        <w:t>Redlich, Beach &amp; Kaye JJA</w:t>
      </w:r>
      <w:r w:rsidRPr="00970F22">
        <w:rPr>
          <w:rFonts w:ascii="Arial" w:hAnsi="Arial" w:cs="Arial"/>
          <w:color w:val="000000"/>
          <w:sz w:val="20"/>
        </w:rPr>
        <w:t xml:space="preserve"> said</w:t>
      </w:r>
      <w:r>
        <w:rPr>
          <w:rFonts w:ascii="Arial" w:hAnsi="Arial" w:cs="Arial"/>
          <w:color w:val="000000"/>
          <w:sz w:val="20"/>
        </w:rPr>
        <w:t xml:space="preserve"> at 185-6 [41]-[43]:</w:t>
      </w:r>
    </w:p>
    <w:p w14:paraId="295A4A8B" w14:textId="77777777" w:rsidR="00970F22" w:rsidRDefault="00970F22" w:rsidP="00970F22">
      <w:pPr>
        <w:spacing w:before="60"/>
        <w:ind w:left="1021" w:right="1021"/>
        <w:jc w:val="both"/>
        <w:rPr>
          <w:rFonts w:ascii="Arial" w:hAnsi="Arial" w:cs="Arial"/>
          <w:color w:val="000000"/>
          <w:sz w:val="18"/>
          <w:szCs w:val="22"/>
        </w:rPr>
      </w:pPr>
      <w:r w:rsidRPr="00970F22">
        <w:rPr>
          <w:rFonts w:ascii="Arial" w:hAnsi="Arial" w:cs="Arial"/>
          <w:color w:val="000000"/>
          <w:sz w:val="18"/>
          <w:szCs w:val="22"/>
        </w:rPr>
        <w:t>The principles applicable to the offences to which the applicant pleaded guilty are well established, and need not be rehearsed at length. Essentially, the determination of the seriousness of the offending is informed by a range of factors, including the role of the offender, the position of the offender in the drug trafficking (or importing) hierarchy, the nature and extent of the offender’s involvement in the enterprise, the sophistication of the enterprise, and the amount of drugs involved, or intended to be involved, in the enterprise. In describing the role of the offender in the hierarchy, it is important that any shorthand label attaching to that role does not obscure the nature and extent of the actions and involvement of the offender.</w:t>
      </w:r>
    </w:p>
    <w:p w14:paraId="7DCDAE14" w14:textId="77777777" w:rsidR="007F6310" w:rsidRDefault="00970F22" w:rsidP="00970F22">
      <w:pPr>
        <w:spacing w:before="60"/>
        <w:ind w:left="1021" w:right="1021"/>
        <w:jc w:val="both"/>
        <w:rPr>
          <w:rFonts w:ascii="Arial" w:hAnsi="Arial" w:cs="Arial"/>
          <w:color w:val="000000"/>
          <w:sz w:val="18"/>
          <w:szCs w:val="22"/>
        </w:rPr>
      </w:pPr>
      <w:r>
        <w:rPr>
          <w:rFonts w:ascii="Arial" w:hAnsi="Arial" w:cs="Arial"/>
          <w:color w:val="000000"/>
          <w:sz w:val="18"/>
          <w:szCs w:val="22"/>
        </w:rPr>
        <w:t xml:space="preserve">In determining the seriousness of the offence, the weight or amount of the drugs </w:t>
      </w:r>
      <w:r w:rsidRPr="00970F22">
        <w:rPr>
          <w:rFonts w:ascii="Arial" w:hAnsi="Arial" w:cs="Arial"/>
          <w:color w:val="000000"/>
          <w:sz w:val="18"/>
          <w:szCs w:val="22"/>
        </w:rPr>
        <w:t>involved is a factor of some importance. That circumstance is relevant to determining the dimension of the enterprise in which the offender is involved, and the amount of profit that was expected from the enterprise, which generally constitutes the primary if not sole motive for the offending. The weight or amount of the drugs involved might also indicate that the enterprise, in which the offender has been involved, was far reaching, and sophisticated. On the other hand, that factor, per se, is not necessarily the primary or overriding factor in determining the gravity of the offending under consideration.</w:t>
      </w:r>
    </w:p>
    <w:p w14:paraId="371452BC" w14:textId="1000B2B4" w:rsidR="00970F22" w:rsidRPr="00970F22" w:rsidRDefault="007F6310" w:rsidP="007F6310">
      <w:pPr>
        <w:spacing w:before="60"/>
        <w:ind w:left="1021" w:right="1021"/>
        <w:jc w:val="both"/>
        <w:rPr>
          <w:rFonts w:ascii="Arial" w:hAnsi="Arial" w:cs="Arial"/>
          <w:color w:val="000000"/>
          <w:sz w:val="18"/>
          <w:szCs w:val="18"/>
        </w:rPr>
      </w:pPr>
      <w:r w:rsidRPr="007F6310">
        <w:rPr>
          <w:rFonts w:ascii="Arial" w:hAnsi="Arial" w:cs="Arial"/>
          <w:i/>
          <w:iCs/>
          <w:color w:val="000000"/>
          <w:sz w:val="18"/>
          <w:szCs w:val="18"/>
        </w:rPr>
        <w:t xml:space="preserve">It is well recognised that in cases such as this significant weight is attached to the principle of general deterrence. </w:t>
      </w:r>
      <w:r w:rsidR="00970F22" w:rsidRPr="00970F22">
        <w:rPr>
          <w:rFonts w:ascii="Arial" w:hAnsi="Arial" w:cs="Arial"/>
          <w:color w:val="000000"/>
          <w:sz w:val="18"/>
          <w:szCs w:val="18"/>
        </w:rPr>
        <w:t xml:space="preserve">The difficulty of detecting importation offences, and the great and far reaching social consequences stemming from the proliferation of illicit </w:t>
      </w:r>
      <w:r w:rsidR="00970F22" w:rsidRPr="00970F22">
        <w:rPr>
          <w:rFonts w:ascii="Arial" w:hAnsi="Arial" w:cs="Arial"/>
          <w:color w:val="000000"/>
          <w:sz w:val="18"/>
          <w:szCs w:val="18"/>
        </w:rPr>
        <w:lastRenderedPageBreak/>
        <w:t xml:space="preserve">drugs in the community, are factors which support the importance of the concept of general deterrence in sentencing for such offences. </w:t>
      </w:r>
      <w:r w:rsidR="00970F22" w:rsidRPr="00970F22">
        <w:rPr>
          <w:rFonts w:ascii="Arial" w:hAnsi="Arial" w:cs="Arial"/>
          <w:i/>
          <w:iCs/>
          <w:color w:val="000000"/>
          <w:sz w:val="18"/>
          <w:szCs w:val="18"/>
        </w:rPr>
        <w:t xml:space="preserve">In particular, it is recognised that, in light of the very large profits that motivate importation and trafficking offences, it is important that the sentence imposed by the courts </w:t>
      </w:r>
      <w:r>
        <w:rPr>
          <w:rFonts w:ascii="Arial" w:hAnsi="Arial" w:cs="Arial"/>
          <w:i/>
          <w:iCs/>
          <w:color w:val="000000"/>
          <w:sz w:val="18"/>
          <w:szCs w:val="18"/>
        </w:rPr>
        <w:t>‘</w:t>
      </w:r>
      <w:r w:rsidR="00970F22" w:rsidRPr="00970F22">
        <w:rPr>
          <w:rFonts w:ascii="Arial" w:hAnsi="Arial" w:cs="Arial"/>
          <w:i/>
          <w:iCs/>
          <w:color w:val="000000"/>
          <w:sz w:val="18"/>
          <w:szCs w:val="18"/>
        </w:rPr>
        <w:t>… must signal to would be traffickers that the potential financial rewards to be gained from such activities are neutralised by the risk of severe punishment …</w:t>
      </w:r>
      <w:r>
        <w:rPr>
          <w:rFonts w:ascii="Arial" w:hAnsi="Arial" w:cs="Arial"/>
          <w:i/>
          <w:iCs/>
          <w:color w:val="000000"/>
          <w:sz w:val="18"/>
          <w:szCs w:val="18"/>
        </w:rPr>
        <w:t>’</w:t>
      </w:r>
      <w:r w:rsidR="00970F22" w:rsidRPr="00970F22">
        <w:rPr>
          <w:rFonts w:ascii="Arial" w:hAnsi="Arial" w:cs="Arial"/>
          <w:color w:val="000000"/>
          <w:sz w:val="18"/>
          <w:szCs w:val="18"/>
        </w:rPr>
        <w:t>. On the other hand, the previous good character, and personal circumstances, of an offender in drug trafficking or importation offences are generally attributed less weight as a mitigating factor.</w:t>
      </w:r>
      <w:r>
        <w:rPr>
          <w:rFonts w:ascii="Arial" w:hAnsi="Arial" w:cs="Arial"/>
          <w:color w:val="000000"/>
          <w:sz w:val="18"/>
          <w:szCs w:val="18"/>
        </w:rPr>
        <w:t>”</w:t>
      </w:r>
    </w:p>
    <w:p w14:paraId="29019904" w14:textId="77777777" w:rsidR="00042353" w:rsidRPr="008825B2" w:rsidRDefault="00042353"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692"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692"/>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 xml:space="preserve">He also had significant and relevant prior convictions. Furthermore, it is to be noted that a sentence of imprisonment for drug trafficking did not deter him from further, similar </w:t>
      </w:r>
      <w:r w:rsidRPr="00655B96">
        <w:rPr>
          <w:rFonts w:ascii="Arial" w:hAnsi="Arial" w:cs="Arial"/>
          <w:sz w:val="20"/>
          <w:szCs w:val="20"/>
        </w:rPr>
        <w:lastRenderedPageBreak/>
        <w:t>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0D2258">
      <w:pPr>
        <w:pStyle w:val="Quote1"/>
        <w:widowControl/>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lastRenderedPageBreak/>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City">
        <w:smartTag w:uri="urn:schemas-microsoft-com:office:smarttags" w:element="place">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rsidP="00783246">
      <w:pPr>
        <w:pStyle w:val="Normal-Indent"/>
        <w:widowControl/>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w:t>
      </w:r>
      <w:r w:rsidRPr="001C6E0E">
        <w:rPr>
          <w:rFonts w:ascii="Arial" w:hAnsi="Arial" w:cs="Arial"/>
          <w:color w:val="000000"/>
          <w:sz w:val="20"/>
        </w:rPr>
        <w:lastRenderedPageBreak/>
        <w:t xml:space="preserve">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smartTag w:uri="urn:schemas-microsoft-com:office:smarttags" w:element="place">
        <w:smartTag w:uri="urn:schemas-microsoft-com:office:smarttags" w:element="City">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w:t>
      </w:r>
      <w:r w:rsidRPr="001C6E0E">
        <w:rPr>
          <w:rFonts w:ascii="Arial" w:hAnsi="Arial" w:cs="Arial"/>
          <w:color w:val="000000"/>
          <w:sz w:val="20"/>
        </w:rPr>
        <w:lastRenderedPageBreak/>
        <w:t xml:space="preserve">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w:t>
      </w:r>
      <w:r w:rsidRPr="001C6E0E">
        <w:rPr>
          <w:rFonts w:ascii="Arial" w:hAnsi="Arial" w:cs="Arial"/>
          <w:color w:val="000000"/>
          <w:sz w:val="20"/>
          <w:szCs w:val="20"/>
        </w:rPr>
        <w:lastRenderedPageBreak/>
        <w:t>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lastRenderedPageBreak/>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the course of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5D2AEF">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 xml:space="preserve">‘Parliament has indicated the clear legislative intention that severe </w:t>
      </w:r>
      <w:r w:rsidRPr="001C6E0E">
        <w:rPr>
          <w:rFonts w:ascii="Arial" w:hAnsi="Arial" w:cs="Arial"/>
          <w:color w:val="000000"/>
          <w:sz w:val="20"/>
        </w:rPr>
        <w:lastRenderedPageBreak/>
        <w:t>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country-region">
        <w:smartTag w:uri="urn:schemas-microsoft-com:office:smarttags" w:element="place">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w:t>
      </w:r>
      <w:r w:rsidRPr="001C6E0E">
        <w:rPr>
          <w:rFonts w:ascii="Arial" w:hAnsi="Arial" w:cs="Arial"/>
          <w:color w:val="000000"/>
          <w:sz w:val="20"/>
        </w:rPr>
        <w:lastRenderedPageBreak/>
        <w:t xml:space="preserve">largest ever detected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City">
        <w:smartTag w:uri="urn:schemas-microsoft-com:office:smarttags" w:element="place">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 xml:space="preserve">he had taken without permission in the course of his employment with a company whose business was the authorised disposal of pharmaceutical waste.  </w:t>
      </w:r>
      <w:r w:rsidR="008E71EB" w:rsidRPr="001C6E0E">
        <w:rPr>
          <w:rFonts w:ascii="Arial" w:hAnsi="Arial" w:cs="Arial"/>
          <w:color w:val="000000"/>
          <w:sz w:val="20"/>
        </w:rPr>
        <w:lastRenderedPageBreak/>
        <w:t>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w:t>
      </w:r>
      <w:r>
        <w:rPr>
          <w:rFonts w:ascii="Arial" w:hAnsi="Arial" w:cs="Arial"/>
          <w:color w:val="000000"/>
          <w:sz w:val="20"/>
        </w:rPr>
        <w:lastRenderedPageBreak/>
        <w:t>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xml:space="preserve">.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w:t>
      </w:r>
      <w:r w:rsidRPr="0057547D">
        <w:rPr>
          <w:rFonts w:ascii="Arial" w:hAnsi="Arial" w:cs="Arial"/>
          <w:sz w:val="20"/>
        </w:rPr>
        <w:lastRenderedPageBreak/>
        <w:t>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lastRenderedPageBreak/>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748D879C" w:rsidR="00147E33" w:rsidRPr="00147E33" w:rsidRDefault="00FC04E0">
      <w:pPr>
        <w:pStyle w:val="ListParagraph"/>
        <w:numPr>
          <w:ilvl w:val="0"/>
          <w:numId w:val="135"/>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5y of which 2y was culumative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7"/>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68260D7"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In this case, we agree with the Director that the sentence on charge 1 of 12 years’ imprisonment is manifestly inadequate having regard to the eye-wateringly large quantity of drugs involved. The quantity of methamphetamine alone is 79 times more than the threshold for a large commercial quantity.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lastRenderedPageBreak/>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Given the standard sentence of 16 years’ imprisonment for LCQ trafficking, and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at Campbellfield, Kilsyth and Braeside, at which large scale factory-based hydroponic facilities were used. 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 xml:space="preserve">Fourth, it is a corollary of giving significant weight to general deterrence that factors personal to the offender, while remaining important, are often required to yield or be </w:t>
      </w:r>
      <w:r w:rsidRPr="002A6DBD">
        <w:rPr>
          <w:rFonts w:ascii="Arial" w:hAnsi="Arial" w:cs="Arial"/>
          <w:sz w:val="20"/>
          <w:szCs w:val="20"/>
        </w:rPr>
        <w:lastRenderedPageBreak/>
        <w:t>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r w:rsidR="001238D4">
        <w:rPr>
          <w:rFonts w:ascii="Arial" w:hAnsi="Arial" w:cs="Arial"/>
          <w:color w:val="000000"/>
          <w:sz w:val="20"/>
          <w:szCs w:val="20"/>
        </w:rPr>
        <w:t>40</w:t>
      </w:r>
      <w:r>
        <w:rPr>
          <w:rFonts w:ascii="Arial" w:hAnsi="Arial" w:cs="Arial"/>
          <w:color w:val="000000"/>
          <w:sz w:val="20"/>
          <w:szCs w:val="20"/>
        </w:rPr>
        <w:t xml:space="preserve"> year old applicant had pleaded guilty and been sentenced to IMP8m + CCO18m on one charge of cultivation of Cannabis L, namely 221 plants found at the 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381D4512" w14:textId="6F73630D" w:rsidR="00DE4C29" w:rsidRPr="001C6E0E" w:rsidRDefault="00DE4C29" w:rsidP="005D2AEF">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F76EF">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[2012] VSC 325 – Guilty plea to importing a commercial quantity of a border controlled drug (207kg pure cocaine: “one of the largest ever detected by our authorities”) – IMP 20y/16y &amp; 29y/15y.  Young coffender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cking in amphetamine &amp; heroin and possession of cocaine, ecstacy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EF76EF">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w:t>
      </w:r>
      <w:r>
        <w:rPr>
          <w:rFonts w:ascii="Arial" w:hAnsi="Arial" w:cs="Arial"/>
          <w:iCs/>
          <w:color w:val="000000"/>
          <w:sz w:val="20"/>
          <w:szCs w:val="20"/>
        </w:rPr>
        <w:lastRenderedPageBreak/>
        <w:t xml:space="preserve">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693"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693"/>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r w:rsidR="00575401" w:rsidRPr="004A4A2A">
        <w:rPr>
          <w:rFonts w:ascii="Arial" w:hAnsi="Arial" w:cs="Arial"/>
          <w:i/>
          <w:iCs/>
          <w:sz w:val="20"/>
          <w:szCs w:val="20"/>
        </w:rPr>
        <w:t>Worboyes</w:t>
      </w:r>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1B98C921" w14:textId="7F220794" w:rsidR="0091644C" w:rsidRPr="0091644C" w:rsidRDefault="00CF2A3D" w:rsidP="0091644C">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w:t>
      </w:r>
      <w:r w:rsidRPr="0091644C">
        <w:rPr>
          <w:rFonts w:ascii="Arial" w:hAnsi="Arial" w:cs="Arial"/>
          <w:color w:val="000000"/>
          <w:sz w:val="20"/>
          <w:szCs w:val="20"/>
        </w:rPr>
        <w:t xml:space="preserve">[2024] VSCA </w:t>
      </w:r>
      <w:r w:rsidR="0091644C">
        <w:rPr>
          <w:rFonts w:ascii="Arial" w:hAnsi="Arial" w:cs="Arial"/>
          <w:color w:val="000000"/>
          <w:sz w:val="20"/>
          <w:szCs w:val="20"/>
        </w:rPr>
        <w:t xml:space="preserve">279 – The respondent had been </w:t>
      </w:r>
      <w:r w:rsidR="0091644C" w:rsidRPr="0091644C">
        <w:rPr>
          <w:rFonts w:ascii="Arial" w:hAnsi="Arial" w:cs="Arial"/>
          <w:color w:val="000000"/>
          <w:sz w:val="20"/>
          <w:szCs w:val="20"/>
        </w:rPr>
        <w:t xml:space="preserve">convicted of offences including 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large commercial quantity of methylamphetamine</w:t>
      </w:r>
      <w:r w:rsidR="0091644C">
        <w:rPr>
          <w:rFonts w:ascii="Arial" w:hAnsi="Arial" w:cs="Arial"/>
          <w:color w:val="000000"/>
          <w:sz w:val="20"/>
          <w:szCs w:val="20"/>
        </w:rPr>
        <w:t xml:space="preserve"> and </w:t>
      </w:r>
      <w:r w:rsidR="0091644C" w:rsidRPr="0091644C">
        <w:rPr>
          <w:rFonts w:ascii="Arial" w:hAnsi="Arial" w:cs="Arial"/>
          <w:color w:val="000000"/>
          <w:sz w:val="20"/>
          <w:szCs w:val="20"/>
        </w:rPr>
        <w:t xml:space="preserve">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commercial quantity of cocaine – </w:t>
      </w:r>
      <w:r w:rsidR="0091644C">
        <w:rPr>
          <w:rFonts w:ascii="Arial" w:hAnsi="Arial" w:cs="Arial"/>
          <w:color w:val="000000"/>
          <w:sz w:val="20"/>
          <w:szCs w:val="20"/>
        </w:rPr>
        <w:t>TES IMP</w:t>
      </w:r>
      <w:r w:rsidR="0091644C" w:rsidRPr="0091644C">
        <w:rPr>
          <w:rFonts w:ascii="Arial" w:hAnsi="Arial" w:cs="Arial"/>
          <w:color w:val="000000"/>
          <w:sz w:val="20"/>
          <w:szCs w:val="20"/>
        </w:rPr>
        <w:t>16y</w:t>
      </w:r>
      <w:r w:rsidR="0091644C">
        <w:rPr>
          <w:rFonts w:ascii="Arial" w:hAnsi="Arial" w:cs="Arial"/>
          <w:color w:val="000000"/>
          <w:sz w:val="20"/>
          <w:szCs w:val="20"/>
        </w:rPr>
        <w:t>/10y</w:t>
      </w:r>
      <w:r w:rsidR="0091644C" w:rsidRPr="0091644C">
        <w:rPr>
          <w:rFonts w:ascii="Arial" w:hAnsi="Arial" w:cs="Arial"/>
          <w:color w:val="000000"/>
          <w:sz w:val="20"/>
          <w:szCs w:val="20"/>
        </w:rPr>
        <w:t xml:space="preserve"> – Base sentence </w:t>
      </w:r>
      <w:r w:rsidR="0091644C">
        <w:rPr>
          <w:rFonts w:ascii="Arial" w:hAnsi="Arial" w:cs="Arial"/>
          <w:color w:val="000000"/>
          <w:sz w:val="20"/>
          <w:szCs w:val="20"/>
        </w:rPr>
        <w:t>IMP</w:t>
      </w:r>
      <w:r w:rsidR="0091644C" w:rsidRPr="0091644C">
        <w:rPr>
          <w:rFonts w:ascii="Arial" w:hAnsi="Arial" w:cs="Arial"/>
          <w:color w:val="000000"/>
          <w:sz w:val="20"/>
          <w:szCs w:val="20"/>
        </w:rPr>
        <w:t>13</w:t>
      </w:r>
      <w:r w:rsidR="0091644C">
        <w:rPr>
          <w:rFonts w:ascii="Arial" w:hAnsi="Arial" w:cs="Arial"/>
          <w:color w:val="000000"/>
          <w:sz w:val="20"/>
          <w:szCs w:val="20"/>
        </w:rPr>
        <w:t>y</w:t>
      </w:r>
      <w:r w:rsidR="0091644C" w:rsidRPr="0091644C">
        <w:rPr>
          <w:rFonts w:ascii="Arial" w:hAnsi="Arial" w:cs="Arial"/>
          <w:color w:val="000000"/>
          <w:sz w:val="20"/>
          <w:szCs w:val="20"/>
        </w:rPr>
        <w:t xml:space="preserve">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 xml:space="preserve">large commercial quantity offence </w:t>
      </w:r>
      <w:r w:rsidR="0091644C">
        <w:rPr>
          <w:rFonts w:ascii="Arial" w:hAnsi="Arial" w:cs="Arial"/>
          <w:color w:val="000000"/>
          <w:sz w:val="20"/>
          <w:szCs w:val="20"/>
        </w:rPr>
        <w:t>and sentence IMP</w:t>
      </w:r>
      <w:r w:rsidR="0091644C" w:rsidRPr="0091644C">
        <w:rPr>
          <w:rFonts w:ascii="Arial" w:hAnsi="Arial" w:cs="Arial"/>
          <w:color w:val="000000"/>
          <w:sz w:val="20"/>
          <w:szCs w:val="20"/>
        </w:rPr>
        <w:t>9</w:t>
      </w:r>
      <w:r w:rsidR="0091644C">
        <w:rPr>
          <w:rFonts w:ascii="Arial" w:hAnsi="Arial" w:cs="Arial"/>
          <w:color w:val="000000"/>
          <w:sz w:val="20"/>
          <w:szCs w:val="20"/>
        </w:rPr>
        <w:t>y6m</w:t>
      </w:r>
      <w:r w:rsidR="0091644C" w:rsidRPr="0091644C">
        <w:rPr>
          <w:rFonts w:ascii="Arial" w:hAnsi="Arial" w:cs="Arial"/>
          <w:color w:val="000000"/>
          <w:sz w:val="20"/>
          <w:szCs w:val="20"/>
        </w:rPr>
        <w:t xml:space="preserve">, 2y cumulation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commercial quantity offence –</w:t>
      </w:r>
      <w:r w:rsidR="0091644C">
        <w:rPr>
          <w:rFonts w:ascii="Arial" w:hAnsi="Arial" w:cs="Arial"/>
          <w:color w:val="000000"/>
          <w:sz w:val="20"/>
          <w:szCs w:val="20"/>
        </w:rPr>
        <w:t xml:space="preserve"> </w:t>
      </w:r>
      <w:r w:rsidR="0091644C" w:rsidRPr="0091644C">
        <w:rPr>
          <w:rFonts w:ascii="Arial" w:hAnsi="Arial" w:cs="Arial"/>
          <w:color w:val="000000"/>
          <w:sz w:val="20"/>
          <w:szCs w:val="20"/>
        </w:rPr>
        <w:t xml:space="preserve">Applicant played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vital and trusted role within serious high-level criminal enterprise – </w:t>
      </w:r>
      <w:r w:rsidR="0091644C">
        <w:rPr>
          <w:rFonts w:ascii="Arial" w:hAnsi="Arial" w:cs="Arial"/>
          <w:color w:val="000000"/>
          <w:sz w:val="20"/>
          <w:szCs w:val="20"/>
        </w:rPr>
        <w:t>His p</w:t>
      </w:r>
      <w:r w:rsidR="0091644C" w:rsidRPr="0091644C">
        <w:rPr>
          <w:rFonts w:ascii="Arial" w:hAnsi="Arial" w:cs="Arial"/>
          <w:color w:val="000000"/>
          <w:sz w:val="20"/>
          <w:szCs w:val="20"/>
        </w:rPr>
        <w:t xml:space="preserve">ersonal circumstances </w:t>
      </w:r>
      <w:r w:rsidR="0091644C">
        <w:rPr>
          <w:rFonts w:ascii="Arial" w:hAnsi="Arial" w:cs="Arial"/>
          <w:color w:val="000000"/>
          <w:sz w:val="20"/>
          <w:szCs w:val="20"/>
        </w:rPr>
        <w:t xml:space="preserve">had been </w:t>
      </w:r>
      <w:r w:rsidR="0091644C" w:rsidRPr="0091644C">
        <w:rPr>
          <w:rFonts w:ascii="Arial" w:hAnsi="Arial" w:cs="Arial"/>
          <w:color w:val="000000"/>
          <w:sz w:val="20"/>
          <w:szCs w:val="20"/>
        </w:rPr>
        <w:t xml:space="preserve">taken into account in mitigation – Regard to current sentencing practice – General deterrence prominent – </w:t>
      </w:r>
      <w:r w:rsidR="0091644C">
        <w:rPr>
          <w:rFonts w:ascii="Arial" w:hAnsi="Arial" w:cs="Arial"/>
          <w:color w:val="000000"/>
          <w:sz w:val="20"/>
          <w:szCs w:val="20"/>
        </w:rPr>
        <w:t>The Court of Appeal (Macaulay &amp; Kaye JJA) held that the s</w:t>
      </w:r>
      <w:r w:rsidR="0091644C" w:rsidRPr="0091644C">
        <w:rPr>
          <w:rFonts w:ascii="Arial" w:hAnsi="Arial" w:cs="Arial"/>
          <w:color w:val="000000"/>
          <w:sz w:val="20"/>
          <w:szCs w:val="20"/>
        </w:rPr>
        <w:t xml:space="preserve">entence </w:t>
      </w:r>
      <w:r w:rsidR="0091644C">
        <w:rPr>
          <w:rFonts w:ascii="Arial" w:hAnsi="Arial" w:cs="Arial"/>
          <w:color w:val="000000"/>
          <w:sz w:val="20"/>
          <w:szCs w:val="20"/>
        </w:rPr>
        <w:t xml:space="preserve">was </w:t>
      </w:r>
      <w:r w:rsidR="0091644C" w:rsidRPr="0091644C">
        <w:rPr>
          <w:rFonts w:ascii="Arial" w:hAnsi="Arial" w:cs="Arial"/>
          <w:color w:val="000000"/>
          <w:sz w:val="20"/>
          <w:szCs w:val="20"/>
        </w:rPr>
        <w:t xml:space="preserve">within permissible range </w:t>
      </w:r>
      <w:r w:rsidR="0091644C">
        <w:rPr>
          <w:rFonts w:ascii="Arial" w:hAnsi="Arial" w:cs="Arial"/>
          <w:color w:val="000000"/>
          <w:sz w:val="20"/>
          <w:szCs w:val="20"/>
        </w:rPr>
        <w:t>and refused l</w:t>
      </w:r>
      <w:r w:rsidR="0091644C" w:rsidRPr="0091644C">
        <w:rPr>
          <w:rFonts w:ascii="Arial" w:hAnsi="Arial" w:cs="Arial"/>
          <w:color w:val="000000"/>
          <w:sz w:val="20"/>
          <w:szCs w:val="20"/>
        </w:rPr>
        <w:t>eave to appeal.</w:t>
      </w:r>
    </w:p>
    <w:p w14:paraId="57EE626F" w14:textId="5EAEC141" w:rsidR="005F3DEF" w:rsidRDefault="0091644C" w:rsidP="00EF76EF">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EF76EF">
        <w:rPr>
          <w:rFonts w:ascii="Arial" w:hAnsi="Arial" w:cs="Arial"/>
          <w:b/>
          <w:bCs/>
          <w:color w:val="FFFFFF" w:themeColor="background1"/>
          <w:sz w:val="22"/>
          <w:szCs w:val="22"/>
          <w:shd w:val="clear" w:color="auto" w:fill="000000" w:themeFill="text1"/>
        </w:rPr>
        <w:t>CULTIVATION OF CANNABIS</w:t>
      </w:r>
      <w:r w:rsidRPr="00EF76EF">
        <w:rPr>
          <w:rFonts w:ascii="Arial" w:hAnsi="Arial" w:cs="Arial"/>
          <w:color w:val="FFFFFF" w:themeColor="background1"/>
          <w:sz w:val="22"/>
          <w:szCs w:val="22"/>
          <w:shd w:val="clear" w:color="auto" w:fill="000000" w:themeFill="text1"/>
        </w:rPr>
        <w:t>:</w:t>
      </w:r>
    </w:p>
    <w:p w14:paraId="51F185DA" w14:textId="77777777" w:rsidR="00EF76EF" w:rsidRPr="00EF76EF" w:rsidRDefault="00EF76EF" w:rsidP="00EF76EF">
      <w:pPr>
        <w:pStyle w:val="ListParagraph"/>
        <w:keepNext/>
        <w:keepLines/>
        <w:spacing w:before="120" w:after="120"/>
        <w:ind w:left="0"/>
        <w:jc w:val="both"/>
        <w:rPr>
          <w:rFonts w:ascii="Arial" w:hAnsi="Arial" w:cs="Arial"/>
          <w:color w:val="000000" w:themeColor="text1"/>
          <w:sz w:val="12"/>
          <w:szCs w:val="12"/>
        </w:rPr>
      </w:pPr>
    </w:p>
    <w:p w14:paraId="45E82960" w14:textId="77777777" w:rsidR="005F3DEF" w:rsidRDefault="00342872" w:rsidP="00EF76EF">
      <w:pPr>
        <w:pStyle w:val="ListParagraph"/>
        <w:numPr>
          <w:ilvl w:val="0"/>
          <w:numId w:val="80"/>
        </w:numPr>
        <w:spacing w:before="120"/>
        <w:ind w:left="357"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EF76EF">
      <w:pPr>
        <w:pStyle w:val="ListParagraph"/>
        <w:numPr>
          <w:ilvl w:val="0"/>
          <w:numId w:val="80"/>
        </w:numPr>
        <w:ind w:left="357" w:hanging="357"/>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30C56FB5" w:rsidR="008932F6" w:rsidRDefault="008932F6"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Vocaj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r w:rsidR="0011224E">
        <w:rPr>
          <w:rFonts w:ascii="Arial" w:hAnsi="Arial" w:cs="Arial"/>
          <w:color w:val="000000"/>
          <w:sz w:val="20"/>
          <w:szCs w:val="20"/>
        </w:rPr>
        <w:t>;</w:t>
      </w:r>
    </w:p>
    <w:p w14:paraId="2F12DDAA" w14:textId="6B9AB355" w:rsidR="0073251A" w:rsidRDefault="0011224E"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Elezi v The King </w:t>
      </w:r>
      <w:r w:rsidRPr="0011224E">
        <w:rPr>
          <w:rFonts w:ascii="Arial" w:hAnsi="Arial" w:cs="Arial"/>
          <w:color w:val="000000"/>
          <w:sz w:val="20"/>
          <w:szCs w:val="20"/>
        </w:rPr>
        <w:t>[2025] VSCA 81 [cultivation of a commercial quantity of cannabis &amp; theft of electricity – IMP4y6m/2y8m – appeal dismissed]</w:t>
      </w:r>
      <w:r w:rsidR="0073251A">
        <w:rPr>
          <w:rFonts w:ascii="Arial" w:hAnsi="Arial" w:cs="Arial"/>
          <w:color w:val="000000"/>
          <w:sz w:val="20"/>
          <w:szCs w:val="20"/>
        </w:rPr>
        <w:t>;</w:t>
      </w:r>
    </w:p>
    <w:p w14:paraId="0420D673" w14:textId="626B8102" w:rsidR="0073251A" w:rsidRDefault="0073251A"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Failla v The King </w:t>
      </w:r>
      <w:r w:rsidRPr="008932F6">
        <w:rPr>
          <w:rFonts w:ascii="Arial" w:hAnsi="Arial" w:cs="Arial"/>
          <w:color w:val="000000"/>
          <w:sz w:val="20"/>
          <w:szCs w:val="20"/>
        </w:rPr>
        <w:t xml:space="preserve">[2023] VSCA </w:t>
      </w:r>
      <w:r>
        <w:rPr>
          <w:rFonts w:ascii="Arial" w:hAnsi="Arial" w:cs="Arial"/>
          <w:color w:val="000000"/>
          <w:sz w:val="20"/>
          <w:szCs w:val="20"/>
        </w:rPr>
        <w:t>13</w:t>
      </w:r>
      <w:r w:rsidRPr="008932F6">
        <w:rPr>
          <w:rFonts w:ascii="Arial" w:hAnsi="Arial" w:cs="Arial"/>
          <w:color w:val="000000"/>
          <w:sz w:val="20"/>
          <w:szCs w:val="20"/>
        </w:rPr>
        <w:t xml:space="preserve">2 [cultivation of </w:t>
      </w:r>
      <w:r>
        <w:rPr>
          <w:rFonts w:ascii="Arial" w:hAnsi="Arial" w:cs="Arial"/>
          <w:color w:val="000000"/>
          <w:sz w:val="20"/>
          <w:szCs w:val="20"/>
        </w:rPr>
        <w:t>a commercial quantity of cannabis – offender leased property used to cultivate cannabis – IMP4y/2y6m].</w:t>
      </w:r>
    </w:p>
    <w:p w14:paraId="497C8558" w14:textId="77777777" w:rsidR="0073251A" w:rsidRPr="0073251A" w:rsidRDefault="0073251A" w:rsidP="0073251A">
      <w:pPr>
        <w:jc w:val="both"/>
        <w:rPr>
          <w:rFonts w:ascii="Arial" w:hAnsi="Arial" w:cs="Arial"/>
          <w:color w:val="000000"/>
          <w:sz w:val="20"/>
          <w:szCs w:val="20"/>
        </w:rPr>
      </w:pPr>
    </w:p>
    <w:p w14:paraId="0241DAD6" w14:textId="44B6BF1E" w:rsidR="00EF76EF" w:rsidRPr="00EF76EF" w:rsidRDefault="00EF76EF" w:rsidP="00EF76EF">
      <w:pPr>
        <w:keepNext/>
        <w:keepLines/>
        <w:shd w:val="clear" w:color="auto" w:fill="000000" w:themeFill="text1"/>
        <w:spacing w:before="120" w:after="12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lastRenderedPageBreak/>
        <w:t>DRUG TRAFFICKING</w:t>
      </w:r>
    </w:p>
    <w:p w14:paraId="501F2D2D" w14:textId="77777777" w:rsidR="007D00E7" w:rsidRDefault="00C26335" w:rsidP="00EF76EF">
      <w:pPr>
        <w:keepNext/>
        <w:keepLines/>
        <w:numPr>
          <w:ilvl w:val="0"/>
          <w:numId w:val="16"/>
        </w:numPr>
        <w:spacing w:before="40"/>
        <w:ind w:left="357"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1BD80598" w:rsidR="007D00E7" w:rsidRDefault="0073104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p>
    <w:p w14:paraId="4B6B58B8"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EF76EF">
      <w:pPr>
        <w:numPr>
          <w:ilvl w:val="0"/>
          <w:numId w:val="16"/>
        </w:numPr>
        <w:ind w:left="357"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EF76EF">
      <w:pPr>
        <w:numPr>
          <w:ilvl w:val="0"/>
          <w:numId w:val="16"/>
        </w:numPr>
        <w:ind w:left="357"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EF76EF">
      <w:pPr>
        <w:numPr>
          <w:ilvl w:val="0"/>
          <w:numId w:val="16"/>
        </w:numPr>
        <w:ind w:left="357"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EF76EF">
      <w:pPr>
        <w:numPr>
          <w:ilvl w:val="0"/>
          <w:numId w:val="16"/>
        </w:numPr>
        <w:ind w:left="357"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EF76EF">
      <w:pPr>
        <w:numPr>
          <w:ilvl w:val="0"/>
          <w:numId w:val="16"/>
        </w:numPr>
        <w:ind w:left="357"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EF76EF">
      <w:pPr>
        <w:numPr>
          <w:ilvl w:val="0"/>
          <w:numId w:val="16"/>
        </w:numPr>
        <w:ind w:left="357"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EF76EF">
      <w:pPr>
        <w:numPr>
          <w:ilvl w:val="0"/>
          <w:numId w:val="16"/>
        </w:numPr>
        <w:ind w:left="357"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EF76EF">
      <w:pPr>
        <w:numPr>
          <w:ilvl w:val="0"/>
          <w:numId w:val="16"/>
        </w:numPr>
        <w:ind w:left="357"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EF76EF">
      <w:pPr>
        <w:numPr>
          <w:ilvl w:val="0"/>
          <w:numId w:val="16"/>
        </w:numPr>
        <w:ind w:left="357"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EF76EF">
      <w:pPr>
        <w:numPr>
          <w:ilvl w:val="0"/>
          <w:numId w:val="16"/>
        </w:numPr>
        <w:ind w:left="357" w:hanging="357"/>
        <w:jc w:val="both"/>
        <w:rPr>
          <w:rFonts w:ascii="Arial" w:hAnsi="Arial" w:cs="Arial"/>
          <w:color w:val="000000"/>
          <w:sz w:val="20"/>
          <w:szCs w:val="20"/>
        </w:rPr>
      </w:pPr>
      <w:r w:rsidRPr="00D01CBA">
        <w:rPr>
          <w:rFonts w:ascii="Arial" w:hAnsi="Arial" w:cs="Arial"/>
          <w:i/>
          <w:iCs/>
          <w:sz w:val="20"/>
          <w:szCs w:val="20"/>
        </w:rPr>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EF76EF">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AD5727">
      <w:pPr>
        <w:numPr>
          <w:ilvl w:val="0"/>
          <w:numId w:val="16"/>
        </w:numPr>
        <w:ind w:left="357" w:hanging="357"/>
        <w:jc w:val="both"/>
        <w:rPr>
          <w:rFonts w:ascii="Arial" w:hAnsi="Arial" w:cs="Arial"/>
          <w:color w:val="000000"/>
          <w:sz w:val="20"/>
          <w:szCs w:val="20"/>
        </w:rPr>
      </w:pPr>
      <w:bookmarkStart w:id="694" w:name="_Hlk166133364"/>
      <w:r>
        <w:rPr>
          <w:rFonts w:ascii="Arial" w:hAnsi="Arial" w:cs="Arial"/>
          <w:i/>
          <w:iCs/>
          <w:sz w:val="20"/>
          <w:szCs w:val="20"/>
        </w:rPr>
        <w:lastRenderedPageBreak/>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694"/>
    <w:p w14:paraId="7FEA7C70" w14:textId="513AD932" w:rsidR="0070165F" w:rsidRPr="0070165F" w:rsidRDefault="00D23956" w:rsidP="00AD5727">
      <w:pPr>
        <w:numPr>
          <w:ilvl w:val="0"/>
          <w:numId w:val="16"/>
        </w:numPr>
        <w:ind w:left="357" w:hanging="357"/>
        <w:jc w:val="both"/>
        <w:rPr>
          <w:rFonts w:ascii="Arial" w:hAnsi="Arial" w:cs="Arial"/>
          <w:color w:val="000000"/>
          <w:sz w:val="20"/>
          <w:szCs w:val="20"/>
        </w:rPr>
      </w:pPr>
      <w:r w:rsidRPr="00D23956">
        <w:rPr>
          <w:rFonts w:ascii="Arial" w:hAnsi="Arial" w:cs="Arial"/>
          <w:bCs/>
          <w:i/>
          <w:iCs/>
          <w:color w:val="000000"/>
          <w:sz w:val="20"/>
          <w:lang w:val="en-US"/>
        </w:rPr>
        <w:t>Biricik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AD5727">
      <w:pPr>
        <w:numPr>
          <w:ilvl w:val="0"/>
          <w:numId w:val="16"/>
        </w:numPr>
        <w:ind w:left="357"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Crown appeal against a sentence of IMP4y/3y (to be served cumulatively upon a sentence currently being served) on a charge of attempting to traffick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AD5727">
      <w:pPr>
        <w:numPr>
          <w:ilvl w:val="0"/>
          <w:numId w:val="16"/>
        </w:numPr>
        <w:ind w:left="357" w:hanging="357"/>
        <w:jc w:val="both"/>
        <w:rPr>
          <w:rFonts w:ascii="Arial" w:hAnsi="Arial" w:cs="Arial"/>
          <w:color w:val="000000"/>
          <w:sz w:val="20"/>
          <w:szCs w:val="20"/>
        </w:rPr>
      </w:pPr>
      <w:bookmarkStart w:id="695"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695"/>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6ACAF33F" w14:textId="2693B0E4" w:rsidR="001626FF" w:rsidRPr="001626FF" w:rsidRDefault="008E1C94"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r w:rsidR="001626FF">
        <w:rPr>
          <w:rFonts w:ascii="Arial" w:hAnsi="Arial" w:cs="Arial"/>
          <w:sz w:val="20"/>
          <w:szCs w:val="20"/>
        </w:rPr>
        <w:t>;</w:t>
      </w:r>
    </w:p>
    <w:p w14:paraId="0F376667" w14:textId="2F38A13A" w:rsidR="008E1C94" w:rsidRPr="00D1269B" w:rsidRDefault="001626FF"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Wu v The King </w:t>
      </w:r>
      <w:r w:rsidRPr="001626FF">
        <w:rPr>
          <w:rFonts w:ascii="Arial" w:hAnsi="Arial" w:cs="Arial"/>
          <w:sz w:val="20"/>
          <w:szCs w:val="20"/>
        </w:rPr>
        <w:t xml:space="preserve">[2025] VSCA 4 [applicant </w:t>
      </w:r>
      <w:r>
        <w:rPr>
          <w:rFonts w:ascii="Arial" w:hAnsi="Arial" w:cs="Arial"/>
          <w:sz w:val="20"/>
          <w:szCs w:val="20"/>
        </w:rPr>
        <w:t xml:space="preserve">pleaded guilty to </w:t>
      </w:r>
      <w:r w:rsidRPr="001626FF">
        <w:rPr>
          <w:rFonts w:ascii="Arial" w:hAnsi="Arial" w:cs="Arial"/>
          <w:sz w:val="20"/>
          <w:szCs w:val="20"/>
        </w:rPr>
        <w:t>trafficking in a commercial quantity of methylamphetamine</w:t>
      </w:r>
      <w:r>
        <w:rPr>
          <w:rFonts w:ascii="Arial" w:hAnsi="Arial" w:cs="Arial"/>
          <w:sz w:val="20"/>
          <w:szCs w:val="20"/>
        </w:rPr>
        <w:t>,</w:t>
      </w:r>
      <w:r w:rsidRPr="001626FF">
        <w:rPr>
          <w:rFonts w:ascii="Arial" w:hAnsi="Arial" w:cs="Arial"/>
          <w:sz w:val="20"/>
          <w:szCs w:val="20"/>
        </w:rPr>
        <w:t xml:space="preserve"> trafficking in heroin </w:t>
      </w:r>
      <w:r>
        <w:rPr>
          <w:rFonts w:ascii="Arial" w:hAnsi="Arial" w:cs="Arial"/>
          <w:sz w:val="20"/>
          <w:szCs w:val="20"/>
        </w:rPr>
        <w:t xml:space="preserve">and </w:t>
      </w:r>
      <w:r w:rsidRPr="001626FF">
        <w:rPr>
          <w:rFonts w:ascii="Arial" w:hAnsi="Arial" w:cs="Arial"/>
          <w:sz w:val="20"/>
          <w:szCs w:val="20"/>
        </w:rPr>
        <w:t>cultivation of a narcotic plant (cannabis)</w:t>
      </w:r>
      <w:r>
        <w:rPr>
          <w:rFonts w:ascii="Arial" w:hAnsi="Arial" w:cs="Arial"/>
          <w:sz w:val="20"/>
          <w:szCs w:val="20"/>
        </w:rPr>
        <w:t xml:space="preserve"> – IMP5y10m/3y10m]</w:t>
      </w:r>
      <w:r w:rsidR="00D1269B">
        <w:rPr>
          <w:rFonts w:ascii="Arial" w:hAnsi="Arial" w:cs="Arial"/>
          <w:sz w:val="20"/>
          <w:szCs w:val="20"/>
        </w:rPr>
        <w:t>;</w:t>
      </w:r>
    </w:p>
    <w:p w14:paraId="3401BDED" w14:textId="3799F9EA" w:rsidR="00D1269B" w:rsidRDefault="00D1269B" w:rsidP="00AD5727">
      <w:pPr>
        <w:numPr>
          <w:ilvl w:val="0"/>
          <w:numId w:val="16"/>
        </w:numPr>
        <w:ind w:left="357" w:hanging="357"/>
        <w:jc w:val="both"/>
        <w:rPr>
          <w:rFonts w:ascii="Arial" w:hAnsi="Arial" w:cs="Arial"/>
          <w:color w:val="000000"/>
          <w:sz w:val="20"/>
          <w:szCs w:val="20"/>
        </w:rPr>
      </w:pPr>
      <w:r w:rsidRPr="00D1269B">
        <w:rPr>
          <w:rFonts w:ascii="Arial" w:hAnsi="Arial" w:cs="Arial"/>
          <w:i/>
          <w:iCs/>
          <w:color w:val="000000"/>
          <w:sz w:val="20"/>
          <w:szCs w:val="20"/>
        </w:rPr>
        <w:t>Parks v The King</w:t>
      </w:r>
      <w:r>
        <w:rPr>
          <w:rFonts w:ascii="Arial" w:hAnsi="Arial" w:cs="Arial"/>
          <w:color w:val="000000"/>
          <w:sz w:val="20"/>
          <w:szCs w:val="20"/>
        </w:rPr>
        <w:t xml:space="preserve"> [2025] VSCA 84 [applicant pleaded guilty to trafficking in a commercial quantity of </w:t>
      </w:r>
      <w:r w:rsidRPr="00D1269B">
        <w:rPr>
          <w:rFonts w:ascii="Arial" w:hAnsi="Arial" w:cs="Arial"/>
          <w:color w:val="000000"/>
          <w:sz w:val="20"/>
          <w:szCs w:val="20"/>
        </w:rPr>
        <w:t>1,4-butanediol</w:t>
      </w:r>
      <w:r>
        <w:rPr>
          <w:rFonts w:ascii="Arial" w:hAnsi="Arial" w:cs="Arial"/>
          <w:color w:val="000000"/>
          <w:sz w:val="20"/>
          <w:szCs w:val="20"/>
        </w:rPr>
        <w:t xml:space="preserve"> (</w:t>
      </w:r>
      <w:r w:rsidRPr="00D1269B">
        <w:rPr>
          <w:rFonts w:ascii="Arial" w:hAnsi="Arial" w:cs="Arial"/>
          <w:color w:val="000000"/>
          <w:sz w:val="20"/>
          <w:szCs w:val="20"/>
        </w:rPr>
        <w:t>14</w:t>
      </w:r>
      <w:r>
        <w:rPr>
          <w:rFonts w:ascii="Arial" w:hAnsi="Arial" w:cs="Arial"/>
          <w:color w:val="000000"/>
          <w:sz w:val="20"/>
          <w:szCs w:val="20"/>
        </w:rPr>
        <w:t xml:space="preserve">½ </w:t>
      </w:r>
      <w:r w:rsidRPr="00D1269B">
        <w:rPr>
          <w:rFonts w:ascii="Arial" w:hAnsi="Arial" w:cs="Arial"/>
          <w:color w:val="000000"/>
          <w:sz w:val="20"/>
          <w:szCs w:val="20"/>
        </w:rPr>
        <w:t>times the commercial quantity threshold</w:t>
      </w:r>
      <w:r>
        <w:rPr>
          <w:rFonts w:ascii="Arial" w:hAnsi="Arial" w:cs="Arial"/>
          <w:color w:val="000000"/>
          <w:sz w:val="20"/>
          <w:szCs w:val="20"/>
        </w:rPr>
        <w:t xml:space="preserve">) and </w:t>
      </w:r>
      <w:r w:rsidR="000F6909">
        <w:rPr>
          <w:rFonts w:ascii="Arial" w:hAnsi="Arial" w:cs="Arial"/>
          <w:color w:val="000000"/>
          <w:sz w:val="20"/>
          <w:szCs w:val="20"/>
        </w:rPr>
        <w:t xml:space="preserve">trafficking in a commercial quantity of methylamphetamine together </w:t>
      </w:r>
      <w:r w:rsidRPr="000F6909">
        <w:rPr>
          <w:rFonts w:ascii="Arial" w:hAnsi="Arial" w:cs="Arial"/>
          <w:color w:val="000000"/>
          <w:sz w:val="20"/>
          <w:szCs w:val="20"/>
        </w:rPr>
        <w:t xml:space="preserve">with firearms and proceeds of crime offending while on parole for similar offending – significant and relevant criminal history – IMP7y as base sentence on the trafficking </w:t>
      </w:r>
      <w:r w:rsidR="000F6909" w:rsidRPr="00D1269B">
        <w:rPr>
          <w:rFonts w:ascii="Arial" w:hAnsi="Arial" w:cs="Arial"/>
          <w:color w:val="000000"/>
          <w:sz w:val="20"/>
          <w:szCs w:val="20"/>
        </w:rPr>
        <w:t>1,4-butanediol</w:t>
      </w:r>
      <w:r w:rsidR="000F6909">
        <w:rPr>
          <w:rFonts w:ascii="Arial" w:hAnsi="Arial" w:cs="Arial"/>
          <w:color w:val="000000"/>
          <w:sz w:val="20"/>
          <w:szCs w:val="20"/>
        </w:rPr>
        <w:t xml:space="preserve"> </w:t>
      </w:r>
      <w:r w:rsidRPr="000F6909">
        <w:rPr>
          <w:rFonts w:ascii="Arial" w:hAnsi="Arial" w:cs="Arial"/>
          <w:color w:val="000000"/>
          <w:sz w:val="20"/>
          <w:szCs w:val="20"/>
        </w:rPr>
        <w:t xml:space="preserve">charge </w:t>
      </w:r>
      <w:r w:rsidR="000F6909">
        <w:rPr>
          <w:rFonts w:ascii="Arial" w:hAnsi="Arial" w:cs="Arial"/>
          <w:color w:val="000000"/>
          <w:sz w:val="20"/>
          <w:szCs w:val="20"/>
        </w:rPr>
        <w:t xml:space="preserve">and IMP6y (1y cumulative) on the trafficking methylamphetamine charge </w:t>
      </w:r>
      <w:r w:rsidRPr="000F6909">
        <w:rPr>
          <w:rFonts w:ascii="Arial" w:hAnsi="Arial" w:cs="Arial"/>
          <w:color w:val="000000"/>
          <w:sz w:val="20"/>
          <w:szCs w:val="20"/>
        </w:rPr>
        <w:t xml:space="preserve">– TES IMP 8y6m/5y – sentence was within range, was not manifestly excessive and did </w:t>
      </w:r>
      <w:r w:rsidR="000F6909">
        <w:rPr>
          <w:rFonts w:ascii="Arial" w:hAnsi="Arial" w:cs="Arial"/>
          <w:color w:val="000000"/>
          <w:sz w:val="20"/>
          <w:szCs w:val="20"/>
        </w:rPr>
        <w:t xml:space="preserve">not </w:t>
      </w:r>
      <w:r w:rsidRPr="000F6909">
        <w:rPr>
          <w:rFonts w:ascii="Arial" w:hAnsi="Arial" w:cs="Arial"/>
          <w:color w:val="000000"/>
          <w:sz w:val="20"/>
          <w:szCs w:val="20"/>
        </w:rPr>
        <w:t>infringe the principle of totality].</w:t>
      </w:r>
    </w:p>
    <w:p w14:paraId="45C91E71" w14:textId="6418EA59" w:rsidR="00AB32A7" w:rsidRDefault="00AB32A7" w:rsidP="00AD5727">
      <w:pPr>
        <w:numPr>
          <w:ilvl w:val="0"/>
          <w:numId w:val="16"/>
        </w:numPr>
        <w:ind w:left="357" w:hanging="357"/>
        <w:jc w:val="both"/>
        <w:rPr>
          <w:rFonts w:ascii="Arial" w:hAnsi="Arial" w:cs="Arial"/>
          <w:color w:val="000000"/>
          <w:sz w:val="20"/>
          <w:szCs w:val="20"/>
        </w:rPr>
      </w:pPr>
      <w:r w:rsidRPr="00AB32A7">
        <w:rPr>
          <w:rFonts w:ascii="Arial" w:hAnsi="Arial" w:cs="Arial"/>
          <w:i/>
          <w:iCs/>
          <w:color w:val="000000"/>
          <w:sz w:val="20"/>
          <w:szCs w:val="20"/>
        </w:rPr>
        <w:t>Ale v The King</w:t>
      </w:r>
      <w:r>
        <w:rPr>
          <w:rFonts w:ascii="Arial" w:hAnsi="Arial" w:cs="Arial"/>
          <w:color w:val="000000"/>
          <w:sz w:val="20"/>
          <w:szCs w:val="20"/>
        </w:rPr>
        <w:t xml:space="preserve"> [2025] VSCA 92 [applicant who was aged 34-35 during the offending pleaded guilty to multiple charges – principally drug </w:t>
      </w:r>
      <w:r w:rsidR="00E912BF">
        <w:rPr>
          <w:rFonts w:ascii="Arial" w:hAnsi="Arial" w:cs="Arial"/>
          <w:color w:val="000000"/>
          <w:sz w:val="20"/>
          <w:szCs w:val="20"/>
        </w:rPr>
        <w:t xml:space="preserve">trafficking, conspiracy to commit </w:t>
      </w:r>
      <w:r>
        <w:rPr>
          <w:rFonts w:ascii="Arial" w:hAnsi="Arial" w:cs="Arial"/>
          <w:color w:val="000000"/>
          <w:sz w:val="20"/>
          <w:szCs w:val="20"/>
        </w:rPr>
        <w:t>arso</w:t>
      </w:r>
      <w:r w:rsidR="00E912BF">
        <w:rPr>
          <w:rFonts w:ascii="Arial" w:hAnsi="Arial" w:cs="Arial"/>
          <w:color w:val="000000"/>
          <w:sz w:val="20"/>
          <w:szCs w:val="20"/>
        </w:rPr>
        <w:t>n</w:t>
      </w:r>
      <w:r>
        <w:rPr>
          <w:rFonts w:ascii="Arial" w:hAnsi="Arial" w:cs="Arial"/>
          <w:color w:val="000000"/>
          <w:sz w:val="20"/>
          <w:szCs w:val="20"/>
        </w:rPr>
        <w:t xml:space="preserve"> </w:t>
      </w:r>
      <w:r w:rsidR="00E912BF">
        <w:rPr>
          <w:rFonts w:ascii="Arial" w:hAnsi="Arial" w:cs="Arial"/>
          <w:color w:val="000000"/>
          <w:sz w:val="20"/>
          <w:szCs w:val="20"/>
        </w:rPr>
        <w:t xml:space="preserve">and conspiracy to recklessly cause injury </w:t>
      </w:r>
      <w:r>
        <w:rPr>
          <w:rFonts w:ascii="Arial" w:hAnsi="Arial" w:cs="Arial"/>
          <w:color w:val="000000"/>
          <w:sz w:val="20"/>
          <w:szCs w:val="20"/>
        </w:rPr>
        <w:t>charges – and was sentenced to TES IMP18y/13y9m – the base sentence was IMP14y6m for t</w:t>
      </w:r>
      <w:r w:rsidRPr="00AB32A7">
        <w:rPr>
          <w:rFonts w:ascii="Arial" w:hAnsi="Arial" w:cs="Arial"/>
          <w:color w:val="000000"/>
          <w:sz w:val="20"/>
          <w:szCs w:val="20"/>
        </w:rPr>
        <w:t xml:space="preserve">rafficking in a drug of dependence (large commercial quantity </w:t>
      </w:r>
      <w:r w:rsidR="00E912BF">
        <w:rPr>
          <w:rFonts w:ascii="Arial" w:hAnsi="Arial" w:cs="Arial"/>
          <w:color w:val="000000"/>
          <w:sz w:val="20"/>
          <w:szCs w:val="20"/>
        </w:rPr>
        <w:t>of</w:t>
      </w:r>
      <w:r w:rsidRPr="00AB32A7">
        <w:rPr>
          <w:rFonts w:ascii="Arial" w:hAnsi="Arial" w:cs="Arial"/>
          <w:color w:val="000000"/>
          <w:sz w:val="20"/>
          <w:szCs w:val="20"/>
        </w:rPr>
        <w:t xml:space="preserve"> methamphetamine)</w:t>
      </w:r>
      <w:r w:rsidR="00E912BF">
        <w:rPr>
          <w:rFonts w:ascii="Arial" w:hAnsi="Arial" w:cs="Arial"/>
          <w:color w:val="000000"/>
          <w:sz w:val="20"/>
          <w:szCs w:val="20"/>
        </w:rPr>
        <w:t xml:space="preserve"> – sentence was not manifestly excessive].</w:t>
      </w:r>
    </w:p>
    <w:p w14:paraId="0B077844" w14:textId="77777777" w:rsidR="00B04651" w:rsidRDefault="0093145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 xml:space="preserve">Hogan v The King </w:t>
      </w:r>
      <w:r w:rsidRPr="00931459">
        <w:rPr>
          <w:rFonts w:ascii="Arial" w:hAnsi="Arial" w:cs="Arial"/>
          <w:color w:val="000000"/>
          <w:sz w:val="20"/>
          <w:szCs w:val="20"/>
        </w:rPr>
        <w:t>[2025] VSCA 142 [trafficking of methylamphetamine &amp; cocaine].</w:t>
      </w:r>
    </w:p>
    <w:p w14:paraId="1973794E" w14:textId="77777777" w:rsidR="00C55772" w:rsidRDefault="00C55772" w:rsidP="00C55772">
      <w:pPr>
        <w:numPr>
          <w:ilvl w:val="0"/>
          <w:numId w:val="16"/>
        </w:numPr>
        <w:ind w:left="357" w:hanging="357"/>
        <w:jc w:val="both"/>
        <w:rPr>
          <w:rFonts w:ascii="Arial" w:hAnsi="Arial" w:cs="Arial"/>
          <w:color w:val="000000"/>
          <w:sz w:val="20"/>
          <w:szCs w:val="20"/>
        </w:rPr>
      </w:pPr>
      <w:r>
        <w:rPr>
          <w:rFonts w:ascii="Arial" w:hAnsi="Arial" w:cs="Arial"/>
          <w:i/>
          <w:iCs/>
          <w:color w:val="000000"/>
          <w:sz w:val="20"/>
        </w:rPr>
        <w:t>Tarasinski</w:t>
      </w:r>
      <w:r w:rsidRPr="00B04651">
        <w:rPr>
          <w:rFonts w:ascii="Arial" w:hAnsi="Arial" w:cs="Arial"/>
          <w:i/>
          <w:iCs/>
          <w:color w:val="000000"/>
          <w:sz w:val="20"/>
        </w:rPr>
        <w:t xml:space="preserve"> v The King</w:t>
      </w:r>
      <w:r>
        <w:rPr>
          <w:rFonts w:ascii="Arial" w:hAnsi="Arial" w:cs="Arial"/>
          <w:color w:val="000000"/>
          <w:sz w:val="20"/>
        </w:rPr>
        <w:t xml:space="preserve"> [2025] VSCA 162 [trafficking of methylamphetamine].</w:t>
      </w:r>
    </w:p>
    <w:p w14:paraId="529B4D7C" w14:textId="501DC668" w:rsidR="00931459" w:rsidRPr="00891C2E" w:rsidRDefault="00B04651" w:rsidP="00AD5727">
      <w:pPr>
        <w:numPr>
          <w:ilvl w:val="0"/>
          <w:numId w:val="16"/>
        </w:numPr>
        <w:ind w:left="357" w:hanging="357"/>
        <w:jc w:val="both"/>
        <w:rPr>
          <w:rFonts w:ascii="Arial" w:hAnsi="Arial" w:cs="Arial"/>
          <w:color w:val="000000"/>
          <w:sz w:val="20"/>
          <w:szCs w:val="20"/>
        </w:rPr>
      </w:pPr>
      <w:r w:rsidRPr="00B04651">
        <w:rPr>
          <w:rFonts w:ascii="Arial" w:hAnsi="Arial" w:cs="Arial"/>
          <w:i/>
          <w:iCs/>
          <w:color w:val="000000"/>
          <w:sz w:val="20"/>
        </w:rPr>
        <w:t>Fenton v The King</w:t>
      </w:r>
      <w:r>
        <w:rPr>
          <w:rFonts w:ascii="Arial" w:hAnsi="Arial" w:cs="Arial"/>
          <w:color w:val="000000"/>
          <w:sz w:val="20"/>
        </w:rPr>
        <w:t xml:space="preserve"> [2025] VSCA 168 [trafficking of methylamphetamine].</w:t>
      </w:r>
    </w:p>
    <w:p w14:paraId="514D7455" w14:textId="31B56228" w:rsidR="00891C2E" w:rsidRPr="00326ED9" w:rsidRDefault="00891C2E"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Belhaj v The King </w:t>
      </w:r>
      <w:r w:rsidRPr="00891C2E">
        <w:rPr>
          <w:rFonts w:ascii="Arial" w:hAnsi="Arial" w:cs="Arial"/>
          <w:color w:val="000000"/>
          <w:sz w:val="20"/>
        </w:rPr>
        <w:t>[2025] VSCA 174 [trafficking of commercial quantity of methylamphetamine and possession of cocaine].</w:t>
      </w:r>
    </w:p>
    <w:p w14:paraId="6078A553" w14:textId="3CD06349" w:rsidR="00326ED9" w:rsidRPr="00326ED9" w:rsidRDefault="00326ED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Polos v The King </w:t>
      </w:r>
      <w:r w:rsidRPr="00326ED9">
        <w:rPr>
          <w:rFonts w:ascii="Arial" w:hAnsi="Arial" w:cs="Arial"/>
          <w:color w:val="000000"/>
          <w:sz w:val="20"/>
        </w:rPr>
        <w:t>[2025] VSCA</w:t>
      </w:r>
      <w:r>
        <w:rPr>
          <w:rFonts w:ascii="Arial" w:hAnsi="Arial" w:cs="Arial"/>
          <w:color w:val="000000"/>
          <w:sz w:val="20"/>
        </w:rPr>
        <w:t xml:space="preserve"> 192</w:t>
      </w:r>
      <w:r w:rsidRPr="00326ED9">
        <w:rPr>
          <w:rFonts w:ascii="Arial" w:hAnsi="Arial" w:cs="Arial"/>
          <w:color w:val="000000"/>
          <w:sz w:val="20"/>
        </w:rPr>
        <w:t xml:space="preserve"> </w:t>
      </w:r>
      <w:r>
        <w:rPr>
          <w:rFonts w:ascii="Arial" w:hAnsi="Arial" w:cs="Arial"/>
          <w:color w:val="000000"/>
          <w:sz w:val="20"/>
        </w:rPr>
        <w:t xml:space="preserve">[trafficking of commercial quantity of </w:t>
      </w:r>
      <w:r w:rsidRPr="00326ED9">
        <w:rPr>
          <w:rFonts w:ascii="Arial" w:hAnsi="Arial" w:cs="Arial"/>
          <w:color w:val="000000"/>
          <w:sz w:val="20"/>
          <w:szCs w:val="20"/>
        </w:rPr>
        <w:t>1,4-Butanediol</w:t>
      </w:r>
      <w:r>
        <w:rPr>
          <w:rFonts w:ascii="Arial" w:hAnsi="Arial" w:cs="Arial"/>
          <w:color w:val="000000"/>
          <w:sz w:val="20"/>
          <w:szCs w:val="20"/>
        </w:rPr>
        <w:t xml:space="preserve"> and </w:t>
      </w:r>
      <w:r w:rsidRPr="00326ED9">
        <w:rPr>
          <w:rFonts w:ascii="Arial" w:hAnsi="Arial" w:cs="Arial"/>
          <w:color w:val="000000"/>
          <w:sz w:val="20"/>
          <w:szCs w:val="20"/>
        </w:rPr>
        <w:t>methylamphetamine</w:t>
      </w:r>
      <w:r>
        <w:rPr>
          <w:rFonts w:ascii="Arial" w:hAnsi="Arial" w:cs="Arial"/>
          <w:color w:val="000000"/>
          <w:sz w:val="20"/>
          <w:szCs w:val="20"/>
        </w:rPr>
        <w:t>].</w:t>
      </w:r>
    </w:p>
    <w:p w14:paraId="2163891B" w14:textId="68F20697"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AD5727">
        <w:rPr>
          <w:rFonts w:ascii="Arial" w:hAnsi="Arial" w:cs="Arial"/>
          <w:b/>
          <w:bCs/>
          <w:color w:val="FFFFFF" w:themeColor="background1"/>
          <w:sz w:val="22"/>
          <w:szCs w:val="22"/>
          <w:shd w:val="clear" w:color="auto" w:fill="000000" w:themeFill="text1"/>
        </w:rPr>
        <w:t xml:space="preserve">DRUG </w:t>
      </w:r>
      <w:r>
        <w:rPr>
          <w:rFonts w:ascii="Arial" w:hAnsi="Arial" w:cs="Arial"/>
          <w:b/>
          <w:bCs/>
          <w:color w:val="FFFFFF" w:themeColor="background1"/>
          <w:sz w:val="22"/>
          <w:szCs w:val="22"/>
          <w:shd w:val="clear" w:color="auto" w:fill="000000" w:themeFill="text1"/>
        </w:rPr>
        <w:t>IMPORTATION</w:t>
      </w:r>
    </w:p>
    <w:p w14:paraId="4AD3F464" w14:textId="0BC672D6" w:rsidR="001C6B0F" w:rsidRPr="001C6B0F" w:rsidRDefault="00176C17" w:rsidP="00AD5727">
      <w:pPr>
        <w:numPr>
          <w:ilvl w:val="0"/>
          <w:numId w:val="16"/>
        </w:numPr>
        <w:spacing w:before="40"/>
        <w:ind w:left="357" w:hanging="357"/>
        <w:jc w:val="both"/>
        <w:rPr>
          <w:rFonts w:ascii="Arial" w:hAnsi="Arial" w:cs="Arial"/>
          <w:color w:val="000000"/>
          <w:sz w:val="16"/>
          <w:szCs w:val="20"/>
        </w:rPr>
      </w:pPr>
      <w:r w:rsidRPr="00A71A64">
        <w:rPr>
          <w:rFonts w:ascii="Arial" w:hAnsi="Arial" w:cs="Arial"/>
          <w:i/>
          <w:color w:val="000000"/>
          <w:sz w:val="20"/>
          <w:szCs w:val="20"/>
        </w:rPr>
        <w:t>Alavy</w:t>
      </w:r>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szCs w:val="20"/>
        </w:rPr>
        <w:lastRenderedPageBreak/>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AD5727">
      <w:pPr>
        <w:numPr>
          <w:ilvl w:val="0"/>
          <w:numId w:val="16"/>
        </w:numPr>
        <w:ind w:left="357"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Luu v The King </w:t>
      </w:r>
      <w:r w:rsidRPr="00A23310">
        <w:rPr>
          <w:rFonts w:ascii="Arial" w:hAnsi="Arial" w:cs="Arial"/>
          <w:color w:val="000000"/>
          <w:sz w:val="20"/>
          <w:szCs w:val="20"/>
        </w:rPr>
        <w:t xml:space="preserve">[2024] VSCA 267 [plea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931459" w:rsidRDefault="00B47133"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r>
        <w:rPr>
          <w:rFonts w:ascii="Arial" w:hAnsi="Arial" w:cs="Arial"/>
          <w:color w:val="000000"/>
          <w:sz w:val="20"/>
          <w:szCs w:val="20"/>
        </w:rPr>
        <w:t>plea guilty to importation of commercial quantity of border-controlled drug (gamma-butryolacetone or GBL) – IMP18m with release on recognisance after serving 6m].</w:t>
      </w:r>
    </w:p>
    <w:p w14:paraId="3D10D8A5" w14:textId="0D1E3DBB" w:rsidR="00931459" w:rsidRPr="000529C4" w:rsidRDefault="00931459"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Rivero v The King</w:t>
      </w:r>
      <w:r w:rsidRPr="00931459">
        <w:rPr>
          <w:rFonts w:ascii="Arial" w:hAnsi="Arial" w:cs="Arial"/>
          <w:color w:val="000000"/>
          <w:sz w:val="20"/>
          <w:szCs w:val="20"/>
        </w:rPr>
        <w:t xml:space="preserve"> [2025] VSCA 144 [plea guilty to import of commercial quantity of border controlled drug (</w:t>
      </w:r>
      <w:r w:rsidR="00B1241E">
        <w:rPr>
          <w:rFonts w:ascii="Arial" w:hAnsi="Arial" w:cs="Arial"/>
          <w:color w:val="000000"/>
          <w:sz w:val="20"/>
          <w:szCs w:val="20"/>
        </w:rPr>
        <w:t xml:space="preserve">2.68kg </w:t>
      </w:r>
      <w:r w:rsidRPr="00931459">
        <w:rPr>
          <w:rFonts w:ascii="Arial" w:hAnsi="Arial" w:cs="Arial"/>
          <w:color w:val="000000"/>
          <w:sz w:val="20"/>
          <w:szCs w:val="20"/>
        </w:rPr>
        <w:t xml:space="preserve">cocaine) – IMP </w:t>
      </w:r>
      <w:r>
        <w:rPr>
          <w:rFonts w:ascii="Arial" w:hAnsi="Arial" w:cs="Arial"/>
          <w:color w:val="000000"/>
          <w:sz w:val="20"/>
          <w:szCs w:val="20"/>
        </w:rPr>
        <w:t xml:space="preserve">6y6m with release on recognisance after serving 3y7m – </w:t>
      </w:r>
      <w:r w:rsidR="00B1241E">
        <w:rPr>
          <w:rFonts w:ascii="Arial" w:hAnsi="Arial" w:cs="Arial"/>
          <w:color w:val="000000"/>
          <w:sz w:val="20"/>
          <w:szCs w:val="20"/>
        </w:rPr>
        <w:t>as a consequence of a p</w:t>
      </w:r>
      <w:r w:rsidR="00B1241E" w:rsidRPr="00B1241E">
        <w:rPr>
          <w:rFonts w:ascii="Arial" w:hAnsi="Arial" w:cs="Arial"/>
          <w:color w:val="000000"/>
          <w:sz w:val="20"/>
          <w:szCs w:val="20"/>
        </w:rPr>
        <w:t xml:space="preserve">ost-sentence diagnosis of terminal cancer </w:t>
      </w:r>
      <w:r w:rsidR="00B1241E">
        <w:rPr>
          <w:rFonts w:ascii="Arial" w:hAnsi="Arial" w:cs="Arial"/>
          <w:color w:val="000000"/>
          <w:sz w:val="20"/>
          <w:szCs w:val="20"/>
        </w:rPr>
        <w:t>with sh</w:t>
      </w:r>
      <w:r w:rsidR="00B1241E" w:rsidRPr="00B1241E">
        <w:rPr>
          <w:rFonts w:ascii="Arial" w:hAnsi="Arial" w:cs="Arial"/>
          <w:color w:val="000000"/>
          <w:sz w:val="20"/>
          <w:szCs w:val="20"/>
        </w:rPr>
        <w:t>ort life expectancy</w:t>
      </w:r>
      <w:r w:rsidR="00B1241E">
        <w:rPr>
          <w:rFonts w:ascii="Arial" w:hAnsi="Arial" w:cs="Arial"/>
          <w:color w:val="000000"/>
          <w:sz w:val="20"/>
          <w:szCs w:val="20"/>
        </w:rPr>
        <w:t xml:space="preserve">, </w:t>
      </w:r>
      <w:r>
        <w:rPr>
          <w:rFonts w:ascii="Arial" w:hAnsi="Arial" w:cs="Arial"/>
          <w:color w:val="000000"/>
          <w:sz w:val="20"/>
          <w:szCs w:val="20"/>
        </w:rPr>
        <w:t xml:space="preserve">appeal allowed to </w:t>
      </w:r>
      <w:r w:rsidR="00B1241E">
        <w:rPr>
          <w:rFonts w:ascii="Arial" w:hAnsi="Arial" w:cs="Arial"/>
          <w:color w:val="000000"/>
          <w:sz w:val="20"/>
          <w:szCs w:val="20"/>
        </w:rPr>
        <w:t xml:space="preserve">vary </w:t>
      </w:r>
      <w:r w:rsidR="00B1241E" w:rsidRPr="00B1241E">
        <w:rPr>
          <w:rFonts w:ascii="Arial" w:hAnsi="Arial" w:cs="Arial"/>
          <w:color w:val="000000"/>
          <w:sz w:val="20"/>
          <w:szCs w:val="20"/>
        </w:rPr>
        <w:t>the non-parole period so that the appellant is eligible to apply for immediate release on parole</w:t>
      </w:r>
      <w:r w:rsidR="00B1241E">
        <w:rPr>
          <w:rFonts w:ascii="Arial" w:hAnsi="Arial" w:cs="Arial"/>
          <w:color w:val="000000"/>
          <w:sz w:val="20"/>
          <w:szCs w:val="20"/>
        </w:rPr>
        <w:t>].</w:t>
      </w:r>
    </w:p>
    <w:p w14:paraId="06CE5797" w14:textId="07AFA604" w:rsidR="000529C4" w:rsidRPr="000529C4" w:rsidRDefault="000529C4" w:rsidP="000529C4">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Mannella v DPP &amp; CDPP </w:t>
      </w:r>
      <w:r w:rsidRPr="000529C4">
        <w:rPr>
          <w:rFonts w:ascii="Arial" w:hAnsi="Arial" w:cs="Arial"/>
          <w:color w:val="000000"/>
          <w:sz w:val="20"/>
        </w:rPr>
        <w:t>[2025] VSCA 195 [</w:t>
      </w:r>
      <w:r w:rsidR="000E463B">
        <w:rPr>
          <w:rFonts w:ascii="Arial" w:hAnsi="Arial" w:cs="Arial"/>
          <w:color w:val="000000"/>
          <w:sz w:val="20"/>
        </w:rPr>
        <w:t xml:space="preserve">plea of guilty to </w:t>
      </w:r>
      <w:r>
        <w:rPr>
          <w:rFonts w:ascii="Arial" w:hAnsi="Arial" w:cs="Arial"/>
          <w:color w:val="000000"/>
          <w:sz w:val="20"/>
        </w:rPr>
        <w:t xml:space="preserve">importation of </w:t>
      </w:r>
      <w:r w:rsidR="000E463B">
        <w:rPr>
          <w:rFonts w:ascii="Arial" w:hAnsi="Arial" w:cs="Arial"/>
          <w:color w:val="000000"/>
          <w:sz w:val="20"/>
        </w:rPr>
        <w:t xml:space="preserve">not less than a commercial quantity </w:t>
      </w:r>
      <w:r w:rsidR="000E463B">
        <w:rPr>
          <w:rFonts w:ascii="Arial" w:hAnsi="Arial" w:cs="Arial"/>
          <w:color w:val="000000"/>
          <w:sz w:val="20"/>
        </w:rPr>
        <w:t xml:space="preserve">of </w:t>
      </w:r>
      <w:r>
        <w:rPr>
          <w:rFonts w:ascii="Arial" w:hAnsi="Arial" w:cs="Arial"/>
          <w:color w:val="000000"/>
          <w:sz w:val="20"/>
        </w:rPr>
        <w:t xml:space="preserve">heroin &amp; </w:t>
      </w:r>
      <w:r w:rsidR="000E463B">
        <w:rPr>
          <w:rFonts w:ascii="Arial" w:hAnsi="Arial" w:cs="Arial"/>
          <w:color w:val="000000"/>
          <w:sz w:val="20"/>
        </w:rPr>
        <w:t>methamphetamine</w:t>
      </w:r>
      <w:r>
        <w:rPr>
          <w:rFonts w:ascii="Arial" w:hAnsi="Arial" w:cs="Arial"/>
          <w:color w:val="000000"/>
          <w:sz w:val="20"/>
        </w:rPr>
        <w:t xml:space="preserve"> </w:t>
      </w:r>
      <w:r w:rsidR="000E463B">
        <w:rPr>
          <w:rFonts w:ascii="Arial" w:hAnsi="Arial" w:cs="Arial"/>
          <w:color w:val="000000"/>
          <w:sz w:val="20"/>
        </w:rPr>
        <w:t xml:space="preserve">and attempting to </w:t>
      </w:r>
      <w:proofErr w:type="spellStart"/>
      <w:r w:rsidR="000E463B">
        <w:rPr>
          <w:rFonts w:ascii="Arial" w:hAnsi="Arial" w:cs="Arial"/>
          <w:color w:val="000000"/>
          <w:sz w:val="20"/>
        </w:rPr>
        <w:t>traffick</w:t>
      </w:r>
      <w:proofErr w:type="spellEnd"/>
      <w:r w:rsidR="000E463B">
        <w:rPr>
          <w:rFonts w:ascii="Arial" w:hAnsi="Arial" w:cs="Arial"/>
          <w:color w:val="000000"/>
          <w:sz w:val="20"/>
        </w:rPr>
        <w:t xml:space="preserve"> not less than a large commercial quantity of </w:t>
      </w:r>
      <w:r w:rsidR="000E463B" w:rsidRPr="000E463B">
        <w:rPr>
          <w:rFonts w:ascii="Arial" w:hAnsi="Arial" w:cs="Arial"/>
          <w:color w:val="000000"/>
          <w:sz w:val="20"/>
        </w:rPr>
        <w:t>1,4–Butanediol</w:t>
      </w:r>
      <w:r w:rsidR="000E463B">
        <w:rPr>
          <w:rFonts w:ascii="Arial" w:hAnsi="Arial" w:cs="Arial"/>
          <w:color w:val="000000"/>
          <w:sz w:val="20"/>
        </w:rPr>
        <w:t xml:space="preserve"> – IMP13y/6y10m – applicant residing in solitary confinement for duration of sentence – leave to appeal refused].</w:t>
      </w:r>
    </w:p>
    <w:p w14:paraId="09BD9D7A" w14:textId="1C1E47D1" w:rsidR="000529C4" w:rsidRPr="000529C4" w:rsidRDefault="000529C4" w:rsidP="00AD5727">
      <w:pPr>
        <w:numPr>
          <w:ilvl w:val="0"/>
          <w:numId w:val="16"/>
        </w:numPr>
        <w:ind w:left="357" w:hanging="357"/>
        <w:jc w:val="both"/>
        <w:rPr>
          <w:rFonts w:ascii="Arial" w:hAnsi="Arial" w:cs="Arial"/>
          <w:color w:val="000000"/>
          <w:sz w:val="16"/>
          <w:szCs w:val="20"/>
        </w:rPr>
      </w:pPr>
      <w:proofErr w:type="spellStart"/>
      <w:r>
        <w:rPr>
          <w:rFonts w:ascii="Arial" w:hAnsi="Arial" w:cs="Arial"/>
          <w:i/>
          <w:iCs/>
          <w:color w:val="000000"/>
          <w:sz w:val="20"/>
          <w:szCs w:val="20"/>
        </w:rPr>
        <w:t>Mallahie</w:t>
      </w:r>
      <w:proofErr w:type="spellEnd"/>
      <w:r>
        <w:rPr>
          <w:rFonts w:ascii="Arial" w:hAnsi="Arial" w:cs="Arial"/>
          <w:i/>
          <w:iCs/>
          <w:color w:val="000000"/>
          <w:sz w:val="20"/>
          <w:szCs w:val="20"/>
        </w:rPr>
        <w:t xml:space="preserve"> v The King </w:t>
      </w:r>
      <w:r w:rsidRPr="000529C4">
        <w:rPr>
          <w:rFonts w:ascii="Arial" w:hAnsi="Arial" w:cs="Arial"/>
          <w:color w:val="000000"/>
          <w:sz w:val="20"/>
          <w:szCs w:val="20"/>
        </w:rPr>
        <w:t>[2025] VSCA 196 [</w:t>
      </w:r>
      <w:r>
        <w:rPr>
          <w:rFonts w:ascii="Arial" w:hAnsi="Arial" w:cs="Arial"/>
          <w:color w:val="000000"/>
          <w:sz w:val="20"/>
          <w:szCs w:val="20"/>
        </w:rPr>
        <w:t xml:space="preserve">appeal against sentence IMP14y/8y9m on a charge of aiding and </w:t>
      </w:r>
      <w:proofErr w:type="spellStart"/>
      <w:r>
        <w:rPr>
          <w:rFonts w:ascii="Arial" w:hAnsi="Arial" w:cs="Arial"/>
          <w:color w:val="000000"/>
          <w:sz w:val="20"/>
          <w:szCs w:val="20"/>
        </w:rPr>
        <w:t>aetting</w:t>
      </w:r>
      <w:proofErr w:type="spellEnd"/>
      <w:r>
        <w:rPr>
          <w:rFonts w:ascii="Arial" w:hAnsi="Arial" w:cs="Arial"/>
          <w:color w:val="000000"/>
          <w:sz w:val="20"/>
          <w:szCs w:val="20"/>
        </w:rPr>
        <w:t xml:space="preserve"> the importation of a commercial quantity of a border-controlled drug MDMA – Crown concession of error – resentenced to IMP11y/7y].</w:t>
      </w:r>
    </w:p>
    <w:p w14:paraId="692FF3E4" w14:textId="0603A38D"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CONSPIRACY TO TRAFFICK</w:t>
      </w:r>
    </w:p>
    <w:p w14:paraId="3652EBFE" w14:textId="25F9E160" w:rsidR="00502A3B" w:rsidRDefault="0019415B" w:rsidP="00AD5727">
      <w:pPr>
        <w:numPr>
          <w:ilvl w:val="0"/>
          <w:numId w:val="16"/>
        </w:numPr>
        <w:spacing w:before="40"/>
        <w:ind w:left="357"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696"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697" w:name="_11.2.26_Sentencing_for"/>
      <w:bookmarkEnd w:id="697"/>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698" w:name="_11.2.26_Sentencing_for_1"/>
      <w:bookmarkEnd w:id="698"/>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99" w:name="_11.2.26.1__"/>
      <w:bookmarkEnd w:id="699"/>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96"/>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0" w:name="_A_ARMED_ROBBERY"/>
      <w:bookmarkEnd w:id="700"/>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w:t>
      </w:r>
      <w:r w:rsidRPr="001C6E0E">
        <w:rPr>
          <w:rFonts w:ascii="Arial" w:hAnsi="Arial" w:cs="Arial"/>
          <w:color w:val="000000"/>
          <w:sz w:val="20"/>
        </w:rPr>
        <w:lastRenderedPageBreak/>
        <w:t xml:space="preserve">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R 147 at 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Roy</w:t>
          </w:r>
        </w:smartTag>
      </w:smartTag>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w:t>
      </w:r>
      <w:r w:rsidRPr="001C6E0E">
        <w:rPr>
          <w:rFonts w:ascii="Arial" w:hAnsi="Arial" w:cs="Arial"/>
          <w:color w:val="000000"/>
          <w:sz w:val="20"/>
        </w:rPr>
        <w:lastRenderedPageBreak/>
        <w:t>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lastRenderedPageBreak/>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Default="0093242D">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558AAA5B"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r w:rsidR="00A7065A" w:rsidRPr="00A7065A">
        <w:rPr>
          <w:rFonts w:ascii="Arial" w:hAnsi="Arial" w:cs="Arial"/>
          <w:i/>
          <w:iCs/>
          <w:color w:val="000000"/>
          <w:sz w:val="20"/>
        </w:rPr>
        <w:t>Sabitovic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390166">
        <w:rPr>
          <w:rFonts w:ascii="Arial" w:hAnsi="Arial" w:cs="Arial"/>
          <w:color w:val="000000"/>
          <w:sz w:val="20"/>
        </w:rPr>
        <w:t>.</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1" w:name="_B_ATTEMPTED_ARMED"/>
      <w:bookmarkStart w:id="702" w:name="_Hlk158792249"/>
      <w:bookmarkEnd w:id="701"/>
      <w:r>
        <w:rPr>
          <w:rFonts w:ascii="Arial" w:hAnsi="Arial" w:cs="Arial"/>
          <w:b/>
          <w:color w:val="FFFFFF"/>
          <w:sz w:val="22"/>
          <w:shd w:val="clear" w:color="auto" w:fill="000000"/>
        </w:rPr>
        <w:t>B</w:t>
      </w:r>
      <w:bookmarkEnd w:id="702"/>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lastRenderedPageBreak/>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3" w:name="_C_ROBBERY"/>
      <w:bookmarkEnd w:id="703"/>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704" w:name="_11.2.26.2__"/>
    <w:bookmarkEnd w:id="704"/>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5" w:name="_A_AGGRAVATED_CARJACKING"/>
      <w:bookmarkEnd w:id="705"/>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Although stern, we do not 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lastRenderedPageBreak/>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706" w:name="_11.2.27_Sentencing_for"/>
      <w:bookmarkStart w:id="707" w:name="_Toc107101766"/>
      <w:bookmarkEnd w:id="706"/>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708"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708"/>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lastRenderedPageBreak/>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9" w:name="_B_CARJACKING"/>
      <w:bookmarkEnd w:id="709"/>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10" w:name="_11.2.27_Sentencing_for_1"/>
      <w:bookmarkEnd w:id="710"/>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707"/>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11" w:name="_A_BURGLARY"/>
      <w:bookmarkEnd w:id="711"/>
      <w:r w:rsidRPr="00127335">
        <w:rPr>
          <w:rFonts w:ascii="Arial" w:hAnsi="Arial" w:cs="Arial"/>
          <w:b/>
          <w:color w:val="FFFFFF"/>
          <w:sz w:val="20"/>
          <w:szCs w:val="18"/>
          <w:shd w:val="clear" w:color="auto" w:fill="000000"/>
        </w:rPr>
        <w:t>A</w:t>
      </w:r>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12"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 xml:space="preserve">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w:t>
      </w:r>
      <w:r w:rsidRPr="00EC7A37">
        <w:rPr>
          <w:rFonts w:ascii="Arial" w:hAnsi="Arial" w:cs="Arial"/>
          <w:sz w:val="20"/>
          <w:szCs w:val="16"/>
        </w:rPr>
        <w:lastRenderedPageBreak/>
        <w:t>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18C8594E" w:rsidR="009F71C6" w:rsidRDefault="009F71C6" w:rsidP="00C37421">
      <w:pPr>
        <w:pStyle w:val="Style1"/>
      </w:pPr>
      <w:r>
        <w:t xml:space="preserve">See also </w:t>
      </w:r>
      <w:r w:rsidRPr="009F71C6">
        <w:rPr>
          <w:i/>
          <w:iCs/>
        </w:rPr>
        <w:t>Repac v The King</w:t>
      </w:r>
      <w:r>
        <w:t xml:space="preserve"> [2023] VSCA 313</w:t>
      </w:r>
      <w:r w:rsidR="003D1CB0">
        <w:t xml:space="preserve">; </w:t>
      </w:r>
      <w:r w:rsidR="003D1CB0" w:rsidRPr="003D1CB0">
        <w:rPr>
          <w:i/>
          <w:iCs/>
        </w:rPr>
        <w:t>Korey Caddy v The King</w:t>
      </w:r>
      <w:r w:rsidR="003D1CB0">
        <w:t xml:space="preserve"> [2025] VSCA 87</w:t>
      </w:r>
      <w:r w:rsidR="001253AF">
        <w:t xml:space="preserve">; </w:t>
      </w:r>
      <w:r w:rsidR="001253AF" w:rsidRPr="001253AF">
        <w:rPr>
          <w:i/>
          <w:iCs/>
        </w:rPr>
        <w:t>Messenger v The King</w:t>
      </w:r>
      <w:r w:rsidR="001253AF">
        <w:t xml:space="preserve"> [2025] VSCA 130</w:t>
      </w:r>
      <w:r>
        <w:t>.</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61A75699"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13" w:name="_B_AGGRAVATED_BURGLARY"/>
      <w:bookmarkEnd w:id="713"/>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w:t>
      </w:r>
      <w:r w:rsidR="00353929">
        <w:rPr>
          <w:rFonts w:ascii="Arial" w:hAnsi="Arial" w:cs="Arial"/>
          <w:b/>
          <w:bCs/>
          <w:color w:val="FFFFFF" w:themeColor="background1"/>
          <w:sz w:val="20"/>
          <w:shd w:val="clear" w:color="auto" w:fill="000000" w:themeFill="text1"/>
        </w:rPr>
        <w:t>Y | HOME INVASION</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w:t>
      </w:r>
      <w:r w:rsidR="002E235E" w:rsidRPr="00CA1495">
        <w:rPr>
          <w:rFonts w:ascii="Arial" w:hAnsi="Arial" w:cs="Arial"/>
          <w:color w:val="000000"/>
          <w:sz w:val="20"/>
        </w:rPr>
        <w:lastRenderedPageBreak/>
        <w:t>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w:t>
      </w:r>
      <w:r w:rsidR="007C21DB" w:rsidRPr="00CA1495">
        <w:rPr>
          <w:rFonts w:ascii="Arial" w:hAnsi="Arial" w:cs="Arial"/>
          <w:color w:val="000000"/>
          <w:sz w:val="20"/>
        </w:rPr>
        <w:lastRenderedPageBreak/>
        <w:t xml:space="preserve">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14"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14"/>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5E7B532A" w14:textId="32543646" w:rsidR="00100904" w:rsidRDefault="00100904" w:rsidP="00877EA6">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See also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at [10</w:t>
      </w:r>
      <w:r w:rsidR="00877EA6">
        <w:rPr>
          <w:rFonts w:ascii="Arial" w:hAnsi="Arial" w:cs="Arial"/>
          <w:sz w:val="20"/>
        </w:rPr>
        <w:t>4</w:t>
      </w:r>
      <w:r>
        <w:rPr>
          <w:rFonts w:ascii="Arial" w:hAnsi="Arial" w:cs="Arial"/>
          <w:sz w:val="20"/>
        </w:rPr>
        <w:t>]-[1</w:t>
      </w:r>
      <w:r w:rsidR="00877EA6">
        <w:rPr>
          <w:rFonts w:ascii="Arial" w:hAnsi="Arial" w:cs="Arial"/>
          <w:sz w:val="20"/>
        </w:rPr>
        <w:t>33</w:t>
      </w:r>
      <w:r>
        <w:rPr>
          <w:rFonts w:ascii="Arial" w:hAnsi="Arial" w:cs="Arial"/>
          <w:sz w:val="20"/>
        </w:rPr>
        <w:t xml:space="preserve">] &amp; [6]-[11] </w:t>
      </w:r>
      <w:r w:rsidR="00877EA6">
        <w:rPr>
          <w:rFonts w:ascii="Arial" w:hAnsi="Arial" w:cs="Arial"/>
          <w:sz w:val="20"/>
        </w:rPr>
        <w:t>(</w:t>
      </w:r>
      <w:r>
        <w:rPr>
          <w:rFonts w:ascii="Arial" w:hAnsi="Arial" w:cs="Arial"/>
          <w:sz w:val="20"/>
        </w:rPr>
        <w:t xml:space="preserve">summarised in </w:t>
      </w:r>
      <w:r w:rsidRPr="00100904">
        <w:rPr>
          <w:rFonts w:ascii="Arial" w:hAnsi="Arial" w:cs="Arial"/>
          <w:b/>
          <w:bCs/>
          <w:sz w:val="20"/>
          <w:shd w:val="clear" w:color="auto" w:fill="C5E0B3" w:themeFill="accent6" w:themeFillTint="66"/>
        </w:rPr>
        <w:t>s</w:t>
      </w:r>
      <w:r w:rsidR="00335F4F">
        <w:rPr>
          <w:rFonts w:ascii="Arial" w:hAnsi="Arial" w:cs="Arial"/>
          <w:b/>
          <w:bCs/>
          <w:sz w:val="20"/>
          <w:shd w:val="clear" w:color="auto" w:fill="C5E0B3" w:themeFill="accent6" w:themeFillTint="66"/>
        </w:rPr>
        <w:t>ubs</w:t>
      </w:r>
      <w:r w:rsidRPr="00100904">
        <w:rPr>
          <w:rFonts w:ascii="Arial" w:hAnsi="Arial" w:cs="Arial"/>
          <w:b/>
          <w:bCs/>
          <w:sz w:val="20"/>
          <w:shd w:val="clear" w:color="auto" w:fill="C5E0B3" w:themeFill="accent6" w:themeFillTint="66"/>
        </w:rPr>
        <w:t>ection 11.</w:t>
      </w:r>
      <w:r w:rsidR="00335F4F">
        <w:rPr>
          <w:rFonts w:ascii="Arial" w:hAnsi="Arial" w:cs="Arial"/>
          <w:b/>
          <w:bCs/>
          <w:sz w:val="20"/>
          <w:shd w:val="clear" w:color="auto" w:fill="C5E0B3" w:themeFill="accent6" w:themeFillTint="66"/>
        </w:rPr>
        <w:t>2.</w:t>
      </w:r>
      <w:r w:rsidRPr="00100904">
        <w:rPr>
          <w:rFonts w:ascii="Arial" w:hAnsi="Arial" w:cs="Arial"/>
          <w:b/>
          <w:bCs/>
          <w:sz w:val="20"/>
          <w:shd w:val="clear" w:color="auto" w:fill="C5E0B3" w:themeFill="accent6" w:themeFillTint="66"/>
        </w:rPr>
        <w:t>36.1</w:t>
      </w:r>
      <w:r w:rsidR="00877EA6">
        <w:rPr>
          <w:rFonts w:ascii="Arial" w:hAnsi="Arial" w:cs="Arial"/>
          <w:sz w:val="20"/>
        </w:rPr>
        <w:t>) where the Court of Appeal increased the sentence for aggravated burglary from IMP2y2m to IMP4y.</w:t>
      </w:r>
    </w:p>
    <w:p w14:paraId="714E3165" w14:textId="77777777" w:rsidR="00100904" w:rsidRDefault="00100904"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r w:rsidRPr="00FA036C">
        <w:rPr>
          <w:rFonts w:ascii="Arial" w:hAnsi="Arial" w:cs="Arial"/>
          <w:bCs/>
          <w:i/>
          <w:iCs/>
          <w:color w:val="000000"/>
          <w:sz w:val="20"/>
        </w:rPr>
        <w:t>Tseros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w:t>
      </w:r>
      <w:r w:rsidRPr="000F57FF">
        <w:rPr>
          <w:rFonts w:ascii="Arial" w:hAnsi="Arial" w:cs="Arial"/>
          <w:sz w:val="20"/>
          <w:szCs w:val="16"/>
        </w:rPr>
        <w:lastRenderedPageBreak/>
        <w:t xml:space="preserve">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R v Basso &amp; Frazetto</w:t>
      </w:r>
      <w:r w:rsidRPr="000F57FF">
        <w:rPr>
          <w:rFonts w:ascii="Arial" w:hAnsi="Arial" w:cs="Arial"/>
          <w:sz w:val="20"/>
        </w:rPr>
        <w:t xml:space="preserve"> (1999) 108 A Crim R 392, 397–8 [21]–[26] (Chernov JA), 404–5 [57]– [63] (Charles JA); </w:t>
      </w:r>
      <w:r w:rsidRPr="000F57FF">
        <w:rPr>
          <w:rFonts w:ascii="Arial" w:hAnsi="Arial" w:cs="Arial"/>
          <w:i/>
          <w:iCs/>
          <w:sz w:val="20"/>
        </w:rPr>
        <w:t>DPP v Galea and Mosut</w:t>
      </w:r>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r w:rsidRPr="000F57FF">
        <w:rPr>
          <w:rFonts w:ascii="Arial" w:hAnsi="Arial" w:cs="Arial"/>
          <w:i/>
          <w:iCs/>
          <w:sz w:val="20"/>
        </w:rPr>
        <w:t>Orumnwense v The Queen; Osifo v The Queen</w:t>
      </w:r>
      <w:r w:rsidRPr="000F57FF">
        <w:rPr>
          <w:rFonts w:ascii="Arial" w:hAnsi="Arial" w:cs="Arial"/>
          <w:sz w:val="20"/>
        </w:rPr>
        <w:t xml:space="preserve"> [2015] VSCA 152, [110] (Priest JA, Maxwell ACJ and Redlich JA agreeing); </w:t>
      </w:r>
      <w:r w:rsidRPr="000F57FF">
        <w:rPr>
          <w:rFonts w:ascii="Arial" w:hAnsi="Arial" w:cs="Arial"/>
          <w:i/>
          <w:iCs/>
          <w:sz w:val="20"/>
        </w:rPr>
        <w:t>Makieng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 xml:space="preserve">The sentencing judge was right to treat this as a serious instance of aggravated burglary.  The applicant entered the premises by force, at night, aware that someone was likely to be at home.  The householder lived there with her two young children.  She was in bed </w:t>
      </w:r>
      <w:r w:rsidRPr="00813F3E">
        <w:rPr>
          <w:rFonts w:ascii="Arial" w:hAnsi="Arial" w:cs="Arial"/>
          <w:bCs/>
          <w:color w:val="000000"/>
          <w:sz w:val="20"/>
        </w:rPr>
        <w:lastRenderedPageBreak/>
        <w:t>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1253AF">
      <w:pPr>
        <w:pStyle w:val="Normal-Indent"/>
        <w:widowControl/>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877EA6">
      <w:pPr>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5367996A"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r w:rsidR="003B7930" w:rsidRPr="003B7930">
        <w:rPr>
          <w:rFonts w:ascii="Arial" w:hAnsi="Arial" w:cs="Arial"/>
          <w:i/>
          <w:iCs/>
          <w:color w:val="000000"/>
          <w:sz w:val="20"/>
        </w:rPr>
        <w:t>Seualuga v The King</w:t>
      </w:r>
      <w:r w:rsidR="003B7930">
        <w:rPr>
          <w:rFonts w:ascii="Arial" w:hAnsi="Arial" w:cs="Arial"/>
          <w:color w:val="000000"/>
          <w:sz w:val="20"/>
        </w:rPr>
        <w:t xml:space="preserve"> [2024] VSCA 7 </w:t>
      </w:r>
      <w:r w:rsidR="003B7930">
        <w:rPr>
          <w:rFonts w:ascii="Arial" w:hAnsi="Arial" w:cs="Arial"/>
          <w:color w:val="000000"/>
          <w:sz w:val="20"/>
        </w:rPr>
        <w:lastRenderedPageBreak/>
        <w:t>{attempted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353929" w:rsidRPr="00353929">
        <w:rPr>
          <w:rFonts w:ascii="Arial" w:hAnsi="Arial" w:cs="Arial"/>
          <w:bCs/>
          <w:i/>
          <w:iCs/>
          <w:color w:val="000000"/>
          <w:sz w:val="20"/>
          <w:lang w:val="en-US"/>
        </w:rPr>
        <w:t>DPP v Ristic</w:t>
      </w:r>
      <w:r w:rsidR="00353929">
        <w:rPr>
          <w:rFonts w:ascii="Arial" w:hAnsi="Arial" w:cs="Arial"/>
          <w:bCs/>
          <w:color w:val="000000"/>
          <w:sz w:val="20"/>
          <w:lang w:val="en-US"/>
        </w:rPr>
        <w:t xml:space="preserve"> [2024] VSCA 251;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6F0AAB">
        <w:rPr>
          <w:rFonts w:ascii="Arial" w:hAnsi="Arial" w:cs="Arial"/>
          <w:color w:val="000000"/>
          <w:sz w:val="20"/>
        </w:rPr>
        <w:t xml:space="preserve">; </w:t>
      </w:r>
      <w:r w:rsidR="006F0AAB" w:rsidRPr="006F0AAB">
        <w:rPr>
          <w:rFonts w:ascii="Arial" w:hAnsi="Arial" w:cs="Arial"/>
          <w:i/>
          <w:iCs/>
          <w:color w:val="000000"/>
          <w:sz w:val="20"/>
        </w:rPr>
        <w:t>Al-Bab v The King</w:t>
      </w:r>
      <w:r w:rsidR="006F0AAB">
        <w:rPr>
          <w:rFonts w:ascii="Arial" w:hAnsi="Arial" w:cs="Arial"/>
          <w:color w:val="000000"/>
          <w:sz w:val="20"/>
        </w:rPr>
        <w:t xml:space="preserve"> [2025] VSCA 22</w:t>
      </w:r>
      <w:r w:rsidR="00E37468">
        <w:rPr>
          <w:rFonts w:ascii="Arial" w:hAnsi="Arial" w:cs="Arial"/>
          <w:color w:val="000000"/>
          <w:sz w:val="20"/>
        </w:rPr>
        <w:t xml:space="preserve">; </w:t>
      </w:r>
      <w:r w:rsidR="00E37468" w:rsidRPr="00E37468">
        <w:rPr>
          <w:rFonts w:ascii="Arial" w:hAnsi="Arial" w:cs="Arial"/>
          <w:i/>
          <w:iCs/>
          <w:color w:val="000000"/>
          <w:sz w:val="20"/>
        </w:rPr>
        <w:t>Battye v The King</w:t>
      </w:r>
      <w:r w:rsidR="00E37468">
        <w:rPr>
          <w:rFonts w:ascii="Arial" w:hAnsi="Arial" w:cs="Arial"/>
          <w:color w:val="000000"/>
          <w:sz w:val="20"/>
        </w:rPr>
        <w:t xml:space="preserve"> [2025] VSCA 89</w:t>
      </w:r>
      <w:r w:rsidR="00353929">
        <w:rPr>
          <w:rFonts w:ascii="Arial" w:hAnsi="Arial" w:cs="Arial"/>
          <w:color w:val="000000"/>
          <w:sz w:val="20"/>
        </w:rPr>
        <w:t xml:space="preserve">; </w:t>
      </w:r>
      <w:r w:rsidR="004831FC" w:rsidRPr="0021121E">
        <w:rPr>
          <w:rFonts w:ascii="Arial" w:hAnsi="Arial" w:cs="Arial"/>
          <w:i/>
          <w:iCs/>
          <w:color w:val="000000"/>
          <w:sz w:val="20"/>
        </w:rPr>
        <w:t>Lind v The King</w:t>
      </w:r>
      <w:r w:rsidR="004831FC">
        <w:rPr>
          <w:rFonts w:ascii="Arial" w:hAnsi="Arial" w:cs="Arial"/>
          <w:color w:val="000000"/>
          <w:sz w:val="20"/>
        </w:rPr>
        <w:t xml:space="preserve"> [2025] VSCA 110 at [41]-[56]; </w:t>
      </w:r>
      <w:r w:rsidR="00353929" w:rsidRPr="00353929">
        <w:rPr>
          <w:rFonts w:ascii="Arial" w:hAnsi="Arial" w:cs="Arial"/>
          <w:i/>
          <w:iCs/>
          <w:color w:val="000000"/>
          <w:sz w:val="20"/>
        </w:rPr>
        <w:t>Thomson v The King</w:t>
      </w:r>
      <w:r w:rsidR="00353929">
        <w:rPr>
          <w:rFonts w:ascii="Arial" w:hAnsi="Arial" w:cs="Arial"/>
          <w:color w:val="000000"/>
          <w:sz w:val="20"/>
        </w:rPr>
        <w:t xml:space="preserve"> [2025] VSCA 111</w:t>
      </w:r>
      <w:r w:rsidR="004831FC">
        <w:rPr>
          <w:rFonts w:ascii="Arial" w:hAnsi="Arial" w:cs="Arial"/>
          <w:color w:val="000000"/>
          <w:sz w:val="20"/>
        </w:rPr>
        <w:t>.</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15" w:name="_11.2.28_Sentencing_for"/>
      <w:bookmarkEnd w:id="715"/>
    </w:p>
    <w:p w14:paraId="46991CEB" w14:textId="2BF63ED3" w:rsidR="008E5CA8" w:rsidRPr="001C6E0E" w:rsidRDefault="00353929" w:rsidP="008E5CA8">
      <w:pPr>
        <w:pStyle w:val="Heading3"/>
        <w:keepNext/>
        <w:keepLines/>
        <w:widowControl/>
        <w:spacing w:after="120" w:line="240" w:lineRule="auto"/>
        <w:ind w:left="284" w:hanging="284"/>
        <w:rPr>
          <w:rFonts w:ascii="Arial" w:hAnsi="Arial" w:cs="Arial"/>
          <w:b/>
          <w:bCs/>
          <w:color w:val="000000"/>
          <w:sz w:val="20"/>
        </w:rPr>
      </w:pPr>
      <w:bookmarkStart w:id="716" w:name="_D_AGGRAVATED_HOME"/>
      <w:bookmarkEnd w:id="716"/>
      <w:r>
        <w:rPr>
          <w:rFonts w:ascii="Arial" w:hAnsi="Arial" w:cs="Arial"/>
          <w:b/>
          <w:color w:val="FFFFFF"/>
          <w:sz w:val="22"/>
          <w:shd w:val="clear" w:color="auto" w:fill="000000"/>
        </w:rPr>
        <w:t>C</w:t>
      </w:r>
      <w:r w:rsidR="00BA155A">
        <w:rPr>
          <w:rFonts w:ascii="Arial" w:hAnsi="Arial" w:cs="Arial"/>
          <w:b/>
          <w:color w:val="000000"/>
          <w:sz w:val="22"/>
        </w:rPr>
        <w:tab/>
      </w:r>
      <w:r w:rsidR="00E20FF9">
        <w:rPr>
          <w:rFonts w:ascii="Arial" w:hAnsi="Arial" w:cs="Arial"/>
          <w:b/>
          <w:bCs/>
          <w:color w:val="FFFFFF" w:themeColor="background1"/>
          <w:sz w:val="20"/>
          <w:shd w:val="clear" w:color="auto" w:fill="000000" w:themeFill="text1"/>
        </w:rPr>
        <w:t>AGGRAVATED HOME INVASION</w:t>
      </w:r>
    </w:p>
    <w:p w14:paraId="63520A6A" w14:textId="77777777"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C37421">
      <w:pPr>
        <w:pStyle w:val="Style1"/>
      </w:pPr>
      <w:r>
        <w:t xml:space="preserve">In </w:t>
      </w:r>
      <w:r w:rsidRPr="0034270F">
        <w:rPr>
          <w:i/>
          <w:iCs/>
        </w:rPr>
        <w:t>Xian v The King</w:t>
      </w:r>
      <w:r>
        <w:t xml:space="preserve"> [2024] VSCA 227 the appellant – who was aged 18 at the time of the offending </w:t>
      </w:r>
      <w:r w:rsidR="008F0605">
        <w:t xml:space="preserve">and had no prior criminal history </w:t>
      </w:r>
      <w:r>
        <w:t>– had pleaded guilty to aggravated home invasion, damaging property, aggravated burglary and attempted aggravated burglary.  The offending was against the backdrop of violent incidents involving two youth gangs.  The appellant was sentenced to TES IMP5y6m/3y, of which IMP4y was imposed on the charge of aggravated home invasion.  Subsequent to being sentenced the Adult Parole Board had transferred the appellant to a youth justice centre.  In</w:t>
      </w:r>
      <w:r w:rsidR="008F0605">
        <w:t> </w:t>
      </w:r>
      <w: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r w:rsidRPr="0034270F">
        <w:rPr>
          <w:rFonts w:ascii="Arial" w:hAnsi="Arial" w:cs="Arial"/>
          <w:i/>
          <w:iCs/>
          <w:color w:val="000000"/>
          <w:sz w:val="20"/>
        </w:rPr>
        <w:t>Kentwell v The Queen</w:t>
      </w:r>
      <w:r w:rsidRPr="0034270F">
        <w:rPr>
          <w:rFonts w:ascii="Arial" w:hAnsi="Arial" w:cs="Arial"/>
          <w:color w:val="000000"/>
          <w:sz w:val="20"/>
        </w:rPr>
        <w:t xml:space="preserve"> (2014) 252 CLR 601, 617–19 [42]–[43];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158EE5A4" w:rsidR="00B348D4" w:rsidRDefault="00B348D4" w:rsidP="00C37421">
      <w:pPr>
        <w:pStyle w:val="Style1"/>
      </w:pPr>
      <w:r>
        <w:t xml:space="preserve">See also </w:t>
      </w:r>
      <w:r w:rsidRPr="000A7B05">
        <w:rPr>
          <w:i/>
          <w:iCs/>
        </w:rPr>
        <w:t>DPP v Wol</w:t>
      </w:r>
      <w:r w:rsidRPr="000A7B05">
        <w:t xml:space="preserve"> [2019] VSCA 268</w:t>
      </w:r>
      <w:r>
        <w:t xml:space="preserve">; </w:t>
      </w:r>
      <w:r w:rsidRPr="002A56D4">
        <w:rPr>
          <w:i/>
          <w:iCs/>
        </w:rPr>
        <w:t>Brendan Lowell (a pseudonym) v The Queen</w:t>
      </w:r>
      <w:r>
        <w:t xml:space="preserve"> [2022] VSCA 134 </w:t>
      </w:r>
      <w:r w:rsidRPr="002A56D4">
        <w:t xml:space="preserve">where the offending is detailed at [4] and described as </w:t>
      </w:r>
      <w:r>
        <w:t>‘</w:t>
      </w:r>
      <w:r w:rsidRPr="002A56D4">
        <w:t>grave</w:t>
      </w:r>
      <w:r>
        <w:t>’</w:t>
      </w:r>
      <w:r w:rsidRPr="002A56D4">
        <w:t xml:space="preserve">, </w:t>
      </w:r>
      <w:r>
        <w:t>‘</w:t>
      </w:r>
      <w:r w:rsidRPr="002A56D4">
        <w:t>an extremely serious example of aggravated home invasion</w:t>
      </w:r>
      <w:r>
        <w:t>’</w:t>
      </w:r>
      <w:r w:rsidRPr="002A56D4">
        <w:t xml:space="preserve"> and </w:t>
      </w:r>
      <w:r>
        <w:t>‘dreadful’</w:t>
      </w:r>
      <w:r w:rsidR="001A2AE2">
        <w:t xml:space="preserve">; </w:t>
      </w:r>
      <w:r w:rsidR="001A2AE2" w:rsidRPr="001A2AE2">
        <w:rPr>
          <w:i/>
          <w:iCs/>
        </w:rPr>
        <w:t>Everett v The King</w:t>
      </w:r>
      <w:r w:rsidR="001A2AE2">
        <w:t xml:space="preserve"> [2025] VSCA 96 at [55].</w:t>
      </w:r>
    </w:p>
    <w:p w14:paraId="6392AB72" w14:textId="77777777" w:rsidR="00B348D4" w:rsidRPr="000A7B05" w:rsidRDefault="00B348D4"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17" w:name="_11.2.28_Sentencing_for_1"/>
      <w:bookmarkEnd w:id="717"/>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18" w:name="_11.2.28.1__"/>
      <w:bookmarkEnd w:id="718"/>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State">
        <w:smartTag w:uri="urn:schemas-microsoft-com:office:smarttags" w:element="plac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[53] The circumstances to which we have referred explain why this rape fell into the category of extremely serious rapes.  But this does not mean that matters relied upon for </w:t>
      </w:r>
      <w:r w:rsidRPr="001C6E0E">
        <w:rPr>
          <w:rFonts w:ascii="Arial" w:hAnsi="Arial" w:cs="Arial"/>
          <w:color w:val="000000"/>
          <w:sz w:val="20"/>
        </w:rPr>
        <w:lastRenderedPageBreak/>
        <w:t>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19"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19"/>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20"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20"/>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07BCB95B"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 xml:space="preserve">Extracts from the majority judgment are set out in </w:t>
      </w:r>
      <w:r w:rsidR="00227507" w:rsidRPr="00227507">
        <w:rPr>
          <w:rFonts w:ascii="Arial" w:hAnsi="Arial" w:cs="Arial"/>
          <w:b/>
          <w:bCs/>
          <w:color w:val="000000"/>
          <w:sz w:val="20"/>
          <w:shd w:val="clear" w:color="auto" w:fill="C5E0B3" w:themeFill="accent6" w:themeFillTint="66"/>
        </w:rPr>
        <w:t xml:space="preserve">section </w:t>
      </w:r>
      <w:r w:rsidRPr="00227507">
        <w:rPr>
          <w:rFonts w:ascii="Arial" w:hAnsi="Arial" w:cs="Arial"/>
          <w:b/>
          <w:bCs/>
          <w:color w:val="000000"/>
          <w:sz w:val="20"/>
          <w:shd w:val="clear" w:color="auto" w:fill="C5E0B3" w:themeFill="accent6" w:themeFillTint="66"/>
        </w:rPr>
        <w:t>11.1.3</w:t>
      </w:r>
      <w:r>
        <w:rPr>
          <w:rFonts w:ascii="Arial" w:hAnsi="Arial" w:cs="Arial"/>
          <w:color w:val="000000"/>
          <w:sz w:val="20"/>
        </w:rPr>
        <w:t xml:space="preserve">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lastRenderedPageBreak/>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whch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lastRenderedPageBreak/>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B9632F">
      <w:pPr>
        <w:pStyle w:val="Style1"/>
      </w:pPr>
      <w:r>
        <w:t xml:space="preserve">In </w:t>
      </w:r>
      <w:r w:rsidRPr="00EA745D">
        <w:rPr>
          <w:i/>
          <w:iCs/>
        </w:rPr>
        <w:t>DPP v Sharp</w:t>
      </w:r>
      <w:r>
        <w:t xml:space="preserve"> [2024] VSCA 24 the </w:t>
      </w:r>
      <w:r w:rsidR="00AF475E">
        <w:t xml:space="preserve">32-year old </w:t>
      </w:r>
      <w:r>
        <w:t xml:space="preserve">respondent had been sentenced </w:t>
      </w:r>
      <w:r w:rsidR="00AF475E">
        <w:t>to a TES IMP3y of which 2y was suspended for 3y on charges of rape (IMP3y), false imprisonment (IMP8m) and common law assault (IMP2m) which he had committed at the age of 19.</w:t>
      </w:r>
      <w:r w:rsidR="00787124">
        <w:t xml:space="preserve">  </w:t>
      </w:r>
      <w:r w:rsidR="00AF475E">
        <w:t>The Court of Appeal allowed the Director’s appeal</w:t>
      </w:r>
      <w:r w:rsidR="00787124">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B9632F">
      <w:pPr>
        <w:pStyle w:val="Style1"/>
        <w:spacing w:before="60"/>
        <w:ind w:left="567" w:right="567"/>
      </w:pPr>
      <w:r>
        <w:t>[45] “</w:t>
      </w:r>
      <w:r w:rsidRPr="00EA745D">
        <w:t>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B9632F">
      <w:pPr>
        <w:pStyle w:val="Style1"/>
        <w:spacing w:before="60"/>
        <w:ind w:left="567" w:right="567"/>
      </w:pPr>
      <w:r>
        <w:t>[</w:t>
      </w:r>
      <w:r w:rsidRPr="00EA745D">
        <w:t>46</w:t>
      </w:r>
      <w:r>
        <w:t>]</w:t>
      </w:r>
      <w:r w:rsidRPr="00EA745D">
        <w:t xml:space="preserve"> Quite simply, we do not think that it was. Affording the respondent all the benefit that must accrue to him on account of delay, achieved rehabilitation</w:t>
      </w:r>
      <w:r>
        <w:t xml:space="preserve"> {</w:t>
      </w:r>
      <w:r w:rsidRPr="00EA745D">
        <w:rPr>
          <w:i/>
          <w:iCs/>
        </w:rPr>
        <w:t>R v MWH</w:t>
      </w:r>
      <w:r w:rsidRPr="00EA745D">
        <w:t xml:space="preserve"> [2001] VSCA 197, [18]</w:t>
      </w:r>
      <w:r>
        <w:t>},</w:t>
      </w:r>
      <w:r w:rsidRPr="00EA745D">
        <w:t xml:space="preserve"> the Crown concession concerning the respondent’s lack of responsibility for delay, totality, as well as the respondent’s age at the time of the crime’s commission</w:t>
      </w:r>
      <w:r w:rsidR="00AF475E">
        <w:t xml:space="preserve"> {</w:t>
      </w:r>
      <w:r w:rsidR="00AF475E" w:rsidRPr="00AF475E">
        <w:rPr>
          <w:i/>
          <w:iCs/>
        </w:rPr>
        <w:t>R v Boland</w:t>
      </w:r>
      <w:r w:rsidR="00AF475E" w:rsidRPr="00EA745D">
        <w:t xml:space="preserve"> (2007) 17 VR 300, 303-4 [15]–[16]</w:t>
      </w:r>
      <w:r w:rsidR="00AF475E">
        <w:t>}</w:t>
      </w:r>
      <w:r w:rsidRPr="00EA745D">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B9632F">
      <w:pPr>
        <w:pStyle w:val="Style1"/>
        <w:spacing w:before="60"/>
        <w:ind w:left="567" w:right="567"/>
      </w:pPr>
      <w:r>
        <w:t>[</w:t>
      </w:r>
      <w:r w:rsidRPr="00EA745D">
        <w:t>47</w:t>
      </w:r>
      <w:r>
        <w:t>]</w:t>
      </w:r>
      <w:r w:rsidRPr="00EA745D">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B9632F">
      <w:pPr>
        <w:pStyle w:val="Style1"/>
        <w:spacing w:before="60"/>
        <w:ind w:left="567" w:right="567"/>
        <w:rPr>
          <w:bCs/>
          <w:color w:val="000000"/>
          <w:sz w:val="16"/>
        </w:rPr>
      </w:pPr>
      <w:r>
        <w:t>[</w:t>
      </w:r>
      <w:r w:rsidRPr="00EA745D">
        <w:t>48</w:t>
      </w:r>
      <w:r>
        <w:t>]</w:t>
      </w:r>
      <w:r w:rsidRPr="00EA745D">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B9632F">
      <w:pPr>
        <w:pStyle w:val="Style1"/>
      </w:pPr>
      <w:r>
        <w:t xml:space="preserve">In </w:t>
      </w:r>
      <w:r w:rsidRPr="00291090">
        <w:rPr>
          <w:i/>
          <w:iCs/>
        </w:rPr>
        <w:t>Stanford v The King</w:t>
      </w:r>
      <w:r>
        <w:t xml:space="preserve"> [2024] VSCA 35 a County Court jury had found the applicant guilty of </w:t>
      </w:r>
      <w:r w:rsidR="00207CC2">
        <w:t>3 of 4 charges of rape, 1</w:t>
      </w:r>
      <w:r>
        <w:t xml:space="preserve"> of 3 charges </w:t>
      </w:r>
      <w:r w:rsidR="00207CC2">
        <w:t>of making a threat to kill, a charge of false imprisonment and a charge of indecent assault</w:t>
      </w:r>
      <w:r w:rsidR="00574752">
        <w:t xml:space="preserve">.  </w:t>
      </w:r>
      <w:r w:rsidR="00574752" w:rsidRPr="00574752">
        <w:t xml:space="preserve">The complainant in relation to all of the charged offences was the applicant’s then domestic partner.  </w:t>
      </w:r>
      <w:r w:rsidR="00574752">
        <w:t>T</w:t>
      </w:r>
      <w:r w:rsidRPr="00574752">
        <w:t>he applicant had been sentenced to TES IMP</w:t>
      </w:r>
      <w:r w:rsidR="00574752">
        <w:t>19y/13y made up as follows:</w:t>
      </w:r>
    </w:p>
    <w:p w14:paraId="6630D4AC" w14:textId="1637BEBC" w:rsidR="00F36239" w:rsidRPr="00F36239" w:rsidRDefault="00F36239" w:rsidP="00B9632F">
      <w:pPr>
        <w:pStyle w:val="Style1"/>
      </w:pPr>
      <w:r w:rsidRPr="00F36239">
        <w:t>CHARGE/OFFENCE</w:t>
      </w:r>
      <w:r w:rsidRPr="00F36239">
        <w:tab/>
      </w:r>
      <w:r w:rsidRPr="00F36239">
        <w:tab/>
        <w:t>ORIGINAL SENTENCE</w:t>
      </w:r>
      <w:r w:rsidRPr="00F36239">
        <w:tab/>
      </w:r>
      <w:r w:rsidRPr="00F36239">
        <w:tab/>
        <w:t>SUBSTITUTED SENTENCE</w:t>
      </w:r>
    </w:p>
    <w:p w14:paraId="0E1690B9" w14:textId="73DA7847" w:rsidR="00291090" w:rsidRDefault="00574752" w:rsidP="00B9632F">
      <w:pPr>
        <w:pStyle w:val="Style1"/>
        <w:rPr>
          <w:bCs/>
        </w:rPr>
      </w:pPr>
      <w:r>
        <w:rPr>
          <w:bCs/>
        </w:rPr>
        <w:t xml:space="preserve">Charge 12 – Rape </w:t>
      </w:r>
      <w:r>
        <w:rPr>
          <w:bCs/>
        </w:rPr>
        <w:tab/>
      </w:r>
      <w:r>
        <w:rPr>
          <w:bCs/>
        </w:rPr>
        <w:tab/>
      </w:r>
      <w:r w:rsidR="00D07CDA">
        <w:rPr>
          <w:bCs/>
        </w:rPr>
        <w:t xml:space="preserve">   </w:t>
      </w:r>
      <w:r w:rsidR="00F36239">
        <w:rPr>
          <w:bCs/>
        </w:rPr>
        <w:t xml:space="preserve"> </w:t>
      </w:r>
      <w:r>
        <w:rPr>
          <w:bCs/>
        </w:rPr>
        <w:t>12y Base</w:t>
      </w:r>
      <w:r w:rsidR="00F36239">
        <w:rPr>
          <w:bCs/>
        </w:rPr>
        <w:tab/>
      </w:r>
      <w:r w:rsidR="00F36239">
        <w:rPr>
          <w:bCs/>
        </w:rPr>
        <w:tab/>
      </w:r>
      <w:r w:rsidR="00F36239">
        <w:rPr>
          <w:bCs/>
        </w:rPr>
        <w:tab/>
      </w:r>
      <w:r w:rsidR="00F36239">
        <w:rPr>
          <w:bCs/>
        </w:rPr>
        <w:tab/>
        <w:t>10y Base</w:t>
      </w:r>
    </w:p>
    <w:p w14:paraId="35C32565" w14:textId="353D56A4" w:rsidR="00574752" w:rsidRDefault="00574752" w:rsidP="00B9632F">
      <w:pPr>
        <w:pStyle w:val="Style1"/>
        <w:rPr>
          <w:bCs/>
        </w:rPr>
      </w:pPr>
      <w:r>
        <w:rPr>
          <w:bCs/>
        </w:rPr>
        <w:t xml:space="preserve">Charge 13 – Rape </w:t>
      </w:r>
      <w:r>
        <w:rPr>
          <w:bCs/>
        </w:rPr>
        <w:tab/>
      </w:r>
      <w:r>
        <w:rPr>
          <w:bCs/>
        </w:rPr>
        <w:tab/>
      </w:r>
      <w:r w:rsidR="00D07CDA">
        <w:rPr>
          <w:bCs/>
        </w:rPr>
        <w:t xml:space="preserve">   </w:t>
      </w:r>
      <w:r w:rsidR="00F36239">
        <w:rPr>
          <w:bCs/>
        </w:rPr>
        <w:t xml:space="preserve"> </w:t>
      </w:r>
      <w:r>
        <w:rPr>
          <w:bCs/>
        </w:rPr>
        <w:t>10y Cumulation 2y</w:t>
      </w:r>
      <w:r w:rsidR="00F36239">
        <w:rPr>
          <w:bCs/>
        </w:rPr>
        <w:tab/>
      </w:r>
      <w:r w:rsidR="00F36239">
        <w:rPr>
          <w:bCs/>
        </w:rPr>
        <w:tab/>
      </w:r>
      <w:r w:rsidR="00F36239">
        <w:rPr>
          <w:bCs/>
        </w:rPr>
        <w:tab/>
        <w:t>10y Cumulation 2y</w:t>
      </w:r>
    </w:p>
    <w:p w14:paraId="4441F1E1" w14:textId="4D8F904A" w:rsidR="00574752" w:rsidRDefault="00574752" w:rsidP="00B9632F">
      <w:pPr>
        <w:pStyle w:val="Style1"/>
        <w:rPr>
          <w:bCs/>
        </w:rPr>
      </w:pPr>
      <w:r>
        <w:rPr>
          <w:bCs/>
        </w:rPr>
        <w:t xml:space="preserve">Charge 9   – Rape </w:t>
      </w:r>
      <w:r>
        <w:rPr>
          <w:bCs/>
        </w:rPr>
        <w:tab/>
      </w:r>
      <w:r>
        <w:rPr>
          <w:bCs/>
        </w:rPr>
        <w:tab/>
      </w:r>
      <w:r w:rsidR="00D07CDA">
        <w:rPr>
          <w:bCs/>
        </w:rPr>
        <w:t xml:space="preserve">   </w:t>
      </w:r>
      <w:r w:rsidR="00F36239">
        <w:rPr>
          <w:bCs/>
        </w:rPr>
        <w:t xml:space="preserve"> </w:t>
      </w:r>
      <w:r>
        <w:rPr>
          <w:bCs/>
        </w:rPr>
        <w:t>8y   Cumulation 4y</w:t>
      </w:r>
      <w:r w:rsidR="00F36239">
        <w:rPr>
          <w:bCs/>
        </w:rPr>
        <w:tab/>
      </w:r>
      <w:r w:rsidR="00F36239">
        <w:rPr>
          <w:bCs/>
        </w:rPr>
        <w:tab/>
      </w:r>
      <w:r w:rsidR="00F36239">
        <w:rPr>
          <w:bCs/>
        </w:rPr>
        <w:tab/>
        <w:t>------</w:t>
      </w:r>
      <w:r w:rsidR="00D07CDA">
        <w:rPr>
          <w:bCs/>
        </w:rPr>
        <w:t>-------</w:t>
      </w:r>
    </w:p>
    <w:p w14:paraId="3F85AD1B" w14:textId="6999C11B" w:rsidR="00574752" w:rsidRDefault="00574752" w:rsidP="00B9632F">
      <w:pPr>
        <w:pStyle w:val="Style1"/>
        <w:rPr>
          <w:bCs/>
        </w:rPr>
      </w:pPr>
      <w:r>
        <w:rPr>
          <w:bCs/>
        </w:rPr>
        <w:t>Charge 7</w:t>
      </w:r>
      <w:r w:rsidR="00F36239">
        <w:rPr>
          <w:bCs/>
        </w:rPr>
        <w:t xml:space="preserve">  </w:t>
      </w:r>
      <w:r>
        <w:rPr>
          <w:bCs/>
        </w:rPr>
        <w:t xml:space="preserve"> – Threat to kill</w:t>
      </w:r>
      <w:r>
        <w:rPr>
          <w:bCs/>
        </w:rPr>
        <w:tab/>
      </w:r>
      <w:r w:rsidR="00D07CDA">
        <w:rPr>
          <w:bCs/>
        </w:rPr>
        <w:t xml:space="preserve">   </w:t>
      </w:r>
      <w:r w:rsidR="00F36239">
        <w:rPr>
          <w:bCs/>
        </w:rPr>
        <w:t xml:space="preserve"> </w:t>
      </w:r>
      <w:r>
        <w:rPr>
          <w:bCs/>
        </w:rPr>
        <w:t>2y   Cumulation 1y</w:t>
      </w:r>
      <w:r w:rsidR="00F36239">
        <w:rPr>
          <w:bCs/>
        </w:rPr>
        <w:tab/>
      </w:r>
      <w:r w:rsidR="00F36239">
        <w:rPr>
          <w:bCs/>
        </w:rPr>
        <w:tab/>
      </w:r>
      <w:r w:rsidR="00F36239">
        <w:rPr>
          <w:bCs/>
        </w:rPr>
        <w:tab/>
        <w:t>2y   Cumulation 1y</w:t>
      </w:r>
    </w:p>
    <w:p w14:paraId="0ABC25A7" w14:textId="110C4485" w:rsidR="00574752" w:rsidRDefault="00574752" w:rsidP="00B9632F">
      <w:pPr>
        <w:pStyle w:val="Style1"/>
        <w:rPr>
          <w:bCs/>
        </w:rPr>
      </w:pPr>
      <w:r>
        <w:rPr>
          <w:bCs/>
        </w:rPr>
        <w:t>Charge 11 – Indecent assault</w:t>
      </w:r>
      <w:r>
        <w:rPr>
          <w:bCs/>
        </w:rPr>
        <w:tab/>
      </w:r>
      <w:r w:rsidR="00F36239">
        <w:rPr>
          <w:bCs/>
        </w:rPr>
        <w:t xml:space="preserve"> </w:t>
      </w:r>
      <w:r w:rsidR="00D07CDA">
        <w:rPr>
          <w:bCs/>
        </w:rPr>
        <w:t xml:space="preserve">   </w:t>
      </w:r>
      <w:r w:rsidR="00F36239">
        <w:rPr>
          <w:bCs/>
        </w:rPr>
        <w:t>2</w:t>
      </w:r>
      <w:r>
        <w:rPr>
          <w:bCs/>
        </w:rPr>
        <w:t xml:space="preserve">y </w:t>
      </w:r>
      <w:r w:rsidR="00F36239">
        <w:rPr>
          <w:bCs/>
        </w:rPr>
        <w:t xml:space="preserve">  </w:t>
      </w:r>
      <w:r>
        <w:rPr>
          <w:bCs/>
        </w:rPr>
        <w:t>Concurrent</w:t>
      </w:r>
      <w:r w:rsidR="00F36239">
        <w:rPr>
          <w:bCs/>
        </w:rPr>
        <w:tab/>
      </w:r>
      <w:r w:rsidR="00F36239">
        <w:rPr>
          <w:bCs/>
        </w:rPr>
        <w:tab/>
      </w:r>
      <w:r w:rsidR="00F36239">
        <w:rPr>
          <w:bCs/>
        </w:rPr>
        <w:tab/>
        <w:t>2y   Concurrent</w:t>
      </w:r>
    </w:p>
    <w:p w14:paraId="00ACBB87" w14:textId="1CA214FF" w:rsidR="00574752" w:rsidRDefault="00F36239" w:rsidP="00B9632F">
      <w:pPr>
        <w:pStyle w:val="Style1"/>
        <w:rPr>
          <w:bCs/>
        </w:rPr>
      </w:pPr>
      <w:r>
        <w:rPr>
          <w:bCs/>
        </w:rPr>
        <w:t xml:space="preserve">Charge 10 – False imprisonment </w:t>
      </w:r>
      <w:r w:rsidR="00D07CDA">
        <w:rPr>
          <w:bCs/>
        </w:rPr>
        <w:t xml:space="preserve">   </w:t>
      </w:r>
      <w:r>
        <w:rPr>
          <w:bCs/>
        </w:rPr>
        <w:t>2y   Concurrent</w:t>
      </w:r>
      <w:r>
        <w:rPr>
          <w:bCs/>
        </w:rPr>
        <w:tab/>
      </w:r>
      <w:r>
        <w:rPr>
          <w:bCs/>
        </w:rPr>
        <w:tab/>
      </w:r>
      <w:r>
        <w:rPr>
          <w:bCs/>
        </w:rPr>
        <w:tab/>
        <w:t>2y   Concurrent</w:t>
      </w:r>
    </w:p>
    <w:p w14:paraId="6A5E250C" w14:textId="535337F5" w:rsidR="00291090" w:rsidRDefault="00F36239" w:rsidP="00B9632F">
      <w:pPr>
        <w:pStyle w:val="Style1"/>
      </w:pPr>
      <w:r>
        <w:t xml:space="preserve">The respondent conceded that the verdict on charge 9 was unreasonable or could not be supported having regard to the evidence.  </w:t>
      </w:r>
      <w:r w:rsidR="00705CE9">
        <w:t>T</w:t>
      </w:r>
      <w:r>
        <w:t xml:space="preserve">he Court of Appeal </w:t>
      </w:r>
      <w:r w:rsidR="00705CE9">
        <w:t xml:space="preserve">duly </w:t>
      </w:r>
      <w:r>
        <w:t>resentenced the applicant to TES IMP13y/9y6m made up as shown above.</w:t>
      </w:r>
      <w:r w:rsidR="00705CE9">
        <w:t xml:space="preserve">  </w:t>
      </w:r>
      <w:r w:rsidR="00014907">
        <w:t>At [75]</w:t>
      </w:r>
      <w:r w:rsidR="004431DD">
        <w:t xml:space="preserve"> </w:t>
      </w:r>
      <w:r w:rsidR="00014907">
        <w:t xml:space="preserve">Boyce, Whelan &amp; T Forrest JJA listed in footnote 40 </w:t>
      </w:r>
      <w:r w:rsidR="00014907">
        <w:lastRenderedPageBreak/>
        <w:t xml:space="preserve">a number of </w:t>
      </w:r>
      <w:r w:rsidR="00D07CDA">
        <w:t xml:space="preserve">recent </w:t>
      </w:r>
      <w:r w:rsidR="00014907">
        <w:t>cases “involving offences of rape within an existing relationship</w:t>
      </w:r>
      <w:r w:rsidR="00D07CDA">
        <w:t>, some of [which] involved degrading and humiliating conduct similar to that which occurred here”</w:t>
      </w:r>
      <w:r w:rsidR="004431DD">
        <w:t xml:space="preserve"> and at [76] in footnotes 41-45 discussed some </w:t>
      </w:r>
      <w:r w:rsidR="001F2C81">
        <w:t>“</w:t>
      </w:r>
      <w:r w:rsidR="004431DD">
        <w:t>relevant individual sentences for rape after a plea of not guilty</w:t>
      </w:r>
      <w:r w:rsidR="001F2C81">
        <w:t>”</w:t>
      </w:r>
      <w:r w:rsidR="004431DD">
        <w:t xml:space="preserve">.  </w:t>
      </w:r>
      <w:r w:rsidR="00D07CDA">
        <w:t>At</w:t>
      </w:r>
      <w:r w:rsidR="004431DD">
        <w:t> </w:t>
      </w:r>
      <w:r w:rsidR="0036467F">
        <w:t>[77]-</w:t>
      </w:r>
      <w:r w:rsidR="00D07CDA">
        <w:t>[78] their Honours said:</w:t>
      </w:r>
    </w:p>
    <w:p w14:paraId="40BE98F1" w14:textId="710D1BE0" w:rsidR="0036467F" w:rsidRDefault="0036467F" w:rsidP="00B9632F">
      <w:pPr>
        <w:pStyle w:val="Style1"/>
        <w:spacing w:before="60"/>
        <w:ind w:left="567" w:right="567"/>
        <w:rPr>
          <w:szCs w:val="16"/>
        </w:rPr>
      </w:pPr>
      <w:r>
        <w:rPr>
          <w:szCs w:val="16"/>
        </w:rPr>
        <w:t>[77] “</w:t>
      </w:r>
      <w:r w:rsidRPr="0036467F">
        <w:t>Comparable cases may illustrate the possible range of sentences but they cannot define it</w:t>
      </w:r>
      <w:r>
        <w:t xml:space="preserve">: </w:t>
      </w:r>
      <w:r w:rsidRPr="0036467F">
        <w:rPr>
          <w:i/>
          <w:iCs/>
        </w:rPr>
        <w:t>DPP v OJA</w:t>
      </w:r>
      <w:r w:rsidRPr="0036467F">
        <w:t xml:space="preserve"> (2007) 172 A Crim R 181, 196 [30]–[31]; [2007] VSCA 129; </w:t>
      </w:r>
      <w:r w:rsidRPr="0036467F">
        <w:rPr>
          <w:i/>
          <w:iCs/>
        </w:rPr>
        <w:t>DPP v Dalgliesh (a pseudonym)</w:t>
      </w:r>
      <w:r w:rsidRPr="0036467F">
        <w:t xml:space="preserve"> (2017) 262 CLR 428, 445 [50]–[52]</w:t>
      </w:r>
      <w:r>
        <w:t xml:space="preserve"> &amp;</w:t>
      </w:r>
      <w:r w:rsidRPr="0036467F">
        <w:t xml:space="preserve"> 453–4 [82]–[83]; [2017] HCA 41.</w:t>
      </w:r>
      <w:r>
        <w:t xml:space="preserve">  </w:t>
      </w:r>
      <w:r w:rsidRPr="0036467F">
        <w:t>In 2019, this Court observed that sentences for rape have increased somewhat in recent years, which accords with and respects community expectations</w:t>
      </w:r>
      <w:r>
        <w:t xml:space="preserve">: </w:t>
      </w:r>
      <w:r w:rsidRPr="0036467F">
        <w:rPr>
          <w:i/>
          <w:iCs/>
        </w:rPr>
        <w:t>DPP v Lian</w:t>
      </w:r>
      <w:r w:rsidRPr="0036467F">
        <w:t xml:space="preserve"> [2019] VSCA 75, [60]</w:t>
      </w:r>
      <w:r>
        <w:t>.</w:t>
      </w:r>
      <w:r w:rsidRPr="0036467F">
        <w:t xml:space="preserve"> </w:t>
      </w:r>
      <w:r>
        <w:t xml:space="preserve"> </w:t>
      </w:r>
      <w:r w:rsidRPr="0036467F">
        <w:t>When sentencing men who violently offend against female domestic partners, specific and general deterrence are very important factors</w:t>
      </w:r>
      <w:r>
        <w:t xml:space="preserve">: </w:t>
      </w:r>
      <w:r w:rsidRPr="0036467F">
        <w:rPr>
          <w:i/>
          <w:iCs/>
        </w:rPr>
        <w:t>Pasinis v The Queen</w:t>
      </w:r>
      <w:r w:rsidRPr="0036467F">
        <w:t xml:space="preserve"> [2014] VSCA 97, [53], quoted in </w:t>
      </w:r>
      <w:r w:rsidRPr="0036467F">
        <w:rPr>
          <w:i/>
          <w:iCs/>
        </w:rPr>
        <w:t>Forbes</w:t>
      </w:r>
      <w:r w:rsidRPr="0036467F">
        <w:t xml:space="preserve"> [2018] VSCA 341, [42]. See also </w:t>
      </w:r>
      <w:r w:rsidRPr="0036467F">
        <w:rPr>
          <w:i/>
          <w:iCs/>
        </w:rPr>
        <w:t>Filiz v The Queen</w:t>
      </w:r>
      <w:r w:rsidRPr="0036467F">
        <w:t xml:space="preserve"> [2014] VSCA 212, [21]</w:t>
      </w:r>
      <w:r>
        <w:t>.”</w:t>
      </w:r>
    </w:p>
    <w:p w14:paraId="5179ACF7" w14:textId="7F718314" w:rsidR="00D07CDA" w:rsidRDefault="0036467F" w:rsidP="00B9632F">
      <w:pPr>
        <w:pStyle w:val="Style1"/>
        <w:spacing w:before="60"/>
        <w:ind w:left="567" w:right="567"/>
        <w:rPr>
          <w:szCs w:val="16"/>
        </w:rPr>
      </w:pPr>
      <w:r>
        <w:rPr>
          <w:szCs w:val="16"/>
        </w:rPr>
        <w:t xml:space="preserve">[78] </w:t>
      </w:r>
      <w:r w:rsidR="00D07CDA">
        <w:rPr>
          <w:szCs w:val="16"/>
        </w:rPr>
        <w:t>Of the two rape offences here, the matters which seem to us to be significant are:</w:t>
      </w:r>
    </w:p>
    <w:p w14:paraId="035F7B15"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657722">
        <w:rPr>
          <w:rFonts w:ascii="Arial" w:hAnsi="Arial" w:cs="Arial"/>
          <w:sz w:val="20"/>
          <w:szCs w:val="16"/>
        </w:rPr>
        <w:t>the importance of specific and general deterrence in this context;</w:t>
      </w:r>
    </w:p>
    <w:p w14:paraId="707B0EAD"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absence of remorse, the poor prospects of rehabilitation, and the lack of insight, as particularly demonstrated by the subsequent offending concerning the complainant;</w:t>
      </w:r>
    </w:p>
    <w:p w14:paraId="5794C6AA"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appellant’s criminal history, recognising that most of that offending is old;</w:t>
      </w:r>
    </w:p>
    <w:p w14:paraId="7CA73904"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delay between the offending and the charges, and some positive changes made by the appellant in that period; and</w:t>
      </w:r>
    </w:p>
    <w:p w14:paraId="50EAEC32" w14:textId="77777777" w:rsidR="00657722" w:rsidRPr="001C6E0E" w:rsidRDefault="004F70AB"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w:t>
      </w:r>
      <w:r w:rsidR="00D07CDA" w:rsidRPr="004F70AB">
        <w:rPr>
          <w:rFonts w:ascii="Arial" w:hAnsi="Arial" w:cs="Arial"/>
          <w:sz w:val="20"/>
          <w:szCs w:val="20"/>
        </w:rPr>
        <w:t>he seriousness of the appellant’s conduct, involving penetration with objects, injury to the complainant requiring hospitalisation, pleas and distress which were unheeded, and humiliating and degrading treatment.”</w:t>
      </w:r>
    </w:p>
    <w:p w14:paraId="3029F631" w14:textId="77777777" w:rsidR="0036467F" w:rsidRDefault="0036467F" w:rsidP="00D97844">
      <w:pPr>
        <w:spacing w:before="20" w:after="20"/>
        <w:jc w:val="both"/>
        <w:rPr>
          <w:rFonts w:ascii="Arial" w:hAnsi="Arial" w:cs="Arial"/>
          <w:bCs/>
          <w:color w:val="000000"/>
          <w:sz w:val="20"/>
          <w:szCs w:val="20"/>
        </w:rPr>
      </w:pPr>
    </w:p>
    <w:p w14:paraId="517330B3" w14:textId="34023A39" w:rsidR="009048B5" w:rsidRDefault="009048B5" w:rsidP="009048B5">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000401F1" w:rsidRPr="000401F1">
        <w:rPr>
          <w:rFonts w:ascii="Arial" w:hAnsi="Arial" w:cs="Arial"/>
          <w:bCs/>
          <w:i/>
          <w:iCs/>
          <w:color w:val="000000"/>
          <w:sz w:val="20"/>
          <w:szCs w:val="20"/>
        </w:rPr>
        <w:t>Hu v The King</w:t>
      </w:r>
      <w:r w:rsidR="000401F1">
        <w:rPr>
          <w:rFonts w:ascii="Arial" w:hAnsi="Arial" w:cs="Arial"/>
          <w:bCs/>
          <w:color w:val="000000"/>
          <w:sz w:val="20"/>
          <w:szCs w:val="20"/>
        </w:rPr>
        <w:t xml:space="preserve"> [2025] VSCA 60 </w:t>
      </w:r>
      <w:r w:rsidR="004D1A9B">
        <w:rPr>
          <w:rFonts w:ascii="Arial" w:hAnsi="Arial" w:cs="Arial"/>
          <w:bCs/>
          <w:color w:val="000000"/>
          <w:sz w:val="20"/>
          <w:szCs w:val="20"/>
        </w:rPr>
        <w:t>– described by the Court of Appeal at [2] as “</w:t>
      </w:r>
      <w:r w:rsidR="004D1A9B" w:rsidRPr="004D1A9B">
        <w:rPr>
          <w:rFonts w:ascii="Arial" w:hAnsi="Arial" w:cs="Arial"/>
          <w:bCs/>
          <w:color w:val="000000"/>
          <w:sz w:val="20"/>
          <w:szCs w:val="20"/>
        </w:rPr>
        <w:t>one of the most serious cases of multiple sexual assaults ever seen in this state</w:t>
      </w:r>
      <w:r w:rsidR="004D1A9B">
        <w:rPr>
          <w:rFonts w:ascii="Arial" w:hAnsi="Arial" w:cs="Arial"/>
          <w:bCs/>
          <w:color w:val="000000"/>
          <w:sz w:val="20"/>
          <w:szCs w:val="20"/>
        </w:rPr>
        <w:t>” –</w:t>
      </w:r>
      <w:r w:rsidR="00D65D26">
        <w:rPr>
          <w:rFonts w:ascii="Arial" w:hAnsi="Arial" w:cs="Arial"/>
          <w:bCs/>
          <w:color w:val="000000"/>
          <w:sz w:val="20"/>
          <w:szCs w:val="20"/>
        </w:rPr>
        <w:t xml:space="preserve"> </w:t>
      </w:r>
      <w:r w:rsidR="004D1A9B" w:rsidRPr="004D1A9B">
        <w:rPr>
          <w:rFonts w:ascii="Arial" w:hAnsi="Arial" w:cs="Arial"/>
          <w:bCs/>
          <w:color w:val="000000"/>
          <w:sz w:val="20"/>
          <w:szCs w:val="20"/>
        </w:rPr>
        <w:t xml:space="preserve">the </w:t>
      </w:r>
      <w:r>
        <w:rPr>
          <w:rFonts w:ascii="Arial" w:hAnsi="Arial" w:cs="Arial"/>
          <w:bCs/>
          <w:color w:val="000000"/>
          <w:sz w:val="20"/>
          <w:szCs w:val="20"/>
        </w:rPr>
        <w:t xml:space="preserve">40 year old </w:t>
      </w:r>
      <w:r w:rsidR="004D1A9B" w:rsidRPr="004D1A9B">
        <w:rPr>
          <w:rFonts w:ascii="Arial" w:hAnsi="Arial" w:cs="Arial"/>
          <w:bCs/>
          <w:color w:val="000000"/>
          <w:sz w:val="20"/>
          <w:szCs w:val="20"/>
        </w:rPr>
        <w:t>applicant</w:t>
      </w:r>
      <w:r w:rsidR="004D1A9B">
        <w:rPr>
          <w:rFonts w:ascii="Arial" w:hAnsi="Arial" w:cs="Arial"/>
          <w:bCs/>
          <w:color w:val="000000"/>
          <w:sz w:val="20"/>
          <w:szCs w:val="20"/>
        </w:rPr>
        <w:t xml:space="preserve"> </w:t>
      </w:r>
      <w:r>
        <w:rPr>
          <w:rFonts w:ascii="Arial" w:hAnsi="Arial" w:cs="Arial"/>
          <w:bCs/>
          <w:color w:val="000000"/>
          <w:sz w:val="20"/>
          <w:szCs w:val="20"/>
        </w:rPr>
        <w:t xml:space="preserve">had </w:t>
      </w:r>
      <w:r w:rsidR="004D1A9B">
        <w:rPr>
          <w:rFonts w:ascii="Arial" w:hAnsi="Arial" w:cs="Arial"/>
          <w:bCs/>
          <w:color w:val="000000"/>
          <w:sz w:val="20"/>
          <w:szCs w:val="20"/>
        </w:rPr>
        <w:t>plead</w:t>
      </w:r>
      <w:r>
        <w:rPr>
          <w:rFonts w:ascii="Arial" w:hAnsi="Arial" w:cs="Arial"/>
          <w:bCs/>
          <w:color w:val="000000"/>
          <w:sz w:val="20"/>
          <w:szCs w:val="20"/>
        </w:rPr>
        <w:t>ed</w:t>
      </w:r>
      <w:r w:rsidR="004D1A9B">
        <w:rPr>
          <w:rFonts w:ascii="Arial" w:hAnsi="Arial" w:cs="Arial"/>
          <w:bCs/>
          <w:color w:val="000000"/>
          <w:sz w:val="20"/>
          <w:szCs w:val="20"/>
        </w:rPr>
        <w:t xml:space="preserve"> guilty to 16 charges </w:t>
      </w:r>
      <w:r w:rsidR="00D65D26">
        <w:rPr>
          <w:rFonts w:ascii="Arial" w:hAnsi="Arial" w:cs="Arial"/>
          <w:bCs/>
          <w:color w:val="000000"/>
          <w:sz w:val="20"/>
          <w:szCs w:val="20"/>
        </w:rPr>
        <w:t xml:space="preserve">(some of which were ‘rolled up’) </w:t>
      </w:r>
      <w:r w:rsidR="004D1A9B">
        <w:rPr>
          <w:rFonts w:ascii="Arial" w:hAnsi="Arial" w:cs="Arial"/>
          <w:bCs/>
          <w:color w:val="000000"/>
          <w:sz w:val="20"/>
          <w:szCs w:val="20"/>
        </w:rPr>
        <w:t>of</w:t>
      </w:r>
      <w:r w:rsidR="00D65D26">
        <w:rPr>
          <w:rFonts w:ascii="Arial" w:hAnsi="Arial" w:cs="Arial"/>
          <w:bCs/>
          <w:color w:val="000000"/>
          <w:sz w:val="20"/>
          <w:szCs w:val="20"/>
        </w:rPr>
        <w:t xml:space="preserve"> </w:t>
      </w:r>
      <w:r w:rsidR="004D1A9B">
        <w:rPr>
          <w:rFonts w:ascii="Arial" w:hAnsi="Arial" w:cs="Arial"/>
          <w:bCs/>
          <w:color w:val="000000"/>
          <w:sz w:val="20"/>
          <w:szCs w:val="20"/>
        </w:rPr>
        <w:t xml:space="preserve">rape, sexual assault, intentionally causing injury and recklessly causing serious injury </w:t>
      </w:r>
      <w:r w:rsidR="00D65D26">
        <w:rPr>
          <w:rFonts w:ascii="Arial" w:hAnsi="Arial" w:cs="Arial"/>
          <w:bCs/>
          <w:color w:val="000000"/>
          <w:sz w:val="20"/>
          <w:szCs w:val="20"/>
        </w:rPr>
        <w:t xml:space="preserve">in which the complainants were his </w:t>
      </w:r>
      <w:r w:rsidR="004D1A9B">
        <w:rPr>
          <w:rFonts w:ascii="Arial" w:hAnsi="Arial" w:cs="Arial"/>
          <w:bCs/>
          <w:color w:val="000000"/>
          <w:sz w:val="20"/>
          <w:szCs w:val="20"/>
        </w:rPr>
        <w:t>partner and 6</w:t>
      </w:r>
      <w:r w:rsidR="00D65D26">
        <w:rPr>
          <w:rFonts w:ascii="Arial" w:hAnsi="Arial" w:cs="Arial"/>
          <w:bCs/>
          <w:color w:val="000000"/>
          <w:sz w:val="20"/>
          <w:szCs w:val="20"/>
        </w:rPr>
        <w:t> </w:t>
      </w:r>
      <w:r w:rsidR="004D1A9B">
        <w:rPr>
          <w:rFonts w:ascii="Arial" w:hAnsi="Arial" w:cs="Arial"/>
          <w:bCs/>
          <w:color w:val="000000"/>
          <w:sz w:val="20"/>
          <w:szCs w:val="20"/>
        </w:rPr>
        <w:t xml:space="preserve">other women. In each case the applicant had drugged the complainant, rendering her unconscious. The applicant was </w:t>
      </w:r>
      <w:r w:rsidRPr="004D1A9B">
        <w:rPr>
          <w:rFonts w:ascii="Arial" w:hAnsi="Arial" w:cs="Arial"/>
          <w:bCs/>
          <w:color w:val="000000"/>
          <w:sz w:val="20"/>
          <w:szCs w:val="20"/>
        </w:rPr>
        <w:t>diagnosed with a somnophilic disorder</w:t>
      </w:r>
      <w:r>
        <w:rPr>
          <w:rFonts w:ascii="Arial" w:hAnsi="Arial" w:cs="Arial"/>
          <w:bCs/>
          <w:color w:val="000000"/>
          <w:sz w:val="20"/>
          <w:szCs w:val="20"/>
        </w:rPr>
        <w:t xml:space="preserve"> </w:t>
      </w:r>
      <w:r w:rsidR="00D65D26">
        <w:rPr>
          <w:rFonts w:ascii="Arial" w:hAnsi="Arial" w:cs="Arial"/>
          <w:bCs/>
          <w:color w:val="000000"/>
          <w:sz w:val="20"/>
          <w:szCs w:val="20"/>
        </w:rPr>
        <w:t>but</w:t>
      </w:r>
      <w:r>
        <w:rPr>
          <w:rFonts w:ascii="Arial" w:hAnsi="Arial" w:cs="Arial"/>
          <w:bCs/>
          <w:color w:val="000000"/>
          <w:sz w:val="20"/>
          <w:szCs w:val="20"/>
        </w:rPr>
        <w:t xml:space="preserve"> conceded that the</w:t>
      </w:r>
      <w:r w:rsidRPr="004D1A9B">
        <w:rPr>
          <w:rFonts w:ascii="Arial" w:hAnsi="Arial" w:cs="Arial"/>
          <w:bCs/>
          <w:color w:val="000000"/>
          <w:sz w:val="20"/>
          <w:szCs w:val="20"/>
        </w:rPr>
        <w:t xml:space="preserve"> disorder did not reduce his moral culpability</w:t>
      </w:r>
      <w:r>
        <w:rPr>
          <w:rFonts w:ascii="Arial" w:hAnsi="Arial" w:cs="Arial"/>
          <w:bCs/>
          <w:color w:val="000000"/>
          <w:sz w:val="20"/>
          <w:szCs w:val="20"/>
        </w:rPr>
        <w:t>. He had been sentenced to TES IMP29y/22y. In refusing leave to appeal against the sentence Walker, Boyce &amp; Kaye JJA held:</w:t>
      </w:r>
    </w:p>
    <w:p w14:paraId="7B6AE118" w14:textId="77777777" w:rsidR="0016597A" w:rsidRPr="0016597A" w:rsidRDefault="009048B5" w:rsidP="0016597A">
      <w:pPr>
        <w:numPr>
          <w:ilvl w:val="0"/>
          <w:numId w:val="130"/>
        </w:numPr>
        <w:ind w:left="357" w:hanging="357"/>
        <w:jc w:val="both"/>
        <w:rPr>
          <w:rFonts w:ascii="Arial" w:hAnsi="Arial" w:cs="Arial"/>
          <w:color w:val="000000"/>
          <w:sz w:val="20"/>
          <w:szCs w:val="20"/>
        </w:rPr>
      </w:pPr>
      <w:r w:rsidRPr="0016597A">
        <w:rPr>
          <w:rFonts w:ascii="Arial" w:hAnsi="Arial" w:cs="Arial"/>
          <w:sz w:val="20"/>
          <w:szCs w:val="20"/>
        </w:rPr>
        <w:t>The judge had not failed to moderate need for general deterrence due to applicant’s somnophilic disorder and did not err in requiring a ‘realistic connection’ or ‘causal link’ between the disorder and the offending.</w:t>
      </w:r>
    </w:p>
    <w:p w14:paraId="042F1250" w14:textId="2F292DDB" w:rsidR="0016597A" w:rsidRPr="0016597A" w:rsidRDefault="009048B5" w:rsidP="0016597A">
      <w:pPr>
        <w:numPr>
          <w:ilvl w:val="0"/>
          <w:numId w:val="130"/>
        </w:numPr>
        <w:ind w:left="357" w:hanging="357"/>
        <w:jc w:val="both"/>
        <w:rPr>
          <w:rFonts w:ascii="Arial" w:hAnsi="Arial" w:cs="Arial"/>
          <w:color w:val="000000"/>
          <w:sz w:val="20"/>
          <w:szCs w:val="20"/>
        </w:rPr>
      </w:pPr>
      <w:r>
        <w:rPr>
          <w:rFonts w:ascii="Arial" w:hAnsi="Arial" w:cs="Arial"/>
          <w:bCs/>
          <w:color w:val="000000"/>
          <w:sz w:val="20"/>
          <w:lang w:val="en-US"/>
        </w:rPr>
        <w:t xml:space="preserve">The </w:t>
      </w:r>
      <w:r>
        <w:rPr>
          <w:rFonts w:ascii="Arial" w:hAnsi="Arial" w:cs="Arial"/>
          <w:bCs/>
          <w:color w:val="000000"/>
          <w:sz w:val="20"/>
        </w:rPr>
        <w:t>j</w:t>
      </w:r>
      <w:r w:rsidRPr="004D1A9B">
        <w:rPr>
          <w:rFonts w:ascii="Arial" w:hAnsi="Arial" w:cs="Arial"/>
          <w:bCs/>
          <w:color w:val="000000"/>
          <w:sz w:val="20"/>
        </w:rPr>
        <w:t xml:space="preserve">udge </w:t>
      </w:r>
      <w:r>
        <w:rPr>
          <w:rFonts w:ascii="Arial" w:hAnsi="Arial" w:cs="Arial"/>
          <w:bCs/>
          <w:color w:val="000000"/>
          <w:sz w:val="20"/>
        </w:rPr>
        <w:t xml:space="preserve">was </w:t>
      </w:r>
      <w:r w:rsidRPr="004D1A9B">
        <w:rPr>
          <w:rFonts w:ascii="Arial" w:hAnsi="Arial" w:cs="Arial"/>
          <w:bCs/>
          <w:color w:val="000000"/>
          <w:sz w:val="20"/>
        </w:rPr>
        <w:t>correct to conclude that no moderation of general deterrence was appropriate</w:t>
      </w:r>
      <w:r>
        <w:rPr>
          <w:rFonts w:ascii="Arial" w:hAnsi="Arial" w:cs="Arial"/>
          <w:bCs/>
          <w:color w:val="000000"/>
          <w:sz w:val="20"/>
        </w:rPr>
        <w:t>.</w:t>
      </w:r>
    </w:p>
    <w:p w14:paraId="23860947" w14:textId="3E781EB5" w:rsidR="0016597A" w:rsidRPr="0016597A" w:rsidRDefault="009048B5" w:rsidP="0016597A">
      <w:pPr>
        <w:numPr>
          <w:ilvl w:val="0"/>
          <w:numId w:val="130"/>
        </w:numPr>
        <w:ind w:left="357" w:hanging="357"/>
        <w:jc w:val="both"/>
        <w:rPr>
          <w:rFonts w:ascii="Arial" w:hAnsi="Arial" w:cs="Arial"/>
          <w:color w:val="000000"/>
          <w:sz w:val="20"/>
          <w:szCs w:val="20"/>
        </w:rPr>
      </w:pPr>
      <w:r>
        <w:rPr>
          <w:rFonts w:ascii="Arial" w:hAnsi="Arial" w:cs="Arial"/>
          <w:bCs/>
          <w:color w:val="000000"/>
          <w:sz w:val="20"/>
        </w:rPr>
        <w:t>Given the nature and extent of the offending and the importance of general deterrence, denunciation and community protection</w:t>
      </w:r>
      <w:r w:rsidR="003706EC">
        <w:rPr>
          <w:rFonts w:ascii="Arial" w:hAnsi="Arial" w:cs="Arial"/>
          <w:bCs/>
          <w:color w:val="000000"/>
          <w:sz w:val="20"/>
        </w:rPr>
        <w:t>,</w:t>
      </w:r>
      <w:r>
        <w:rPr>
          <w:rFonts w:ascii="Arial" w:hAnsi="Arial" w:cs="Arial"/>
          <w:bCs/>
          <w:color w:val="000000"/>
          <w:sz w:val="20"/>
        </w:rPr>
        <w:t xml:space="preserve"> the TES and NPP were not manifestly excessive.</w:t>
      </w:r>
    </w:p>
    <w:p w14:paraId="29BE254C" w14:textId="77777777" w:rsidR="009048B5" w:rsidRDefault="009048B5" w:rsidP="009048B5">
      <w:pPr>
        <w:spacing w:before="20" w:after="20"/>
        <w:jc w:val="both"/>
        <w:rPr>
          <w:rFonts w:ascii="Arial" w:hAnsi="Arial" w:cs="Arial"/>
          <w:bCs/>
          <w:color w:val="000000"/>
          <w:sz w:val="20"/>
          <w:szCs w:val="20"/>
        </w:rPr>
      </w:pPr>
    </w:p>
    <w:p w14:paraId="3C0FCEBB" w14:textId="2DD67C35" w:rsidR="004B13DC" w:rsidRDefault="004B13DC" w:rsidP="004B13DC">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Pr="004B13DC">
        <w:rPr>
          <w:rFonts w:ascii="Arial" w:hAnsi="Arial" w:cs="Arial"/>
          <w:bCs/>
          <w:i/>
          <w:iCs/>
          <w:color w:val="000000"/>
          <w:sz w:val="20"/>
          <w:szCs w:val="20"/>
        </w:rPr>
        <w:t>Gao v The King</w:t>
      </w:r>
      <w:r>
        <w:rPr>
          <w:rFonts w:ascii="Arial" w:hAnsi="Arial" w:cs="Arial"/>
          <w:bCs/>
          <w:color w:val="000000"/>
          <w:sz w:val="20"/>
          <w:szCs w:val="20"/>
        </w:rPr>
        <w:t xml:space="preserve"> [2025] VSCA 88 the applicant, a </w:t>
      </w:r>
      <w:r w:rsidR="00397EEE">
        <w:rPr>
          <w:rFonts w:ascii="Arial" w:hAnsi="Arial" w:cs="Arial"/>
          <w:bCs/>
          <w:color w:val="000000"/>
          <w:sz w:val="20"/>
          <w:szCs w:val="20"/>
        </w:rPr>
        <w:t xml:space="preserve">47 </w:t>
      </w:r>
      <w:r>
        <w:rPr>
          <w:rFonts w:ascii="Arial" w:hAnsi="Arial" w:cs="Arial"/>
          <w:bCs/>
          <w:color w:val="000000"/>
          <w:sz w:val="20"/>
          <w:szCs w:val="20"/>
        </w:rPr>
        <w:t xml:space="preserve">year old Chinese national, had pleaded guilty to rape, aggravated burglary and make threat to kill. The rolled-up rape charge encompassed three penetrations. The offending occurred in the context of an </w:t>
      </w:r>
      <w:r w:rsidRPr="004B13DC">
        <w:rPr>
          <w:rFonts w:ascii="Arial" w:hAnsi="Arial" w:cs="Arial"/>
          <w:bCs/>
          <w:color w:val="000000"/>
          <w:sz w:val="20"/>
          <w:szCs w:val="20"/>
        </w:rPr>
        <w:t xml:space="preserve">extended campaign of coercive behaviour by applicant towards </w:t>
      </w:r>
      <w:r w:rsidR="00397EEE">
        <w:rPr>
          <w:rFonts w:ascii="Arial" w:hAnsi="Arial" w:cs="Arial"/>
          <w:bCs/>
          <w:color w:val="000000"/>
          <w:sz w:val="20"/>
          <w:szCs w:val="20"/>
        </w:rPr>
        <w:t xml:space="preserve">the </w:t>
      </w:r>
      <w:r w:rsidRPr="004B13DC">
        <w:rPr>
          <w:rFonts w:ascii="Arial" w:hAnsi="Arial" w:cs="Arial"/>
          <w:bCs/>
          <w:color w:val="000000"/>
          <w:sz w:val="20"/>
          <w:szCs w:val="20"/>
        </w:rPr>
        <w:t xml:space="preserve">victim </w:t>
      </w:r>
      <w:r w:rsidR="00397EEE">
        <w:rPr>
          <w:rFonts w:ascii="Arial" w:hAnsi="Arial" w:cs="Arial"/>
          <w:bCs/>
          <w:color w:val="000000"/>
          <w:sz w:val="20"/>
          <w:szCs w:val="20"/>
        </w:rPr>
        <w:t xml:space="preserve">– his landlady with whom he had an occasional sexual relationship – </w:t>
      </w:r>
      <w:r w:rsidRPr="004B13DC">
        <w:rPr>
          <w:rFonts w:ascii="Arial" w:hAnsi="Arial" w:cs="Arial"/>
          <w:bCs/>
          <w:color w:val="000000"/>
          <w:sz w:val="20"/>
          <w:szCs w:val="20"/>
        </w:rPr>
        <w:t>for</w:t>
      </w:r>
      <w:r w:rsidR="00397EEE">
        <w:rPr>
          <w:rFonts w:ascii="Arial" w:hAnsi="Arial" w:cs="Arial"/>
          <w:bCs/>
          <w:color w:val="000000"/>
          <w:sz w:val="20"/>
          <w:szCs w:val="20"/>
        </w:rPr>
        <w:t xml:space="preserve"> the </w:t>
      </w:r>
      <w:r w:rsidRPr="004B13DC">
        <w:rPr>
          <w:rFonts w:ascii="Arial" w:hAnsi="Arial" w:cs="Arial"/>
          <w:bCs/>
          <w:color w:val="000000"/>
          <w:sz w:val="20"/>
          <w:szCs w:val="20"/>
        </w:rPr>
        <w:t>purposes of having her withdraw a family violence complaint and assist him with application for permanent residency</w:t>
      </w:r>
      <w:r>
        <w:rPr>
          <w:rFonts w:ascii="Arial" w:hAnsi="Arial" w:cs="Arial"/>
          <w:bCs/>
          <w:color w:val="000000"/>
          <w:sz w:val="20"/>
          <w:szCs w:val="20"/>
        </w:rPr>
        <w:t>. He was sentenced to TES IMP14y6m/11y made up as follows: Rape IMP12y; Aggravated burglary IMP6y, 18m cumulative; Threat to kill IMP2y, 1y cumulative. In refusing leave to appeal Taylor &amp; T Forrest JJA held that the sentence for rape, the orders for cumulation and the non-parole period were not manifestly excessive.</w:t>
      </w:r>
    </w:p>
    <w:p w14:paraId="1A0DEEE4" w14:textId="77777777" w:rsidR="00397EEE" w:rsidRDefault="00397EEE" w:rsidP="004B13DC">
      <w:pPr>
        <w:spacing w:before="20" w:after="20"/>
        <w:jc w:val="both"/>
        <w:rPr>
          <w:rFonts w:ascii="Arial" w:hAnsi="Arial" w:cs="Arial"/>
          <w:bCs/>
          <w:color w:val="000000"/>
          <w:sz w:val="20"/>
          <w:szCs w:val="20"/>
        </w:rPr>
      </w:pPr>
    </w:p>
    <w:p w14:paraId="3B836835" w14:textId="18B0A2B3"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r w:rsidRPr="00326981">
        <w:rPr>
          <w:rFonts w:ascii="Arial" w:hAnsi="Arial" w:cs="Arial"/>
          <w:i/>
          <w:iCs/>
          <w:sz w:val="20"/>
          <w:szCs w:val="20"/>
        </w:rPr>
        <w:t>Bugmy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r w:rsidR="00554425">
        <w:rPr>
          <w:rFonts w:ascii="Arial" w:hAnsi="Arial" w:cs="Arial"/>
          <w:sz w:val="20"/>
          <w:szCs w:val="20"/>
        </w:rPr>
        <w:t xml:space="preserve"> Compare </w:t>
      </w:r>
      <w:r w:rsidR="00554425" w:rsidRPr="00554425">
        <w:rPr>
          <w:rFonts w:ascii="Arial" w:hAnsi="Arial" w:cs="Arial"/>
          <w:i/>
          <w:iCs/>
          <w:sz w:val="20"/>
          <w:szCs w:val="20"/>
        </w:rPr>
        <w:t>Ji v The King</w:t>
      </w:r>
      <w:r w:rsidR="00554425">
        <w:rPr>
          <w:rFonts w:ascii="Arial" w:hAnsi="Arial" w:cs="Arial"/>
          <w:sz w:val="20"/>
          <w:szCs w:val="20"/>
        </w:rPr>
        <w:t xml:space="preserve"> [2025] VSCA </w:t>
      </w:r>
      <w:r w:rsidR="009A5119">
        <w:rPr>
          <w:rFonts w:ascii="Arial" w:hAnsi="Arial" w:cs="Arial"/>
          <w:sz w:val="20"/>
          <w:szCs w:val="20"/>
        </w:rPr>
        <w:t>113</w:t>
      </w:r>
      <w:r w:rsidR="00554425">
        <w:rPr>
          <w:rFonts w:ascii="Arial" w:hAnsi="Arial" w:cs="Arial"/>
          <w:sz w:val="20"/>
          <w:szCs w:val="20"/>
        </w:rPr>
        <w:t>, esp</w:t>
      </w:r>
      <w:r w:rsidR="009A5119">
        <w:rPr>
          <w:rFonts w:ascii="Arial" w:hAnsi="Arial" w:cs="Arial"/>
          <w:sz w:val="20"/>
          <w:szCs w:val="20"/>
        </w:rPr>
        <w:t>.</w:t>
      </w:r>
      <w:r w:rsidR="00554425">
        <w:rPr>
          <w:rFonts w:ascii="Arial" w:hAnsi="Arial" w:cs="Arial"/>
          <w:sz w:val="20"/>
          <w:szCs w:val="20"/>
        </w:rPr>
        <w:t xml:space="preserve"> at [4] &amp; [44]-[54].</w:t>
      </w:r>
    </w:p>
    <w:p w14:paraId="5F304051" w14:textId="77777777" w:rsidR="00326981" w:rsidRDefault="00326981" w:rsidP="00D97844">
      <w:pPr>
        <w:spacing w:before="20" w:after="20"/>
        <w:jc w:val="both"/>
        <w:rPr>
          <w:rFonts w:ascii="Arial" w:hAnsi="Arial" w:cs="Arial"/>
          <w:bCs/>
          <w:color w:val="000000"/>
          <w:sz w:val="20"/>
          <w:szCs w:val="20"/>
        </w:rPr>
      </w:pPr>
    </w:p>
    <w:p w14:paraId="741BF5A0" w14:textId="0747B7E6" w:rsidR="00A0117D" w:rsidRDefault="0033619A" w:rsidP="00B10B1F">
      <w:pPr>
        <w:spacing w:before="20"/>
        <w:jc w:val="both"/>
        <w:rPr>
          <w:rFonts w:ascii="Arial" w:hAnsi="Arial" w:cs="Arial"/>
          <w:color w:val="000000"/>
          <w:sz w:val="20"/>
          <w:szCs w:val="20"/>
        </w:rPr>
      </w:pPr>
      <w:r w:rsidRPr="00223F8B">
        <w:rPr>
          <w:rFonts w:ascii="Arial" w:hAnsi="Arial" w:cs="Arial"/>
          <w:bCs/>
          <w:color w:val="000000"/>
          <w:sz w:val="20"/>
          <w:szCs w:val="20"/>
        </w:rPr>
        <w:lastRenderedPageBreak/>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DPP v Merryful;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DPP v Ierardo</w:t>
      </w:r>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43918">
        <w:rPr>
          <w:rFonts w:ascii="Arial" w:hAnsi="Arial" w:cs="Arial"/>
          <w:sz w:val="20"/>
          <w:szCs w:val="20"/>
        </w:rPr>
        <w:t xml:space="preserve">; </w:t>
      </w:r>
      <w:r w:rsidR="00343918" w:rsidRPr="00343918">
        <w:rPr>
          <w:rFonts w:ascii="Arial" w:hAnsi="Arial" w:cs="Arial"/>
          <w:i/>
          <w:iCs/>
          <w:sz w:val="20"/>
          <w:szCs w:val="20"/>
        </w:rPr>
        <w:t>Vassallo v The King</w:t>
      </w:r>
      <w:r w:rsidR="00343918">
        <w:rPr>
          <w:rFonts w:ascii="Arial" w:hAnsi="Arial" w:cs="Arial"/>
          <w:sz w:val="20"/>
          <w:szCs w:val="20"/>
        </w:rPr>
        <w:t xml:space="preserve"> [2025] VSCA 7</w:t>
      </w:r>
      <w:r w:rsidR="002F45B3">
        <w:rPr>
          <w:rFonts w:ascii="Arial" w:hAnsi="Arial" w:cs="Arial"/>
          <w:sz w:val="20"/>
          <w:szCs w:val="20"/>
        </w:rPr>
        <w:t xml:space="preserve">; </w:t>
      </w:r>
      <w:r w:rsidR="002F45B3" w:rsidRPr="002F45B3">
        <w:rPr>
          <w:rFonts w:ascii="Arial" w:hAnsi="Arial" w:cs="Arial"/>
          <w:i/>
          <w:iCs/>
          <w:sz w:val="20"/>
          <w:szCs w:val="20"/>
        </w:rPr>
        <w:t>Ortisi v The King</w:t>
      </w:r>
      <w:r w:rsidR="002F45B3">
        <w:rPr>
          <w:rFonts w:ascii="Arial" w:hAnsi="Arial" w:cs="Arial"/>
          <w:sz w:val="20"/>
          <w:szCs w:val="20"/>
        </w:rPr>
        <w:t xml:space="preserve"> [2025] VSCA 42</w:t>
      </w:r>
      <w:r w:rsidR="001072E0">
        <w:rPr>
          <w:rFonts w:ascii="Arial" w:hAnsi="Arial" w:cs="Arial"/>
          <w:sz w:val="20"/>
          <w:szCs w:val="20"/>
        </w:rPr>
        <w:t xml:space="preserve">; </w:t>
      </w:r>
      <w:r w:rsidR="001072E0" w:rsidRPr="001072E0">
        <w:rPr>
          <w:rFonts w:ascii="Arial" w:hAnsi="Arial" w:cs="Arial"/>
          <w:i/>
          <w:iCs/>
          <w:sz w:val="20"/>
          <w:szCs w:val="20"/>
        </w:rPr>
        <w:t xml:space="preserve">Barton (a pseudonym) v The King </w:t>
      </w:r>
      <w:r w:rsidR="001072E0">
        <w:rPr>
          <w:rFonts w:ascii="Arial" w:hAnsi="Arial" w:cs="Arial"/>
          <w:sz w:val="20"/>
          <w:szCs w:val="20"/>
        </w:rPr>
        <w:t>[2025] VSCA 74</w:t>
      </w:r>
      <w:r w:rsidR="00B10B1F">
        <w:rPr>
          <w:rFonts w:ascii="Arial" w:hAnsi="Arial" w:cs="Arial"/>
          <w:sz w:val="20"/>
          <w:szCs w:val="20"/>
        </w:rPr>
        <w:t xml:space="preserve">; </w:t>
      </w:r>
      <w:r w:rsidR="00B10B1F" w:rsidRPr="00B10B1F">
        <w:rPr>
          <w:rFonts w:ascii="Arial" w:hAnsi="Arial" w:cs="Arial"/>
          <w:i/>
          <w:iCs/>
          <w:sz w:val="20"/>
          <w:szCs w:val="20"/>
        </w:rPr>
        <w:t>Malbeal v The King</w:t>
      </w:r>
      <w:r w:rsidR="00B10B1F">
        <w:rPr>
          <w:rFonts w:ascii="Arial" w:hAnsi="Arial" w:cs="Arial"/>
          <w:sz w:val="20"/>
          <w:szCs w:val="20"/>
        </w:rPr>
        <w:t xml:space="preserve"> [2025] VSCA 71</w:t>
      </w:r>
      <w:r w:rsidR="00326981" w:rsidRPr="00C927DF">
        <w:rPr>
          <w:rFonts w:ascii="Arial" w:hAnsi="Arial" w:cs="Arial"/>
          <w:color w:val="000000"/>
          <w:sz w:val="20"/>
          <w:szCs w:val="20"/>
        </w:rPr>
        <w:t>.</w:t>
      </w:r>
    </w:p>
    <w:p w14:paraId="07D5A9F5" w14:textId="77777777" w:rsidR="004B13DC" w:rsidRPr="00DC4119" w:rsidRDefault="004B13DC" w:rsidP="004B13DC">
      <w:pPr>
        <w:jc w:val="both"/>
        <w:rPr>
          <w:rFonts w:ascii="Arial" w:hAnsi="Arial" w:cs="Arial"/>
          <w:color w:val="000000"/>
          <w:sz w:val="20"/>
        </w:rPr>
      </w:pPr>
      <w:bookmarkStart w:id="721" w:name="_11.2.28.2__"/>
      <w:bookmarkEnd w:id="721"/>
    </w:p>
    <w:p w14:paraId="2AE5D7B9" w14:textId="77777777" w:rsidR="004B13DC" w:rsidRPr="001E6BE9" w:rsidRDefault="004B13DC" w:rsidP="004B13D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4E91A521" w14:textId="77777777" w:rsidR="004B13DC" w:rsidRPr="00102D2A" w:rsidRDefault="004B13DC" w:rsidP="004B13DC">
      <w:pPr>
        <w:rPr>
          <w:rFonts w:ascii="Arial" w:hAnsi="Arial" w:cs="Arial"/>
          <w:color w:val="000000"/>
          <w:sz w:val="20"/>
        </w:rPr>
      </w:pPr>
    </w:p>
    <w:p w14:paraId="187A71B9" w14:textId="77777777" w:rsidR="004B13DC" w:rsidRDefault="004B13DC">
      <w:pPr>
        <w:rPr>
          <w:rFonts w:ascii="Arial" w:hAnsi="Arial" w:cs="Arial"/>
          <w:b/>
          <w:bCs/>
          <w:color w:val="000000"/>
          <w:kern w:val="28"/>
          <w:sz w:val="20"/>
          <w:szCs w:val="20"/>
          <w:lang w:val="en-GB"/>
        </w:rPr>
      </w:pPr>
      <w:r>
        <w:rPr>
          <w:rFonts w:ascii="Arial" w:hAnsi="Arial" w:cs="Arial"/>
          <w:b/>
          <w:bCs/>
          <w:color w:val="000000"/>
          <w:sz w:val="20"/>
        </w:rPr>
        <w:br w:type="page"/>
      </w:r>
    </w:p>
    <w:p w14:paraId="0BA12C7A" w14:textId="18308567" w:rsidR="00A57DB9" w:rsidRPr="00A57557" w:rsidRDefault="00A57DB9" w:rsidP="00A57557">
      <w:pPr>
        <w:pStyle w:val="Heading3"/>
        <w:spacing w:after="120" w:line="240" w:lineRule="auto"/>
        <w:rPr>
          <w:rFonts w:ascii="Arial" w:hAnsi="Arial" w:cs="Arial"/>
          <w:b/>
          <w:bCs/>
          <w:sz w:val="20"/>
        </w:rPr>
      </w:pPr>
      <w:r w:rsidRPr="00A57557">
        <w:rPr>
          <w:rFonts w:ascii="Arial" w:hAnsi="Arial" w:cs="Arial"/>
          <w:b/>
          <w:bCs/>
          <w:sz w:val="20"/>
        </w:rPr>
        <w:lastRenderedPageBreak/>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3DD9764C" w14:textId="1C533148" w:rsidR="00170185" w:rsidRDefault="00170185" w:rsidP="0016597A">
      <w:pPr>
        <w:pStyle w:val="Style1"/>
      </w:pPr>
      <w:r w:rsidRPr="00170185">
        <w:t xml:space="preserve">In </w:t>
      </w:r>
      <w:r w:rsidRPr="00170185">
        <w:rPr>
          <w:i/>
          <w:iCs/>
        </w:rPr>
        <w:t>Andrews v The King</w:t>
      </w:r>
      <w:r w:rsidRPr="00170185">
        <w:t xml:space="preserve"> [2025] VSCA 26 the </w:t>
      </w:r>
      <w:r>
        <w:t xml:space="preserve">43 year old applicant had pleaded guilty to assault with intent to commit a criminal offence, threat to inflict serious injury, sexual assault and threat to commit a sexual offence and had been sentenced to TES IP7y/5y. </w:t>
      </w:r>
      <w:r w:rsidR="0013582B">
        <w:t xml:space="preserve">The victim, who was unknown to the applicant, was vulnerable and was walking </w:t>
      </w:r>
      <w:r w:rsidR="0013582B" w:rsidRPr="0013582B">
        <w:rPr>
          <w:lang w:val="en-AU"/>
        </w:rPr>
        <w:t>alone in the early hours of the morning with few people in the vicinity</w:t>
      </w:r>
      <w:r w:rsidR="0013582B">
        <w:rPr>
          <w:lang w:val="en-AU"/>
        </w:rPr>
        <w:t xml:space="preserve">. </w:t>
      </w:r>
      <w:r>
        <w:t>In refusing leave to appeal against this sentence Kaye &amp; T Forrest JJA said at [58] &amp; [64]:</w:t>
      </w:r>
    </w:p>
    <w:p w14:paraId="5B2C1560" w14:textId="4C47FA19" w:rsidR="00170185" w:rsidRDefault="00170185" w:rsidP="00170185">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[58] “</w:t>
      </w:r>
      <w:r w:rsidRPr="00170185">
        <w:rPr>
          <w:rFonts w:ascii="Arial" w:hAnsi="Arial" w:cs="Arial"/>
          <w:bCs/>
          <w:color w:val="000000"/>
          <w:sz w:val="20"/>
        </w:rPr>
        <w:t>This was dreadful offending that demanded condign punishment. There was a level of premeditation by the applicant; his offending was not spontaneous. It involved an outrageous and vicious attack upon a vulnerable, isolated young woman. True it is that there were some mitigating factors, all ably recognised by counsel and all considered by the sentencing judge. That said, the applicant had no remorse, nor any relevant psychiatric or psychological impairment that might mitigate his subjective culpability for the offending.</w:t>
      </w:r>
    </w:p>
    <w:p w14:paraId="74B75316" w14:textId="14DA3851" w:rsidR="00170185" w:rsidRPr="00170185" w:rsidRDefault="00170185" w:rsidP="00170185">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 xml:space="preserve">[64] </w:t>
      </w:r>
      <w:r w:rsidRPr="00170185">
        <w:rPr>
          <w:rFonts w:ascii="Arial" w:hAnsi="Arial" w:cs="Arial"/>
          <w:bCs/>
          <w:color w:val="000000"/>
          <w:sz w:val="20"/>
        </w:rPr>
        <w:t>Every member of our community has an unconditional right to free and safe passage in public spaces. They are entitled to travel confidently and fearlessly in any circumstance at any time. It is a matter of singular regret that this right has become no more than an aspiration. It is the court’s duty to punish severely those who encroach upon that unconditional right. We have a duty to protect insofar as we can, the members of our community (principally female) from predatory sexual attacks of the kind that was perpetrated in this case.</w:t>
      </w:r>
      <w:r>
        <w:rPr>
          <w:rFonts w:ascii="Arial" w:hAnsi="Arial" w:cs="Arial"/>
          <w:bCs/>
          <w:color w:val="000000"/>
          <w:sz w:val="20"/>
        </w:rPr>
        <w:t>”</w:t>
      </w:r>
    </w:p>
    <w:p w14:paraId="2F381A95" w14:textId="77777777" w:rsidR="00170185" w:rsidRPr="002002C3" w:rsidRDefault="00170185"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22" w:name="_11.2.29_Sentencing_for"/>
      <w:bookmarkEnd w:id="722"/>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w:t>
      </w:r>
      <w:r w:rsidRPr="001C6E0E">
        <w:rPr>
          <w:rFonts w:ascii="Arial" w:hAnsi="Arial" w:cs="Arial"/>
          <w:color w:val="000000"/>
          <w:sz w:val="20"/>
        </w:rPr>
        <w:lastRenderedPageBreak/>
        <w:t>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23" w:name="_11.2.30_Sentencing_for"/>
      <w:bookmarkEnd w:id="723"/>
    </w:p>
    <w:p w14:paraId="72137CD4" w14:textId="3D47DB85" w:rsidR="00103F02" w:rsidRPr="00A57557" w:rsidRDefault="00103F02" w:rsidP="00A57557">
      <w:pPr>
        <w:pStyle w:val="Heading3"/>
        <w:spacing w:line="240" w:lineRule="auto"/>
        <w:rPr>
          <w:rFonts w:ascii="Arial" w:hAnsi="Arial" w:cs="Arial"/>
          <w:b/>
          <w:bCs/>
          <w:sz w:val="20"/>
          <w:lang w:val="en-US"/>
        </w:rPr>
      </w:pPr>
      <w:r w:rsidRPr="00A57557">
        <w:rPr>
          <w:rFonts w:ascii="Arial" w:hAnsi="Arial" w:cs="Arial"/>
          <w:b/>
          <w:bCs/>
          <w:sz w:val="20"/>
        </w:rPr>
        <w:t>11.2.30</w:t>
      </w:r>
      <w:r w:rsidRPr="00A57557">
        <w:rPr>
          <w:rFonts w:ascii="Arial" w:hAnsi="Arial" w:cs="Arial"/>
          <w:b/>
          <w:bCs/>
          <w:sz w:val="20"/>
        </w:rPr>
        <w:tab/>
        <w:t>Sentencing for attempting to pervert the course of justice</w:t>
      </w:r>
      <w:r w:rsidR="000720E6" w:rsidRPr="00A57557">
        <w:rPr>
          <w:rFonts w:ascii="Arial" w:hAnsi="Arial" w:cs="Arial"/>
          <w:b/>
          <w:bCs/>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Pr="00A57557" w:rsidRDefault="00AA7A59" w:rsidP="00A57557">
      <w:pPr>
        <w:pStyle w:val="Heading3"/>
        <w:spacing w:line="240" w:lineRule="auto"/>
        <w:rPr>
          <w:rFonts w:ascii="Arial" w:hAnsi="Arial" w:cs="Arial"/>
          <w:b/>
          <w:bCs/>
          <w:color w:val="000000"/>
          <w:sz w:val="20"/>
          <w:lang w:val="en-US"/>
        </w:rPr>
      </w:pPr>
      <w:r w:rsidRPr="00A57557">
        <w:rPr>
          <w:rFonts w:ascii="Arial" w:hAnsi="Arial" w:cs="Arial"/>
          <w:b/>
          <w:bCs/>
          <w:color w:val="FFFFFF"/>
          <w:sz w:val="20"/>
          <w:shd w:val="clear" w:color="auto" w:fill="000000"/>
        </w:rPr>
        <w:t>A</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ATTEMPTING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lastRenderedPageBreak/>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4DFC4CE2" w14:textId="0D770772" w:rsidR="00CF73D7" w:rsidRDefault="00AE114A" w:rsidP="00AC0011">
      <w:pPr>
        <w:jc w:val="both"/>
        <w:rPr>
          <w:rFonts w:ascii="Arial" w:hAnsi="Arial" w:cs="Arial"/>
          <w:color w:val="000000"/>
          <w:sz w:val="20"/>
        </w:rPr>
      </w:pPr>
      <w:r>
        <w:rPr>
          <w:rFonts w:ascii="Arial" w:hAnsi="Arial" w:cs="Arial"/>
          <w:color w:val="000000"/>
          <w:sz w:val="20"/>
        </w:rPr>
        <w:t xml:space="preserve">In </w:t>
      </w:r>
      <w:r w:rsidRPr="00AE114A">
        <w:rPr>
          <w:rFonts w:ascii="Arial" w:hAnsi="Arial" w:cs="Arial"/>
          <w:i/>
          <w:iCs/>
          <w:color w:val="000000"/>
          <w:sz w:val="20"/>
        </w:rPr>
        <w:t>Qayyum v The King</w:t>
      </w:r>
      <w:r>
        <w:rPr>
          <w:rFonts w:ascii="Arial" w:hAnsi="Arial" w:cs="Arial"/>
          <w:color w:val="000000"/>
          <w:sz w:val="20"/>
        </w:rPr>
        <w:t xml:space="preserve"> [2025] VSCA 14 the appellant who had been </w:t>
      </w:r>
      <w:r w:rsidRPr="00AE114A">
        <w:rPr>
          <w:rFonts w:ascii="Arial" w:hAnsi="Arial" w:cs="Arial"/>
          <w:color w:val="000000"/>
          <w:sz w:val="20"/>
        </w:rPr>
        <w:t xml:space="preserve">charged with family violence offences </w:t>
      </w:r>
      <w:r>
        <w:rPr>
          <w:rFonts w:ascii="Arial" w:hAnsi="Arial" w:cs="Arial"/>
          <w:color w:val="000000"/>
          <w:sz w:val="20"/>
        </w:rPr>
        <w:t xml:space="preserve">had </w:t>
      </w:r>
      <w:r w:rsidRPr="00AE114A">
        <w:rPr>
          <w:rFonts w:ascii="Arial" w:hAnsi="Arial" w:cs="Arial"/>
          <w:color w:val="000000"/>
          <w:sz w:val="20"/>
        </w:rPr>
        <w:t>made telephone calls from prison instructing his brother to pressure his wife’s friend into making a statement in his favour and omitting any reference to him having arguments with his wife or beating her</w:t>
      </w:r>
      <w:r>
        <w:rPr>
          <w:rFonts w:ascii="Arial" w:hAnsi="Arial" w:cs="Arial"/>
          <w:color w:val="000000"/>
          <w:sz w:val="20"/>
        </w:rPr>
        <w:t>. The Court of Appeal dismissed his appeal against a sentence of IMP2y/1y on a charge of attempting to pervert the course of justice.  At [96] Emerton P &amp; J Forrest JA said</w:t>
      </w:r>
      <w:r w:rsidR="00CF73D7">
        <w:rPr>
          <w:rFonts w:ascii="Arial" w:hAnsi="Arial" w:cs="Arial"/>
          <w:color w:val="000000"/>
          <w:sz w:val="20"/>
        </w:rPr>
        <w:t>:</w:t>
      </w:r>
    </w:p>
    <w:p w14:paraId="79626140" w14:textId="5F724071" w:rsidR="00CF73D7" w:rsidRDefault="00CF73D7" w:rsidP="00CF73D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F73D7">
        <w:rPr>
          <w:rFonts w:ascii="Arial" w:hAnsi="Arial" w:cs="Arial"/>
          <w:color w:val="000000"/>
          <w:sz w:val="20"/>
        </w:rPr>
        <w:t>This Court has on a number of occasions stated, as a matter of principle, that an attempt to pervert the course of justice in a family violence context ‘is always a grave matter’</w:t>
      </w:r>
      <w:r>
        <w:rPr>
          <w:rFonts w:ascii="Arial" w:hAnsi="Arial" w:cs="Arial"/>
          <w:color w:val="000000"/>
          <w:sz w:val="20"/>
        </w:rPr>
        <w:t xml:space="preserve">: </w:t>
      </w:r>
      <w:r w:rsidRPr="00CF73D7">
        <w:rPr>
          <w:rFonts w:ascii="Arial" w:hAnsi="Arial" w:cs="Arial"/>
          <w:i/>
          <w:iCs/>
          <w:color w:val="000000"/>
          <w:sz w:val="20"/>
        </w:rPr>
        <w:t>Shiryar</w:t>
      </w:r>
      <w:r w:rsidRPr="00CF73D7">
        <w:rPr>
          <w:rFonts w:ascii="Arial" w:hAnsi="Arial" w:cs="Arial"/>
          <w:color w:val="000000"/>
          <w:sz w:val="20"/>
        </w:rPr>
        <w:t xml:space="preserve"> [2022] VSCA 96, [38]</w:t>
      </w:r>
      <w:r>
        <w:rPr>
          <w:rFonts w:ascii="Arial" w:hAnsi="Arial" w:cs="Arial"/>
          <w:color w:val="000000"/>
          <w:sz w:val="20"/>
        </w:rPr>
        <w:t>; s</w:t>
      </w:r>
      <w:r w:rsidRPr="00CF73D7">
        <w:rPr>
          <w:rFonts w:ascii="Arial" w:hAnsi="Arial" w:cs="Arial"/>
          <w:color w:val="000000"/>
          <w:sz w:val="20"/>
        </w:rPr>
        <w:t xml:space="preserve">ee also </w:t>
      </w:r>
      <w:r w:rsidRPr="00CF73D7">
        <w:rPr>
          <w:rFonts w:ascii="Arial" w:hAnsi="Arial" w:cs="Arial"/>
          <w:i/>
          <w:iCs/>
          <w:color w:val="000000"/>
          <w:sz w:val="20"/>
        </w:rPr>
        <w:t>Carter v The Queen</w:t>
      </w:r>
      <w:r w:rsidRPr="00CF73D7">
        <w:rPr>
          <w:rFonts w:ascii="Arial" w:hAnsi="Arial" w:cs="Arial"/>
          <w:color w:val="000000"/>
          <w:sz w:val="20"/>
        </w:rPr>
        <w:t xml:space="preserve"> [2020] VSCA 156, [70]. In</w:t>
      </w:r>
      <w:r>
        <w:rPr>
          <w:rFonts w:ascii="Arial" w:hAnsi="Arial" w:cs="Arial"/>
          <w:color w:val="000000"/>
          <w:sz w:val="20"/>
        </w:rPr>
        <w:t> </w:t>
      </w:r>
      <w:r w:rsidRPr="00CF73D7">
        <w:rPr>
          <w:rFonts w:ascii="Arial" w:hAnsi="Arial" w:cs="Arial"/>
          <w:i/>
          <w:iCs/>
          <w:color w:val="000000"/>
          <w:sz w:val="20"/>
        </w:rPr>
        <w:t>Baker (a pseudonym) v The Queen</w:t>
      </w:r>
      <w:r>
        <w:rPr>
          <w:rFonts w:ascii="Arial" w:hAnsi="Arial" w:cs="Arial"/>
          <w:color w:val="000000"/>
          <w:sz w:val="20"/>
        </w:rPr>
        <w:t xml:space="preserve"> [2021] VSCA 158, [37] </w:t>
      </w:r>
      <w:r w:rsidRPr="00CF73D7">
        <w:rPr>
          <w:rFonts w:ascii="Arial" w:hAnsi="Arial" w:cs="Arial"/>
          <w:color w:val="000000"/>
          <w:sz w:val="20"/>
        </w:rPr>
        <w:t>this Court said as follows:</w:t>
      </w:r>
    </w:p>
    <w:p w14:paraId="29FB61AC" w14:textId="41DEA412" w:rsidR="00CF73D7" w:rsidRPr="00CF73D7" w:rsidRDefault="00CF73D7" w:rsidP="00CF73D7">
      <w:pPr>
        <w:pStyle w:val="Normal-Indent"/>
        <w:widowControl/>
        <w:spacing w:before="60" w:line="240" w:lineRule="auto"/>
        <w:ind w:left="1021" w:right="1021"/>
        <w:rPr>
          <w:rFonts w:ascii="Arial" w:hAnsi="Arial" w:cs="Arial"/>
          <w:color w:val="000000"/>
          <w:sz w:val="18"/>
          <w:szCs w:val="18"/>
        </w:rPr>
      </w:pPr>
      <w:r w:rsidRPr="00CF73D7">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r w:rsidR="00AE114A">
        <w:rPr>
          <w:rFonts w:ascii="Arial" w:hAnsi="Arial" w:cs="Arial"/>
          <w:color w:val="000000"/>
          <w:sz w:val="18"/>
          <w:szCs w:val="18"/>
        </w:rPr>
        <w:t>”</w:t>
      </w:r>
    </w:p>
    <w:p w14:paraId="759AD5D7" w14:textId="77777777" w:rsidR="0046798F" w:rsidRDefault="0046798F" w:rsidP="00AC0011">
      <w:pPr>
        <w:jc w:val="both"/>
        <w:rPr>
          <w:rFonts w:ascii="Arial" w:hAnsi="Arial" w:cs="Arial"/>
          <w:color w:val="000000"/>
          <w:sz w:val="20"/>
        </w:rPr>
      </w:pPr>
    </w:p>
    <w:p w14:paraId="253BBD1F" w14:textId="521BF5BB" w:rsidR="00CE1317" w:rsidRDefault="00CE1317" w:rsidP="00AC0011">
      <w:pPr>
        <w:jc w:val="both"/>
        <w:rPr>
          <w:rFonts w:ascii="Arial" w:hAnsi="Arial" w:cs="Arial"/>
          <w:color w:val="000000"/>
          <w:sz w:val="20"/>
        </w:rPr>
      </w:pPr>
      <w:r>
        <w:rPr>
          <w:rFonts w:ascii="Arial" w:hAnsi="Arial" w:cs="Arial"/>
          <w:color w:val="000000"/>
          <w:sz w:val="20"/>
        </w:rPr>
        <w:t xml:space="preserve">In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(summarised in </w:t>
      </w:r>
      <w:r w:rsidRPr="004835A6">
        <w:rPr>
          <w:rFonts w:ascii="Arial" w:hAnsi="Arial" w:cs="Arial"/>
          <w:b/>
          <w:bCs/>
          <w:sz w:val="20"/>
          <w:shd w:val="clear" w:color="auto" w:fill="C5E0B3" w:themeFill="accent6" w:themeFillTint="66"/>
        </w:rPr>
        <w:t>section 11.2.36</w:t>
      </w:r>
      <w:r>
        <w:rPr>
          <w:rFonts w:ascii="Arial" w:hAnsi="Arial" w:cs="Arial"/>
          <w:sz w:val="20"/>
        </w:rPr>
        <w:t xml:space="preserve">) </w:t>
      </w:r>
      <w:r w:rsidR="00E918A6">
        <w:rPr>
          <w:rFonts w:ascii="Arial" w:hAnsi="Arial" w:cs="Arial"/>
          <w:sz w:val="20"/>
        </w:rPr>
        <w:t>the Court of Appeal</w:t>
      </w:r>
      <w:r>
        <w:rPr>
          <w:rFonts w:ascii="Arial" w:hAnsi="Arial" w:cs="Arial"/>
          <w:sz w:val="20"/>
        </w:rPr>
        <w:t xml:space="preserve"> </w:t>
      </w:r>
      <w:r w:rsidR="00E918A6">
        <w:rPr>
          <w:rFonts w:ascii="Arial" w:hAnsi="Arial" w:cs="Arial"/>
          <w:sz w:val="20"/>
        </w:rPr>
        <w:t xml:space="preserve">discussed at [140]-[148] the </w:t>
      </w:r>
      <w:r w:rsidR="00CD681C">
        <w:rPr>
          <w:rFonts w:ascii="Arial" w:hAnsi="Arial" w:cs="Arial"/>
          <w:sz w:val="20"/>
        </w:rPr>
        <w:t xml:space="preserve">question </w:t>
      </w:r>
      <w:r w:rsidR="00E918A6">
        <w:rPr>
          <w:rFonts w:ascii="Arial" w:hAnsi="Arial" w:cs="Arial"/>
          <w:sz w:val="20"/>
        </w:rPr>
        <w:t>of sentencing for the offence of attempting to pervert the course of justice.</w:t>
      </w:r>
      <w:r w:rsidR="00767CCC">
        <w:rPr>
          <w:rFonts w:ascii="Arial" w:hAnsi="Arial" w:cs="Arial"/>
          <w:sz w:val="20"/>
        </w:rPr>
        <w:t xml:space="preserve"> Their Honours described the sentence of IMP18m imposed on the 33 year old offender as “low” but “not…manifestly inadequate”. </w:t>
      </w:r>
      <w:r w:rsidR="00E918A6">
        <w:rPr>
          <w:rFonts w:ascii="Arial" w:hAnsi="Arial" w:cs="Arial"/>
          <w:sz w:val="20"/>
        </w:rPr>
        <w:t>At</w:t>
      </w:r>
      <w:r w:rsidR="00767CCC">
        <w:rPr>
          <w:rFonts w:ascii="Arial" w:hAnsi="Arial" w:cs="Arial"/>
          <w:sz w:val="20"/>
        </w:rPr>
        <w:t xml:space="preserve"> </w:t>
      </w:r>
      <w:r w:rsidR="00E918A6">
        <w:rPr>
          <w:rFonts w:ascii="Arial" w:hAnsi="Arial" w:cs="Arial"/>
          <w:sz w:val="20"/>
        </w:rPr>
        <w:t xml:space="preserve">[141]-[144] Boyce JA (with whom Priest &amp; Taylor JJA agreed) </w:t>
      </w:r>
      <w:r w:rsidR="00842242">
        <w:rPr>
          <w:rFonts w:ascii="Arial" w:hAnsi="Arial" w:cs="Arial"/>
          <w:sz w:val="20"/>
        </w:rPr>
        <w:t>said:</w:t>
      </w:r>
    </w:p>
    <w:p w14:paraId="157A41CB" w14:textId="511D43BE"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[141] “…</w:t>
      </w:r>
      <w:r w:rsidRPr="00E918A6">
        <w:rPr>
          <w:rFonts w:ascii="Arial" w:hAnsi="Arial" w:cs="Arial"/>
          <w:color w:val="000000"/>
          <w:sz w:val="20"/>
        </w:rPr>
        <w:t xml:space="preserve">Speaking of the offence of attempting to pervert the course of justice, Kyrou JA, in </w:t>
      </w:r>
      <w:r w:rsidRPr="00E918A6">
        <w:rPr>
          <w:rFonts w:ascii="Arial" w:hAnsi="Arial" w:cs="Arial"/>
          <w:i/>
          <w:iCs/>
          <w:color w:val="000000"/>
          <w:sz w:val="20"/>
        </w:rPr>
        <w:t xml:space="preserve">Director of Public Prosecutions v </w:t>
      </w:r>
      <w:proofErr w:type="spellStart"/>
      <w:r w:rsidRPr="00E918A6">
        <w:rPr>
          <w:rFonts w:ascii="Arial" w:hAnsi="Arial" w:cs="Arial"/>
          <w:i/>
          <w:iCs/>
          <w:color w:val="000000"/>
          <w:sz w:val="20"/>
        </w:rPr>
        <w:t>Oksuz</w:t>
      </w:r>
      <w:proofErr w:type="spellEnd"/>
      <w:r w:rsidR="00767CCC">
        <w:rPr>
          <w:rFonts w:ascii="Arial" w:hAnsi="Arial" w:cs="Arial"/>
          <w:i/>
          <w:iCs/>
          <w:color w:val="000000"/>
          <w:sz w:val="20"/>
        </w:rPr>
        <w:t xml:space="preserve"> </w:t>
      </w:r>
      <w:r w:rsidR="00767CCC" w:rsidRPr="00767CCC">
        <w:rPr>
          <w:rFonts w:ascii="Arial" w:hAnsi="Arial" w:cs="Arial"/>
          <w:color w:val="000000"/>
          <w:sz w:val="20"/>
        </w:rPr>
        <w:t>(2015) 47 VR 731; [2015] VSCA 316</w:t>
      </w:r>
      <w:r w:rsidR="00767CCC">
        <w:rPr>
          <w:rFonts w:ascii="Arial" w:hAnsi="Arial" w:cs="Arial"/>
          <w:color w:val="000000"/>
          <w:sz w:val="20"/>
        </w:rPr>
        <w:t xml:space="preserve"> at [95]</w:t>
      </w:r>
      <w:r w:rsidRPr="00767CCC">
        <w:rPr>
          <w:rFonts w:ascii="Arial" w:hAnsi="Arial" w:cs="Arial"/>
          <w:color w:val="000000"/>
          <w:sz w:val="20"/>
        </w:rPr>
        <w:t xml:space="preserve">, </w:t>
      </w:r>
      <w:r w:rsidRPr="00E918A6">
        <w:rPr>
          <w:rFonts w:ascii="Arial" w:hAnsi="Arial" w:cs="Arial"/>
          <w:color w:val="000000"/>
          <w:sz w:val="20"/>
        </w:rPr>
        <w:t>observed that:</w:t>
      </w:r>
    </w:p>
    <w:p w14:paraId="1ED9BDD7" w14:textId="4D72E721" w:rsidR="00E918A6" w:rsidRPr="00E918A6" w:rsidRDefault="00E918A6" w:rsidP="00E918A6">
      <w:pPr>
        <w:pStyle w:val="Normal-Indent"/>
        <w:widowControl/>
        <w:spacing w:before="60" w:line="240" w:lineRule="auto"/>
        <w:ind w:left="1021" w:right="1021"/>
        <w:rPr>
          <w:rFonts w:ascii="Arial" w:hAnsi="Arial" w:cs="Arial"/>
          <w:color w:val="000000"/>
          <w:sz w:val="18"/>
          <w:szCs w:val="18"/>
        </w:rPr>
      </w:pPr>
      <w:r w:rsidRPr="00E918A6">
        <w:rPr>
          <w:rFonts w:ascii="Arial" w:hAnsi="Arial" w:cs="Arial"/>
          <w:color w:val="000000"/>
          <w:sz w:val="18"/>
          <w:szCs w:val="18"/>
        </w:rPr>
        <w:t>The offence is serious because the conduct that constitutes it strikes at the heart of the administration of justice. It does so because it involves an offender seeking to deter witnesses from giving evidence — or giving truthful evidence — in court proceedings. Where the offence is committed in the context of a criminal proceeding, the aim of the offending conduct is to undermine the Crown’s ability to secure a conviction against an accused person and thus bring him or her to justice. The serious harm to public safety and the rule of law resulting from such offending conduct is obvious</w:t>
      </w:r>
      <w:r w:rsidR="00767CCC">
        <w:rPr>
          <w:rFonts w:ascii="Arial" w:hAnsi="Arial" w:cs="Arial"/>
          <w:color w:val="000000"/>
          <w:sz w:val="18"/>
          <w:szCs w:val="18"/>
        </w:rPr>
        <w:t>.</w:t>
      </w:r>
    </w:p>
    <w:p w14:paraId="20277B68" w14:textId="32E0CF3F"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[142] </w:t>
      </w:r>
      <w:r w:rsidRPr="00E918A6">
        <w:rPr>
          <w:rFonts w:ascii="Arial" w:hAnsi="Arial" w:cs="Arial"/>
          <w:color w:val="000000"/>
          <w:sz w:val="20"/>
        </w:rPr>
        <w:t xml:space="preserve">As Kyrou JA made clear in </w:t>
      </w:r>
      <w:proofErr w:type="spellStart"/>
      <w:r w:rsidRPr="00767CCC">
        <w:rPr>
          <w:rFonts w:ascii="Arial" w:hAnsi="Arial" w:cs="Arial"/>
          <w:i/>
          <w:iCs/>
          <w:color w:val="000000"/>
          <w:sz w:val="20"/>
        </w:rPr>
        <w:t>Oksuz</w:t>
      </w:r>
      <w:proofErr w:type="spellEnd"/>
      <w:r w:rsidR="00767CCC">
        <w:rPr>
          <w:rFonts w:ascii="Arial" w:hAnsi="Arial" w:cs="Arial"/>
          <w:color w:val="000000"/>
          <w:sz w:val="20"/>
        </w:rPr>
        <w:t xml:space="preserve"> at [97],</w:t>
      </w:r>
      <w:r w:rsidRPr="00E918A6">
        <w:rPr>
          <w:rFonts w:ascii="Arial" w:hAnsi="Arial" w:cs="Arial"/>
          <w:color w:val="000000"/>
          <w:sz w:val="20"/>
        </w:rPr>
        <w:t xml:space="preserve"> the seriousness of any particular instance of attempting to pervert the course of justice may be gauged by reference to the seriousness of the offence that is sought to be avoided. In this case it would appear that the respondent was seeking to avoid being punished for the particularly serious offence of aggravated burglary.</w:t>
      </w:r>
    </w:p>
    <w:p w14:paraId="515BE045" w14:textId="307DA2E6" w:rsidR="00842242"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E918A6">
        <w:rPr>
          <w:rFonts w:ascii="Arial" w:hAnsi="Arial" w:cs="Arial"/>
          <w:color w:val="000000"/>
          <w:sz w:val="20"/>
        </w:rPr>
        <w:t>143</w:t>
      </w:r>
      <w:r>
        <w:rPr>
          <w:rFonts w:ascii="Arial" w:hAnsi="Arial" w:cs="Arial"/>
          <w:color w:val="000000"/>
          <w:sz w:val="20"/>
        </w:rPr>
        <w:t>]</w:t>
      </w:r>
      <w:r w:rsidRPr="00E918A6">
        <w:rPr>
          <w:rFonts w:ascii="Arial" w:hAnsi="Arial" w:cs="Arial"/>
          <w:color w:val="000000"/>
          <w:sz w:val="20"/>
        </w:rPr>
        <w:t xml:space="preserve"> This Court has, in recent years, considered sentencing for the commission of the offence of attempting to pervert the course of justice when the offence is committed in circumstances of family violence; such as where an alleged perpetrator of family violence has sought to dissuade a witness — including the victim of such violence — from giving evidence. Thus, in </w:t>
      </w:r>
      <w:r w:rsidRPr="00E918A6">
        <w:rPr>
          <w:rFonts w:ascii="Arial" w:hAnsi="Arial" w:cs="Arial"/>
          <w:i/>
          <w:iCs/>
          <w:color w:val="000000"/>
          <w:sz w:val="20"/>
        </w:rPr>
        <w:t>Qayyum v The King</w:t>
      </w:r>
      <w:r w:rsidRPr="00E918A6">
        <w:rPr>
          <w:rFonts w:ascii="Arial" w:hAnsi="Arial" w:cs="Arial"/>
          <w:color w:val="000000"/>
          <w:sz w:val="20"/>
        </w:rPr>
        <w:t xml:space="preserve">, </w:t>
      </w:r>
      <w:r w:rsidR="00842242">
        <w:rPr>
          <w:rFonts w:ascii="Arial" w:hAnsi="Arial" w:cs="Arial"/>
          <w:color w:val="000000"/>
          <w:sz w:val="20"/>
        </w:rPr>
        <w:t>[2025] VSCA 14 at [</w:t>
      </w:r>
      <w:r w:rsidR="005555FF">
        <w:rPr>
          <w:rFonts w:ascii="Arial" w:hAnsi="Arial" w:cs="Arial"/>
          <w:color w:val="000000"/>
          <w:sz w:val="20"/>
        </w:rPr>
        <w:t>96</w:t>
      </w:r>
      <w:r w:rsidR="00842242">
        <w:rPr>
          <w:rFonts w:ascii="Arial" w:hAnsi="Arial" w:cs="Arial"/>
          <w:color w:val="000000"/>
          <w:sz w:val="20"/>
        </w:rPr>
        <w:t>]</w:t>
      </w:r>
      <w:r w:rsidRPr="00E918A6">
        <w:rPr>
          <w:rFonts w:ascii="Arial" w:hAnsi="Arial" w:cs="Arial"/>
          <w:color w:val="000000"/>
          <w:sz w:val="20"/>
        </w:rPr>
        <w:t xml:space="preserve"> it was observed that:</w:t>
      </w:r>
    </w:p>
    <w:p w14:paraId="3E0A52E6" w14:textId="77777777" w:rsidR="00216393" w:rsidRDefault="00E918A6" w:rsidP="00842242">
      <w:pPr>
        <w:pStyle w:val="Normal-Indent"/>
        <w:widowControl/>
        <w:spacing w:before="60" w:line="240" w:lineRule="auto"/>
        <w:ind w:left="1021" w:right="1021"/>
        <w:rPr>
          <w:rFonts w:ascii="Arial" w:hAnsi="Arial" w:cs="Arial"/>
          <w:color w:val="000000"/>
          <w:sz w:val="18"/>
          <w:szCs w:val="18"/>
        </w:rPr>
      </w:pPr>
      <w:r w:rsidRPr="00842242">
        <w:rPr>
          <w:rFonts w:ascii="Arial" w:hAnsi="Arial" w:cs="Arial"/>
          <w:color w:val="000000"/>
          <w:sz w:val="18"/>
          <w:szCs w:val="18"/>
        </w:rPr>
        <w:lastRenderedPageBreak/>
        <w:t>This Court has on a number of occasions stated, as a matter of principle, that an attempt to pervert the course of justice in a family violence context ‘is always a grave matter’.</w:t>
      </w:r>
      <w:r w:rsidR="00842242">
        <w:rPr>
          <w:rFonts w:ascii="Arial" w:hAnsi="Arial" w:cs="Arial"/>
          <w:color w:val="000000"/>
          <w:sz w:val="18"/>
          <w:szCs w:val="18"/>
        </w:rPr>
        <w:t xml:space="preserve"> </w:t>
      </w:r>
      <w:r w:rsidR="00842242" w:rsidRPr="00842242">
        <w:rPr>
          <w:rFonts w:ascii="Arial" w:hAnsi="Arial" w:cs="Arial"/>
          <w:color w:val="000000"/>
          <w:sz w:val="18"/>
          <w:szCs w:val="18"/>
        </w:rPr>
        <w:t xml:space="preserve">In </w:t>
      </w:r>
      <w:r w:rsidR="00842242" w:rsidRPr="00842242">
        <w:rPr>
          <w:rFonts w:ascii="Arial" w:hAnsi="Arial" w:cs="Arial"/>
          <w:i/>
          <w:iCs/>
          <w:color w:val="000000"/>
          <w:sz w:val="18"/>
          <w:szCs w:val="18"/>
        </w:rPr>
        <w:t>Baker (a pseudonym) v The Queen</w:t>
      </w:r>
      <w:r w:rsidR="00842242" w:rsidRPr="00842242">
        <w:rPr>
          <w:rFonts w:ascii="Arial" w:hAnsi="Arial" w:cs="Arial"/>
          <w:color w:val="000000"/>
          <w:sz w:val="18"/>
          <w:szCs w:val="18"/>
        </w:rPr>
        <w:t>, this Court said as follows:</w:t>
      </w:r>
    </w:p>
    <w:p w14:paraId="524FB701" w14:textId="27A82A49" w:rsidR="00842242" w:rsidRPr="00E918A6" w:rsidRDefault="00842242" w:rsidP="00216393">
      <w:pPr>
        <w:pStyle w:val="Normal-Indent"/>
        <w:widowControl/>
        <w:spacing w:before="60" w:line="240" w:lineRule="auto"/>
        <w:ind w:left="1474" w:right="1474"/>
        <w:rPr>
          <w:rFonts w:ascii="Arial" w:hAnsi="Arial" w:cs="Arial"/>
          <w:color w:val="000000"/>
          <w:sz w:val="18"/>
          <w:szCs w:val="18"/>
        </w:rPr>
      </w:pPr>
      <w:r w:rsidRPr="00842242">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p>
    <w:p w14:paraId="05AF2AEE" w14:textId="77777777" w:rsidR="00216393" w:rsidRDefault="00842242"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E918A6" w:rsidRPr="00E918A6">
        <w:rPr>
          <w:rFonts w:ascii="Arial" w:hAnsi="Arial" w:cs="Arial"/>
          <w:color w:val="000000"/>
          <w:sz w:val="20"/>
        </w:rPr>
        <w:t>144</w:t>
      </w:r>
      <w:r>
        <w:rPr>
          <w:rFonts w:ascii="Arial" w:hAnsi="Arial" w:cs="Arial"/>
          <w:color w:val="000000"/>
          <w:sz w:val="20"/>
        </w:rPr>
        <w:t>]</w:t>
      </w:r>
      <w:r w:rsidR="00E918A6" w:rsidRPr="00E918A6">
        <w:rPr>
          <w:rFonts w:ascii="Arial" w:hAnsi="Arial" w:cs="Arial"/>
          <w:color w:val="000000"/>
          <w:sz w:val="20"/>
        </w:rPr>
        <w:t xml:space="preserve"> In </w:t>
      </w:r>
      <w:r w:rsidR="00E918A6" w:rsidRPr="00842242">
        <w:rPr>
          <w:rFonts w:ascii="Arial" w:hAnsi="Arial" w:cs="Arial"/>
          <w:i/>
          <w:iCs/>
          <w:color w:val="000000"/>
          <w:sz w:val="20"/>
        </w:rPr>
        <w:t>Fusca v The King</w:t>
      </w:r>
      <w:r w:rsidR="00216393">
        <w:rPr>
          <w:rFonts w:ascii="Arial" w:hAnsi="Arial" w:cs="Arial"/>
          <w:color w:val="000000"/>
          <w:sz w:val="20"/>
        </w:rPr>
        <w:t xml:space="preserve"> [2024] VSCA 297 </w:t>
      </w:r>
      <w:r w:rsidR="00E918A6" w:rsidRPr="00E918A6">
        <w:rPr>
          <w:rFonts w:ascii="Arial" w:hAnsi="Arial" w:cs="Arial"/>
          <w:color w:val="000000"/>
          <w:sz w:val="20"/>
        </w:rPr>
        <w:t xml:space="preserve">this Court noted </w:t>
      </w:r>
      <w:r w:rsidR="00216393">
        <w:rPr>
          <w:rFonts w:ascii="Arial" w:hAnsi="Arial" w:cs="Arial"/>
          <w:color w:val="000000"/>
          <w:sz w:val="20"/>
        </w:rPr>
        <w:t xml:space="preserve">at [51] </w:t>
      </w:r>
      <w:r w:rsidR="00E918A6" w:rsidRPr="00E918A6">
        <w:rPr>
          <w:rFonts w:ascii="Arial" w:hAnsi="Arial" w:cs="Arial"/>
          <w:color w:val="000000"/>
          <w:sz w:val="20"/>
        </w:rPr>
        <w:t>that:</w:t>
      </w:r>
    </w:p>
    <w:p w14:paraId="15965F8C" w14:textId="56EC0D67" w:rsidR="00E918A6" w:rsidRPr="00216393" w:rsidRDefault="00216393" w:rsidP="00216393">
      <w:pPr>
        <w:pStyle w:val="Normal-Indent"/>
        <w:widowControl/>
        <w:spacing w:before="60" w:line="240" w:lineRule="auto"/>
        <w:ind w:left="1021" w:right="1021"/>
        <w:rPr>
          <w:rFonts w:ascii="Arial" w:hAnsi="Arial" w:cs="Arial"/>
          <w:color w:val="000000"/>
          <w:sz w:val="18"/>
          <w:szCs w:val="18"/>
        </w:rPr>
      </w:pPr>
      <w:r w:rsidRPr="00216393">
        <w:rPr>
          <w:rFonts w:ascii="Arial" w:hAnsi="Arial" w:cs="Arial"/>
          <w:color w:val="000000"/>
          <w:sz w:val="18"/>
          <w:szCs w:val="18"/>
        </w:rPr>
        <w:t>“</w:t>
      </w:r>
      <w:r w:rsidR="00E918A6" w:rsidRPr="00216393">
        <w:rPr>
          <w:rFonts w:ascii="Arial" w:hAnsi="Arial" w:cs="Arial"/>
          <w:color w:val="000000"/>
          <w:sz w:val="18"/>
          <w:szCs w:val="18"/>
        </w:rPr>
        <w:t xml:space="preserve">As the applicant accepted, the decision in </w:t>
      </w:r>
      <w:proofErr w:type="spellStart"/>
      <w:r w:rsidR="00E918A6" w:rsidRPr="00216393">
        <w:rPr>
          <w:rFonts w:ascii="Arial" w:hAnsi="Arial" w:cs="Arial"/>
          <w:i/>
          <w:iCs/>
          <w:color w:val="000000"/>
          <w:sz w:val="18"/>
          <w:szCs w:val="18"/>
        </w:rPr>
        <w:t>Oksuz</w:t>
      </w:r>
      <w:proofErr w:type="spellEnd"/>
      <w:r w:rsidR="00E918A6" w:rsidRPr="00216393">
        <w:rPr>
          <w:rFonts w:ascii="Arial" w:hAnsi="Arial" w:cs="Arial"/>
          <w:color w:val="000000"/>
          <w:sz w:val="18"/>
          <w:szCs w:val="18"/>
        </w:rPr>
        <w:t xml:space="preserve"> reveals that there are other cases that might properly inform the identification of current sentencing practices for the offence of attempting to pervert the course of justice. In that case Kyrou JA pointed out that sentences of between 2 and 4 years’ imprisonment have commonly been imposed for this offence.</w:t>
      </w:r>
      <w:r w:rsidRPr="00216393">
        <w:rPr>
          <w:rFonts w:ascii="Arial" w:hAnsi="Arial" w:cs="Arial"/>
          <w:color w:val="000000"/>
          <w:sz w:val="18"/>
          <w:szCs w:val="18"/>
        </w:rPr>
        <w:t>”</w:t>
      </w:r>
    </w:p>
    <w:p w14:paraId="3D1C86CC" w14:textId="77777777" w:rsidR="00E918A6" w:rsidRDefault="00E918A6" w:rsidP="00AC0011">
      <w:pPr>
        <w:jc w:val="both"/>
        <w:rPr>
          <w:rFonts w:ascii="Arial" w:hAnsi="Arial" w:cs="Arial"/>
          <w:color w:val="000000"/>
          <w:sz w:val="20"/>
        </w:rPr>
      </w:pPr>
    </w:p>
    <w:p w14:paraId="0E70DEEB" w14:textId="4A1948EF" w:rsidR="006954F3" w:rsidRDefault="00054803" w:rsidP="00AC0011">
      <w:pPr>
        <w:jc w:val="both"/>
        <w:rPr>
          <w:rFonts w:ascii="Arial" w:hAnsi="Arial" w:cs="Arial"/>
          <w:sz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T</w:t>
      </w:r>
      <w:r w:rsidRPr="00CA1495">
        <w:rPr>
          <w:rFonts w:ascii="Arial" w:hAnsi="Arial" w:cs="Arial"/>
          <w:i/>
          <w:color w:val="000000"/>
          <w:sz w:val="20"/>
          <w:szCs w:val="20"/>
        </w:rPr>
        <w:t xml:space="preserve">hymiopoulos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R v Pantazis &amp; Ors</w:t>
      </w:r>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r w:rsidR="00425C35" w:rsidRPr="00425C35">
        <w:rPr>
          <w:rFonts w:ascii="Arial" w:hAnsi="Arial" w:cs="Arial"/>
          <w:i/>
          <w:iCs/>
          <w:color w:val="000000"/>
          <w:sz w:val="20"/>
          <w:szCs w:val="20"/>
        </w:rPr>
        <w:t>Johnie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r w:rsidR="00331C68" w:rsidRPr="00331C68">
        <w:rPr>
          <w:rFonts w:ascii="Arial" w:hAnsi="Arial" w:cs="Arial"/>
          <w:i/>
          <w:iCs/>
          <w:color w:val="000000"/>
          <w:sz w:val="20"/>
          <w:szCs w:val="20"/>
        </w:rPr>
        <w:t>Dieni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r w:rsidR="004E31BA" w:rsidRPr="004E31BA">
        <w:rPr>
          <w:rFonts w:ascii="Arial" w:hAnsi="Arial" w:cs="Arial"/>
          <w:i/>
          <w:iCs/>
          <w:color w:val="000000"/>
          <w:sz w:val="20"/>
          <w:szCs w:val="20"/>
        </w:rPr>
        <w:t>Shiryar v The Queen</w:t>
      </w:r>
      <w:r w:rsidR="004E31BA">
        <w:rPr>
          <w:rFonts w:ascii="Arial" w:hAnsi="Arial" w:cs="Arial"/>
          <w:color w:val="000000"/>
          <w:sz w:val="20"/>
          <w:szCs w:val="20"/>
        </w:rPr>
        <w:t xml:space="preserve"> [2022] VSCA 96</w:t>
      </w:r>
      <w:r w:rsidR="002A0ACC">
        <w:rPr>
          <w:rFonts w:ascii="Arial" w:hAnsi="Arial" w:cs="Arial"/>
          <w:color w:val="000000"/>
          <w:sz w:val="20"/>
          <w:szCs w:val="20"/>
        </w:rPr>
        <w:t xml:space="preserve">; </w:t>
      </w:r>
      <w:r w:rsidR="002A0ACC" w:rsidRPr="00DF060F">
        <w:rPr>
          <w:rFonts w:ascii="Arial" w:hAnsi="Arial" w:cs="Arial"/>
          <w:i/>
          <w:iCs/>
          <w:color w:val="000000"/>
          <w:sz w:val="20"/>
          <w:szCs w:val="20"/>
        </w:rPr>
        <w:t>Wasif v The Queen</w:t>
      </w:r>
      <w:r w:rsidR="002A0ACC">
        <w:rPr>
          <w:rFonts w:ascii="Arial" w:hAnsi="Arial" w:cs="Arial"/>
          <w:color w:val="000000"/>
          <w:sz w:val="20"/>
          <w:szCs w:val="20"/>
        </w:rPr>
        <w:t xml:space="preserve"> [2022] VSCA 182 at [63] &amp; [66]</w:t>
      </w:r>
      <w:r w:rsidR="00E044C9">
        <w:rPr>
          <w:rFonts w:ascii="Arial" w:hAnsi="Arial" w:cs="Arial"/>
          <w:color w:val="000000"/>
          <w:sz w:val="20"/>
          <w:szCs w:val="20"/>
        </w:rPr>
        <w:t xml:space="preserve">; </w:t>
      </w:r>
      <w:r w:rsidR="00E044C9" w:rsidRPr="00E044C9">
        <w:rPr>
          <w:rFonts w:ascii="Arial" w:hAnsi="Arial" w:cs="Arial"/>
          <w:i/>
          <w:iCs/>
          <w:color w:val="000000"/>
          <w:sz w:val="20"/>
          <w:szCs w:val="20"/>
        </w:rPr>
        <w:t>DPP v Rowson</w:t>
      </w:r>
      <w:r w:rsidR="00E044C9">
        <w:rPr>
          <w:rFonts w:ascii="Arial" w:hAnsi="Arial" w:cs="Arial"/>
          <w:color w:val="000000"/>
          <w:sz w:val="20"/>
          <w:szCs w:val="20"/>
        </w:rPr>
        <w:t xml:space="preserve"> [2022] VSC 510</w:t>
      </w:r>
      <w:r w:rsidR="008B0E99">
        <w:rPr>
          <w:rFonts w:ascii="Arial" w:hAnsi="Arial" w:cs="Arial"/>
          <w:color w:val="000000"/>
          <w:sz w:val="20"/>
          <w:szCs w:val="20"/>
        </w:rPr>
        <w:t xml:space="preserve">; </w:t>
      </w:r>
      <w:r w:rsidR="008B0E99" w:rsidRPr="008B0E99">
        <w:rPr>
          <w:rFonts w:ascii="Arial" w:hAnsi="Arial" w:cs="Arial"/>
          <w:i/>
          <w:iCs/>
          <w:color w:val="000000"/>
          <w:sz w:val="20"/>
          <w:szCs w:val="20"/>
        </w:rPr>
        <w:t>Bamblett v The King</w:t>
      </w:r>
      <w:r w:rsidR="008B0E99">
        <w:rPr>
          <w:rFonts w:ascii="Arial" w:hAnsi="Arial" w:cs="Arial"/>
          <w:color w:val="000000"/>
          <w:sz w:val="20"/>
          <w:szCs w:val="20"/>
        </w:rPr>
        <w:t xml:space="preserve"> [2023] VSCA 184</w:t>
      </w:r>
      <w:r w:rsidR="00F93B78">
        <w:rPr>
          <w:rFonts w:ascii="Arial" w:hAnsi="Arial" w:cs="Arial"/>
          <w:color w:val="000000"/>
          <w:sz w:val="20"/>
          <w:szCs w:val="20"/>
        </w:rPr>
        <w:t xml:space="preserve">; </w:t>
      </w:r>
      <w:r w:rsidR="00F93B78" w:rsidRPr="00F93B78">
        <w:rPr>
          <w:rFonts w:ascii="Arial" w:hAnsi="Arial" w:cs="Arial"/>
          <w:i/>
          <w:iCs/>
          <w:color w:val="000000"/>
          <w:sz w:val="20"/>
          <w:szCs w:val="20"/>
        </w:rPr>
        <w:t>Colleen Treloar v The King</w:t>
      </w:r>
      <w:r w:rsidR="00F93B78">
        <w:rPr>
          <w:rFonts w:ascii="Arial" w:hAnsi="Arial" w:cs="Arial"/>
          <w:color w:val="000000"/>
          <w:sz w:val="20"/>
          <w:szCs w:val="20"/>
        </w:rPr>
        <w:t xml:space="preserve"> [2023] VSCA 214</w:t>
      </w:r>
      <w:r w:rsidR="004A2E76">
        <w:rPr>
          <w:rFonts w:ascii="Arial" w:hAnsi="Arial" w:cs="Arial"/>
          <w:color w:val="000000"/>
          <w:sz w:val="20"/>
          <w:szCs w:val="20"/>
        </w:rPr>
        <w:t xml:space="preserve">; </w:t>
      </w:r>
      <w:r w:rsidR="004A2E76" w:rsidRPr="008B14AE">
        <w:rPr>
          <w:rFonts w:ascii="Arial" w:hAnsi="Arial" w:cs="Arial"/>
          <w:i/>
          <w:iCs/>
          <w:sz w:val="20"/>
        </w:rPr>
        <w:t>Dragovic v The King</w:t>
      </w:r>
      <w:r w:rsidR="004A2E76">
        <w:rPr>
          <w:rFonts w:ascii="Arial" w:hAnsi="Arial" w:cs="Arial"/>
          <w:sz w:val="20"/>
        </w:rPr>
        <w:t xml:space="preserve"> [2024] VSCA 95 at [35]-[36]</w:t>
      </w:r>
      <w:r w:rsidR="006954F3">
        <w:rPr>
          <w:rFonts w:ascii="Arial" w:hAnsi="Arial" w:cs="Arial"/>
          <w:sz w:val="20"/>
        </w:rPr>
        <w:t xml:space="preserve">; </w:t>
      </w:r>
      <w:r w:rsidR="006954F3" w:rsidRPr="006954F3">
        <w:rPr>
          <w:rFonts w:ascii="Arial" w:hAnsi="Arial" w:cs="Arial"/>
          <w:i/>
          <w:iCs/>
          <w:sz w:val="20"/>
        </w:rPr>
        <w:t>O’Neal v The King</w:t>
      </w:r>
      <w:r w:rsidR="006954F3">
        <w:rPr>
          <w:rFonts w:ascii="Arial" w:hAnsi="Arial" w:cs="Arial"/>
          <w:sz w:val="20"/>
        </w:rPr>
        <w:t xml:space="preserve"> [2024] VSCA 129</w:t>
      </w:r>
      <w:r w:rsidR="004A2F6D">
        <w:rPr>
          <w:rFonts w:ascii="Arial" w:hAnsi="Arial" w:cs="Arial"/>
          <w:sz w:val="20"/>
        </w:rPr>
        <w:t xml:space="preserve">; </w:t>
      </w:r>
      <w:r w:rsidR="004A2F6D" w:rsidRPr="004A2F6D">
        <w:rPr>
          <w:rFonts w:ascii="Arial" w:hAnsi="Arial" w:cs="Arial"/>
          <w:i/>
          <w:iCs/>
          <w:sz w:val="20"/>
        </w:rPr>
        <w:t>Fusca v The King</w:t>
      </w:r>
      <w:r w:rsidR="004A2F6D">
        <w:rPr>
          <w:rFonts w:ascii="Arial" w:hAnsi="Arial" w:cs="Arial"/>
          <w:sz w:val="20"/>
        </w:rPr>
        <w:t xml:space="preserve"> [2024] VSCA 297 at [42]-[57]</w:t>
      </w:r>
      <w:r w:rsidR="004835A6">
        <w:rPr>
          <w:rFonts w:ascii="Arial" w:hAnsi="Arial" w:cs="Arial"/>
          <w:sz w:val="20"/>
        </w:rPr>
        <w:t>.</w:t>
      </w:r>
    </w:p>
    <w:p w14:paraId="633E8CD4" w14:textId="77777777" w:rsidR="006954F3" w:rsidRDefault="006954F3" w:rsidP="00AC0011">
      <w:pPr>
        <w:jc w:val="both"/>
        <w:rPr>
          <w:rFonts w:ascii="Arial" w:hAnsi="Arial" w:cs="Arial"/>
          <w:sz w:val="20"/>
        </w:rPr>
      </w:pPr>
    </w:p>
    <w:p w14:paraId="1599D14E" w14:textId="1E84903A" w:rsidR="00AA7A59" w:rsidRPr="00A57557" w:rsidRDefault="00AA7A59" w:rsidP="00A57557">
      <w:pPr>
        <w:pStyle w:val="Heading3"/>
        <w:spacing w:after="120" w:line="240" w:lineRule="auto"/>
        <w:rPr>
          <w:rFonts w:ascii="Arial" w:hAnsi="Arial" w:cs="Arial"/>
          <w:b/>
          <w:bCs/>
          <w:sz w:val="22"/>
          <w:szCs w:val="22"/>
        </w:rPr>
      </w:pPr>
      <w:r w:rsidRPr="00A57557">
        <w:rPr>
          <w:rFonts w:ascii="Arial" w:hAnsi="Arial" w:cs="Arial"/>
          <w:b/>
          <w:bCs/>
          <w:color w:val="FFFFFF"/>
          <w:sz w:val="20"/>
          <w:shd w:val="clear" w:color="auto" w:fill="000000"/>
        </w:rPr>
        <w:t>B</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PERJURY</w:t>
      </w:r>
    </w:p>
    <w:p w14:paraId="51D1D502" w14:textId="2B11DCDB" w:rsidR="00AA7A59" w:rsidRDefault="00AA7A59" w:rsidP="0016597A">
      <w:pPr>
        <w:pStyle w:val="Style1"/>
      </w:pPr>
      <w:r>
        <w:t xml:space="preserve">In </w:t>
      </w:r>
      <w:r w:rsidRPr="006E5554">
        <w:rPr>
          <w:i/>
          <w:iCs/>
        </w:rPr>
        <w:t>Harre v The King</w:t>
      </w:r>
      <w:r>
        <w:t xml:space="preserve"> [2024] VSCA 278 the applicant, then aged 42</w:t>
      </w:r>
      <w:r w:rsidR="0003757F">
        <w:t xml:space="preserve"> and for whom there were some </w:t>
      </w:r>
      <w:r w:rsidR="0003757F" w:rsidRPr="0003757F">
        <w:rPr>
          <w:i/>
          <w:iCs/>
        </w:rPr>
        <w:t>Verdins</w:t>
      </w:r>
      <w:r w:rsidR="0003757F">
        <w:t xml:space="preserve"> considerations</w:t>
      </w:r>
      <w: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lang w:val="en-AU"/>
        </w:rPr>
        <w:t>application for a personal safety intervention order against EW</w:t>
      </w:r>
      <w:r>
        <w:rPr>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lang w:val="en-AU"/>
        </w:rPr>
        <w:t>-[84]</w:t>
      </w:r>
      <w:r>
        <w:rPr>
          <w:lang w:val="en-AU"/>
        </w:rPr>
        <w:t>:</w:t>
      </w:r>
    </w:p>
    <w:p w14:paraId="79E58876" w14:textId="7A0FFFA6" w:rsidR="00AA7A59" w:rsidRDefault="00AA7A59" w:rsidP="0016597A">
      <w:pPr>
        <w:pStyle w:val="Style1"/>
        <w:spacing w:before="60"/>
        <w:ind w:left="454" w:right="454"/>
        <w:rPr>
          <w:color w:val="000000"/>
        </w:rPr>
      </w:pPr>
      <w:r>
        <w:rPr>
          <w:color w:val="000000"/>
        </w:rPr>
        <w:t>[83] “</w:t>
      </w:r>
      <w:r w:rsidR="0003757F" w:rsidRPr="00AA7A59">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Winneke P and Charles JA agreed) in </w:t>
      </w:r>
      <w:r w:rsidR="0003757F" w:rsidRPr="0003757F">
        <w:rPr>
          <w:i/>
          <w:iCs/>
        </w:rPr>
        <w:t>R v Schroen</w:t>
      </w:r>
      <w:r w:rsidR="0003757F">
        <w:t xml:space="preserve"> [2001] VSCA 126, [14]</w:t>
      </w:r>
      <w:r w:rsidR="0003757F" w:rsidRPr="00AA7A59">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R v Patniyot and Dailakis</w:t>
      </w:r>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16597A">
      <w:pPr>
        <w:pStyle w:val="Style1"/>
        <w:spacing w:before="60"/>
        <w:ind w:left="454" w:right="454"/>
        <w:rPr>
          <w:color w:val="000000"/>
        </w:rPr>
      </w:pPr>
      <w:r>
        <w:rPr>
          <w:color w:val="000000"/>
        </w:rPr>
        <w:t xml:space="preserve">[84] </w:t>
      </w:r>
      <w:r w:rsidRPr="00AA7A59">
        <w:t xml:space="preserve">We also consider cumulation of 12 months’ of the sentence for perjury upon the sentences for stalking </w:t>
      </w:r>
      <w:r>
        <w:t xml:space="preserve">[as to which see </w:t>
      </w:r>
      <w:r w:rsidRPr="00BE5F5A">
        <w:rPr>
          <w:b/>
          <w:bCs/>
          <w:shd w:val="clear" w:color="auto" w:fill="C5E0B3" w:themeFill="accent6" w:themeFillTint="66"/>
        </w:rPr>
        <w:t>section 11.2.37</w:t>
      </w:r>
      <w:r>
        <w:t xml:space="preserve"> below] </w:t>
      </w:r>
      <w:r w:rsidRPr="00AA7A59">
        <w:t>to be unremarkable. It</w:t>
      </w:r>
      <w:r>
        <w:t> </w:t>
      </w:r>
      <w:r w:rsidRPr="00AA7A59">
        <w:t>properly reflected the distinct criminality constituted by the applicant’s deliberately false evidence.</w:t>
      </w:r>
      <w:r>
        <w:t>”</w:t>
      </w:r>
    </w:p>
    <w:p w14:paraId="47F6601B" w14:textId="644C714D" w:rsidR="00AA7A59" w:rsidRDefault="00AA7A59" w:rsidP="00AC0011">
      <w:pPr>
        <w:jc w:val="both"/>
        <w:rPr>
          <w:rFonts w:ascii="Arial" w:hAnsi="Arial" w:cs="Arial"/>
          <w:sz w:val="20"/>
        </w:rPr>
      </w:pPr>
    </w:p>
    <w:p w14:paraId="7798830F" w14:textId="6B908786" w:rsidR="004D765D" w:rsidRPr="00A57557" w:rsidRDefault="004D765D" w:rsidP="00842242">
      <w:pPr>
        <w:pStyle w:val="Heading3"/>
        <w:keepNext/>
        <w:keepLines/>
        <w:widowControl/>
        <w:spacing w:after="120" w:line="240" w:lineRule="auto"/>
        <w:rPr>
          <w:rFonts w:ascii="Arial" w:hAnsi="Arial" w:cs="Arial"/>
          <w:b/>
          <w:bCs/>
          <w:sz w:val="20"/>
          <w:szCs w:val="16"/>
          <w:lang w:val="en-US"/>
        </w:rPr>
      </w:pPr>
      <w:bookmarkStart w:id="724" w:name="_11.2.31_Sentencing_for"/>
      <w:bookmarkEnd w:id="724"/>
      <w:r w:rsidRPr="00A57557">
        <w:rPr>
          <w:rFonts w:ascii="Arial" w:hAnsi="Arial" w:cs="Arial"/>
          <w:b/>
          <w:bCs/>
          <w:sz w:val="20"/>
          <w:szCs w:val="16"/>
        </w:rPr>
        <w:t>11.2.31</w:t>
      </w:r>
      <w:r w:rsidRPr="00A57557">
        <w:rPr>
          <w:rFonts w:ascii="Arial" w:hAnsi="Arial" w:cs="Arial"/>
          <w:b/>
          <w:bCs/>
          <w:sz w:val="20"/>
          <w:szCs w:val="16"/>
        </w:rPr>
        <w:tab/>
        <w:t>Sentencing for property damage</w:t>
      </w:r>
      <w:r w:rsidR="008E4872" w:rsidRPr="00A57557">
        <w:rPr>
          <w:rFonts w:ascii="Arial" w:hAnsi="Arial" w:cs="Arial"/>
          <w:b/>
          <w:bCs/>
          <w:sz w:val="20"/>
          <w:szCs w:val="16"/>
        </w:rPr>
        <w:t xml:space="preserve"> / arson / arson with intent to endanger life</w:t>
      </w:r>
    </w:p>
    <w:p w14:paraId="30E8D0A9" w14:textId="77777777" w:rsidR="00E36AE8" w:rsidRPr="001C6E0E" w:rsidRDefault="00C77736" w:rsidP="00072A59">
      <w:pPr>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xml:space="preserve">.  The High Court held that </w:t>
      </w:r>
      <w:r>
        <w:rPr>
          <w:rFonts w:ascii="Arial" w:hAnsi="Arial" w:cs="Arial"/>
          <w:bCs/>
          <w:color w:val="000000"/>
          <w:sz w:val="20"/>
          <w:lang w:val="en-US"/>
        </w:rPr>
        <w:lastRenderedPageBreak/>
        <w:t>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3C2D44">
      <w:pPr>
        <w:pStyle w:val="Style1"/>
      </w:pPr>
      <w:r>
        <w:t xml:space="preserve">In </w:t>
      </w:r>
      <w:r w:rsidRPr="008E4872">
        <w:rPr>
          <w:i/>
          <w:iCs/>
        </w:rPr>
        <w:t>Liddell v The King</w:t>
      </w:r>
      <w: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t>d</w:t>
      </w:r>
      <w:r>
        <w:t xml:space="preserve"> attack </w:t>
      </w:r>
      <w:r w:rsidR="00B74755">
        <w:t xml:space="preserve">calculated to maximise the danger to the liver of three of his former co-tenants, </w:t>
      </w:r>
      <w:r>
        <w:t xml:space="preserve">the appellant had </w:t>
      </w:r>
      <w:r w:rsidR="006F4402">
        <w:t>lit a fire in an occupied house in the early hours of the morning using an accelerant</w:t>
      </w:r>
      <w:r w:rsidR="00750296">
        <w:t xml:space="preserve"> on the staircase</w:t>
      </w:r>
      <w:r w:rsidR="006F4402">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lastRenderedPageBreak/>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[53] “Arson is a very dangerous crime and fire can be notoriously indiscrimate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edanger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23AA0380" w14:textId="0403A5AF"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r w:rsidR="00D23956" w:rsidRPr="00D23956">
        <w:rPr>
          <w:rFonts w:ascii="Arial" w:hAnsi="Arial" w:cs="Arial"/>
          <w:bCs/>
          <w:i/>
          <w:iCs/>
          <w:color w:val="000000"/>
          <w:sz w:val="20"/>
          <w:lang w:val="en-US"/>
        </w:rPr>
        <w:t>Biricik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4D5AB6">
        <w:rPr>
          <w:rFonts w:ascii="Arial" w:hAnsi="Arial" w:cs="Arial"/>
          <w:color w:val="000000"/>
          <w:sz w:val="20"/>
        </w:rPr>
        <w:t xml:space="preserve">; </w:t>
      </w:r>
      <w:r w:rsidR="004D5AB6" w:rsidRPr="004D5AB6">
        <w:rPr>
          <w:rFonts w:ascii="Arial" w:hAnsi="Arial" w:cs="Arial"/>
          <w:i/>
          <w:iCs/>
          <w:color w:val="000000"/>
          <w:sz w:val="20"/>
        </w:rPr>
        <w:t>Korey Caddy v The King</w:t>
      </w:r>
      <w:r w:rsidR="004D5AB6">
        <w:rPr>
          <w:rFonts w:ascii="Arial" w:hAnsi="Arial" w:cs="Arial"/>
          <w:color w:val="000000"/>
          <w:sz w:val="20"/>
        </w:rPr>
        <w:t xml:space="preserve"> [2025] VSCA 87</w:t>
      </w:r>
      <w:r w:rsidR="008F4B16" w:rsidRPr="00543D8C">
        <w:rPr>
          <w:rFonts w:ascii="Arial" w:hAnsi="Arial" w:cs="Arial"/>
          <w:color w:val="000000"/>
          <w:sz w:val="20"/>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A57557" w:rsidRDefault="0030456A" w:rsidP="00A57557">
      <w:pPr>
        <w:pStyle w:val="Heading3"/>
        <w:spacing w:after="120" w:line="240" w:lineRule="auto"/>
        <w:rPr>
          <w:rFonts w:ascii="Arial" w:hAnsi="Arial" w:cs="Arial"/>
          <w:b/>
          <w:bCs/>
          <w:sz w:val="20"/>
          <w:lang w:val="en-US"/>
        </w:rPr>
      </w:pPr>
      <w:bookmarkStart w:id="725" w:name="_11.2.32_Sentencing_for"/>
      <w:bookmarkEnd w:id="725"/>
      <w:r w:rsidRPr="00A57557">
        <w:rPr>
          <w:rFonts w:ascii="Arial" w:hAnsi="Arial" w:cs="Arial"/>
          <w:b/>
          <w:bCs/>
          <w:sz w:val="20"/>
        </w:rPr>
        <w:t>11.2.32</w:t>
      </w:r>
      <w:r w:rsidRPr="00A57557">
        <w:rPr>
          <w:rFonts w:ascii="Arial" w:hAnsi="Arial" w:cs="Arial"/>
          <w:b/>
          <w:bCs/>
          <w:sz w:val="20"/>
        </w:rPr>
        <w:tab/>
        <w:t>Sentencing for 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acccused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lastRenderedPageBreak/>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A57557" w:rsidRDefault="00494922" w:rsidP="00A57557">
      <w:pPr>
        <w:pStyle w:val="Heading3"/>
        <w:spacing w:after="120" w:line="240" w:lineRule="auto"/>
        <w:rPr>
          <w:rFonts w:ascii="Arial" w:hAnsi="Arial" w:cs="Arial"/>
          <w:b/>
          <w:bCs/>
          <w:sz w:val="20"/>
          <w:lang w:val="en-US"/>
        </w:rPr>
      </w:pPr>
      <w:bookmarkStart w:id="726" w:name="_11.2.33_Sentencing_for"/>
      <w:bookmarkEnd w:id="726"/>
      <w:r w:rsidRPr="00A57557">
        <w:rPr>
          <w:rFonts w:ascii="Arial" w:hAnsi="Arial" w:cs="Arial"/>
          <w:b/>
          <w:bCs/>
          <w:sz w:val="20"/>
        </w:rPr>
        <w:t>11.2.33</w:t>
      </w:r>
      <w:r w:rsidRPr="00A57557">
        <w:rPr>
          <w:rFonts w:ascii="Arial" w:hAnsi="Arial" w:cs="Arial"/>
          <w:b/>
          <w:bCs/>
          <w:sz w:val="20"/>
        </w:rPr>
        <w:tab/>
        <w:t>Sentencing for 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Fawkner by fire, after earlier unsuccessful attempts by two of them.  The crimes were carried out to advance the ideology of Islamic State and to intimidate Shia Muslims.  There was no acceptable evidence of de-radicalisation.  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r w:rsidRPr="00874A5F">
        <w:rPr>
          <w:rFonts w:ascii="Arial" w:hAnsi="Arial" w:cs="Arial"/>
          <w:bCs/>
          <w:color w:val="000000"/>
          <w:sz w:val="20"/>
          <w:lang w:val="en-US"/>
        </w:rPr>
        <w:t>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AAAF532" w:rsidR="00BB3484" w:rsidRDefault="00BB3484" w:rsidP="00CA59A2">
      <w:pPr>
        <w:pStyle w:val="Style1"/>
        <w:rPr>
          <w:bCs/>
          <w:color w:val="000000"/>
        </w:rPr>
      </w:pPr>
      <w:r w:rsidRPr="00127BB9">
        <w:rPr>
          <w:bCs/>
          <w:color w:val="000000"/>
        </w:rPr>
        <w:t xml:space="preserve">Several months later </w:t>
      </w:r>
      <w:r w:rsidR="00127BB9">
        <w:rPr>
          <w:bCs/>
          <w:color w:val="000000"/>
        </w:rPr>
        <w:t xml:space="preserve">in a separate trial </w:t>
      </w:r>
      <w:r w:rsidRPr="00127BB9">
        <w:rPr>
          <w:bCs/>
          <w:color w:val="000000"/>
        </w:rPr>
        <w:t xml:space="preserve">the offender </w:t>
      </w:r>
      <w:r w:rsidRPr="00127BB9">
        <w:rPr>
          <w:bCs/>
          <w:i/>
          <w:iCs/>
          <w:color w:val="000000"/>
        </w:rPr>
        <w:t>Mohamed</w:t>
      </w:r>
      <w:r w:rsidRPr="00127BB9">
        <w:rPr>
          <w:bCs/>
          <w:color w:val="000000"/>
        </w:rPr>
        <w:t xml:space="preserve"> </w:t>
      </w:r>
      <w:r w:rsidRPr="00127BB9">
        <w:t>was found guilty by a jury of one charge of conspiring to do acts in preparation for, or planning, a terrorist act.</w:t>
      </w:r>
      <w:r w:rsidR="00127BB9">
        <w:t xml:space="preserve">  He was subsequently sentenced by Beale J </w:t>
      </w:r>
      <w:r>
        <w:rPr>
          <w:bCs/>
          <w:color w:val="000000"/>
        </w:rPr>
        <w:t xml:space="preserve">to IMP26y </w:t>
      </w:r>
      <w:r w:rsidR="00127BB9">
        <w:rPr>
          <w:bCs/>
          <w:color w:val="000000"/>
        </w:rPr>
        <w:t xml:space="preserve">of which 16y was to be served cumulatively on the 22y sentence imposed by Tinney J, resulting in a TES IMP38y/28y6m: see [2019] VSC 775.  </w:t>
      </w:r>
      <w:r w:rsidR="00162208">
        <w:rPr>
          <w:bCs/>
          <w:color w:val="000000"/>
        </w:rPr>
        <w:t xml:space="preserve">Ultimately he did not pursue an appeal against either </w:t>
      </w:r>
      <w:r w:rsidR="00127BB9">
        <w:rPr>
          <w:bCs/>
          <w:color w:val="000000"/>
        </w:rPr>
        <w:t xml:space="preserve">of the individual sentences but </w:t>
      </w:r>
      <w:r w:rsidR="00D833F4">
        <w:rPr>
          <w:bCs/>
          <w:color w:val="000000"/>
        </w:rPr>
        <w:t xml:space="preserve">appealed the order for cumulation made by Beale J. In </w:t>
      </w:r>
      <w:r w:rsidR="00D833F4" w:rsidRPr="00B92B67">
        <w:rPr>
          <w:bCs/>
          <w:i/>
          <w:iCs/>
          <w:color w:val="000000"/>
        </w:rPr>
        <w:t>Ahmed Mohamed v The Queen</w:t>
      </w:r>
      <w:r w:rsidR="00D833F4">
        <w:rPr>
          <w:bCs/>
          <w:color w:val="000000"/>
        </w:rPr>
        <w:t xml:space="preserve"> [2022] VSCA 136 the Court of Appeal (Maxwell P, Emerton &amp; Sifris JJA) allowed the appeal and substituted a TES IMP32y/24y.</w:t>
      </w:r>
      <w:r w:rsidR="00162208">
        <w:rPr>
          <w:bCs/>
          <w:color w:val="000000"/>
        </w:rPr>
        <w:t xml:space="preserve">  Subsequently, in light of the judgment </w:t>
      </w:r>
      <w:r w:rsidR="008468A0">
        <w:rPr>
          <w:bCs/>
          <w:color w:val="000000"/>
        </w:rPr>
        <w:t xml:space="preserve">of </w:t>
      </w:r>
      <w:r w:rsidR="00162208">
        <w:rPr>
          <w:bCs/>
          <w:color w:val="000000"/>
        </w:rPr>
        <w:t xml:space="preserve">the NSW </w:t>
      </w:r>
      <w:r w:rsidR="008468A0">
        <w:rPr>
          <w:bCs/>
          <w:color w:val="000000"/>
        </w:rPr>
        <w:t xml:space="preserve">Court of Criminal Appeal </w:t>
      </w:r>
      <w:r w:rsidR="00162208">
        <w:rPr>
          <w:bCs/>
          <w:color w:val="000000"/>
        </w:rPr>
        <w:t xml:space="preserve">in </w:t>
      </w:r>
      <w:r w:rsidR="00162208" w:rsidRPr="00541E23">
        <w:rPr>
          <w:bCs/>
          <w:i/>
          <w:iCs/>
          <w:color w:val="000000"/>
        </w:rPr>
        <w:t>Totaan v The Queen</w:t>
      </w:r>
      <w:r w:rsidR="00162208">
        <w:rPr>
          <w:bCs/>
          <w:color w:val="000000"/>
        </w:rPr>
        <w:t xml:space="preserve"> </w:t>
      </w:r>
      <w:r w:rsidR="008468A0" w:rsidRPr="008468A0">
        <w:t>[2022] NSWCCA 75</w:t>
      </w:r>
      <w:r w:rsidR="008468A0">
        <w:t xml:space="preserve"> </w:t>
      </w:r>
      <w:r w:rsidR="00162208">
        <w:rPr>
          <w:bCs/>
          <w:color w:val="000000"/>
        </w:rPr>
        <w:t xml:space="preserve">requiring family hardship to be considered, he sought in </w:t>
      </w:r>
      <w:r w:rsidR="00162208" w:rsidRPr="00B92B67">
        <w:rPr>
          <w:bCs/>
          <w:i/>
          <w:iCs/>
          <w:color w:val="000000"/>
        </w:rPr>
        <w:t xml:space="preserve">Ahmed Mohamed v The </w:t>
      </w:r>
      <w:r w:rsidR="00541E23">
        <w:rPr>
          <w:bCs/>
          <w:i/>
          <w:iCs/>
          <w:color w:val="000000"/>
        </w:rPr>
        <w:t>King [No 2]</w:t>
      </w:r>
      <w:r w:rsidR="00162208">
        <w:rPr>
          <w:bCs/>
          <w:i/>
          <w:iCs/>
          <w:color w:val="000000"/>
        </w:rPr>
        <w:t xml:space="preserve"> </w:t>
      </w:r>
      <w:r w:rsidR="00162208">
        <w:rPr>
          <w:bCs/>
          <w:color w:val="000000"/>
        </w:rPr>
        <w:t xml:space="preserve">[2022] </w:t>
      </w:r>
      <w:r w:rsidR="00162208">
        <w:rPr>
          <w:bCs/>
          <w:color w:val="000000"/>
        </w:rPr>
        <w:lastRenderedPageBreak/>
        <w:t>VSCA 1</w:t>
      </w:r>
      <w:r w:rsidR="008468A0">
        <w:rPr>
          <w:bCs/>
          <w:color w:val="000000"/>
        </w:rPr>
        <w:t>77</w:t>
      </w:r>
      <w:r w:rsidR="00162208">
        <w:rPr>
          <w:bCs/>
          <w:color w:val="000000"/>
        </w:rPr>
        <w:t xml:space="preserve"> to re-instate the abandoned appeal against the 22y sentence imposed by Tinney J.  </w:t>
      </w:r>
      <w:r w:rsidR="00541E23">
        <w:rPr>
          <w:bCs/>
          <w:color w:val="000000"/>
        </w:rPr>
        <w:t>In</w:t>
      </w:r>
      <w:r w:rsidR="008468A0">
        <w:rPr>
          <w:bCs/>
          <w:color w:val="000000"/>
        </w:rPr>
        <w:t> </w:t>
      </w:r>
      <w:r w:rsidR="00541E23">
        <w:rPr>
          <w:bCs/>
          <w:color w:val="000000"/>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3C2D44">
      <w:pPr>
        <w:pStyle w:val="Style1"/>
      </w:pPr>
      <w:r>
        <w:t xml:space="preserve">In </w:t>
      </w:r>
      <w:r w:rsidRPr="00F7798B">
        <w:rPr>
          <w:i/>
          <w:iCs/>
        </w:rPr>
        <w:t>Chaarani v The King</w:t>
      </w:r>
      <w:r>
        <w:t xml:space="preserve"> [2023] VSCA 275 the Court of Appeal (Emerton P, Niall &amp; Kaye JJA), noting that–</w:t>
      </w:r>
    </w:p>
    <w:p w14:paraId="731E844E" w14:textId="77777777" w:rsidR="00CA59A2" w:rsidRPr="00CA59A2" w:rsidRDefault="00F7798B" w:rsidP="00CA59A2">
      <w:pPr>
        <w:numPr>
          <w:ilvl w:val="0"/>
          <w:numId w:val="130"/>
        </w:numPr>
        <w:ind w:left="357" w:hanging="357"/>
        <w:jc w:val="both"/>
        <w:rPr>
          <w:rFonts w:ascii="Arial" w:hAnsi="Arial" w:cs="Arial"/>
          <w:color w:val="000000"/>
          <w:sz w:val="16"/>
          <w:szCs w:val="16"/>
        </w:rPr>
      </w:pPr>
      <w:r w:rsidRPr="00CA59A2">
        <w:rPr>
          <w:rFonts w:ascii="Arial" w:hAnsi="Arial" w:cs="Arial"/>
          <w:sz w:val="20"/>
          <w:szCs w:val="20"/>
        </w:rPr>
        <w:t>family hardship had not been taken into account by the sentencing judges; and</w:t>
      </w:r>
    </w:p>
    <w:p w14:paraId="028C4081" w14:textId="77777777" w:rsidR="00CA59A2" w:rsidRPr="00CA59A2" w:rsidRDefault="00F7798B" w:rsidP="00CA59A2">
      <w:pPr>
        <w:numPr>
          <w:ilvl w:val="0"/>
          <w:numId w:val="130"/>
        </w:numPr>
        <w:ind w:left="357" w:hanging="357"/>
        <w:jc w:val="both"/>
        <w:rPr>
          <w:rFonts w:ascii="Arial" w:hAnsi="Arial" w:cs="Arial"/>
          <w:color w:val="000000"/>
          <w:sz w:val="16"/>
          <w:szCs w:val="16"/>
        </w:rPr>
      </w:pPr>
      <w:r w:rsidRPr="00CA59A2">
        <w:rPr>
          <w:rFonts w:ascii="Arial" w:hAnsi="Arial" w:cs="Arial"/>
          <w:sz w:val="20"/>
          <w:szCs w:val="20"/>
        </w:rPr>
        <w:t>a co-offender’s sentence and non-parole period were reduced on appeal on the ground that the sentence was ‘crushing’–</w:t>
      </w:r>
    </w:p>
    <w:p w14:paraId="3B8E0042" w14:textId="76F44F6B" w:rsidR="00F7798B" w:rsidRDefault="00F7798B" w:rsidP="00F801FA">
      <w:pPr>
        <w:pStyle w:val="Style1"/>
      </w:pPr>
      <w:r>
        <w:t xml:space="preserve">allowed the appeal </w:t>
      </w:r>
      <w:r w:rsidR="00C94A88">
        <w:t>by applying the principle</w:t>
      </w:r>
      <w:r w:rsidR="00C60F62">
        <w:t xml:space="preserve"> of parity </w:t>
      </w:r>
      <w:r>
        <w:t>and substituted a TES IMP32y/24y.</w:t>
      </w:r>
      <w:r w:rsidR="00350614">
        <w:t xml:space="preserve"> See also </w:t>
      </w:r>
      <w:r w:rsidR="00350614" w:rsidRPr="00350614">
        <w:rPr>
          <w:i/>
          <w:iCs/>
        </w:rPr>
        <w:t>Abbas v The King</w:t>
      </w:r>
      <w:r w:rsidR="00350614">
        <w:t xml:space="preserve"> [2025] VSCA 11</w:t>
      </w:r>
      <w:r w:rsidR="0015513F">
        <w:t>6</w:t>
      </w:r>
      <w:r w:rsidR="00350614">
        <w:t>.</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35C0FBC0"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 xml:space="preserve">(2006) 199 FLR 364, 369 [31], where Whealy J found the planning was ‘at a very preliminary stage’ and (at 373 [51]) ‘a good deal more work and preparation would have been necessary to advance the construction of a physically </w:t>
      </w:r>
      <w:r w:rsidR="00E31418" w:rsidRPr="00E31418">
        <w:rPr>
          <w:rFonts w:ascii="Arial" w:hAnsi="Arial" w:cs="Arial"/>
          <w:sz w:val="20"/>
        </w:rPr>
        <w:lastRenderedPageBreak/>
        <w:t>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namely for 6 people to enter Holdsworthy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1924B6">
      <w:pPr>
        <w:pStyle w:val="ListParagraph"/>
        <w:numPr>
          <w:ilvl w:val="0"/>
          <w:numId w:val="94"/>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391630E3" w:rsidR="002519AD" w:rsidRPr="009D021F" w:rsidRDefault="008B6181" w:rsidP="001924B6">
      <w:pPr>
        <w:pStyle w:val="ListParagraph"/>
        <w:numPr>
          <w:ilvl w:val="0"/>
          <w:numId w:val="94"/>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r w:rsidR="00350614">
        <w:rPr>
          <w:rFonts w:ascii="Arial" w:hAnsi="Arial" w:cs="Arial"/>
          <w:sz w:val="20"/>
          <w:szCs w:val="20"/>
        </w:rPr>
        <w:t>;</w:t>
      </w:r>
    </w:p>
    <w:p w14:paraId="7C9B9BA5" w14:textId="274D7A24" w:rsidR="002519AD" w:rsidRPr="009D021F" w:rsidRDefault="002519AD"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1924B6">
      <w:pPr>
        <w:pStyle w:val="ListParagraph"/>
        <w:numPr>
          <w:ilvl w:val="0"/>
          <w:numId w:val="94"/>
        </w:numPr>
        <w:ind w:left="357" w:hanging="357"/>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lastRenderedPageBreak/>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CA59A2">
      <w:pPr>
        <w:pStyle w:val="Style1"/>
      </w:pPr>
      <w:r>
        <w:t>See also</w:t>
      </w:r>
      <w:r w:rsidR="00813752">
        <w:t>:</w:t>
      </w:r>
    </w:p>
    <w:p w14:paraId="6C8D0A04" w14:textId="5D7771AD" w:rsidR="00813752" w:rsidRPr="00813752" w:rsidRDefault="00666237" w:rsidP="00813752">
      <w:pPr>
        <w:pStyle w:val="ListParagraph"/>
        <w:numPr>
          <w:ilvl w:val="0"/>
          <w:numId w:val="94"/>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IMP12y/9y</w:t>
      </w:r>
      <w:r w:rsidR="00813752">
        <w:rPr>
          <w:rFonts w:ascii="Arial" w:hAnsi="Arial" w:cs="Arial"/>
          <w:bCs/>
          <w:color w:val="000000"/>
          <w:sz w:val="20"/>
          <w:lang w:val="en-US"/>
        </w:rPr>
        <w:t>;</w:t>
      </w:r>
    </w:p>
    <w:p w14:paraId="768470FB" w14:textId="1ECD5570" w:rsidR="00CE59EA" w:rsidRPr="00813752" w:rsidRDefault="00813752" w:rsidP="00813752">
      <w:pPr>
        <w:pStyle w:val="ListParagraph"/>
        <w:numPr>
          <w:ilvl w:val="0"/>
          <w:numId w:val="94"/>
        </w:numPr>
        <w:ind w:left="357" w:hanging="357"/>
        <w:jc w:val="both"/>
        <w:rPr>
          <w:rFonts w:ascii="Arial" w:hAnsi="Arial" w:cs="Arial"/>
          <w:sz w:val="20"/>
          <w:szCs w:val="20"/>
        </w:rPr>
      </w:pPr>
      <w:r w:rsidRPr="00813752">
        <w:rPr>
          <w:rFonts w:ascii="Arial" w:hAnsi="Arial" w:cs="Arial"/>
          <w:bCs/>
          <w:i/>
          <w:iCs/>
          <w:color w:val="000000"/>
          <w:sz w:val="20"/>
          <w:lang w:val="en-US"/>
        </w:rPr>
        <w:t>DPP (Cth) v Sherani</w:t>
      </w:r>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r>
        <w:rPr>
          <w:rFonts w:ascii="Arial" w:hAnsi="Arial" w:cs="Arial"/>
          <w:bCs/>
          <w:color w:val="000000"/>
          <w:sz w:val="20"/>
          <w:lang w:val="en-US"/>
        </w:rPr>
        <w:t xml:space="preserve">plea guilty to </w:t>
      </w:r>
      <w:r w:rsidRPr="00813752">
        <w:rPr>
          <w:rFonts w:ascii="Arial" w:hAnsi="Arial" w:cs="Arial"/>
          <w:bCs/>
          <w:color w:val="000000"/>
          <w:sz w:val="20"/>
          <w:lang w:val="en-US"/>
        </w:rPr>
        <w:t xml:space="preserve">charge of being a member of a terrorist organisation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CE59EA">
      <w:pPr>
        <w:pStyle w:val="Heading2"/>
        <w:tabs>
          <w:tab w:val="left" w:pos="567"/>
        </w:tabs>
        <w:spacing w:line="240" w:lineRule="auto"/>
        <w:rPr>
          <w:rFonts w:ascii="Arial" w:hAnsi="Arial" w:cs="Arial"/>
          <w:bCs/>
          <w:color w:val="000000"/>
          <w:sz w:val="20"/>
          <w:lang w:val="en-US"/>
        </w:rPr>
      </w:pPr>
    </w:p>
    <w:p w14:paraId="6361CD54" w14:textId="43818C0D" w:rsidR="00E7356D" w:rsidRPr="00A57557" w:rsidRDefault="00E7356D" w:rsidP="00A57557">
      <w:pPr>
        <w:pStyle w:val="Heading3"/>
        <w:spacing w:after="120" w:line="240" w:lineRule="auto"/>
        <w:rPr>
          <w:rFonts w:ascii="Arial" w:hAnsi="Arial" w:cs="Arial"/>
          <w:b/>
          <w:bCs/>
          <w:sz w:val="20"/>
          <w:lang w:val="en-US"/>
        </w:rPr>
      </w:pPr>
      <w:bookmarkStart w:id="727" w:name="_11.2.34_Sentencing_for"/>
      <w:bookmarkEnd w:id="727"/>
      <w:r w:rsidRPr="00A57557">
        <w:rPr>
          <w:rFonts w:ascii="Arial" w:hAnsi="Arial" w:cs="Arial"/>
          <w:b/>
          <w:bCs/>
          <w:sz w:val="20"/>
        </w:rPr>
        <w:t>11.2.34</w:t>
      </w:r>
      <w:r w:rsidRPr="00A57557">
        <w:rPr>
          <w:rFonts w:ascii="Arial" w:hAnsi="Arial" w:cs="Arial"/>
          <w:b/>
          <w:bCs/>
          <w:sz w:val="20"/>
        </w:rPr>
        <w:tab/>
        <w:t xml:space="preserve">Sentencing for </w:t>
      </w:r>
      <w:r w:rsidR="001B57E0" w:rsidRPr="00A57557">
        <w:rPr>
          <w:rFonts w:ascii="Arial" w:hAnsi="Arial" w:cs="Arial"/>
          <w:b/>
          <w:bCs/>
          <w:sz w:val="20"/>
        </w:rPr>
        <w:t xml:space="preserve">firearms offences: </w:t>
      </w:r>
      <w:r w:rsidRPr="00A57557">
        <w:rPr>
          <w:rFonts w:ascii="Arial" w:hAnsi="Arial" w:cs="Arial"/>
          <w:b/>
          <w:bCs/>
          <w:sz w:val="20"/>
        </w:rPr>
        <w:t>importation</w:t>
      </w:r>
      <w:r w:rsidR="00127335" w:rsidRPr="00A57557">
        <w:rPr>
          <w:rFonts w:ascii="Arial" w:hAnsi="Arial" w:cs="Arial"/>
          <w:b/>
          <w:bCs/>
          <w:sz w:val="20"/>
        </w:rPr>
        <w:t xml:space="preserve">, </w:t>
      </w:r>
      <w:r w:rsidR="007112EE" w:rsidRPr="00A57557">
        <w:rPr>
          <w:rFonts w:ascii="Arial" w:hAnsi="Arial" w:cs="Arial"/>
          <w:b/>
          <w:bCs/>
          <w:sz w:val="20"/>
        </w:rPr>
        <w:t xml:space="preserve">trafficking, </w:t>
      </w:r>
      <w:r w:rsidR="00876CF3" w:rsidRPr="00A57557">
        <w:rPr>
          <w:rFonts w:ascii="Arial" w:hAnsi="Arial" w:cs="Arial"/>
          <w:b/>
          <w:bCs/>
          <w:sz w:val="20"/>
        </w:rPr>
        <w:t>possession</w:t>
      </w:r>
      <w:r w:rsidR="00127335" w:rsidRPr="00A57557">
        <w:rPr>
          <w:rFonts w:ascii="Arial" w:hAnsi="Arial" w:cs="Arial"/>
          <w:b/>
          <w:bCs/>
          <w:sz w:val="20"/>
        </w:rPr>
        <w:t xml:space="preserve"> &amp; discharge</w:t>
      </w: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8" w:name="_A_IMPORTATION_OF"/>
      <w:bookmarkEnd w:id="728"/>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9" w:name="_B_TRAFFICKING_IN"/>
      <w:bookmarkEnd w:id="729"/>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lastRenderedPageBreak/>
        <w:t xml:space="preserve">In </w:t>
      </w:r>
      <w:r w:rsidRPr="007112EE">
        <w:rPr>
          <w:rFonts w:ascii="Arial" w:hAnsi="Arial" w:cs="Arial"/>
          <w:bCs/>
          <w:i/>
          <w:iCs/>
          <w:color w:val="000000"/>
          <w:sz w:val="20"/>
          <w:lang w:val="en-US"/>
        </w:rPr>
        <w:t>Haddara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DPP v Doodt</w:t>
      </w:r>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DPP v Smiljanic</w:t>
      </w:r>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r w:rsidRPr="00837596">
        <w:rPr>
          <w:rFonts w:ascii="Arial" w:hAnsi="Arial" w:cs="Arial"/>
          <w:i/>
          <w:iCs/>
          <w:sz w:val="20"/>
          <w:szCs w:val="16"/>
        </w:rPr>
        <w:t>Doodt</w:t>
      </w:r>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r w:rsidRPr="00837596">
        <w:rPr>
          <w:rFonts w:ascii="Arial" w:hAnsi="Arial" w:cs="Arial"/>
          <w:i/>
          <w:iCs/>
          <w:sz w:val="20"/>
          <w:szCs w:val="16"/>
        </w:rPr>
        <w:t>Doodt</w:t>
      </w:r>
      <w:r w:rsidRPr="00837596">
        <w:rPr>
          <w:rFonts w:ascii="Arial" w:hAnsi="Arial" w:cs="Arial"/>
          <w:sz w:val="20"/>
          <w:szCs w:val="16"/>
        </w:rPr>
        <w:t xml:space="preserve"> — was the offender subject to a CCO at the time. Unlike the applicant, Doodt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r w:rsidR="000D5818" w:rsidRPr="000D5818">
        <w:rPr>
          <w:rFonts w:ascii="Arial" w:hAnsi="Arial" w:cs="Arial"/>
          <w:i/>
          <w:iCs/>
          <w:sz w:val="20"/>
          <w:szCs w:val="16"/>
        </w:rPr>
        <w:t>Smiljanic</w:t>
      </w:r>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F801FA">
      <w:pPr>
        <w:pStyle w:val="Style1"/>
        <w:spacing w:before="120"/>
      </w:pPr>
      <w:r>
        <w:t>The Court of Appeal subsequently affirmed the refusal by Taylor JA to grant leave to appeal. In </w:t>
      </w:r>
      <w:r w:rsidRPr="00EA5B5D">
        <w:rPr>
          <w:i/>
          <w:iCs/>
        </w:rPr>
        <w:t>Haddara v The King</w:t>
      </w:r>
      <w: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Parliament evidently perceived that such shootings were increasing and needed to be met with stern deterrence. Courts would not be heeding Parliament’s intention, or 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imposed, in such cases, unequivocally denounce the kind of conduct engaged 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Pr="000D5818" w:rsidRDefault="00EA5B5D" w:rsidP="00EA5B5D">
      <w:pPr>
        <w:pStyle w:val="Normal-Indent"/>
        <w:widowControl/>
        <w:spacing w:line="240" w:lineRule="auto"/>
        <w:ind w:left="0" w:right="567"/>
        <w:rPr>
          <w:rFonts w:ascii="Arial" w:hAnsi="Arial" w:cs="Arial"/>
          <w:color w:val="000000"/>
          <w:sz w:val="20"/>
        </w:rPr>
      </w:pPr>
    </w:p>
    <w:p w14:paraId="778BCA11" w14:textId="742BEED2"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w:t>
      </w:r>
      <w:r w:rsidR="004F58A8">
        <w:rPr>
          <w:rFonts w:ascii="Arial" w:hAnsi="Arial" w:cs="Arial"/>
          <w:color w:val="000000"/>
          <w:sz w:val="20"/>
        </w:rPr>
        <w:lastRenderedPageBreak/>
        <w:t>[2023] VSCA 286 at [82]-[98]</w:t>
      </w:r>
      <w:r w:rsidR="00650BA7">
        <w:rPr>
          <w:rFonts w:ascii="Arial" w:hAnsi="Arial" w:cs="Arial"/>
          <w:color w:val="000000"/>
          <w:sz w:val="20"/>
        </w:rPr>
        <w:t xml:space="preserve">; </w:t>
      </w:r>
      <w:r w:rsidR="00EA5B5D">
        <w:rPr>
          <w:rFonts w:ascii="Arial" w:hAnsi="Arial" w:cs="Arial"/>
          <w:color w:val="000000"/>
          <w:sz w:val="20"/>
        </w:rPr>
        <w:t>.</w:t>
      </w:r>
      <w:r w:rsidR="00650BA7" w:rsidRPr="00650BA7">
        <w:rPr>
          <w:rFonts w:ascii="Arial" w:hAnsi="Arial" w:cs="Arial"/>
          <w:i/>
          <w:iCs/>
          <w:color w:val="000000"/>
          <w:sz w:val="20"/>
        </w:rPr>
        <w:t>Alessawi v The King; Snowball v The King</w:t>
      </w:r>
      <w:r w:rsidR="00650BA7">
        <w:rPr>
          <w:rFonts w:ascii="Arial" w:hAnsi="Arial" w:cs="Arial"/>
          <w:color w:val="000000"/>
          <w:sz w:val="20"/>
        </w:rPr>
        <w:t xml:space="preserve"> [2025] VSCA 23 at [75]-[77]</w:t>
      </w:r>
      <w:r w:rsidR="00862DCD">
        <w:rPr>
          <w:rFonts w:ascii="Arial" w:hAnsi="Arial" w:cs="Arial"/>
          <w:color w:val="000000"/>
          <w:sz w:val="20"/>
        </w:rPr>
        <w:t xml:space="preserve">; </w:t>
      </w:r>
      <w:r w:rsidR="00862DCD" w:rsidRPr="00A312D1">
        <w:rPr>
          <w:rFonts w:ascii="Arial" w:hAnsi="Arial" w:cs="Arial"/>
          <w:i/>
          <w:iCs/>
          <w:color w:val="000000"/>
          <w:sz w:val="20"/>
        </w:rPr>
        <w:t>Malovski v The King</w:t>
      </w:r>
      <w:r w:rsidR="00862DCD">
        <w:rPr>
          <w:rFonts w:ascii="Arial" w:hAnsi="Arial" w:cs="Arial"/>
          <w:color w:val="000000"/>
          <w:sz w:val="20"/>
        </w:rPr>
        <w:t xml:space="preserve"> [2025] VSCA 72</w:t>
      </w:r>
      <w:r w:rsidR="00EA2473">
        <w:rPr>
          <w:rFonts w:ascii="Arial" w:hAnsi="Arial" w:cs="Arial"/>
          <w:color w:val="000000"/>
          <w:sz w:val="20"/>
        </w:rPr>
        <w:t xml:space="preserve">; </w:t>
      </w:r>
      <w:r w:rsidR="00EA2473" w:rsidRPr="00EA2473">
        <w:rPr>
          <w:rFonts w:ascii="Arial" w:hAnsi="Arial" w:cs="Arial"/>
          <w:i/>
          <w:iCs/>
          <w:color w:val="000000"/>
          <w:sz w:val="20"/>
        </w:rPr>
        <w:t>Mehrdadian v The King</w:t>
      </w:r>
      <w:r w:rsidR="00EA2473">
        <w:rPr>
          <w:rFonts w:ascii="Arial" w:hAnsi="Arial" w:cs="Arial"/>
          <w:color w:val="000000"/>
          <w:sz w:val="20"/>
        </w:rPr>
        <w:t xml:space="preserve"> [2025] VSCA 125 at [26]-[35]</w:t>
      </w:r>
      <w:r w:rsidR="00650BA7">
        <w:rPr>
          <w:rFonts w:ascii="Arial" w:hAnsi="Arial" w:cs="Arial"/>
          <w:color w:val="000000"/>
          <w:sz w:val="20"/>
        </w:rPr>
        <w:t>.</w:t>
      </w:r>
    </w:p>
    <w:p w14:paraId="766B8463" w14:textId="16EC5609"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30" w:name="_C_IN_CONJUNCTION"/>
      <w:bookmarkEnd w:id="730"/>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8132AE">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32"/>
        </w:numPr>
        <w:ind w:left="357" w:hanging="357"/>
        <w:jc w:val="both"/>
        <w:rPr>
          <w:rFonts w:ascii="Arial" w:hAnsi="Arial" w:cs="Arial"/>
          <w:color w:val="000000"/>
          <w:sz w:val="20"/>
          <w:szCs w:val="20"/>
        </w:rPr>
      </w:pPr>
      <w:r>
        <w:rPr>
          <w:rFonts w:ascii="Arial" w:hAnsi="Arial" w:cs="Arial"/>
          <w:color w:val="000000"/>
          <w:sz w:val="20"/>
          <w:szCs w:val="20"/>
        </w:rPr>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32"/>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CA59A2">
      <w:pPr>
        <w:pStyle w:val="Style1"/>
      </w:pPr>
      <w:r>
        <w:t>At [22]-[24] &amp; [29] Priest &amp; Niall JJA said:</w:t>
      </w:r>
    </w:p>
    <w:p w14:paraId="792CD411" w14:textId="378C73E1" w:rsidR="00EA76E9" w:rsidRDefault="00922FC0" w:rsidP="00CA59A2">
      <w:pPr>
        <w:pStyle w:val="Style1"/>
        <w:spacing w:before="60"/>
        <w:ind w:left="567" w:right="567"/>
      </w:pPr>
      <w:r>
        <w:t>[22] “</w:t>
      </w:r>
      <w:r w:rsidRPr="00922FC0">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CA59A2">
      <w:pPr>
        <w:pStyle w:val="Style1"/>
        <w:spacing w:before="60"/>
        <w:ind w:left="567" w:right="567"/>
      </w:pPr>
      <w:r>
        <w:t xml:space="preserve">[23] </w:t>
      </w:r>
      <w:r w:rsidRPr="00922FC0">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3A1A283C" w:rsidR="00922FC0" w:rsidRDefault="00922FC0" w:rsidP="00CA59A2">
      <w:pPr>
        <w:pStyle w:val="Style1"/>
        <w:spacing w:before="60"/>
        <w:ind w:left="567" w:right="567"/>
      </w:pPr>
      <w:r>
        <w:t xml:space="preserve">[24] </w:t>
      </w:r>
      <w:r w:rsidRPr="00922FC0">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t xml:space="preserve">: </w:t>
      </w:r>
      <w:r w:rsidRPr="00922FC0">
        <w:rPr>
          <w:i/>
          <w:iCs/>
        </w:rPr>
        <w:t>R v Sultana</w:t>
      </w:r>
      <w:r>
        <w:t xml:space="preserve"> (1994) 74 A Crim R 27, 29-30.</w:t>
      </w:r>
      <w:r w:rsidRPr="00922FC0">
        <w:t xml:space="preserve"> As was the case in </w:t>
      </w:r>
      <w:r w:rsidRPr="00922FC0">
        <w:rPr>
          <w:i/>
          <w:iCs/>
        </w:rPr>
        <w:t>Acciarito v The Queen</w:t>
      </w:r>
      <w:r>
        <w:t xml:space="preserve"> [2019] VSCA 264 [52]</w:t>
      </w:r>
      <w:r w:rsidRPr="00922FC0">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r w:rsidRPr="00922FC0">
        <w:rPr>
          <w:i/>
          <w:iCs/>
        </w:rPr>
        <w:t>Berichon v The Queen</w:t>
      </w:r>
      <w:r>
        <w:t xml:space="preserve"> (2013) 40 VR</w:t>
      </w:r>
      <w:r w:rsidRPr="00922FC0">
        <w:t xml:space="preserve"> </w:t>
      </w:r>
      <w:r>
        <w:t xml:space="preserve">490, 496 </w:t>
      </w:r>
      <w:r w:rsidRPr="00922FC0">
        <w:t>as the more serious form of the firearm offence.</w:t>
      </w:r>
    </w:p>
    <w:p w14:paraId="64643A7E" w14:textId="64D8A88B" w:rsidR="00922FC0" w:rsidRDefault="00922FC0" w:rsidP="00CA59A2">
      <w:pPr>
        <w:pStyle w:val="Style1"/>
        <w:spacing w:before="60"/>
        <w:ind w:left="567" w:right="567"/>
      </w:pPr>
      <w:r>
        <w:t>[29] As we have indicated, we agree with the judge that the ‘possession of firearms by prohibited persons is a serious offence that must attract stern consequences’.”</w:t>
      </w:r>
    </w:p>
    <w:p w14:paraId="6E4F1599" w14:textId="77777777" w:rsidR="00842242" w:rsidRPr="00DC4119" w:rsidRDefault="00842242" w:rsidP="00842242">
      <w:pPr>
        <w:jc w:val="both"/>
        <w:rPr>
          <w:rFonts w:ascii="Arial" w:hAnsi="Arial" w:cs="Arial"/>
          <w:color w:val="000000"/>
          <w:sz w:val="20"/>
        </w:rPr>
      </w:pPr>
      <w:bookmarkStart w:id="731" w:name="_D_HOMICIDE_BY"/>
      <w:bookmarkStart w:id="732" w:name="_11.2.35_Sentencing_for"/>
      <w:bookmarkEnd w:id="731"/>
      <w:bookmarkEnd w:id="732"/>
    </w:p>
    <w:p w14:paraId="6AFC8065" w14:textId="77777777" w:rsidR="00842242" w:rsidRPr="001E6BE9" w:rsidRDefault="00842242" w:rsidP="00842242">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D69F98" w14:textId="77777777" w:rsidR="00842242" w:rsidRPr="00102D2A" w:rsidRDefault="00842242" w:rsidP="00842242">
      <w:pPr>
        <w:rPr>
          <w:rFonts w:ascii="Arial" w:hAnsi="Arial" w:cs="Arial"/>
          <w:color w:val="000000"/>
          <w:sz w:val="20"/>
        </w:rPr>
      </w:pPr>
    </w:p>
    <w:p w14:paraId="54D9585C" w14:textId="77777777" w:rsidR="00842242" w:rsidRDefault="00842242">
      <w:pPr>
        <w:rPr>
          <w:rFonts w:ascii="Arial" w:hAnsi="Arial" w:cs="Arial"/>
          <w:b/>
          <w:bCs/>
          <w:kern w:val="28"/>
          <w:sz w:val="20"/>
          <w:szCs w:val="20"/>
          <w:lang w:val="en-GB"/>
        </w:rPr>
      </w:pPr>
      <w:r>
        <w:rPr>
          <w:rFonts w:ascii="Arial" w:hAnsi="Arial" w:cs="Arial"/>
          <w:b/>
          <w:bCs/>
          <w:sz w:val="20"/>
        </w:rPr>
        <w:br w:type="page"/>
      </w:r>
    </w:p>
    <w:p w14:paraId="2170BDD2" w14:textId="5B8D3FE7" w:rsidR="00A105CE" w:rsidRDefault="00A105CE" w:rsidP="00565E19">
      <w:pPr>
        <w:pStyle w:val="Heading3"/>
        <w:keepNext/>
        <w:keepLines/>
        <w:widowControl/>
        <w:spacing w:after="120" w:line="240" w:lineRule="auto"/>
        <w:rPr>
          <w:rFonts w:ascii="Arial" w:hAnsi="Arial" w:cs="Arial"/>
          <w:b/>
          <w:bCs/>
          <w:sz w:val="20"/>
        </w:rPr>
      </w:pPr>
      <w:r w:rsidRPr="00565E19">
        <w:rPr>
          <w:rFonts w:ascii="Arial" w:hAnsi="Arial" w:cs="Arial"/>
          <w:b/>
          <w:bCs/>
          <w:sz w:val="20"/>
        </w:rPr>
        <w:lastRenderedPageBreak/>
        <w:t>11.2.35</w:t>
      </w:r>
      <w:r w:rsidRPr="00565E19">
        <w:rPr>
          <w:rFonts w:ascii="Arial" w:hAnsi="Arial" w:cs="Arial"/>
          <w:b/>
          <w:bCs/>
          <w:sz w:val="20"/>
        </w:rPr>
        <w:tab/>
        <w:t>Sentencing for theft</w:t>
      </w:r>
      <w:r w:rsidR="008132AE" w:rsidRPr="00565E19">
        <w:rPr>
          <w:rFonts w:ascii="Arial" w:hAnsi="Arial" w:cs="Arial"/>
          <w:b/>
          <w:bCs/>
          <w:sz w:val="20"/>
        </w:rPr>
        <w:t xml:space="preserve"> &amp;</w:t>
      </w:r>
      <w:r w:rsidR="00F27DA2" w:rsidRPr="00565E19">
        <w:rPr>
          <w:rFonts w:ascii="Arial" w:hAnsi="Arial" w:cs="Arial"/>
          <w:b/>
          <w:bCs/>
          <w:sz w:val="20"/>
        </w:rPr>
        <w:t xml:space="preserve"> deception</w:t>
      </w:r>
      <w:r w:rsidR="008132AE" w:rsidRPr="00565E19">
        <w:rPr>
          <w:rFonts w:ascii="Arial" w:hAnsi="Arial" w:cs="Arial"/>
          <w:b/>
          <w:bCs/>
          <w:sz w:val="20"/>
        </w:rPr>
        <w:t xml:space="preserve"> offences</w:t>
      </w:r>
    </w:p>
    <w:p w14:paraId="3876411C" w14:textId="0C85AED2"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THEFT, THEFT OF FIREARMS &amp; THEFT OF MOTOR VEHICLE</w:t>
      </w: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A96DB5" w14:textId="754499FC" w:rsidR="00DB3036" w:rsidRPr="00B9632F" w:rsidRDefault="00DB3036" w:rsidP="00B9632F">
      <w:pPr>
        <w:pStyle w:val="Style1"/>
        <w:rPr>
          <w:bCs/>
          <w:color w:val="000000"/>
        </w:rPr>
      </w:pPr>
      <w:r w:rsidRPr="00B9632F">
        <w:rPr>
          <w:bCs/>
          <w:color w:val="000000"/>
        </w:rPr>
        <w:t xml:space="preserve">See also </w:t>
      </w:r>
      <w:r w:rsidRPr="00B9632F">
        <w:rPr>
          <w:i/>
          <w:iCs/>
        </w:rPr>
        <w:t>Everett v The King</w:t>
      </w:r>
      <w:r w:rsidRPr="00B9632F">
        <w:t xml:space="preserve"> [2025] VSCA 96 at [58]-[59].</w:t>
      </w:r>
    </w:p>
    <w:p w14:paraId="700808B7" w14:textId="77777777" w:rsidR="008132AE" w:rsidRDefault="008132AE" w:rsidP="008132AE">
      <w:pPr>
        <w:pStyle w:val="Heading2"/>
        <w:keepNext/>
        <w:keepLines/>
        <w:widowControl/>
        <w:tabs>
          <w:tab w:val="left" w:pos="567"/>
        </w:tabs>
        <w:spacing w:line="240" w:lineRule="auto"/>
        <w:ind w:left="567" w:hanging="567"/>
        <w:rPr>
          <w:rFonts w:ascii="Arial" w:hAnsi="Arial" w:cs="Arial"/>
          <w:color w:val="000000"/>
          <w:sz w:val="20"/>
        </w:rPr>
      </w:pPr>
    </w:p>
    <w:p w14:paraId="5F851F13" w14:textId="548F29D8"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bookmarkStart w:id="733" w:name="_B_DECEPTION"/>
      <w:bookmarkEnd w:id="733"/>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DECEPTION</w:t>
      </w:r>
    </w:p>
    <w:p w14:paraId="09349E7D" w14:textId="1C72DE52" w:rsidR="009D06F4" w:rsidRPr="00B9632F" w:rsidRDefault="00F27DA2" w:rsidP="00B9632F">
      <w:pPr>
        <w:pStyle w:val="Style1"/>
        <w:rPr>
          <w:lang w:val="en-AU"/>
        </w:rPr>
      </w:pPr>
      <w:r w:rsidRPr="00B9632F">
        <w:t xml:space="preserve">In </w:t>
      </w:r>
      <w:r w:rsidRPr="00B9632F">
        <w:rPr>
          <w:i/>
          <w:iCs/>
        </w:rPr>
        <w:t>Sakipon v The King</w:t>
      </w:r>
      <w:r w:rsidRPr="00B9632F">
        <w:t xml:space="preserve"> [2025] VSCA 93 </w:t>
      </w:r>
      <w:r w:rsidR="00AA6B66" w:rsidRPr="00B9632F">
        <w:t xml:space="preserve">the </w:t>
      </w:r>
      <w:r w:rsidRPr="00B9632F">
        <w:t xml:space="preserve">applicant </w:t>
      </w:r>
      <w:r w:rsidR="00AA6B66" w:rsidRPr="00B9632F">
        <w:t xml:space="preserve">(aged between 47 &amp; 49 when he committed the offences and 55 on the day of sentencing) </w:t>
      </w:r>
      <w:r w:rsidRPr="00B9632F">
        <w:t xml:space="preserve">had pleaded guilty to </w:t>
      </w:r>
      <w:r w:rsidR="00AA6B66" w:rsidRPr="00B9632F">
        <w:t>7 charges of obtaining a financial advantage by deception and 4 charges of obtaining property by deception. The offending occurred over a period of 16 months and involved 10 victims. The total value was $110</w:t>
      </w:r>
      <w:r w:rsidR="008B77B5" w:rsidRPr="00B9632F">
        <w:t>,</w:t>
      </w:r>
      <w:r w:rsidR="00AA6B66" w:rsidRPr="00B9632F">
        <w:t xml:space="preserve">610. He was sentenced to TES IMP7y7m/6y. At the time of </w:t>
      </w:r>
      <w:r w:rsidR="009D06F4" w:rsidRPr="00B9632F">
        <w:t xml:space="preserve">some of </w:t>
      </w:r>
      <w:r w:rsidR="00AA6B66" w:rsidRPr="00B9632F">
        <w:t>this offending the applicant was on parole in relation to 32</w:t>
      </w:r>
      <w:r w:rsidR="009D06F4" w:rsidRPr="00B9632F">
        <w:t> </w:t>
      </w:r>
      <w:r w:rsidR="00AA6B66" w:rsidRPr="00B9632F">
        <w:t xml:space="preserve">counts of </w:t>
      </w:r>
      <w:r w:rsidR="00AA6B66" w:rsidRPr="00B9632F">
        <w:rPr>
          <w:lang w:val="en-AU"/>
        </w:rPr>
        <w:t xml:space="preserve">obtaining property by deception and 17 counts of obtaining a financial advantage by deception for which he had received a TES IMP7y/5y. </w:t>
      </w:r>
      <w:r w:rsidR="009D06F4" w:rsidRPr="00B9632F">
        <w:rPr>
          <w:lang w:val="en-AU"/>
        </w:rPr>
        <w:t>He also had other relevant prior convictions including two earlier sentences of imprisonment for offences including deception.</w:t>
      </w:r>
    </w:p>
    <w:p w14:paraId="16CC478B" w14:textId="699CDEA9" w:rsidR="008C4F8B" w:rsidRDefault="00AA6B66" w:rsidP="00277ECF">
      <w:pPr>
        <w:pStyle w:val="Style1"/>
        <w:spacing w:before="120"/>
      </w:pPr>
      <w:r>
        <w:t>The Court of Appeal dismissed the applicant’s appeal, holding that the sentencing judge had not erred in concluding that the applicant’s prospects of rehabilitation were poor and that the sentence, although stern, was not manifestly excessive. At [103]</w:t>
      </w:r>
      <w:r w:rsidR="00795DD1">
        <w:t>-</w:t>
      </w:r>
      <w:r>
        <w:t>[106] Beach &amp; Kaye JJA said:</w:t>
      </w:r>
    </w:p>
    <w:p w14:paraId="2EC88A32" w14:textId="00190AEE" w:rsidR="00F27DA2" w:rsidRDefault="00F27DA2" w:rsidP="00277ECF">
      <w:pPr>
        <w:pStyle w:val="Style1"/>
        <w:spacing w:before="60"/>
        <w:ind w:left="567" w:right="567"/>
      </w:pPr>
      <w:r>
        <w:t>[103] “...</w:t>
      </w:r>
      <w:r w:rsidRPr="00F27DA2">
        <w:t>In our view, there is no basis for any suggestion that any of the individual sentences imposed in this case were manifestly excessive. It may be accepted that, given the total quantum of the applicant’s offending (some $110,000), the total effective sentence produced by the orders for cumulation is somewhat stern. That said, other than the significant utilitarian benefit from the applicant’s pleas of guilty, there was little the applicant could rely upon by way of mitigation in this case.</w:t>
      </w:r>
    </w:p>
    <w:p w14:paraId="2F6D6DEE" w14:textId="5DD68AF7" w:rsidR="00F27DA2" w:rsidRDefault="00F27DA2" w:rsidP="00277ECF">
      <w:pPr>
        <w:pStyle w:val="Style1"/>
        <w:spacing w:before="60"/>
        <w:ind w:left="567" w:right="567"/>
      </w:pPr>
      <w:r>
        <w:t xml:space="preserve">[104] </w:t>
      </w:r>
      <w:r w:rsidRPr="00F27DA2">
        <w:t>Although the amounts involved in the individual offences were not, in the main, substantial, nevertheless, the offending itself was objectively serious, and the applicant’s subjective culpability for that offending was high. The offending was premeditated and predatory. The applicant preyed on the vulnerability and trust of his innocent victims, in some cases repeatedly beguiling them with his deliberately false representations. In particular, his conduct in exploiting the naivety and inexperience of the young victim of charges 2 and 3 was particularly egregious. Moreover, as already discussed, the applicant has evinced no remorse for, or recognition of, the wrongfulness of his actions.</w:t>
      </w:r>
    </w:p>
    <w:p w14:paraId="6DA11055" w14:textId="691B3BA0" w:rsidR="00F27DA2" w:rsidRDefault="00F27DA2" w:rsidP="00277ECF">
      <w:pPr>
        <w:pStyle w:val="Style1"/>
        <w:spacing w:before="60"/>
        <w:ind w:left="567" w:right="567"/>
      </w:pPr>
      <w:r>
        <w:lastRenderedPageBreak/>
        <w:t xml:space="preserve">[105] </w:t>
      </w:r>
      <w:r w:rsidRPr="00F27DA2">
        <w:t>In those circumstances, the sentencing purposes of general deterrence, denunciation and specific deterrence were of particular importance in this case. It is important that other persons, who might be minded to engage in the kind of dishonesty practised by the applicant, must understand that, upon apprehension, they will lose their right to remain at liberty and within our society for a substantial period of time. In addition, it is particularly important that the sentences imposed in cases such as this appropriately denounce the criminality of the offending, and make plain that the kind of dishonestly practised by the applicant is entirely alien to the most fundamental values of our society. Finally, in view of the applicant’s recidivism, and his lack of remorse, the sentencing purpose of specific deterrence was of paramount importance, to drive home to the applicant that any further such offending will be met with a lengthy period of imprisonment.</w:t>
      </w:r>
    </w:p>
    <w:p w14:paraId="506E4265" w14:textId="22334B46" w:rsidR="00F27DA2" w:rsidRDefault="00F27DA2" w:rsidP="00277ECF">
      <w:pPr>
        <w:pStyle w:val="Style1"/>
        <w:spacing w:before="60"/>
        <w:ind w:left="567" w:right="567"/>
      </w:pPr>
      <w:r>
        <w:t xml:space="preserve">[106] </w:t>
      </w:r>
      <w:r w:rsidRPr="00F27DA2">
        <w:t>Synthesising for ourselves the circumstances of the applicant and his offending, and giving full mitigatory effect to the circumstances and utilitarian value of his pleas of guilty, we are unable to accept that the total effective sentence imposed by the judge was wholly outside the permissible range of sentencing options available to her. The fact that the sentence might be described as somewhat stern in all the circumstances is not sufficient to establish that it was manifestly excessive.</w:t>
      </w:r>
      <w:r>
        <w:t>”</w:t>
      </w:r>
      <w:r w:rsidR="00DB3036">
        <w:t xml:space="preserve"> </w:t>
      </w:r>
    </w:p>
    <w:p w14:paraId="51DCEC39" w14:textId="0910201D" w:rsidR="00F27DA2" w:rsidRDefault="00F27DA2" w:rsidP="0092468E">
      <w:pPr>
        <w:pStyle w:val="Heading2"/>
        <w:tabs>
          <w:tab w:val="left" w:pos="567"/>
        </w:tabs>
        <w:spacing w:line="240" w:lineRule="auto"/>
        <w:rPr>
          <w:rFonts w:ascii="Arial" w:hAnsi="Arial" w:cs="Arial"/>
          <w:bCs/>
          <w:color w:val="000000"/>
          <w:sz w:val="20"/>
          <w:lang w:val="en-US"/>
        </w:rPr>
      </w:pPr>
    </w:p>
    <w:p w14:paraId="0B356D68" w14:textId="2AEE8082" w:rsidR="006F715D" w:rsidRDefault="005A1724" w:rsidP="006F715D">
      <w:pPr>
        <w:pStyle w:val="Style1"/>
        <w:rPr>
          <w:lang w:val="en-AU"/>
        </w:rPr>
      </w:pPr>
      <w:r>
        <w:rPr>
          <w:bCs/>
          <w:color w:val="000000"/>
        </w:rPr>
        <w:t xml:space="preserve">In </w:t>
      </w:r>
      <w:r w:rsidRPr="00DB3036">
        <w:rPr>
          <w:i/>
          <w:iCs/>
        </w:rPr>
        <w:t>DPP v Charisiou</w:t>
      </w:r>
      <w:r>
        <w:t xml:space="preserve"> [2024] VSC 303 </w:t>
      </w:r>
      <w:r w:rsidR="006F715D">
        <w:t xml:space="preserve">the 63 year old accused </w:t>
      </w:r>
      <w:r w:rsidR="00384E90">
        <w:t xml:space="preserve">with no prior criminal history </w:t>
      </w:r>
      <w:r w:rsidR="006F715D">
        <w:t xml:space="preserve">had pleaded guilty to 2 charges of obtaining a financial advantage by deception and two charges of using false documents in circumstances where he had engaged in business transactions with Korean companies </w:t>
      </w:r>
      <w:r w:rsidR="006F715D" w:rsidRPr="006F715D">
        <w:rPr>
          <w:lang w:val="en-AU"/>
        </w:rPr>
        <w:t>in relation to purported supply of National Disability Insurance Scheme approved housing</w:t>
      </w:r>
      <w:r w:rsidR="006F715D">
        <w:rPr>
          <w:lang w:val="en-AU"/>
        </w:rPr>
        <w:t>.</w:t>
      </w:r>
    </w:p>
    <w:p w14:paraId="20FBF90B" w14:textId="435EEB5A" w:rsidR="006F715D" w:rsidRDefault="006F715D" w:rsidP="006F715D">
      <w:pPr>
        <w:pStyle w:val="Style1"/>
        <w:spacing w:before="120"/>
      </w:pPr>
      <w:r>
        <w:rPr>
          <w:lang w:val="en-AU"/>
        </w:rPr>
        <w:t xml:space="preserve">In imposing a sentence of IMP12y/8y Champion J said at [105]: “As to </w:t>
      </w:r>
      <w:r w:rsidRPr="005A1724">
        <w:rPr>
          <w:lang w:val="en-AU"/>
        </w:rPr>
        <w:t>the objective gravity of your conduct, yours was an example of grave offending. The monetary amounts involved are extremely high when compared to past cases involving the commission of similar offences</w:t>
      </w:r>
      <w:r>
        <w:rPr>
          <w:lang w:val="en-AU"/>
        </w:rPr>
        <w:t>”.</w:t>
      </w:r>
    </w:p>
    <w:p w14:paraId="160C04C1" w14:textId="70676FD9" w:rsidR="006F715D" w:rsidRDefault="006F715D" w:rsidP="006F715D">
      <w:pPr>
        <w:pStyle w:val="Style1"/>
        <w:spacing w:before="120"/>
      </w:pPr>
      <w:r>
        <w:rPr>
          <w:lang w:val="en-AU"/>
        </w:rPr>
        <w:t xml:space="preserve">At [140]-[153] his Honour discussed a number of other deception cases – including </w:t>
      </w:r>
      <w:r w:rsidRPr="00436F65">
        <w:rPr>
          <w:bCs/>
          <w:i/>
          <w:iCs/>
          <w:color w:val="000000"/>
          <w:lang w:val="en-AU"/>
        </w:rPr>
        <w:t>Kenyeres v The King</w:t>
      </w:r>
      <w:r w:rsidRPr="00436F65">
        <w:rPr>
          <w:bCs/>
          <w:color w:val="000000"/>
          <w:lang w:val="en-AU"/>
        </w:rPr>
        <w:t xml:space="preserve"> [2023] VSCA 25</w:t>
      </w:r>
      <w:r>
        <w:rPr>
          <w:bCs/>
          <w:color w:val="000000"/>
          <w:lang w:val="en-AU"/>
        </w:rPr>
        <w:t xml:space="preserve">; </w:t>
      </w:r>
      <w:r w:rsidRPr="002F4F7A">
        <w:rPr>
          <w:bCs/>
          <w:i/>
          <w:iCs/>
          <w:color w:val="000000"/>
          <w:lang w:val="en-AU"/>
        </w:rPr>
        <w:t>Mao &amp; Niu v The King</w:t>
      </w:r>
      <w:r>
        <w:rPr>
          <w:bCs/>
          <w:color w:val="000000"/>
          <w:lang w:val="en-AU"/>
        </w:rPr>
        <w:t xml:space="preserve"> [2022] VSCA 211; </w:t>
      </w:r>
      <w:r w:rsidRPr="002F4F7A">
        <w:rPr>
          <w:bCs/>
          <w:i/>
          <w:iCs/>
          <w:color w:val="000000"/>
          <w:lang w:val="en-AU"/>
        </w:rPr>
        <w:t>Gonzalez v The Queen</w:t>
      </w:r>
      <w:r>
        <w:rPr>
          <w:bCs/>
          <w:color w:val="000000"/>
          <w:lang w:val="en-AU"/>
        </w:rPr>
        <w:t xml:space="preserve"> [2022] VSCA 110; </w:t>
      </w:r>
      <w:r w:rsidRPr="002F4F7A">
        <w:rPr>
          <w:bCs/>
          <w:i/>
          <w:iCs/>
          <w:color w:val="000000"/>
          <w:lang w:val="en-AU"/>
        </w:rPr>
        <w:t>DPP v Bulfin</w:t>
      </w:r>
      <w:r>
        <w:rPr>
          <w:bCs/>
          <w:color w:val="000000"/>
          <w:lang w:val="en-AU"/>
        </w:rPr>
        <w:t xml:space="preserve"> </w:t>
      </w:r>
      <w:r w:rsidRPr="002F4F7A">
        <w:rPr>
          <w:bCs/>
          <w:color w:val="000000"/>
          <w:lang w:val="en-AU"/>
        </w:rPr>
        <w:t>(1998) 4 VR 114</w:t>
      </w:r>
      <w:r>
        <w:rPr>
          <w:bCs/>
          <w:color w:val="000000"/>
          <w:lang w:val="en-AU"/>
        </w:rPr>
        <w:t xml:space="preserve"> and </w:t>
      </w:r>
      <w:r w:rsidRPr="002F4F7A">
        <w:rPr>
          <w:bCs/>
          <w:i/>
          <w:iCs/>
          <w:color w:val="000000"/>
          <w:lang w:val="en-AU"/>
        </w:rPr>
        <w:t>Koch v The Queen</w:t>
      </w:r>
      <w:r w:rsidRPr="002F4F7A">
        <w:rPr>
          <w:bCs/>
          <w:color w:val="000000"/>
          <w:lang w:val="en-AU"/>
        </w:rPr>
        <w:t xml:space="preserve"> [2011] VSCA 435</w:t>
      </w:r>
      <w:r>
        <w:rPr>
          <w:bCs/>
          <w:color w:val="000000"/>
          <w:lang w:val="en-AU"/>
        </w:rPr>
        <w:t xml:space="preserve"> as well as three NSW cases referred to in paragraph [152] – noting </w:t>
      </w:r>
      <w:r w:rsidR="00B03790">
        <w:rPr>
          <w:bCs/>
          <w:color w:val="000000"/>
          <w:lang w:val="en-AU"/>
        </w:rPr>
        <w:t>howeve</w:t>
      </w:r>
      <w:r>
        <w:rPr>
          <w:bCs/>
          <w:color w:val="000000"/>
          <w:lang w:val="en-AU"/>
        </w:rPr>
        <w:t>r at [143] &amp; [153]:</w:t>
      </w:r>
    </w:p>
    <w:p w14:paraId="1F1D0003" w14:textId="15D8759F" w:rsidR="002F4F7A" w:rsidRDefault="002F4F7A" w:rsidP="006F715D">
      <w:pPr>
        <w:pStyle w:val="Style1"/>
        <w:spacing w:before="60"/>
        <w:ind w:left="567" w:right="567"/>
      </w:pPr>
      <w:r>
        <w:t>[143] “</w:t>
      </w:r>
      <w:r w:rsidRPr="002F4F7A">
        <w:t>As a starting point, it must be stated that the amounts defrauded in the table of cases provided by the prosecution do not approach the $38 million the subject of the charges 1 and 2 in this matter, and the scale of monies associated with the use of false documents connected to charges 3 and 4 on the indictment. The scale of your fraudulent activity whilst breathtaking, must however, be kept in perspective</w:t>
      </w:r>
      <w:r>
        <w:t>.”</w:t>
      </w:r>
    </w:p>
    <w:p w14:paraId="19C6F8C5" w14:textId="1577F858" w:rsidR="006F715D" w:rsidRDefault="00B03790" w:rsidP="006F715D">
      <w:pPr>
        <w:pStyle w:val="Style1"/>
        <w:spacing w:before="60"/>
        <w:ind w:left="567" w:right="567"/>
        <w:rPr>
          <w:szCs w:val="16"/>
        </w:rPr>
      </w:pPr>
      <w:r>
        <w:rPr>
          <w:szCs w:val="16"/>
        </w:rPr>
        <w:t>[</w:t>
      </w:r>
      <w:r w:rsidR="006F715D" w:rsidRPr="006F715D">
        <w:rPr>
          <w:szCs w:val="16"/>
        </w:rPr>
        <w:t>153</w:t>
      </w:r>
      <w:r>
        <w:rPr>
          <w:szCs w:val="16"/>
        </w:rPr>
        <w:t>]</w:t>
      </w:r>
      <w:r w:rsidR="006F715D" w:rsidRPr="006F715D">
        <w:rPr>
          <w:szCs w:val="16"/>
        </w:rPr>
        <w:t xml:space="preserve"> </w:t>
      </w:r>
      <w:r>
        <w:rPr>
          <w:szCs w:val="16"/>
        </w:rPr>
        <w:t>“</w:t>
      </w:r>
      <w:r w:rsidR="006F715D" w:rsidRPr="006F715D">
        <w:rPr>
          <w:szCs w:val="16"/>
        </w:rPr>
        <w:t>Whilst none of the above cases are completely analogous to the present circumstances, I have taken them into account in my sentencing decision. I accept the submission of your counsel that when having regard to the decisions of past cases, whilst a matter of significance, a sentencing court should not place undue emphasis on quantum as the predominant or sole factor in assessing the gravity of your conduct.</w:t>
      </w:r>
      <w:r>
        <w:rPr>
          <w:szCs w:val="16"/>
        </w:rPr>
        <w:t>”</w:t>
      </w:r>
    </w:p>
    <w:p w14:paraId="173B572E" w14:textId="77777777" w:rsidR="005A1724" w:rsidRDefault="005A1724" w:rsidP="0092468E">
      <w:pPr>
        <w:pStyle w:val="Heading2"/>
        <w:tabs>
          <w:tab w:val="left" w:pos="567"/>
        </w:tabs>
        <w:spacing w:line="240" w:lineRule="auto"/>
        <w:rPr>
          <w:rFonts w:ascii="Arial" w:hAnsi="Arial" w:cs="Arial"/>
          <w:bCs/>
          <w:color w:val="000000"/>
          <w:sz w:val="20"/>
          <w:lang w:val="en-US"/>
        </w:rPr>
      </w:pPr>
    </w:p>
    <w:p w14:paraId="66DA497F" w14:textId="0E49D201" w:rsidR="00DC3565" w:rsidRDefault="00DC3565" w:rsidP="004A0F18">
      <w:pPr>
        <w:pStyle w:val="Style1"/>
      </w:pPr>
      <w:r>
        <w:t xml:space="preserve">See also </w:t>
      </w:r>
      <w:r w:rsidR="00436F65" w:rsidRPr="00436F65">
        <w:rPr>
          <w:i/>
          <w:iCs/>
          <w:lang w:val="en-AU"/>
        </w:rPr>
        <w:t>Kenyeres v The King</w:t>
      </w:r>
      <w:r w:rsidR="00436F65" w:rsidRPr="00436F65">
        <w:rPr>
          <w:lang w:val="en-AU"/>
        </w:rPr>
        <w:t xml:space="preserve"> [2023] VSCA 25</w:t>
      </w:r>
      <w:r w:rsidR="00436F65">
        <w:rPr>
          <w:lang w:val="en-AU"/>
        </w:rPr>
        <w:t xml:space="preserve"> at</w:t>
      </w:r>
      <w:r w:rsidR="00436F65" w:rsidRPr="00436F65">
        <w:rPr>
          <w:lang w:val="en-AU"/>
        </w:rPr>
        <w:t xml:space="preserve"> [13], [24]</w:t>
      </w:r>
      <w:r w:rsidR="00436F65">
        <w:rPr>
          <w:lang w:val="en-AU"/>
        </w:rPr>
        <w:t xml:space="preserve"> &amp;</w:t>
      </w:r>
      <w:r w:rsidR="00436F65" w:rsidRPr="00436F65">
        <w:rPr>
          <w:lang w:val="en-AU"/>
        </w:rPr>
        <w:t xml:space="preserve"> [75]</w:t>
      </w:r>
      <w:r w:rsidR="00436F65">
        <w:rPr>
          <w:lang w:val="en-AU"/>
        </w:rPr>
        <w:t>;</w:t>
      </w:r>
      <w:r w:rsidR="00B9632F">
        <w:rPr>
          <w:szCs w:val="16"/>
        </w:rPr>
        <w:t xml:space="preserve"> </w:t>
      </w:r>
      <w:r w:rsidR="00436F65">
        <w:rPr>
          <w:i/>
          <w:iCs/>
          <w:szCs w:val="16"/>
        </w:rPr>
        <w:t>DPP v L</w:t>
      </w:r>
      <w:r w:rsidR="00436F65" w:rsidRPr="00436F65">
        <w:rPr>
          <w:i/>
          <w:iCs/>
          <w:szCs w:val="16"/>
        </w:rPr>
        <w:t xml:space="preserve">apatis; </w:t>
      </w:r>
      <w:r w:rsidR="00436F65">
        <w:rPr>
          <w:i/>
          <w:iCs/>
          <w:szCs w:val="16"/>
        </w:rPr>
        <w:t xml:space="preserve">DPP v </w:t>
      </w:r>
      <w:r w:rsidR="00436F65" w:rsidRPr="00436F65">
        <w:rPr>
          <w:i/>
          <w:iCs/>
          <w:szCs w:val="16"/>
        </w:rPr>
        <w:t>Stakic</w:t>
      </w:r>
      <w:r w:rsidR="00436F65">
        <w:rPr>
          <w:szCs w:val="16"/>
        </w:rPr>
        <w:t xml:space="preserve"> [2025] VSCA 105 at [</w:t>
      </w:r>
      <w:r w:rsidR="002066E2">
        <w:rPr>
          <w:szCs w:val="16"/>
        </w:rPr>
        <w:t>87</w:t>
      </w:r>
      <w:r w:rsidR="00436F65">
        <w:rPr>
          <w:szCs w:val="16"/>
        </w:rPr>
        <w:t>]-[</w:t>
      </w:r>
      <w:r w:rsidR="002066E2">
        <w:rPr>
          <w:szCs w:val="16"/>
        </w:rPr>
        <w:t>107</w:t>
      </w:r>
      <w:r w:rsidR="00436F65">
        <w:rPr>
          <w:szCs w:val="16"/>
        </w:rPr>
        <w:t>]</w:t>
      </w:r>
      <w:r w:rsidR="005A1724">
        <w:rPr>
          <w:szCs w:val="16"/>
        </w:rPr>
        <w:t>.</w:t>
      </w:r>
    </w:p>
    <w:p w14:paraId="12136F62" w14:textId="77777777" w:rsidR="00DC3565" w:rsidRDefault="00DC3565" w:rsidP="0092468E">
      <w:pPr>
        <w:pStyle w:val="Heading2"/>
        <w:tabs>
          <w:tab w:val="left" w:pos="567"/>
        </w:tabs>
        <w:spacing w:line="240" w:lineRule="auto"/>
        <w:rPr>
          <w:rFonts w:ascii="Arial" w:hAnsi="Arial" w:cs="Arial"/>
          <w:bCs/>
          <w:color w:val="000000"/>
          <w:sz w:val="20"/>
          <w:lang w:val="en-US"/>
        </w:rPr>
      </w:pPr>
    </w:p>
    <w:bookmarkStart w:id="734" w:name="_Sentencing_for_offences"/>
    <w:bookmarkStart w:id="735" w:name="_11.2.36_Sentencing_for"/>
    <w:bookmarkEnd w:id="734"/>
    <w:bookmarkEnd w:id="735"/>
    <w:p w14:paraId="15273C94" w14:textId="06DE5761" w:rsidR="002B4048" w:rsidRPr="00565E19" w:rsidRDefault="002B4048" w:rsidP="00565E19">
      <w:pPr>
        <w:pStyle w:val="Heading3"/>
        <w:spacing w:after="120" w:line="240" w:lineRule="auto"/>
        <w:rPr>
          <w:rFonts w:ascii="Arial" w:hAnsi="Arial" w:cs="Arial"/>
          <w:b/>
          <w:bCs/>
          <w:sz w:val="20"/>
        </w:rPr>
      </w:pPr>
      <w:r w:rsidRPr="00565E19">
        <w:rPr>
          <w:rFonts w:ascii="Arial" w:hAnsi="Arial" w:cs="Arial"/>
          <w:b/>
          <w:bCs/>
          <w:sz w:val="20"/>
        </w:rPr>
        <w:fldChar w:fldCharType="begin"/>
      </w:r>
      <w:r w:rsidRPr="00565E19">
        <w:rPr>
          <w:rFonts w:ascii="Arial" w:hAnsi="Arial" w:cs="Arial"/>
          <w:b/>
          <w:bCs/>
          <w:sz w:val="20"/>
        </w:rPr>
        <w:instrText>HYPERLINK  \l "_11.2.36_Sentencing_for"</w:instrText>
      </w:r>
      <w:r w:rsidRPr="00565E19">
        <w:rPr>
          <w:rFonts w:ascii="Arial" w:hAnsi="Arial" w:cs="Arial"/>
          <w:b/>
          <w:bCs/>
          <w:sz w:val="20"/>
        </w:rPr>
      </w:r>
      <w:r w:rsidRPr="00565E19">
        <w:rPr>
          <w:rFonts w:ascii="Arial" w:hAnsi="Arial" w:cs="Arial"/>
          <w:b/>
          <w:bCs/>
          <w:sz w:val="20"/>
        </w:rPr>
        <w:fldChar w:fldCharType="separate"/>
      </w:r>
      <w:r w:rsidRPr="00565E19">
        <w:rPr>
          <w:rStyle w:val="Hyperlink"/>
          <w:rFonts w:ascii="Arial" w:hAnsi="Arial" w:cs="Arial"/>
          <w:b/>
          <w:bCs/>
          <w:color w:val="auto"/>
          <w:sz w:val="20"/>
          <w:u w:val="none"/>
        </w:rPr>
        <w:t>11.2.36</w:t>
      </w:r>
      <w:r w:rsidRPr="00565E19">
        <w:rPr>
          <w:rStyle w:val="Hyperlink"/>
          <w:rFonts w:ascii="Arial" w:hAnsi="Arial" w:cs="Arial"/>
          <w:b/>
          <w:bCs/>
          <w:color w:val="auto"/>
          <w:sz w:val="20"/>
          <w:u w:val="none"/>
        </w:rPr>
        <w:tab/>
      </w:r>
      <w:r w:rsidR="0092468E" w:rsidRPr="00565E19">
        <w:rPr>
          <w:rStyle w:val="Hyperlink"/>
          <w:rFonts w:ascii="Arial" w:hAnsi="Arial" w:cs="Arial"/>
          <w:b/>
          <w:bCs/>
          <w:color w:val="auto"/>
          <w:sz w:val="20"/>
          <w:u w:val="none"/>
        </w:rPr>
        <w:t>Sentencing for offences involving family violence</w:t>
      </w:r>
      <w:r w:rsidRPr="00565E19">
        <w:rPr>
          <w:rFonts w:ascii="Arial" w:hAnsi="Arial" w:cs="Arial"/>
          <w:b/>
          <w:bCs/>
          <w:sz w:val="20"/>
        </w:rPr>
        <w:fldChar w:fldCharType="end"/>
      </w:r>
    </w:p>
    <w:p w14:paraId="358B4960" w14:textId="178E4752" w:rsidR="008B2935" w:rsidRDefault="008B2935" w:rsidP="002B4048">
      <w:pPr>
        <w:pStyle w:val="Style1"/>
        <w:spacing w:before="120"/>
      </w:pPr>
      <w:r>
        <w:t xml:space="preserve">In </w:t>
      </w:r>
      <w:r w:rsidRPr="008B2935">
        <w:rPr>
          <w:i/>
          <w:iCs/>
        </w:rPr>
        <w:t>Rankine v The Queen</w:t>
      </w:r>
      <w:r>
        <w:t xml:space="preserve"> [2022] VSCA 27 </w:t>
      </w:r>
      <w:r w:rsidR="00DC616C">
        <w:t xml:space="preserve">the </w:t>
      </w:r>
      <w:r w:rsidR="00D40F30">
        <w:t xml:space="preserve">29 year old </w:t>
      </w:r>
      <w:r w:rsidR="00DC616C">
        <w:t>applicant had pleaded guilty and was convicted of 15 offences</w:t>
      </w:r>
      <w:r w:rsidR="00D40F30">
        <w:t>,</w:t>
      </w:r>
      <w:r w:rsidR="00DC616C">
        <w:t xml:space="preserve"> </w:t>
      </w:r>
      <w:r w:rsidR="00D40F30">
        <w:t>including</w:t>
      </w:r>
      <w:r w:rsidR="00DC616C">
        <w:t>:</w:t>
      </w:r>
    </w:p>
    <w:p w14:paraId="7F76E10E" w14:textId="77777777" w:rsidR="002B4048" w:rsidRPr="002B4048" w:rsidRDefault="00DC616C"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common assault of his former partner in which he grabbed her by the throat, pushed her against a concrete wall and headbutted her to the forehead;</w:t>
      </w:r>
    </w:p>
    <w:p w14:paraId="667572C4" w14:textId="77777777" w:rsidR="002B4048" w:rsidRPr="002B4048" w:rsidRDefault="00DC616C"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 xml:space="preserve">4 x persistent contravention of a family violence intervention order [FVIO] </w:t>
      </w:r>
      <w:r w:rsidR="00FE5523" w:rsidRPr="002B4048">
        <w:rPr>
          <w:rFonts w:ascii="Arial" w:hAnsi="Arial" w:cs="Arial"/>
          <w:sz w:val="20"/>
        </w:rPr>
        <w:t>which related to his former partner;</w:t>
      </w:r>
    </w:p>
    <w:p w14:paraId="76692A11" w14:textId="77777777" w:rsidR="002B4048" w:rsidRPr="002B4048" w:rsidRDefault="00FE5523"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trespass and contravention of a FVIO.</w:t>
      </w:r>
    </w:p>
    <w:p w14:paraId="4EB59A86" w14:textId="32299016" w:rsidR="00FE5523" w:rsidRDefault="00FE5523" w:rsidP="004A0F18">
      <w:pPr>
        <w:pStyle w:val="Style1"/>
      </w:pPr>
      <w:r>
        <w:t xml:space="preserve">He was sentenced to TES IMP2y4m/14m of which on a charge of persistent contravention of an FVIO he was sentenced to IMP12m as a base sentence and on each of the other 3 charges of </w:t>
      </w:r>
      <w:r w:rsidR="004A0F18">
        <w:t>persistent</w:t>
      </w:r>
      <w:r>
        <w:t xml:space="preserve"> contravention he was sentenced to IMP12m of which 4m was cumulative on the base sentence. On</w:t>
      </w:r>
      <w:r w:rsidR="004A0F18">
        <w:t> </w:t>
      </w:r>
      <w:r>
        <w:t xml:space="preserve">the charge of common assault he was sentenced to IMP10m of which 4m was cumulative on the base sentence.  His ground of appeal was that the orders for cumulative on the persistent contravention offences and the resultant TES were manifestly excessive.  In </w:t>
      </w:r>
      <w:r w:rsidR="00561959">
        <w:t>refusing leave to</w:t>
      </w:r>
      <w: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lastRenderedPageBreak/>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lastRenderedPageBreak/>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B4048">
      <w:pPr>
        <w:pStyle w:val="Style1"/>
      </w:pPr>
      <w:r>
        <w:t>However, Priest JA dissented and would have dismissed the appeal.  At [1]-[5] his Honour said</w:t>
      </w:r>
      <w:r w:rsidR="002A5A73">
        <w:t xml:space="preserve"> (emphasis added)</w:t>
      </w:r>
      <w:r>
        <w:t>:</w:t>
      </w:r>
    </w:p>
    <w:p w14:paraId="4F1B32C4" w14:textId="107982B9" w:rsidR="00B4159C" w:rsidRDefault="00B4159C" w:rsidP="002B4048">
      <w:pPr>
        <w:pStyle w:val="Style1"/>
        <w:spacing w:before="60"/>
        <w:ind w:left="340" w:right="340"/>
      </w:pPr>
      <w:r>
        <w:t>[1] “</w:t>
      </w:r>
      <w:r w:rsidRPr="00B4159C">
        <w:t>Conscious that the Court ought not countenance a sentence that is ‘weakly merciful’</w:t>
      </w:r>
      <w:r>
        <w:t xml:space="preserve"> (s</w:t>
      </w:r>
      <w:r w:rsidRPr="00B4159C">
        <w:t xml:space="preserve">ee </w:t>
      </w:r>
      <w:r w:rsidRPr="00B4159C">
        <w:rPr>
          <w:i/>
          <w:iCs/>
        </w:rPr>
        <w:t>R v Radich</w:t>
      </w:r>
      <w:r w:rsidRPr="00B4159C">
        <w:t xml:space="preserve"> [1954] NZLR 86, 87; </w:t>
      </w:r>
      <w:r w:rsidRPr="00B4159C">
        <w:rPr>
          <w:i/>
          <w:iCs/>
        </w:rPr>
        <w:t>R v Williscroft</w:t>
      </w:r>
      <w:r w:rsidRPr="00B4159C">
        <w:t xml:space="preserve"> [1975] VR 292, 298 (Adam and Crockett JJ)</w:t>
      </w:r>
      <w:r>
        <w:t>; s</w:t>
      </w:r>
      <w:r w:rsidRPr="00B4159C">
        <w:t xml:space="preserve">ee also </w:t>
      </w:r>
      <w:r w:rsidRPr="00B4159C">
        <w:rPr>
          <w:i/>
          <w:iCs/>
        </w:rPr>
        <w:t>R v Miceli</w:t>
      </w:r>
      <w:r w:rsidRPr="00B4159C">
        <w:t xml:space="preserve"> [1998] 4 VR 588; Richard G Fox, When Justice Sheds a Tear: The Place of Mercy in Sentencing, (1999) 25 Monash University Law Review 1, 3</w:t>
      </w:r>
      <w:r>
        <w:t>)</w:t>
      </w:r>
      <w:r w:rsidRPr="00B4159C">
        <w:t>, after much reflection I</w:t>
      </w:r>
      <w:r>
        <w:t> </w:t>
      </w:r>
      <w:r w:rsidRPr="00B4159C">
        <w:t>have concluded that this appeal against sentence should be dismissed</w:t>
      </w:r>
      <w:r>
        <w:t>…</w:t>
      </w:r>
    </w:p>
    <w:p w14:paraId="6F7DDF7D" w14:textId="77777777" w:rsidR="002A5A73" w:rsidRDefault="00B4159C" w:rsidP="002B4048">
      <w:pPr>
        <w:pStyle w:val="Style1"/>
        <w:spacing w:before="60"/>
        <w:ind w:left="340" w:right="340"/>
      </w:pPr>
      <w:r>
        <w:t xml:space="preserve">[2] </w:t>
      </w:r>
      <w:r w:rsidRPr="00B4159C">
        <w:t xml:space="preserve">Several things in this appeal have given me pause, principal among them being the lengthy delay in the matter being finalised; the very significant reformation undergone by the respondent in the meantime; </w:t>
      </w:r>
      <w:r w:rsidRPr="00B4159C">
        <w:rPr>
          <w:b/>
          <w:bCs/>
        </w:rPr>
        <w:t>and the attitude of the respondent’s victims, who will be subjected to significant additional trauma flowing directly from the respondent’s imprisonment</w:t>
      </w:r>
      <w:r w:rsidRPr="00B4159C">
        <w:t>. Ultimately, I have concluded that, notwithstanding the very serious nature of the respondent’s offending, the imposition of an effective term of imprisonment of almost 10</w:t>
      </w:r>
      <w:r w:rsidR="002A5A73">
        <w:t> </w:t>
      </w:r>
      <w:r w:rsidRPr="00B4159C">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2B4048">
      <w:pPr>
        <w:pStyle w:val="Style1"/>
        <w:spacing w:before="60"/>
        <w:ind w:left="340" w:right="340"/>
      </w:pPr>
      <w:r>
        <w:t>[</w:t>
      </w:r>
      <w:r w:rsidR="00B4159C" w:rsidRPr="00B4159C">
        <w:t>3</w:t>
      </w:r>
      <w:r>
        <w:t>]</w:t>
      </w:r>
      <w:r w:rsidR="00B4159C" w:rsidRPr="00B4159C">
        <w:t xml:space="preserve"> In </w:t>
      </w:r>
      <w:r w:rsidR="00B4159C" w:rsidRPr="002A5A73">
        <w:rPr>
          <w:i/>
          <w:iCs/>
        </w:rPr>
        <w:t>Williscroft</w:t>
      </w:r>
      <w:r w:rsidR="00B4159C" w:rsidRPr="00B4159C">
        <w:t>, a prosecution appeal, Starke J (in dissent as to result) observed</w:t>
      </w:r>
      <w:r>
        <w:t xml:space="preserve"> at 303-4</w:t>
      </w:r>
      <w:r w:rsidR="00B4159C" w:rsidRPr="00B4159C">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B4048">
      <w:pPr>
        <w:pStyle w:val="Style1"/>
        <w:spacing w:before="60"/>
        <w:ind w:left="340" w:right="340"/>
      </w:pPr>
      <w:r>
        <w:t xml:space="preserve">[4] </w:t>
      </w:r>
      <w:r w:rsidRPr="00B4159C">
        <w:t>On one level, the underlying purpose of all criminal law — and, as an aspect of it, sentencing — is</w:t>
      </w:r>
      <w:r>
        <w:t xml:space="preserve"> </w:t>
      </w:r>
      <w:r w:rsidRPr="00B4159C">
        <w:t>the protection of the community.</w:t>
      </w:r>
      <w:r>
        <w:t xml:space="preserve">  </w:t>
      </w:r>
      <w:r w:rsidRPr="00B4159C">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t xml:space="preserve"> </w:t>
      </w:r>
      <w:r w:rsidR="00B4159C" w:rsidRPr="00B4159C">
        <w:t xml:space="preserve">and offer greater protection to the public at large — than a sentence that has a largely retributive component. Indeed, those </w:t>
      </w:r>
      <w:r w:rsidR="00B4159C" w:rsidRPr="00B4159C">
        <w:lastRenderedPageBreak/>
        <w:t>experienced in the criminal law know that leniency extended at a particular stage of an offender’s life may pave the path to reform.4 This appears to me to be such a case.</w:t>
      </w:r>
    </w:p>
    <w:p w14:paraId="44A1F600" w14:textId="37787A9E" w:rsidR="00B4159C" w:rsidRPr="002A5A73" w:rsidRDefault="002A5A73" w:rsidP="002B4048">
      <w:pPr>
        <w:pStyle w:val="Style1"/>
        <w:spacing w:before="60"/>
        <w:ind w:left="340" w:right="340"/>
      </w:pPr>
      <w:r>
        <w:t>[</w:t>
      </w:r>
      <w:r w:rsidR="00B4159C" w:rsidRPr="00B4159C">
        <w:t>5</w:t>
      </w:r>
      <w:r>
        <w:t>]</w:t>
      </w:r>
      <w:r w:rsidR="00B4159C" w:rsidRPr="00B4159C">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t> </w:t>
      </w:r>
      <w:r w:rsidR="00B4159C" w:rsidRPr="00B4159C">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2B4048">
      <w:pPr>
        <w:pStyle w:val="Style1"/>
      </w:pPr>
      <w:r w:rsidRPr="00382DB0">
        <w:t>His Honour continued at [13]-[</w:t>
      </w:r>
      <w:r w:rsidR="00CA4C6D">
        <w:t>19</w:t>
      </w:r>
      <w:r w:rsidRPr="00382DB0">
        <w:t>]:</w:t>
      </w:r>
    </w:p>
    <w:p w14:paraId="1A923009" w14:textId="77777777" w:rsidR="00382DB0" w:rsidRDefault="00382DB0" w:rsidP="002B4048">
      <w:pPr>
        <w:pStyle w:val="Style1"/>
        <w:spacing w:before="60"/>
        <w:ind w:left="340" w:right="340"/>
      </w:pPr>
      <w:r>
        <w:t>[13] “</w:t>
      </w:r>
      <w:r w:rsidRPr="00382DB0">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2B4048">
      <w:pPr>
        <w:pStyle w:val="Style1"/>
        <w:spacing w:before="60"/>
        <w:ind w:left="340" w:right="340"/>
      </w:pPr>
      <w:r>
        <w:t>[</w:t>
      </w:r>
      <w:r w:rsidRPr="00382DB0">
        <w:t>14</w:t>
      </w:r>
      <w:r>
        <w:t>]</w:t>
      </w:r>
      <w:r w:rsidRPr="00382DB0">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2B4048">
      <w:pPr>
        <w:pStyle w:val="Style1"/>
        <w:spacing w:before="60"/>
        <w:ind w:left="340" w:right="340"/>
      </w:pPr>
      <w:r>
        <w:t>[</w:t>
      </w:r>
      <w:r w:rsidRPr="00382DB0">
        <w:t>15</w:t>
      </w:r>
      <w:r>
        <w:t>]</w:t>
      </w:r>
      <w:r w:rsidRPr="00382DB0">
        <w:t xml:space="preserve"> </w:t>
      </w:r>
      <w:r w:rsidR="0004310F">
        <w:t>B</w:t>
      </w:r>
      <w:r w:rsidR="0004310F" w:rsidRPr="00382DB0">
        <w:t>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seek a merits review of a decision not to revoke the cancellation.</w:t>
      </w:r>
      <w:r w:rsidR="0004310F">
        <w:t xml:space="preserve">  E</w:t>
      </w:r>
      <w:r w:rsidRPr="00382DB0">
        <w:t>ven though the current state of this country’s migration laws is such that the respondent’s deportation after serving the sentence proposed by the majority is a near certainty</w:t>
      </w:r>
      <w:r w:rsidR="0004310F">
        <w:t xml:space="preserve"> </w:t>
      </w:r>
      <w:r w:rsidRPr="00382DB0">
        <w:t>the Court cannot take that into account, since to do so would be to take into account executive action in circumstances where there remains a possibility — no matter how remote that possibility is — that the respondent will not, in fact, be deported.</w:t>
      </w:r>
      <w:r w:rsidR="0004310F">
        <w:t xml:space="preserve">  </w:t>
      </w:r>
      <w:r w:rsidRPr="00382DB0">
        <w:t>The Court can only take into account the prospect of deportation as a factor which may increase the impact which a sentence of imprisonment will have upon the respondent, both during the currency of his incarceration and upon his release</w:t>
      </w:r>
      <w:r w:rsidR="0004310F">
        <w:t xml:space="preserve">: see </w:t>
      </w:r>
      <w:r w:rsidR="0004310F" w:rsidRPr="0004310F">
        <w:rPr>
          <w:i/>
          <w:iCs/>
        </w:rPr>
        <w:t>Matamata v The Queen</w:t>
      </w:r>
      <w:r w:rsidR="0004310F" w:rsidRPr="00382DB0">
        <w:t xml:space="preserve"> [2021] VSCA 253, [28]–[31]</w:t>
      </w:r>
      <w:r w:rsidR="0004310F">
        <w:t>;  s</w:t>
      </w:r>
      <w:r w:rsidR="0004310F" w:rsidRPr="00382DB0">
        <w:t xml:space="preserve">ee also </w:t>
      </w:r>
      <w:r w:rsidR="0004310F" w:rsidRPr="0004310F">
        <w:rPr>
          <w:i/>
          <w:iCs/>
        </w:rPr>
        <w:t>Guden v The Queen</w:t>
      </w:r>
      <w:r w:rsidR="0004310F" w:rsidRPr="00382DB0">
        <w:t xml:space="preserve"> (2010) 28 VR 288; </w:t>
      </w:r>
      <w:r w:rsidR="0004310F" w:rsidRPr="0004310F">
        <w:rPr>
          <w:i/>
          <w:iCs/>
        </w:rPr>
        <w:t>Da Costa v The Queen</w:t>
      </w:r>
      <w:r w:rsidR="0004310F" w:rsidRPr="00382DB0">
        <w:t xml:space="preserve"> (2016) 307 FLR 153; </w:t>
      </w:r>
      <w:r w:rsidR="0004310F" w:rsidRPr="0004310F">
        <w:rPr>
          <w:i/>
          <w:iCs/>
        </w:rPr>
        <w:t xml:space="preserve">Konamala </w:t>
      </w:r>
      <w:r w:rsidR="0004310F">
        <w:rPr>
          <w:i/>
          <w:iCs/>
        </w:rPr>
        <w:t xml:space="preserve">v </w:t>
      </w:r>
      <w:r w:rsidR="0004310F" w:rsidRPr="0004310F">
        <w:rPr>
          <w:i/>
          <w:iCs/>
        </w:rPr>
        <w:t>The Queen</w:t>
      </w:r>
      <w:r w:rsidR="0004310F" w:rsidRPr="00382DB0">
        <w:t xml:space="preserve"> [2016] VSCA 48; </w:t>
      </w:r>
      <w:r w:rsidR="0004310F" w:rsidRPr="0004310F">
        <w:rPr>
          <w:i/>
          <w:iCs/>
        </w:rPr>
        <w:t>Akot v The Queen</w:t>
      </w:r>
      <w:r w:rsidR="0004310F" w:rsidRPr="00382DB0">
        <w:t xml:space="preserve"> [2020] VSCA 55.</w:t>
      </w:r>
      <w:r w:rsidR="0004310F">
        <w:t xml:space="preserve">  </w:t>
      </w:r>
      <w:r w:rsidRPr="00382DB0">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2B4048">
      <w:pPr>
        <w:pStyle w:val="Style1"/>
        <w:spacing w:before="60"/>
        <w:ind w:left="340" w:right="340"/>
      </w:pPr>
      <w:r>
        <w:t>[</w:t>
      </w:r>
      <w:r w:rsidRPr="00382DB0">
        <w:t>16</w:t>
      </w:r>
      <w:r>
        <w:t>]</w:t>
      </w:r>
      <w:r w:rsidRPr="00382DB0">
        <w:t xml:space="preserve"> In my view, for the purposes of a case such as the present, it is incumbent upon this Court to pay more than mere lip-service to </w:t>
      </w:r>
      <w:r w:rsidRPr="0004310F">
        <w:rPr>
          <w:i/>
          <w:iCs/>
        </w:rPr>
        <w:t>Boulton</w:t>
      </w:r>
      <w:r w:rsidR="0004310F" w:rsidRPr="0004310F">
        <w:rPr>
          <w:i/>
          <w:iCs/>
        </w:rPr>
        <w:t xml:space="preserve"> v The Queen</w:t>
      </w:r>
      <w:r w:rsidR="0004310F">
        <w:t xml:space="preserve"> </w:t>
      </w:r>
      <w:r w:rsidR="0004310F" w:rsidRPr="00382DB0">
        <w:t>(2014) 46 VR 308 (Maxwell P, Nettle, Neave, Redlich and Osborn JJA)</w:t>
      </w:r>
      <w:r w:rsidRPr="00382DB0">
        <w:t xml:space="preserve">. </w:t>
      </w:r>
      <w:r w:rsidR="0004310F">
        <w:t xml:space="preserve"> </w:t>
      </w:r>
      <w:r w:rsidRPr="00382DB0">
        <w:t xml:space="preserve">In that case, it was made clear </w:t>
      </w:r>
      <w:r w:rsidR="0004310F">
        <w:t xml:space="preserve">at [2] &amp; [186] </w:t>
      </w:r>
      <w:r w:rsidRPr="00382DB0">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2B4048">
      <w:pPr>
        <w:pStyle w:val="Style1"/>
        <w:spacing w:before="60"/>
        <w:ind w:left="340" w:right="340"/>
      </w:pPr>
      <w:r>
        <w:t xml:space="preserve">[18] </w:t>
      </w:r>
      <w:r w:rsidRPr="0076180A">
        <w:t>One cannot ignore the fact that the respondent’s offending was extremely serious</w:t>
      </w:r>
      <w:r>
        <w:t>…</w:t>
      </w:r>
      <w:r w:rsidRPr="0076180A">
        <w:t>In</w:t>
      </w:r>
      <w:r>
        <w:t> </w:t>
      </w:r>
      <w:r w:rsidRPr="0076180A">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lastRenderedPageBreak/>
        <w:t xml:space="preserve">principle — including the need to uphold proper sentencing standards (see </w:t>
      </w:r>
      <w:r w:rsidRPr="0076180A">
        <w:rPr>
          <w:i/>
          <w:iCs/>
        </w:rPr>
        <w:t>R v Clarke</w:t>
      </w:r>
      <w:r w:rsidRPr="0076180A">
        <w:t xml:space="preserve"> [1996] 2 VR 520, 522) — requires that process of rehabilitation to be impaired (if not obliterated). I</w:t>
      </w:r>
      <w:r>
        <w:t> </w:t>
      </w:r>
      <w:r w:rsidRPr="0076180A">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2B4048">
      <w:pPr>
        <w:pStyle w:val="Style1"/>
        <w:spacing w:before="60"/>
        <w:ind w:left="340" w:right="340"/>
      </w:pPr>
      <w:r w:rsidRPr="00CA4C6D">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i/>
          <w:iCs/>
        </w:rPr>
        <w:t>R v Osenkowski</w:t>
      </w:r>
      <w:r w:rsidR="00CA4C6D" w:rsidRPr="00CA4C6D">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6B07EB">
      <w:pPr>
        <w:pStyle w:val="Style1"/>
      </w:pPr>
      <w:r w:rsidRPr="000166A4">
        <w:t xml:space="preserve">In concluding his dissenting judgment Priest JA sounded a note of caution at [21]-[22] about dicta in </w:t>
      </w:r>
      <w:r w:rsidR="000166A4" w:rsidRPr="000166A4">
        <w:rPr>
          <w:i/>
          <w:iCs/>
          <w:color w:val="000000"/>
          <w:lang w:eastAsia="en-AU"/>
        </w:rPr>
        <w:t>Pasinis</w:t>
      </w:r>
      <w:r w:rsidR="000166A4">
        <w:rPr>
          <w:i/>
          <w:iCs/>
          <w:color w:val="000000"/>
          <w:lang w:eastAsia="en-AU"/>
        </w:rPr>
        <w:t xml:space="preserve"> </w:t>
      </w:r>
      <w:r w:rsidR="000166A4" w:rsidRPr="000166A4">
        <w:rPr>
          <w:i/>
          <w:iCs/>
          <w:color w:val="000000"/>
          <w:lang w:eastAsia="en-AU"/>
        </w:rPr>
        <w:t>v R</w:t>
      </w:r>
      <w:r w:rsidR="000166A4">
        <w:rPr>
          <w:color w:val="000000"/>
          <w:lang w:eastAsia="en-AU"/>
        </w:rPr>
        <w:t xml:space="preserve"> </w:t>
      </w:r>
      <w:r w:rsidR="000166A4" w:rsidRPr="000166A4">
        <w:rPr>
          <w:color w:val="000000"/>
          <w:lang w:eastAsia="en-AU"/>
        </w:rPr>
        <w:t>[2014] VSCA 97:</w:t>
      </w:r>
    </w:p>
    <w:p w14:paraId="15004560" w14:textId="490376D5" w:rsidR="000166A4" w:rsidRDefault="000166A4" w:rsidP="006B07EB">
      <w:pPr>
        <w:pStyle w:val="Style1"/>
        <w:spacing w:before="60"/>
        <w:ind w:left="340" w:right="340"/>
      </w:pPr>
      <w:r>
        <w:t>“</w:t>
      </w:r>
      <w:r w:rsidRPr="00CA4C6D">
        <w:t xml:space="preserve">Counsel for the appellant relied on a passage from </w:t>
      </w:r>
      <w:r w:rsidRPr="000166A4">
        <w:rPr>
          <w:i/>
          <w:iCs/>
        </w:rPr>
        <w:t>Pasinis</w:t>
      </w:r>
      <w:r>
        <w:t>…</w:t>
      </w:r>
      <w:r w:rsidRPr="00CA4C6D">
        <w:t xml:space="preserve"> </w:t>
      </w:r>
      <w:r>
        <w:t xml:space="preserve">to </w:t>
      </w:r>
      <w:r w:rsidRPr="00CA4C6D">
        <w:t>the effect that the key to protecting victims of family violence</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6B07EB">
      <w:pPr>
        <w:pStyle w:val="Style1"/>
        <w:spacing w:before="60"/>
        <w:ind w:left="340" w:right="340"/>
      </w:pPr>
      <w:r w:rsidRPr="006B07EB">
        <w:t>On one view, the cited passage</w:t>
      </w:r>
      <w:r w:rsidRPr="000166A4">
        <w:t xml:space="preserv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i/>
          <w:iCs/>
        </w:rPr>
        <w:t>Pasinis</w:t>
      </w:r>
      <w:r w:rsidRPr="000166A4">
        <w:t xml:space="preserve"> is intended to convey, it is wrong in principle. A sentence must be proportionate to the gravity of the offence. It is not permissible to impose a sentence as a form of preventative detention: </w:t>
      </w:r>
      <w:r w:rsidRPr="000166A4">
        <w:rPr>
          <w:i/>
          <w:iCs/>
        </w:rPr>
        <w:t>Veen v The Queen (No 2)</w:t>
      </w:r>
      <w:r w:rsidRPr="000166A4">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B07EB">
      <w:pPr>
        <w:pStyle w:val="Style1"/>
      </w:pPr>
      <w:r w:rsidRPr="00654727">
        <w:t xml:space="preserve">In </w:t>
      </w:r>
      <w:r w:rsidR="009E66DC">
        <w:rPr>
          <w:i/>
          <w:iCs/>
        </w:rPr>
        <w:t>James C</w:t>
      </w:r>
      <w:r w:rsidR="00C852DF" w:rsidRPr="00654727">
        <w:rPr>
          <w:i/>
          <w:iCs/>
        </w:rPr>
        <w:t>larke (a pseudonym) v The King</w:t>
      </w:r>
      <w:r w:rsidR="00C852DF" w:rsidRPr="00654727">
        <w:t xml:space="preserve"> [2023] VSCA 103 the applicant had been sentenced to </w:t>
      </w:r>
      <w:r w:rsidR="00A724CA" w:rsidRPr="00654727">
        <w:t xml:space="preserve">TES IMP5y2m/3y1m </w:t>
      </w:r>
      <w:r w:rsidR="00654727">
        <w:t xml:space="preserve">on </w:t>
      </w:r>
      <w:r w:rsidR="00AD4BBA">
        <w:t>9 charges including threat to kill</w:t>
      </w:r>
      <w:r w:rsidR="00B44347">
        <w:t xml:space="preserve">, common law assault and intentionally damaging property, the offences occurring in the context of </w:t>
      </w:r>
      <w:r w:rsidR="00180593">
        <w:t xml:space="preserve">family violence towards his wife, her parents and a friend of hers.  In refusing leave to appeal </w:t>
      </w:r>
      <w:r w:rsidR="00F41084">
        <w:t xml:space="preserve">– including on the ground of manifest excess – </w:t>
      </w:r>
      <w:r w:rsidR="001542F0">
        <w:t>the</w:t>
      </w:r>
      <w:r w:rsidR="00F41084">
        <w:t xml:space="preserve"> </w:t>
      </w:r>
      <w:r w:rsidR="001542F0">
        <w:t>Court of Appeal (Niall &amp; Hargrave JJA) concluded at [63]</w:t>
      </w:r>
      <w:r w:rsidR="00F41084">
        <w:t>:</w:t>
      </w:r>
    </w:p>
    <w:p w14:paraId="47FC4BE2" w14:textId="38AE7B6F" w:rsidR="00F41084" w:rsidRDefault="00F41084" w:rsidP="006B07EB">
      <w:pPr>
        <w:pStyle w:val="Style1"/>
        <w:spacing w:before="60"/>
        <w:ind w:left="340" w:right="340"/>
      </w:pPr>
      <w:r>
        <w:t>“</w:t>
      </w:r>
      <w:r w:rsidRPr="00E32410">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i/>
          <w:iCs/>
        </w:rPr>
        <w:t>Director of Public Prosecutions v Derby</w:t>
      </w:r>
      <w:r w:rsidR="002A6D2A">
        <w:t xml:space="preserve"> [2007] VSCA 92 at [2].</w:t>
      </w:r>
      <w:r w:rsidRPr="00E32410">
        <w:t xml:space="preserve"> The</w:t>
      </w:r>
      <w:r w:rsidR="002A6D2A">
        <w:t> </w:t>
      </w:r>
      <w:r w:rsidRPr="00E32410">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4A0F18">
      <w:pPr>
        <w:pStyle w:val="Style1"/>
      </w:pPr>
      <w:r w:rsidRPr="00056048">
        <w:t xml:space="preserve">In </w:t>
      </w:r>
      <w:r w:rsidRPr="002B3A45">
        <w:rPr>
          <w:i/>
          <w:iCs/>
        </w:rPr>
        <w:t>Giudice v The King</w:t>
      </w:r>
      <w:r w:rsidRPr="00056048">
        <w:t xml:space="preserve"> </w:t>
      </w:r>
      <w:r w:rsidR="00056048" w:rsidRPr="00056048">
        <w:t>[2023] VSCA 105 the applicant had been sentenced to TES IMP</w:t>
      </w:r>
      <w:r w:rsidR="00F944C1">
        <w:t xml:space="preserve">8y/5y6m on </w:t>
      </w:r>
      <w:r w:rsidR="0067311F">
        <w:t xml:space="preserve">5 charges including </w:t>
      </w:r>
      <w:r w:rsidR="00754845">
        <w:t>IMP</w:t>
      </w:r>
      <w:r w:rsidR="0067311F">
        <w:t xml:space="preserve">78m on a charge of intentionally causing </w:t>
      </w:r>
      <w:r w:rsidR="009B2C40">
        <w:t xml:space="preserve">serious injury to his </w:t>
      </w:r>
      <w:r w:rsidR="00754845">
        <w:t xml:space="preserve">ex-partner, the offences occurring in the context of family violence.  </w:t>
      </w:r>
      <w:r w:rsidR="002B3A45">
        <w:t xml:space="preserve">In refusing leave to appeal, </w:t>
      </w:r>
      <w:r w:rsidR="00896FE6">
        <w:t>the Court of Appeal (</w:t>
      </w:r>
      <w:r w:rsidR="002B3A45">
        <w:t>Ferguson CJ, Emerton P &amp; Osborn JA) said at [11]:</w:t>
      </w:r>
    </w:p>
    <w:p w14:paraId="3CF1E38B" w14:textId="76BBC948" w:rsidR="002B3A45" w:rsidRDefault="002B3A45" w:rsidP="006876AC">
      <w:pPr>
        <w:pStyle w:val="Style1"/>
        <w:spacing w:before="60"/>
        <w:ind w:left="340" w:right="340"/>
        <w:rPr>
          <w:szCs w:val="16"/>
        </w:rPr>
      </w:pPr>
      <w:r>
        <w:rPr>
          <w:szCs w:val="16"/>
        </w:rPr>
        <w:t>“</w:t>
      </w:r>
      <w:r w:rsidRPr="00056048">
        <w:t xml:space="preserve">The offending required denunciation and just punishment, and raised issues of general and specific deterrence and protection of the community. In our view, the sentences imposed </w:t>
      </w:r>
      <w:r w:rsidRPr="00056048">
        <w:lastRenderedPageBreak/>
        <w:t>cannot be said to be disproportionate to the objective seriousness of the offending or to offend the principle of totality.</w:t>
      </w:r>
      <w: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6B07EB">
      <w:pPr>
        <w:pStyle w:val="Style1"/>
      </w:pPr>
      <w:r>
        <w:t xml:space="preserve">Comments </w:t>
      </w:r>
      <w:r w:rsidR="0093301F">
        <w:t xml:space="preserve">to similar effect </w:t>
      </w:r>
      <w:r w:rsidR="00B762E9">
        <w:t xml:space="preserve">about </w:t>
      </w:r>
      <w:r w:rsidR="00D54CCE">
        <w:t xml:space="preserve">the impact of </w:t>
      </w:r>
      <w:r w:rsidR="0093301F">
        <w:t xml:space="preserve">family violence on the victim </w:t>
      </w:r>
      <w:r w:rsidR="0064094A">
        <w:t xml:space="preserve">and the need for significant punishment </w:t>
      </w:r>
      <w:r>
        <w:t xml:space="preserve">were made by the Court of Appeal in </w:t>
      </w:r>
      <w:r w:rsidRPr="00B04324">
        <w:rPr>
          <w:i/>
          <w:iCs/>
        </w:rPr>
        <w:t>DPP v Avalos (a pseudonym)</w:t>
      </w:r>
      <w:r>
        <w:t xml:space="preserve"> [2023] VSCA 117, albeit in dismissing a Crown appeal against a TES IMP25y5m/20y10m imposed on the respondent after two </w:t>
      </w:r>
      <w:r w:rsidR="003F7068">
        <w:t xml:space="preserve">separate </w:t>
      </w:r>
      <w:r>
        <w:t>trials in which he was convicted of 9 charges of rape, 10 charges of intentionally causing injury, 3 charges of making a threat to kill, 1 charge of common law assault and 1</w:t>
      </w:r>
      <w:r w:rsidR="003F7068">
        <w:t> </w:t>
      </w:r>
      <w:r>
        <w:t>charge of false imprisonment.  The victims were four women who had been in domestic relationships with the respondent. At [10]-[</w:t>
      </w:r>
      <w:r w:rsidR="00D4507D">
        <w:t>14</w:t>
      </w:r>
      <w:r>
        <w:t>] Ferguson CJ, Priest AP &amp; T Forrest JA said:</w:t>
      </w:r>
    </w:p>
    <w:p w14:paraId="0BD83B22" w14:textId="77777777" w:rsidR="00821F1D" w:rsidRDefault="00821F1D" w:rsidP="006B07EB">
      <w:pPr>
        <w:pStyle w:val="Style1"/>
        <w:spacing w:before="60"/>
        <w:ind w:left="567" w:right="567"/>
      </w:pPr>
      <w:r>
        <w:rPr>
          <w:color w:val="000000"/>
        </w:rPr>
        <w:t>[10] “</w:t>
      </w:r>
      <w:r w:rsidRPr="00E4493E">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6B07EB">
      <w:pPr>
        <w:pStyle w:val="Style1"/>
        <w:spacing w:before="60"/>
        <w:ind w:left="567" w:right="567"/>
        <w:rPr>
          <w:color w:val="000000"/>
        </w:rPr>
      </w:pPr>
      <w:r>
        <w:t xml:space="preserve">[11] </w:t>
      </w:r>
      <w:r w:rsidRPr="00E4493E">
        <w:t>The judge then observed:</w:t>
      </w:r>
    </w:p>
    <w:p w14:paraId="07F88143" w14:textId="77777777" w:rsidR="00821F1D" w:rsidRPr="006B07EB" w:rsidRDefault="00821F1D" w:rsidP="006B07EB">
      <w:pPr>
        <w:pStyle w:val="Style1"/>
        <w:spacing w:before="60"/>
        <w:ind w:left="1021" w:right="1021"/>
        <w:rPr>
          <w:sz w:val="18"/>
          <w:szCs w:val="18"/>
        </w:rPr>
      </w:pPr>
      <w:r w:rsidRPr="006B07EB">
        <w:rPr>
          <w:bCs/>
          <w:color w:val="000000"/>
          <w:sz w:val="18"/>
          <w:szCs w:val="18"/>
        </w:rPr>
        <w:t xml:space="preserve">[184] </w:t>
      </w:r>
      <w:r w:rsidRPr="006B07EB">
        <w:rPr>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6B07EB" w:rsidRDefault="00821F1D" w:rsidP="006B07EB">
      <w:pPr>
        <w:pStyle w:val="Style1"/>
        <w:spacing w:before="60"/>
        <w:ind w:left="1021" w:right="1021"/>
        <w:rPr>
          <w:sz w:val="18"/>
          <w:szCs w:val="18"/>
        </w:rPr>
      </w:pPr>
      <w:r w:rsidRPr="006B07EB">
        <w:rPr>
          <w:sz w:val="18"/>
          <w:szCs w:val="18"/>
        </w:rPr>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Pr="006B07EB" w:rsidRDefault="00821F1D" w:rsidP="006B07EB">
      <w:pPr>
        <w:pStyle w:val="Style1"/>
        <w:spacing w:before="60"/>
        <w:ind w:left="1021" w:right="1021"/>
        <w:rPr>
          <w:sz w:val="18"/>
          <w:szCs w:val="18"/>
        </w:rPr>
      </w:pPr>
      <w:r w:rsidRPr="006B07EB">
        <w:rPr>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Pr="006B07EB" w:rsidRDefault="00E1443F" w:rsidP="006B07EB">
      <w:pPr>
        <w:pStyle w:val="Style1"/>
        <w:spacing w:before="60"/>
        <w:ind w:left="1021" w:right="1021"/>
        <w:rPr>
          <w:sz w:val="18"/>
          <w:szCs w:val="18"/>
        </w:rPr>
      </w:pPr>
      <w:r w:rsidRPr="006B07EB">
        <w:rPr>
          <w:sz w:val="18"/>
          <w:szCs w:val="18"/>
        </w:rPr>
        <w:t xml:space="preserve">[187] </w:t>
      </w:r>
      <w:r w:rsidR="00D54CCE" w:rsidRPr="006B07EB">
        <w:rPr>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6B07EB" w:rsidRDefault="0093301F" w:rsidP="006B07EB">
      <w:pPr>
        <w:pStyle w:val="Style1"/>
        <w:spacing w:before="60"/>
        <w:ind w:left="1021" w:right="1021"/>
        <w:rPr>
          <w:sz w:val="18"/>
          <w:szCs w:val="18"/>
        </w:rPr>
      </w:pPr>
      <w:r w:rsidRPr="006B07EB">
        <w:rPr>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6B07EB" w:rsidRDefault="0093301F" w:rsidP="006B07EB">
      <w:pPr>
        <w:pStyle w:val="Style1"/>
        <w:spacing w:before="60"/>
        <w:ind w:left="1021" w:right="1021"/>
        <w:rPr>
          <w:sz w:val="18"/>
          <w:szCs w:val="18"/>
        </w:rPr>
      </w:pPr>
      <w:r w:rsidRPr="006B07EB">
        <w:rPr>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6B07EB" w:rsidRDefault="0093301F" w:rsidP="006B07EB">
      <w:pPr>
        <w:pStyle w:val="Style1"/>
        <w:spacing w:before="60"/>
        <w:ind w:left="1021" w:right="1021"/>
        <w:rPr>
          <w:bCs/>
          <w:color w:val="000000"/>
          <w:sz w:val="18"/>
          <w:szCs w:val="18"/>
        </w:rPr>
      </w:pPr>
      <w:r w:rsidRPr="006B07EB">
        <w:rPr>
          <w:bCs/>
          <w:color w:val="000000"/>
          <w:sz w:val="18"/>
          <w:szCs w:val="18"/>
        </w:rPr>
        <w:t xml:space="preserve">[190] </w:t>
      </w:r>
      <w:r w:rsidRPr="006B07EB">
        <w:rPr>
          <w:sz w:val="18"/>
          <w:szCs w:val="18"/>
        </w:rPr>
        <w:t>For these reasons, any sentencing Court must send a strong message to offenders and the community at large.</w:t>
      </w:r>
    </w:p>
    <w:p w14:paraId="6114008F" w14:textId="1878514C" w:rsidR="00F07892" w:rsidRDefault="00F07892" w:rsidP="006B07EB">
      <w:pPr>
        <w:pStyle w:val="Style1"/>
        <w:spacing w:before="60"/>
        <w:ind w:left="567" w:right="567"/>
      </w:pPr>
      <w:r>
        <w:rPr>
          <w:color w:val="000000"/>
        </w:rPr>
        <w:t xml:space="preserve">[12] </w:t>
      </w:r>
      <w:r w:rsidRPr="00E4493E">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i/>
          <w:color w:val="000000"/>
        </w:rPr>
        <w:t>Pasinis v The Queen</w:t>
      </w:r>
      <w:r w:rsidR="00206B15" w:rsidRPr="003A6AAD">
        <w:rPr>
          <w:color w:val="000000"/>
        </w:rPr>
        <w:t xml:space="preserve"> [2014] VSCA 97 </w:t>
      </w:r>
      <w:r w:rsidRPr="00E4493E">
        <w:t xml:space="preserve">and </w:t>
      </w:r>
      <w:r w:rsidRPr="00BB6306">
        <w:rPr>
          <w:i/>
          <w:iCs/>
        </w:rPr>
        <w:t>K</w:t>
      </w:r>
      <w:r w:rsidR="00BB6306" w:rsidRPr="00102FB6">
        <w:rPr>
          <w:i/>
          <w:iCs/>
        </w:rPr>
        <w:t>alala v The Queen</w:t>
      </w:r>
      <w:r w:rsidR="00BB6306">
        <w:t xml:space="preserve"> [2017] VSCA 223</w:t>
      </w:r>
      <w:r w:rsidRPr="00E4493E">
        <w:t>.</w:t>
      </w:r>
    </w:p>
    <w:p w14:paraId="4D6E0D09" w14:textId="2D5FA202" w:rsidR="00AD56CD" w:rsidRDefault="00AD56CD" w:rsidP="006B07EB">
      <w:pPr>
        <w:pStyle w:val="Style1"/>
        <w:spacing w:before="60"/>
        <w:ind w:left="567" w:right="567"/>
      </w:pPr>
      <w:r>
        <w:t xml:space="preserve">[13] </w:t>
      </w:r>
      <w:r w:rsidRPr="00E4493E">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6B07EB">
      <w:pPr>
        <w:pStyle w:val="Style1"/>
        <w:spacing w:before="60"/>
        <w:ind w:left="567" w:right="567"/>
        <w:rPr>
          <w:color w:val="000000"/>
        </w:rPr>
      </w:pPr>
      <w:r>
        <w:rPr>
          <w:szCs w:val="16"/>
        </w:rPr>
        <w:lastRenderedPageBreak/>
        <w:t xml:space="preserve">[14] </w:t>
      </w:r>
      <w:r w:rsidRPr="00E4493E">
        <w:rPr>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Pr="006B07EB" w:rsidRDefault="00D4507D" w:rsidP="006B07EB">
      <w:pPr>
        <w:pStyle w:val="Style1"/>
        <w:spacing w:before="60"/>
        <w:ind w:left="1021" w:right="1021"/>
        <w:rPr>
          <w:sz w:val="18"/>
          <w:szCs w:val="18"/>
        </w:rPr>
      </w:pPr>
      <w:r w:rsidRPr="006B07EB">
        <w:rPr>
          <w:sz w:val="18"/>
          <w:szCs w:val="16"/>
        </w:rPr>
        <w:t xml:space="preserve">[202] </w:t>
      </w:r>
      <w:r w:rsidRPr="006B07EB">
        <w:rPr>
          <w:sz w:val="18"/>
          <w:szCs w:val="18"/>
        </w:rPr>
        <w:t>Almost without exception each charged act here is accompanied by other physical and or verbal violence. That immediate setting is an aggravating feature of those offences.</w:t>
      </w:r>
    </w:p>
    <w:p w14:paraId="5CE95491" w14:textId="4E4087D6" w:rsidR="00D4507D" w:rsidRPr="006B07EB" w:rsidRDefault="00D4507D" w:rsidP="006B07EB">
      <w:pPr>
        <w:pStyle w:val="Style1"/>
        <w:spacing w:before="60"/>
        <w:ind w:left="1021" w:right="1021"/>
        <w:rPr>
          <w:sz w:val="18"/>
          <w:szCs w:val="16"/>
        </w:rPr>
      </w:pPr>
      <w:r w:rsidRPr="006B07EB">
        <w:rPr>
          <w:sz w:val="18"/>
          <w:szCs w:val="16"/>
        </w:rPr>
        <w:t>[203] In addition to the charged offences and their immediate setting, I also take into account the broader context of the relationship and the nature of a number of uncharged acts.</w:t>
      </w:r>
    </w:p>
    <w:p w14:paraId="747A4EFA" w14:textId="520A8DA5" w:rsidR="00D4507D" w:rsidRPr="006B07EB" w:rsidRDefault="00D4507D" w:rsidP="006B07EB">
      <w:pPr>
        <w:pStyle w:val="Style1"/>
        <w:spacing w:before="60"/>
        <w:ind w:left="1021" w:right="1021"/>
        <w:rPr>
          <w:sz w:val="18"/>
          <w:szCs w:val="16"/>
        </w:rPr>
      </w:pPr>
      <w:r w:rsidRPr="006B07EB">
        <w:rPr>
          <w:sz w:val="18"/>
          <w:szCs w:val="16"/>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sidRPr="006B07EB">
        <w:rPr>
          <w:sz w:val="18"/>
          <w:szCs w:val="16"/>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6876AC">
      <w:pPr>
        <w:pStyle w:val="Style1"/>
      </w:pPr>
      <w:r>
        <w:t xml:space="preserve">In </w:t>
      </w:r>
      <w:r w:rsidRPr="009D17FD">
        <w:rPr>
          <w:i/>
          <w:iCs/>
        </w:rPr>
        <w:t>DPP v Al-Hasan</w:t>
      </w:r>
      <w: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t>,</w:t>
      </w:r>
      <w: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C52378">
      <w:pPr>
        <w:pStyle w:val="Style1"/>
      </w:pPr>
      <w:r>
        <w:t xml:space="preserve">In </w:t>
      </w:r>
      <w:r w:rsidRPr="00414565">
        <w:rPr>
          <w:i/>
          <w:iCs/>
        </w:rPr>
        <w:t>Skeates (a pseudonym) v The King</w:t>
      </w:r>
      <w: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t>55</w:t>
      </w:r>
      <w:r>
        <w:t>]-[</w:t>
      </w:r>
      <w:r w:rsidR="001317E1">
        <w:t>62</w:t>
      </w:r>
      <w: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Pr="00C52378" w:rsidRDefault="001317E1" w:rsidP="00C52378">
      <w:pPr>
        <w:pStyle w:val="Style1"/>
        <w:spacing w:before="60"/>
        <w:ind w:left="1021" w:right="1021"/>
        <w:rPr>
          <w:sz w:val="18"/>
          <w:szCs w:val="18"/>
        </w:rPr>
      </w:pPr>
      <w:r w:rsidRPr="00C52378">
        <w:rPr>
          <w:sz w:val="18"/>
          <w:szCs w:val="18"/>
        </w:rPr>
        <w:t>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Pr="00C52378" w:rsidRDefault="001317E1" w:rsidP="00C52378">
      <w:pPr>
        <w:pStyle w:val="Style1"/>
        <w:spacing w:before="60"/>
        <w:ind w:left="1021" w:right="1021"/>
        <w:rPr>
          <w:sz w:val="18"/>
          <w:szCs w:val="18"/>
        </w:rPr>
      </w:pPr>
      <w:r w:rsidRPr="00C52378">
        <w:rPr>
          <w:sz w:val="18"/>
          <w:szCs w:val="18"/>
        </w:rPr>
        <w:t xml:space="preserve">The effects of family violence are now well documented. They are not confined to physical injury. Victims often feel responsible for the violence and ashamed that they were not able to prevent the perpetrator from offending. As occurred in this case, it is </w:t>
      </w:r>
      <w:r w:rsidRPr="00C52378">
        <w:rPr>
          <w:sz w:val="18"/>
          <w:szCs w:val="18"/>
        </w:rPr>
        <w:lastRenderedPageBreak/>
        <w:t>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Pr="00C52378" w:rsidRDefault="001317E1" w:rsidP="00C52378">
      <w:pPr>
        <w:pStyle w:val="Style1"/>
        <w:spacing w:before="60"/>
        <w:ind w:left="1021" w:right="1021"/>
        <w:rPr>
          <w:sz w:val="18"/>
          <w:szCs w:val="18"/>
        </w:rPr>
      </w:pPr>
      <w:r w:rsidRPr="00C52378">
        <w:rPr>
          <w:sz w:val="18"/>
          <w:szCs w:val="18"/>
        </w:rPr>
        <w:t>…</w:t>
      </w:r>
    </w:p>
    <w:p w14:paraId="015DC4CC" w14:textId="48DA1C3A" w:rsidR="00414565" w:rsidRPr="00C52378" w:rsidRDefault="001317E1" w:rsidP="00C52378">
      <w:pPr>
        <w:pStyle w:val="Style1"/>
        <w:spacing w:before="60"/>
        <w:ind w:left="1021" w:right="1021"/>
        <w:rPr>
          <w:sz w:val="18"/>
          <w:szCs w:val="18"/>
        </w:rPr>
      </w:pPr>
      <w:r w:rsidRPr="00C52378">
        <w:rPr>
          <w:sz w:val="18"/>
          <w:szCs w:val="18"/>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70185">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52378" w:rsidRDefault="00CC5BC9" w:rsidP="00C52378">
      <w:pPr>
        <w:pStyle w:val="Style1"/>
        <w:spacing w:before="60"/>
        <w:ind w:left="1021" w:right="1021"/>
        <w:rPr>
          <w:sz w:val="14"/>
          <w:szCs w:val="10"/>
        </w:rPr>
      </w:pPr>
      <w:r w:rsidRPr="00C52378">
        <w:rPr>
          <w:sz w:val="18"/>
          <w:szCs w:val="18"/>
        </w:rPr>
        <w:t>Offending of this nature is too often perpetrated by men whose response to difficulties in a relationship is one of possessive, violent rage. It goes without saying that such a response, to what is a common human situation, is utterly unacceptable. The sentences must convey the unmistakeable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52378" w:rsidRDefault="00CC5BC9" w:rsidP="00C52378">
      <w:pPr>
        <w:pStyle w:val="Style1"/>
        <w:spacing w:before="60"/>
        <w:ind w:left="1021" w:right="1021"/>
        <w:rPr>
          <w:sz w:val="14"/>
          <w:szCs w:val="10"/>
        </w:rPr>
      </w:pPr>
      <w:r w:rsidRPr="00C52378">
        <w:rPr>
          <w:sz w:val="18"/>
          <w:szCs w:val="18"/>
        </w:rPr>
        <w:t>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1DD1F9C0" w14:textId="77777777" w:rsidR="00BF7042" w:rsidRDefault="00BF7042" w:rsidP="00BF7042">
      <w:pPr>
        <w:jc w:val="both"/>
        <w:rPr>
          <w:rFonts w:ascii="Arial" w:hAnsi="Arial" w:cs="Arial"/>
          <w:color w:val="000000"/>
          <w:sz w:val="20"/>
        </w:rPr>
      </w:pPr>
    </w:p>
    <w:p w14:paraId="1B6701B6" w14:textId="4F35BAD0" w:rsidR="00BF7042" w:rsidRDefault="00BF7042" w:rsidP="00BF7042">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[42]</w:t>
      </w:r>
      <w:r>
        <w:rPr>
          <w:rFonts w:ascii="Arial" w:hAnsi="Arial" w:cs="Arial"/>
          <w:color w:val="000000"/>
          <w:sz w:val="20"/>
          <w:szCs w:val="20"/>
        </w:rPr>
        <w:noBreakHyphen/>
        <w:t>[43]:</w:t>
      </w:r>
    </w:p>
    <w:p w14:paraId="59B9571E" w14:textId="5D2E1A2B" w:rsidR="00BF7042" w:rsidRPr="00FD5D57" w:rsidRDefault="00BF7042" w:rsidP="00CD0E0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Skeates (a Pseudonym) </w:t>
      </w:r>
      <w:r w:rsidRPr="004E2B0F">
        <w:rPr>
          <w:rFonts w:ascii="Arial" w:hAnsi="Arial" w:cs="Arial"/>
          <w:i/>
          <w:iCs/>
          <w:color w:val="000000"/>
          <w:sz w:val="20"/>
        </w:rPr>
        <w:t xml:space="preserve">v The </w:t>
      </w:r>
      <w:r>
        <w:rPr>
          <w:rFonts w:ascii="Arial" w:hAnsi="Arial" w:cs="Arial"/>
          <w:i/>
          <w:iCs/>
          <w:color w:val="000000"/>
          <w:sz w:val="20"/>
        </w:rPr>
        <w:t>King</w:t>
      </w:r>
      <w:r>
        <w:rPr>
          <w:rFonts w:ascii="Arial" w:hAnsi="Arial" w:cs="Arial"/>
          <w:color w:val="000000"/>
          <w:sz w:val="20"/>
        </w:rPr>
        <w:t xml:space="preserve"> [2023] VSCA 226 at [55]-[62] this Court reviewed the many statements previously made as to the seriousness of offending that occurs within the context of family violence. In such circumstances general deterrence and denunciation assume prominence in the sentencing exercise. Offending which is in breach of an extant family violence order is particularly aggravated. The sentencing judge must have regard to the impact of the offending on the victim. The judge correctly approached this case on that basis.”</w:t>
      </w:r>
    </w:p>
    <w:p w14:paraId="7F3B37A0" w14:textId="77777777" w:rsidR="00BF7042" w:rsidRDefault="00BF7042" w:rsidP="002B3A45">
      <w:pPr>
        <w:pStyle w:val="Heading2"/>
        <w:widowControl/>
        <w:tabs>
          <w:tab w:val="left" w:pos="567"/>
        </w:tabs>
        <w:spacing w:line="240" w:lineRule="auto"/>
        <w:rPr>
          <w:rFonts w:ascii="Arial" w:hAnsi="Arial" w:cs="Arial"/>
          <w:sz w:val="20"/>
        </w:rPr>
      </w:pPr>
    </w:p>
    <w:p w14:paraId="01C92A74" w14:textId="3EE25A22" w:rsidR="00685718" w:rsidRDefault="00685718" w:rsidP="004A0F18">
      <w:pPr>
        <w:pStyle w:val="Style1"/>
      </w:pPr>
      <w:r>
        <w:t xml:space="preserve">In </w:t>
      </w:r>
      <w:r w:rsidRPr="0058673C">
        <w:rPr>
          <w:i/>
          <w:iCs/>
        </w:rPr>
        <w:t>Dhal v The Queen</w:t>
      </w:r>
      <w:r>
        <w:t xml:space="preserve"> [2023] VSCA 289 the Court of Appeal (Osborn &amp; Whelan JJA), in refusing the 31 year old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4A0F18">
      <w:pPr>
        <w:pStyle w:val="Style1"/>
      </w:pPr>
      <w:r>
        <w:t xml:space="preserve">In </w:t>
      </w:r>
      <w:r w:rsidRPr="008B14AE">
        <w:rPr>
          <w:i/>
          <w:iCs/>
        </w:rPr>
        <w:t>Dragovic v The King</w:t>
      </w:r>
      <w:r>
        <w:t xml:space="preserve"> [2024] VSCA 95 the applicant had pleaded guilty to </w:t>
      </w:r>
      <w:r w:rsidR="00E76CEC" w:rsidRPr="00E76CEC">
        <w:t xml:space="preserve">to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t>TES IMP2y/1y</w:t>
      </w:r>
      <w:r w:rsidR="00E76CEC" w:rsidRPr="00E76CEC">
        <w:t>.</w:t>
      </w:r>
      <w:r w:rsidR="00E76CEC">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 xml:space="preserve">the authorities make plain that ‘general deterrence, public denunciation, just punishment and community protection must be </w:t>
      </w:r>
      <w:r w:rsidRPr="00E76CEC">
        <w:rPr>
          <w:rFonts w:ascii="Arial" w:hAnsi="Arial" w:cs="Arial"/>
          <w:sz w:val="20"/>
          <w:szCs w:val="16"/>
        </w:rPr>
        <w:lastRenderedPageBreak/>
        <w:t>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5DBC0DC3" w14:textId="28A37196" w:rsidR="00D06CE5" w:rsidRDefault="00D06CE5"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the respondent (who was 33 years old at the time of the offending) had pleaded guilty to </w:t>
      </w:r>
      <w:r w:rsidRPr="00D06CE5">
        <w:rPr>
          <w:rFonts w:ascii="Arial" w:hAnsi="Arial" w:cs="Arial"/>
          <w:sz w:val="20"/>
          <w:lang w:val="en-AU"/>
        </w:rPr>
        <w:t xml:space="preserve">two charges of contravening a family violence intervention order intending to cause, or knowing that his conduct would probably cause, apprehension or fear in a protected person for her own safety or that of any other person contrary to s 123A(2) of the </w:t>
      </w:r>
      <w:r w:rsidRPr="00D06CE5">
        <w:rPr>
          <w:rFonts w:ascii="Arial" w:hAnsi="Arial" w:cs="Arial"/>
          <w:i/>
          <w:iCs/>
          <w:sz w:val="20"/>
          <w:lang w:val="en-AU"/>
        </w:rPr>
        <w:t>Family Violence Protection Act 2008</w:t>
      </w:r>
      <w:r w:rsidRPr="00D06CE5">
        <w:rPr>
          <w:rFonts w:ascii="Arial" w:hAnsi="Arial" w:cs="Arial"/>
          <w:sz w:val="20"/>
          <w:lang w:val="en-AU"/>
        </w:rPr>
        <w:t xml:space="preserve"> </w:t>
      </w:r>
      <w:r>
        <w:rPr>
          <w:rFonts w:ascii="Arial" w:hAnsi="Arial" w:cs="Arial"/>
          <w:sz w:val="20"/>
          <w:lang w:val="en-AU"/>
        </w:rPr>
        <w:t xml:space="preserve">[FVPA], two charges of making a threat to kill, </w:t>
      </w:r>
      <w:r w:rsidRPr="00D06CE5">
        <w:rPr>
          <w:rFonts w:ascii="Arial" w:hAnsi="Arial" w:cs="Arial"/>
          <w:sz w:val="20"/>
          <w:lang w:val="en-AU"/>
        </w:rPr>
        <w:t>one charge of aggravated burglary</w:t>
      </w:r>
      <w:r>
        <w:rPr>
          <w:rFonts w:ascii="Arial" w:hAnsi="Arial" w:cs="Arial"/>
          <w:sz w:val="20"/>
          <w:lang w:val="en-AU"/>
        </w:rPr>
        <w:t>,</w:t>
      </w:r>
      <w:r w:rsidRPr="00D06CE5">
        <w:rPr>
          <w:rFonts w:ascii="Arial" w:hAnsi="Arial" w:cs="Arial"/>
          <w:sz w:val="20"/>
          <w:lang w:val="en-AU"/>
        </w:rPr>
        <w:t xml:space="preserve"> one charge of persistent contravention of a family violence intervention order contrary to s 125A </w:t>
      </w:r>
      <w:r>
        <w:rPr>
          <w:rFonts w:ascii="Arial" w:hAnsi="Arial" w:cs="Arial"/>
          <w:sz w:val="20"/>
          <w:lang w:val="en-AU"/>
        </w:rPr>
        <w:t>FVPA</w:t>
      </w:r>
      <w:r w:rsidRPr="00D06CE5">
        <w:rPr>
          <w:rFonts w:ascii="Arial" w:hAnsi="Arial" w:cs="Arial"/>
          <w:sz w:val="20"/>
          <w:lang w:val="en-AU"/>
        </w:rPr>
        <w:t>, and one charge of attempting to pervert the course of justice contrary to common law. The primary victim of the respondent’s offending had been in an intimate relationship with the respondent, on and off, since 2012. She was 28 at the time of the offending</w:t>
      </w:r>
      <w:r w:rsidR="0046798F">
        <w:rPr>
          <w:rFonts w:ascii="Arial" w:hAnsi="Arial" w:cs="Arial"/>
          <w:sz w:val="20"/>
          <w:lang w:val="en-AU"/>
        </w:rPr>
        <w:t xml:space="preserve"> and</w:t>
      </w:r>
      <w:r w:rsidRPr="00D06CE5">
        <w:rPr>
          <w:rFonts w:ascii="Arial" w:hAnsi="Arial" w:cs="Arial"/>
          <w:sz w:val="20"/>
          <w:lang w:val="en-AU"/>
        </w:rPr>
        <w:t xml:space="preserve"> had a son aged three. Another of the respondent’s victim</w:t>
      </w:r>
      <w:r>
        <w:rPr>
          <w:rFonts w:ascii="Arial" w:hAnsi="Arial" w:cs="Arial"/>
          <w:sz w:val="20"/>
          <w:lang w:val="en-AU"/>
        </w:rPr>
        <w:t xml:space="preserve">s </w:t>
      </w:r>
      <w:r w:rsidRPr="00D06CE5">
        <w:rPr>
          <w:rFonts w:ascii="Arial" w:hAnsi="Arial" w:cs="Arial"/>
          <w:sz w:val="20"/>
          <w:lang w:val="en-AU"/>
        </w:rPr>
        <w:t xml:space="preserve">was the complainant’s </w:t>
      </w:r>
      <w:r>
        <w:rPr>
          <w:rFonts w:ascii="Arial" w:hAnsi="Arial" w:cs="Arial"/>
          <w:sz w:val="20"/>
          <w:lang w:val="en-AU"/>
        </w:rPr>
        <w:t xml:space="preserve">69-year old </w:t>
      </w:r>
      <w:r w:rsidRPr="00D06CE5">
        <w:rPr>
          <w:rFonts w:ascii="Arial" w:hAnsi="Arial" w:cs="Arial"/>
          <w:sz w:val="20"/>
          <w:lang w:val="en-AU"/>
        </w:rPr>
        <w:t xml:space="preserve">grandmother. </w:t>
      </w:r>
      <w:r>
        <w:rPr>
          <w:rFonts w:ascii="Arial" w:hAnsi="Arial" w:cs="Arial"/>
          <w:sz w:val="20"/>
          <w:lang w:val="en-AU"/>
        </w:rPr>
        <w:t xml:space="preserve">The respondent </w:t>
      </w:r>
      <w:r w:rsidR="0046798F">
        <w:rPr>
          <w:rFonts w:ascii="Arial" w:hAnsi="Arial" w:cs="Arial"/>
          <w:sz w:val="20"/>
          <w:lang w:val="en-AU"/>
        </w:rPr>
        <w:t>had been</w:t>
      </w:r>
      <w:r>
        <w:rPr>
          <w:rFonts w:ascii="Arial" w:hAnsi="Arial" w:cs="Arial"/>
          <w:sz w:val="20"/>
          <w:lang w:val="en-AU"/>
        </w:rPr>
        <w:t xml:space="preserve"> sentenced by a County Court judge to TES IMP3y4m/2y2m.</w:t>
      </w:r>
      <w:r w:rsidRPr="00D06CE5">
        <w:rPr>
          <w:rFonts w:ascii="Arial" w:hAnsi="Arial" w:cs="Arial"/>
          <w:sz w:val="20"/>
          <w:lang w:val="en-AU"/>
        </w:rPr>
        <w:t xml:space="preserve"> </w:t>
      </w:r>
      <w:r>
        <w:rPr>
          <w:rFonts w:ascii="Arial" w:hAnsi="Arial" w:cs="Arial"/>
          <w:sz w:val="20"/>
          <w:lang w:val="en-AU"/>
        </w:rPr>
        <w:t xml:space="preserve">The Court of Appeal (Priest, Taylor &amp; Boyce JJA) allowed the DPP appeal and resentenced the respondent to </w:t>
      </w:r>
      <w:r w:rsidR="00100904">
        <w:rPr>
          <w:rFonts w:ascii="Arial" w:hAnsi="Arial" w:cs="Arial"/>
          <w:sz w:val="20"/>
          <w:lang w:val="en-AU"/>
        </w:rPr>
        <w:t xml:space="preserve">TES IMP </w:t>
      </w:r>
      <w:r w:rsidR="00395E45">
        <w:rPr>
          <w:rFonts w:ascii="Arial" w:hAnsi="Arial" w:cs="Arial"/>
          <w:sz w:val="20"/>
          <w:lang w:val="en-AU"/>
        </w:rPr>
        <w:t>5</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w:t>
      </w:r>
      <w:r w:rsidR="00395E45">
        <w:rPr>
          <w:rFonts w:ascii="Arial" w:hAnsi="Arial" w:cs="Arial"/>
          <w:sz w:val="20"/>
          <w:lang w:val="en-AU"/>
        </w:rPr>
        <w:t>3</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 In</w:t>
      </w:r>
      <w:r w:rsidR="0046798F">
        <w:rPr>
          <w:rFonts w:ascii="Arial" w:hAnsi="Arial" w:cs="Arial"/>
          <w:sz w:val="20"/>
          <w:lang w:val="en-AU"/>
        </w:rPr>
        <w:t> </w:t>
      </w:r>
      <w:r w:rsidR="00100904">
        <w:rPr>
          <w:rFonts w:ascii="Arial" w:hAnsi="Arial" w:cs="Arial"/>
          <w:sz w:val="20"/>
          <w:lang w:val="en-AU"/>
        </w:rPr>
        <w:t>relation to sentencing for the family violence offen</w:t>
      </w:r>
      <w:r w:rsidR="00395E45">
        <w:rPr>
          <w:rFonts w:ascii="Arial" w:hAnsi="Arial" w:cs="Arial"/>
          <w:sz w:val="20"/>
          <w:lang w:val="en-AU"/>
        </w:rPr>
        <w:t>d</w:t>
      </w:r>
      <w:r w:rsidR="00100904">
        <w:rPr>
          <w:rFonts w:ascii="Arial" w:hAnsi="Arial" w:cs="Arial"/>
          <w:sz w:val="20"/>
          <w:lang w:val="en-AU"/>
        </w:rPr>
        <w:t xml:space="preserve">ing – and in particular the judgments in </w:t>
      </w:r>
      <w:r w:rsidR="00100904" w:rsidRPr="00100904">
        <w:rPr>
          <w:rFonts w:ascii="Arial" w:hAnsi="Arial" w:cs="Arial"/>
          <w:i/>
          <w:iCs/>
          <w:sz w:val="20"/>
          <w:lang w:val="en-AU"/>
        </w:rPr>
        <w:t>Skeates (a pseudonym) v The King</w:t>
      </w:r>
      <w:r w:rsidR="00100904" w:rsidRPr="00100904">
        <w:rPr>
          <w:rFonts w:ascii="Arial" w:hAnsi="Arial" w:cs="Arial"/>
          <w:sz w:val="20"/>
          <w:lang w:val="en-AU"/>
        </w:rPr>
        <w:t xml:space="preserve"> </w:t>
      </w:r>
      <w:r w:rsidR="00100904">
        <w:rPr>
          <w:rFonts w:ascii="Arial" w:hAnsi="Arial" w:cs="Arial"/>
          <w:sz w:val="20"/>
          <w:lang w:val="en-AU"/>
        </w:rPr>
        <w:t xml:space="preserve">(2010) and </w:t>
      </w:r>
      <w:r w:rsidR="00100904" w:rsidRPr="00100904">
        <w:rPr>
          <w:rFonts w:ascii="Arial" w:hAnsi="Arial" w:cs="Arial"/>
          <w:i/>
          <w:iCs/>
          <w:sz w:val="20"/>
          <w:lang w:val="en-AU"/>
        </w:rPr>
        <w:t>Pasinis v The Queen</w:t>
      </w:r>
      <w:r w:rsidR="00100904" w:rsidRPr="00100904">
        <w:rPr>
          <w:rFonts w:ascii="Arial" w:hAnsi="Arial" w:cs="Arial"/>
          <w:sz w:val="20"/>
          <w:lang w:val="en-AU"/>
        </w:rPr>
        <w:t xml:space="preserve"> [2014] VSCA 97 [57]</w:t>
      </w:r>
      <w:r w:rsidR="000C3CBB">
        <w:rPr>
          <w:rFonts w:ascii="Arial" w:hAnsi="Arial" w:cs="Arial"/>
          <w:sz w:val="20"/>
          <w:lang w:val="en-AU"/>
        </w:rPr>
        <w:t xml:space="preserve"> –</w:t>
      </w:r>
      <w:r w:rsidR="00100904" w:rsidRPr="00100904">
        <w:rPr>
          <w:rFonts w:ascii="Arial" w:hAnsi="Arial" w:cs="Arial"/>
          <w:sz w:val="20"/>
          <w:lang w:val="en-AU"/>
        </w:rPr>
        <w:t xml:space="preserve"> </w:t>
      </w:r>
      <w:r w:rsidR="00100904">
        <w:rPr>
          <w:rFonts w:ascii="Arial" w:hAnsi="Arial" w:cs="Arial"/>
          <w:sz w:val="20"/>
          <w:lang w:val="en-AU"/>
        </w:rPr>
        <w:t>see</w:t>
      </w:r>
      <w:r w:rsidR="000C3CBB">
        <w:rPr>
          <w:rFonts w:ascii="Arial" w:hAnsi="Arial" w:cs="Arial"/>
          <w:sz w:val="20"/>
          <w:lang w:val="en-AU"/>
        </w:rPr>
        <w:t xml:space="preserve"> </w:t>
      </w:r>
      <w:r w:rsidR="00100904">
        <w:rPr>
          <w:rFonts w:ascii="Arial" w:hAnsi="Arial" w:cs="Arial"/>
          <w:sz w:val="20"/>
          <w:lang w:val="en-AU"/>
        </w:rPr>
        <w:t xml:space="preserve">the judgment of Boyce JA at [100]-[104] and the </w:t>
      </w:r>
      <w:r w:rsidR="0046798F">
        <w:rPr>
          <w:rFonts w:ascii="Arial" w:hAnsi="Arial" w:cs="Arial"/>
          <w:sz w:val="20"/>
          <w:lang w:val="en-AU"/>
        </w:rPr>
        <w:t>observations</w:t>
      </w:r>
      <w:r w:rsidR="00395E45">
        <w:rPr>
          <w:rFonts w:ascii="Arial" w:hAnsi="Arial" w:cs="Arial"/>
          <w:sz w:val="20"/>
          <w:lang w:val="en-AU"/>
        </w:rPr>
        <w:t xml:space="preserve"> </w:t>
      </w:r>
      <w:r w:rsidR="00100904">
        <w:rPr>
          <w:rFonts w:ascii="Arial" w:hAnsi="Arial" w:cs="Arial"/>
          <w:sz w:val="20"/>
          <w:lang w:val="en-AU"/>
        </w:rPr>
        <w:t>of Priest JA at [</w:t>
      </w:r>
      <w:r w:rsidR="0046798F">
        <w:rPr>
          <w:rFonts w:ascii="Arial" w:hAnsi="Arial" w:cs="Arial"/>
          <w:sz w:val="20"/>
          <w:lang w:val="en-AU"/>
        </w:rPr>
        <w:t>3</w:t>
      </w:r>
      <w:r w:rsidR="00100904">
        <w:rPr>
          <w:rFonts w:ascii="Arial" w:hAnsi="Arial" w:cs="Arial"/>
          <w:sz w:val="20"/>
          <w:lang w:val="en-AU"/>
        </w:rPr>
        <w:t>]-[</w:t>
      </w:r>
      <w:r w:rsidR="0046798F">
        <w:rPr>
          <w:rFonts w:ascii="Arial" w:hAnsi="Arial" w:cs="Arial"/>
          <w:sz w:val="20"/>
          <w:lang w:val="en-AU"/>
        </w:rPr>
        <w:t>5</w:t>
      </w:r>
      <w:r w:rsidR="00100904">
        <w:rPr>
          <w:rFonts w:ascii="Arial" w:hAnsi="Arial" w:cs="Arial"/>
          <w:sz w:val="20"/>
          <w:lang w:val="en-AU"/>
        </w:rPr>
        <w:t>]. In</w:t>
      </w:r>
      <w:r w:rsidR="0046798F">
        <w:rPr>
          <w:rFonts w:ascii="Arial" w:hAnsi="Arial" w:cs="Arial"/>
          <w:sz w:val="20"/>
          <w:lang w:val="en-AU"/>
        </w:rPr>
        <w:t xml:space="preserve"> </w:t>
      </w:r>
      <w:r w:rsidR="00100904">
        <w:rPr>
          <w:rFonts w:ascii="Arial" w:hAnsi="Arial" w:cs="Arial"/>
          <w:sz w:val="20"/>
          <w:lang w:val="en-AU"/>
        </w:rPr>
        <w:t>relation to the aggravated burglary charge see the judgment of Boyce JA at [</w:t>
      </w:r>
      <w:r w:rsidR="00BE25AE">
        <w:rPr>
          <w:rFonts w:ascii="Arial" w:hAnsi="Arial" w:cs="Arial"/>
          <w:sz w:val="20"/>
          <w:lang w:val="en-AU"/>
        </w:rPr>
        <w:t>104</w:t>
      </w:r>
      <w:r w:rsidR="00100904">
        <w:rPr>
          <w:rFonts w:ascii="Arial" w:hAnsi="Arial" w:cs="Arial"/>
          <w:sz w:val="20"/>
          <w:lang w:val="en-AU"/>
        </w:rPr>
        <w:t>]-[</w:t>
      </w:r>
      <w:r w:rsidR="00BE25AE">
        <w:rPr>
          <w:rFonts w:ascii="Arial" w:hAnsi="Arial" w:cs="Arial"/>
          <w:sz w:val="20"/>
          <w:lang w:val="en-AU"/>
        </w:rPr>
        <w:t>133</w:t>
      </w:r>
      <w:r w:rsidR="00100904">
        <w:rPr>
          <w:rFonts w:ascii="Arial" w:hAnsi="Arial" w:cs="Arial"/>
          <w:sz w:val="20"/>
          <w:lang w:val="en-AU"/>
        </w:rPr>
        <w:t xml:space="preserve">] and </w:t>
      </w:r>
      <w:r w:rsidR="00395E45">
        <w:rPr>
          <w:rFonts w:ascii="Arial" w:hAnsi="Arial" w:cs="Arial"/>
          <w:sz w:val="20"/>
          <w:lang w:val="en-AU"/>
        </w:rPr>
        <w:t xml:space="preserve">in relation to the attempt to pervert the course of justice </w:t>
      </w:r>
      <w:r w:rsidR="00A834FC">
        <w:rPr>
          <w:rFonts w:ascii="Arial" w:hAnsi="Arial" w:cs="Arial"/>
          <w:sz w:val="20"/>
          <w:lang w:val="en-AU"/>
        </w:rPr>
        <w:t xml:space="preserve">charge </w:t>
      </w:r>
      <w:r w:rsidR="00395E45">
        <w:rPr>
          <w:rFonts w:ascii="Arial" w:hAnsi="Arial" w:cs="Arial"/>
          <w:sz w:val="20"/>
          <w:lang w:val="en-AU"/>
        </w:rPr>
        <w:t>see the judgment of Boyce JA at [140]-[148].</w:t>
      </w:r>
    </w:p>
    <w:p w14:paraId="3F0A0620" w14:textId="77777777" w:rsidR="00100904" w:rsidRDefault="00100904" w:rsidP="002B3A45">
      <w:pPr>
        <w:pStyle w:val="Heading2"/>
        <w:widowControl/>
        <w:tabs>
          <w:tab w:val="left" w:pos="567"/>
        </w:tabs>
        <w:spacing w:line="240" w:lineRule="auto"/>
        <w:rPr>
          <w:rFonts w:ascii="Arial" w:hAnsi="Arial" w:cs="Arial"/>
          <w:sz w:val="20"/>
        </w:rPr>
      </w:pPr>
    </w:p>
    <w:p w14:paraId="162942AB" w14:textId="3FEEDB40" w:rsidR="005668B3" w:rsidRDefault="005668B3" w:rsidP="004A0F18">
      <w:pPr>
        <w:pStyle w:val="Style1"/>
      </w:pPr>
      <w:r>
        <w:t xml:space="preserve">In </w:t>
      </w:r>
      <w:r w:rsidRPr="005668B3">
        <w:rPr>
          <w:i/>
          <w:iCs/>
        </w:rPr>
        <w:t>DPP v Lindemann</w:t>
      </w:r>
      <w:r>
        <w:t xml:space="preserve"> [2024] VSC 220 the accused engaged in a frenzied, prolonged attack on his partner using six knives.  The attack took place at home in the presence of </w:t>
      </w:r>
      <w:r w:rsidR="00735A44">
        <w:t>the partner’s</w:t>
      </w:r>
      <w:r>
        <w:t xml:space="preserve"> 10-year old twins and </w:t>
      </w:r>
      <w:r w:rsidR="00735A44">
        <w:t xml:space="preserve">her </w:t>
      </w:r>
      <w:r>
        <w:t xml:space="preserve">frail mother.  In the process the accused caused knife injuries to one of the twins who was trying to defend her mother.  The accused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t>resulting in</w:t>
      </w:r>
      <w:r>
        <w:t xml:space="preserve"> TES IMP31y/25y. At</w:t>
      </w:r>
      <w:r w:rsidR="000C3CBB">
        <w:t> </w:t>
      </w:r>
      <w:r>
        <w:t>[</w:t>
      </w:r>
      <w:proofErr w:type="gramStart"/>
      <w:r>
        <w:t>96]</w:t>
      </w:r>
      <w:r w:rsidR="00735A44">
        <w:noBreakHyphen/>
      </w:r>
      <w:proofErr w:type="gramEnd"/>
      <w: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7924784D" w14:textId="77777777" w:rsidR="005668B3" w:rsidRDefault="005668B3" w:rsidP="002B3A45">
      <w:pPr>
        <w:pStyle w:val="Heading2"/>
        <w:widowControl/>
        <w:tabs>
          <w:tab w:val="left" w:pos="567"/>
        </w:tabs>
        <w:spacing w:line="240" w:lineRule="auto"/>
        <w:rPr>
          <w:rFonts w:ascii="Arial" w:hAnsi="Arial" w:cs="Arial"/>
          <w:sz w:val="20"/>
        </w:rPr>
      </w:pPr>
    </w:p>
    <w:p w14:paraId="6D2077AF" w14:textId="1484D3CF" w:rsidR="00DB3289" w:rsidRDefault="00DB3289" w:rsidP="004A0F18">
      <w:pPr>
        <w:pStyle w:val="Style1"/>
      </w:pPr>
      <w:r>
        <w:t xml:space="preserve">In </w:t>
      </w:r>
      <w:r w:rsidRPr="00DB3289">
        <w:rPr>
          <w:i/>
          <w:iCs/>
        </w:rPr>
        <w:t>DPP v P</w:t>
      </w:r>
      <w:r w:rsidR="00A63F64">
        <w:rPr>
          <w:i/>
          <w:iCs/>
        </w:rPr>
        <w:t>ua</w:t>
      </w:r>
      <w:r w:rsidRPr="00DB3289">
        <w:rPr>
          <w:i/>
          <w:iCs/>
        </w:rPr>
        <w:t>lic</w:t>
      </w:r>
      <w:r>
        <w:t xml:space="preserve"> [2024] VSC </w:t>
      </w:r>
      <w:r w:rsidR="00AE02EF">
        <w:t xml:space="preserve">817 the 44 year old offender had pleaded guilty </w:t>
      </w:r>
      <w:r w:rsidR="00F76523">
        <w:t>at the earliest possible opportunity t</w:t>
      </w:r>
      <w:r w:rsidR="00AE02EF">
        <w:t xml:space="preserve">o the </w:t>
      </w:r>
      <w:r w:rsidR="00F76523">
        <w:t xml:space="preserve">stabbing murder of his 46 year old ex-partner who was the sole parent of a son and </w:t>
      </w:r>
      <w:r w:rsidR="00EB5FEA">
        <w:t xml:space="preserve">three </w:t>
      </w:r>
      <w:r w:rsidR="00F76523">
        <w:t xml:space="preserve">daughters aged 20, 8 &amp; 6. The offending was witnessed by the deceased’s 8 year old daughter. The offender had diagnoses of Complex PTSD and Schizotypal Disorder and was intoxicated at the time of the offending. In imposing a sentence of IMP24y/19y Incerti J said, </w:t>
      </w:r>
      <w:r w:rsidR="00F76523" w:rsidRPr="00F76523">
        <w:rPr>
          <w:i/>
          <w:iCs/>
        </w:rPr>
        <w:t>inter alia</w:t>
      </w:r>
      <w:r w:rsidR="00F76523">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degree of casual connection between your Complex PTSD and your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r w:rsidRPr="00F76523">
        <w:rPr>
          <w:rFonts w:ascii="Arial" w:hAnsi="Arial" w:cs="Arial"/>
          <w:i/>
          <w:iCs/>
          <w:sz w:val="20"/>
          <w:szCs w:val="16"/>
        </w:rPr>
        <w:t>Bugmy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 xml:space="preserve">For the reasons set out above, I am prepared to accept that your mental impairment and your disturbed childhood are relevant factors that mitigate your moral culpability for Ms Osias’ murder. I repeat, however, that the extent to which they do so must be limited. </w:t>
      </w:r>
      <w:r w:rsidR="00EB5FEA" w:rsidRPr="00F76523">
        <w:rPr>
          <w:rFonts w:ascii="Arial" w:hAnsi="Arial" w:cs="Arial"/>
          <w:sz w:val="20"/>
        </w:rPr>
        <w:lastRenderedPageBreak/>
        <w:t>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8 year old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DPP v Kurera</w:t>
      </w:r>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Women are being killed by their male partners at a disproportionate and utterly terrifying 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Osias. Yet, the full force of the law was still not enough to protect her. Your offending 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46800804" w:rsidR="00AE02EF" w:rsidRDefault="00217861" w:rsidP="00217861">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t xml:space="preserve">As discussed in </w:t>
      </w:r>
      <w:r>
        <w:rPr>
          <w:rFonts w:ascii="Arial" w:hAnsi="Arial" w:cs="Arial"/>
          <w:b/>
          <w:bCs/>
          <w:sz w:val="20"/>
          <w:shd w:val="clear" w:color="auto" w:fill="C5E0B3" w:themeFill="accent6" w:themeFillTint="66"/>
        </w:rPr>
        <w:t>Part 11.19</w:t>
      </w:r>
      <w:r>
        <w:rPr>
          <w:rFonts w:ascii="Arial" w:hAnsi="Arial" w:cs="Arial"/>
          <w:sz w:val="20"/>
          <w:lang w:val="en-AU"/>
        </w:rPr>
        <w:t xml:space="preserve"> a Director’s appeal was dismissed by the Court of Appeal: </w:t>
      </w:r>
      <w:r w:rsidRPr="00217861">
        <w:rPr>
          <w:rFonts w:ascii="Arial" w:hAnsi="Arial" w:cs="Arial"/>
          <w:i/>
          <w:iCs/>
          <w:sz w:val="20"/>
          <w:lang w:val="en-AU"/>
        </w:rPr>
        <w:t xml:space="preserve">DPP v </w:t>
      </w:r>
      <w:proofErr w:type="spellStart"/>
      <w:r w:rsidRPr="00217861">
        <w:rPr>
          <w:rFonts w:ascii="Arial" w:hAnsi="Arial" w:cs="Arial"/>
          <w:i/>
          <w:iCs/>
          <w:sz w:val="20"/>
          <w:lang w:val="en-AU"/>
        </w:rPr>
        <w:t>Pualic</w:t>
      </w:r>
      <w:proofErr w:type="spellEnd"/>
      <w:r>
        <w:rPr>
          <w:rFonts w:ascii="Arial" w:hAnsi="Arial" w:cs="Arial"/>
          <w:sz w:val="20"/>
          <w:lang w:val="en-AU"/>
        </w:rPr>
        <w:t xml:space="preserve"> [2025] VSCA 178.</w:t>
      </w:r>
    </w:p>
    <w:p w14:paraId="0366C485" w14:textId="77777777" w:rsidR="00217861" w:rsidRDefault="00217861"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C52378">
      <w:pPr>
        <w:pStyle w:val="Style1"/>
      </w:pPr>
      <w:r w:rsidRPr="006A5901">
        <w:t xml:space="preserve">See also </w:t>
      </w:r>
      <w:r w:rsidRPr="006A5901">
        <w:rPr>
          <w:i/>
          <w:iCs/>
        </w:rPr>
        <w:t>Stanford v The King</w:t>
      </w:r>
      <w:r w:rsidRPr="006A5901">
        <w:t xml:space="preserve"> [2024] VSCA </w:t>
      </w:r>
      <w:r w:rsidRPr="006A5901">
        <w:rPr>
          <w:bCs/>
          <w:color w:val="000000"/>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Pr="00565E19" w:rsidRDefault="00660E86" w:rsidP="00565E19">
      <w:pPr>
        <w:pStyle w:val="Heading3"/>
        <w:spacing w:after="120" w:line="240" w:lineRule="auto"/>
        <w:rPr>
          <w:rFonts w:ascii="Arial" w:hAnsi="Arial" w:cs="Arial"/>
          <w:b/>
          <w:bCs/>
          <w:sz w:val="20"/>
        </w:rPr>
      </w:pPr>
      <w:bookmarkStart w:id="736" w:name="_11.2.36.1__"/>
      <w:bookmarkEnd w:id="736"/>
      <w:r w:rsidRPr="00565E19">
        <w:rPr>
          <w:rFonts w:ascii="Arial" w:hAnsi="Arial" w:cs="Arial"/>
          <w:b/>
          <w:bCs/>
          <w:sz w:val="20"/>
        </w:rPr>
        <w:t xml:space="preserve">11.2.36.1   </w:t>
      </w:r>
      <w:r w:rsidR="00E174F3" w:rsidRPr="00565E19">
        <w:rPr>
          <w:rFonts w:ascii="Arial" w:hAnsi="Arial" w:cs="Arial"/>
          <w:b/>
          <w:bCs/>
          <w:sz w:val="20"/>
        </w:rPr>
        <w:t>S</w:t>
      </w:r>
      <w:r w:rsidR="00BD3B9C" w:rsidRPr="00565E19">
        <w:rPr>
          <w:rFonts w:ascii="Arial" w:hAnsi="Arial" w:cs="Arial"/>
          <w:b/>
          <w:bCs/>
          <w:sz w:val="20"/>
        </w:rPr>
        <w:t xml:space="preserve">entencing considerations for </w:t>
      </w:r>
      <w:r w:rsidR="00DB1F31" w:rsidRPr="00565E19">
        <w:rPr>
          <w:rFonts w:ascii="Arial" w:hAnsi="Arial" w:cs="Arial"/>
          <w:b/>
          <w:bCs/>
          <w:sz w:val="20"/>
        </w:rPr>
        <w:t xml:space="preserve">contravention </w:t>
      </w:r>
      <w:r w:rsidR="00BD3B9C" w:rsidRPr="00565E19">
        <w:rPr>
          <w:rFonts w:ascii="Arial" w:hAnsi="Arial" w:cs="Arial"/>
          <w:b/>
          <w:bCs/>
          <w:sz w:val="20"/>
        </w:rPr>
        <w:t>of an intervention order</w:t>
      </w: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27"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 xml:space="preserve">coercive </w:t>
      </w:r>
      <w:r w:rsidRPr="00BD3B9C">
        <w:rPr>
          <w:rFonts w:ascii="Arial" w:hAnsi="Arial" w:cs="Arial"/>
          <w:color w:val="000000"/>
          <w:sz w:val="20"/>
          <w:szCs w:val="20"/>
          <w:u w:val="single"/>
          <w:lang w:eastAsia="en-AU"/>
        </w:rPr>
        <w:lastRenderedPageBreak/>
        <w:t>rehabilitation</w:t>
      </w:r>
      <w:r w:rsidRPr="00BD3B9C">
        <w:rPr>
          <w:rFonts w:ascii="Arial" w:hAnsi="Arial" w:cs="Arial"/>
          <w:color w:val="000000"/>
          <w:sz w:val="20"/>
          <w:szCs w:val="20"/>
          <w:lang w:eastAsia="en-AU"/>
        </w:rPr>
        <w:t> requirements (such as mandatory attendance at a </w:t>
      </w:r>
      <w:hyperlink r:id="rId28"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29"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370725">
      <w:pPr>
        <w:numPr>
          <w:ilvl w:val="0"/>
          <w:numId w:val="91"/>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0"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56F35">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1"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2"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525AFE">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8E7451">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3"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100904">
      <w:pPr>
        <w:keepNext/>
        <w:keepLines/>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4"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58673C">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58673C">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217861">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35"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36"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37"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BB001D">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CD0E00">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56F35">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A63F64">
      <w:pPr>
        <w:numPr>
          <w:ilvl w:val="0"/>
          <w:numId w:val="90"/>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388FAAC" w14:textId="0683E096" w:rsidR="00F77CDB" w:rsidRDefault="00F77CDB" w:rsidP="007D67B8">
      <w:pPr>
        <w:pStyle w:val="Heading2"/>
        <w:keepNext/>
        <w:keepLines/>
        <w:widowControl/>
        <w:spacing w:line="240" w:lineRule="auto"/>
        <w:rPr>
          <w:rFonts w:ascii="Arial" w:hAnsi="Arial" w:cs="Arial"/>
          <w:b/>
          <w:bCs/>
          <w:color w:val="000000"/>
          <w:sz w:val="20"/>
        </w:rPr>
      </w:pPr>
      <w:bookmarkStart w:id="737" w:name="_Some_relevant_cases"/>
      <w:bookmarkEnd w:id="737"/>
    </w:p>
    <w:p w14:paraId="390540F2" w14:textId="1890407F" w:rsidR="00F77CDB" w:rsidRPr="00565E19" w:rsidRDefault="007D67B8" w:rsidP="00565E19">
      <w:pPr>
        <w:pStyle w:val="Heading3"/>
        <w:spacing w:line="240" w:lineRule="auto"/>
        <w:rPr>
          <w:rFonts w:ascii="Arial" w:hAnsi="Arial" w:cs="Arial"/>
          <w:b/>
          <w:bCs/>
          <w:sz w:val="20"/>
        </w:rPr>
      </w:pPr>
      <w:r w:rsidRPr="00565E19">
        <w:rPr>
          <w:rFonts w:ascii="Arial" w:hAnsi="Arial" w:cs="Arial"/>
          <w:b/>
          <w:bCs/>
          <w:sz w:val="20"/>
        </w:rPr>
        <w:t>11.2.36.2   Some relevant cases</w:t>
      </w:r>
    </w:p>
    <w:p w14:paraId="5D7B5867" w14:textId="77777777" w:rsidR="007D67B8" w:rsidRDefault="007D67B8" w:rsidP="00F77CDB">
      <w:pPr>
        <w:pStyle w:val="Heading2"/>
        <w:keepNext/>
        <w:keepLines/>
        <w:widowControl/>
        <w:spacing w:line="240" w:lineRule="auto"/>
        <w:rPr>
          <w:rFonts w:ascii="Arial" w:hAnsi="Arial" w:cs="Arial"/>
          <w:b/>
          <w:bCs/>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 xml:space="preserve">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w:t>
      </w:r>
      <w:r w:rsidR="001A0332" w:rsidRPr="001A0332">
        <w:rPr>
          <w:rFonts w:ascii="Arial" w:hAnsi="Arial" w:cs="Arial"/>
          <w:color w:val="000000"/>
          <w:sz w:val="20"/>
          <w:szCs w:val="20"/>
          <w:lang w:val="en-US" w:eastAsia="en-AU"/>
        </w:rPr>
        <w:lastRenderedPageBreak/>
        <w:t>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862DCD">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w:t>
      </w:r>
      <w:r>
        <w:rPr>
          <w:rFonts w:ascii="Arial" w:hAnsi="Arial" w:cs="Arial"/>
          <w:sz w:val="20"/>
          <w:szCs w:val="20"/>
          <w:lang w:val="en-US" w:eastAsia="en-AU"/>
        </w:rPr>
        <w:lastRenderedPageBreak/>
        <w:t xml:space="preserve">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 xml:space="preserve">…the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w:t>
      </w:r>
      <w:r w:rsidR="001A0332" w:rsidRPr="001A0332">
        <w:rPr>
          <w:rFonts w:ascii="Arial" w:hAnsi="Arial" w:cs="Arial"/>
          <w:i/>
          <w:iCs/>
          <w:sz w:val="20"/>
          <w:szCs w:val="20"/>
          <w:lang w:eastAsia="en-AU"/>
        </w:rPr>
        <w:lastRenderedPageBreak/>
        <w:t>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565E19" w:rsidRDefault="000720E6" w:rsidP="00565E19">
      <w:pPr>
        <w:pStyle w:val="Heading3"/>
        <w:spacing w:after="120" w:line="240" w:lineRule="auto"/>
        <w:rPr>
          <w:rFonts w:ascii="Arial" w:hAnsi="Arial" w:cs="Arial"/>
          <w:b/>
          <w:bCs/>
          <w:sz w:val="20"/>
          <w:szCs w:val="16"/>
          <w:lang w:val="en-US"/>
        </w:rPr>
      </w:pPr>
      <w:bookmarkStart w:id="738" w:name="_11.2.37_Sentencing_for"/>
      <w:bookmarkEnd w:id="738"/>
      <w:r w:rsidRPr="00565E19">
        <w:rPr>
          <w:rFonts w:ascii="Arial" w:hAnsi="Arial" w:cs="Arial"/>
          <w:b/>
          <w:bCs/>
          <w:sz w:val="20"/>
          <w:szCs w:val="16"/>
        </w:rPr>
        <w:t>11.2.37</w:t>
      </w:r>
      <w:r w:rsidRPr="00565E19">
        <w:rPr>
          <w:rFonts w:ascii="Arial" w:hAnsi="Arial" w:cs="Arial"/>
          <w:b/>
          <w:bCs/>
          <w:sz w:val="20"/>
          <w:szCs w:val="16"/>
        </w:rPr>
        <w:tab/>
        <w:t>Sentencing for stalking</w:t>
      </w:r>
    </w:p>
    <w:p w14:paraId="36B74B2A" w14:textId="788F198A" w:rsidR="006E5554" w:rsidRPr="00B81E81" w:rsidRDefault="006E5554" w:rsidP="00B81E81">
      <w:pPr>
        <w:jc w:val="both"/>
        <w:rPr>
          <w:rFonts w:ascii="Arial" w:hAnsi="Arial" w:cs="Arial"/>
          <w:sz w:val="20"/>
          <w:szCs w:val="20"/>
        </w:rPr>
      </w:pPr>
      <w:r w:rsidRPr="00B81E81">
        <w:rPr>
          <w:rFonts w:ascii="Arial" w:hAnsi="Arial" w:cs="Arial"/>
          <w:sz w:val="20"/>
          <w:szCs w:val="20"/>
        </w:rPr>
        <w:t xml:space="preserve">In </w:t>
      </w:r>
      <w:r w:rsidRPr="00B81E81">
        <w:rPr>
          <w:rFonts w:ascii="Arial" w:hAnsi="Arial" w:cs="Arial"/>
          <w:i/>
          <w:iCs/>
          <w:sz w:val="20"/>
          <w:szCs w:val="20"/>
        </w:rPr>
        <w:t>Harre v The King</w:t>
      </w:r>
      <w:r w:rsidRPr="00B81E81">
        <w:rPr>
          <w:rFonts w:ascii="Arial" w:hAnsi="Arial" w:cs="Arial"/>
          <w:sz w:val="20"/>
          <w:szCs w:val="20"/>
        </w:rPr>
        <w:t xml:space="preserve"> [2024] VSCA 278 the applicant, then aged 42</w:t>
      </w:r>
      <w:r w:rsidR="0003757F" w:rsidRPr="00B81E81">
        <w:rPr>
          <w:rFonts w:ascii="Arial" w:hAnsi="Arial" w:cs="Arial"/>
          <w:sz w:val="20"/>
          <w:szCs w:val="20"/>
        </w:rPr>
        <w:t xml:space="preserve"> and for whom there were some </w:t>
      </w:r>
      <w:r w:rsidR="0003757F" w:rsidRPr="00B81E81">
        <w:rPr>
          <w:rFonts w:ascii="Arial" w:hAnsi="Arial" w:cs="Arial"/>
          <w:i/>
          <w:iCs/>
          <w:sz w:val="20"/>
          <w:szCs w:val="20"/>
        </w:rPr>
        <w:t>Verdins</w:t>
      </w:r>
      <w:r w:rsidR="0003757F" w:rsidRPr="00B81E81">
        <w:rPr>
          <w:rFonts w:ascii="Arial" w:hAnsi="Arial" w:cs="Arial"/>
          <w:sz w:val="20"/>
          <w:szCs w:val="20"/>
        </w:rPr>
        <w:t xml:space="preserve"> considerations</w:t>
      </w:r>
      <w:r w:rsidRPr="00B81E81">
        <w:rPr>
          <w:rFonts w:ascii="Arial" w:hAnsi="Arial" w:cs="Arial"/>
          <w:sz w:val="20"/>
          <w:szCs w:val="20"/>
        </w:rPr>
        <w:t>, had pleaded guilty to charges of stalking a male DA aged 23 with whom he had had an intimate relationship and a female EW aged 24 with whom DA had developed an in intimate relationship. The applicant had also pleaded guilty to one charge of perjury in connection with an application for a personal safety intervention order against EW.  He had been sentenced to IMP3y on each of the charges of stalking of which 18m was cumulative and IMP2y on the charge of perjury of which 12m was cumulative, resulting in TES IMP5y6m/3y6m.</w:t>
      </w:r>
      <w:r w:rsidR="00453A4C" w:rsidRPr="00B81E81">
        <w:rPr>
          <w:rFonts w:ascii="Arial" w:hAnsi="Arial" w:cs="Arial"/>
          <w:sz w:val="20"/>
          <w:szCs w:val="20"/>
        </w:rPr>
        <w:t xml:space="preserve">  The</w:t>
      </w:r>
      <w:r w:rsidR="00B81E81">
        <w:rPr>
          <w:rFonts w:ascii="Arial" w:hAnsi="Arial" w:cs="Arial"/>
          <w:sz w:val="20"/>
          <w:szCs w:val="20"/>
        </w:rPr>
        <w:t xml:space="preserve"> </w:t>
      </w:r>
      <w:r w:rsidR="00453A4C" w:rsidRPr="00B81E81">
        <w:rPr>
          <w:rFonts w:ascii="Arial" w:hAnsi="Arial" w:cs="Arial"/>
          <w:sz w:val="20"/>
          <w:szCs w:val="20"/>
        </w:rPr>
        <w:t>Court of Appeal refused leave to appeal, Priest &amp; Beach JJA saying at [5], [76] &amp; [80]-[82]:</w:t>
      </w:r>
    </w:p>
    <w:p w14:paraId="1AF870C4" w14:textId="1F4F3C42" w:rsidR="006E5554"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[5] “Significantly, the stalking...extended over a protracted period of 11 months, between 2</w:t>
      </w:r>
      <w:r w:rsidR="00D14475" w:rsidRPr="00B81E81">
        <w:rPr>
          <w:rFonts w:ascii="Arial" w:hAnsi="Arial" w:cs="Arial"/>
          <w:sz w:val="20"/>
          <w:szCs w:val="20"/>
        </w:rPr>
        <w:t> </w:t>
      </w:r>
      <w:r w:rsidRPr="00B81E81">
        <w:rPr>
          <w:rFonts w:ascii="Arial" w:hAnsi="Arial" w:cs="Arial"/>
          <w:sz w:val="20"/>
          <w:szCs w:val="20"/>
        </w:rPr>
        <w:t>July 2020 and 2 June 2021. In the course of her sentencing remarks, the judge said that the applicant had</w:t>
      </w:r>
    </w:p>
    <w:p w14:paraId="610EF10B" w14:textId="31E10ED0" w:rsidR="006E5554" w:rsidRPr="00B81E81" w:rsidRDefault="00453A4C" w:rsidP="00B81E81">
      <w:pPr>
        <w:ind w:left="680" w:right="680"/>
        <w:jc w:val="both"/>
        <w:rPr>
          <w:rFonts w:ascii="Arial" w:hAnsi="Arial" w:cs="Arial"/>
          <w:sz w:val="18"/>
          <w:szCs w:val="18"/>
        </w:rPr>
      </w:pPr>
      <w:r w:rsidRPr="00B81E81">
        <w:rPr>
          <w:rFonts w:ascii="Arial" w:hAnsi="Arial" w:cs="Arial"/>
          <w:sz w:val="18"/>
          <w:szCs w:val="18"/>
        </w:rPr>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37A39A6F"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[76] </w:t>
      </w:r>
      <w:r w:rsidR="00B81E81">
        <w:rPr>
          <w:rFonts w:ascii="Arial" w:hAnsi="Arial" w:cs="Arial"/>
          <w:sz w:val="20"/>
          <w:szCs w:val="20"/>
        </w:rPr>
        <w:t>“</w:t>
      </w:r>
      <w:r w:rsidRPr="00B81E81">
        <w:rPr>
          <w:rFonts w:ascii="Arial" w:hAnsi="Arial" w:cs="Arial"/>
          <w:sz w:val="20"/>
          <w:szCs w:val="20"/>
        </w:rPr>
        <w:t>The respondent’s counsel drew attention to the judge’s characterisation of the offending conduct. Hence, the judge described the conduct the subject of [the stalking charges] as of a ‘grave nature’. It was ‘premeditated, vindictive and gratuitous’, ‘very intricately planned’, and ‘calculated to deeply disturb and hurt’ the victims. The conduct was ‘deliberately cruel, malicious, defamatory and of an insidious nature’; and its scope was ‘very persistent, pervasive and protracted’. The conduct was neither spontaneous nor impulsive, and its impact on the victims (and their mothers) was significant. Moreover, the conduct comprising [the perjury charge] was ‘seriously brazen’, acted to undermine the integrity of the criminal justice system, and underscored the ‘extent to which [the applicant was] prepared to go to try to harm’ EW.</w:t>
      </w:r>
      <w:r w:rsidR="00B81E81">
        <w:rPr>
          <w:rFonts w:ascii="Arial" w:hAnsi="Arial" w:cs="Arial"/>
          <w:sz w:val="20"/>
          <w:szCs w:val="20"/>
        </w:rPr>
        <w:t>”</w:t>
      </w:r>
    </w:p>
    <w:p w14:paraId="5D3E81F7" w14:textId="0B8A1EF4"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[80] </w:t>
      </w:r>
      <w:r w:rsidR="00B81E81">
        <w:rPr>
          <w:rFonts w:ascii="Arial" w:hAnsi="Arial" w:cs="Arial"/>
          <w:sz w:val="20"/>
          <w:szCs w:val="20"/>
        </w:rPr>
        <w:t>“</w:t>
      </w:r>
      <w:r w:rsidRPr="00B81E81">
        <w:rPr>
          <w:rFonts w:ascii="Arial" w:hAnsi="Arial" w:cs="Arial"/>
          <w:sz w:val="20"/>
          <w:szCs w:val="20"/>
        </w:rPr>
        <w:t>We consider the individual sentences on the two charges of stalking to be well-justified. Drawing on our experience of other cases of stalking, we consider the applicant’s to represent one of the most grave examples of stalking this Court has encountered, given the persistence, intricacy, intrinsic nastiness and wanton sadism of the applicant’s conduct. The adjectives that the judge used to describe the applicant’s offending were entirely apt. It was truly vindictive, gratuitous, cruel and malicious in nature, calculated to deeply disturb the victims.</w:t>
      </w:r>
    </w:p>
    <w:p w14:paraId="799DF8FE" w14:textId="0B2A94FE"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[81] Moreover, the various and diverse aspects that constituted the applicant’s behaviour were far from spur of the moment aberrations. The applicant intricately planned and meticulously </w:t>
      </w:r>
      <w:r w:rsidRPr="00B81E81">
        <w:rPr>
          <w:rFonts w:ascii="Arial" w:hAnsi="Arial" w:cs="Arial"/>
          <w:sz w:val="20"/>
          <w:szCs w:val="20"/>
        </w:rPr>
        <w:lastRenderedPageBreak/>
        <w:t>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[82] We consider the order for cumulation of 18 months between the sentence on </w:t>
      </w:r>
      <w:r w:rsidR="00AA7A59" w:rsidRPr="00B81E81">
        <w:rPr>
          <w:rFonts w:ascii="Arial" w:hAnsi="Arial" w:cs="Arial"/>
          <w:sz w:val="20"/>
          <w:szCs w:val="20"/>
        </w:rPr>
        <w:t xml:space="preserve">[the stalking </w:t>
      </w:r>
      <w:r w:rsidRPr="00B81E81">
        <w:rPr>
          <w:rFonts w:ascii="Arial" w:hAnsi="Arial" w:cs="Arial"/>
          <w:sz w:val="20"/>
          <w:szCs w:val="20"/>
        </w:rPr>
        <w:t>charges</w:t>
      </w:r>
      <w:r w:rsidR="00AA7A59" w:rsidRPr="00B81E81">
        <w:rPr>
          <w:rFonts w:ascii="Arial" w:hAnsi="Arial" w:cs="Arial"/>
          <w:sz w:val="20"/>
          <w:szCs w:val="20"/>
        </w:rPr>
        <w:t>]</w:t>
      </w:r>
      <w:r w:rsidRPr="00B81E81">
        <w:rPr>
          <w:rFonts w:ascii="Arial" w:hAnsi="Arial" w:cs="Arial"/>
          <w:sz w:val="20"/>
          <w:szCs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sidRPr="00B81E81">
        <w:rPr>
          <w:rFonts w:ascii="Arial" w:hAnsi="Arial" w:cs="Arial"/>
          <w:sz w:val="20"/>
          <w:szCs w:val="20"/>
        </w:rPr>
        <w:t>”</w:t>
      </w:r>
    </w:p>
    <w:p w14:paraId="22B15B5F" w14:textId="77777777" w:rsidR="00040514" w:rsidRDefault="00040514" w:rsidP="009D1123">
      <w:pPr>
        <w:jc w:val="both"/>
        <w:rPr>
          <w:rFonts w:ascii="Arial" w:hAnsi="Arial" w:cs="Arial"/>
          <w:color w:val="000000"/>
          <w:sz w:val="20"/>
        </w:rPr>
      </w:pPr>
    </w:p>
    <w:p w14:paraId="79BDB015" w14:textId="679C6D1A" w:rsidR="00360559" w:rsidRPr="00565E19" w:rsidRDefault="00360559" w:rsidP="00565E19">
      <w:pPr>
        <w:pStyle w:val="Heading3"/>
        <w:spacing w:after="120" w:line="240" w:lineRule="auto"/>
        <w:rPr>
          <w:rFonts w:ascii="Arial" w:hAnsi="Arial" w:cs="Arial"/>
          <w:b/>
          <w:bCs/>
          <w:sz w:val="20"/>
          <w:lang w:val="en-US"/>
        </w:rPr>
      </w:pPr>
      <w:bookmarkStart w:id="739" w:name="_11.2.38_Sentencing_for"/>
      <w:bookmarkStart w:id="740" w:name="_Hlk198120879"/>
      <w:bookmarkEnd w:id="739"/>
      <w:r w:rsidRPr="00565E19">
        <w:rPr>
          <w:rFonts w:ascii="Arial" w:hAnsi="Arial" w:cs="Arial"/>
          <w:b/>
          <w:bCs/>
          <w:sz w:val="20"/>
        </w:rPr>
        <w:t>11.2.38</w:t>
      </w:r>
      <w:r w:rsidRPr="00565E19">
        <w:rPr>
          <w:rFonts w:ascii="Arial" w:hAnsi="Arial" w:cs="Arial"/>
          <w:b/>
          <w:bCs/>
          <w:sz w:val="20"/>
        </w:rPr>
        <w:tab/>
        <w:t>Sentencing for servitude offences</w:t>
      </w:r>
    </w:p>
    <w:p w14:paraId="464C9BF0" w14:textId="69DEF0A6" w:rsidR="00360559" w:rsidRDefault="00360559" w:rsidP="009D1123">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w:t>
      </w:r>
      <w:r w:rsidR="008901E7">
        <w:rPr>
          <w:rFonts w:ascii="Arial" w:hAnsi="Arial" w:cs="Arial"/>
          <w:sz w:val="20"/>
          <w:szCs w:val="20"/>
        </w:rPr>
        <w:t>two</w:t>
      </w:r>
      <w:r w:rsidRPr="00451F5B">
        <w:rPr>
          <w:rFonts w:ascii="Arial" w:hAnsi="Arial" w:cs="Arial"/>
          <w:sz w:val="20"/>
          <w:szCs w:val="20"/>
        </w:rPr>
        <w:t xml:space="preserve">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Criminal Cod</w:t>
      </w:r>
      <w:r w:rsidR="0099095F">
        <w:rPr>
          <w:rFonts w:ascii="Arial" w:eastAsia="Book Antiqua" w:hAnsi="Arial" w:cs="Arial"/>
          <w:i/>
          <w:sz w:val="20"/>
          <w:szCs w:val="20"/>
        </w:rPr>
        <w:t xml:space="preserve">e Act 1995 </w:t>
      </w:r>
      <w:r w:rsidR="0099095F" w:rsidRPr="0099095F">
        <w:rPr>
          <w:rFonts w:ascii="Arial" w:eastAsia="Book Antiqua" w:hAnsi="Arial" w:cs="Arial"/>
          <w:iCs/>
          <w:sz w:val="20"/>
          <w:szCs w:val="20"/>
        </w:rPr>
        <w:t>(Cth)</w:t>
      </w:r>
      <w:r>
        <w:rPr>
          <w:rFonts w:ascii="Arial" w:hAnsi="Arial" w:cs="Arial"/>
          <w:sz w:val="20"/>
          <w:szCs w:val="20"/>
        </w:rPr>
        <w:t xml:space="preserve"> and were sentenced to IMP6y/3y (husband) and IMP8y/4y (wife).</w:t>
      </w:r>
      <w:r w:rsidR="00C661FA">
        <w:rPr>
          <w:rFonts w:ascii="Arial" w:hAnsi="Arial" w:cs="Arial"/>
          <w:sz w:val="20"/>
          <w:szCs w:val="20"/>
        </w:rPr>
        <w:t xml:space="preserve"> The Court </w:t>
      </w:r>
      <w:r w:rsidR="000F035A">
        <w:rPr>
          <w:rFonts w:ascii="Arial" w:hAnsi="Arial" w:cs="Arial"/>
          <w:sz w:val="20"/>
          <w:szCs w:val="20"/>
        </w:rPr>
        <w:t xml:space="preserve">of Appeal </w:t>
      </w:r>
      <w:r w:rsidR="00C661FA">
        <w:rPr>
          <w:rFonts w:ascii="Arial" w:hAnsi="Arial" w:cs="Arial"/>
          <w:sz w:val="20"/>
          <w:szCs w:val="20"/>
        </w:rPr>
        <w:t xml:space="preserve">subsequently refused the applications of the husband and wife to extend time to appeal: see </w:t>
      </w:r>
      <w:r w:rsidR="00C661FA" w:rsidRPr="00C661FA">
        <w:rPr>
          <w:rFonts w:ascii="Arial" w:hAnsi="Arial" w:cs="Arial"/>
          <w:i/>
          <w:iCs/>
          <w:sz w:val="20"/>
          <w:szCs w:val="20"/>
        </w:rPr>
        <w:t>Kannan &amp; Kannan v The King</w:t>
      </w:r>
      <w:r w:rsidR="00C661FA">
        <w:rPr>
          <w:rFonts w:ascii="Arial" w:hAnsi="Arial" w:cs="Arial"/>
          <w:sz w:val="20"/>
          <w:szCs w:val="20"/>
        </w:rPr>
        <w:t xml:space="preserve"> [2023] VSCA 58.</w:t>
      </w:r>
    </w:p>
    <w:p w14:paraId="35202483" w14:textId="77777777" w:rsidR="00360559" w:rsidRDefault="00360559" w:rsidP="009D1123">
      <w:pPr>
        <w:jc w:val="both"/>
        <w:rPr>
          <w:rFonts w:ascii="Arial" w:hAnsi="Arial" w:cs="Arial"/>
          <w:sz w:val="20"/>
          <w:szCs w:val="20"/>
        </w:rPr>
      </w:pPr>
    </w:p>
    <w:p w14:paraId="11AF26A8" w14:textId="3EAA1ABA" w:rsidR="00360559" w:rsidRDefault="00360559" w:rsidP="00B0318E">
      <w:pPr>
        <w:jc w:val="both"/>
        <w:rPr>
          <w:rFonts w:ascii="Arial" w:hAnsi="Arial" w:cs="Arial"/>
          <w:color w:val="000000"/>
          <w:sz w:val="20"/>
        </w:rPr>
      </w:pPr>
      <w:r>
        <w:rPr>
          <w:rFonts w:ascii="Arial" w:hAnsi="Arial" w:cs="Arial"/>
          <w:sz w:val="20"/>
          <w:szCs w:val="20"/>
        </w:rPr>
        <w:t xml:space="preserve">In </w:t>
      </w:r>
      <w:r w:rsidRPr="00360559">
        <w:rPr>
          <w:rFonts w:ascii="Arial" w:hAnsi="Arial" w:cs="Arial"/>
          <w:i/>
          <w:iCs/>
          <w:sz w:val="20"/>
          <w:szCs w:val="20"/>
        </w:rPr>
        <w:t>DPP v Miller (a pseudonym)</w:t>
      </w:r>
      <w:r>
        <w:rPr>
          <w:rFonts w:ascii="Arial" w:hAnsi="Arial" w:cs="Arial"/>
          <w:sz w:val="20"/>
          <w:szCs w:val="20"/>
        </w:rPr>
        <w:t xml:space="preserve"> [2025] VSC 164 the 26 year old offender had pleaded guilty to </w:t>
      </w:r>
      <w:r w:rsidR="00B81E81">
        <w:rPr>
          <w:rFonts w:ascii="Arial" w:hAnsi="Arial" w:cs="Arial"/>
          <w:sz w:val="20"/>
          <w:szCs w:val="20"/>
        </w:rPr>
        <w:t>an offence of aggravated servitude</w:t>
      </w:r>
      <w:r w:rsidR="00A307E2">
        <w:rPr>
          <w:rFonts w:ascii="Arial" w:hAnsi="Arial" w:cs="Arial"/>
          <w:sz w:val="20"/>
          <w:szCs w:val="20"/>
        </w:rPr>
        <w:t xml:space="preserve"> </w:t>
      </w:r>
      <w:r w:rsidR="00A17051" w:rsidRPr="00A17051">
        <w:rPr>
          <w:rFonts w:ascii="Arial" w:hAnsi="Arial" w:cs="Arial"/>
          <w:sz w:val="20"/>
          <w:szCs w:val="20"/>
        </w:rPr>
        <w:t xml:space="preserve">under ss 270.5 and 270.8 of the </w:t>
      </w:r>
      <w:r w:rsidR="00A17051" w:rsidRPr="0071670B">
        <w:rPr>
          <w:rFonts w:ascii="Arial" w:hAnsi="Arial" w:cs="Arial"/>
          <w:i/>
          <w:iCs/>
          <w:sz w:val="20"/>
          <w:szCs w:val="20"/>
        </w:rPr>
        <w:t xml:space="preserve">Criminal Code Act </w:t>
      </w:r>
      <w:r w:rsidR="0071670B" w:rsidRPr="0071670B">
        <w:rPr>
          <w:rFonts w:ascii="Arial" w:hAnsi="Arial" w:cs="Arial"/>
          <w:i/>
          <w:iCs/>
          <w:sz w:val="20"/>
          <w:szCs w:val="20"/>
        </w:rPr>
        <w:t>1995</w:t>
      </w:r>
      <w:r w:rsidR="0071670B">
        <w:rPr>
          <w:rFonts w:ascii="Arial" w:hAnsi="Arial" w:cs="Arial"/>
          <w:sz w:val="20"/>
          <w:szCs w:val="20"/>
        </w:rPr>
        <w:t xml:space="preserve"> (Cth) which</w:t>
      </w:r>
      <w:r w:rsidR="00A17051">
        <w:rPr>
          <w:rFonts w:ascii="Arial" w:hAnsi="Arial" w:cs="Arial"/>
          <w:sz w:val="20"/>
          <w:szCs w:val="20"/>
        </w:rPr>
        <w:t xml:space="preserve"> was </w:t>
      </w:r>
      <w:r w:rsidR="00A307E2">
        <w:rPr>
          <w:rFonts w:ascii="Arial" w:hAnsi="Arial" w:cs="Arial"/>
          <w:sz w:val="20"/>
          <w:szCs w:val="20"/>
        </w:rPr>
        <w:t>based on cruel, inhuman or degrading treatment</w:t>
      </w:r>
      <w:r w:rsidR="00A17051">
        <w:rPr>
          <w:rFonts w:ascii="Arial" w:hAnsi="Arial" w:cs="Arial"/>
          <w:sz w:val="20"/>
          <w:szCs w:val="20"/>
        </w:rPr>
        <w:t xml:space="preserve"> of his former wife, the victim MK, when both he and MK were aged between 21 &amp; 24. This is understood to be the first case relating to </w:t>
      </w:r>
      <w:r w:rsidR="00A17051" w:rsidRPr="00A17051">
        <w:rPr>
          <w:rFonts w:ascii="Arial" w:hAnsi="Arial" w:cs="Arial"/>
          <w:sz w:val="20"/>
          <w:szCs w:val="20"/>
        </w:rPr>
        <w:t>servitude</w:t>
      </w:r>
      <w:r w:rsidR="00A17051">
        <w:rPr>
          <w:rFonts w:ascii="Arial" w:hAnsi="Arial" w:cs="Arial"/>
          <w:sz w:val="20"/>
          <w:szCs w:val="20"/>
        </w:rPr>
        <w:t xml:space="preserve"> </w:t>
      </w:r>
      <w:r w:rsidR="00A17051" w:rsidRPr="00A17051">
        <w:rPr>
          <w:rFonts w:ascii="Arial" w:hAnsi="Arial" w:cs="Arial"/>
          <w:sz w:val="20"/>
          <w:szCs w:val="20"/>
        </w:rPr>
        <w:t xml:space="preserve">(aggravated or otherwise) </w:t>
      </w:r>
      <w:r w:rsidR="00B0318E">
        <w:rPr>
          <w:rFonts w:ascii="Arial" w:hAnsi="Arial" w:cs="Arial"/>
          <w:sz w:val="20"/>
          <w:szCs w:val="20"/>
        </w:rPr>
        <w:t xml:space="preserve">in the context of sexual servitude </w:t>
      </w:r>
      <w:r w:rsidR="00A17051" w:rsidRPr="00A17051">
        <w:rPr>
          <w:rFonts w:ascii="Arial" w:hAnsi="Arial" w:cs="Arial"/>
          <w:sz w:val="20"/>
          <w:szCs w:val="20"/>
        </w:rPr>
        <w:t>to be prosecuted and heard by an Australian court.</w:t>
      </w:r>
      <w:r w:rsidR="00A17051">
        <w:rPr>
          <w:rFonts w:ascii="Arial" w:hAnsi="Arial" w:cs="Arial"/>
          <w:sz w:val="20"/>
          <w:szCs w:val="20"/>
        </w:rPr>
        <w:t xml:space="preserve"> </w:t>
      </w:r>
      <w:r w:rsidR="00B06966">
        <w:rPr>
          <w:rFonts w:ascii="Arial" w:hAnsi="Arial" w:cs="Arial"/>
          <w:sz w:val="20"/>
          <w:szCs w:val="20"/>
        </w:rPr>
        <w:t>The offender had begun dating MK 4</w:t>
      </w:r>
      <w:r w:rsidR="008901E7">
        <w:rPr>
          <w:rFonts w:ascii="Arial" w:hAnsi="Arial" w:cs="Arial"/>
          <w:sz w:val="20"/>
          <w:szCs w:val="20"/>
        </w:rPr>
        <w:t xml:space="preserve"> </w:t>
      </w:r>
      <w:r w:rsidR="00B06966">
        <w:rPr>
          <w:rFonts w:ascii="Arial" w:hAnsi="Arial" w:cs="Arial"/>
          <w:sz w:val="20"/>
          <w:szCs w:val="20"/>
        </w:rPr>
        <w:t xml:space="preserve">months after she had arrived </w:t>
      </w:r>
      <w:r w:rsidR="00A307E2">
        <w:rPr>
          <w:rFonts w:ascii="Arial" w:hAnsi="Arial" w:cs="Arial"/>
          <w:sz w:val="20"/>
          <w:szCs w:val="20"/>
        </w:rPr>
        <w:t>in Australia on a student visa in early 2020 in order to study graphic design and photography. Within</w:t>
      </w:r>
      <w:r w:rsidR="00B81E81">
        <w:rPr>
          <w:rFonts w:ascii="Arial" w:hAnsi="Arial" w:cs="Arial"/>
          <w:sz w:val="20"/>
          <w:szCs w:val="20"/>
        </w:rPr>
        <w:t xml:space="preserve"> the </w:t>
      </w:r>
      <w:r w:rsidR="00A307E2">
        <w:rPr>
          <w:rFonts w:ascii="Arial" w:hAnsi="Arial" w:cs="Arial"/>
          <w:sz w:val="20"/>
          <w:szCs w:val="20"/>
        </w:rPr>
        <w:t xml:space="preserve">period of MK’s servitude the offender subjected her to </w:t>
      </w:r>
      <w:r w:rsidR="00A307E2" w:rsidRPr="00370725">
        <w:rPr>
          <w:rFonts w:ascii="Arial" w:hAnsi="Arial" w:cs="Arial"/>
          <w:color w:val="000000"/>
          <w:sz w:val="20"/>
        </w:rPr>
        <w:t xml:space="preserve">physical, psychological and sexual abuse and deprived her of autonomy and freedom of movement in her ordinary daily activities. </w:t>
      </w:r>
      <w:r w:rsidR="00A307E2">
        <w:rPr>
          <w:rFonts w:ascii="Arial" w:hAnsi="Arial" w:cs="Arial"/>
          <w:color w:val="000000"/>
          <w:sz w:val="20"/>
        </w:rPr>
        <w:t>His</w:t>
      </w:r>
      <w:r w:rsidR="00A307E2" w:rsidRPr="00370725">
        <w:rPr>
          <w:rFonts w:ascii="Arial" w:hAnsi="Arial" w:cs="Arial"/>
          <w:color w:val="000000"/>
          <w:sz w:val="20"/>
        </w:rPr>
        <w:t xml:space="preserve"> mistreatment of MK escalated even after the birth of </w:t>
      </w:r>
      <w:r w:rsidR="008901E7">
        <w:rPr>
          <w:rFonts w:ascii="Arial" w:hAnsi="Arial" w:cs="Arial"/>
          <w:color w:val="000000"/>
          <w:sz w:val="20"/>
        </w:rPr>
        <w:t>their</w:t>
      </w:r>
      <w:r w:rsidR="00A307E2" w:rsidRPr="00370725">
        <w:rPr>
          <w:rFonts w:ascii="Arial" w:hAnsi="Arial" w:cs="Arial"/>
          <w:color w:val="000000"/>
          <w:sz w:val="20"/>
        </w:rPr>
        <w:t xml:space="preserve"> daughter</w:t>
      </w:r>
      <w:r w:rsidR="00A307E2">
        <w:rPr>
          <w:rFonts w:ascii="Arial" w:hAnsi="Arial" w:cs="Arial"/>
          <w:color w:val="000000"/>
          <w:sz w:val="20"/>
        </w:rPr>
        <w:t xml:space="preserve"> </w:t>
      </w:r>
      <w:r w:rsidR="00A307E2" w:rsidRPr="00370725">
        <w:rPr>
          <w:rFonts w:ascii="Arial" w:hAnsi="Arial" w:cs="Arial"/>
          <w:color w:val="000000"/>
          <w:sz w:val="20"/>
        </w:rPr>
        <w:t xml:space="preserve">and subsequent to </w:t>
      </w:r>
      <w:r w:rsidR="00A307E2">
        <w:rPr>
          <w:rFonts w:ascii="Arial" w:hAnsi="Arial" w:cs="Arial"/>
          <w:color w:val="000000"/>
          <w:sz w:val="20"/>
        </w:rPr>
        <w:t>his</w:t>
      </w:r>
      <w:r w:rsidR="00A307E2" w:rsidRPr="00370725">
        <w:rPr>
          <w:rFonts w:ascii="Arial" w:hAnsi="Arial" w:cs="Arial"/>
          <w:color w:val="000000"/>
          <w:sz w:val="20"/>
        </w:rPr>
        <w:t xml:space="preserve"> marriage to MK. By the time MK was liberated from </w:t>
      </w:r>
      <w:r w:rsidR="00A307E2">
        <w:rPr>
          <w:rFonts w:ascii="Arial" w:hAnsi="Arial" w:cs="Arial"/>
          <w:color w:val="000000"/>
          <w:sz w:val="20"/>
        </w:rPr>
        <w:t>him</w:t>
      </w:r>
      <w:r w:rsidR="00A307E2" w:rsidRPr="00370725">
        <w:rPr>
          <w:rFonts w:ascii="Arial" w:hAnsi="Arial" w:cs="Arial"/>
          <w:color w:val="000000"/>
          <w:sz w:val="20"/>
        </w:rPr>
        <w:t xml:space="preserve">, </w:t>
      </w:r>
      <w:r w:rsidR="00A307E2">
        <w:rPr>
          <w:rFonts w:ascii="Arial" w:hAnsi="Arial" w:cs="Arial"/>
          <w:color w:val="000000"/>
          <w:sz w:val="20"/>
        </w:rPr>
        <w:t>his</w:t>
      </w:r>
      <w:r w:rsidR="00A307E2" w:rsidRPr="00370725">
        <w:rPr>
          <w:rFonts w:ascii="Arial" w:hAnsi="Arial" w:cs="Arial"/>
          <w:color w:val="000000"/>
          <w:sz w:val="20"/>
        </w:rPr>
        <w:t xml:space="preserve"> cruel, inhuman or degrading treatment of her had left her in a physically fragile and psychologically demoralised state.</w:t>
      </w:r>
      <w:r w:rsidR="00B06966">
        <w:rPr>
          <w:rFonts w:ascii="Arial" w:hAnsi="Arial" w:cs="Arial"/>
          <w:color w:val="000000"/>
          <w:sz w:val="20"/>
        </w:rPr>
        <w:t xml:space="preserve"> The categories of </w:t>
      </w:r>
      <w:r w:rsidR="00B06966" w:rsidRPr="00B06966">
        <w:rPr>
          <w:rFonts w:ascii="Arial" w:hAnsi="Arial" w:cs="Arial"/>
          <w:color w:val="000000"/>
          <w:sz w:val="20"/>
        </w:rPr>
        <w:t xml:space="preserve">cruel, inhuman or degrading treatment </w:t>
      </w:r>
      <w:r w:rsidR="000F035A">
        <w:rPr>
          <w:rFonts w:ascii="Arial" w:hAnsi="Arial" w:cs="Arial"/>
          <w:color w:val="000000"/>
          <w:sz w:val="20"/>
        </w:rPr>
        <w:t>relied on</w:t>
      </w:r>
      <w:r w:rsidR="00B06966" w:rsidRPr="00B06966">
        <w:rPr>
          <w:rFonts w:ascii="Arial" w:hAnsi="Arial" w:cs="Arial"/>
          <w:color w:val="000000"/>
          <w:sz w:val="20"/>
        </w:rPr>
        <w:t xml:space="preserve"> by the Crown </w:t>
      </w:r>
      <w:r w:rsidR="008901E7">
        <w:rPr>
          <w:rFonts w:ascii="Arial" w:hAnsi="Arial" w:cs="Arial"/>
          <w:color w:val="000000"/>
          <w:sz w:val="20"/>
        </w:rPr>
        <w:t>in relation to</w:t>
      </w:r>
      <w:r w:rsidR="00B06966" w:rsidRPr="00B06966">
        <w:rPr>
          <w:rFonts w:ascii="Arial" w:hAnsi="Arial" w:cs="Arial"/>
          <w:color w:val="000000"/>
          <w:sz w:val="20"/>
        </w:rPr>
        <w:t xml:space="preserve"> the aggravated servitude offence </w:t>
      </w:r>
      <w:r w:rsidR="00B06966">
        <w:rPr>
          <w:rFonts w:ascii="Arial" w:hAnsi="Arial" w:cs="Arial"/>
          <w:color w:val="000000"/>
          <w:sz w:val="20"/>
        </w:rPr>
        <w:t xml:space="preserve">are listed in Appendix A of the judgment. </w:t>
      </w:r>
      <w:r w:rsidR="0099095F">
        <w:rPr>
          <w:rFonts w:ascii="Arial" w:hAnsi="Arial" w:cs="Arial"/>
          <w:color w:val="000000"/>
          <w:sz w:val="20"/>
        </w:rPr>
        <w:t xml:space="preserve">A summary of the content of 159 video and audio recordings obtained from the offender’s computer is contained in Appendix B of the judgment. </w:t>
      </w:r>
      <w:r w:rsidR="00B06966">
        <w:rPr>
          <w:rFonts w:ascii="Arial" w:hAnsi="Arial" w:cs="Arial"/>
          <w:color w:val="000000"/>
          <w:sz w:val="20"/>
        </w:rPr>
        <w:t>Categorising the level of offending as “serious” – and noting that the offender’s prospects for rehabilitation w</w:t>
      </w:r>
      <w:r w:rsidR="008901E7">
        <w:rPr>
          <w:rFonts w:ascii="Arial" w:hAnsi="Arial" w:cs="Arial"/>
          <w:color w:val="000000"/>
          <w:sz w:val="20"/>
        </w:rPr>
        <w:t>ere</w:t>
      </w:r>
      <w:r w:rsidR="00B06966">
        <w:rPr>
          <w:rFonts w:ascii="Arial" w:hAnsi="Arial" w:cs="Arial"/>
          <w:color w:val="000000"/>
          <w:sz w:val="20"/>
        </w:rPr>
        <w:t xml:space="preserve"> “fairly poor” – Jane Dixon J imposed a sentence of IMP12y/9y on the aggravated servitude charge.</w:t>
      </w:r>
    </w:p>
    <w:p w14:paraId="4F7433E6" w14:textId="77777777" w:rsidR="00B81E81" w:rsidRPr="00DC4119" w:rsidRDefault="00B81E81" w:rsidP="009D1123">
      <w:pPr>
        <w:jc w:val="both"/>
        <w:rPr>
          <w:rFonts w:ascii="Arial" w:hAnsi="Arial" w:cs="Arial"/>
          <w:color w:val="000000"/>
          <w:sz w:val="20"/>
        </w:rPr>
      </w:pPr>
    </w:p>
    <w:bookmarkEnd w:id="740"/>
    <w:p w14:paraId="0586AA9B" w14:textId="77777777" w:rsidR="009D1123" w:rsidRPr="001E6BE9" w:rsidRDefault="009D1123" w:rsidP="009D11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A4BBB2D" w14:textId="77777777" w:rsidR="009D1123" w:rsidRPr="00102D2A" w:rsidRDefault="009D1123" w:rsidP="009D1123">
      <w:pPr>
        <w:rPr>
          <w:rFonts w:ascii="Arial" w:hAnsi="Arial" w:cs="Arial"/>
          <w:color w:val="000000"/>
          <w:sz w:val="20"/>
        </w:rPr>
      </w:pPr>
    </w:p>
    <w:p w14:paraId="7C84D13D" w14:textId="77777777" w:rsidR="008B14AE" w:rsidRDefault="008B14AE">
      <w:pPr>
        <w:rPr>
          <w:rFonts w:ascii="Arial" w:hAnsi="Arial" w:cs="Arial"/>
          <w:color w:val="000000"/>
          <w:sz w:val="20"/>
        </w:rPr>
      </w:pPr>
      <w:r>
        <w:rPr>
          <w:rFonts w:ascii="Arial" w:hAnsi="Arial" w:cs="Arial"/>
          <w:color w:val="000000"/>
          <w:sz w:val="20"/>
        </w:rPr>
        <w:br w:type="page"/>
      </w: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41" w:name="_11.3_Some_mechanics"/>
      <w:bookmarkEnd w:id="741"/>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12"/>
    </w:p>
    <w:p w14:paraId="69E5C7F1" w14:textId="77777777" w:rsidR="00B14505" w:rsidRPr="001C6E0E" w:rsidRDefault="00B14505" w:rsidP="00CD044F">
      <w:pPr>
        <w:keepNext/>
        <w:keepLines/>
        <w:jc w:val="both"/>
        <w:rPr>
          <w:rFonts w:ascii="Arial" w:hAnsi="Arial" w:cs="Arial"/>
          <w:color w:val="000000"/>
          <w:sz w:val="20"/>
        </w:rPr>
      </w:pPr>
      <w:bookmarkStart w:id="742"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43" w:name="_11.3.1_“Instinctive_synthesis”"/>
      <w:bookmarkEnd w:id="743"/>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42"/>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[36]  No universal rules can be stated in those terms.  As was pointed out earlier, much turns on what is meant by a ‘sequential or two-tiered’ approach and, likewise, the ‘process </w:t>
      </w:r>
      <w:r w:rsidRPr="001C6E0E">
        <w:rPr>
          <w:rFonts w:ascii="Arial" w:hAnsi="Arial" w:cs="Arial"/>
          <w:color w:val="000000"/>
          <w:sz w:val="20"/>
        </w:rPr>
        <w:lastRenderedPageBreak/>
        <w:t>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w:t>
      </w:r>
      <w:r w:rsidR="00827206" w:rsidRPr="001C6E0E">
        <w:rPr>
          <w:rFonts w:ascii="Arial" w:hAnsi="Arial" w:cs="Arial"/>
          <w:color w:val="000000"/>
          <w:sz w:val="20"/>
        </w:rPr>
        <w:lastRenderedPageBreak/>
        <w:t xml:space="preserve">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State">
        <w:smartTag w:uri="urn:schemas-microsoft-com:office:smarttags" w:element="plac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R v Bangard</w:t>
      </w:r>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r w:rsidR="000001FA" w:rsidRPr="00A26F29">
        <w:rPr>
          <w:rFonts w:ascii="Arial" w:hAnsi="Arial" w:cs="Arial"/>
          <w:i/>
          <w:color w:val="000000"/>
          <w:sz w:val="20"/>
          <w:szCs w:val="20"/>
          <w:lang w:val="en-US"/>
        </w:rPr>
        <w:t>Muldrock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44" w:name="_11.3.2_Use_of"/>
      <w:bookmarkStart w:id="745" w:name="_Toc107101769"/>
      <w:bookmarkEnd w:id="744"/>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45"/>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w:t>
      </w:r>
      <w:r w:rsidRPr="001C6E0E">
        <w:rPr>
          <w:rFonts w:ascii="Arial" w:hAnsi="Arial" w:cs="Arial"/>
          <w:color w:val="000000"/>
          <w:sz w:val="20"/>
        </w:rPr>
        <w:lastRenderedPageBreak/>
        <w:t xml:space="preserve">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46" w:name="EOF1"/>
      <w:bookmarkEnd w:id="746"/>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lastRenderedPageBreak/>
        <w:t xml:space="preserve">[46] The tables, therefore, have a part to play; but they must be used with their limitations in mind.  As to the limitations in using comparable cases, this Court said in </w:t>
      </w:r>
      <w:smartTag w:uri="urn:schemas-microsoft-com:office:smarttags" w:element="City">
        <w:smartTag w:uri="urn:schemas-microsoft-com:office:smarttags" w:element="place">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DPP 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CA4C4A">
      <w:pPr>
        <w:pStyle w:val="Style1"/>
        <w:rPr>
          <w:bCs/>
          <w:color w:val="000000"/>
        </w:rPr>
      </w:pPr>
      <w:r>
        <w:t xml:space="preserve">In </w:t>
      </w:r>
      <w:r w:rsidRPr="00A525FC">
        <w:rPr>
          <w:i/>
          <w:iCs/>
        </w:rPr>
        <w:t>DPP v Rickerby (No 2)</w:t>
      </w:r>
      <w: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i/>
          <w:iCs/>
        </w:rPr>
        <w:t>R v Jagroop</w:t>
      </w:r>
      <w: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47"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48" w:name="_11.3.3_The_Sex"/>
      <w:bookmarkEnd w:id="748"/>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47"/>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w:t>
      </w:r>
      <w:r w:rsidRPr="001C6E0E">
        <w:rPr>
          <w:rFonts w:ascii="Arial" w:hAnsi="Arial" w:cs="Arial"/>
          <w:color w:val="000000"/>
          <w:sz w:val="20"/>
        </w:rPr>
        <w:lastRenderedPageBreak/>
        <w:t xml:space="preserve">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CA4C4A">
      <w:pPr>
        <w:pStyle w:val="Style1"/>
        <w:rPr>
          <w:lang w:eastAsia="en-AU"/>
        </w:rPr>
      </w:pPr>
      <w:r>
        <w:lastRenderedPageBreak/>
        <w:t xml:space="preserve">For a discussion of whether an informant can make a second application for an order under the </w:t>
      </w:r>
      <w:r w:rsidRPr="00E17F2A">
        <w:rPr>
          <w:i/>
          <w:iCs/>
          <w:lang w:val="en-AU"/>
        </w:rPr>
        <w:t>Sex Offenders Registration Act 2004</w:t>
      </w:r>
      <w:r>
        <w:rPr>
          <w:lang w:val="en-AU"/>
        </w:rPr>
        <w:t xml:space="preserve"> see </w:t>
      </w:r>
      <w:bookmarkStart w:id="749" w:name="_Hlk179809461"/>
      <w:r w:rsidRPr="00E17F2A">
        <w:rPr>
          <w:i/>
          <w:iCs/>
          <w:lang w:val="en-AU"/>
        </w:rPr>
        <w:t>Kostiuk v KH (a pseudonym)</w:t>
      </w:r>
      <w:r>
        <w:rPr>
          <w:lang w:val="en-AU"/>
        </w:rPr>
        <w:t xml:space="preserve"> [2024] VSC 586 </w:t>
      </w:r>
      <w:bookmarkEnd w:id="749"/>
      <w:r>
        <w:rPr>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CA4C4A">
      <w:pPr>
        <w:pStyle w:val="Style1"/>
      </w:pPr>
      <w:r w:rsidRPr="002E510D">
        <w:rPr>
          <w:color w:val="000000"/>
        </w:rPr>
        <w:t xml:space="preserve">In </w:t>
      </w:r>
      <w:r w:rsidR="002D22BF">
        <w:rPr>
          <w:i/>
          <w:iCs/>
          <w:color w:val="000000"/>
        </w:rPr>
        <w:t>R</w:t>
      </w:r>
      <w:r w:rsidRPr="0012250C">
        <w:rPr>
          <w:i/>
          <w:iCs/>
          <w:color w:val="000000"/>
        </w:rPr>
        <w:t>e GH</w:t>
      </w:r>
      <w:r>
        <w:rPr>
          <w:color w:val="000000"/>
        </w:rPr>
        <w:t xml:space="preserve"> [2024] VSC 216 the applicant GH, then aged 20 </w:t>
      </w:r>
      <w:r w:rsidR="001E2967">
        <w:rPr>
          <w:color w:val="000000"/>
        </w:rPr>
        <w:t>had been</w:t>
      </w:r>
      <w:r>
        <w:rPr>
          <w:color w:val="000000"/>
        </w:rPr>
        <w:t xml:space="preserve"> presented in the </w:t>
      </w:r>
      <w:r w:rsidRPr="0012250C">
        <w:t>County Court on three counts of sexual penetration of KL, a (female) child under 16. The offences were committed in the course of a consensual sexual relationship between the two when KL was aged 15 and GH was aged between 19 and 20. KL did not want GH charged, and she declined to make a statement to police. But GH largely made the case against himself by his admissions to police, and he pleaded guilty.</w:t>
      </w:r>
      <w:r>
        <w:t xml:space="preserve"> </w:t>
      </w:r>
      <w:r w:rsidR="002D22BF">
        <w:t>T</w:t>
      </w:r>
      <w:r w:rsidRPr="0012250C">
        <w:t>he judge released GH, without conviction, on an adjourned undertaking to be of good behaviour for 12</w:t>
      </w:r>
      <w:r>
        <w:t> </w:t>
      </w:r>
      <w:r w:rsidRPr="0012250C">
        <w:t xml:space="preserve">months. As a result of those findings of guilt, by operation of the </w:t>
      </w:r>
      <w:r w:rsidRPr="0012250C">
        <w:rPr>
          <w:i/>
          <w:iCs/>
        </w:rPr>
        <w:t>Sex Offenders Registration Act 2004</w:t>
      </w:r>
      <w:r>
        <w:t xml:space="preserve"> (Vic)</w:t>
      </w:r>
      <w:r w:rsidRPr="0012250C">
        <w:t>, GH became a “registrable offender” subject to reporting obligations for the rest of his life.</w:t>
      </w:r>
      <w:r>
        <w:t xml:space="preserve">  Over 15 years later GH – by then aged 36 – filed an application pursuant to s.39(2) of the Act, for an order suspending his reporting obligations permanently.  </w:t>
      </w:r>
      <w:r w:rsidRPr="0012250C">
        <w:t xml:space="preserve">This was the first application of its kind in </w:t>
      </w:r>
      <w:r>
        <w:t>Victoria</w:t>
      </w:r>
      <w:r w:rsidRPr="0012250C">
        <w:t>.</w:t>
      </w:r>
      <w:r>
        <w:t xml:space="preserve">  </w:t>
      </w:r>
      <w:r w:rsidR="0074620D">
        <w:t xml:space="preserve">The applicant had no prior or subsequent convictions, other than a minor breach of reporting obligations.  He was now married with children, stable employment and a supportive wife and employers.  </w:t>
      </w:r>
      <w: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330E2719" w14:textId="05A9393F" w:rsidR="00E17F2A" w:rsidRDefault="002D22BF" w:rsidP="00CA4C4A">
      <w:pPr>
        <w:pStyle w:val="Style1"/>
      </w:pPr>
      <w:r>
        <w:t xml:space="preserve">See also </w:t>
      </w:r>
      <w:r w:rsidRPr="00CA4C4A">
        <w:rPr>
          <w:i/>
          <w:iCs/>
        </w:rPr>
        <w:t>Re AJ (a pseudonym)</w:t>
      </w:r>
      <w:r>
        <w:t xml:space="preserve"> [2024] VSC 769</w:t>
      </w:r>
      <w:r w:rsidR="00902CF6">
        <w:t xml:space="preserve">; </w:t>
      </w:r>
      <w:r w:rsidR="00902CF6" w:rsidRPr="00CA4C4A">
        <w:rPr>
          <w:i/>
          <w:iCs/>
        </w:rPr>
        <w:t>WJH v Chief Commissioner of Police</w:t>
      </w:r>
      <w:r w:rsidR="00902CF6" w:rsidRPr="00902CF6">
        <w:t xml:space="preserve"> [2024] VSC 818</w:t>
      </w:r>
      <w:r w:rsidR="00902CF6">
        <w:t xml:space="preserve">; </w:t>
      </w:r>
      <w:r w:rsidR="00902CF6" w:rsidRPr="00CA4C4A">
        <w:rPr>
          <w:i/>
          <w:iCs/>
        </w:rPr>
        <w:t>GT v Chief Commissioner of Police</w:t>
      </w:r>
      <w:r w:rsidR="00902CF6" w:rsidRPr="00902CF6">
        <w:t xml:space="preserve"> [2024] VSC 824</w:t>
      </w:r>
      <w:r w:rsidR="00075AFA">
        <w:t xml:space="preserve">; </w:t>
      </w:r>
      <w:r w:rsidR="00075AFA" w:rsidRPr="00CA4C4A">
        <w:rPr>
          <w:i/>
          <w:iCs/>
        </w:rPr>
        <w:t>RBC v Chief Commissioner of Police</w:t>
      </w:r>
      <w:r w:rsidR="00075AFA">
        <w:t xml:space="preserve"> [2025] VSC 10</w:t>
      </w:r>
      <w:r w:rsidR="007569A2">
        <w:t xml:space="preserve">; </w:t>
      </w:r>
      <w:r w:rsidR="007569A2" w:rsidRPr="00CA4C4A">
        <w:rPr>
          <w:i/>
          <w:iCs/>
        </w:rPr>
        <w:t>Walton v Chief Commissioner of Police</w:t>
      </w:r>
      <w:r w:rsidR="007569A2" w:rsidRPr="007569A2">
        <w:t xml:space="preserve"> [2025] VSC 231</w:t>
      </w:r>
      <w:r w:rsidR="00AF1432">
        <w:t xml:space="preserve">; </w:t>
      </w:r>
      <w:r w:rsidR="00AF1432" w:rsidRPr="00AF1432">
        <w:rPr>
          <w:i/>
          <w:iCs/>
        </w:rPr>
        <w:t>DH (a pseudonym) v Chief Commissioner of Police</w:t>
      </w:r>
      <w:r w:rsidR="00AF1432">
        <w:t xml:space="preserve"> [2025] VSC 380</w:t>
      </w:r>
      <w:r w:rsidR="007569A2">
        <w:t>.</w:t>
      </w:r>
    </w:p>
    <w:p w14:paraId="21B6D60F" w14:textId="786D728B" w:rsidR="007569A2" w:rsidRPr="007569A2" w:rsidRDefault="007569A2"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50" w:name="_11.3.4_Power_to"/>
      <w:bookmarkEnd w:id="750"/>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“There can be no question of a person on remand who is subsequently acquitted acquiring a kind of bank balance on which to draw in relation to subsequent offences </w:t>
      </w:r>
      <w:r w:rsidRPr="001C6E0E">
        <w:rPr>
          <w:rFonts w:ascii="Arial" w:hAnsi="Arial" w:cs="Arial"/>
          <w:color w:val="000000"/>
          <w:sz w:val="20"/>
        </w:rPr>
        <w:lastRenderedPageBreak/>
        <w:t>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r w:rsidRPr="005C7403">
        <w:rPr>
          <w:rFonts w:ascii="Arial" w:hAnsi="Arial" w:cs="Arial"/>
          <w:i/>
          <w:iCs/>
          <w:sz w:val="20"/>
          <w:szCs w:val="20"/>
        </w:rPr>
        <w:t>Renzella</w:t>
      </w:r>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R v Renzella</w:t>
      </w:r>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r w:rsidRPr="00460802">
        <w:rPr>
          <w:rFonts w:ascii="Arial" w:hAnsi="Arial" w:cs="Arial"/>
          <w:i/>
          <w:iCs/>
          <w:sz w:val="20"/>
        </w:rPr>
        <w:t>Renzella</w:t>
      </w:r>
      <w:r w:rsidRPr="00510C5E">
        <w:rPr>
          <w:rFonts w:ascii="Arial" w:hAnsi="Arial" w:cs="Arial"/>
          <w:sz w:val="20"/>
        </w:rPr>
        <w:t xml:space="preserve"> time’ — may be treated as time served, in a general sense, while awaiting trial on the charge for which the offender is about to be sentenced. </w:t>
      </w:r>
      <w:r w:rsidRPr="00460802">
        <w:rPr>
          <w:rFonts w:ascii="Arial" w:hAnsi="Arial" w:cs="Arial"/>
          <w:i/>
          <w:iCs/>
          <w:sz w:val="20"/>
        </w:rPr>
        <w:t>Renzella</w:t>
      </w:r>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r w:rsidRPr="005C7403">
        <w:rPr>
          <w:rFonts w:ascii="Arial" w:hAnsi="Arial" w:cs="Arial"/>
          <w:i/>
          <w:iCs/>
          <w:sz w:val="20"/>
        </w:rPr>
        <w:t>Renzella</w:t>
      </w:r>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r w:rsidRPr="005C7403">
        <w:rPr>
          <w:rFonts w:ascii="Arial" w:hAnsi="Arial" w:cs="Arial"/>
          <w:i/>
          <w:iCs/>
          <w:sz w:val="20"/>
          <w:szCs w:val="20"/>
        </w:rPr>
        <w:t>Renzella</w:t>
      </w:r>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[115]</w:t>
      </w:r>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2A0D2F9A"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w:t>
      </w:r>
      <w:r w:rsidRPr="001C6E0E">
        <w:rPr>
          <w:rFonts w:ascii="Arial" w:hAnsi="Arial" w:cs="Arial"/>
          <w:color w:val="000000"/>
          <w:sz w:val="20"/>
        </w:rPr>
        <w:lastRenderedPageBreak/>
        <w:t xml:space="preserve">[2007]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R v 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r w:rsidR="006B6CFB" w:rsidRPr="006B6CFB">
        <w:rPr>
          <w:rFonts w:ascii="Arial" w:hAnsi="Arial" w:cs="Arial"/>
          <w:i/>
          <w:iCs/>
          <w:color w:val="000000"/>
          <w:sz w:val="20"/>
          <w:szCs w:val="20"/>
        </w:rPr>
        <w:t>Tambakakis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Sozmen v The King</w:t>
      </w:r>
      <w:r w:rsidR="009F10DA">
        <w:rPr>
          <w:rFonts w:ascii="Arial" w:hAnsi="Arial" w:cs="Arial"/>
          <w:color w:val="000000"/>
          <w:sz w:val="20"/>
          <w:szCs w:val="20"/>
        </w:rPr>
        <w:t xml:space="preserve"> [2023] VSCA 215 at [25]-[40]</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lastRenderedPageBreak/>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Although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r w:rsidRPr="00935D47">
        <w:rPr>
          <w:rFonts w:ascii="Arial" w:hAnsi="Arial" w:cs="Arial"/>
          <w:i/>
          <w:iCs/>
          <w:color w:val="000000"/>
          <w:sz w:val="20"/>
        </w:rPr>
        <w:t>Lefoe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r w:rsidRPr="00935D47">
        <w:rPr>
          <w:rFonts w:ascii="Arial" w:hAnsi="Arial" w:cs="Arial"/>
          <w:i/>
          <w:iCs/>
          <w:sz w:val="20"/>
          <w:szCs w:val="20"/>
        </w:rPr>
        <w:t>Sahhitanandan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r w:rsidRPr="00297A14">
        <w:rPr>
          <w:rFonts w:ascii="Arial" w:hAnsi="Arial" w:cs="Arial"/>
          <w:i/>
          <w:iCs/>
          <w:color w:val="000000"/>
          <w:sz w:val="20"/>
          <w:szCs w:val="20"/>
        </w:rPr>
        <w:t>Nuramin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 xml:space="preserve">Nov v The </w:t>
      </w:r>
      <w:r w:rsidRPr="003C6FD0">
        <w:rPr>
          <w:rFonts w:ascii="Arial" w:hAnsi="Arial" w:cs="Arial"/>
          <w:i/>
          <w:iCs/>
          <w:sz w:val="20"/>
        </w:rPr>
        <w:lastRenderedPageBreak/>
        <w:t>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51" w:name="_11.3.5_Exercise_of"/>
      <w:bookmarkEnd w:id="751"/>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w:t>
      </w:r>
      <w:r w:rsidRPr="001C6E0E">
        <w:rPr>
          <w:rFonts w:ascii="Arial" w:hAnsi="Arial" w:cs="Arial"/>
          <w:color w:val="000000"/>
          <w:sz w:val="20"/>
        </w:rPr>
        <w:lastRenderedPageBreak/>
        <w:t xml:space="preserve">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Maxwell P, Beach JA &amp; Crocuher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lastRenderedPageBreak/>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52"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52"/>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on a charge of attempting to traffick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Winneke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6A9E6A4F"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53"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53"/>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r w:rsidR="00B8481C">
        <w:rPr>
          <w:rFonts w:ascii="Arial" w:hAnsi="Arial" w:cs="Arial"/>
          <w:color w:val="000000"/>
          <w:sz w:val="20"/>
          <w:szCs w:val="20"/>
        </w:rPr>
        <w:t xml:space="preserve">; </w:t>
      </w:r>
      <w:r w:rsidR="00B8481C" w:rsidRPr="00B8481C">
        <w:rPr>
          <w:rFonts w:ascii="Arial" w:hAnsi="Arial" w:cs="Arial"/>
          <w:i/>
          <w:iCs/>
          <w:color w:val="000000"/>
          <w:sz w:val="20"/>
          <w:szCs w:val="20"/>
        </w:rPr>
        <w:t>Jan v DPP (Cth)</w:t>
      </w:r>
      <w:r w:rsidR="00B8481C">
        <w:rPr>
          <w:rFonts w:ascii="Arial" w:hAnsi="Arial" w:cs="Arial"/>
          <w:color w:val="000000"/>
          <w:sz w:val="20"/>
          <w:szCs w:val="20"/>
        </w:rPr>
        <w:t xml:space="preserve"> [2025] VSCA 43 at [69]</w:t>
      </w:r>
      <w:r w:rsidR="00C44965">
        <w:rPr>
          <w:rFonts w:ascii="Arial" w:hAnsi="Arial" w:cs="Arial"/>
          <w:color w:val="000000"/>
          <w:sz w:val="20"/>
          <w:szCs w:val="20"/>
        </w:rPr>
        <w:t xml:space="preserve">; </w:t>
      </w:r>
      <w:r w:rsidR="00C44965" w:rsidRPr="00C44965">
        <w:rPr>
          <w:rFonts w:ascii="Arial" w:hAnsi="Arial" w:cs="Arial"/>
          <w:i/>
          <w:iCs/>
          <w:color w:val="000000"/>
          <w:sz w:val="20"/>
          <w:szCs w:val="20"/>
        </w:rPr>
        <w:t>Di Gregorio v The King</w:t>
      </w:r>
      <w:r w:rsidR="00C44965">
        <w:rPr>
          <w:rFonts w:ascii="Arial" w:hAnsi="Arial" w:cs="Arial"/>
          <w:color w:val="000000"/>
          <w:sz w:val="20"/>
          <w:szCs w:val="20"/>
        </w:rPr>
        <w:t xml:space="preserve"> [2025] VSCA 103 at [</w:t>
      </w:r>
      <w:r w:rsidR="002A4CF0">
        <w:rPr>
          <w:rFonts w:ascii="Arial" w:hAnsi="Arial" w:cs="Arial"/>
          <w:color w:val="000000"/>
          <w:sz w:val="20"/>
          <w:szCs w:val="20"/>
        </w:rPr>
        <w:t>62</w:t>
      </w:r>
      <w:r w:rsidR="00C44965">
        <w:rPr>
          <w:rFonts w:ascii="Arial" w:hAnsi="Arial" w:cs="Arial"/>
          <w:color w:val="000000"/>
          <w:sz w:val="20"/>
          <w:szCs w:val="20"/>
        </w:rPr>
        <w:t>]-[</w:t>
      </w:r>
      <w:r w:rsidR="002A4CF0">
        <w:rPr>
          <w:rFonts w:ascii="Arial" w:hAnsi="Arial" w:cs="Arial"/>
          <w:color w:val="000000"/>
          <w:sz w:val="20"/>
          <w:szCs w:val="20"/>
        </w:rPr>
        <w:t>78</w:t>
      </w:r>
      <w:r w:rsidR="00C44965">
        <w:rPr>
          <w:rFonts w:ascii="Arial" w:hAnsi="Arial" w:cs="Arial"/>
          <w:color w:val="000000"/>
          <w:sz w:val="20"/>
          <w:szCs w:val="20"/>
        </w:rPr>
        <w:t>]</w:t>
      </w:r>
      <w:r w:rsidR="00931459">
        <w:rPr>
          <w:rFonts w:ascii="Arial" w:hAnsi="Arial" w:cs="Arial"/>
          <w:color w:val="000000"/>
          <w:sz w:val="20"/>
          <w:szCs w:val="20"/>
        </w:rPr>
        <w:t xml:space="preserve">; </w:t>
      </w:r>
      <w:r w:rsidR="00931459" w:rsidRPr="00931459">
        <w:rPr>
          <w:rFonts w:ascii="Arial" w:hAnsi="Arial" w:cs="Arial"/>
          <w:i/>
          <w:iCs/>
          <w:color w:val="000000"/>
          <w:sz w:val="20"/>
          <w:szCs w:val="20"/>
        </w:rPr>
        <w:t>Rivero v The King</w:t>
      </w:r>
      <w:r w:rsidR="00931459">
        <w:rPr>
          <w:rFonts w:ascii="Arial" w:hAnsi="Arial" w:cs="Arial"/>
          <w:color w:val="000000"/>
          <w:sz w:val="20"/>
          <w:szCs w:val="20"/>
        </w:rPr>
        <w:t xml:space="preserve"> [2025] VSCA 144 at [44]</w:t>
      </w:r>
      <w:r w:rsidR="005A3DBE">
        <w:rPr>
          <w:rFonts w:ascii="Arial" w:hAnsi="Arial" w:cs="Arial"/>
          <w:color w:val="000000"/>
          <w:sz w:val="20"/>
          <w:szCs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54" w:name="_11.3.6_Conviction_or"/>
      <w:bookmarkEnd w:id="754"/>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It is also relevant in those cases where the are particular, identifiable consequences arising from conviction in the individual circumstances of an offender.</w:t>
      </w:r>
    </w:p>
    <w:p w14:paraId="35D99A41" w14:textId="2CF6858E"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r w:rsidR="00C44965">
        <w:rPr>
          <w:rFonts w:ascii="Arial" w:hAnsi="Arial" w:cs="Arial"/>
          <w:color w:val="000000"/>
          <w:sz w:val="20"/>
        </w:rPr>
        <w:t>–</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lastRenderedPageBreak/>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55" w:name="_11.3.7_Effect_of"/>
      <w:bookmarkEnd w:id="755"/>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56" w:name="_11.3.8_Effect_of"/>
      <w:bookmarkEnd w:id="756"/>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w:t>
      </w:r>
      <w:r w:rsidR="00AF49EE" w:rsidRPr="00AF49EE">
        <w:rPr>
          <w:rFonts w:ascii="Arial" w:hAnsi="Arial" w:cs="Arial"/>
          <w:color w:val="000000"/>
          <w:sz w:val="20"/>
          <w:szCs w:val="20"/>
          <w:lang w:eastAsia="en-AU"/>
        </w:rPr>
        <w:lastRenderedPageBreak/>
        <w:t>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r w:rsidR="00C03F70" w:rsidRPr="00C03F70">
        <w:rPr>
          <w:rFonts w:ascii="Arial" w:hAnsi="Arial" w:cs="Arial"/>
          <w:i/>
          <w:iCs/>
          <w:color w:val="000000"/>
          <w:sz w:val="20"/>
          <w:szCs w:val="20"/>
          <w:lang w:eastAsia="en-AU"/>
        </w:rPr>
        <w:t>Worboyes</w:t>
      </w:r>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B5A7FCA" w:rsidR="006146E3" w:rsidRPr="001E6BE9" w:rsidRDefault="006146E3" w:rsidP="006146E3">
      <w:pPr>
        <w:jc w:val="center"/>
        <w:rPr>
          <w:rFonts w:ascii="Arial" w:hAnsi="Arial" w:cs="Arial"/>
          <w:b/>
          <w:bCs/>
          <w:color w:val="000000"/>
          <w:sz w:val="22"/>
          <w:szCs w:val="22"/>
          <w:lang w:val="en-US"/>
        </w:rPr>
      </w:pPr>
      <w:bookmarkStart w:id="757" w:name="_11.4_Material_admissible"/>
      <w:bookmarkStart w:id="758" w:name="_11.4_Material_admissible_1"/>
      <w:bookmarkStart w:id="759" w:name="_Toc107101771"/>
      <w:bookmarkEnd w:id="757"/>
      <w:bookmarkEnd w:id="758"/>
      <w:r w:rsidRPr="001E6BE9">
        <w:rPr>
          <w:rFonts w:ascii="Arial" w:hAnsi="Arial" w:cs="Arial"/>
          <w:b/>
          <w:bCs/>
          <w:color w:val="000000"/>
          <w:sz w:val="22"/>
          <w:szCs w:val="22"/>
          <w:lang w:val="en-US"/>
        </w:rPr>
        <w:t xml:space="preserve">THE REST OF THIS PAGE </w:t>
      </w:r>
      <w:r w:rsidR="003C7D97">
        <w:rPr>
          <w:rFonts w:ascii="Arial" w:hAnsi="Arial" w:cs="Arial"/>
          <w:b/>
          <w:bCs/>
          <w:color w:val="000000"/>
          <w:sz w:val="22"/>
          <w:szCs w:val="22"/>
          <w:lang w:val="en-US"/>
        </w:rPr>
        <w:t>cara</w:t>
      </w:r>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759"/>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60" w:name="_11.4.1_Pre-sentence_&amp;"/>
      <w:bookmarkEnd w:id="760"/>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61" w:name="_11.4.2_Report,_submission"/>
      <w:bookmarkEnd w:id="761"/>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62" w:name="_11.4.3_Prior_findings"/>
      <w:bookmarkEnd w:id="762"/>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63" w:name="_11.4.4_Prosecutor’s_submissions"/>
      <w:bookmarkStart w:id="764" w:name="_11.4.4A_Submissions_&amp;"/>
      <w:bookmarkEnd w:id="763"/>
      <w:bookmarkEnd w:id="764"/>
      <w:r w:rsidRPr="001C6E0E">
        <w:rPr>
          <w:rFonts w:ascii="Arial" w:hAnsi="Arial" w:cs="Arial"/>
          <w:b/>
          <w:bCs/>
          <w:color w:val="000000"/>
          <w:sz w:val="20"/>
        </w:rPr>
        <w:lastRenderedPageBreak/>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00BB4EA1"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lastRenderedPageBreak/>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w:t>
      </w:r>
      <w:r w:rsidR="000F7BC4" w:rsidRPr="00BA4C3B">
        <w:rPr>
          <w:rFonts w:ascii="Arial" w:hAnsi="Arial" w:cs="Arial"/>
          <w:color w:val="000000"/>
          <w:sz w:val="20"/>
        </w:rPr>
        <w:lastRenderedPageBreak/>
        <w:t>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65" w:name="_11.4.4B_Duty_of"/>
      <w:bookmarkEnd w:id="765"/>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66" w:name="_11.4.5_Victim_impact"/>
      <w:bookmarkEnd w:id="766"/>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w:t>
      </w:r>
      <w:r w:rsidRPr="001C6E0E">
        <w:rPr>
          <w:rFonts w:ascii="Arial" w:hAnsi="Arial" w:cs="Arial"/>
          <w:color w:val="000000"/>
          <w:sz w:val="20"/>
        </w:rPr>
        <w:lastRenderedPageBreak/>
        <w:t xml:space="preserve">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3AD59336"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11D82608" w14:textId="1FC71ADC" w:rsidR="00FE30B0"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r w:rsidR="00FE30B0">
        <w:rPr>
          <w:rFonts w:ascii="Arial" w:hAnsi="Arial" w:cs="Arial"/>
          <w:color w:val="000000"/>
          <w:sz w:val="20"/>
        </w:rPr>
        <w:t xml:space="preserve"> Compare </w:t>
      </w:r>
      <w:r w:rsidR="00FE30B0" w:rsidRPr="00FE30B0">
        <w:rPr>
          <w:rFonts w:ascii="Arial" w:hAnsi="Arial" w:cs="Arial"/>
          <w:i/>
          <w:iCs/>
          <w:color w:val="000000"/>
          <w:sz w:val="20"/>
        </w:rPr>
        <w:t>Whitecroft (a pseudonym) v The King</w:t>
      </w:r>
      <w:r w:rsidR="00FE30B0">
        <w:rPr>
          <w:rFonts w:ascii="Arial" w:hAnsi="Arial" w:cs="Arial"/>
          <w:color w:val="000000"/>
          <w:sz w:val="20"/>
        </w:rPr>
        <w:t xml:space="preserve"> [2025] VSCA 143 at [72]-[78] where the Court of Appeal (Niall CJ &amp; Kidd JA) held that the sentencing judge had not </w:t>
      </w:r>
      <w:r w:rsidR="00FE30B0" w:rsidRPr="00FE30B0">
        <w:rPr>
          <w:rFonts w:ascii="Arial" w:hAnsi="Arial" w:cs="Arial"/>
          <w:color w:val="000000"/>
          <w:sz w:val="20"/>
        </w:rPr>
        <w:t>g</w:t>
      </w:r>
      <w:r w:rsidR="00FE30B0">
        <w:rPr>
          <w:rFonts w:ascii="Arial" w:hAnsi="Arial" w:cs="Arial"/>
          <w:color w:val="000000"/>
          <w:sz w:val="20"/>
        </w:rPr>
        <w:t>iven</w:t>
      </w:r>
      <w:r w:rsidR="00FE30B0" w:rsidRPr="00FE30B0">
        <w:rPr>
          <w:rFonts w:ascii="Arial" w:hAnsi="Arial" w:cs="Arial"/>
          <w:color w:val="000000"/>
          <w:sz w:val="20"/>
        </w:rPr>
        <w:t xml:space="preserve"> undue, and disproportionate, weight to the contents of the victim impact statement in </w:t>
      </w:r>
      <w:r w:rsidR="00FE30B0">
        <w:rPr>
          <w:rFonts w:ascii="Arial" w:hAnsi="Arial" w:cs="Arial"/>
          <w:color w:val="000000"/>
          <w:sz w:val="20"/>
        </w:rPr>
        <w:t>imposing a sentence of IMP2y6m/18m on multiple counts of incest committed by the applicant against his younger sister.</w:t>
      </w:r>
    </w:p>
    <w:p w14:paraId="36A9DA45" w14:textId="77777777" w:rsidR="006439FB" w:rsidRDefault="006439FB" w:rsidP="006439FB">
      <w:pPr>
        <w:jc w:val="both"/>
        <w:rPr>
          <w:rFonts w:ascii="Arial" w:hAnsi="Arial" w:cs="Arial"/>
          <w:color w:val="000000"/>
          <w:sz w:val="20"/>
        </w:rPr>
      </w:pPr>
      <w:bookmarkStart w:id="767" w:name="_Toc30674208"/>
      <w:bookmarkStart w:id="768" w:name="_Toc30691475"/>
      <w:bookmarkStart w:id="769" w:name="_Toc30691855"/>
      <w:bookmarkStart w:id="770" w:name="_Toc30692235"/>
      <w:bookmarkStart w:id="771" w:name="_Toc30692993"/>
      <w:bookmarkStart w:id="772" w:name="_Toc30693372"/>
      <w:bookmarkStart w:id="773" w:name="_Toc30693750"/>
      <w:bookmarkStart w:id="774" w:name="_Toc30694128"/>
      <w:bookmarkStart w:id="775" w:name="_Toc30694509"/>
      <w:bookmarkStart w:id="776" w:name="_Toc30699099"/>
      <w:bookmarkStart w:id="777" w:name="_Toc30699484"/>
      <w:bookmarkStart w:id="778" w:name="_Toc30699869"/>
      <w:bookmarkStart w:id="779" w:name="_Toc30701024"/>
      <w:bookmarkStart w:id="780" w:name="_Toc30701411"/>
      <w:bookmarkStart w:id="781" w:name="_Toc30744018"/>
      <w:bookmarkStart w:id="782" w:name="_Toc30754841"/>
      <w:bookmarkStart w:id="783" w:name="_Toc30757297"/>
      <w:bookmarkStart w:id="784" w:name="_Toc30757845"/>
      <w:bookmarkStart w:id="785" w:name="_Toc30758245"/>
      <w:bookmarkStart w:id="786" w:name="_Toc30763005"/>
      <w:bookmarkStart w:id="787" w:name="_Toc30767659"/>
      <w:bookmarkStart w:id="788"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789"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789"/>
    <w:p w14:paraId="572AF9FA" w14:textId="77777777" w:rsidR="00687E62" w:rsidRPr="001C6E0E" w:rsidRDefault="00687E62" w:rsidP="006439FB">
      <w:pPr>
        <w:jc w:val="both"/>
        <w:rPr>
          <w:rFonts w:ascii="Arial" w:hAnsi="Arial" w:cs="Arial"/>
          <w:color w:val="000000"/>
          <w:sz w:val="20"/>
        </w:rPr>
      </w:pPr>
    </w:p>
    <w:p w14:paraId="2D2756C5" w14:textId="77777777" w:rsidR="00BF52E5" w:rsidRPr="002872E8" w:rsidRDefault="00BF52E5" w:rsidP="002872E8">
      <w:pPr>
        <w:pStyle w:val="Heading2"/>
        <w:spacing w:line="240" w:lineRule="auto"/>
        <w:rPr>
          <w:rFonts w:ascii="Arial" w:hAnsi="Arial" w:cs="Arial"/>
          <w:b/>
          <w:bCs/>
        </w:rPr>
      </w:pPr>
      <w:bookmarkStart w:id="790" w:name="_11.5_Deferral_of"/>
      <w:bookmarkStart w:id="791" w:name="_Toc107101772"/>
      <w:bookmarkEnd w:id="790"/>
      <w:r w:rsidRPr="002872E8">
        <w:rPr>
          <w:rFonts w:ascii="Arial" w:hAnsi="Arial" w:cs="Arial"/>
          <w:b/>
          <w:bCs/>
        </w:rPr>
        <w:t>11.</w:t>
      </w:r>
      <w:r w:rsidR="005B4175" w:rsidRPr="002872E8">
        <w:rPr>
          <w:rFonts w:ascii="Arial" w:hAnsi="Arial" w:cs="Arial"/>
          <w:b/>
          <w:bCs/>
        </w:rPr>
        <w:t>5</w:t>
      </w:r>
      <w:r w:rsidRPr="002872E8">
        <w:rPr>
          <w:rFonts w:ascii="Arial" w:hAnsi="Arial" w:cs="Arial"/>
          <w:b/>
          <w:bCs/>
        </w:rPr>
        <w:tab/>
        <w:t>Deferral of sentencing</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91"/>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City">
        <w:smartTag w:uri="urn:schemas-microsoft-com:office:smarttags" w:element="place">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lastRenderedPageBreak/>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92" w:name="_11.6_Group_Conference"/>
      <w:bookmarkStart w:id="793" w:name="_Toc30674209"/>
      <w:bookmarkStart w:id="794" w:name="_Toc30691476"/>
      <w:bookmarkStart w:id="795" w:name="_Toc30691856"/>
      <w:bookmarkStart w:id="796" w:name="_Toc30692236"/>
      <w:bookmarkStart w:id="797" w:name="_Toc30692994"/>
      <w:bookmarkStart w:id="798" w:name="_Toc30693373"/>
      <w:bookmarkStart w:id="799" w:name="_Toc30693751"/>
      <w:bookmarkStart w:id="800" w:name="_Toc30694129"/>
      <w:bookmarkStart w:id="801" w:name="_Toc30694510"/>
      <w:bookmarkStart w:id="802" w:name="_Toc30699100"/>
      <w:bookmarkStart w:id="803" w:name="_Toc30699485"/>
      <w:bookmarkStart w:id="804" w:name="_Toc30699870"/>
      <w:bookmarkStart w:id="805" w:name="_Toc30701025"/>
      <w:bookmarkStart w:id="806" w:name="_Toc30701412"/>
      <w:bookmarkStart w:id="807" w:name="_Toc30744019"/>
      <w:bookmarkStart w:id="808" w:name="_Toc30754842"/>
      <w:bookmarkStart w:id="809" w:name="_Toc30757298"/>
      <w:bookmarkStart w:id="810" w:name="_Toc30757846"/>
      <w:bookmarkStart w:id="811" w:name="_Toc30758246"/>
      <w:bookmarkStart w:id="812" w:name="_Toc30763006"/>
      <w:bookmarkStart w:id="813" w:name="_Toc30767660"/>
      <w:bookmarkStart w:id="814" w:name="_Toc34823678"/>
      <w:bookmarkStart w:id="815" w:name="_Toc107101773"/>
      <w:bookmarkEnd w:id="792"/>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16" w:name="_11.6.1_Restorative_justice"/>
      <w:bookmarkStart w:id="817" w:name="_Toc30674210"/>
      <w:bookmarkStart w:id="818" w:name="_Toc30691477"/>
      <w:bookmarkStart w:id="819" w:name="_Toc30691857"/>
      <w:bookmarkStart w:id="820" w:name="_Toc30692237"/>
      <w:bookmarkStart w:id="821" w:name="_Toc30692995"/>
      <w:bookmarkStart w:id="822" w:name="_Toc30693374"/>
      <w:bookmarkStart w:id="823" w:name="_Toc30693752"/>
      <w:bookmarkStart w:id="824" w:name="_Toc30694130"/>
      <w:bookmarkStart w:id="825" w:name="_Toc30694511"/>
      <w:bookmarkStart w:id="826" w:name="_Toc30699101"/>
      <w:bookmarkStart w:id="827" w:name="_Toc30699486"/>
      <w:bookmarkStart w:id="828" w:name="_Toc30699871"/>
      <w:bookmarkStart w:id="829" w:name="_Toc30701026"/>
      <w:bookmarkStart w:id="830" w:name="_Toc30701413"/>
      <w:bookmarkStart w:id="831" w:name="_Toc30744020"/>
      <w:bookmarkStart w:id="832" w:name="_Toc30754843"/>
      <w:bookmarkStart w:id="833" w:name="_Toc30757299"/>
      <w:bookmarkStart w:id="834" w:name="_Toc30757847"/>
      <w:bookmarkStart w:id="835" w:name="_Toc30758247"/>
      <w:bookmarkStart w:id="836" w:name="_Toc30763007"/>
      <w:bookmarkStart w:id="837" w:name="_Toc30767661"/>
      <w:bookmarkStart w:id="838" w:name="_Toc34823679"/>
      <w:bookmarkStart w:id="839" w:name="_Toc107101774"/>
      <w:bookmarkEnd w:id="81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40" w:name="_11.6.2_The_Victorian"/>
      <w:bookmarkStart w:id="841" w:name="_Toc34823680"/>
      <w:bookmarkStart w:id="842" w:name="_Toc107101775"/>
      <w:bookmarkEnd w:id="840"/>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41"/>
      <w:bookmarkEnd w:id="842"/>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place">
        <w:smartTag w:uri="urn:schemas-microsoft-com:office:smarttags" w:element="Stat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43" w:name="_Toc30674211"/>
      <w:bookmarkStart w:id="844" w:name="_Toc30691478"/>
      <w:bookmarkStart w:id="845" w:name="_Toc30691858"/>
      <w:bookmarkStart w:id="846" w:name="_Toc30692238"/>
      <w:bookmarkStart w:id="847" w:name="_Toc30692996"/>
      <w:bookmarkStart w:id="848" w:name="_Toc30693375"/>
      <w:bookmarkStart w:id="849" w:name="_Toc30693753"/>
      <w:bookmarkStart w:id="850" w:name="_Toc30694131"/>
      <w:bookmarkStart w:id="851" w:name="_Toc30694512"/>
      <w:bookmarkStart w:id="852" w:name="_Toc30699102"/>
      <w:bookmarkStart w:id="853" w:name="_Toc30699487"/>
      <w:bookmarkStart w:id="854" w:name="_Toc30699872"/>
      <w:bookmarkStart w:id="855" w:name="_Toc30701027"/>
      <w:bookmarkStart w:id="856" w:name="_Toc30701414"/>
      <w:bookmarkStart w:id="857" w:name="_Toc30744021"/>
      <w:bookmarkStart w:id="858" w:name="_Toc30754844"/>
      <w:bookmarkStart w:id="859" w:name="_Toc30757300"/>
      <w:bookmarkStart w:id="860" w:name="_Toc30757848"/>
      <w:bookmarkStart w:id="861" w:name="_Toc30758248"/>
      <w:bookmarkStart w:id="862" w:name="_Toc30763008"/>
      <w:bookmarkStart w:id="863" w:name="_Toc30767662"/>
      <w:bookmarkStart w:id="864" w:name="_Toc34823681"/>
      <w:bookmarkStart w:id="865"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66" w:name="_11.6.3_Goal"/>
      <w:bookmarkEnd w:id="86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67" w:name="_Toc30674212"/>
      <w:bookmarkStart w:id="868" w:name="_Toc30691479"/>
      <w:bookmarkStart w:id="869" w:name="_Toc30691859"/>
      <w:bookmarkStart w:id="870" w:name="_Toc30692239"/>
      <w:bookmarkStart w:id="871" w:name="_Toc30692997"/>
      <w:bookmarkStart w:id="872" w:name="_Toc30693376"/>
      <w:bookmarkStart w:id="873" w:name="_Toc30693754"/>
      <w:bookmarkStart w:id="874" w:name="_Toc30694132"/>
      <w:bookmarkStart w:id="875" w:name="_Toc30694513"/>
      <w:bookmarkStart w:id="876" w:name="_Toc30699103"/>
      <w:bookmarkStart w:id="877" w:name="_Toc30699488"/>
      <w:bookmarkStart w:id="878" w:name="_Toc30699873"/>
      <w:bookmarkStart w:id="879" w:name="_Toc30701028"/>
      <w:bookmarkStart w:id="880" w:name="_Toc30701415"/>
      <w:bookmarkStart w:id="881" w:name="_Toc30744022"/>
      <w:bookmarkStart w:id="882" w:name="_Toc30754845"/>
      <w:bookmarkStart w:id="883" w:name="_Toc30757301"/>
      <w:bookmarkStart w:id="884" w:name="_Toc30757849"/>
      <w:bookmarkStart w:id="885" w:name="_Toc30758249"/>
      <w:bookmarkStart w:id="886" w:name="_Toc30763009"/>
      <w:bookmarkStart w:id="887"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88" w:name="_11.6.4_Consultation_with"/>
      <w:bookmarkStart w:id="889" w:name="_Toc34823682"/>
      <w:bookmarkStart w:id="890" w:name="_Toc107101777"/>
      <w:bookmarkEnd w:id="888"/>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9"/>
      <w:bookmarkEnd w:id="890"/>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91" w:name="_11.6.5_Mechanics"/>
      <w:bookmarkStart w:id="892" w:name="_Toc30674213"/>
      <w:bookmarkStart w:id="893" w:name="_Toc30691480"/>
      <w:bookmarkStart w:id="894" w:name="_Toc30691860"/>
      <w:bookmarkStart w:id="895" w:name="_Toc30692240"/>
      <w:bookmarkStart w:id="896" w:name="_Toc30692998"/>
      <w:bookmarkStart w:id="897" w:name="_Toc30693377"/>
      <w:bookmarkStart w:id="898" w:name="_Toc30693755"/>
      <w:bookmarkStart w:id="899" w:name="_Toc30694133"/>
      <w:bookmarkStart w:id="900" w:name="_Toc30694514"/>
      <w:bookmarkStart w:id="901" w:name="_Toc30699104"/>
      <w:bookmarkStart w:id="902" w:name="_Toc30699489"/>
      <w:bookmarkStart w:id="903" w:name="_Toc30699874"/>
      <w:bookmarkStart w:id="904" w:name="_Toc30701029"/>
      <w:bookmarkStart w:id="905" w:name="_Toc30701416"/>
      <w:bookmarkStart w:id="906" w:name="_Toc30744023"/>
      <w:bookmarkStart w:id="907" w:name="_Toc30754846"/>
      <w:bookmarkStart w:id="908" w:name="_Toc30757302"/>
      <w:bookmarkStart w:id="909" w:name="_Toc30757850"/>
      <w:bookmarkStart w:id="910" w:name="_Toc30758250"/>
      <w:bookmarkStart w:id="911" w:name="_Toc30763010"/>
      <w:bookmarkStart w:id="912" w:name="_Toc30767664"/>
      <w:bookmarkStart w:id="913" w:name="_Toc34823683"/>
      <w:bookmarkStart w:id="914" w:name="_Toc107101778"/>
      <w:bookmarkEnd w:id="891"/>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15" w:name="_11.6.6_Conference_Outcomes"/>
      <w:bookmarkStart w:id="916" w:name="_Toc30674214"/>
      <w:bookmarkStart w:id="917" w:name="_Toc30691481"/>
      <w:bookmarkStart w:id="918" w:name="_Toc30691861"/>
      <w:bookmarkStart w:id="919" w:name="_Toc30692241"/>
      <w:bookmarkStart w:id="920" w:name="_Toc30692999"/>
      <w:bookmarkStart w:id="921" w:name="_Toc30693378"/>
      <w:bookmarkStart w:id="922" w:name="_Toc30693756"/>
      <w:bookmarkStart w:id="923" w:name="_Toc30694134"/>
      <w:bookmarkStart w:id="924" w:name="_Toc30694515"/>
      <w:bookmarkStart w:id="925" w:name="_Toc30699105"/>
      <w:bookmarkStart w:id="926" w:name="_Toc30699490"/>
      <w:bookmarkStart w:id="927" w:name="_Toc30699875"/>
      <w:bookmarkStart w:id="928" w:name="_Toc30701030"/>
      <w:bookmarkStart w:id="929" w:name="_Toc30701417"/>
      <w:bookmarkStart w:id="930" w:name="_Toc30744024"/>
      <w:bookmarkStart w:id="931" w:name="_Toc30754847"/>
      <w:bookmarkStart w:id="932" w:name="_Toc30757303"/>
      <w:bookmarkStart w:id="933" w:name="_Toc30757851"/>
      <w:bookmarkStart w:id="934" w:name="_Toc30758251"/>
      <w:bookmarkStart w:id="935" w:name="_Toc30763011"/>
      <w:bookmarkStart w:id="936" w:name="_Toc30767665"/>
      <w:bookmarkStart w:id="937" w:name="_Toc34823684"/>
      <w:bookmarkStart w:id="938" w:name="_Toc107101779"/>
      <w:bookmarkEnd w:id="915"/>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39" w:name="_Toc30674215"/>
      <w:bookmarkStart w:id="940" w:name="_Toc30691482"/>
      <w:bookmarkStart w:id="941" w:name="_Toc30691862"/>
      <w:bookmarkStart w:id="942" w:name="_Toc30692242"/>
      <w:bookmarkStart w:id="943" w:name="_Toc30693000"/>
      <w:bookmarkStart w:id="944" w:name="_Toc30693379"/>
      <w:bookmarkStart w:id="945" w:name="_Toc30693757"/>
      <w:bookmarkStart w:id="946" w:name="_Toc30694135"/>
      <w:bookmarkStart w:id="947" w:name="_Toc30694516"/>
      <w:bookmarkStart w:id="948" w:name="_Toc30699106"/>
      <w:bookmarkStart w:id="949" w:name="_Toc30699491"/>
      <w:bookmarkStart w:id="950" w:name="_Toc30699876"/>
      <w:bookmarkStart w:id="951" w:name="_Toc30701031"/>
      <w:bookmarkStart w:id="952" w:name="_Toc30701418"/>
      <w:bookmarkStart w:id="953" w:name="_Toc30744025"/>
      <w:bookmarkStart w:id="954" w:name="_Toc30754848"/>
      <w:bookmarkStart w:id="955" w:name="_Toc30757304"/>
      <w:bookmarkStart w:id="956" w:name="_Toc30757852"/>
      <w:bookmarkStart w:id="957" w:name="_Toc30758252"/>
      <w:bookmarkStart w:id="958" w:name="_Toc30763012"/>
      <w:bookmarkStart w:id="959" w:name="_Toc30767666"/>
      <w:bookmarkStart w:id="960"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61" w:name="_11.7_Criminal_Division"/>
      <w:bookmarkStart w:id="962" w:name="_Toc107101780"/>
      <w:bookmarkEnd w:id="961"/>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2"/>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63" w:name="_11.7.1_Victorian_statistics"/>
      <w:bookmarkEnd w:id="963"/>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604254DE"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supercase</w:t>
      </w:r>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64"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bookmarkStart w:id="965" w:name="_Hlk188957658"/>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95573F">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95573F">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shd w:val="clear" w:color="auto" w:fill="auto"/>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shd w:val="clear" w:color="auto" w:fill="auto"/>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shd w:val="clear" w:color="auto" w:fill="auto"/>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shd w:val="clear" w:color="auto" w:fill="auto"/>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shd w:val="clear" w:color="auto" w:fill="auto"/>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shd w:val="clear" w:color="auto" w:fill="auto"/>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shd w:val="clear" w:color="auto" w:fill="auto"/>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shd w:val="clear" w:color="auto" w:fill="auto"/>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shd w:val="clear" w:color="auto" w:fill="auto"/>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shd w:val="clear" w:color="auto" w:fill="auto"/>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shd w:val="clear" w:color="auto" w:fill="auto"/>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64"/>
      <w:bookmarkEnd w:id="965"/>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shd w:val="clear" w:color="auto" w:fill="auto"/>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477A36EE" w14:textId="01A27758"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shd w:val="clear" w:color="auto" w:fill="auto"/>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shd w:val="clear" w:color="auto" w:fill="auto"/>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shd w:val="clear" w:color="auto" w:fill="auto"/>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w:t>
      </w:r>
      <w:r w:rsidR="002A02A7">
        <w:rPr>
          <w:rFonts w:ascii="Arial" w:hAnsi="Arial" w:cs="Arial"/>
          <w:color w:val="000000"/>
          <w:sz w:val="20"/>
        </w:rPr>
        <w:lastRenderedPageBreak/>
        <w:t>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66" w:name="_11.7.2_Australian_&amp;"/>
      <w:bookmarkEnd w:id="966"/>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39"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D953E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D953ED">
        <w:tc>
          <w:tcPr>
            <w:tcW w:w="885" w:type="dxa"/>
            <w:tcBorders>
              <w:top w:val="single" w:sz="4" w:space="0" w:color="auto"/>
              <w:bottom w:val="single" w:sz="18"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18"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18"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18"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18"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18"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18"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18"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18"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18"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D953ED">
        <w:tc>
          <w:tcPr>
            <w:tcW w:w="885" w:type="dxa"/>
            <w:tcBorders>
              <w:top w:val="single" w:sz="18"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1995</w:t>
            </w:r>
          </w:p>
        </w:tc>
        <w:tc>
          <w:tcPr>
            <w:tcW w:w="885" w:type="dxa"/>
            <w:tcBorders>
              <w:top w:val="single" w:sz="18"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18"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18"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18"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18"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18"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18"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18"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18"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D953E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D0FD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place">
        <w:smartTag w:uri="urn:schemas-microsoft-com:office:smarttags" w:element="Stat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country-region">
        <w:smartTag w:uri="urn:schemas-microsoft-com:office:smarttags" w:element="place">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place">
        <w:smartTag w:uri="urn:schemas-microsoft-com:office:smarttags" w:element="country-region">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w:t>
      </w:r>
      <w:r w:rsidR="00C11D7C" w:rsidRPr="00102D2A">
        <w:rPr>
          <w:rFonts w:ascii="Arial" w:hAnsi="Arial" w:cs="Arial"/>
          <w:color w:val="000000"/>
          <w:sz w:val="20"/>
        </w:rPr>
        <w:lastRenderedPageBreak/>
        <w:t xml:space="preserve">rate of indigenous detention in </w:t>
      </w:r>
      <w:smartTag w:uri="urn:schemas-microsoft-com:office:smarttags" w:element="place">
        <w:smartTag w:uri="urn:schemas-microsoft-com:office:smarttags" w:element="Stat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67" w:name="_Toc30691483"/>
      <w:bookmarkStart w:id="968" w:name="_Toc30691863"/>
      <w:bookmarkStart w:id="969" w:name="_Toc30692243"/>
      <w:bookmarkStart w:id="970" w:name="_Toc30693001"/>
      <w:bookmarkStart w:id="971" w:name="_Toc30693380"/>
      <w:bookmarkStart w:id="972" w:name="_Toc30693758"/>
      <w:bookmarkStart w:id="973" w:name="_Toc30694136"/>
      <w:bookmarkStart w:id="974" w:name="_Toc30694517"/>
      <w:bookmarkStart w:id="975" w:name="_Toc30699107"/>
      <w:bookmarkStart w:id="976" w:name="_Toc30699492"/>
      <w:bookmarkStart w:id="977" w:name="_Toc30699877"/>
      <w:bookmarkStart w:id="978" w:name="_Toc30701032"/>
      <w:bookmarkStart w:id="979" w:name="_Toc30701419"/>
      <w:bookmarkStart w:id="980" w:name="_Toc30744026"/>
      <w:bookmarkStart w:id="981" w:name="_Toc30754849"/>
      <w:bookmarkStart w:id="982" w:name="_Toc30757305"/>
      <w:bookmarkStart w:id="983" w:name="_Toc30757853"/>
      <w:bookmarkStart w:id="984" w:name="_Toc30758253"/>
      <w:bookmarkStart w:id="985" w:name="_Toc30763013"/>
      <w:bookmarkStart w:id="986" w:name="_Toc30767667"/>
      <w:bookmarkStart w:id="987" w:name="_Toc34823686"/>
      <w:bookmarkStart w:id="988"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country-region">
        <w:smartTag w:uri="urn:schemas-microsoft-com:office:smarttags" w:element="place">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State">
        <w:smartTag w:uri="urn:schemas-microsoft-com:office:smarttags" w:element="plac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place">
        <w:smartTag w:uri="urn:schemas-microsoft-com:office:smarttags" w:element="country-region">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country-region">
        <w:smartTag w:uri="urn:schemas-microsoft-com:office:smarttags" w:element="place">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State">
        <w:smartTag w:uri="urn:schemas-microsoft-com:office:smarttags" w:element="plac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State">
        <w:smartTag w:uri="urn:schemas-microsoft-com:office:smarttags" w:element="plac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State">
        <w:smartTag w:uri="urn:schemas-microsoft-com:office:smarttags" w:element="plac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2">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20819457"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43"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77777777" w:rsidR="004E25D9" w:rsidRPr="00C60E34" w:rsidRDefault="004E25D9"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000000" w:rsidP="00E447BA">
      <w:pPr>
        <w:jc w:val="center"/>
        <w:rPr>
          <w:rFonts w:ascii="Arial" w:hAnsi="Arial" w:cs="Arial"/>
          <w:color w:val="000000"/>
          <w:sz w:val="20"/>
        </w:rPr>
      </w:pPr>
      <w:r>
        <w:rPr>
          <w:rFonts w:ascii="Arial" w:hAnsi="Arial" w:cs="Arial"/>
          <w:noProof/>
          <w:color w:val="000000"/>
          <w:sz w:val="20"/>
        </w:rPr>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989" w:name="_11.8_Parole_&amp;"/>
      <w:bookmarkStart w:id="990" w:name="_Hlk16848916"/>
      <w:bookmarkEnd w:id="989"/>
    </w:p>
    <w:p w14:paraId="05F77096" w14:textId="19E4D05A" w:rsidR="00AB37DA" w:rsidRPr="00102D2A" w:rsidRDefault="00AB37DA" w:rsidP="00AB37DA">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7777777" w:rsidR="00AB37DA" w:rsidRPr="00102D2A" w:rsidRDefault="00AB37DA" w:rsidP="00AB37DA">
      <w:pPr>
        <w:jc w:val="both"/>
        <w:rPr>
          <w:rFonts w:ascii="Arial" w:hAnsi="Arial" w:cs="Arial"/>
          <w:color w:val="000000"/>
          <w:sz w:val="20"/>
        </w:rPr>
      </w:pPr>
    </w:p>
    <w:p w14:paraId="6DDD193B" w14:textId="0913FF8D" w:rsidR="00AB37DA" w:rsidRDefault="00000000" w:rsidP="0010187C">
      <w:pPr>
        <w:jc w:val="both"/>
        <w:rPr>
          <w:rFonts w:ascii="Arial" w:hAnsi="Arial" w:cs="Arial"/>
          <w:color w:val="000000"/>
          <w:sz w:val="22"/>
        </w:rPr>
      </w:pPr>
      <w:r>
        <w:rPr>
          <w:rFonts w:ascii="Arial" w:hAnsi="Arial" w:cs="Arial"/>
          <w:noProof/>
          <w:color w:val="000000"/>
          <w:sz w:val="22"/>
        </w:rPr>
        <w:pict w14:anchorId="780C97E9">
          <v:rect id="_x0000_s2054" style="position:absolute;left:0;text-align:left;margin-left:85pt;margin-top:64.5pt;width:39.7pt;height:337.45pt;z-index:251659264" filled="f" strokecolor="#f30" strokeweight="1.5pt"/>
        </w:pict>
      </w:r>
      <w:r w:rsidR="00AB37DA" w:rsidRPr="00AB37DA">
        <w:rPr>
          <w:rFonts w:ascii="Arial" w:hAnsi="Arial" w:cs="Arial"/>
          <w:noProof/>
          <w:color w:val="000000"/>
          <w:sz w:val="22"/>
        </w:rPr>
        <w:drawing>
          <wp:inline distT="0" distB="0" distL="0" distR="0" wp14:anchorId="5D418091" wp14:editId="70785754">
            <wp:extent cx="5759450"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5405755"/>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991" w:name="_11.8.1_Parole"/>
      <w:bookmarkStart w:id="992" w:name="_Toc30674216"/>
      <w:bookmarkStart w:id="993" w:name="_Toc30691484"/>
      <w:bookmarkStart w:id="994" w:name="_Toc30691864"/>
      <w:bookmarkStart w:id="995" w:name="_Toc30692244"/>
      <w:bookmarkStart w:id="996" w:name="_Toc30693002"/>
      <w:bookmarkStart w:id="997" w:name="_Toc30693381"/>
      <w:bookmarkStart w:id="998" w:name="_Toc30693759"/>
      <w:bookmarkStart w:id="999" w:name="_Toc30694137"/>
      <w:bookmarkStart w:id="1000" w:name="_Toc30694518"/>
      <w:bookmarkStart w:id="1001" w:name="_Toc30699108"/>
      <w:bookmarkStart w:id="1002" w:name="_Toc30699493"/>
      <w:bookmarkStart w:id="1003" w:name="_Toc30699878"/>
      <w:bookmarkStart w:id="1004" w:name="_Toc30701033"/>
      <w:bookmarkStart w:id="1005" w:name="_Toc30701420"/>
      <w:bookmarkStart w:id="1006" w:name="_Toc30744027"/>
      <w:bookmarkStart w:id="1007" w:name="_Toc30754850"/>
      <w:bookmarkStart w:id="1008" w:name="_Toc30757306"/>
      <w:bookmarkStart w:id="1009" w:name="_Toc30757854"/>
      <w:bookmarkStart w:id="1010" w:name="_Toc30758254"/>
      <w:bookmarkStart w:id="1011" w:name="_Toc30763014"/>
      <w:bookmarkStart w:id="1012" w:name="_Toc30767668"/>
      <w:bookmarkStart w:id="1013" w:name="_Toc34823687"/>
      <w:bookmarkStart w:id="1014" w:name="_Toc107101782"/>
      <w:bookmarkEnd w:id="991"/>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19B507D2" w14:textId="055F3FCE" w:rsidR="00381A57" w:rsidRPr="00381A57" w:rsidRDefault="00381A57" w:rsidP="00381A57">
      <w:pPr>
        <w:shd w:val="clear" w:color="auto" w:fill="000000" w:themeFill="text1"/>
        <w:jc w:val="center"/>
        <w:rPr>
          <w:rFonts w:ascii="Arial" w:hAnsi="Arial" w:cs="Arial"/>
          <w:b/>
          <w:bCs/>
          <w:color w:val="FFFFFF" w:themeColor="background1"/>
        </w:rPr>
      </w:pPr>
      <w:r w:rsidRPr="00381A57">
        <w:rPr>
          <w:rFonts w:ascii="Arial" w:hAnsi="Arial" w:cs="Arial"/>
          <w:b/>
          <w:bCs/>
          <w:color w:val="FFFFFF" w:themeColor="background1"/>
        </w:rPr>
        <w:t>PAROLE</w:t>
      </w:r>
      <w:r>
        <w:rPr>
          <w:rFonts w:ascii="Arial" w:hAnsi="Arial" w:cs="Arial"/>
          <w:b/>
          <w:bCs/>
          <w:color w:val="FFFFFF" w:themeColor="background1"/>
        </w:rPr>
        <w:t xml:space="preserve"> PURSUANT TO A </w:t>
      </w:r>
      <w:r w:rsidRPr="00381A57">
        <w:rPr>
          <w:rFonts w:ascii="Arial" w:hAnsi="Arial" w:cs="Arial"/>
          <w:b/>
          <w:bCs/>
          <w:i/>
          <w:iCs/>
          <w:color w:val="FFFFFF" w:themeColor="background1"/>
        </w:rPr>
        <w:t>SENTENCING ACT</w:t>
      </w:r>
      <w:r>
        <w:rPr>
          <w:rFonts w:ascii="Arial" w:hAnsi="Arial" w:cs="Arial"/>
          <w:b/>
          <w:bCs/>
          <w:color w:val="FFFFFF" w:themeColor="background1"/>
        </w:rPr>
        <w:t xml:space="preserve"> IMPRISONMENT ORDER</w:t>
      </w:r>
    </w:p>
    <w:p w14:paraId="1A4687F3" w14:textId="77777777" w:rsidR="00381A57" w:rsidRDefault="00381A57" w:rsidP="00FB68EA">
      <w:pPr>
        <w:jc w:val="both"/>
        <w:rPr>
          <w:rFonts w:ascii="Arial" w:hAnsi="Arial" w:cs="Arial"/>
          <w:color w:val="000000"/>
          <w:sz w:val="20"/>
        </w:rPr>
      </w:pPr>
    </w:p>
    <w:p w14:paraId="46E807FE" w14:textId="50D41214"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r w:rsidR="00381A57">
        <w:rPr>
          <w:rFonts w:ascii="Arial" w:hAnsi="Arial" w:cs="Arial"/>
          <w:color w:val="000000"/>
          <w:sz w:val="20"/>
        </w:rPr>
        <w:t xml:space="preserve">This same power – and obligation – applies to a </w:t>
      </w:r>
      <w:r w:rsidR="00381A57" w:rsidRPr="00381A57">
        <w:rPr>
          <w:rFonts w:ascii="Arial" w:hAnsi="Arial" w:cs="Arial"/>
          <w:b/>
          <w:bCs/>
          <w:color w:val="000000"/>
          <w:sz w:val="20"/>
          <w:u w:val="single"/>
        </w:rPr>
        <w:t>CHILD</w:t>
      </w:r>
      <w:r w:rsidR="00381A57">
        <w:rPr>
          <w:rFonts w:ascii="Arial" w:hAnsi="Arial" w:cs="Arial"/>
          <w:color w:val="000000"/>
          <w:sz w:val="20"/>
        </w:rPr>
        <w:t xml:space="preserve"> being sentenced to a term of imprisonment of 12 months or more by the County Court or the Supreme Court.</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lastRenderedPageBreak/>
        <w:t xml:space="preserve">[38] </w:t>
      </w:r>
      <w:r w:rsidR="00ED2FC4" w:rsidRPr="00B002D0">
        <w:rPr>
          <w:rFonts w:ascii="Arial" w:hAnsi="Arial" w:cs="Arial"/>
          <w:sz w:val="20"/>
          <w:szCs w:val="20"/>
        </w:rPr>
        <w:t>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17A2CFDF"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The King v Hatahet</w:t>
      </w:r>
      <w:r w:rsidR="00A05B8C">
        <w:rPr>
          <w:rFonts w:ascii="Arial" w:hAnsi="Arial" w:cs="Arial"/>
          <w:color w:val="000000"/>
          <w:sz w:val="20"/>
        </w:rPr>
        <w:t xml:space="preserve"> [2024] HCA 23 at [19]-[28].</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lastRenderedPageBreak/>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15" w:name="_Hlk158792552"/>
      <w:r>
        <w:rPr>
          <w:rFonts w:ascii="Arial" w:hAnsi="Arial" w:cs="Arial"/>
          <w:color w:val="000000"/>
          <w:sz w:val="20"/>
        </w:rPr>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he had offended in the past and that periods of parole had not prevented further offending, the judge should have proceeded on the basis that he would not get parole and that a CCO with conditions was the 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5(2AA)(a).”</w:t>
      </w:r>
    </w:p>
    <w:bookmarkEnd w:id="1015"/>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 xml:space="preserve">parole period. To the contrary, there was good reason to give the appellant the </w:t>
      </w:r>
      <w:r w:rsidRPr="00F979CD">
        <w:rPr>
          <w:rFonts w:ascii="Arial" w:hAnsi="Arial" w:cs="Arial"/>
          <w:sz w:val="20"/>
          <w:szCs w:val="20"/>
        </w:rPr>
        <w:lastRenderedPageBreak/>
        <w:t>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lastRenderedPageBreak/>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39EDDE07" w14:textId="6B89F81B" w:rsidR="00381A57" w:rsidRPr="00381A57" w:rsidRDefault="00381A57" w:rsidP="00381A57">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NO POWER TO ORDER A NON-PAROLE PERIOD FOR A CHILD SENTENCED TO DETENTION UNDER THE CYFA</w:t>
      </w:r>
    </w:p>
    <w:p w14:paraId="021D5260" w14:textId="77777777" w:rsidR="00381A57" w:rsidRDefault="00381A57"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694CCF82" w14:textId="77777777" w:rsidR="006E59EC" w:rsidRDefault="006E59EC" w:rsidP="006E59EC">
      <w:pPr>
        <w:jc w:val="both"/>
        <w:rPr>
          <w:rFonts w:ascii="Arial" w:hAnsi="Arial" w:cs="Arial"/>
          <w:color w:val="000000"/>
          <w:sz w:val="20"/>
        </w:rPr>
      </w:pPr>
    </w:p>
    <w:p w14:paraId="42C19661" w14:textId="13753086" w:rsidR="006E59EC" w:rsidRPr="00381A57" w:rsidRDefault="006E59EC" w:rsidP="006E59EC">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A STATE MAY VALIDLY CHANGE THE CONDITIONS FOR A GRANT OF PAROLE WITHOUT THIS BEING AN IMPERMISSIBLE INTERFERENCE WITH JUDICIAL POWER</w:t>
      </w:r>
    </w:p>
    <w:p w14:paraId="17B2CD26" w14:textId="431BE909" w:rsidR="006E59EC" w:rsidRDefault="006E59EC" w:rsidP="006E59EC">
      <w:pPr>
        <w:jc w:val="both"/>
        <w:rPr>
          <w:rFonts w:ascii="Arial" w:hAnsi="Arial" w:cs="Arial"/>
          <w:color w:val="000000"/>
          <w:sz w:val="20"/>
        </w:rPr>
      </w:pPr>
    </w:p>
    <w:p w14:paraId="20716412" w14:textId="02BF99EA" w:rsidR="00D4174C" w:rsidRDefault="00D4174C" w:rsidP="006E59EC">
      <w:pPr>
        <w:jc w:val="both"/>
        <w:rPr>
          <w:rFonts w:ascii="Arial" w:hAnsi="Arial" w:cs="Arial"/>
          <w:color w:val="000000"/>
          <w:sz w:val="20"/>
        </w:rPr>
      </w:pPr>
      <w:r w:rsidRPr="00D4174C">
        <w:rPr>
          <w:rFonts w:ascii="Arial" w:hAnsi="Arial" w:cs="Arial"/>
          <w:color w:val="000000"/>
          <w:sz w:val="20"/>
        </w:rPr>
        <w:t xml:space="preserve">In </w:t>
      </w:r>
      <w:r w:rsidRPr="00D4174C">
        <w:rPr>
          <w:rFonts w:ascii="Arial" w:hAnsi="Arial" w:cs="Arial"/>
          <w:i/>
          <w:iCs/>
          <w:color w:val="000000"/>
          <w:sz w:val="20"/>
        </w:rPr>
        <w:t>Cherry v Queensland</w:t>
      </w:r>
      <w:r>
        <w:rPr>
          <w:rFonts w:ascii="Arial" w:hAnsi="Arial" w:cs="Arial"/>
          <w:color w:val="000000"/>
          <w:sz w:val="20"/>
        </w:rPr>
        <w:t xml:space="preserve"> [2025] HCA 14</w:t>
      </w:r>
      <w:r w:rsidRPr="00D4174C">
        <w:rPr>
          <w:rFonts w:ascii="Arial" w:hAnsi="Arial" w:cs="Arial"/>
          <w:color w:val="000000"/>
          <w:sz w:val="20"/>
        </w:rPr>
        <w:t xml:space="preserve"> the plaintiff </w:t>
      </w:r>
      <w:r>
        <w:rPr>
          <w:rFonts w:ascii="Arial" w:hAnsi="Arial" w:cs="Arial"/>
          <w:color w:val="000000"/>
          <w:sz w:val="20"/>
        </w:rPr>
        <w:t>had been</w:t>
      </w:r>
      <w:r w:rsidRPr="00D4174C">
        <w:rPr>
          <w:rFonts w:ascii="Arial" w:hAnsi="Arial" w:cs="Arial"/>
          <w:color w:val="000000"/>
          <w:sz w:val="20"/>
        </w:rPr>
        <w:t xml:space="preserve"> convicted</w:t>
      </w:r>
      <w:r>
        <w:rPr>
          <w:rFonts w:ascii="Arial" w:hAnsi="Arial" w:cs="Arial"/>
          <w:color w:val="000000"/>
          <w:sz w:val="20"/>
        </w:rPr>
        <w:t xml:space="preserve"> in 2002</w:t>
      </w:r>
      <w:r w:rsidRPr="00D4174C">
        <w:rPr>
          <w:rFonts w:ascii="Arial" w:hAnsi="Arial" w:cs="Arial"/>
          <w:color w:val="000000"/>
          <w:sz w:val="20"/>
        </w:rPr>
        <w:t>, following trial by jury in the Supreme Court of Queensland, of two counts of murder. He was sentenced to life imprisonment for each count. The sentencing judge ordered that the plaintiff not be released from imprisonment until he had served a minimum of 20 years in gaol (unless released sooner under exceptional circumstances parole). An appeal against conviction was unsuccessful. The body of one of the murder victims has never been found.</w:t>
      </w:r>
      <w:r>
        <w:rPr>
          <w:rFonts w:ascii="Arial" w:hAnsi="Arial" w:cs="Arial"/>
          <w:color w:val="000000"/>
          <w:sz w:val="20"/>
        </w:rPr>
        <w:t xml:space="preserve"> Subsequently in 2006 the Queensland parliament passed </w:t>
      </w:r>
      <w:r w:rsidRPr="00D4174C">
        <w:rPr>
          <w:rFonts w:ascii="Arial" w:hAnsi="Arial" w:cs="Arial"/>
          <w:color w:val="000000"/>
          <w:sz w:val="20"/>
        </w:rPr>
        <w:t xml:space="preserve">the </w:t>
      </w:r>
      <w:r w:rsidRPr="00D4174C">
        <w:rPr>
          <w:rFonts w:ascii="Arial" w:hAnsi="Arial" w:cs="Arial"/>
          <w:i/>
          <w:iCs/>
          <w:color w:val="000000"/>
          <w:sz w:val="20"/>
        </w:rPr>
        <w:t>Corrective Services Act 2006</w:t>
      </w:r>
      <w:r w:rsidRPr="00D4174C">
        <w:rPr>
          <w:rFonts w:ascii="Arial" w:hAnsi="Arial" w:cs="Arial"/>
          <w:color w:val="000000"/>
          <w:sz w:val="20"/>
        </w:rPr>
        <w:t xml:space="preserve"> (Qld)</w:t>
      </w:r>
      <w:r>
        <w:rPr>
          <w:rFonts w:ascii="Arial" w:hAnsi="Arial" w:cs="Arial"/>
          <w:color w:val="000000"/>
          <w:sz w:val="20"/>
        </w:rPr>
        <w:t xml:space="preserve">. Under </w:t>
      </w:r>
      <w:r w:rsidR="00984B6A">
        <w:rPr>
          <w:rFonts w:ascii="Arial" w:hAnsi="Arial" w:cs="Arial"/>
          <w:color w:val="000000"/>
          <w:sz w:val="20"/>
        </w:rPr>
        <w:t xml:space="preserve">s.175L of </w:t>
      </w:r>
      <w:r>
        <w:rPr>
          <w:rFonts w:ascii="Arial" w:hAnsi="Arial" w:cs="Arial"/>
          <w:color w:val="000000"/>
          <w:sz w:val="20"/>
        </w:rPr>
        <w:t>the CSAQ the Queensland parole board may make a “no</w:t>
      </w:r>
      <w:r w:rsidR="00884B26">
        <w:rPr>
          <w:rFonts w:ascii="Arial" w:hAnsi="Arial" w:cs="Arial"/>
          <w:color w:val="000000"/>
          <w:sz w:val="20"/>
        </w:rPr>
        <w:noBreakHyphen/>
      </w:r>
      <w:r>
        <w:rPr>
          <w:rFonts w:ascii="Arial" w:hAnsi="Arial" w:cs="Arial"/>
          <w:color w:val="000000"/>
          <w:sz w:val="20"/>
        </w:rPr>
        <w:t>cooperation declaration” about a “no-body-no parole” prisoner where the remains of the victim have not been found and where the parole board is not satisfied that the prisoner has given “satisfactory cooperation”. The effect of such declaration is that the prisoner may not apply for parole notwithstanding the expiration of the non-parole period.</w:t>
      </w:r>
    </w:p>
    <w:p w14:paraId="2B053DDD" w14:textId="24F5A67C" w:rsidR="00884B26" w:rsidRDefault="00D4174C" w:rsidP="00884B26">
      <w:pPr>
        <w:spacing w:before="120"/>
        <w:jc w:val="both"/>
        <w:rPr>
          <w:rFonts w:ascii="Arial" w:hAnsi="Arial" w:cs="Arial"/>
          <w:color w:val="000000"/>
          <w:sz w:val="20"/>
        </w:rPr>
      </w:pPr>
      <w:r>
        <w:rPr>
          <w:rFonts w:ascii="Arial" w:hAnsi="Arial" w:cs="Arial"/>
          <w:color w:val="000000"/>
          <w:sz w:val="20"/>
        </w:rPr>
        <w:t>The plaintiff commenced a proceeding in the original jurisdiction of the High Court challenging the constitutional validity of ss.175L &amp; 175E of the CSAQ</w:t>
      </w:r>
      <w:r w:rsidR="00884B26">
        <w:rPr>
          <w:rFonts w:ascii="Arial" w:hAnsi="Arial" w:cs="Arial"/>
          <w:color w:val="000000"/>
          <w:sz w:val="20"/>
        </w:rPr>
        <w:t xml:space="preserve"> and submitting that ss.175L &amp; 175E permit the executive branch of the State government to interfere with the exercise of judicial power by the Supreme Court of Queensland contrary to the </w:t>
      </w:r>
      <w:r w:rsidR="00F64B83">
        <w:rPr>
          <w:rFonts w:ascii="Arial" w:hAnsi="Arial" w:cs="Arial"/>
          <w:color w:val="000000"/>
          <w:sz w:val="20"/>
        </w:rPr>
        <w:t xml:space="preserve">“separation of powers” </w:t>
      </w:r>
      <w:r w:rsidR="00884B26">
        <w:rPr>
          <w:rFonts w:ascii="Arial" w:hAnsi="Arial" w:cs="Arial"/>
          <w:color w:val="000000"/>
          <w:sz w:val="20"/>
        </w:rPr>
        <w:t xml:space="preserve">principle established by the High Court in </w:t>
      </w:r>
      <w:r w:rsidRPr="00884B26">
        <w:rPr>
          <w:rFonts w:ascii="Arial" w:hAnsi="Arial" w:cs="Arial"/>
          <w:i/>
          <w:iCs/>
          <w:color w:val="000000"/>
          <w:sz w:val="20"/>
        </w:rPr>
        <w:t>Kable v Director of Public Prosecutions (NSW)</w:t>
      </w:r>
      <w:r w:rsidR="00884B26">
        <w:rPr>
          <w:rFonts w:ascii="Arial" w:hAnsi="Arial" w:cs="Arial"/>
          <w:color w:val="000000"/>
          <w:sz w:val="20"/>
        </w:rPr>
        <w:t xml:space="preserve"> </w:t>
      </w:r>
      <w:r w:rsidR="00884B26" w:rsidRPr="00884B26">
        <w:rPr>
          <w:rFonts w:ascii="Arial" w:hAnsi="Arial" w:cs="Arial"/>
          <w:color w:val="000000"/>
          <w:sz w:val="20"/>
        </w:rPr>
        <w:t>(1996) 189 CLR 51.</w:t>
      </w:r>
      <w:r w:rsidR="00884B26">
        <w:rPr>
          <w:rFonts w:ascii="Arial" w:hAnsi="Arial" w:cs="Arial"/>
          <w:color w:val="000000"/>
          <w:sz w:val="20"/>
        </w:rPr>
        <w:t xml:space="preserve"> In holding that s.175L was not invalid – and </w:t>
      </w:r>
      <w:r w:rsidR="00984B6A">
        <w:rPr>
          <w:rFonts w:ascii="Arial" w:hAnsi="Arial" w:cs="Arial"/>
          <w:color w:val="000000"/>
          <w:sz w:val="20"/>
        </w:rPr>
        <w:t>consequently</w:t>
      </w:r>
      <w:r w:rsidR="00884B26">
        <w:rPr>
          <w:rFonts w:ascii="Arial" w:hAnsi="Arial" w:cs="Arial"/>
          <w:color w:val="000000"/>
          <w:sz w:val="20"/>
        </w:rPr>
        <w:t xml:space="preserve"> finding that no answer was required in relation to s.175E – G</w:t>
      </w:r>
      <w:r w:rsidR="00884B26" w:rsidRPr="00884B26">
        <w:rPr>
          <w:rFonts w:ascii="Arial" w:hAnsi="Arial" w:cs="Arial"/>
          <w:color w:val="000000"/>
          <w:sz w:val="20"/>
        </w:rPr>
        <w:t xml:space="preserve">ageler </w:t>
      </w:r>
      <w:r w:rsidR="00884B26">
        <w:rPr>
          <w:rFonts w:ascii="Arial" w:hAnsi="Arial" w:cs="Arial"/>
          <w:color w:val="000000"/>
          <w:sz w:val="20"/>
        </w:rPr>
        <w:t>CJ</w:t>
      </w:r>
      <w:r w:rsidR="00884B26" w:rsidRPr="00884B26">
        <w:rPr>
          <w:rFonts w:ascii="Arial" w:hAnsi="Arial" w:cs="Arial"/>
          <w:color w:val="000000"/>
          <w:sz w:val="20"/>
        </w:rPr>
        <w:t xml:space="preserve">, </w:t>
      </w:r>
      <w:r w:rsidR="00884B26">
        <w:rPr>
          <w:rFonts w:ascii="Arial" w:hAnsi="Arial" w:cs="Arial"/>
          <w:color w:val="000000"/>
          <w:sz w:val="20"/>
        </w:rPr>
        <w:t>G</w:t>
      </w:r>
      <w:r w:rsidR="00884B26" w:rsidRPr="00884B26">
        <w:rPr>
          <w:rFonts w:ascii="Arial" w:hAnsi="Arial" w:cs="Arial"/>
          <w:color w:val="000000"/>
          <w:sz w:val="20"/>
        </w:rPr>
        <w:t xml:space="preserve">ordon, </w:t>
      </w:r>
      <w:r w:rsidR="00884B26">
        <w:rPr>
          <w:rFonts w:ascii="Arial" w:hAnsi="Arial" w:cs="Arial"/>
          <w:color w:val="000000"/>
          <w:sz w:val="20"/>
        </w:rPr>
        <w:t>E</w:t>
      </w:r>
      <w:r w:rsidR="00884B26" w:rsidRPr="00884B26">
        <w:rPr>
          <w:rFonts w:ascii="Arial" w:hAnsi="Arial" w:cs="Arial"/>
          <w:color w:val="000000"/>
          <w:sz w:val="20"/>
        </w:rPr>
        <w:t xml:space="preserve">delman, </w:t>
      </w:r>
      <w:r w:rsidR="00884B26">
        <w:rPr>
          <w:rFonts w:ascii="Arial" w:hAnsi="Arial" w:cs="Arial"/>
          <w:color w:val="000000"/>
          <w:sz w:val="20"/>
        </w:rPr>
        <w:t>S</w:t>
      </w:r>
      <w:r w:rsidR="00884B26" w:rsidRPr="00884B26">
        <w:rPr>
          <w:rFonts w:ascii="Arial" w:hAnsi="Arial" w:cs="Arial"/>
          <w:color w:val="000000"/>
          <w:sz w:val="20"/>
        </w:rPr>
        <w:t xml:space="preserve">teward, </w:t>
      </w:r>
      <w:r w:rsidR="00884B26">
        <w:rPr>
          <w:rFonts w:ascii="Arial" w:hAnsi="Arial" w:cs="Arial"/>
          <w:color w:val="000000"/>
          <w:sz w:val="20"/>
        </w:rPr>
        <w:t>G</w:t>
      </w:r>
      <w:r w:rsidR="00884B26" w:rsidRPr="00884B26">
        <w:rPr>
          <w:rFonts w:ascii="Arial" w:hAnsi="Arial" w:cs="Arial"/>
          <w:color w:val="000000"/>
          <w:sz w:val="20"/>
        </w:rPr>
        <w:t xml:space="preserve">leeson, </w:t>
      </w:r>
      <w:r w:rsidR="00884B26">
        <w:rPr>
          <w:rFonts w:ascii="Arial" w:hAnsi="Arial" w:cs="Arial"/>
          <w:color w:val="000000"/>
          <w:sz w:val="20"/>
        </w:rPr>
        <w:t>J</w:t>
      </w:r>
      <w:r w:rsidR="00884B26" w:rsidRPr="00884B26">
        <w:rPr>
          <w:rFonts w:ascii="Arial" w:hAnsi="Arial" w:cs="Arial"/>
          <w:color w:val="000000"/>
          <w:sz w:val="20"/>
        </w:rPr>
        <w:t xml:space="preserve">agot and </w:t>
      </w:r>
      <w:r w:rsidR="00884B26">
        <w:rPr>
          <w:rFonts w:ascii="Arial" w:hAnsi="Arial" w:cs="Arial"/>
          <w:color w:val="000000"/>
          <w:sz w:val="20"/>
        </w:rPr>
        <w:t>B</w:t>
      </w:r>
      <w:r w:rsidR="00884B26" w:rsidRPr="00884B26">
        <w:rPr>
          <w:rFonts w:ascii="Arial" w:hAnsi="Arial" w:cs="Arial"/>
          <w:color w:val="000000"/>
          <w:sz w:val="20"/>
        </w:rPr>
        <w:t>eech-</w:t>
      </w:r>
      <w:r w:rsidR="00884B26">
        <w:rPr>
          <w:rFonts w:ascii="Arial" w:hAnsi="Arial" w:cs="Arial"/>
          <w:color w:val="000000"/>
          <w:sz w:val="20"/>
        </w:rPr>
        <w:t>J</w:t>
      </w:r>
      <w:r w:rsidR="00884B26" w:rsidRPr="00884B26">
        <w:rPr>
          <w:rFonts w:ascii="Arial" w:hAnsi="Arial" w:cs="Arial"/>
          <w:color w:val="000000"/>
          <w:sz w:val="20"/>
        </w:rPr>
        <w:t xml:space="preserve">ones </w:t>
      </w:r>
      <w:r w:rsidR="00884B26">
        <w:rPr>
          <w:rFonts w:ascii="Arial" w:hAnsi="Arial" w:cs="Arial"/>
          <w:color w:val="000000"/>
          <w:sz w:val="20"/>
        </w:rPr>
        <w:t>JJ said at [2]:</w:t>
      </w:r>
    </w:p>
    <w:p w14:paraId="58F98612" w14:textId="3FC325A1" w:rsidR="00D4174C" w:rsidRDefault="00884B26" w:rsidP="00884B26">
      <w:pPr>
        <w:spacing w:before="60"/>
        <w:ind w:left="567" w:right="567"/>
        <w:jc w:val="both"/>
        <w:rPr>
          <w:rFonts w:ascii="Arial" w:hAnsi="Arial" w:cs="Arial"/>
          <w:color w:val="000000"/>
          <w:sz w:val="20"/>
        </w:rPr>
      </w:pPr>
      <w:r>
        <w:rPr>
          <w:rFonts w:ascii="Arial" w:hAnsi="Arial" w:cs="Arial"/>
          <w:color w:val="000000"/>
          <w:sz w:val="20"/>
        </w:rPr>
        <w:t>“</w:t>
      </w:r>
      <w:r w:rsidR="00D4174C" w:rsidRPr="00D4174C">
        <w:rPr>
          <w:rFonts w:ascii="Arial" w:hAnsi="Arial" w:cs="Arial"/>
          <w:color w:val="000000"/>
          <w:sz w:val="20"/>
        </w:rPr>
        <w:t xml:space="preserve">The plaintiff's challenge to the validity of ss 175L and 175E faces the difficult task of distinguishing the principles established by the decisions of this Court in </w:t>
      </w:r>
      <w:r w:rsidR="00D4174C" w:rsidRPr="00884B26">
        <w:rPr>
          <w:rFonts w:ascii="Arial" w:hAnsi="Arial" w:cs="Arial"/>
          <w:i/>
          <w:iCs/>
          <w:color w:val="000000"/>
          <w:sz w:val="20"/>
        </w:rPr>
        <w:t>Crump v New South Wales</w:t>
      </w:r>
      <w:r>
        <w:rPr>
          <w:rFonts w:ascii="Arial" w:hAnsi="Arial" w:cs="Arial"/>
          <w:color w:val="000000"/>
          <w:sz w:val="20"/>
        </w:rPr>
        <w:t xml:space="preserve"> (2012) 247 CLR 1,</w:t>
      </w:r>
      <w:r w:rsidR="00D4174C" w:rsidRPr="00D4174C">
        <w:rPr>
          <w:rFonts w:ascii="Arial" w:hAnsi="Arial" w:cs="Arial"/>
          <w:color w:val="000000"/>
          <w:sz w:val="20"/>
        </w:rPr>
        <w:t xml:space="preserve"> </w:t>
      </w:r>
      <w:r w:rsidR="00D4174C" w:rsidRPr="00884B26">
        <w:rPr>
          <w:rFonts w:ascii="Arial" w:hAnsi="Arial" w:cs="Arial"/>
          <w:i/>
          <w:iCs/>
          <w:color w:val="000000"/>
          <w:sz w:val="20"/>
        </w:rPr>
        <w:t>Knight v Victoria</w:t>
      </w:r>
      <w:r>
        <w:rPr>
          <w:rFonts w:ascii="Arial" w:hAnsi="Arial" w:cs="Arial"/>
          <w:color w:val="000000"/>
          <w:sz w:val="20"/>
        </w:rPr>
        <w:t xml:space="preserve"> (2017) 261 CLR 306</w:t>
      </w:r>
      <w:r w:rsidR="00D4174C" w:rsidRPr="00D4174C">
        <w:rPr>
          <w:rFonts w:ascii="Arial" w:hAnsi="Arial" w:cs="Arial"/>
          <w:color w:val="000000"/>
          <w:sz w:val="20"/>
        </w:rPr>
        <w:t xml:space="preserve"> and </w:t>
      </w:r>
      <w:r w:rsidR="00D4174C" w:rsidRPr="00884B26">
        <w:rPr>
          <w:rFonts w:ascii="Arial" w:hAnsi="Arial" w:cs="Arial"/>
          <w:i/>
          <w:iCs/>
          <w:color w:val="000000"/>
          <w:sz w:val="20"/>
        </w:rPr>
        <w:t>Minogue v Victori</w:t>
      </w:r>
      <w:r>
        <w:rPr>
          <w:rFonts w:ascii="Arial" w:hAnsi="Arial" w:cs="Arial"/>
          <w:i/>
          <w:iCs/>
          <w:color w:val="000000"/>
          <w:sz w:val="20"/>
        </w:rPr>
        <w:t xml:space="preserve">a </w:t>
      </w:r>
      <w:r w:rsidRPr="00884B26">
        <w:rPr>
          <w:rFonts w:ascii="Arial" w:hAnsi="Arial" w:cs="Arial"/>
          <w:color w:val="000000"/>
          <w:sz w:val="20"/>
        </w:rPr>
        <w:t>(2019) 268 CLR 1.</w:t>
      </w:r>
      <w:r w:rsidR="00D4174C" w:rsidRPr="00D4174C">
        <w:rPr>
          <w:rFonts w:ascii="Arial" w:hAnsi="Arial" w:cs="Arial"/>
          <w:color w:val="000000"/>
          <w:sz w:val="20"/>
        </w:rPr>
        <w:t xml:space="preserve"> In essence, those cases establish that a State may validly change the conditions for a grant of parole from time to time and that this does not constitute an impermissible interference with judicial power.</w:t>
      </w:r>
      <w:r>
        <w:rPr>
          <w:rFonts w:ascii="Arial" w:hAnsi="Arial" w:cs="Arial"/>
          <w:color w:val="000000"/>
          <w:sz w:val="20"/>
        </w:rPr>
        <w:t>”</w:t>
      </w:r>
    </w:p>
    <w:p w14:paraId="2BBC13B5" w14:textId="77777777" w:rsidR="006E59EC" w:rsidRPr="00102D2A" w:rsidRDefault="006E59EC"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16" w:name="_11.8.2_Remissions"/>
      <w:bookmarkEnd w:id="1016"/>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2872E8" w:rsidRDefault="00BF52E5" w:rsidP="002872E8">
      <w:pPr>
        <w:pStyle w:val="Heading2"/>
        <w:spacing w:line="240" w:lineRule="auto"/>
        <w:rPr>
          <w:rFonts w:ascii="Arial" w:hAnsi="Arial" w:cs="Arial"/>
          <w:b/>
          <w:bCs/>
        </w:rPr>
      </w:pPr>
      <w:bookmarkStart w:id="1017" w:name="_11.9_Temporary_leave"/>
      <w:bookmarkStart w:id="1018" w:name="_Toc30691486"/>
      <w:bookmarkStart w:id="1019" w:name="_Toc30691866"/>
      <w:bookmarkStart w:id="1020" w:name="_Toc30692246"/>
      <w:bookmarkStart w:id="1021" w:name="_Toc30693004"/>
      <w:bookmarkStart w:id="1022" w:name="_Toc30693383"/>
      <w:bookmarkStart w:id="1023" w:name="_Toc30693761"/>
      <w:bookmarkStart w:id="1024" w:name="_Toc30694139"/>
      <w:bookmarkStart w:id="1025" w:name="_Toc30694520"/>
      <w:bookmarkStart w:id="1026" w:name="_Toc30699110"/>
      <w:bookmarkStart w:id="1027" w:name="_Toc30699495"/>
      <w:bookmarkStart w:id="1028" w:name="_Toc30699880"/>
      <w:bookmarkStart w:id="1029" w:name="_Toc30701035"/>
      <w:bookmarkStart w:id="1030" w:name="_Toc30701422"/>
      <w:bookmarkStart w:id="1031" w:name="_Toc30744029"/>
      <w:bookmarkStart w:id="1032" w:name="_Toc30754852"/>
      <w:bookmarkStart w:id="1033" w:name="_Toc30757308"/>
      <w:bookmarkStart w:id="1034" w:name="_Toc30757856"/>
      <w:bookmarkStart w:id="1035" w:name="_Toc30758256"/>
      <w:bookmarkStart w:id="1036" w:name="_Toc30763016"/>
      <w:bookmarkStart w:id="1037" w:name="_Toc30767670"/>
      <w:bookmarkStart w:id="1038" w:name="_Toc34823689"/>
      <w:bookmarkStart w:id="1039" w:name="_Toc107101784"/>
      <w:bookmarkEnd w:id="990"/>
      <w:bookmarkEnd w:id="1017"/>
      <w:r w:rsidRPr="002872E8">
        <w:rPr>
          <w:rFonts w:ascii="Arial" w:hAnsi="Arial" w:cs="Arial"/>
          <w:b/>
          <w:bCs/>
        </w:rPr>
        <w:t>11.</w:t>
      </w:r>
      <w:r w:rsidR="005B4175" w:rsidRPr="002872E8">
        <w:rPr>
          <w:rFonts w:ascii="Arial" w:hAnsi="Arial" w:cs="Arial"/>
          <w:b/>
          <w:bCs/>
        </w:rPr>
        <w:t>9</w:t>
      </w:r>
      <w:r w:rsidRPr="002872E8">
        <w:rPr>
          <w:rFonts w:ascii="Arial" w:hAnsi="Arial" w:cs="Arial"/>
          <w:b/>
          <w:bCs/>
        </w:rPr>
        <w:tab/>
        <w:t>Temporary leave from detention</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lastRenderedPageBreak/>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40" w:name="_11.10_Transfers_between"/>
      <w:bookmarkStart w:id="1041" w:name="_Toc30691487"/>
      <w:bookmarkStart w:id="1042" w:name="_Toc30691867"/>
      <w:bookmarkStart w:id="1043" w:name="_Toc30692247"/>
      <w:bookmarkStart w:id="1044" w:name="_Toc30693005"/>
      <w:bookmarkStart w:id="1045" w:name="_Toc30693384"/>
      <w:bookmarkStart w:id="1046" w:name="_Toc30693762"/>
      <w:bookmarkStart w:id="1047" w:name="_Toc30694140"/>
      <w:bookmarkStart w:id="1048" w:name="_Toc30694521"/>
      <w:bookmarkStart w:id="1049" w:name="_Toc30699111"/>
      <w:bookmarkStart w:id="1050" w:name="_Toc30699496"/>
      <w:bookmarkStart w:id="1051" w:name="_Toc30699881"/>
      <w:bookmarkStart w:id="1052" w:name="_Toc30701036"/>
      <w:bookmarkStart w:id="1053" w:name="_Toc30701423"/>
      <w:bookmarkStart w:id="1054" w:name="_Toc30744030"/>
      <w:bookmarkStart w:id="1055" w:name="_Toc30754853"/>
      <w:bookmarkStart w:id="1056" w:name="_Toc30757309"/>
      <w:bookmarkStart w:id="1057" w:name="_Toc30757857"/>
      <w:bookmarkStart w:id="1058" w:name="_Toc30758257"/>
      <w:bookmarkStart w:id="1059" w:name="_Toc30763017"/>
      <w:bookmarkStart w:id="1060" w:name="_Toc30767671"/>
      <w:bookmarkStart w:id="1061" w:name="_Toc34823690"/>
      <w:bookmarkStart w:id="1062" w:name="_Toc107101785"/>
      <w:bookmarkEnd w:id="1040"/>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63" w:name="_11.11_Further_custodial"/>
      <w:bookmarkStart w:id="1064" w:name="_Toc30691488"/>
      <w:bookmarkStart w:id="1065" w:name="_Toc30691868"/>
      <w:bookmarkStart w:id="1066" w:name="_Toc30692248"/>
      <w:bookmarkStart w:id="1067" w:name="_Toc30693006"/>
      <w:bookmarkStart w:id="1068" w:name="_Toc30693385"/>
      <w:bookmarkStart w:id="1069" w:name="_Toc30693763"/>
      <w:bookmarkStart w:id="1070" w:name="_Toc30694141"/>
      <w:bookmarkStart w:id="1071" w:name="_Toc30694522"/>
      <w:bookmarkStart w:id="1072" w:name="_Toc30699112"/>
      <w:bookmarkStart w:id="1073" w:name="_Toc30699497"/>
      <w:bookmarkStart w:id="1074" w:name="_Toc30699882"/>
      <w:bookmarkStart w:id="1075" w:name="_Toc30701037"/>
      <w:bookmarkStart w:id="1076" w:name="_Toc30701424"/>
      <w:bookmarkStart w:id="1077" w:name="_Toc30744031"/>
      <w:bookmarkStart w:id="1078" w:name="_Toc30754854"/>
      <w:bookmarkStart w:id="1079" w:name="_Toc30757310"/>
      <w:bookmarkStart w:id="1080" w:name="_Toc30757858"/>
      <w:bookmarkStart w:id="1081" w:name="_Toc30758258"/>
      <w:bookmarkStart w:id="1082" w:name="_Toc30763018"/>
      <w:bookmarkStart w:id="1083" w:name="_Toc30767672"/>
      <w:bookmarkStart w:id="1084" w:name="_Toc34823691"/>
      <w:bookmarkStart w:id="1085" w:name="_Toc107101786"/>
      <w:bookmarkEnd w:id="1063"/>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A557FB">
            <w:pPr>
              <w:keepNext/>
              <w:keepLines/>
              <w:jc w:val="center"/>
              <w:rPr>
                <w:rFonts w:ascii="Arial" w:hAnsi="Arial" w:cs="Arial"/>
                <w:color w:val="000000"/>
                <w:sz w:val="20"/>
              </w:rPr>
            </w:pPr>
          </w:p>
          <w:p w14:paraId="4C23ACFA" w14:textId="77777777" w:rsidR="00BF52E5" w:rsidRPr="00102D2A" w:rsidRDefault="00946014" w:rsidP="00A557FB">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A557FB">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lastRenderedPageBreak/>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86" w:name="_11.12_Breach_of"/>
      <w:bookmarkStart w:id="1087" w:name="_Toc30691489"/>
      <w:bookmarkStart w:id="1088" w:name="_Toc30691869"/>
      <w:bookmarkStart w:id="1089" w:name="_Toc30692249"/>
      <w:bookmarkStart w:id="1090" w:name="_Toc30693007"/>
      <w:bookmarkStart w:id="1091" w:name="_Toc30693386"/>
      <w:bookmarkStart w:id="1092" w:name="_Toc30693764"/>
      <w:bookmarkStart w:id="1093" w:name="_Toc30694142"/>
      <w:bookmarkStart w:id="1094" w:name="_Toc30694523"/>
      <w:bookmarkStart w:id="1095" w:name="_Toc30699113"/>
      <w:bookmarkStart w:id="1096" w:name="_Toc30699498"/>
      <w:bookmarkStart w:id="1097" w:name="_Toc30699883"/>
      <w:bookmarkStart w:id="1098" w:name="_Toc30701038"/>
      <w:bookmarkStart w:id="1099" w:name="_Toc30701425"/>
      <w:bookmarkStart w:id="1100" w:name="_Toc30744032"/>
      <w:bookmarkStart w:id="1101" w:name="_Toc30754855"/>
      <w:bookmarkStart w:id="1102" w:name="_Toc30757311"/>
      <w:bookmarkStart w:id="1103" w:name="_Toc30757859"/>
      <w:bookmarkStart w:id="1104" w:name="_Toc30758259"/>
      <w:bookmarkStart w:id="1105" w:name="_Toc30763019"/>
      <w:bookmarkStart w:id="1106" w:name="_Toc30767673"/>
      <w:bookmarkStart w:id="1107" w:name="_Toc34823692"/>
      <w:bookmarkStart w:id="1108" w:name="_Toc107101787"/>
      <w:bookmarkEnd w:id="1086"/>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r w:rsidRPr="00102D2A">
        <w:rPr>
          <w:rFonts w:ascii="Arial" w:hAnsi="Arial" w:cs="Arial"/>
          <w:b/>
          <w:bCs/>
          <w:color w:val="000000"/>
        </w:rPr>
        <w:t>r</w:t>
      </w:r>
      <w:bookmarkEnd w:id="1108"/>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109" w:name="_11.12.1_“Generic”_provisions"/>
      <w:bookmarkStart w:id="1110" w:name="_Toc107101788"/>
      <w:bookmarkEnd w:id="1109"/>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110"/>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lastRenderedPageBreak/>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lastRenderedPageBreak/>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111" w:name="_11.12.2_Powers_upon"/>
      <w:bookmarkStart w:id="1112" w:name="_Toc107101790"/>
      <w:bookmarkEnd w:id="1111"/>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12"/>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City">
              <w:smartTag w:uri="urn:schemas-microsoft-com:office:smarttags" w:element="place">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place">
              <w:smartTag w:uri="urn:schemas-microsoft-com:office:smarttags" w:element="City">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13" w:name="_11.12.3_Revocation_of"/>
      <w:bookmarkEnd w:id="1113"/>
      <w:r w:rsidRPr="00102D2A">
        <w:rPr>
          <w:rFonts w:ascii="Arial" w:hAnsi="Arial" w:cs="Arial"/>
          <w:b/>
          <w:bCs/>
          <w:color w:val="000000"/>
          <w:sz w:val="20"/>
        </w:rPr>
        <w:lastRenderedPageBreak/>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14" w:name="_11.12.4_Fine_defaults"/>
      <w:bookmarkStart w:id="1115" w:name="_Toc107101791"/>
      <w:bookmarkEnd w:id="1114"/>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15"/>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place">
        <w:smartTag w:uri="urn:schemas-microsoft-com:office:smarttags" w:element="City">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 xml:space="preserve">re </w:t>
      </w:r>
      <w:r w:rsidR="00BF52E5" w:rsidRPr="00102D2A">
        <w:rPr>
          <w:rFonts w:ascii="Arial" w:hAnsi="Arial" w:cs="Arial"/>
          <w:color w:val="000000"/>
          <w:sz w:val="20"/>
        </w:rPr>
        <w:lastRenderedPageBreak/>
        <w:t>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16" w:name="_11.13_Sunset_provision"/>
      <w:bookmarkStart w:id="1117" w:name="_Toc107101795"/>
      <w:bookmarkEnd w:id="1116"/>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17"/>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18" w:name="_11.13.1_Section_584"/>
      <w:bookmarkEnd w:id="1118"/>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19" w:name="_11.13.2_Spent_Convictions"/>
      <w:bookmarkEnd w:id="1119"/>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lastRenderedPageBreak/>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5BAA855F"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 &amp; 22-</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506DC330" w:rsidR="00C9757C" w:rsidRDefault="00F32661" w:rsidP="00452569">
      <w:pPr>
        <w:rPr>
          <w:rFonts w:ascii="Arial" w:hAnsi="Arial" w:cs="Arial"/>
          <w:color w:val="000000"/>
          <w:sz w:val="20"/>
        </w:rPr>
      </w:pPr>
      <w:r>
        <w:rPr>
          <w:rFonts w:ascii="Arial" w:hAnsi="Arial" w:cs="Arial"/>
          <w:color w:val="000000"/>
          <w:sz w:val="20"/>
        </w:rPr>
        <w:t>Sections 21 &amp; 22 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89E7867"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Pr>
          <w:rFonts w:ascii="Arial" w:hAnsi="Arial" w:cs="Arial"/>
          <w:color w:val="000000"/>
          <w:sz w:val="20"/>
        </w:rPr>
        <w:t>.</w:t>
      </w:r>
    </w:p>
    <w:p w14:paraId="01928819" w14:textId="1F5296E6"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A557FB">
      <w:pPr>
        <w:keepNext/>
        <w:keepLines/>
        <w:rPr>
          <w:rFonts w:ascii="Arial" w:hAnsi="Arial" w:cs="Arial"/>
          <w:b/>
          <w:bCs/>
          <w:color w:val="FFFFFF" w:themeColor="background1"/>
          <w:sz w:val="20"/>
        </w:rPr>
      </w:pPr>
      <w:bookmarkStart w:id="1120" w:name="_Hlk178054486"/>
      <w:r>
        <w:rPr>
          <w:rFonts w:ascii="Arial" w:hAnsi="Arial" w:cs="Arial"/>
          <w:b/>
          <w:bCs/>
          <w:color w:val="FFFFFF" w:themeColor="background1"/>
          <w:sz w:val="20"/>
          <w:shd w:val="clear" w:color="auto" w:fill="000000" w:themeFill="text1"/>
        </w:rPr>
        <w:t>CASE LAW</w:t>
      </w:r>
    </w:p>
    <w:p w14:paraId="5A64C36C" w14:textId="77777777" w:rsidR="00F171F7" w:rsidRDefault="00F171F7" w:rsidP="00F171F7">
      <w:pPr>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r w:rsidRPr="00F171F7">
        <w:rPr>
          <w:rFonts w:ascii="Arial" w:hAnsi="Arial" w:cs="Arial"/>
          <w:i/>
          <w:iCs/>
          <w:color w:val="000000"/>
          <w:sz w:val="20"/>
        </w:rPr>
        <w:t>Tabban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w:t>
      </w:r>
      <w:r w:rsidR="009B6849">
        <w:rPr>
          <w:rFonts w:ascii="Arial" w:hAnsi="Arial" w:cs="Arial"/>
          <w:color w:val="000000"/>
          <w:sz w:val="20"/>
        </w:rPr>
        <w:lastRenderedPageBreak/>
        <w:t>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21" w:name="_11.14_The_MAPPS"/>
      <w:bookmarkEnd w:id="1120"/>
      <w:bookmarkEnd w:id="1121"/>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no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A557FB">
      <w:pPr>
        <w:pStyle w:val="Heading2"/>
        <w:keepNext/>
        <w:keepLines/>
        <w:widowControl/>
        <w:tabs>
          <w:tab w:val="left" w:pos="567"/>
        </w:tabs>
        <w:spacing w:line="240" w:lineRule="auto"/>
        <w:rPr>
          <w:rFonts w:ascii="Arial" w:hAnsi="Arial" w:cs="Arial"/>
          <w:b/>
          <w:bCs/>
          <w:color w:val="000000"/>
        </w:rPr>
      </w:pPr>
      <w:bookmarkStart w:id="1122" w:name="_11.15_Sentencing_of"/>
      <w:bookmarkEnd w:id="1122"/>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23" w:name="_11.15.1_Sexual_abuse"/>
      <w:bookmarkEnd w:id="1123"/>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“Questions of general deterrence and denunciation are overwhelmingly important, as this Court has so often said, where child sex offending is concerned. Such is the continuing </w:t>
      </w:r>
      <w:r w:rsidRPr="00102D2A">
        <w:rPr>
          <w:rFonts w:ascii="Arial" w:hAnsi="Arial" w:cs="Arial"/>
          <w:color w:val="000000"/>
          <w:sz w:val="20"/>
        </w:rPr>
        <w:lastRenderedPageBreak/>
        <w:t>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05E4AC0E"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w:t>
      </w:r>
      <w:r w:rsidR="00A557FB">
        <w:rPr>
          <w:rFonts w:ascii="Arial" w:hAnsi="Arial" w:cs="Arial"/>
          <w:color w:val="000000"/>
          <w:sz w:val="20"/>
        </w:rPr>
        <w:t xml:space="preserve"> </w:t>
      </w:r>
      <w:r w:rsidRPr="00D77DD1">
        <w:rPr>
          <w:rFonts w:ascii="Arial" w:hAnsi="Arial" w:cs="Arial"/>
          <w:color w:val="000000"/>
          <w:sz w:val="20"/>
        </w:rPr>
        <w:t>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 xml:space="preserve">[5] When the allegations are true, the sexual assaults which gave rise to them will be </w:t>
      </w:r>
      <w:r w:rsidRPr="00D77DD1">
        <w:rPr>
          <w:rFonts w:ascii="Arial" w:hAnsi="Arial" w:cs="Arial"/>
          <w:color w:val="000000"/>
          <w:sz w:val="20"/>
        </w:rPr>
        <w:lastRenderedPageBreak/>
        <w:t>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24" w:name="_11.15.1.1_Sexual_abuse"/>
      <w:bookmarkEnd w:id="1124"/>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lastRenderedPageBreak/>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lastRenderedPageBreak/>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lastRenderedPageBreak/>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lastRenderedPageBreak/>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lastRenderedPageBreak/>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eg, </w:t>
      </w:r>
      <w:r w:rsidRPr="008A4157">
        <w:rPr>
          <w:rFonts w:ascii="Arial" w:eastAsia="Book Antiqua" w:hAnsi="Arial" w:cs="Arial"/>
          <w:i/>
          <w:sz w:val="20"/>
        </w:rPr>
        <w:t>R v Ware</w:t>
      </w:r>
      <w:r w:rsidRPr="008A4157">
        <w:rPr>
          <w:rFonts w:ascii="Arial" w:hAnsi="Arial" w:cs="Arial"/>
          <w:sz w:val="20"/>
        </w:rPr>
        <w:t xml:space="preserve"> [1997] 1 VR 647, 653 (Hedigan AJA) and </w:t>
      </w:r>
      <w:r w:rsidRPr="008A4157">
        <w:rPr>
          <w:rFonts w:ascii="Arial" w:eastAsia="Book Antiqua" w:hAnsi="Arial" w:cs="Arial"/>
          <w:i/>
          <w:sz w:val="20"/>
        </w:rPr>
        <w:t>DPP v G</w:t>
      </w:r>
      <w:r w:rsidRPr="008A4157">
        <w:rPr>
          <w:rFonts w:ascii="Arial" w:hAnsi="Arial" w:cs="Arial"/>
          <w:sz w:val="20"/>
        </w:rPr>
        <w:t xml:space="preserve"> [2002] VSCA 6, [9]–[10] (Winneke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r w:rsidRPr="00F818A8">
        <w:rPr>
          <w:rFonts w:ascii="Arial" w:eastAsia="Book Antiqua" w:hAnsi="Arial" w:cs="Arial"/>
          <w:i/>
          <w:sz w:val="20"/>
        </w:rPr>
        <w:t>Dalgliesh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t>
      </w:r>
      <w:r w:rsidRPr="00D66137">
        <w:rPr>
          <w:rFonts w:ascii="Arial" w:hAnsi="Arial" w:cs="Arial"/>
          <w:sz w:val="20"/>
        </w:rPr>
        <w:lastRenderedPageBreak/>
        <w:t>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 xml:space="preserve">two counts of indecent assault on a female and three counts of carnal knowledge of a girl </w:t>
      </w:r>
      <w:r w:rsidR="00DD3B62">
        <w:rPr>
          <w:rFonts w:ascii="Arial" w:hAnsi="Arial" w:cs="Arial"/>
          <w:color w:val="000000"/>
          <w:sz w:val="20"/>
          <w:szCs w:val="20"/>
        </w:rPr>
        <w:lastRenderedPageBreak/>
        <w:t>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rsidP="00C61A37">
      <w:pPr>
        <w:pStyle w:val="ListParagraph"/>
        <w:numPr>
          <w:ilvl w:val="0"/>
          <w:numId w:val="127"/>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rsidP="00C61A37">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9A1AF0">
      <w:pPr>
        <w:pStyle w:val="Normal-Indent"/>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w:t>
      </w:r>
      <w:r w:rsidR="00BC3409" w:rsidRPr="008B441F">
        <w:rPr>
          <w:rFonts w:ascii="Arial" w:hAnsi="Arial" w:cs="Arial"/>
          <w:sz w:val="20"/>
        </w:rPr>
        <w:lastRenderedPageBreak/>
        <w:t>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Default="00145817" w:rsidP="007379A0">
      <w:pPr>
        <w:jc w:val="both"/>
        <w:rPr>
          <w:rFonts w:ascii="Arial" w:hAnsi="Arial" w:cs="Arial"/>
          <w:color w:val="000000"/>
          <w:sz w:val="20"/>
          <w:szCs w:val="20"/>
        </w:rPr>
      </w:pPr>
    </w:p>
    <w:p w14:paraId="4DA55703" w14:textId="0914DEFD" w:rsidR="00857CD3" w:rsidRDefault="00857CD3" w:rsidP="007379A0">
      <w:pPr>
        <w:jc w:val="both"/>
        <w:rPr>
          <w:rFonts w:ascii="Arial" w:hAnsi="Arial" w:cs="Arial"/>
          <w:color w:val="000000"/>
          <w:sz w:val="20"/>
          <w:szCs w:val="20"/>
        </w:rPr>
      </w:pPr>
      <w:r>
        <w:rPr>
          <w:rFonts w:ascii="Arial" w:hAnsi="Arial" w:cs="Arial"/>
          <w:color w:val="000000"/>
          <w:sz w:val="20"/>
          <w:szCs w:val="20"/>
        </w:rPr>
        <w:t xml:space="preserve">In </w:t>
      </w:r>
      <w:r w:rsidRPr="00857CD3">
        <w:rPr>
          <w:rFonts w:ascii="Arial" w:hAnsi="Arial" w:cs="Arial"/>
          <w:i/>
          <w:iCs/>
          <w:color w:val="000000"/>
          <w:sz w:val="20"/>
          <w:szCs w:val="20"/>
        </w:rPr>
        <w:t>Long (a pseudonym) v The King</w:t>
      </w:r>
      <w:r>
        <w:rPr>
          <w:rFonts w:ascii="Arial" w:hAnsi="Arial" w:cs="Arial"/>
          <w:color w:val="000000"/>
          <w:sz w:val="20"/>
          <w:szCs w:val="20"/>
        </w:rPr>
        <w:t xml:space="preserve"> [2025] VSCA 15 the 76 year old app</w:t>
      </w:r>
      <w:r w:rsidR="00365AB1">
        <w:rPr>
          <w:rFonts w:ascii="Arial" w:hAnsi="Arial" w:cs="Arial"/>
          <w:color w:val="000000"/>
          <w:sz w:val="20"/>
          <w:szCs w:val="20"/>
        </w:rPr>
        <w:t>lic</w:t>
      </w:r>
      <w:r>
        <w:rPr>
          <w:rFonts w:ascii="Arial" w:hAnsi="Arial" w:cs="Arial"/>
          <w:color w:val="000000"/>
          <w:sz w:val="20"/>
          <w:szCs w:val="20"/>
        </w:rPr>
        <w:t>ant – who was 74 years old at the time of offending – had pleaded guilty to two charges (one of which was a rolled-up charge) of sexual penetration of his biological granddaughter in the months prior to and following her 19</w:t>
      </w:r>
      <w:r w:rsidRPr="00857CD3">
        <w:rPr>
          <w:rFonts w:ascii="Arial" w:hAnsi="Arial" w:cs="Arial"/>
          <w:color w:val="000000"/>
          <w:sz w:val="20"/>
          <w:szCs w:val="20"/>
          <w:vertAlign w:val="superscript"/>
        </w:rPr>
        <w:t>th</w:t>
      </w:r>
      <w:r>
        <w:rPr>
          <w:rFonts w:ascii="Arial" w:hAnsi="Arial" w:cs="Arial"/>
          <w:color w:val="000000"/>
          <w:sz w:val="20"/>
          <w:szCs w:val="20"/>
        </w:rPr>
        <w:t xml:space="preserve"> birthday and was sentenced to TES IMP7y9m/5y7m.</w:t>
      </w:r>
      <w:r w:rsidR="00365AB1">
        <w:rPr>
          <w:rFonts w:ascii="Arial" w:hAnsi="Arial" w:cs="Arial"/>
          <w:color w:val="000000"/>
          <w:sz w:val="20"/>
          <w:szCs w:val="20"/>
        </w:rPr>
        <w:t xml:space="preserve"> The offending had led to a terminated pregnancy</w:t>
      </w:r>
      <w:r w:rsidR="00726BA9">
        <w:rPr>
          <w:rFonts w:ascii="Arial" w:hAnsi="Arial" w:cs="Arial"/>
          <w:color w:val="000000"/>
          <w:sz w:val="20"/>
          <w:szCs w:val="20"/>
        </w:rPr>
        <w:t xml:space="preserve"> which her Honour described at [50] as “an </w:t>
      </w:r>
      <w:r w:rsidR="00726BA9" w:rsidRPr="00726BA9">
        <w:rPr>
          <w:rFonts w:ascii="Arial" w:hAnsi="Arial" w:cs="Arial"/>
          <w:color w:val="000000"/>
          <w:sz w:val="20"/>
          <w:szCs w:val="20"/>
        </w:rPr>
        <w:t>extremely aggravating feature of the offending</w:t>
      </w:r>
      <w:r w:rsidR="00726BA9">
        <w:rPr>
          <w:rFonts w:ascii="Arial" w:hAnsi="Arial" w:cs="Arial"/>
          <w:color w:val="000000"/>
          <w:sz w:val="20"/>
          <w:szCs w:val="20"/>
        </w:rPr>
        <w:t xml:space="preserve">”. </w:t>
      </w:r>
      <w:r w:rsidR="00365AB1">
        <w:rPr>
          <w:rFonts w:ascii="Arial" w:hAnsi="Arial" w:cs="Arial"/>
          <w:color w:val="000000"/>
          <w:sz w:val="20"/>
          <w:szCs w:val="20"/>
        </w:rPr>
        <w:t>The applicant had previously offended against his granddaughter when she was a child and had received a short term of imprisonment. In refusing leave to appeal Orr JA held that the sentence was neither ‘crushing’ due to the applicant’s age and ill health nor was manifestly excessive but was justified in the circumstances. At [60]-[61] her Honour said:</w:t>
      </w:r>
    </w:p>
    <w:p w14:paraId="772E8043" w14:textId="088941E0" w:rsidR="00365AB1" w:rsidRDefault="00365AB1" w:rsidP="00365AB1">
      <w:pPr>
        <w:pStyle w:val="Normal-Indent"/>
        <w:spacing w:before="60" w:line="240" w:lineRule="auto"/>
        <w:ind w:left="567" w:right="567"/>
        <w:rPr>
          <w:rFonts w:ascii="Arial" w:hAnsi="Arial" w:cs="Arial"/>
          <w:color w:val="000000"/>
          <w:sz w:val="20"/>
        </w:rPr>
      </w:pPr>
      <w:r>
        <w:rPr>
          <w:rFonts w:ascii="Arial" w:hAnsi="Arial" w:cs="Arial"/>
          <w:sz w:val="20"/>
        </w:rPr>
        <w:t>[60] “</w:t>
      </w:r>
      <w:r w:rsidR="00857CD3" w:rsidRPr="00857CD3">
        <w:rPr>
          <w:rFonts w:ascii="Arial" w:hAnsi="Arial" w:cs="Arial"/>
          <w:color w:val="000000"/>
          <w:sz w:val="20"/>
        </w:rPr>
        <w:t>Finally, while considerable care must be taken in relying on statistics that do not differentiate between specific features of either offending or offenders</w:t>
      </w:r>
      <w:r>
        <w:rPr>
          <w:rFonts w:ascii="Arial" w:hAnsi="Arial" w:cs="Arial"/>
          <w:color w:val="000000"/>
          <w:sz w:val="20"/>
        </w:rPr>
        <w:t xml:space="preserve"> (</w:t>
      </w:r>
      <w:r w:rsidRPr="00365AB1">
        <w:rPr>
          <w:rFonts w:ascii="Arial" w:hAnsi="Arial" w:cs="Arial"/>
          <w:i/>
          <w:iCs/>
          <w:color w:val="000000"/>
          <w:sz w:val="20"/>
        </w:rPr>
        <w:t>DPP v Currie</w:t>
      </w:r>
      <w:r w:rsidRPr="00857CD3">
        <w:rPr>
          <w:rFonts w:ascii="Arial" w:hAnsi="Arial" w:cs="Arial"/>
          <w:color w:val="000000"/>
          <w:sz w:val="20"/>
        </w:rPr>
        <w:t xml:space="preserve"> [2021] VSCA 272, [130]</w:t>
      </w:r>
      <w:r>
        <w:rPr>
          <w:rFonts w:ascii="Arial" w:hAnsi="Arial" w:cs="Arial"/>
          <w:color w:val="000000"/>
          <w:sz w:val="20"/>
        </w:rPr>
        <w:t>)</w:t>
      </w:r>
      <w:r w:rsidR="00857CD3" w:rsidRPr="00857CD3">
        <w:rPr>
          <w:rFonts w:ascii="Arial" w:hAnsi="Arial" w:cs="Arial"/>
          <w:color w:val="000000"/>
          <w:sz w:val="20"/>
        </w:rPr>
        <w:t xml:space="preserve">, I note that the most recent sentencing snapshot published by the Sentencing Advisory Council indicates that between 2017–18 to 2021–22, the average term of imprisonment imposed for a charge of incest </w:t>
      </w:r>
      <w:r>
        <w:rPr>
          <w:rFonts w:ascii="Arial" w:hAnsi="Arial" w:cs="Arial"/>
          <w:color w:val="000000"/>
          <w:sz w:val="20"/>
        </w:rPr>
        <w:t xml:space="preserve">(defined for the purposes of the snapshot as </w:t>
      </w:r>
      <w:r w:rsidRPr="00365AB1">
        <w:rPr>
          <w:rFonts w:ascii="Arial" w:hAnsi="Arial" w:cs="Arial"/>
          <w:color w:val="000000"/>
          <w:sz w:val="20"/>
        </w:rPr>
        <w:t>encompassing a number of different offences, including the offence in s</w:t>
      </w:r>
      <w:r>
        <w:rPr>
          <w:rFonts w:ascii="Arial" w:hAnsi="Arial" w:cs="Arial"/>
          <w:color w:val="000000"/>
          <w:sz w:val="20"/>
        </w:rPr>
        <w:t> </w:t>
      </w:r>
      <w:r w:rsidRPr="00365AB1">
        <w:rPr>
          <w:rFonts w:ascii="Arial" w:hAnsi="Arial" w:cs="Arial"/>
          <w:color w:val="000000"/>
          <w:sz w:val="20"/>
        </w:rPr>
        <w:t xml:space="preserve">50C(1) of the </w:t>
      </w:r>
      <w:r w:rsidRPr="00365AB1">
        <w:rPr>
          <w:rFonts w:ascii="Arial" w:hAnsi="Arial" w:cs="Arial"/>
          <w:i/>
          <w:iCs/>
          <w:color w:val="000000"/>
          <w:sz w:val="20"/>
        </w:rPr>
        <w:t>Crimes Act 1958</w:t>
      </w:r>
      <w:r w:rsidRPr="00365AB1">
        <w:rPr>
          <w:rFonts w:ascii="Arial" w:hAnsi="Arial" w:cs="Arial"/>
          <w:color w:val="000000"/>
          <w:sz w:val="20"/>
        </w:rPr>
        <w:t>, of which the applicant was convicted</w:t>
      </w:r>
      <w:r>
        <w:rPr>
          <w:rFonts w:ascii="Arial" w:hAnsi="Arial" w:cs="Arial"/>
          <w:color w:val="000000"/>
          <w:sz w:val="20"/>
        </w:rPr>
        <w:t>)</w:t>
      </w:r>
      <w:r w:rsidR="00857CD3" w:rsidRPr="00857CD3">
        <w:rPr>
          <w:rFonts w:ascii="Arial" w:hAnsi="Arial" w:cs="Arial"/>
          <w:color w:val="000000"/>
          <w:sz w:val="20"/>
        </w:rPr>
        <w:t xml:space="preserve"> was 6 years and 7</w:t>
      </w:r>
      <w:r>
        <w:rPr>
          <w:rFonts w:ascii="Arial" w:hAnsi="Arial" w:cs="Arial"/>
          <w:color w:val="000000"/>
          <w:sz w:val="20"/>
        </w:rPr>
        <w:t> </w:t>
      </w:r>
      <w:r w:rsidR="00857CD3" w:rsidRPr="00857CD3">
        <w:rPr>
          <w:rFonts w:ascii="Arial" w:hAnsi="Arial" w:cs="Arial"/>
          <w:color w:val="000000"/>
          <w:sz w:val="20"/>
        </w:rPr>
        <w:t>months, the median term of imprisonment was 6 years, and the most common term of imprisonment was between 6 and 7 years. As for total effective sentences, the median term was 9 years, and the most common term was between 9 and 10 years</w:t>
      </w:r>
      <w:r>
        <w:rPr>
          <w:rFonts w:ascii="Arial" w:hAnsi="Arial" w:cs="Arial"/>
          <w:color w:val="000000"/>
          <w:sz w:val="20"/>
        </w:rPr>
        <w:t xml:space="preserve">: </w:t>
      </w:r>
      <w:r w:rsidR="005B2599" w:rsidRPr="00365AB1">
        <w:rPr>
          <w:rFonts w:ascii="Arial" w:hAnsi="Arial" w:cs="Arial"/>
          <w:color w:val="000000"/>
          <w:sz w:val="20"/>
        </w:rPr>
        <w:t xml:space="preserve">Sentencing </w:t>
      </w:r>
      <w:r w:rsidR="005B2599" w:rsidRPr="00365AB1">
        <w:rPr>
          <w:rFonts w:ascii="Arial" w:hAnsi="Arial" w:cs="Arial"/>
          <w:color w:val="000000"/>
          <w:sz w:val="20"/>
        </w:rPr>
        <w:lastRenderedPageBreak/>
        <w:t xml:space="preserve">Advisory Council, </w:t>
      </w:r>
      <w:r w:rsidR="005B2599" w:rsidRPr="005B2599">
        <w:rPr>
          <w:rFonts w:ascii="Arial" w:hAnsi="Arial" w:cs="Arial"/>
          <w:i/>
          <w:iCs/>
          <w:color w:val="000000"/>
          <w:sz w:val="20"/>
        </w:rPr>
        <w:t>Sentencing Trends for Incest in the Higher Courts of Victoria 2017–18 to 2021–22</w:t>
      </w:r>
      <w:r w:rsidR="005B2599" w:rsidRPr="00365AB1">
        <w:rPr>
          <w:rFonts w:ascii="Arial" w:hAnsi="Arial" w:cs="Arial"/>
          <w:color w:val="000000"/>
          <w:sz w:val="20"/>
        </w:rPr>
        <w:t xml:space="preserve"> (Snapshot No 284, September 2023) 3–4.</w:t>
      </w:r>
    </w:p>
    <w:p w14:paraId="5E5F0499" w14:textId="2AC78676" w:rsidR="00857CD3" w:rsidRPr="00365AB1" w:rsidRDefault="00365AB1" w:rsidP="00365AB1">
      <w:pPr>
        <w:pStyle w:val="Normal-Indent"/>
        <w:spacing w:before="60" w:line="240" w:lineRule="auto"/>
        <w:ind w:left="567" w:right="567"/>
        <w:rPr>
          <w:rFonts w:ascii="Arial" w:hAnsi="Arial" w:cs="Arial"/>
          <w:sz w:val="20"/>
        </w:rPr>
      </w:pPr>
      <w:r>
        <w:rPr>
          <w:rFonts w:ascii="Arial" w:hAnsi="Arial" w:cs="Arial"/>
          <w:sz w:val="20"/>
        </w:rPr>
        <w:t>[</w:t>
      </w:r>
      <w:r w:rsidR="00857CD3" w:rsidRPr="00857CD3">
        <w:rPr>
          <w:rFonts w:ascii="Arial" w:hAnsi="Arial" w:cs="Arial"/>
          <w:color w:val="000000"/>
          <w:sz w:val="20"/>
        </w:rPr>
        <w:t>61</w:t>
      </w:r>
      <w:r>
        <w:rPr>
          <w:rFonts w:ascii="Arial" w:hAnsi="Arial" w:cs="Arial"/>
          <w:color w:val="000000"/>
          <w:sz w:val="20"/>
        </w:rPr>
        <w:t>]</w:t>
      </w:r>
      <w:r w:rsidR="00857CD3" w:rsidRPr="00857CD3">
        <w:rPr>
          <w:rFonts w:ascii="Arial" w:hAnsi="Arial" w:cs="Arial"/>
          <w:color w:val="000000"/>
          <w:sz w:val="20"/>
        </w:rPr>
        <w:t xml:space="preserve"> When regard is had to the particular circumstances of this case, including the matters to which I have referred in [59] above, these statistics tend to confirm that the sentences imposed of 6 years and 6 months’ imprisonment on charge 1, 4 years’ imprisonment on charge 2, and the total effective sentence of 7 years and 9 months’ imprisonment, were within the range of sentences available to the judge.</w:t>
      </w:r>
      <w:r>
        <w:rPr>
          <w:rFonts w:ascii="Arial" w:hAnsi="Arial" w:cs="Arial"/>
          <w:color w:val="000000"/>
          <w:sz w:val="20"/>
        </w:rPr>
        <w:t>”</w:t>
      </w:r>
    </w:p>
    <w:p w14:paraId="55D6B97A" w14:textId="77777777" w:rsidR="00365AB1" w:rsidRPr="00F25AFE" w:rsidRDefault="00365AB1" w:rsidP="007379A0">
      <w:pPr>
        <w:jc w:val="both"/>
        <w:rPr>
          <w:rFonts w:ascii="Arial" w:hAnsi="Arial" w:cs="Arial"/>
          <w:color w:val="000000"/>
          <w:sz w:val="20"/>
          <w:szCs w:val="20"/>
        </w:rPr>
      </w:pPr>
    </w:p>
    <w:p w14:paraId="512289C9" w14:textId="3051289B" w:rsidR="00EC68C3" w:rsidRDefault="007379A0" w:rsidP="005B2599">
      <w:pPr>
        <w:spacing w:after="120"/>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[2008] VSCA 140 esp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CD2CB6" w14:textId="77777777" w:rsidR="00471F41" w:rsidRDefault="00471F41"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6566302E"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1C533E70"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3A388375"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19381AC0" w14:textId="65C180A3" w:rsidR="005B2599" w:rsidRPr="005B2599" w:rsidRDefault="005B2599" w:rsidP="005B259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tc>
        <w:tc>
          <w:tcPr>
            <w:tcW w:w="4530" w:type="dxa"/>
          </w:tcPr>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lastRenderedPageBreak/>
              <w:t>Carr (a pseudonym) v The Queen</w:t>
            </w:r>
            <w:r w:rsidRPr="00EC68C3">
              <w:rPr>
                <w:rFonts w:ascii="Arial" w:hAnsi="Arial" w:cs="Arial"/>
                <w:color w:val="000000"/>
                <w:sz w:val="20"/>
              </w:rPr>
              <w:t xml:space="preserve"> [2021] VSCA 130</w:t>
            </w:r>
          </w:p>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DPP v Tullipan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145817">
            <w:pPr>
              <w:pStyle w:val="ListParagraph"/>
              <w:keepNext/>
              <w:keepLines/>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rsidP="00BA07AA">
            <w:pPr>
              <w:pStyle w:val="ListParagraph"/>
              <w:numPr>
                <w:ilvl w:val="0"/>
                <w:numId w:val="85"/>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rsidP="00084AF2">
            <w:pPr>
              <w:pStyle w:val="ListParagraph"/>
              <w:numPr>
                <w:ilvl w:val="0"/>
                <w:numId w:val="85"/>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rsidP="00084AF2">
            <w:pPr>
              <w:pStyle w:val="ListParagraph"/>
              <w:numPr>
                <w:ilvl w:val="0"/>
                <w:numId w:val="85"/>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rsidP="00084AF2">
            <w:pPr>
              <w:pStyle w:val="ListParagraph"/>
              <w:numPr>
                <w:ilvl w:val="0"/>
                <w:numId w:val="85"/>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rsidP="00084AF2">
            <w:pPr>
              <w:pStyle w:val="ListParagraph"/>
              <w:numPr>
                <w:ilvl w:val="0"/>
                <w:numId w:val="85"/>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rsidP="00084AF2">
            <w:pPr>
              <w:pStyle w:val="ListParagraph"/>
              <w:numPr>
                <w:ilvl w:val="0"/>
                <w:numId w:val="85"/>
              </w:numPr>
              <w:ind w:left="357" w:hanging="357"/>
              <w:jc w:val="both"/>
              <w:rPr>
                <w:rFonts w:ascii="Arial" w:hAnsi="Arial" w:cs="Arial"/>
                <w:color w:val="000000"/>
                <w:sz w:val="20"/>
                <w:szCs w:val="20"/>
              </w:rPr>
            </w:pPr>
            <w:bookmarkStart w:id="1125" w:name="_Hlk164234123"/>
            <w:r>
              <w:rPr>
                <w:rFonts w:ascii="Arial" w:hAnsi="Arial" w:cs="Arial"/>
                <w:i/>
                <w:iCs/>
                <w:color w:val="000000"/>
                <w:sz w:val="20"/>
                <w:szCs w:val="20"/>
              </w:rPr>
              <w:t>DPP v Sutcliffe (a pseudonym)</w:t>
            </w:r>
            <w:r w:rsidRPr="00471F41">
              <w:rPr>
                <w:rFonts w:ascii="Arial" w:hAnsi="Arial" w:cs="Arial"/>
                <w:color w:val="000000"/>
                <w:sz w:val="20"/>
                <w:szCs w:val="20"/>
              </w:rPr>
              <w:t xml:space="preserve"> [2024] VSCA 63</w:t>
            </w:r>
            <w:bookmarkEnd w:id="1125"/>
          </w:p>
          <w:p w14:paraId="01FA68A7" w14:textId="77777777" w:rsidR="001F1FBE" w:rsidRPr="00BF7DCA" w:rsidRDefault="001F1FBE"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rsidP="00084AF2">
            <w:pPr>
              <w:pStyle w:val="ListParagraph"/>
              <w:numPr>
                <w:ilvl w:val="0"/>
                <w:numId w:val="85"/>
              </w:numPr>
              <w:ind w:left="357" w:hanging="357"/>
              <w:jc w:val="both"/>
              <w:rPr>
                <w:rFonts w:ascii="Arial" w:hAnsi="Arial" w:cs="Arial"/>
                <w:color w:val="000000"/>
                <w:sz w:val="20"/>
                <w:szCs w:val="20"/>
              </w:rPr>
            </w:pPr>
            <w:r w:rsidRPr="00935D47">
              <w:rPr>
                <w:rFonts w:ascii="Arial" w:hAnsi="Arial" w:cs="Arial"/>
                <w:i/>
                <w:iCs/>
                <w:color w:val="000000"/>
                <w:sz w:val="20"/>
              </w:rPr>
              <w:t>Lefoe v The King</w:t>
            </w:r>
            <w:r>
              <w:rPr>
                <w:rFonts w:ascii="Arial" w:hAnsi="Arial" w:cs="Arial"/>
                <w:color w:val="000000"/>
                <w:sz w:val="20"/>
              </w:rPr>
              <w:t xml:space="preserve"> [2024] VSCA 131</w:t>
            </w:r>
          </w:p>
          <w:p w14:paraId="1C1EE8D3" w14:textId="77777777" w:rsidR="005615DF" w:rsidRPr="008B7B04" w:rsidRDefault="005615DF" w:rsidP="00084AF2">
            <w:pPr>
              <w:pStyle w:val="ListParagraph"/>
              <w:numPr>
                <w:ilvl w:val="0"/>
                <w:numId w:val="85"/>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rsidP="00084AF2">
            <w:pPr>
              <w:pStyle w:val="ListParagraph"/>
              <w:numPr>
                <w:ilvl w:val="0"/>
                <w:numId w:val="85"/>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rsidP="00084AF2">
            <w:pPr>
              <w:pStyle w:val="ListParagraph"/>
              <w:numPr>
                <w:ilvl w:val="0"/>
                <w:numId w:val="85"/>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3579F9C8" w14:textId="77777777" w:rsidR="00E03779" w:rsidRPr="00BF7ACF" w:rsidRDefault="006A7920" w:rsidP="00E03779">
            <w:pPr>
              <w:pStyle w:val="ListParagraph"/>
              <w:numPr>
                <w:ilvl w:val="0"/>
                <w:numId w:val="85"/>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p w14:paraId="2E4BD5AF" w14:textId="77777777" w:rsidR="00BF7ACF" w:rsidRPr="00422912" w:rsidRDefault="00BF7ACF" w:rsidP="00E03779">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Lombard (a pseudonym) v the King </w:t>
            </w:r>
            <w:r w:rsidRPr="00BF7ACF">
              <w:rPr>
                <w:rFonts w:ascii="Arial" w:hAnsi="Arial" w:cs="Arial"/>
                <w:sz w:val="20"/>
                <w:szCs w:val="20"/>
              </w:rPr>
              <w:t>[2025] VSCA 51.</w:t>
            </w:r>
          </w:p>
          <w:p w14:paraId="1866F26D" w14:textId="27F88EF3" w:rsidR="00863362" w:rsidRPr="00863362" w:rsidRDefault="00422912" w:rsidP="00863362">
            <w:pPr>
              <w:pStyle w:val="ListParagraph"/>
              <w:numPr>
                <w:ilvl w:val="0"/>
                <w:numId w:val="85"/>
              </w:numPr>
              <w:ind w:left="357" w:hanging="357"/>
              <w:jc w:val="both"/>
              <w:rPr>
                <w:rFonts w:ascii="Arial" w:hAnsi="Arial" w:cs="Arial"/>
                <w:color w:val="000000"/>
                <w:sz w:val="20"/>
                <w:szCs w:val="20"/>
              </w:rPr>
            </w:pPr>
            <w:r w:rsidRPr="00FE30B0">
              <w:rPr>
                <w:rFonts w:ascii="Arial" w:hAnsi="Arial" w:cs="Arial"/>
                <w:i/>
                <w:iCs/>
                <w:color w:val="000000"/>
                <w:sz w:val="20"/>
              </w:rPr>
              <w:t>Whitecroft (a pseudonym) v The King</w:t>
            </w:r>
            <w:r>
              <w:rPr>
                <w:rFonts w:ascii="Arial" w:hAnsi="Arial" w:cs="Arial"/>
                <w:color w:val="000000"/>
                <w:sz w:val="20"/>
              </w:rPr>
              <w:t xml:space="preserve"> [2025] VSCA 143 [see summary in </w:t>
            </w:r>
            <w:r w:rsidRPr="00422912">
              <w:rPr>
                <w:rFonts w:ascii="Arial" w:hAnsi="Arial" w:cs="Arial"/>
                <w:b/>
                <w:bCs/>
                <w:color w:val="000000"/>
                <w:sz w:val="20"/>
                <w:shd w:val="clear" w:color="auto" w:fill="C5E0B3" w:themeFill="accent6" w:themeFillTint="66"/>
              </w:rPr>
              <w:t>subsection 11.1.2.1</w:t>
            </w:r>
            <w:r>
              <w:rPr>
                <w:rFonts w:ascii="Arial" w:hAnsi="Arial" w:cs="Arial"/>
                <w:color w:val="000000"/>
                <w:sz w:val="20"/>
              </w:rPr>
              <w:t>].</w:t>
            </w:r>
          </w:p>
        </w:tc>
      </w:tr>
    </w:tbl>
    <w:p w14:paraId="6EAD0A96" w14:textId="235648DC" w:rsidR="00857CD3" w:rsidRPr="009F607D" w:rsidRDefault="00863362" w:rsidP="00857CD3">
      <w:pPr>
        <w:jc w:val="both"/>
        <w:rPr>
          <w:rFonts w:ascii="Arial" w:hAnsi="Arial" w:cs="Arial"/>
          <w:color w:val="000000"/>
          <w:sz w:val="20"/>
          <w:szCs w:val="22"/>
        </w:rPr>
      </w:pPr>
      <w:r w:rsidRPr="00863362">
        <w:rPr>
          <w:rFonts w:ascii="Arial" w:hAnsi="Arial" w:cs="Arial"/>
          <w:color w:val="000000"/>
          <w:sz w:val="20"/>
          <w:szCs w:val="22"/>
        </w:rPr>
        <w:t>DIRECTOR OF PUBLIC PROSECUTIONS Appellant v RYAN BARTON (A PSEUDONYM)1 Respondent --- JUDGES: PRIEST, BEACH and TAYLOR JJA WHERE HELD: Melbourne DATE OF HEARING: 25 August 2025 DATE OF JUDGMENT: 28 August 2025 MEDIUM NEUTRAL CITATION: [2025] VSCA 202 JUDGMENT APPEALED FROM: [2024] VCC 1402 (Judge Gucciardo)</w:t>
      </w:r>
    </w:p>
    <w:p w14:paraId="7F7C0BC2" w14:textId="77777777" w:rsidR="00857CD3" w:rsidRPr="001E6BE9" w:rsidRDefault="00857CD3" w:rsidP="00857CD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4DC07A3" w14:textId="77777777" w:rsidR="00857CD3" w:rsidRPr="001C6E0E" w:rsidRDefault="00857CD3" w:rsidP="00857CD3">
      <w:pPr>
        <w:rPr>
          <w:rFonts w:ascii="Arial" w:hAnsi="Arial" w:cs="Arial"/>
          <w:color w:val="000000"/>
          <w:sz w:val="20"/>
        </w:rPr>
      </w:pPr>
    </w:p>
    <w:p w14:paraId="3A27D7C6" w14:textId="3E289072"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B43D0F">
      <w:pPr>
        <w:ind w:left="1134" w:right="1134"/>
        <w:jc w:val="both"/>
        <w:rPr>
          <w:rFonts w:ascii="Arial" w:hAnsi="Arial" w:cs="Arial"/>
          <w:color w:val="000000"/>
          <w:sz w:val="20"/>
        </w:rPr>
      </w:pPr>
      <w:r w:rsidRPr="00102D2A">
        <w:rPr>
          <w:rFonts w:ascii="Arial" w:hAnsi="Arial" w:cs="Arial"/>
          <w:color w:val="000000"/>
          <w:sz w:val="20"/>
        </w:rPr>
        <w:t xml:space="preserve">‘This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w:t>
      </w:r>
      <w:r w:rsidRPr="00102D2A">
        <w:rPr>
          <w:rFonts w:ascii="Arial" w:hAnsi="Arial" w:cs="Arial"/>
          <w:color w:val="000000"/>
          <w:sz w:val="20"/>
        </w:rPr>
        <w:lastRenderedPageBreak/>
        <w:t>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“[M]uch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lastRenderedPageBreak/>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Gugliucciello v The King </w:t>
      </w:r>
      <w:r w:rsidRPr="0062224E">
        <w:rPr>
          <w:rFonts w:ascii="Arial" w:hAnsi="Arial" w:cs="Arial"/>
          <w:color w:val="000000"/>
          <w:sz w:val="20"/>
          <w:szCs w:val="20"/>
        </w:rPr>
        <w:t>[2023] VSCA 247.</w:t>
      </w:r>
    </w:p>
    <w:p w14:paraId="45E2E1A2" w14:textId="46BFCA08" w:rsidR="00371C1C" w:rsidRPr="00863362" w:rsidRDefault="00371C1C"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1EA83E1E" w14:textId="3763D9B8" w:rsidR="00863362" w:rsidRPr="0062224E" w:rsidRDefault="0086336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rPr>
        <w:t xml:space="preserve">DPP v Barton (a pseudonym) </w:t>
      </w:r>
      <w:r w:rsidRPr="00863362">
        <w:rPr>
          <w:rFonts w:ascii="Arial" w:hAnsi="Arial" w:cs="Arial"/>
          <w:color w:val="000000"/>
          <w:sz w:val="20"/>
        </w:rPr>
        <w:t>[2025] VSCA 202.</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26" w:name="_11.15.2_Use_of"/>
      <w:bookmarkEnd w:id="1126"/>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place">
        <w:smartTag w:uri="urn:schemas-microsoft-com:office:smarttags" w:element="Stat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State">
        <w:smartTag w:uri="urn:schemas-microsoft-com:office:smarttags" w:element="plac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w:t>
      </w:r>
      <w:r w:rsidR="00D43B79" w:rsidRPr="00102D2A">
        <w:rPr>
          <w:rFonts w:ascii="Arial" w:hAnsi="Arial" w:cs="Arial"/>
          <w:color w:val="000000"/>
          <w:sz w:val="20"/>
        </w:rPr>
        <w:lastRenderedPageBreak/>
        <w:t>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w:t>
      </w:r>
      <w:r w:rsidRPr="00C976DC">
        <w:rPr>
          <w:rFonts w:ascii="Arial" w:hAnsi="Arial" w:cs="Arial"/>
          <w:sz w:val="20"/>
          <w:szCs w:val="20"/>
        </w:rPr>
        <w:lastRenderedPageBreak/>
        <w:t>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27" w:name="_11.15.3_Possession/production/trans"/>
      <w:bookmarkEnd w:id="1127"/>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lastRenderedPageBreak/>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country-region">
        <w:smartTag w:uri="urn:schemas-microsoft-com:office:smarttags" w:element="place">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lastRenderedPageBreak/>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957960">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 xml:space="preserve">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w:t>
      </w:r>
      <w:r w:rsidRPr="00102D2A">
        <w:rPr>
          <w:rFonts w:ascii="Arial" w:hAnsi="Arial" w:cs="Arial"/>
          <w:color w:val="000000"/>
          <w:sz w:val="20"/>
        </w:rPr>
        <w:lastRenderedPageBreak/>
        <w:t>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16AAC(3) of the Crimes Act. However, the exceptional subjective circumstances of the applicant’s case, in combination with the reductions the applicant is entitled to in accordance with </w:t>
      </w:r>
      <w:r w:rsidR="009F050C" w:rsidRPr="009F050C">
        <w:rPr>
          <w:rFonts w:ascii="Arial" w:hAnsi="Arial" w:cs="Arial"/>
          <w:sz w:val="20"/>
        </w:rPr>
        <w:lastRenderedPageBreak/>
        <w:t>s</w:t>
      </w:r>
      <w:r w:rsidR="00346CB0">
        <w:rPr>
          <w:rFonts w:ascii="Arial" w:hAnsi="Arial" w:cs="Arial"/>
          <w:sz w:val="20"/>
        </w:rPr>
        <w:t>.</w:t>
      </w:r>
      <w:r w:rsidR="009F050C" w:rsidRPr="009F050C">
        <w:rPr>
          <w:rFonts w:ascii="Arial" w:hAnsi="Arial" w:cs="Arial"/>
          <w:sz w:val="20"/>
        </w:rPr>
        <w:t>16AAC(3),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(Cth)</w:t>
      </w:r>
      <w:r w:rsidRPr="00F72BDA">
        <w:rPr>
          <w:rFonts w:ascii="Arial" w:hAnsi="Arial" w:cs="Arial"/>
          <w:color w:val="000000"/>
          <w:sz w:val="20"/>
          <w:szCs w:val="20"/>
        </w:rPr>
        <w:t xml:space="preserve">, and one charge of possession or control of child abuse material obtained or accessed using a carriage service, contrary to s 474.22A(1) of the </w:t>
      </w:r>
      <w:r w:rsidRPr="00F72BDA">
        <w:rPr>
          <w:rFonts w:ascii="Arial" w:hAnsi="Arial" w:cs="Arial"/>
          <w:i/>
          <w:iCs/>
          <w:color w:val="000000"/>
          <w:sz w:val="20"/>
          <w:szCs w:val="20"/>
        </w:rPr>
        <w:t>Criminal Code (Cth)</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[39]</w:t>
      </w:r>
      <w:r w:rsidR="00421952">
        <w:rPr>
          <w:rFonts w:ascii="Arial" w:hAnsi="Arial" w:cs="Arial"/>
          <w:color w:val="000000"/>
          <w:sz w:val="20"/>
          <w:szCs w:val="20"/>
        </w:rPr>
        <w:noBreakHyphen/>
      </w:r>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(Cth)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w:t>
      </w:r>
      <w:r w:rsidR="00F72BDA" w:rsidRPr="00F72BDA">
        <w:rPr>
          <w:rFonts w:ascii="Arial" w:hAnsi="Arial" w:cs="Arial"/>
          <w:color w:val="000000"/>
          <w:sz w:val="20"/>
        </w:rPr>
        <w:lastRenderedPageBreak/>
        <w:t>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r w:rsidRPr="00421952">
        <w:rPr>
          <w:rFonts w:ascii="Arial" w:hAnsi="Arial" w:cs="Arial"/>
          <w:i/>
          <w:iCs/>
          <w:color w:val="000000"/>
          <w:sz w:val="18"/>
          <w:szCs w:val="18"/>
        </w:rPr>
        <w:t>Mouscas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Default="007148B7" w:rsidP="00F15205">
      <w:pPr>
        <w:pStyle w:val="Normal-Indent"/>
        <w:spacing w:line="240" w:lineRule="auto"/>
        <w:ind w:left="0"/>
        <w:rPr>
          <w:rFonts w:ascii="Arial" w:hAnsi="Arial" w:cs="Arial"/>
          <w:color w:val="000000"/>
          <w:sz w:val="20"/>
        </w:rPr>
      </w:pPr>
    </w:p>
    <w:p w14:paraId="2A134E75" w14:textId="24F44EF8" w:rsidR="000F4831" w:rsidRDefault="00F15205" w:rsidP="00F15205">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F15205">
        <w:rPr>
          <w:rFonts w:ascii="Arial" w:hAnsi="Arial" w:cs="Arial"/>
          <w:i/>
          <w:iCs/>
          <w:color w:val="000000"/>
          <w:sz w:val="20"/>
        </w:rPr>
        <w:t>Cairncross v The King</w:t>
      </w:r>
      <w:r>
        <w:rPr>
          <w:rFonts w:ascii="Arial" w:hAnsi="Arial" w:cs="Arial"/>
          <w:color w:val="000000"/>
          <w:sz w:val="20"/>
        </w:rPr>
        <w:t xml:space="preserve"> [2025] VSCA 117 the applicant – who was aged 20 &amp; 21 at the time of the offending – had pleaded guilty to </w:t>
      </w:r>
      <w:r w:rsidRPr="00F15205">
        <w:rPr>
          <w:rFonts w:ascii="Arial" w:hAnsi="Arial" w:cs="Arial"/>
          <w:color w:val="000000"/>
          <w:sz w:val="20"/>
        </w:rPr>
        <w:t>nine charges involving possession, transmission and soliciting of child abuse material and two charges of using a carriage service to procure a person under 16 years for sexual activity.</w:t>
      </w:r>
      <w:r>
        <w:rPr>
          <w:rFonts w:ascii="Arial" w:hAnsi="Arial" w:cs="Arial"/>
          <w:color w:val="000000"/>
          <w:sz w:val="20"/>
        </w:rPr>
        <w:t xml:space="preserve"> Some of the victims were aged 16 or 17. The TES imposed was IMP3y10m/2y3m. In refusing leave to appeal – and holding that the sentences imposed did not offend the principle of totality – Taylor JA (with whom Priest &amp; Kidd JJA agreed) </w:t>
      </w:r>
      <w:r w:rsidR="000F4831">
        <w:rPr>
          <w:rFonts w:ascii="Arial" w:hAnsi="Arial" w:cs="Arial"/>
          <w:color w:val="000000"/>
          <w:sz w:val="20"/>
        </w:rPr>
        <w:t xml:space="preserve">discussed </w:t>
      </w:r>
      <w:r w:rsidR="000F4831" w:rsidRPr="000F4831">
        <w:rPr>
          <w:rFonts w:ascii="Arial" w:hAnsi="Arial" w:cs="Arial"/>
          <w:i/>
          <w:iCs/>
          <w:color w:val="000000"/>
          <w:sz w:val="20"/>
        </w:rPr>
        <w:t>Clarkson v The Queen</w:t>
      </w:r>
      <w:r w:rsidR="000F4831">
        <w:rPr>
          <w:rFonts w:ascii="Arial" w:hAnsi="Arial" w:cs="Arial"/>
          <w:color w:val="000000"/>
          <w:sz w:val="20"/>
        </w:rPr>
        <w:t xml:space="preserve"> (2011) 32 VR 361 at [54]-[57] and </w:t>
      </w:r>
      <w:r w:rsidR="000F4831" w:rsidRPr="000F4831">
        <w:rPr>
          <w:rFonts w:ascii="Arial" w:hAnsi="Arial" w:cs="Arial"/>
          <w:i/>
          <w:iCs/>
          <w:color w:val="000000"/>
          <w:sz w:val="20"/>
        </w:rPr>
        <w:t>Adamson v The Queen</w:t>
      </w:r>
      <w:r w:rsidR="000F4831">
        <w:rPr>
          <w:rFonts w:ascii="Arial" w:hAnsi="Arial" w:cs="Arial"/>
          <w:color w:val="000000"/>
          <w:sz w:val="20"/>
        </w:rPr>
        <w:t xml:space="preserve"> (2015) 47 VR 268; [2015] VSCA 194 at [58]</w:t>
      </w:r>
      <w:r w:rsidR="00A40AEE">
        <w:rPr>
          <w:rFonts w:ascii="Arial" w:hAnsi="Arial" w:cs="Arial"/>
          <w:color w:val="000000"/>
          <w:sz w:val="20"/>
        </w:rPr>
        <w:t xml:space="preserve"> &amp; [68]</w:t>
      </w:r>
      <w:r w:rsidR="000F4831">
        <w:rPr>
          <w:rFonts w:ascii="Arial" w:hAnsi="Arial" w:cs="Arial"/>
          <w:color w:val="000000"/>
          <w:sz w:val="20"/>
        </w:rPr>
        <w:t>-[</w:t>
      </w:r>
      <w:r w:rsidR="00A40AEE">
        <w:rPr>
          <w:rFonts w:ascii="Arial" w:hAnsi="Arial" w:cs="Arial"/>
          <w:color w:val="000000"/>
          <w:sz w:val="20"/>
        </w:rPr>
        <w:t>75</w:t>
      </w:r>
      <w:r w:rsidR="000F4831">
        <w:rPr>
          <w:rFonts w:ascii="Arial" w:hAnsi="Arial" w:cs="Arial"/>
          <w:color w:val="000000"/>
          <w:sz w:val="20"/>
        </w:rPr>
        <w:t>]</w:t>
      </w:r>
      <w:r w:rsidR="00A40AEE">
        <w:rPr>
          <w:rFonts w:ascii="Arial" w:hAnsi="Arial" w:cs="Arial"/>
          <w:color w:val="000000"/>
          <w:sz w:val="20"/>
        </w:rPr>
        <w:t xml:space="preserve"> and held that:</w:t>
      </w:r>
    </w:p>
    <w:p w14:paraId="0F73D223" w14:textId="15A4DFE5" w:rsidR="00F15205" w:rsidRDefault="00A40AEE" w:rsidP="00F15205">
      <w:pPr>
        <w:numPr>
          <w:ilvl w:val="0"/>
          <w:numId w:val="44"/>
        </w:numPr>
        <w:ind w:left="284" w:hanging="284"/>
        <w:jc w:val="both"/>
        <w:rPr>
          <w:rFonts w:ascii="Arial" w:hAnsi="Arial" w:cs="Arial"/>
          <w:color w:val="000000"/>
          <w:sz w:val="20"/>
        </w:rPr>
      </w:pPr>
      <w:r>
        <w:rPr>
          <w:rFonts w:ascii="Arial" w:hAnsi="Arial" w:cs="Arial"/>
          <w:color w:val="000000"/>
          <w:sz w:val="20"/>
        </w:rPr>
        <w:t>The presumption of harm with respect to child abuse material applies to children aged 17 years or under.</w:t>
      </w:r>
    </w:p>
    <w:p w14:paraId="11195811" w14:textId="79DA39FA" w:rsidR="00A40AEE" w:rsidRPr="00A40AEE" w:rsidRDefault="00A40AEE" w:rsidP="003E5C07">
      <w:pPr>
        <w:numPr>
          <w:ilvl w:val="0"/>
          <w:numId w:val="44"/>
        </w:numPr>
        <w:ind w:left="284" w:hanging="284"/>
        <w:jc w:val="both"/>
        <w:rPr>
          <w:rFonts w:ascii="Arial" w:hAnsi="Arial" w:cs="Arial"/>
          <w:color w:val="000000"/>
          <w:sz w:val="20"/>
        </w:rPr>
      </w:pPr>
      <w:r w:rsidRPr="00A40AEE">
        <w:rPr>
          <w:rFonts w:ascii="Arial" w:hAnsi="Arial" w:cs="Arial"/>
          <w:color w:val="000000"/>
          <w:sz w:val="20"/>
        </w:rPr>
        <w:t>Child abuse material offending involving children aged 16 or 17 years was not inherently less serious. However, objective gravity and moral culpability is to be assessed considering all relevant circumstances including the age of the victim</w:t>
      </w:r>
      <w:r>
        <w:rPr>
          <w:rFonts w:ascii="Arial" w:hAnsi="Arial" w:cs="Arial"/>
          <w:color w:val="000000"/>
          <w:sz w:val="20"/>
        </w:rPr>
        <w:t xml:space="preserve">, </w:t>
      </w:r>
      <w:r w:rsidR="00371DB0">
        <w:rPr>
          <w:rFonts w:ascii="Arial" w:hAnsi="Arial" w:cs="Arial"/>
          <w:color w:val="000000"/>
          <w:sz w:val="20"/>
        </w:rPr>
        <w:t xml:space="preserve">with </w:t>
      </w:r>
      <w:r>
        <w:rPr>
          <w:rFonts w:ascii="Arial" w:hAnsi="Arial" w:cs="Arial"/>
          <w:color w:val="000000"/>
          <w:sz w:val="20"/>
        </w:rPr>
        <w:t>her Honour noting at [75]:</w:t>
      </w:r>
    </w:p>
    <w:p w14:paraId="062276E1" w14:textId="3183F311" w:rsidR="00F15205" w:rsidRDefault="00A40AEE" w:rsidP="00A40AEE">
      <w:pPr>
        <w:pStyle w:val="Normal-Indent"/>
        <w:spacing w:before="60" w:line="240" w:lineRule="auto"/>
        <w:ind w:left="851" w:right="567"/>
        <w:rPr>
          <w:rFonts w:ascii="Arial" w:hAnsi="Arial" w:cs="Arial"/>
          <w:color w:val="000000"/>
          <w:sz w:val="20"/>
        </w:rPr>
      </w:pPr>
      <w:r>
        <w:rPr>
          <w:rFonts w:ascii="Arial" w:hAnsi="Arial" w:cs="Arial"/>
          <w:color w:val="000000"/>
          <w:sz w:val="20"/>
        </w:rPr>
        <w:t>“</w:t>
      </w:r>
      <w:r w:rsidRPr="00A40AEE">
        <w:rPr>
          <w:rFonts w:ascii="Arial" w:hAnsi="Arial" w:cs="Arial"/>
          <w:color w:val="000000"/>
          <w:sz w:val="20"/>
        </w:rPr>
        <w:t>It does not follow, however, that the age of the victim is irrelevant in formulating the sentence in any given case. As submitted by the respondent, a sentencing judge must analyse all the relevant circumstances. The significance of the age of the minor depicted in a child abuse material offence is to be determined in the context of all other factors. The point is easily illustrated. Offending involving a particularly graphic image of a 16-year-old engaged in an act of sexual penetration might be more serious than that involving an image of the breast area of an eight-year-old girl. Factors other than the characterisation of a particular image might bear upon that assessment, including the age of the offender, the method by which such images were solicited, the number of images involved, the length of time over which the offending occurred and the like. Each case will be fact specific.</w:t>
      </w:r>
      <w:r>
        <w:rPr>
          <w:rFonts w:ascii="Arial" w:hAnsi="Arial" w:cs="Arial"/>
          <w:color w:val="000000"/>
          <w:sz w:val="20"/>
        </w:rPr>
        <w:t>”</w:t>
      </w:r>
    </w:p>
    <w:p w14:paraId="299C24B1" w14:textId="77777777" w:rsidR="00F15205" w:rsidRPr="007148B7" w:rsidRDefault="00F15205" w:rsidP="00F15205">
      <w:pPr>
        <w:pStyle w:val="Normal-Indent"/>
        <w:spacing w:line="240" w:lineRule="auto"/>
        <w:ind w:left="0"/>
        <w:rPr>
          <w:rFonts w:ascii="Arial" w:hAnsi="Arial" w:cs="Arial"/>
          <w:color w:val="000000"/>
          <w:sz w:val="20"/>
        </w:rPr>
      </w:pPr>
    </w:p>
    <w:p w14:paraId="6A350CDF" w14:textId="7AEBDF57" w:rsidR="00DB40C5" w:rsidRPr="00102D2A" w:rsidRDefault="00DB40C5" w:rsidP="00BE3984">
      <w:pPr>
        <w:jc w:val="both"/>
        <w:rPr>
          <w:rFonts w:ascii="Arial" w:hAnsi="Arial" w:cs="Arial"/>
          <w:color w:val="000000"/>
          <w:sz w:val="20"/>
        </w:rPr>
      </w:pPr>
      <w:r w:rsidRPr="00102D2A">
        <w:rPr>
          <w:rFonts w:ascii="Arial" w:hAnsi="Arial" w:cs="Arial"/>
          <w:color w:val="000000"/>
          <w:sz w:val="20"/>
        </w:rPr>
        <w:lastRenderedPageBreak/>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BF7ACF">
        <w:rPr>
          <w:rFonts w:ascii="Arial" w:hAnsi="Arial" w:cs="Arial"/>
          <w:color w:val="000000"/>
          <w:sz w:val="20"/>
          <w:szCs w:val="20"/>
        </w:rPr>
        <w:t xml:space="preserve">; </w:t>
      </w:r>
      <w:r w:rsidR="00BF7ACF" w:rsidRPr="00BF7ACF">
        <w:rPr>
          <w:rFonts w:ascii="Arial" w:hAnsi="Arial" w:cs="Arial"/>
          <w:i/>
          <w:iCs/>
          <w:color w:val="000000"/>
          <w:sz w:val="20"/>
          <w:szCs w:val="20"/>
        </w:rPr>
        <w:t>Hulsman v The King</w:t>
      </w:r>
      <w:r w:rsidR="00BF7ACF">
        <w:rPr>
          <w:rFonts w:ascii="Arial" w:hAnsi="Arial" w:cs="Arial"/>
          <w:color w:val="000000"/>
          <w:sz w:val="20"/>
          <w:szCs w:val="20"/>
        </w:rPr>
        <w:t xml:space="preserve"> [2025] VSCA 63</w:t>
      </w:r>
      <w:r w:rsidR="004077FA">
        <w:rPr>
          <w:rFonts w:ascii="Arial" w:hAnsi="Arial" w:cs="Arial"/>
          <w:color w:val="000000"/>
          <w:sz w:val="20"/>
          <w:szCs w:val="20"/>
        </w:rPr>
        <w:t xml:space="preserve">; </w:t>
      </w:r>
      <w:r w:rsidR="004077FA" w:rsidRPr="004077FA">
        <w:rPr>
          <w:rFonts w:ascii="Arial" w:hAnsi="Arial" w:cs="Arial"/>
          <w:i/>
          <w:iCs/>
          <w:color w:val="000000"/>
          <w:sz w:val="20"/>
          <w:szCs w:val="20"/>
        </w:rPr>
        <w:t>Heels v The King</w:t>
      </w:r>
      <w:r w:rsidR="004077FA">
        <w:rPr>
          <w:rFonts w:ascii="Arial" w:hAnsi="Arial" w:cs="Arial"/>
          <w:color w:val="000000"/>
          <w:sz w:val="20"/>
          <w:szCs w:val="20"/>
        </w:rPr>
        <w:t xml:space="preserve"> [2024] VSCA 133 &amp; </w:t>
      </w:r>
      <w:r w:rsidR="004077FA" w:rsidRPr="004077FA">
        <w:rPr>
          <w:rFonts w:ascii="Arial" w:hAnsi="Arial" w:cs="Arial"/>
          <w:i/>
          <w:iCs/>
          <w:color w:val="000000"/>
          <w:sz w:val="20"/>
          <w:szCs w:val="20"/>
        </w:rPr>
        <w:t>Cullinan-Smayle v The King</w:t>
      </w:r>
      <w:r w:rsidR="004077FA">
        <w:rPr>
          <w:rFonts w:ascii="Arial" w:hAnsi="Arial" w:cs="Arial"/>
          <w:color w:val="000000"/>
          <w:sz w:val="20"/>
          <w:szCs w:val="20"/>
        </w:rPr>
        <w:t xml:space="preserve"> [2025] VSCA 109.</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28" w:name="_11.15.4_Other_sexual"/>
      <w:bookmarkEnd w:id="1128"/>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place">
        <w:smartTag w:uri="urn:schemas-microsoft-com:office:smarttags" w:element="City">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lastRenderedPageBreak/>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447F4847"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129"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30" w:name="_11.15.5_Relevance_of"/>
      <w:bookmarkEnd w:id="1129"/>
      <w:bookmarkEnd w:id="1130"/>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esp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8F257F">
        <w:rPr>
          <w:rFonts w:ascii="Arial" w:hAnsi="Arial" w:cs="Arial"/>
          <w:color w:val="000000"/>
          <w:sz w:val="20"/>
          <w:szCs w:val="20"/>
        </w:rPr>
        <w:t xml:space="preserve">; </w:t>
      </w:r>
      <w:r w:rsidR="008F257F" w:rsidRPr="008F257F">
        <w:rPr>
          <w:rFonts w:ascii="Arial" w:hAnsi="Arial" w:cs="Arial"/>
          <w:i/>
          <w:iCs/>
          <w:color w:val="000000"/>
          <w:sz w:val="20"/>
        </w:rPr>
        <w:t>Fisher (a pseudonym) v The King</w:t>
      </w:r>
      <w:r w:rsidR="008F257F">
        <w:rPr>
          <w:rFonts w:ascii="Arial" w:hAnsi="Arial" w:cs="Arial"/>
          <w:color w:val="000000"/>
          <w:sz w:val="20"/>
        </w:rPr>
        <w:t xml:space="preserve"> [2025] VSCA 131 at [22]-[29].</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lastRenderedPageBreak/>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State">
        <w:smartTag w:uri="urn:schemas-microsoft-com:office:smarttags" w:element="plac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w:t>
      </w:r>
      <w:r w:rsidR="007F7141" w:rsidRPr="00102D2A">
        <w:rPr>
          <w:rFonts w:ascii="Arial" w:hAnsi="Arial" w:cs="Arial"/>
          <w:color w:val="000000"/>
          <w:sz w:val="20"/>
        </w:rPr>
        <w:lastRenderedPageBreak/>
        <w:t xml:space="preserve">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31" w:name="_11.15.6_Physical_abuse"/>
      <w:bookmarkEnd w:id="1131"/>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w:t>
      </w:r>
      <w:r w:rsidR="0079565B" w:rsidRPr="0079565B">
        <w:rPr>
          <w:rFonts w:ascii="Arial" w:hAnsi="Arial" w:cs="Arial"/>
          <w:sz w:val="20"/>
          <w:szCs w:val="20"/>
        </w:rPr>
        <w:lastRenderedPageBreak/>
        <w:t xml:space="preserve">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r w:rsidR="00B821AD" w:rsidRPr="003619C4">
        <w:rPr>
          <w:rFonts w:ascii="Arial" w:hAnsi="Arial" w:cs="Arial"/>
          <w:i/>
          <w:iCs/>
          <w:color w:val="000000"/>
          <w:sz w:val="20"/>
        </w:rPr>
        <w:t>Kellway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r w:rsidRPr="009E1E06">
        <w:rPr>
          <w:rFonts w:ascii="Arial" w:hAnsi="Arial" w:cs="Arial"/>
          <w:sz w:val="20"/>
        </w:rPr>
        <w:t>Kellway’s offending was based on criminal negligence, the essence of which involved a criminal departure from the standard of care owed to the vulnerable boy in his care. The gross extent of the departure and the consequences for the child made the offending particularly serious. Kellway’s conduct itself involved a very high degree of blameworthiness. It occurred over a period of four months and involved the repeated and cruel mistreatment of a small and vulnerable child in respect of whom he stood in loco parentis. Kellway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The judge recognised that Donald was not the person principally responsible for the assaults on Charlie, but sentenced her on the basis that she was directly responsible for some of the assaults. For the assaults perpetrated by Kellway,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As he had for Kellway,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Kellway. She had not merely failed to protect Charlie from harm by Kellway,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32" w:name="_11.15.7_Causing_death"/>
      <w:bookmarkEnd w:id="1132"/>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“In sentencing offenders in cases of the kind with which we are concerned, it has been common for courts to refer to the gross breach of trust which is involved in the offence </w:t>
      </w:r>
      <w:r w:rsidRPr="00102D2A">
        <w:rPr>
          <w:rFonts w:ascii="Arial" w:hAnsi="Arial" w:cs="Arial"/>
          <w:color w:val="000000"/>
          <w:sz w:val="20"/>
        </w:rPr>
        <w:lastRenderedPageBreak/>
        <w:t>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 xml:space="preserve">“the tragedy of this case almost defies imagination” and that “these were crimes committed against three vulnerable, helpless and wholly innocent children”.  His </w:t>
      </w:r>
      <w:r w:rsidR="00160AFC" w:rsidRPr="00102D2A">
        <w:rPr>
          <w:rFonts w:ascii="Arial" w:hAnsi="Arial" w:cs="Arial"/>
          <w:color w:val="000000"/>
          <w:sz w:val="20"/>
        </w:rPr>
        <w:lastRenderedPageBreak/>
        <w:t>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w:t>
      </w:r>
      <w:r w:rsidRPr="00994FB7">
        <w:rPr>
          <w:rFonts w:ascii="Arial" w:hAnsi="Arial" w:cs="Arial"/>
          <w:sz w:val="20"/>
        </w:rPr>
        <w:lastRenderedPageBreak/>
        <w:t xml:space="preserve">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lastRenderedPageBreak/>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33" w:name="_11.16_Sentencing_for"/>
      <w:bookmarkEnd w:id="1133"/>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 xml:space="preserve">All of these matters had to be balanced against the very serious nature of the respondent’s offending — offending, the likes of which this Court has been at pains for some time to say is ordinarily deserving of severe punishment by way of significant </w:t>
      </w:r>
      <w:r w:rsidRPr="00785FF1">
        <w:rPr>
          <w:rFonts w:ascii="Arial" w:hAnsi="Arial" w:cs="Arial"/>
          <w:sz w:val="20"/>
        </w:rPr>
        <w:lastRenderedPageBreak/>
        <w:t>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34" w:name="_11.17_Sentencing_of"/>
      <w:bookmarkEnd w:id="1134"/>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35" w:name="_11.18_Relevance_of"/>
      <w:bookmarkEnd w:id="1135"/>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a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w:t>
      </w:r>
      <w:r w:rsidRPr="003A61E5">
        <w:rPr>
          <w:rFonts w:ascii="Arial" w:hAnsi="Arial" w:cs="Arial"/>
          <w:sz w:val="20"/>
        </w:rPr>
        <w:lastRenderedPageBreak/>
        <w:t>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lastRenderedPageBreak/>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 xml:space="preserve">The parties agree that pursuant to s 501 of the Migration Act 1958 (Cth),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DPP v Karpis</w:t>
      </w:r>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lastRenderedPageBreak/>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 xml:space="preserve">(Cth)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xml:space="preserve">: s.501CA(4)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36" w:name="_11.19_The_‘standard"/>
      <w:bookmarkEnd w:id="1136"/>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lastRenderedPageBreak/>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t>
      </w:r>
      <w:r>
        <w:rPr>
          <w:rFonts w:ascii="Arial" w:hAnsi="Arial" w:cs="Arial"/>
          <w:color w:val="000000"/>
          <w:sz w:val="20"/>
        </w:rPr>
        <w:lastRenderedPageBreak/>
        <w:t>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1939757A" w14:textId="2AC13160" w:rsidR="008A3A7D" w:rsidRDefault="008A3A7D" w:rsidP="004409C5">
      <w:pPr>
        <w:jc w:val="both"/>
        <w:rPr>
          <w:rFonts w:ascii="Arial" w:hAnsi="Arial" w:cs="Arial"/>
          <w:color w:val="000000"/>
          <w:sz w:val="20"/>
        </w:rPr>
      </w:pPr>
      <w:r>
        <w:rPr>
          <w:rFonts w:ascii="Arial" w:hAnsi="Arial" w:cs="Arial"/>
          <w:color w:val="000000"/>
          <w:sz w:val="20"/>
        </w:rPr>
        <w:t xml:space="preserve">The case of </w:t>
      </w:r>
      <w:r w:rsidRPr="008A3A7D">
        <w:rPr>
          <w:rFonts w:ascii="Arial" w:hAnsi="Arial" w:cs="Arial"/>
          <w:i/>
          <w:iCs/>
          <w:color w:val="000000"/>
          <w:sz w:val="20"/>
        </w:rPr>
        <w:t xml:space="preserve">DPP v </w:t>
      </w:r>
      <w:proofErr w:type="spellStart"/>
      <w:r w:rsidRPr="008A3A7D">
        <w:rPr>
          <w:rFonts w:ascii="Arial" w:hAnsi="Arial" w:cs="Arial"/>
          <w:i/>
          <w:iCs/>
          <w:color w:val="000000"/>
          <w:sz w:val="20"/>
        </w:rPr>
        <w:t>Pualic</w:t>
      </w:r>
      <w:proofErr w:type="spellEnd"/>
      <w:r>
        <w:rPr>
          <w:rFonts w:ascii="Arial" w:hAnsi="Arial" w:cs="Arial"/>
          <w:color w:val="000000"/>
          <w:sz w:val="20"/>
        </w:rPr>
        <w:t xml:space="preserve"> [2025] VSCA 178 involved a Director’s appeal against a sentence of IMP24y6m/19y imposed on the offender who had pleaded guilty to murder</w:t>
      </w:r>
      <w:r w:rsidR="006F7F97">
        <w:rPr>
          <w:rFonts w:ascii="Arial" w:hAnsi="Arial" w:cs="Arial"/>
          <w:color w:val="000000"/>
          <w:sz w:val="20"/>
        </w:rPr>
        <w:t xml:space="preserve">: see the summary of the judgment of Incerti J in </w:t>
      </w:r>
      <w:r w:rsidR="006F7F97" w:rsidRPr="006F7F97">
        <w:rPr>
          <w:rFonts w:ascii="Arial" w:hAnsi="Arial" w:cs="Arial"/>
          <w:b/>
          <w:bCs/>
          <w:color w:val="000000"/>
          <w:sz w:val="20"/>
          <w:shd w:val="clear" w:color="auto" w:fill="C5E0B3" w:themeFill="accent6" w:themeFillTint="66"/>
        </w:rPr>
        <w:t>section 11.2.36</w:t>
      </w:r>
      <w:r w:rsidR="006F7F97">
        <w:rPr>
          <w:rFonts w:ascii="Arial" w:hAnsi="Arial" w:cs="Arial"/>
          <w:color w:val="000000"/>
          <w:sz w:val="20"/>
        </w:rPr>
        <w:t xml:space="preserve">. </w:t>
      </w:r>
      <w:r>
        <w:rPr>
          <w:rFonts w:ascii="Arial" w:hAnsi="Arial" w:cs="Arial"/>
          <w:color w:val="000000"/>
          <w:sz w:val="20"/>
        </w:rPr>
        <w:t xml:space="preserve">The respondent – who was subject to an intervention order at the time – had stabbed his </w:t>
      </w:r>
      <w:r w:rsidRPr="008A3A7D">
        <w:rPr>
          <w:rFonts w:ascii="Arial" w:hAnsi="Arial" w:cs="Arial"/>
          <w:color w:val="000000"/>
          <w:sz w:val="20"/>
        </w:rPr>
        <w:t xml:space="preserve">former intimate partner to death in her home in front of her </w:t>
      </w:r>
      <w:r>
        <w:rPr>
          <w:rFonts w:ascii="Arial" w:hAnsi="Arial" w:cs="Arial"/>
          <w:color w:val="000000"/>
          <w:sz w:val="20"/>
        </w:rPr>
        <w:t>8-year old</w:t>
      </w:r>
      <w:r w:rsidRPr="008A3A7D">
        <w:rPr>
          <w:rFonts w:ascii="Arial" w:hAnsi="Arial" w:cs="Arial"/>
          <w:color w:val="000000"/>
          <w:sz w:val="20"/>
        </w:rPr>
        <w:t xml:space="preserve"> </w:t>
      </w:r>
      <w:r w:rsidR="006F7F97">
        <w:rPr>
          <w:rFonts w:ascii="Arial" w:hAnsi="Arial" w:cs="Arial"/>
          <w:color w:val="000000"/>
          <w:sz w:val="20"/>
        </w:rPr>
        <w:t>daughter</w:t>
      </w:r>
      <w:r>
        <w:rPr>
          <w:rFonts w:ascii="Arial" w:hAnsi="Arial" w:cs="Arial"/>
          <w:color w:val="000000"/>
          <w:sz w:val="20"/>
        </w:rPr>
        <w:t xml:space="preserve">. The offender had suffered profound childhood disadvantage and was intoxicated and suffering from mental impairment at the time of offending. The standard sentence for murder is IMP25y. </w:t>
      </w:r>
      <w:r w:rsidR="00852D73">
        <w:rPr>
          <w:rFonts w:ascii="Arial" w:hAnsi="Arial" w:cs="Arial"/>
          <w:color w:val="000000"/>
          <w:sz w:val="20"/>
        </w:rPr>
        <w:t xml:space="preserve">The Court of Appeal dismissed the appeal, holding that the sentence was lenient but within range. At [98]-[100] </w:t>
      </w:r>
      <w:r w:rsidR="00852D73" w:rsidRPr="00852D73">
        <w:rPr>
          <w:rFonts w:ascii="Arial" w:hAnsi="Arial" w:cs="Arial"/>
          <w:color w:val="000000"/>
          <w:sz w:val="20"/>
        </w:rPr>
        <w:t>E</w:t>
      </w:r>
      <w:r w:rsidR="00852D73">
        <w:rPr>
          <w:rFonts w:ascii="Arial" w:hAnsi="Arial" w:cs="Arial"/>
          <w:color w:val="000000"/>
          <w:sz w:val="20"/>
        </w:rPr>
        <w:t>merton</w:t>
      </w:r>
      <w:r w:rsidR="00852D73" w:rsidRPr="00852D73">
        <w:rPr>
          <w:rFonts w:ascii="Arial" w:hAnsi="Arial" w:cs="Arial"/>
          <w:color w:val="000000"/>
          <w:sz w:val="20"/>
        </w:rPr>
        <w:t xml:space="preserve"> P, K</w:t>
      </w:r>
      <w:r w:rsidR="00852D73">
        <w:rPr>
          <w:rFonts w:ascii="Arial" w:hAnsi="Arial" w:cs="Arial"/>
          <w:color w:val="000000"/>
          <w:sz w:val="20"/>
        </w:rPr>
        <w:t>ennedy</w:t>
      </w:r>
      <w:r w:rsidR="00852D73" w:rsidRPr="00852D73">
        <w:rPr>
          <w:rFonts w:ascii="Arial" w:hAnsi="Arial" w:cs="Arial"/>
          <w:color w:val="000000"/>
          <w:sz w:val="20"/>
        </w:rPr>
        <w:t xml:space="preserve"> </w:t>
      </w:r>
      <w:r w:rsidR="00852D73">
        <w:rPr>
          <w:rFonts w:ascii="Arial" w:hAnsi="Arial" w:cs="Arial"/>
          <w:color w:val="000000"/>
          <w:sz w:val="20"/>
        </w:rPr>
        <w:t>&amp;</w:t>
      </w:r>
      <w:r w:rsidR="00852D73" w:rsidRPr="00852D73">
        <w:rPr>
          <w:rFonts w:ascii="Arial" w:hAnsi="Arial" w:cs="Arial"/>
          <w:color w:val="000000"/>
          <w:sz w:val="20"/>
        </w:rPr>
        <w:t xml:space="preserve"> O</w:t>
      </w:r>
      <w:r w:rsidR="00852D73">
        <w:rPr>
          <w:rFonts w:ascii="Arial" w:hAnsi="Arial" w:cs="Arial"/>
          <w:color w:val="000000"/>
          <w:sz w:val="20"/>
        </w:rPr>
        <w:t>rr</w:t>
      </w:r>
      <w:r w:rsidR="00852D73" w:rsidRPr="00852D73">
        <w:rPr>
          <w:rFonts w:ascii="Arial" w:hAnsi="Arial" w:cs="Arial"/>
          <w:color w:val="000000"/>
          <w:sz w:val="20"/>
        </w:rPr>
        <w:t xml:space="preserve"> JJA</w:t>
      </w:r>
      <w:r w:rsidR="00852D73">
        <w:rPr>
          <w:rFonts w:ascii="Arial" w:hAnsi="Arial" w:cs="Arial"/>
          <w:color w:val="000000"/>
          <w:sz w:val="20"/>
        </w:rPr>
        <w:t xml:space="preserve"> concluded:</w:t>
      </w:r>
    </w:p>
    <w:p w14:paraId="1F0F5161" w14:textId="03835B06" w:rsidR="00E9044F" w:rsidRDefault="00E9044F" w:rsidP="00E9044F">
      <w:pPr>
        <w:spacing w:before="60"/>
        <w:ind w:left="567" w:right="567"/>
        <w:jc w:val="both"/>
        <w:rPr>
          <w:rFonts w:ascii="Arial" w:hAnsi="Arial" w:cs="Arial"/>
          <w:sz w:val="20"/>
          <w:szCs w:val="20"/>
        </w:rPr>
      </w:pPr>
      <w:r>
        <w:rPr>
          <w:rFonts w:ascii="Arial" w:hAnsi="Arial" w:cs="Arial"/>
          <w:color w:val="000000"/>
          <w:sz w:val="20"/>
        </w:rPr>
        <w:t>[98] “F</w:t>
      </w:r>
      <w:r w:rsidRPr="00E9044F">
        <w:rPr>
          <w:rFonts w:ascii="Arial" w:hAnsi="Arial" w:cs="Arial"/>
          <w:color w:val="000000"/>
          <w:sz w:val="20"/>
        </w:rPr>
        <w:t>inally, we reject the appellant’s submission that intimate partner murders should be understood as a category of murder that will always necessitate a higher sentence than the standard sentence. Rather, the plain legislative intention is that the standard sentence for all murders is 25 years’ imprisonment. That means that 25 years is the sentence for a murder that, taking into account only the objective factors affecting the relative seriousness of that offence, is in the middle range of seriousness</w:t>
      </w:r>
      <w:r>
        <w:rPr>
          <w:rFonts w:ascii="Arial" w:hAnsi="Arial" w:cs="Arial"/>
          <w:color w:val="000000"/>
          <w:sz w:val="20"/>
        </w:rPr>
        <w:t xml:space="preserve">: </w:t>
      </w:r>
      <w:r w:rsidRPr="00E9044F">
        <w:rPr>
          <w:rFonts w:ascii="Arial" w:hAnsi="Arial" w:cs="Arial"/>
          <w:i/>
          <w:iCs/>
          <w:color w:val="000000"/>
          <w:sz w:val="20"/>
        </w:rPr>
        <w:t>Sentencing Act 1991</w:t>
      </w:r>
      <w:r>
        <w:rPr>
          <w:rFonts w:ascii="Arial" w:hAnsi="Arial" w:cs="Arial"/>
          <w:color w:val="000000"/>
          <w:sz w:val="20"/>
        </w:rPr>
        <w:t>, s.5A(1)(b).</w:t>
      </w:r>
    </w:p>
    <w:p w14:paraId="2149D1D3" w14:textId="6DBDEB07"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99</w:t>
      </w:r>
      <w:r>
        <w:rPr>
          <w:rFonts w:ascii="Arial" w:hAnsi="Arial" w:cs="Arial"/>
          <w:color w:val="000000"/>
          <w:sz w:val="20"/>
        </w:rPr>
        <w:t>]</w:t>
      </w:r>
      <w:r w:rsidRPr="00E9044F">
        <w:rPr>
          <w:rFonts w:ascii="Arial" w:hAnsi="Arial" w:cs="Arial"/>
          <w:color w:val="000000"/>
          <w:sz w:val="20"/>
        </w:rPr>
        <w:t xml:space="preserve"> The standard sentence, like the maximum penalty, is a legislative guidepost that must be taken into account as one of the factors relevant to sentencing</w:t>
      </w:r>
      <w:r>
        <w:rPr>
          <w:rFonts w:ascii="Arial" w:hAnsi="Arial" w:cs="Arial"/>
          <w:color w:val="000000"/>
          <w:sz w:val="20"/>
        </w:rPr>
        <w:t xml:space="preserve">: </w:t>
      </w:r>
      <w:r w:rsidRPr="00E9044F">
        <w:rPr>
          <w:rFonts w:ascii="Arial" w:hAnsi="Arial" w:cs="Arial"/>
          <w:i/>
          <w:iCs/>
          <w:color w:val="000000"/>
          <w:sz w:val="20"/>
        </w:rPr>
        <w:t>Sentencing Act 1991</w:t>
      </w:r>
      <w:r w:rsidRPr="00E9044F">
        <w:rPr>
          <w:rFonts w:ascii="Arial" w:hAnsi="Arial" w:cs="Arial"/>
          <w:color w:val="000000"/>
          <w:sz w:val="20"/>
        </w:rPr>
        <w:t>, s</w:t>
      </w:r>
      <w:r>
        <w:rPr>
          <w:rFonts w:ascii="Arial" w:hAnsi="Arial" w:cs="Arial"/>
          <w:color w:val="000000"/>
          <w:sz w:val="20"/>
        </w:rPr>
        <w:t>.</w:t>
      </w:r>
      <w:r w:rsidRPr="00E9044F">
        <w:rPr>
          <w:rFonts w:ascii="Arial" w:hAnsi="Arial" w:cs="Arial"/>
          <w:color w:val="000000"/>
          <w:sz w:val="20"/>
        </w:rPr>
        <w:t xml:space="preserve">5B(2)(a); </w:t>
      </w:r>
      <w:r w:rsidRPr="00E9044F">
        <w:rPr>
          <w:rFonts w:ascii="Arial" w:hAnsi="Arial" w:cs="Arial"/>
          <w:i/>
          <w:iCs/>
          <w:color w:val="000000"/>
          <w:sz w:val="20"/>
        </w:rPr>
        <w:t>Brown</w:t>
      </w:r>
      <w:r w:rsidRPr="00E9044F">
        <w:rPr>
          <w:rFonts w:ascii="Arial" w:hAnsi="Arial" w:cs="Arial"/>
          <w:color w:val="000000"/>
          <w:sz w:val="20"/>
        </w:rPr>
        <w:t xml:space="preserve"> (2019) 59 VR 462, 464–5 [4], 479 [55]; [2019] VSCA 286. However, the requirement to take the standard sentence for an offence into account does not require or permit ‘two-stage sentencing’, by which a starting sentence or range of sentences is determined and then adjusted up or down by reference to particular features of the case, including matters personal to the offender</w:t>
      </w:r>
      <w:r>
        <w:rPr>
          <w:rFonts w:ascii="Arial" w:hAnsi="Arial" w:cs="Arial"/>
          <w:color w:val="000000"/>
          <w:sz w:val="20"/>
        </w:rPr>
        <w:t xml:space="preserve">: </w:t>
      </w:r>
      <w:r w:rsidRPr="00E9044F">
        <w:rPr>
          <w:rFonts w:ascii="Arial" w:hAnsi="Arial" w:cs="Arial"/>
          <w:i/>
          <w:iCs/>
          <w:color w:val="000000"/>
          <w:sz w:val="20"/>
        </w:rPr>
        <w:t>Brown</w:t>
      </w:r>
      <w:r w:rsidRPr="00E9044F">
        <w:rPr>
          <w:rFonts w:ascii="Arial" w:hAnsi="Arial" w:cs="Arial"/>
          <w:color w:val="000000"/>
          <w:sz w:val="20"/>
        </w:rPr>
        <w:t xml:space="preserve"> (2019) 59 VR 462, 465 [4], 468 [17]; [2019] VSCA 286.</w:t>
      </w:r>
    </w:p>
    <w:p w14:paraId="23037F59" w14:textId="0BAB9CCA"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100</w:t>
      </w:r>
      <w:r>
        <w:rPr>
          <w:rFonts w:ascii="Arial" w:hAnsi="Arial" w:cs="Arial"/>
          <w:color w:val="000000"/>
          <w:sz w:val="20"/>
        </w:rPr>
        <w:t>]</w:t>
      </w:r>
      <w:r w:rsidRPr="00E9044F">
        <w:rPr>
          <w:rFonts w:ascii="Arial" w:hAnsi="Arial" w:cs="Arial"/>
          <w:color w:val="000000"/>
          <w:sz w:val="20"/>
        </w:rPr>
        <w:t xml:space="preserve"> We accept the respondent’s submission that treating the murder of an intimate partner as a category of the offence of murder that always requires a sentence above the standard sentence would be an impermissible two-stage approach to the sentencing task. It would also be antithetical to individualised justice.</w:t>
      </w:r>
      <w:r w:rsidR="00852D73">
        <w:rPr>
          <w:rFonts w:ascii="Arial" w:hAnsi="Arial" w:cs="Arial"/>
          <w:color w:val="000000"/>
          <w:sz w:val="20"/>
        </w:rPr>
        <w:t>”</w:t>
      </w:r>
    </w:p>
    <w:p w14:paraId="5578FB3F" w14:textId="77777777" w:rsidR="008A3A7D" w:rsidRDefault="008A3A7D"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r w:rsidR="008A63C6" w:rsidRPr="008A63C6">
        <w:rPr>
          <w:rFonts w:ascii="Arial" w:hAnsi="Arial" w:cs="Arial"/>
          <w:i/>
          <w:iCs/>
          <w:color w:val="000000"/>
          <w:sz w:val="20"/>
        </w:rPr>
        <w:t>Wilio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37" w:name="_11.20_Alcohol_exclusion"/>
      <w:bookmarkEnd w:id="1137"/>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lastRenderedPageBreak/>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89DE(1)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On the other hand s.</w:t>
      </w:r>
      <w:r w:rsidR="0084544E">
        <w:rPr>
          <w:rFonts w:ascii="Arial" w:hAnsi="Arial" w:cs="Arial"/>
          <w:color w:val="000000"/>
          <w:sz w:val="20"/>
        </w:rPr>
        <w:t>417 of the CYFA provides:</w:t>
      </w:r>
    </w:p>
    <w:p w14:paraId="2A7C707C" w14:textId="2A149178" w:rsidR="00A9110F" w:rsidRDefault="0084544E"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 xml:space="preserve">ss.85H(1), 86(2) and 87J(1) for ‘may’ there were submitted ‘must’ and as if in </w:t>
      </w:r>
      <w:r w:rsidR="00686903">
        <w:rPr>
          <w:rFonts w:ascii="Arial" w:hAnsi="Arial" w:cs="Arial"/>
          <w:color w:val="000000"/>
          <w:sz w:val="20"/>
        </w:rPr>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lastRenderedPageBreak/>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r w:rsidR="000B0E3C">
        <w:rPr>
          <w:rFonts w:ascii="Arial" w:hAnsi="Arial" w:cs="Arial"/>
          <w:sz w:val="20"/>
          <w:szCs w:val="20"/>
        </w:rPr>
        <w:t>–</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lastRenderedPageBreak/>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38"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39" w:name="_11.21_Mandatory_sentencing"/>
      <w:bookmarkEnd w:id="1139"/>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w:t>
      </w:r>
      <w:r w:rsidRPr="00E17915">
        <w:rPr>
          <w:rFonts w:ascii="Arial" w:hAnsi="Arial" w:cs="Arial"/>
          <w:b/>
          <w:bCs/>
          <w:sz w:val="20"/>
          <w:szCs w:val="20"/>
        </w:rPr>
        <w:lastRenderedPageBreak/>
        <w:t>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lastRenderedPageBreak/>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lastRenderedPageBreak/>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 xml:space="preserve">(Cth)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(Cth)</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16AAC(3)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r>
        <w:rPr>
          <w:rFonts w:ascii="Arial" w:hAnsi="Arial" w:cs="Arial"/>
          <w:sz w:val="20"/>
        </w:rPr>
        <w:t>Cth</w:t>
      </w:r>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16AAC(3),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s.16AAC(1)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(Cth) </w:t>
      </w:r>
      <w:r w:rsidR="00E161EE" w:rsidRPr="00E161EE">
        <w:rPr>
          <w:rFonts w:ascii="Arial" w:hAnsi="Arial" w:cs="Arial"/>
          <w:sz w:val="20"/>
        </w:rPr>
        <w:t xml:space="preserve">falls to be sentenced for an offence which attracts a minimum term, sub-section 16AAC(2)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16AAC(3)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 xml:space="preserve">A plea of guilty and cooperation are matters which if ‘relevant and known to </w:t>
      </w:r>
      <w:r w:rsidR="00E161EE" w:rsidRPr="00E161EE">
        <w:rPr>
          <w:rFonts w:ascii="Arial" w:hAnsi="Arial" w:cs="Arial"/>
          <w:sz w:val="20"/>
        </w:rPr>
        <w:lastRenderedPageBreak/>
        <w:t>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16AAC(2)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BA3232">
      <w:pPr>
        <w:pStyle w:val="Normal-Indent"/>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16AAC(2)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p w14:paraId="59A3D58D" w14:textId="641083F8" w:rsidR="00AF33FE" w:rsidRPr="00053005" w:rsidRDefault="00E378B2" w:rsidP="002A5E31">
      <w:pPr>
        <w:jc w:val="center"/>
        <w:rPr>
          <w:rFonts w:ascii="Arial" w:hAnsi="Arial" w:cs="Arial"/>
          <w:color w:val="000000"/>
          <w:sz w:val="20"/>
        </w:rPr>
      </w:pPr>
      <w:bookmarkStart w:id="1140" w:name="_Hlk169171447"/>
      <w:bookmarkEnd w:id="1138"/>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1140"/>
    </w:p>
    <w:sectPr w:rsidR="00AF33FE" w:rsidRPr="00053005" w:rsidSect="00C570D9">
      <w:footerReference w:type="default" r:id="rId47"/>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0345C" w14:textId="77777777" w:rsidR="00F14A90" w:rsidRDefault="00F14A90">
      <w:r>
        <w:separator/>
      </w:r>
    </w:p>
  </w:endnote>
  <w:endnote w:type="continuationSeparator" w:id="0">
    <w:p w14:paraId="2E26AF16" w14:textId="77777777" w:rsidR="00F14A90" w:rsidRDefault="00F14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43A91449"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F92F9E">
      <w:rPr>
        <w:rStyle w:val="PageNumber"/>
        <w:rFonts w:ascii="Arial" w:hAnsi="Arial" w:cs="Arial"/>
        <w:b/>
        <w:bCs/>
        <w:color w:val="000000"/>
        <w:sz w:val="16"/>
      </w:rPr>
      <w:t>04</w:t>
    </w:r>
    <w:r w:rsidR="002F500C">
      <w:rPr>
        <w:rStyle w:val="PageNumber"/>
        <w:rFonts w:ascii="Arial" w:hAnsi="Arial" w:cs="Arial"/>
        <w:b/>
        <w:bCs/>
        <w:color w:val="000000"/>
        <w:sz w:val="16"/>
      </w:rPr>
      <w:t xml:space="preserve"> </w:t>
    </w:r>
    <w:r w:rsidR="00FE4D6F">
      <w:rPr>
        <w:rStyle w:val="PageNumber"/>
        <w:rFonts w:ascii="Arial" w:hAnsi="Arial" w:cs="Arial"/>
        <w:b/>
        <w:bCs/>
        <w:color w:val="000000"/>
        <w:sz w:val="16"/>
      </w:rPr>
      <w:t>September</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68714278"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681BBB">
      <w:rPr>
        <w:rStyle w:val="PageNumber"/>
        <w:rFonts w:ascii="Arial" w:hAnsi="Arial" w:cs="Arial"/>
        <w:b/>
        <w:bCs/>
        <w:color w:val="000000"/>
        <w:sz w:val="16"/>
      </w:rPr>
      <w:t>04</w:t>
    </w:r>
    <w:r w:rsidR="002F500C">
      <w:rPr>
        <w:rStyle w:val="PageNumber"/>
        <w:rFonts w:ascii="Arial" w:hAnsi="Arial" w:cs="Arial"/>
        <w:b/>
        <w:bCs/>
        <w:color w:val="000000"/>
        <w:sz w:val="16"/>
      </w:rPr>
      <w:t xml:space="preserve"> </w:t>
    </w:r>
    <w:r w:rsidR="00FE4D6F">
      <w:rPr>
        <w:rStyle w:val="PageNumber"/>
        <w:rFonts w:ascii="Arial" w:hAnsi="Arial" w:cs="Arial"/>
        <w:b/>
        <w:bCs/>
        <w:color w:val="000000"/>
        <w:sz w:val="16"/>
      </w:rPr>
      <w:t>September</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7D406" w14:textId="77777777" w:rsidR="00F14A90" w:rsidRDefault="00F14A90">
      <w:r>
        <w:separator/>
      </w:r>
    </w:p>
  </w:footnote>
  <w:footnote w:type="continuationSeparator" w:id="0">
    <w:p w14:paraId="24685AA5" w14:textId="77777777" w:rsidR="00F14A90" w:rsidRDefault="00F14A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35039BF"/>
    <w:multiLevelType w:val="hybridMultilevel"/>
    <w:tmpl w:val="4824F978"/>
    <w:lvl w:ilvl="0" w:tplc="06C8646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A837FE1"/>
    <w:multiLevelType w:val="hybridMultilevel"/>
    <w:tmpl w:val="42EA7C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DD48C5"/>
    <w:multiLevelType w:val="hybridMultilevel"/>
    <w:tmpl w:val="70FCE756"/>
    <w:lvl w:ilvl="0" w:tplc="5796A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6"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7"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31"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5"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9"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3"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7"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1"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2"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5"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2703112"/>
    <w:multiLevelType w:val="hybridMultilevel"/>
    <w:tmpl w:val="91281B20"/>
    <w:lvl w:ilvl="0" w:tplc="EEE8C942">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7"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8"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9"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4"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5"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6"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7"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021E68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4"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5"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7"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2"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7"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8"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1"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2" w15:restartNumberingAfterBreak="0">
    <w:nsid w:val="541F6B33"/>
    <w:multiLevelType w:val="hybridMultilevel"/>
    <w:tmpl w:val="9C96B690"/>
    <w:lvl w:ilvl="0" w:tplc="C2329D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5"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8"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99"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2"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CC00B99"/>
    <w:multiLevelType w:val="hybridMultilevel"/>
    <w:tmpl w:val="64D6F862"/>
    <w:lvl w:ilvl="0" w:tplc="D868CD02">
      <w:start w:val="1"/>
      <w:numFmt w:val="lowerLetter"/>
      <w:lvlText w:val="(%1)"/>
      <w:lvlJc w:val="left"/>
      <w:pPr>
        <w:ind w:left="1324" w:hanging="36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05"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7"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8"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3"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14"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9"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CA40DEE"/>
    <w:multiLevelType w:val="hybridMultilevel"/>
    <w:tmpl w:val="C13C9826"/>
    <w:lvl w:ilvl="0" w:tplc="676AE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24"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5"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9"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1"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34"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5398"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7"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9"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1"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2"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5"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46"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49"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93"/>
  </w:num>
  <w:num w:numId="2" w16cid:durableId="1545630300">
    <w:abstractNumId w:val="133"/>
  </w:num>
  <w:num w:numId="3" w16cid:durableId="2125147826">
    <w:abstractNumId w:val="57"/>
  </w:num>
  <w:num w:numId="4" w16cid:durableId="1001008316">
    <w:abstractNumId w:val="100"/>
  </w:num>
  <w:num w:numId="5" w16cid:durableId="969750919">
    <w:abstractNumId w:val="22"/>
  </w:num>
  <w:num w:numId="6" w16cid:durableId="1476676465">
    <w:abstractNumId w:val="97"/>
  </w:num>
  <w:num w:numId="7" w16cid:durableId="596716591">
    <w:abstractNumId w:val="60"/>
  </w:num>
  <w:num w:numId="8" w16cid:durableId="583998690">
    <w:abstractNumId w:val="124"/>
  </w:num>
  <w:num w:numId="9" w16cid:durableId="1522015096">
    <w:abstractNumId w:val="24"/>
  </w:num>
  <w:num w:numId="10" w16cid:durableId="436482347">
    <w:abstractNumId w:val="79"/>
  </w:num>
  <w:num w:numId="11" w16cid:durableId="167672266">
    <w:abstractNumId w:val="32"/>
  </w:num>
  <w:num w:numId="12" w16cid:durableId="955526178">
    <w:abstractNumId w:val="103"/>
  </w:num>
  <w:num w:numId="13" w16cid:durableId="2009362439">
    <w:abstractNumId w:val="84"/>
  </w:num>
  <w:num w:numId="14" w16cid:durableId="1971282335">
    <w:abstractNumId w:val="140"/>
  </w:num>
  <w:num w:numId="15" w16cid:durableId="56512203">
    <w:abstractNumId w:val="135"/>
  </w:num>
  <w:num w:numId="16" w16cid:durableId="2071345355">
    <w:abstractNumId w:val="28"/>
  </w:num>
  <w:num w:numId="17" w16cid:durableId="1211116198">
    <w:abstractNumId w:val="101"/>
  </w:num>
  <w:num w:numId="18" w16cid:durableId="640232151">
    <w:abstractNumId w:val="10"/>
  </w:num>
  <w:num w:numId="19" w16cid:durableId="114636458">
    <w:abstractNumId w:val="61"/>
  </w:num>
  <w:num w:numId="20" w16cid:durableId="639267168">
    <w:abstractNumId w:val="137"/>
  </w:num>
  <w:num w:numId="21" w16cid:durableId="1994943338">
    <w:abstractNumId w:val="87"/>
  </w:num>
  <w:num w:numId="22" w16cid:durableId="1804927812">
    <w:abstractNumId w:val="76"/>
  </w:num>
  <w:num w:numId="23" w16cid:durableId="1928222094">
    <w:abstractNumId w:val="81"/>
  </w:num>
  <w:num w:numId="24" w16cid:durableId="61879141">
    <w:abstractNumId w:val="40"/>
  </w:num>
  <w:num w:numId="25" w16cid:durableId="2145925369">
    <w:abstractNumId w:val="148"/>
  </w:num>
  <w:num w:numId="26" w16cid:durableId="938490658">
    <w:abstractNumId w:val="54"/>
  </w:num>
  <w:num w:numId="27" w16cid:durableId="616182118">
    <w:abstractNumId w:val="109"/>
  </w:num>
  <w:num w:numId="28" w16cid:durableId="1060665550">
    <w:abstractNumId w:val="44"/>
  </w:num>
  <w:num w:numId="29" w16cid:durableId="76750985">
    <w:abstractNumId w:val="147"/>
  </w:num>
  <w:num w:numId="30" w16cid:durableId="350231804">
    <w:abstractNumId w:val="132"/>
  </w:num>
  <w:num w:numId="31" w16cid:durableId="1137264147">
    <w:abstractNumId w:val="136"/>
  </w:num>
  <w:num w:numId="32" w16cid:durableId="326445258">
    <w:abstractNumId w:val="26"/>
  </w:num>
  <w:num w:numId="33" w16cid:durableId="1756977781">
    <w:abstractNumId w:val="42"/>
  </w:num>
  <w:num w:numId="34" w16cid:durableId="774864102">
    <w:abstractNumId w:val="18"/>
  </w:num>
  <w:num w:numId="35" w16cid:durableId="1839926705">
    <w:abstractNumId w:val="141"/>
  </w:num>
  <w:num w:numId="36" w16cid:durableId="433945585">
    <w:abstractNumId w:val="34"/>
  </w:num>
  <w:num w:numId="37" w16cid:durableId="176966313">
    <w:abstractNumId w:val="83"/>
  </w:num>
  <w:num w:numId="38" w16cid:durableId="1475828378">
    <w:abstractNumId w:val="131"/>
  </w:num>
  <w:num w:numId="39" w16cid:durableId="588391603">
    <w:abstractNumId w:val="130"/>
  </w:num>
  <w:num w:numId="40" w16cid:durableId="1684086068">
    <w:abstractNumId w:val="6"/>
  </w:num>
  <w:num w:numId="41" w16cid:durableId="701901762">
    <w:abstractNumId w:val="90"/>
  </w:num>
  <w:num w:numId="42" w16cid:durableId="1974674153">
    <w:abstractNumId w:val="118"/>
  </w:num>
  <w:num w:numId="43" w16cid:durableId="569732079">
    <w:abstractNumId w:val="86"/>
  </w:num>
  <w:num w:numId="44" w16cid:durableId="2122261712">
    <w:abstractNumId w:val="107"/>
  </w:num>
  <w:num w:numId="45" w16cid:durableId="1897205224">
    <w:abstractNumId w:val="106"/>
  </w:num>
  <w:num w:numId="46" w16cid:durableId="656306550">
    <w:abstractNumId w:val="13"/>
  </w:num>
  <w:num w:numId="47" w16cid:durableId="1896627248">
    <w:abstractNumId w:val="62"/>
  </w:num>
  <w:num w:numId="48" w16cid:durableId="1199663633">
    <w:abstractNumId w:val="70"/>
  </w:num>
  <w:num w:numId="49" w16cid:durableId="687802744">
    <w:abstractNumId w:val="63"/>
  </w:num>
  <w:num w:numId="50" w16cid:durableId="954943241">
    <w:abstractNumId w:val="127"/>
  </w:num>
  <w:num w:numId="51" w16cid:durableId="1302078870">
    <w:abstractNumId w:val="11"/>
  </w:num>
  <w:num w:numId="52" w16cid:durableId="1368799867">
    <w:abstractNumId w:val="14"/>
  </w:num>
  <w:num w:numId="53" w16cid:durableId="1190216270">
    <w:abstractNumId w:val="111"/>
  </w:num>
  <w:num w:numId="54" w16cid:durableId="1743528295">
    <w:abstractNumId w:val="105"/>
  </w:num>
  <w:num w:numId="55" w16cid:durableId="1117019351">
    <w:abstractNumId w:val="108"/>
  </w:num>
  <w:num w:numId="56" w16cid:durableId="773355988">
    <w:abstractNumId w:val="48"/>
  </w:num>
  <w:num w:numId="57" w16cid:durableId="1340809728">
    <w:abstractNumId w:val="35"/>
  </w:num>
  <w:num w:numId="58" w16cid:durableId="1973099561">
    <w:abstractNumId w:val="75"/>
  </w:num>
  <w:num w:numId="59" w16cid:durableId="1862357581">
    <w:abstractNumId w:val="31"/>
  </w:num>
  <w:num w:numId="60" w16cid:durableId="812677112">
    <w:abstractNumId w:val="8"/>
  </w:num>
  <w:num w:numId="61" w16cid:durableId="409889720">
    <w:abstractNumId w:val="72"/>
  </w:num>
  <w:num w:numId="62" w16cid:durableId="1412584731">
    <w:abstractNumId w:val="29"/>
  </w:num>
  <w:num w:numId="63" w16cid:durableId="2015063098">
    <w:abstractNumId w:val="119"/>
  </w:num>
  <w:num w:numId="64" w16cid:durableId="1595868316">
    <w:abstractNumId w:val="150"/>
  </w:num>
  <w:num w:numId="65" w16cid:durableId="5324514">
    <w:abstractNumId w:val="114"/>
  </w:num>
  <w:num w:numId="66" w16cid:durableId="1321613948">
    <w:abstractNumId w:val="37"/>
  </w:num>
  <w:num w:numId="67" w16cid:durableId="474833781">
    <w:abstractNumId w:val="123"/>
  </w:num>
  <w:num w:numId="68" w16cid:durableId="139539246">
    <w:abstractNumId w:val="39"/>
  </w:num>
  <w:num w:numId="69" w16cid:durableId="122575314">
    <w:abstractNumId w:val="21"/>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26"/>
  </w:num>
  <w:num w:numId="72" w16cid:durableId="2057384691">
    <w:abstractNumId w:val="16"/>
  </w:num>
  <w:num w:numId="73" w16cid:durableId="587153800">
    <w:abstractNumId w:val="77"/>
  </w:num>
  <w:num w:numId="74" w16cid:durableId="118914962">
    <w:abstractNumId w:val="30"/>
  </w:num>
  <w:num w:numId="75" w16cid:durableId="596057361">
    <w:abstractNumId w:val="2"/>
  </w:num>
  <w:num w:numId="76" w16cid:durableId="282154928">
    <w:abstractNumId w:val="43"/>
  </w:num>
  <w:num w:numId="77" w16cid:durableId="1849445063">
    <w:abstractNumId w:val="85"/>
  </w:num>
  <w:num w:numId="78" w16cid:durableId="1941180976">
    <w:abstractNumId w:val="102"/>
  </w:num>
  <w:num w:numId="79" w16cid:durableId="1891113534">
    <w:abstractNumId w:val="89"/>
  </w:num>
  <w:num w:numId="80" w16cid:durableId="616253302">
    <w:abstractNumId w:val="110"/>
  </w:num>
  <w:num w:numId="81" w16cid:durableId="785731496">
    <w:abstractNumId w:val="121"/>
  </w:num>
  <w:num w:numId="82" w16cid:durableId="1557549719">
    <w:abstractNumId w:val="27"/>
  </w:num>
  <w:num w:numId="83" w16cid:durableId="1456677244">
    <w:abstractNumId w:val="96"/>
  </w:num>
  <w:num w:numId="84" w16cid:durableId="1837720129">
    <w:abstractNumId w:val="82"/>
  </w:num>
  <w:num w:numId="85" w16cid:durableId="387073272">
    <w:abstractNumId w:val="7"/>
  </w:num>
  <w:num w:numId="86" w16cid:durableId="1791776193">
    <w:abstractNumId w:val="95"/>
  </w:num>
  <w:num w:numId="87" w16cid:durableId="1833910394">
    <w:abstractNumId w:val="19"/>
  </w:num>
  <w:num w:numId="88" w16cid:durableId="1997569837">
    <w:abstractNumId w:val="58"/>
  </w:num>
  <w:num w:numId="89" w16cid:durableId="962082503">
    <w:abstractNumId w:val="50"/>
  </w:num>
  <w:num w:numId="90" w16cid:durableId="392198611">
    <w:abstractNumId w:val="71"/>
  </w:num>
  <w:num w:numId="91" w16cid:durableId="1494225638">
    <w:abstractNumId w:val="74"/>
  </w:num>
  <w:num w:numId="92" w16cid:durableId="1072696614">
    <w:abstractNumId w:val="51"/>
  </w:num>
  <w:num w:numId="93" w16cid:durableId="972754315">
    <w:abstractNumId w:val="33"/>
  </w:num>
  <w:num w:numId="94" w16cid:durableId="227111806">
    <w:abstractNumId w:val="53"/>
  </w:num>
  <w:num w:numId="95" w16cid:durableId="1835533433">
    <w:abstractNumId w:val="146"/>
  </w:num>
  <w:num w:numId="96" w16cid:durableId="1487473366">
    <w:abstractNumId w:val="3"/>
  </w:num>
  <w:num w:numId="97" w16cid:durableId="382943409">
    <w:abstractNumId w:val="99"/>
  </w:num>
  <w:num w:numId="98" w16cid:durableId="2059012608">
    <w:abstractNumId w:val="144"/>
  </w:num>
  <w:num w:numId="99" w16cid:durableId="829325224">
    <w:abstractNumId w:val="129"/>
  </w:num>
  <w:num w:numId="100" w16cid:durableId="621116706">
    <w:abstractNumId w:val="66"/>
  </w:num>
  <w:num w:numId="101" w16cid:durableId="1901748289">
    <w:abstractNumId w:val="49"/>
  </w:num>
  <w:num w:numId="102" w16cid:durableId="1969580216">
    <w:abstractNumId w:val="20"/>
  </w:num>
  <w:num w:numId="103" w16cid:durableId="1092705154">
    <w:abstractNumId w:val="41"/>
  </w:num>
  <w:num w:numId="104" w16cid:durableId="190532749">
    <w:abstractNumId w:val="149"/>
  </w:num>
  <w:num w:numId="105" w16cid:durableId="2030333998">
    <w:abstractNumId w:val="143"/>
  </w:num>
  <w:num w:numId="106" w16cid:durableId="1869878779">
    <w:abstractNumId w:val="94"/>
  </w:num>
  <w:num w:numId="107" w16cid:durableId="1611812119">
    <w:abstractNumId w:val="17"/>
  </w:num>
  <w:num w:numId="108" w16cid:durableId="1026902246">
    <w:abstractNumId w:val="55"/>
  </w:num>
  <w:num w:numId="109" w16cid:durableId="2090424229">
    <w:abstractNumId w:val="23"/>
  </w:num>
  <w:num w:numId="110" w16cid:durableId="958608104">
    <w:abstractNumId w:val="46"/>
  </w:num>
  <w:num w:numId="111" w16cid:durableId="2110352882">
    <w:abstractNumId w:val="139"/>
  </w:num>
  <w:num w:numId="112" w16cid:durableId="2125490615">
    <w:abstractNumId w:val="45"/>
  </w:num>
  <w:num w:numId="113" w16cid:durableId="622344086">
    <w:abstractNumId w:val="138"/>
  </w:num>
  <w:num w:numId="114" w16cid:durableId="758335010">
    <w:abstractNumId w:val="112"/>
  </w:num>
  <w:num w:numId="115" w16cid:durableId="1948660447">
    <w:abstractNumId w:val="52"/>
  </w:num>
  <w:num w:numId="116" w16cid:durableId="999693688">
    <w:abstractNumId w:val="47"/>
  </w:num>
  <w:num w:numId="117" w16cid:durableId="1648316245">
    <w:abstractNumId w:val="134"/>
  </w:num>
  <w:num w:numId="118" w16cid:durableId="278873127">
    <w:abstractNumId w:val="117"/>
  </w:num>
  <w:num w:numId="119" w16cid:durableId="1755397968">
    <w:abstractNumId w:val="78"/>
  </w:num>
  <w:num w:numId="120" w16cid:durableId="1483541583">
    <w:abstractNumId w:val="36"/>
  </w:num>
  <w:num w:numId="121" w16cid:durableId="1316493593">
    <w:abstractNumId w:val="145"/>
  </w:num>
  <w:num w:numId="122" w16cid:durableId="483396575">
    <w:abstractNumId w:val="9"/>
  </w:num>
  <w:num w:numId="123" w16cid:durableId="1765802856">
    <w:abstractNumId w:val="64"/>
  </w:num>
  <w:num w:numId="124" w16cid:durableId="1399212128">
    <w:abstractNumId w:val="80"/>
  </w:num>
  <w:num w:numId="125" w16cid:durableId="1687638980">
    <w:abstractNumId w:val="91"/>
  </w:num>
  <w:num w:numId="126" w16cid:durableId="1693609249">
    <w:abstractNumId w:val="88"/>
  </w:num>
  <w:num w:numId="127" w16cid:durableId="1239099854">
    <w:abstractNumId w:val="4"/>
  </w:num>
  <w:num w:numId="128" w16cid:durableId="2101028359">
    <w:abstractNumId w:val="15"/>
  </w:num>
  <w:num w:numId="129" w16cid:durableId="1806966735">
    <w:abstractNumId w:val="12"/>
  </w:num>
  <w:num w:numId="130" w16cid:durableId="332729038">
    <w:abstractNumId w:val="59"/>
  </w:num>
  <w:num w:numId="131" w16cid:durableId="228880272">
    <w:abstractNumId w:val="69"/>
  </w:num>
  <w:num w:numId="132" w16cid:durableId="1416901477">
    <w:abstractNumId w:val="128"/>
  </w:num>
  <w:num w:numId="133" w16cid:durableId="1032613620">
    <w:abstractNumId w:val="116"/>
  </w:num>
  <w:num w:numId="134" w16cid:durableId="686951093">
    <w:abstractNumId w:val="142"/>
  </w:num>
  <w:num w:numId="135" w16cid:durableId="1701978055">
    <w:abstractNumId w:val="67"/>
  </w:num>
  <w:num w:numId="136" w16cid:durableId="2063090010">
    <w:abstractNumId w:val="120"/>
  </w:num>
  <w:num w:numId="137" w16cid:durableId="1707020121">
    <w:abstractNumId w:val="125"/>
  </w:num>
  <w:num w:numId="138" w16cid:durableId="330178704">
    <w:abstractNumId w:val="115"/>
  </w:num>
  <w:num w:numId="139" w16cid:durableId="318583394">
    <w:abstractNumId w:val="73"/>
  </w:num>
  <w:num w:numId="140" w16cid:durableId="849101200">
    <w:abstractNumId w:val="113"/>
  </w:num>
  <w:num w:numId="141" w16cid:durableId="1218469221">
    <w:abstractNumId w:val="65"/>
  </w:num>
  <w:num w:numId="142" w16cid:durableId="511184528">
    <w:abstractNumId w:val="0"/>
  </w:num>
  <w:num w:numId="143" w16cid:durableId="165630838">
    <w:abstractNumId w:val="38"/>
  </w:num>
  <w:num w:numId="144" w16cid:durableId="1838880824">
    <w:abstractNumId w:val="98"/>
  </w:num>
  <w:num w:numId="145" w16cid:durableId="442923977">
    <w:abstractNumId w:val="25"/>
  </w:num>
  <w:num w:numId="146" w16cid:durableId="1237209931">
    <w:abstractNumId w:val="122"/>
  </w:num>
  <w:num w:numId="147" w16cid:durableId="1865096242">
    <w:abstractNumId w:val="104"/>
  </w:num>
  <w:num w:numId="148" w16cid:durableId="1547452565">
    <w:abstractNumId w:val="92"/>
  </w:num>
  <w:num w:numId="149" w16cid:durableId="1520316241">
    <w:abstractNumId w:val="56"/>
  </w:num>
  <w:num w:numId="150" w16cid:durableId="559368698">
    <w:abstractNumId w:val="68"/>
  </w:num>
  <w:num w:numId="151" w16cid:durableId="1285500977">
    <w:abstractNumId w:val="5"/>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163C"/>
    <w:rsid w:val="00001891"/>
    <w:rsid w:val="00001E78"/>
    <w:rsid w:val="00001F8B"/>
    <w:rsid w:val="00002157"/>
    <w:rsid w:val="000023EC"/>
    <w:rsid w:val="00002C03"/>
    <w:rsid w:val="00002C81"/>
    <w:rsid w:val="000030ED"/>
    <w:rsid w:val="00003311"/>
    <w:rsid w:val="000037DC"/>
    <w:rsid w:val="00003D40"/>
    <w:rsid w:val="0000479D"/>
    <w:rsid w:val="00004EB4"/>
    <w:rsid w:val="00005078"/>
    <w:rsid w:val="00005664"/>
    <w:rsid w:val="000066D0"/>
    <w:rsid w:val="00006E7C"/>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232"/>
    <w:rsid w:val="000122C6"/>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75A5"/>
    <w:rsid w:val="0001798D"/>
    <w:rsid w:val="000202DD"/>
    <w:rsid w:val="000208B2"/>
    <w:rsid w:val="0002091C"/>
    <w:rsid w:val="000212FD"/>
    <w:rsid w:val="00021790"/>
    <w:rsid w:val="00022279"/>
    <w:rsid w:val="00022404"/>
    <w:rsid w:val="000232A5"/>
    <w:rsid w:val="00023664"/>
    <w:rsid w:val="00023AF9"/>
    <w:rsid w:val="00023D43"/>
    <w:rsid w:val="00023D66"/>
    <w:rsid w:val="00023E85"/>
    <w:rsid w:val="0002489D"/>
    <w:rsid w:val="00024A2E"/>
    <w:rsid w:val="00024E2D"/>
    <w:rsid w:val="00025643"/>
    <w:rsid w:val="00025736"/>
    <w:rsid w:val="000259D8"/>
    <w:rsid w:val="00025B20"/>
    <w:rsid w:val="00025C03"/>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B49"/>
    <w:rsid w:val="00030EB1"/>
    <w:rsid w:val="00031572"/>
    <w:rsid w:val="000316B5"/>
    <w:rsid w:val="00031719"/>
    <w:rsid w:val="000319C3"/>
    <w:rsid w:val="000319E3"/>
    <w:rsid w:val="00031C48"/>
    <w:rsid w:val="00031DEA"/>
    <w:rsid w:val="00032829"/>
    <w:rsid w:val="00032BF4"/>
    <w:rsid w:val="00032C77"/>
    <w:rsid w:val="00033045"/>
    <w:rsid w:val="00033A63"/>
    <w:rsid w:val="00033B4E"/>
    <w:rsid w:val="00033DBF"/>
    <w:rsid w:val="00033EE4"/>
    <w:rsid w:val="0003407D"/>
    <w:rsid w:val="00034154"/>
    <w:rsid w:val="00034736"/>
    <w:rsid w:val="0003477F"/>
    <w:rsid w:val="00034921"/>
    <w:rsid w:val="0003582E"/>
    <w:rsid w:val="00035DA2"/>
    <w:rsid w:val="00035EDB"/>
    <w:rsid w:val="00036065"/>
    <w:rsid w:val="000360BA"/>
    <w:rsid w:val="000365CE"/>
    <w:rsid w:val="00037059"/>
    <w:rsid w:val="0003757F"/>
    <w:rsid w:val="00037F69"/>
    <w:rsid w:val="00037FB9"/>
    <w:rsid w:val="000401F1"/>
    <w:rsid w:val="000402ED"/>
    <w:rsid w:val="00040514"/>
    <w:rsid w:val="000405D9"/>
    <w:rsid w:val="00040985"/>
    <w:rsid w:val="0004110D"/>
    <w:rsid w:val="00041DA2"/>
    <w:rsid w:val="0004206E"/>
    <w:rsid w:val="00042353"/>
    <w:rsid w:val="00042F27"/>
    <w:rsid w:val="000430CB"/>
    <w:rsid w:val="0004310F"/>
    <w:rsid w:val="0004340A"/>
    <w:rsid w:val="000435D1"/>
    <w:rsid w:val="00044133"/>
    <w:rsid w:val="000441EA"/>
    <w:rsid w:val="00044278"/>
    <w:rsid w:val="000449F9"/>
    <w:rsid w:val="00045FAD"/>
    <w:rsid w:val="00046254"/>
    <w:rsid w:val="000462AB"/>
    <w:rsid w:val="00046C2A"/>
    <w:rsid w:val="000471C3"/>
    <w:rsid w:val="000473B1"/>
    <w:rsid w:val="000475F6"/>
    <w:rsid w:val="00047C28"/>
    <w:rsid w:val="00047F3A"/>
    <w:rsid w:val="00050220"/>
    <w:rsid w:val="000509E7"/>
    <w:rsid w:val="00050BD9"/>
    <w:rsid w:val="000511F9"/>
    <w:rsid w:val="00051278"/>
    <w:rsid w:val="000519C2"/>
    <w:rsid w:val="00051E63"/>
    <w:rsid w:val="00051F2D"/>
    <w:rsid w:val="00051F63"/>
    <w:rsid w:val="000522A2"/>
    <w:rsid w:val="0005288B"/>
    <w:rsid w:val="000529C4"/>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890"/>
    <w:rsid w:val="00060273"/>
    <w:rsid w:val="000606FB"/>
    <w:rsid w:val="00060B0E"/>
    <w:rsid w:val="00060DFB"/>
    <w:rsid w:val="00062445"/>
    <w:rsid w:val="00062639"/>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379"/>
    <w:rsid w:val="00070418"/>
    <w:rsid w:val="0007089E"/>
    <w:rsid w:val="000708B6"/>
    <w:rsid w:val="00070CE1"/>
    <w:rsid w:val="00070D40"/>
    <w:rsid w:val="00071460"/>
    <w:rsid w:val="000717A0"/>
    <w:rsid w:val="00071D0F"/>
    <w:rsid w:val="000720E6"/>
    <w:rsid w:val="000722FA"/>
    <w:rsid w:val="00072642"/>
    <w:rsid w:val="000727D0"/>
    <w:rsid w:val="00072A59"/>
    <w:rsid w:val="00072F63"/>
    <w:rsid w:val="000730B2"/>
    <w:rsid w:val="000734AC"/>
    <w:rsid w:val="00073F56"/>
    <w:rsid w:val="00074024"/>
    <w:rsid w:val="00074071"/>
    <w:rsid w:val="00074D5E"/>
    <w:rsid w:val="00075155"/>
    <w:rsid w:val="000751DD"/>
    <w:rsid w:val="000751DE"/>
    <w:rsid w:val="00075AFA"/>
    <w:rsid w:val="00075FF6"/>
    <w:rsid w:val="00076646"/>
    <w:rsid w:val="00076693"/>
    <w:rsid w:val="000767AE"/>
    <w:rsid w:val="00076B16"/>
    <w:rsid w:val="00077267"/>
    <w:rsid w:val="00077AA1"/>
    <w:rsid w:val="00077CA2"/>
    <w:rsid w:val="00080420"/>
    <w:rsid w:val="0008085E"/>
    <w:rsid w:val="00080E96"/>
    <w:rsid w:val="000810D5"/>
    <w:rsid w:val="000819C1"/>
    <w:rsid w:val="00081AFC"/>
    <w:rsid w:val="000820C4"/>
    <w:rsid w:val="0008217D"/>
    <w:rsid w:val="000821A3"/>
    <w:rsid w:val="0008299D"/>
    <w:rsid w:val="00082AB6"/>
    <w:rsid w:val="00083F08"/>
    <w:rsid w:val="00083FF9"/>
    <w:rsid w:val="00084708"/>
    <w:rsid w:val="00084AF2"/>
    <w:rsid w:val="00084EAF"/>
    <w:rsid w:val="00085F5A"/>
    <w:rsid w:val="00086120"/>
    <w:rsid w:val="000862D9"/>
    <w:rsid w:val="000865F7"/>
    <w:rsid w:val="000873AD"/>
    <w:rsid w:val="000878DD"/>
    <w:rsid w:val="00087B98"/>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7606"/>
    <w:rsid w:val="00097A83"/>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0DD"/>
    <w:rsid w:val="000A422C"/>
    <w:rsid w:val="000A425B"/>
    <w:rsid w:val="000A458D"/>
    <w:rsid w:val="000A4685"/>
    <w:rsid w:val="000A47C8"/>
    <w:rsid w:val="000A4B93"/>
    <w:rsid w:val="000A4D41"/>
    <w:rsid w:val="000A50CA"/>
    <w:rsid w:val="000A5146"/>
    <w:rsid w:val="000A5411"/>
    <w:rsid w:val="000A54C7"/>
    <w:rsid w:val="000A5740"/>
    <w:rsid w:val="000A5A70"/>
    <w:rsid w:val="000A5ACE"/>
    <w:rsid w:val="000A6042"/>
    <w:rsid w:val="000A61EE"/>
    <w:rsid w:val="000A66EA"/>
    <w:rsid w:val="000A6763"/>
    <w:rsid w:val="000A6ADB"/>
    <w:rsid w:val="000A6B08"/>
    <w:rsid w:val="000A6F1D"/>
    <w:rsid w:val="000A6F81"/>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387E"/>
    <w:rsid w:val="000B39F1"/>
    <w:rsid w:val="000B3AD3"/>
    <w:rsid w:val="000B3D6B"/>
    <w:rsid w:val="000B3F82"/>
    <w:rsid w:val="000B44EE"/>
    <w:rsid w:val="000B45FE"/>
    <w:rsid w:val="000B494F"/>
    <w:rsid w:val="000B49E2"/>
    <w:rsid w:val="000B4EE4"/>
    <w:rsid w:val="000B54B0"/>
    <w:rsid w:val="000B6254"/>
    <w:rsid w:val="000B69E4"/>
    <w:rsid w:val="000B74E7"/>
    <w:rsid w:val="000B797B"/>
    <w:rsid w:val="000B7BF2"/>
    <w:rsid w:val="000C0BF9"/>
    <w:rsid w:val="000C13B4"/>
    <w:rsid w:val="000C17E8"/>
    <w:rsid w:val="000C1C93"/>
    <w:rsid w:val="000C1F8A"/>
    <w:rsid w:val="000C236F"/>
    <w:rsid w:val="000C2382"/>
    <w:rsid w:val="000C26B7"/>
    <w:rsid w:val="000C26F4"/>
    <w:rsid w:val="000C28C7"/>
    <w:rsid w:val="000C3154"/>
    <w:rsid w:val="000C3766"/>
    <w:rsid w:val="000C37F4"/>
    <w:rsid w:val="000C37FA"/>
    <w:rsid w:val="000C3CBB"/>
    <w:rsid w:val="000C464C"/>
    <w:rsid w:val="000C4940"/>
    <w:rsid w:val="000C4BEA"/>
    <w:rsid w:val="000C5ED6"/>
    <w:rsid w:val="000C5F9F"/>
    <w:rsid w:val="000C6028"/>
    <w:rsid w:val="000C60D2"/>
    <w:rsid w:val="000C6359"/>
    <w:rsid w:val="000C6CEB"/>
    <w:rsid w:val="000C6E3C"/>
    <w:rsid w:val="000C7341"/>
    <w:rsid w:val="000C743B"/>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58"/>
    <w:rsid w:val="000D22EF"/>
    <w:rsid w:val="000D25AD"/>
    <w:rsid w:val="000D2CD1"/>
    <w:rsid w:val="000D2EBD"/>
    <w:rsid w:val="000D2ECE"/>
    <w:rsid w:val="000D3112"/>
    <w:rsid w:val="000D393C"/>
    <w:rsid w:val="000D44EA"/>
    <w:rsid w:val="000D505F"/>
    <w:rsid w:val="000D5109"/>
    <w:rsid w:val="000D5456"/>
    <w:rsid w:val="000D55B1"/>
    <w:rsid w:val="000D5818"/>
    <w:rsid w:val="000D5D3B"/>
    <w:rsid w:val="000D6057"/>
    <w:rsid w:val="000D63D2"/>
    <w:rsid w:val="000D685A"/>
    <w:rsid w:val="000D6992"/>
    <w:rsid w:val="000D6BB8"/>
    <w:rsid w:val="000D71D5"/>
    <w:rsid w:val="000D7490"/>
    <w:rsid w:val="000D7828"/>
    <w:rsid w:val="000D7BAC"/>
    <w:rsid w:val="000D7C37"/>
    <w:rsid w:val="000D7CD2"/>
    <w:rsid w:val="000E0180"/>
    <w:rsid w:val="000E0722"/>
    <w:rsid w:val="000E0843"/>
    <w:rsid w:val="000E09BC"/>
    <w:rsid w:val="000E09C8"/>
    <w:rsid w:val="000E0B0E"/>
    <w:rsid w:val="000E148A"/>
    <w:rsid w:val="000E162D"/>
    <w:rsid w:val="000E19E2"/>
    <w:rsid w:val="000E1A36"/>
    <w:rsid w:val="000E1F42"/>
    <w:rsid w:val="000E28EB"/>
    <w:rsid w:val="000E2B0E"/>
    <w:rsid w:val="000E2CFE"/>
    <w:rsid w:val="000E2F99"/>
    <w:rsid w:val="000E3105"/>
    <w:rsid w:val="000E3FE8"/>
    <w:rsid w:val="000E463B"/>
    <w:rsid w:val="000E5C94"/>
    <w:rsid w:val="000E6203"/>
    <w:rsid w:val="000E6816"/>
    <w:rsid w:val="000E7664"/>
    <w:rsid w:val="000F035A"/>
    <w:rsid w:val="000F0530"/>
    <w:rsid w:val="000F07C1"/>
    <w:rsid w:val="000F0C06"/>
    <w:rsid w:val="000F1502"/>
    <w:rsid w:val="000F1973"/>
    <w:rsid w:val="000F1E95"/>
    <w:rsid w:val="000F2391"/>
    <w:rsid w:val="000F2F04"/>
    <w:rsid w:val="000F32B0"/>
    <w:rsid w:val="000F35FA"/>
    <w:rsid w:val="000F360E"/>
    <w:rsid w:val="000F38C1"/>
    <w:rsid w:val="000F4831"/>
    <w:rsid w:val="000F4BE7"/>
    <w:rsid w:val="000F4EEE"/>
    <w:rsid w:val="000F4F5C"/>
    <w:rsid w:val="000F50D4"/>
    <w:rsid w:val="000F54EB"/>
    <w:rsid w:val="000F57FF"/>
    <w:rsid w:val="000F5924"/>
    <w:rsid w:val="000F6039"/>
    <w:rsid w:val="000F63E8"/>
    <w:rsid w:val="000F6649"/>
    <w:rsid w:val="000F6909"/>
    <w:rsid w:val="000F6BBC"/>
    <w:rsid w:val="000F6E24"/>
    <w:rsid w:val="000F6ECE"/>
    <w:rsid w:val="000F6F8A"/>
    <w:rsid w:val="000F702A"/>
    <w:rsid w:val="000F7109"/>
    <w:rsid w:val="000F713F"/>
    <w:rsid w:val="000F7381"/>
    <w:rsid w:val="000F7B40"/>
    <w:rsid w:val="000F7BC4"/>
    <w:rsid w:val="000F7FFD"/>
    <w:rsid w:val="001004F7"/>
    <w:rsid w:val="00100577"/>
    <w:rsid w:val="00100630"/>
    <w:rsid w:val="001008D0"/>
    <w:rsid w:val="00100904"/>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2E0"/>
    <w:rsid w:val="001073D9"/>
    <w:rsid w:val="00107F30"/>
    <w:rsid w:val="00107FBF"/>
    <w:rsid w:val="001101CD"/>
    <w:rsid w:val="001113D6"/>
    <w:rsid w:val="0011146F"/>
    <w:rsid w:val="0011163A"/>
    <w:rsid w:val="00111697"/>
    <w:rsid w:val="001116E8"/>
    <w:rsid w:val="00111AC9"/>
    <w:rsid w:val="00111F08"/>
    <w:rsid w:val="00111FD4"/>
    <w:rsid w:val="0011224E"/>
    <w:rsid w:val="00112339"/>
    <w:rsid w:val="00113289"/>
    <w:rsid w:val="00113654"/>
    <w:rsid w:val="0011388C"/>
    <w:rsid w:val="00113EF2"/>
    <w:rsid w:val="001144E9"/>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DC9"/>
    <w:rsid w:val="00122092"/>
    <w:rsid w:val="00122366"/>
    <w:rsid w:val="0012240C"/>
    <w:rsid w:val="0012248B"/>
    <w:rsid w:val="0012250C"/>
    <w:rsid w:val="0012250E"/>
    <w:rsid w:val="0012273D"/>
    <w:rsid w:val="001232C5"/>
    <w:rsid w:val="0012338C"/>
    <w:rsid w:val="00123700"/>
    <w:rsid w:val="001238D4"/>
    <w:rsid w:val="00123EF1"/>
    <w:rsid w:val="00124F99"/>
    <w:rsid w:val="001252A0"/>
    <w:rsid w:val="001253AF"/>
    <w:rsid w:val="001254F4"/>
    <w:rsid w:val="00125768"/>
    <w:rsid w:val="00125C71"/>
    <w:rsid w:val="00126142"/>
    <w:rsid w:val="0012632E"/>
    <w:rsid w:val="00126355"/>
    <w:rsid w:val="00126C77"/>
    <w:rsid w:val="001270E9"/>
    <w:rsid w:val="00127335"/>
    <w:rsid w:val="00127381"/>
    <w:rsid w:val="00127494"/>
    <w:rsid w:val="00127BB9"/>
    <w:rsid w:val="0013009D"/>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AE"/>
    <w:rsid w:val="001338D4"/>
    <w:rsid w:val="00133921"/>
    <w:rsid w:val="00133929"/>
    <w:rsid w:val="0013431B"/>
    <w:rsid w:val="00135388"/>
    <w:rsid w:val="0013582B"/>
    <w:rsid w:val="001358E2"/>
    <w:rsid w:val="00136744"/>
    <w:rsid w:val="001368F2"/>
    <w:rsid w:val="00136B26"/>
    <w:rsid w:val="0013787D"/>
    <w:rsid w:val="00140163"/>
    <w:rsid w:val="001408C2"/>
    <w:rsid w:val="00140A2A"/>
    <w:rsid w:val="001414D0"/>
    <w:rsid w:val="00141BDB"/>
    <w:rsid w:val="00141C79"/>
    <w:rsid w:val="00142491"/>
    <w:rsid w:val="0014268A"/>
    <w:rsid w:val="0014292D"/>
    <w:rsid w:val="00142B57"/>
    <w:rsid w:val="00142D97"/>
    <w:rsid w:val="0014324C"/>
    <w:rsid w:val="001449CC"/>
    <w:rsid w:val="001456BF"/>
    <w:rsid w:val="00145817"/>
    <w:rsid w:val="00145B22"/>
    <w:rsid w:val="00145C6B"/>
    <w:rsid w:val="00146412"/>
    <w:rsid w:val="0014656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145"/>
    <w:rsid w:val="00151548"/>
    <w:rsid w:val="00151C8C"/>
    <w:rsid w:val="00151D2B"/>
    <w:rsid w:val="00151DA6"/>
    <w:rsid w:val="001526E6"/>
    <w:rsid w:val="0015278B"/>
    <w:rsid w:val="00152884"/>
    <w:rsid w:val="00152AFC"/>
    <w:rsid w:val="00152FCA"/>
    <w:rsid w:val="001536AF"/>
    <w:rsid w:val="0015405E"/>
    <w:rsid w:val="001542F0"/>
    <w:rsid w:val="00154E8C"/>
    <w:rsid w:val="0015513F"/>
    <w:rsid w:val="00155868"/>
    <w:rsid w:val="00156573"/>
    <w:rsid w:val="001565A2"/>
    <w:rsid w:val="001567E2"/>
    <w:rsid w:val="00157249"/>
    <w:rsid w:val="001574A4"/>
    <w:rsid w:val="001574F3"/>
    <w:rsid w:val="00157628"/>
    <w:rsid w:val="001576E0"/>
    <w:rsid w:val="001578E4"/>
    <w:rsid w:val="001579BC"/>
    <w:rsid w:val="00157BC0"/>
    <w:rsid w:val="00157BC9"/>
    <w:rsid w:val="00157D26"/>
    <w:rsid w:val="001603D4"/>
    <w:rsid w:val="00160AFC"/>
    <w:rsid w:val="0016123D"/>
    <w:rsid w:val="001619F9"/>
    <w:rsid w:val="00161D5A"/>
    <w:rsid w:val="00161F6C"/>
    <w:rsid w:val="00162208"/>
    <w:rsid w:val="0016252D"/>
    <w:rsid w:val="001626FF"/>
    <w:rsid w:val="00162867"/>
    <w:rsid w:val="001628E4"/>
    <w:rsid w:val="00162D9E"/>
    <w:rsid w:val="00163428"/>
    <w:rsid w:val="00163439"/>
    <w:rsid w:val="00164988"/>
    <w:rsid w:val="00164C39"/>
    <w:rsid w:val="00164D51"/>
    <w:rsid w:val="00164DA2"/>
    <w:rsid w:val="00165092"/>
    <w:rsid w:val="001651C1"/>
    <w:rsid w:val="0016571D"/>
    <w:rsid w:val="0016597A"/>
    <w:rsid w:val="00165DFB"/>
    <w:rsid w:val="0016610C"/>
    <w:rsid w:val="0016673F"/>
    <w:rsid w:val="00167690"/>
    <w:rsid w:val="00167725"/>
    <w:rsid w:val="00167ECE"/>
    <w:rsid w:val="00167F66"/>
    <w:rsid w:val="00170067"/>
    <w:rsid w:val="00170185"/>
    <w:rsid w:val="001701CF"/>
    <w:rsid w:val="00170474"/>
    <w:rsid w:val="00170E6C"/>
    <w:rsid w:val="00171808"/>
    <w:rsid w:val="001718CD"/>
    <w:rsid w:val="00171A14"/>
    <w:rsid w:val="00171BBD"/>
    <w:rsid w:val="00171FE6"/>
    <w:rsid w:val="001727B3"/>
    <w:rsid w:val="001729C5"/>
    <w:rsid w:val="001732DF"/>
    <w:rsid w:val="00173556"/>
    <w:rsid w:val="00173AAF"/>
    <w:rsid w:val="00173EFB"/>
    <w:rsid w:val="001748FA"/>
    <w:rsid w:val="00175289"/>
    <w:rsid w:val="0017595D"/>
    <w:rsid w:val="00176C17"/>
    <w:rsid w:val="00177683"/>
    <w:rsid w:val="00177858"/>
    <w:rsid w:val="00177F45"/>
    <w:rsid w:val="00180206"/>
    <w:rsid w:val="0018039E"/>
    <w:rsid w:val="00180593"/>
    <w:rsid w:val="001808F7"/>
    <w:rsid w:val="00180CF8"/>
    <w:rsid w:val="00180E74"/>
    <w:rsid w:val="0018175E"/>
    <w:rsid w:val="00181785"/>
    <w:rsid w:val="00181DED"/>
    <w:rsid w:val="00181F92"/>
    <w:rsid w:val="0018226F"/>
    <w:rsid w:val="00182352"/>
    <w:rsid w:val="0018257B"/>
    <w:rsid w:val="001830E4"/>
    <w:rsid w:val="0018338C"/>
    <w:rsid w:val="001833DF"/>
    <w:rsid w:val="001835DE"/>
    <w:rsid w:val="0018366E"/>
    <w:rsid w:val="00183775"/>
    <w:rsid w:val="0018379D"/>
    <w:rsid w:val="001837C1"/>
    <w:rsid w:val="00183989"/>
    <w:rsid w:val="00183C9E"/>
    <w:rsid w:val="00183D32"/>
    <w:rsid w:val="00184451"/>
    <w:rsid w:val="00184F09"/>
    <w:rsid w:val="001854FF"/>
    <w:rsid w:val="00185EC4"/>
    <w:rsid w:val="00185EC7"/>
    <w:rsid w:val="00186237"/>
    <w:rsid w:val="001864F6"/>
    <w:rsid w:val="00186D0D"/>
    <w:rsid w:val="00187131"/>
    <w:rsid w:val="0018753A"/>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746"/>
    <w:rsid w:val="001A0A07"/>
    <w:rsid w:val="001A0A76"/>
    <w:rsid w:val="001A0D1E"/>
    <w:rsid w:val="001A1218"/>
    <w:rsid w:val="001A16E2"/>
    <w:rsid w:val="001A1A4D"/>
    <w:rsid w:val="001A1D42"/>
    <w:rsid w:val="001A1ED1"/>
    <w:rsid w:val="001A26E7"/>
    <w:rsid w:val="001A2942"/>
    <w:rsid w:val="001A2AE2"/>
    <w:rsid w:val="001A2D8E"/>
    <w:rsid w:val="001A329B"/>
    <w:rsid w:val="001A4305"/>
    <w:rsid w:val="001A4DEC"/>
    <w:rsid w:val="001A512B"/>
    <w:rsid w:val="001A5344"/>
    <w:rsid w:val="001A636E"/>
    <w:rsid w:val="001A64BB"/>
    <w:rsid w:val="001A64D2"/>
    <w:rsid w:val="001A6C33"/>
    <w:rsid w:val="001A70AD"/>
    <w:rsid w:val="001A786B"/>
    <w:rsid w:val="001A7C22"/>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70BA"/>
    <w:rsid w:val="001B73F7"/>
    <w:rsid w:val="001B76BC"/>
    <w:rsid w:val="001C0086"/>
    <w:rsid w:val="001C023A"/>
    <w:rsid w:val="001C076D"/>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775"/>
    <w:rsid w:val="001C6933"/>
    <w:rsid w:val="001C6B0F"/>
    <w:rsid w:val="001C6B49"/>
    <w:rsid w:val="001C6C72"/>
    <w:rsid w:val="001C6E0E"/>
    <w:rsid w:val="001C6FF4"/>
    <w:rsid w:val="001C71F3"/>
    <w:rsid w:val="001C73AB"/>
    <w:rsid w:val="001C7A49"/>
    <w:rsid w:val="001D05B7"/>
    <w:rsid w:val="001D0E3A"/>
    <w:rsid w:val="001D106B"/>
    <w:rsid w:val="001D1A04"/>
    <w:rsid w:val="001D22D9"/>
    <w:rsid w:val="001D2459"/>
    <w:rsid w:val="001D2791"/>
    <w:rsid w:val="001D2FDF"/>
    <w:rsid w:val="001D310A"/>
    <w:rsid w:val="001D3230"/>
    <w:rsid w:val="001D339C"/>
    <w:rsid w:val="001D3B7A"/>
    <w:rsid w:val="001D3FDB"/>
    <w:rsid w:val="001D420A"/>
    <w:rsid w:val="001D4554"/>
    <w:rsid w:val="001D4C66"/>
    <w:rsid w:val="001D4E38"/>
    <w:rsid w:val="001D57DE"/>
    <w:rsid w:val="001D5B3C"/>
    <w:rsid w:val="001D5FF0"/>
    <w:rsid w:val="001D6155"/>
    <w:rsid w:val="001D6806"/>
    <w:rsid w:val="001D6EEA"/>
    <w:rsid w:val="001D7030"/>
    <w:rsid w:val="001D7A13"/>
    <w:rsid w:val="001E01A9"/>
    <w:rsid w:val="001E064E"/>
    <w:rsid w:val="001E084A"/>
    <w:rsid w:val="001E093C"/>
    <w:rsid w:val="001E0E4C"/>
    <w:rsid w:val="001E1FC2"/>
    <w:rsid w:val="001E249B"/>
    <w:rsid w:val="001E2519"/>
    <w:rsid w:val="001E2785"/>
    <w:rsid w:val="001E2967"/>
    <w:rsid w:val="001E2DE0"/>
    <w:rsid w:val="001E3285"/>
    <w:rsid w:val="001E33F4"/>
    <w:rsid w:val="001E3450"/>
    <w:rsid w:val="001E3767"/>
    <w:rsid w:val="001E38AD"/>
    <w:rsid w:val="001E45AD"/>
    <w:rsid w:val="001E487E"/>
    <w:rsid w:val="001E4B83"/>
    <w:rsid w:val="001E4D5B"/>
    <w:rsid w:val="001E4DC2"/>
    <w:rsid w:val="001E4E24"/>
    <w:rsid w:val="001E5245"/>
    <w:rsid w:val="001E54FA"/>
    <w:rsid w:val="001E5CE6"/>
    <w:rsid w:val="001E6BE9"/>
    <w:rsid w:val="001E6DB0"/>
    <w:rsid w:val="001E700F"/>
    <w:rsid w:val="001E72B4"/>
    <w:rsid w:val="001E77F5"/>
    <w:rsid w:val="001E7EA6"/>
    <w:rsid w:val="001E7F54"/>
    <w:rsid w:val="001F027C"/>
    <w:rsid w:val="001F089D"/>
    <w:rsid w:val="001F0BF6"/>
    <w:rsid w:val="001F14E7"/>
    <w:rsid w:val="001F197D"/>
    <w:rsid w:val="001F1FBE"/>
    <w:rsid w:val="001F24BF"/>
    <w:rsid w:val="001F27BE"/>
    <w:rsid w:val="001F2C81"/>
    <w:rsid w:val="001F2C8E"/>
    <w:rsid w:val="001F2FDC"/>
    <w:rsid w:val="001F34F0"/>
    <w:rsid w:val="001F3C1C"/>
    <w:rsid w:val="001F3E4D"/>
    <w:rsid w:val="001F4A42"/>
    <w:rsid w:val="001F51DF"/>
    <w:rsid w:val="001F577D"/>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220"/>
    <w:rsid w:val="00202963"/>
    <w:rsid w:val="00202C74"/>
    <w:rsid w:val="00202E9D"/>
    <w:rsid w:val="00203114"/>
    <w:rsid w:val="00203573"/>
    <w:rsid w:val="00203649"/>
    <w:rsid w:val="00203727"/>
    <w:rsid w:val="00203FC4"/>
    <w:rsid w:val="0020418D"/>
    <w:rsid w:val="002041AA"/>
    <w:rsid w:val="002043D0"/>
    <w:rsid w:val="0020443E"/>
    <w:rsid w:val="002046F6"/>
    <w:rsid w:val="00204825"/>
    <w:rsid w:val="00204847"/>
    <w:rsid w:val="00204EF2"/>
    <w:rsid w:val="0020524F"/>
    <w:rsid w:val="00205436"/>
    <w:rsid w:val="00205913"/>
    <w:rsid w:val="00205B4F"/>
    <w:rsid w:val="002066E2"/>
    <w:rsid w:val="00206733"/>
    <w:rsid w:val="00206B15"/>
    <w:rsid w:val="00206DE0"/>
    <w:rsid w:val="00206DE8"/>
    <w:rsid w:val="0020767B"/>
    <w:rsid w:val="002076B4"/>
    <w:rsid w:val="00207CC2"/>
    <w:rsid w:val="0021033A"/>
    <w:rsid w:val="00211056"/>
    <w:rsid w:val="0021121E"/>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393"/>
    <w:rsid w:val="0021670C"/>
    <w:rsid w:val="00216890"/>
    <w:rsid w:val="00216C73"/>
    <w:rsid w:val="00216CC8"/>
    <w:rsid w:val="00216D6F"/>
    <w:rsid w:val="00216F0C"/>
    <w:rsid w:val="00217196"/>
    <w:rsid w:val="00217861"/>
    <w:rsid w:val="00217E13"/>
    <w:rsid w:val="00217EFA"/>
    <w:rsid w:val="002200A9"/>
    <w:rsid w:val="00220250"/>
    <w:rsid w:val="002207D4"/>
    <w:rsid w:val="002209E7"/>
    <w:rsid w:val="00220AC8"/>
    <w:rsid w:val="00220B9E"/>
    <w:rsid w:val="0022107B"/>
    <w:rsid w:val="002212F3"/>
    <w:rsid w:val="002215FB"/>
    <w:rsid w:val="00221A99"/>
    <w:rsid w:val="00221C8E"/>
    <w:rsid w:val="00221D08"/>
    <w:rsid w:val="00222DF0"/>
    <w:rsid w:val="002231BB"/>
    <w:rsid w:val="00223833"/>
    <w:rsid w:val="00223A1A"/>
    <w:rsid w:val="00223B16"/>
    <w:rsid w:val="00223F8B"/>
    <w:rsid w:val="0022473A"/>
    <w:rsid w:val="00225254"/>
    <w:rsid w:val="0022654A"/>
    <w:rsid w:val="00226926"/>
    <w:rsid w:val="00226A67"/>
    <w:rsid w:val="00226FE6"/>
    <w:rsid w:val="00227403"/>
    <w:rsid w:val="00227507"/>
    <w:rsid w:val="00227722"/>
    <w:rsid w:val="002277A3"/>
    <w:rsid w:val="00227A8B"/>
    <w:rsid w:val="00227ADE"/>
    <w:rsid w:val="002300E1"/>
    <w:rsid w:val="00230BE2"/>
    <w:rsid w:val="00230DB4"/>
    <w:rsid w:val="00230DF5"/>
    <w:rsid w:val="00231422"/>
    <w:rsid w:val="00231AB3"/>
    <w:rsid w:val="00232073"/>
    <w:rsid w:val="0023244C"/>
    <w:rsid w:val="00233315"/>
    <w:rsid w:val="00233792"/>
    <w:rsid w:val="002339D6"/>
    <w:rsid w:val="00233AEA"/>
    <w:rsid w:val="00234075"/>
    <w:rsid w:val="0023433A"/>
    <w:rsid w:val="00234808"/>
    <w:rsid w:val="00234903"/>
    <w:rsid w:val="00235EF8"/>
    <w:rsid w:val="00236146"/>
    <w:rsid w:val="0023621C"/>
    <w:rsid w:val="002367ED"/>
    <w:rsid w:val="00236855"/>
    <w:rsid w:val="002369F4"/>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BC5"/>
    <w:rsid w:val="00242C47"/>
    <w:rsid w:val="00243040"/>
    <w:rsid w:val="00243561"/>
    <w:rsid w:val="002435BB"/>
    <w:rsid w:val="002435F4"/>
    <w:rsid w:val="00243BF4"/>
    <w:rsid w:val="00244726"/>
    <w:rsid w:val="00244EB1"/>
    <w:rsid w:val="00244FC5"/>
    <w:rsid w:val="00244FD9"/>
    <w:rsid w:val="00245221"/>
    <w:rsid w:val="00245312"/>
    <w:rsid w:val="00245388"/>
    <w:rsid w:val="00245981"/>
    <w:rsid w:val="00245B15"/>
    <w:rsid w:val="00245CEE"/>
    <w:rsid w:val="00245D2E"/>
    <w:rsid w:val="00246167"/>
    <w:rsid w:val="00246583"/>
    <w:rsid w:val="00246B46"/>
    <w:rsid w:val="00246EA3"/>
    <w:rsid w:val="002475AD"/>
    <w:rsid w:val="00247625"/>
    <w:rsid w:val="002477AD"/>
    <w:rsid w:val="0024788C"/>
    <w:rsid w:val="00247ADD"/>
    <w:rsid w:val="00247F41"/>
    <w:rsid w:val="0025006F"/>
    <w:rsid w:val="00250113"/>
    <w:rsid w:val="0025023B"/>
    <w:rsid w:val="00250429"/>
    <w:rsid w:val="002516BD"/>
    <w:rsid w:val="002519AD"/>
    <w:rsid w:val="0025203F"/>
    <w:rsid w:val="00252216"/>
    <w:rsid w:val="00252D61"/>
    <w:rsid w:val="00252D85"/>
    <w:rsid w:val="00252E33"/>
    <w:rsid w:val="002534E8"/>
    <w:rsid w:val="002535F7"/>
    <w:rsid w:val="00253614"/>
    <w:rsid w:val="002537EB"/>
    <w:rsid w:val="00253AA7"/>
    <w:rsid w:val="00253CA2"/>
    <w:rsid w:val="00253FB5"/>
    <w:rsid w:val="0025465C"/>
    <w:rsid w:val="002547AD"/>
    <w:rsid w:val="0025487F"/>
    <w:rsid w:val="002549CA"/>
    <w:rsid w:val="00254B8E"/>
    <w:rsid w:val="00256183"/>
    <w:rsid w:val="002561A3"/>
    <w:rsid w:val="0025627B"/>
    <w:rsid w:val="00256B7A"/>
    <w:rsid w:val="00256DF1"/>
    <w:rsid w:val="00257FBC"/>
    <w:rsid w:val="00260027"/>
    <w:rsid w:val="00260248"/>
    <w:rsid w:val="00260273"/>
    <w:rsid w:val="00260308"/>
    <w:rsid w:val="0026045A"/>
    <w:rsid w:val="00260567"/>
    <w:rsid w:val="0026092C"/>
    <w:rsid w:val="0026179B"/>
    <w:rsid w:val="00261BEA"/>
    <w:rsid w:val="00261D4E"/>
    <w:rsid w:val="00261F55"/>
    <w:rsid w:val="00262110"/>
    <w:rsid w:val="002622CA"/>
    <w:rsid w:val="002623B7"/>
    <w:rsid w:val="002624FB"/>
    <w:rsid w:val="0026258E"/>
    <w:rsid w:val="002625C8"/>
    <w:rsid w:val="0026279B"/>
    <w:rsid w:val="002627F3"/>
    <w:rsid w:val="00262D2F"/>
    <w:rsid w:val="00262D5C"/>
    <w:rsid w:val="0026313E"/>
    <w:rsid w:val="00263309"/>
    <w:rsid w:val="00263850"/>
    <w:rsid w:val="002639DC"/>
    <w:rsid w:val="00263B71"/>
    <w:rsid w:val="00263D3B"/>
    <w:rsid w:val="00263F12"/>
    <w:rsid w:val="00264279"/>
    <w:rsid w:val="00264562"/>
    <w:rsid w:val="002645E7"/>
    <w:rsid w:val="00264B05"/>
    <w:rsid w:val="002656C3"/>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659"/>
    <w:rsid w:val="00275E1E"/>
    <w:rsid w:val="0027698F"/>
    <w:rsid w:val="00276B79"/>
    <w:rsid w:val="00276D25"/>
    <w:rsid w:val="002772A0"/>
    <w:rsid w:val="00277362"/>
    <w:rsid w:val="002777F1"/>
    <w:rsid w:val="002779D2"/>
    <w:rsid w:val="00277AEF"/>
    <w:rsid w:val="00277E5D"/>
    <w:rsid w:val="00277ECF"/>
    <w:rsid w:val="00280123"/>
    <w:rsid w:val="002802AB"/>
    <w:rsid w:val="00280B65"/>
    <w:rsid w:val="00280C53"/>
    <w:rsid w:val="002814A8"/>
    <w:rsid w:val="002814E3"/>
    <w:rsid w:val="002815F9"/>
    <w:rsid w:val="0028173F"/>
    <w:rsid w:val="00282BB6"/>
    <w:rsid w:val="00282CD1"/>
    <w:rsid w:val="00282D67"/>
    <w:rsid w:val="00282F38"/>
    <w:rsid w:val="00283200"/>
    <w:rsid w:val="00283BE5"/>
    <w:rsid w:val="00283BF1"/>
    <w:rsid w:val="00283C93"/>
    <w:rsid w:val="00284102"/>
    <w:rsid w:val="00284187"/>
    <w:rsid w:val="002844E8"/>
    <w:rsid w:val="00284EE6"/>
    <w:rsid w:val="002854EC"/>
    <w:rsid w:val="002854F0"/>
    <w:rsid w:val="0028588E"/>
    <w:rsid w:val="00285DFE"/>
    <w:rsid w:val="002861F4"/>
    <w:rsid w:val="002863C2"/>
    <w:rsid w:val="002865A9"/>
    <w:rsid w:val="00286639"/>
    <w:rsid w:val="00286E2A"/>
    <w:rsid w:val="00286E7C"/>
    <w:rsid w:val="00286FE4"/>
    <w:rsid w:val="00287295"/>
    <w:rsid w:val="002872E8"/>
    <w:rsid w:val="002879D7"/>
    <w:rsid w:val="00287B03"/>
    <w:rsid w:val="00290008"/>
    <w:rsid w:val="00290F30"/>
    <w:rsid w:val="00290F5C"/>
    <w:rsid w:val="00291090"/>
    <w:rsid w:val="00291771"/>
    <w:rsid w:val="00291E79"/>
    <w:rsid w:val="00291F1C"/>
    <w:rsid w:val="00291F52"/>
    <w:rsid w:val="00292170"/>
    <w:rsid w:val="002921BF"/>
    <w:rsid w:val="0029289A"/>
    <w:rsid w:val="00292980"/>
    <w:rsid w:val="00292B7B"/>
    <w:rsid w:val="00292F71"/>
    <w:rsid w:val="002933C2"/>
    <w:rsid w:val="00293545"/>
    <w:rsid w:val="00294365"/>
    <w:rsid w:val="0029472E"/>
    <w:rsid w:val="00294926"/>
    <w:rsid w:val="0029528E"/>
    <w:rsid w:val="002954FC"/>
    <w:rsid w:val="0029591E"/>
    <w:rsid w:val="002959C4"/>
    <w:rsid w:val="00295D1C"/>
    <w:rsid w:val="00296C99"/>
    <w:rsid w:val="00297209"/>
    <w:rsid w:val="002979EC"/>
    <w:rsid w:val="00297A14"/>
    <w:rsid w:val="00297BED"/>
    <w:rsid w:val="002A02A7"/>
    <w:rsid w:val="002A0923"/>
    <w:rsid w:val="002A0ACC"/>
    <w:rsid w:val="002A1008"/>
    <w:rsid w:val="002A106A"/>
    <w:rsid w:val="002A1FE1"/>
    <w:rsid w:val="002A22FC"/>
    <w:rsid w:val="002A27C5"/>
    <w:rsid w:val="002A29A0"/>
    <w:rsid w:val="002A2B0E"/>
    <w:rsid w:val="002A2E15"/>
    <w:rsid w:val="002A312B"/>
    <w:rsid w:val="002A3204"/>
    <w:rsid w:val="002A38ED"/>
    <w:rsid w:val="002A38EF"/>
    <w:rsid w:val="002A40D9"/>
    <w:rsid w:val="002A475D"/>
    <w:rsid w:val="002A47EA"/>
    <w:rsid w:val="002A4872"/>
    <w:rsid w:val="002A4A7C"/>
    <w:rsid w:val="002A4CF0"/>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D7F"/>
    <w:rsid w:val="002B30AE"/>
    <w:rsid w:val="002B3101"/>
    <w:rsid w:val="002B3591"/>
    <w:rsid w:val="002B3A45"/>
    <w:rsid w:val="002B4048"/>
    <w:rsid w:val="002B4075"/>
    <w:rsid w:val="002B4B33"/>
    <w:rsid w:val="002B4C93"/>
    <w:rsid w:val="002B4E29"/>
    <w:rsid w:val="002B4ED8"/>
    <w:rsid w:val="002B4F90"/>
    <w:rsid w:val="002B5087"/>
    <w:rsid w:val="002B5314"/>
    <w:rsid w:val="002B5378"/>
    <w:rsid w:val="002B5681"/>
    <w:rsid w:val="002B5D4B"/>
    <w:rsid w:val="002B5E35"/>
    <w:rsid w:val="002B6091"/>
    <w:rsid w:val="002B6114"/>
    <w:rsid w:val="002B65C5"/>
    <w:rsid w:val="002B6B2A"/>
    <w:rsid w:val="002B7B94"/>
    <w:rsid w:val="002B7CA8"/>
    <w:rsid w:val="002C0374"/>
    <w:rsid w:val="002C07C4"/>
    <w:rsid w:val="002C08A6"/>
    <w:rsid w:val="002C08ED"/>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0D"/>
    <w:rsid w:val="002C6E40"/>
    <w:rsid w:val="002C6EC4"/>
    <w:rsid w:val="002C7035"/>
    <w:rsid w:val="002C7A6D"/>
    <w:rsid w:val="002C7AE9"/>
    <w:rsid w:val="002C7CBE"/>
    <w:rsid w:val="002C7F00"/>
    <w:rsid w:val="002D00FB"/>
    <w:rsid w:val="002D034B"/>
    <w:rsid w:val="002D049F"/>
    <w:rsid w:val="002D0CC4"/>
    <w:rsid w:val="002D167C"/>
    <w:rsid w:val="002D1951"/>
    <w:rsid w:val="002D22BF"/>
    <w:rsid w:val="002D268C"/>
    <w:rsid w:val="002D2CA3"/>
    <w:rsid w:val="002D2CC0"/>
    <w:rsid w:val="002D30D2"/>
    <w:rsid w:val="002D323B"/>
    <w:rsid w:val="002D35C3"/>
    <w:rsid w:val="002D3730"/>
    <w:rsid w:val="002D3909"/>
    <w:rsid w:val="002D3EC7"/>
    <w:rsid w:val="002D40E6"/>
    <w:rsid w:val="002D479C"/>
    <w:rsid w:val="002D48E5"/>
    <w:rsid w:val="002D5A5C"/>
    <w:rsid w:val="002D5DB6"/>
    <w:rsid w:val="002D5EBC"/>
    <w:rsid w:val="002D6480"/>
    <w:rsid w:val="002D6E26"/>
    <w:rsid w:val="002D6E7E"/>
    <w:rsid w:val="002D6F9C"/>
    <w:rsid w:val="002D76A5"/>
    <w:rsid w:val="002D7CB4"/>
    <w:rsid w:val="002E0DEA"/>
    <w:rsid w:val="002E0E28"/>
    <w:rsid w:val="002E0F64"/>
    <w:rsid w:val="002E103C"/>
    <w:rsid w:val="002E10DE"/>
    <w:rsid w:val="002E1361"/>
    <w:rsid w:val="002E1AE1"/>
    <w:rsid w:val="002E1CDD"/>
    <w:rsid w:val="002E235E"/>
    <w:rsid w:val="002E2452"/>
    <w:rsid w:val="002E2D6E"/>
    <w:rsid w:val="002E2EA0"/>
    <w:rsid w:val="002E39EA"/>
    <w:rsid w:val="002E4250"/>
    <w:rsid w:val="002E434D"/>
    <w:rsid w:val="002E4C49"/>
    <w:rsid w:val="002E4F45"/>
    <w:rsid w:val="002E510D"/>
    <w:rsid w:val="002E513D"/>
    <w:rsid w:val="002E53F5"/>
    <w:rsid w:val="002E5FAE"/>
    <w:rsid w:val="002E6319"/>
    <w:rsid w:val="002E67E7"/>
    <w:rsid w:val="002E67EA"/>
    <w:rsid w:val="002E6948"/>
    <w:rsid w:val="002E6C7E"/>
    <w:rsid w:val="002E6DE6"/>
    <w:rsid w:val="002E6EFD"/>
    <w:rsid w:val="002E76D6"/>
    <w:rsid w:val="002E789F"/>
    <w:rsid w:val="002E7D07"/>
    <w:rsid w:val="002E7F0B"/>
    <w:rsid w:val="002F0D70"/>
    <w:rsid w:val="002F0F66"/>
    <w:rsid w:val="002F124A"/>
    <w:rsid w:val="002F1321"/>
    <w:rsid w:val="002F198E"/>
    <w:rsid w:val="002F203B"/>
    <w:rsid w:val="002F4198"/>
    <w:rsid w:val="002F45B3"/>
    <w:rsid w:val="002F4815"/>
    <w:rsid w:val="002F4B3E"/>
    <w:rsid w:val="002F4B72"/>
    <w:rsid w:val="002F4B9C"/>
    <w:rsid w:val="002F4ED1"/>
    <w:rsid w:val="002F4F7A"/>
    <w:rsid w:val="002F500C"/>
    <w:rsid w:val="002F5189"/>
    <w:rsid w:val="002F6233"/>
    <w:rsid w:val="002F6322"/>
    <w:rsid w:val="002F640A"/>
    <w:rsid w:val="002F693B"/>
    <w:rsid w:val="002F7214"/>
    <w:rsid w:val="002F745B"/>
    <w:rsid w:val="002F7BA5"/>
    <w:rsid w:val="00300D65"/>
    <w:rsid w:val="00300D87"/>
    <w:rsid w:val="00301FF4"/>
    <w:rsid w:val="003020BF"/>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56A"/>
    <w:rsid w:val="00304E93"/>
    <w:rsid w:val="00305C2B"/>
    <w:rsid w:val="003063B4"/>
    <w:rsid w:val="00306CC3"/>
    <w:rsid w:val="00307B22"/>
    <w:rsid w:val="00307F94"/>
    <w:rsid w:val="0031017E"/>
    <w:rsid w:val="00310580"/>
    <w:rsid w:val="00310814"/>
    <w:rsid w:val="00310976"/>
    <w:rsid w:val="00310B78"/>
    <w:rsid w:val="00310E54"/>
    <w:rsid w:val="00311394"/>
    <w:rsid w:val="0031153A"/>
    <w:rsid w:val="0031155A"/>
    <w:rsid w:val="00312209"/>
    <w:rsid w:val="00312271"/>
    <w:rsid w:val="00312391"/>
    <w:rsid w:val="00312BCC"/>
    <w:rsid w:val="00313245"/>
    <w:rsid w:val="003134CB"/>
    <w:rsid w:val="00313A42"/>
    <w:rsid w:val="00313D02"/>
    <w:rsid w:val="00313DF4"/>
    <w:rsid w:val="00313E75"/>
    <w:rsid w:val="00314215"/>
    <w:rsid w:val="00314500"/>
    <w:rsid w:val="003151D3"/>
    <w:rsid w:val="00315913"/>
    <w:rsid w:val="00316278"/>
    <w:rsid w:val="003169F2"/>
    <w:rsid w:val="00316C30"/>
    <w:rsid w:val="00316E8E"/>
    <w:rsid w:val="00317E70"/>
    <w:rsid w:val="003201D7"/>
    <w:rsid w:val="00320A78"/>
    <w:rsid w:val="00320D72"/>
    <w:rsid w:val="00320E47"/>
    <w:rsid w:val="0032108B"/>
    <w:rsid w:val="003213CF"/>
    <w:rsid w:val="00321468"/>
    <w:rsid w:val="00321CDD"/>
    <w:rsid w:val="003221D7"/>
    <w:rsid w:val="00322B31"/>
    <w:rsid w:val="0032394B"/>
    <w:rsid w:val="00324008"/>
    <w:rsid w:val="0032424C"/>
    <w:rsid w:val="003242EC"/>
    <w:rsid w:val="00324BF7"/>
    <w:rsid w:val="00324D7F"/>
    <w:rsid w:val="00324DE2"/>
    <w:rsid w:val="0032504F"/>
    <w:rsid w:val="00325156"/>
    <w:rsid w:val="003253FB"/>
    <w:rsid w:val="0032608A"/>
    <w:rsid w:val="003262BB"/>
    <w:rsid w:val="00326479"/>
    <w:rsid w:val="00326981"/>
    <w:rsid w:val="003269FA"/>
    <w:rsid w:val="00326E60"/>
    <w:rsid w:val="00326ED9"/>
    <w:rsid w:val="00326F20"/>
    <w:rsid w:val="003271FC"/>
    <w:rsid w:val="003272DD"/>
    <w:rsid w:val="00327C40"/>
    <w:rsid w:val="00327FDD"/>
    <w:rsid w:val="00330691"/>
    <w:rsid w:val="0033075B"/>
    <w:rsid w:val="00330A4E"/>
    <w:rsid w:val="00330BBA"/>
    <w:rsid w:val="00330DE4"/>
    <w:rsid w:val="0033135F"/>
    <w:rsid w:val="00331B63"/>
    <w:rsid w:val="00331C68"/>
    <w:rsid w:val="00331DCC"/>
    <w:rsid w:val="00331DF8"/>
    <w:rsid w:val="003326B9"/>
    <w:rsid w:val="00332FAE"/>
    <w:rsid w:val="003331C5"/>
    <w:rsid w:val="00333E65"/>
    <w:rsid w:val="00334C06"/>
    <w:rsid w:val="003350D5"/>
    <w:rsid w:val="003357E6"/>
    <w:rsid w:val="00335A47"/>
    <w:rsid w:val="00335BD7"/>
    <w:rsid w:val="00335F4F"/>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11"/>
    <w:rsid w:val="00342AF4"/>
    <w:rsid w:val="00342E57"/>
    <w:rsid w:val="0034304E"/>
    <w:rsid w:val="0034359D"/>
    <w:rsid w:val="003435EE"/>
    <w:rsid w:val="0034365F"/>
    <w:rsid w:val="00343877"/>
    <w:rsid w:val="0034387E"/>
    <w:rsid w:val="00343918"/>
    <w:rsid w:val="00343A28"/>
    <w:rsid w:val="00343C9F"/>
    <w:rsid w:val="00343D5E"/>
    <w:rsid w:val="0034407C"/>
    <w:rsid w:val="003444E5"/>
    <w:rsid w:val="00344D3E"/>
    <w:rsid w:val="00345034"/>
    <w:rsid w:val="0034590A"/>
    <w:rsid w:val="00345E84"/>
    <w:rsid w:val="00346328"/>
    <w:rsid w:val="003463BA"/>
    <w:rsid w:val="003464C6"/>
    <w:rsid w:val="0034672F"/>
    <w:rsid w:val="00346963"/>
    <w:rsid w:val="003469E4"/>
    <w:rsid w:val="00346CB0"/>
    <w:rsid w:val="00346D50"/>
    <w:rsid w:val="003472B1"/>
    <w:rsid w:val="0034782B"/>
    <w:rsid w:val="00347B83"/>
    <w:rsid w:val="00347E0C"/>
    <w:rsid w:val="00347F98"/>
    <w:rsid w:val="00347FD7"/>
    <w:rsid w:val="00350414"/>
    <w:rsid w:val="00350614"/>
    <w:rsid w:val="00350629"/>
    <w:rsid w:val="00350E88"/>
    <w:rsid w:val="003512A4"/>
    <w:rsid w:val="00351374"/>
    <w:rsid w:val="0035196B"/>
    <w:rsid w:val="00351E78"/>
    <w:rsid w:val="00351EDE"/>
    <w:rsid w:val="00352E7D"/>
    <w:rsid w:val="003535D9"/>
    <w:rsid w:val="00353929"/>
    <w:rsid w:val="003544A9"/>
    <w:rsid w:val="00354973"/>
    <w:rsid w:val="00354C26"/>
    <w:rsid w:val="00355136"/>
    <w:rsid w:val="0035569B"/>
    <w:rsid w:val="00355913"/>
    <w:rsid w:val="003559BD"/>
    <w:rsid w:val="00355C48"/>
    <w:rsid w:val="0035663C"/>
    <w:rsid w:val="003568F3"/>
    <w:rsid w:val="00357A8D"/>
    <w:rsid w:val="0036020D"/>
    <w:rsid w:val="00360559"/>
    <w:rsid w:val="0036094E"/>
    <w:rsid w:val="00360A2F"/>
    <w:rsid w:val="00360A83"/>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795"/>
    <w:rsid w:val="00364A7B"/>
    <w:rsid w:val="00364BDF"/>
    <w:rsid w:val="00364CE4"/>
    <w:rsid w:val="00365024"/>
    <w:rsid w:val="0036504B"/>
    <w:rsid w:val="0036552B"/>
    <w:rsid w:val="003655BF"/>
    <w:rsid w:val="003656BC"/>
    <w:rsid w:val="00365AB1"/>
    <w:rsid w:val="00365E9D"/>
    <w:rsid w:val="0036614D"/>
    <w:rsid w:val="003665FE"/>
    <w:rsid w:val="003671D7"/>
    <w:rsid w:val="00367FA2"/>
    <w:rsid w:val="00370554"/>
    <w:rsid w:val="003706EC"/>
    <w:rsid w:val="00370725"/>
    <w:rsid w:val="003709E8"/>
    <w:rsid w:val="00370E71"/>
    <w:rsid w:val="00371162"/>
    <w:rsid w:val="003711F8"/>
    <w:rsid w:val="00371230"/>
    <w:rsid w:val="0037152B"/>
    <w:rsid w:val="003719E7"/>
    <w:rsid w:val="00371C1C"/>
    <w:rsid w:val="00371DB0"/>
    <w:rsid w:val="0037387B"/>
    <w:rsid w:val="00373A76"/>
    <w:rsid w:val="00373E28"/>
    <w:rsid w:val="00374931"/>
    <w:rsid w:val="0037599F"/>
    <w:rsid w:val="0037612A"/>
    <w:rsid w:val="00376343"/>
    <w:rsid w:val="00376447"/>
    <w:rsid w:val="00377166"/>
    <w:rsid w:val="003800FC"/>
    <w:rsid w:val="00380230"/>
    <w:rsid w:val="0038028E"/>
    <w:rsid w:val="00381464"/>
    <w:rsid w:val="0038150E"/>
    <w:rsid w:val="003819CA"/>
    <w:rsid w:val="00381A57"/>
    <w:rsid w:val="00381D79"/>
    <w:rsid w:val="0038246F"/>
    <w:rsid w:val="00382680"/>
    <w:rsid w:val="00382A78"/>
    <w:rsid w:val="00382DB0"/>
    <w:rsid w:val="00383448"/>
    <w:rsid w:val="00383E84"/>
    <w:rsid w:val="00384047"/>
    <w:rsid w:val="00384154"/>
    <w:rsid w:val="00384321"/>
    <w:rsid w:val="003847E3"/>
    <w:rsid w:val="00384AC3"/>
    <w:rsid w:val="00384E90"/>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BD9"/>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254"/>
    <w:rsid w:val="003944EA"/>
    <w:rsid w:val="0039452C"/>
    <w:rsid w:val="003945D3"/>
    <w:rsid w:val="0039501D"/>
    <w:rsid w:val="00395CC2"/>
    <w:rsid w:val="00395E45"/>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EEE"/>
    <w:rsid w:val="00397F59"/>
    <w:rsid w:val="003A00A2"/>
    <w:rsid w:val="003A00D7"/>
    <w:rsid w:val="003A0154"/>
    <w:rsid w:val="003A0295"/>
    <w:rsid w:val="003A042E"/>
    <w:rsid w:val="003A0869"/>
    <w:rsid w:val="003A0EFE"/>
    <w:rsid w:val="003A108D"/>
    <w:rsid w:val="003A154E"/>
    <w:rsid w:val="003A1E45"/>
    <w:rsid w:val="003A219E"/>
    <w:rsid w:val="003A2A23"/>
    <w:rsid w:val="003A2CB3"/>
    <w:rsid w:val="003A2FF2"/>
    <w:rsid w:val="003A319E"/>
    <w:rsid w:val="003A3511"/>
    <w:rsid w:val="003A3732"/>
    <w:rsid w:val="003A37AD"/>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4A1"/>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1F4"/>
    <w:rsid w:val="003B339C"/>
    <w:rsid w:val="003B384B"/>
    <w:rsid w:val="003B3BB4"/>
    <w:rsid w:val="003B4025"/>
    <w:rsid w:val="003B4775"/>
    <w:rsid w:val="003B4D22"/>
    <w:rsid w:val="003B5104"/>
    <w:rsid w:val="003B5609"/>
    <w:rsid w:val="003B5715"/>
    <w:rsid w:val="003B576E"/>
    <w:rsid w:val="003B588B"/>
    <w:rsid w:val="003B5BFC"/>
    <w:rsid w:val="003B60FB"/>
    <w:rsid w:val="003B61FF"/>
    <w:rsid w:val="003B6A65"/>
    <w:rsid w:val="003B6F17"/>
    <w:rsid w:val="003B7286"/>
    <w:rsid w:val="003B75B6"/>
    <w:rsid w:val="003B7930"/>
    <w:rsid w:val="003B7DD4"/>
    <w:rsid w:val="003C00EB"/>
    <w:rsid w:val="003C048B"/>
    <w:rsid w:val="003C07E3"/>
    <w:rsid w:val="003C0B03"/>
    <w:rsid w:val="003C0B14"/>
    <w:rsid w:val="003C0DE3"/>
    <w:rsid w:val="003C0F4A"/>
    <w:rsid w:val="003C1843"/>
    <w:rsid w:val="003C251D"/>
    <w:rsid w:val="003C26A8"/>
    <w:rsid w:val="003C275F"/>
    <w:rsid w:val="003C28CA"/>
    <w:rsid w:val="003C2A37"/>
    <w:rsid w:val="003C2D44"/>
    <w:rsid w:val="003C380F"/>
    <w:rsid w:val="003C3824"/>
    <w:rsid w:val="003C3F57"/>
    <w:rsid w:val="003C46F1"/>
    <w:rsid w:val="003C4928"/>
    <w:rsid w:val="003C495F"/>
    <w:rsid w:val="003C4F0D"/>
    <w:rsid w:val="003C5302"/>
    <w:rsid w:val="003C5E3F"/>
    <w:rsid w:val="003C649D"/>
    <w:rsid w:val="003C6FD0"/>
    <w:rsid w:val="003C73FA"/>
    <w:rsid w:val="003C7592"/>
    <w:rsid w:val="003C75D6"/>
    <w:rsid w:val="003C7732"/>
    <w:rsid w:val="003C7A0F"/>
    <w:rsid w:val="003C7B3E"/>
    <w:rsid w:val="003C7C45"/>
    <w:rsid w:val="003C7D97"/>
    <w:rsid w:val="003C7E47"/>
    <w:rsid w:val="003D0792"/>
    <w:rsid w:val="003D0980"/>
    <w:rsid w:val="003D0ACC"/>
    <w:rsid w:val="003D0D5F"/>
    <w:rsid w:val="003D0D7F"/>
    <w:rsid w:val="003D0EC2"/>
    <w:rsid w:val="003D1261"/>
    <w:rsid w:val="003D1524"/>
    <w:rsid w:val="003D1CB0"/>
    <w:rsid w:val="003D2059"/>
    <w:rsid w:val="003D21AD"/>
    <w:rsid w:val="003D21EB"/>
    <w:rsid w:val="003D22FD"/>
    <w:rsid w:val="003D239F"/>
    <w:rsid w:val="003D23EC"/>
    <w:rsid w:val="003D294C"/>
    <w:rsid w:val="003D34B1"/>
    <w:rsid w:val="003D34C2"/>
    <w:rsid w:val="003D3C0F"/>
    <w:rsid w:val="003D4968"/>
    <w:rsid w:val="003D4F6D"/>
    <w:rsid w:val="003D5866"/>
    <w:rsid w:val="003D58B2"/>
    <w:rsid w:val="003D5D64"/>
    <w:rsid w:val="003D6643"/>
    <w:rsid w:val="003D7533"/>
    <w:rsid w:val="003D7926"/>
    <w:rsid w:val="003E00DE"/>
    <w:rsid w:val="003E1651"/>
    <w:rsid w:val="003E19D0"/>
    <w:rsid w:val="003E21DB"/>
    <w:rsid w:val="003E23E6"/>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61A"/>
    <w:rsid w:val="003E5746"/>
    <w:rsid w:val="003E5795"/>
    <w:rsid w:val="003E5C07"/>
    <w:rsid w:val="003E620A"/>
    <w:rsid w:val="003E6AC1"/>
    <w:rsid w:val="003E6ACA"/>
    <w:rsid w:val="003E6E24"/>
    <w:rsid w:val="003E6E75"/>
    <w:rsid w:val="003E7016"/>
    <w:rsid w:val="003E711A"/>
    <w:rsid w:val="003E76F2"/>
    <w:rsid w:val="003F04C3"/>
    <w:rsid w:val="003F0690"/>
    <w:rsid w:val="003F0DAE"/>
    <w:rsid w:val="003F0E44"/>
    <w:rsid w:val="003F0FF3"/>
    <w:rsid w:val="003F1139"/>
    <w:rsid w:val="003F13AB"/>
    <w:rsid w:val="003F14E4"/>
    <w:rsid w:val="003F1E16"/>
    <w:rsid w:val="003F1E77"/>
    <w:rsid w:val="003F24FE"/>
    <w:rsid w:val="003F2AEE"/>
    <w:rsid w:val="003F2FF1"/>
    <w:rsid w:val="003F3726"/>
    <w:rsid w:val="003F3B96"/>
    <w:rsid w:val="003F3D1B"/>
    <w:rsid w:val="003F420C"/>
    <w:rsid w:val="003F4A91"/>
    <w:rsid w:val="003F4C25"/>
    <w:rsid w:val="003F52D6"/>
    <w:rsid w:val="003F5D1F"/>
    <w:rsid w:val="003F6344"/>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D3"/>
    <w:rsid w:val="00404109"/>
    <w:rsid w:val="00404976"/>
    <w:rsid w:val="00404DA5"/>
    <w:rsid w:val="004050FE"/>
    <w:rsid w:val="004053AC"/>
    <w:rsid w:val="00405835"/>
    <w:rsid w:val="00405C7B"/>
    <w:rsid w:val="00405CD6"/>
    <w:rsid w:val="0040710D"/>
    <w:rsid w:val="004074F4"/>
    <w:rsid w:val="0040761A"/>
    <w:rsid w:val="004077FA"/>
    <w:rsid w:val="0040788E"/>
    <w:rsid w:val="00410098"/>
    <w:rsid w:val="004100EA"/>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19"/>
    <w:rsid w:val="0041513A"/>
    <w:rsid w:val="004155EA"/>
    <w:rsid w:val="0041583D"/>
    <w:rsid w:val="00415D0F"/>
    <w:rsid w:val="00415FBE"/>
    <w:rsid w:val="004168E5"/>
    <w:rsid w:val="00416D29"/>
    <w:rsid w:val="00416D33"/>
    <w:rsid w:val="00416D7A"/>
    <w:rsid w:val="0041706B"/>
    <w:rsid w:val="004170BF"/>
    <w:rsid w:val="004175F0"/>
    <w:rsid w:val="004176E4"/>
    <w:rsid w:val="0042032C"/>
    <w:rsid w:val="0042050F"/>
    <w:rsid w:val="00420680"/>
    <w:rsid w:val="004214A4"/>
    <w:rsid w:val="0042172A"/>
    <w:rsid w:val="004218DE"/>
    <w:rsid w:val="00421952"/>
    <w:rsid w:val="00422640"/>
    <w:rsid w:val="00422912"/>
    <w:rsid w:val="00422C67"/>
    <w:rsid w:val="004230A6"/>
    <w:rsid w:val="00423318"/>
    <w:rsid w:val="00423372"/>
    <w:rsid w:val="0042358A"/>
    <w:rsid w:val="00423AFC"/>
    <w:rsid w:val="00423DBB"/>
    <w:rsid w:val="00423E41"/>
    <w:rsid w:val="004240FF"/>
    <w:rsid w:val="00424AE4"/>
    <w:rsid w:val="00424CB3"/>
    <w:rsid w:val="0042537C"/>
    <w:rsid w:val="00425C35"/>
    <w:rsid w:val="00425C39"/>
    <w:rsid w:val="004266A7"/>
    <w:rsid w:val="00426908"/>
    <w:rsid w:val="00426D76"/>
    <w:rsid w:val="00426E9A"/>
    <w:rsid w:val="0042708F"/>
    <w:rsid w:val="0042798C"/>
    <w:rsid w:val="00427CF2"/>
    <w:rsid w:val="00427CF3"/>
    <w:rsid w:val="00427D57"/>
    <w:rsid w:val="004305AC"/>
    <w:rsid w:val="00430B31"/>
    <w:rsid w:val="00430E60"/>
    <w:rsid w:val="00430F2C"/>
    <w:rsid w:val="004310CA"/>
    <w:rsid w:val="004312B0"/>
    <w:rsid w:val="00431653"/>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6F65"/>
    <w:rsid w:val="00437529"/>
    <w:rsid w:val="00437549"/>
    <w:rsid w:val="00437B07"/>
    <w:rsid w:val="00437E30"/>
    <w:rsid w:val="00440026"/>
    <w:rsid w:val="004407ED"/>
    <w:rsid w:val="004409C5"/>
    <w:rsid w:val="00440E3D"/>
    <w:rsid w:val="00440EA9"/>
    <w:rsid w:val="00441934"/>
    <w:rsid w:val="00441A3C"/>
    <w:rsid w:val="00441D7F"/>
    <w:rsid w:val="00442170"/>
    <w:rsid w:val="0044218F"/>
    <w:rsid w:val="00442484"/>
    <w:rsid w:val="00442773"/>
    <w:rsid w:val="00442984"/>
    <w:rsid w:val="00442CCC"/>
    <w:rsid w:val="00442EE8"/>
    <w:rsid w:val="004431DD"/>
    <w:rsid w:val="00443508"/>
    <w:rsid w:val="004436AC"/>
    <w:rsid w:val="00443824"/>
    <w:rsid w:val="00443871"/>
    <w:rsid w:val="00443951"/>
    <w:rsid w:val="0044397F"/>
    <w:rsid w:val="00443A4C"/>
    <w:rsid w:val="00444072"/>
    <w:rsid w:val="0044421C"/>
    <w:rsid w:val="004442B9"/>
    <w:rsid w:val="004445F7"/>
    <w:rsid w:val="00444D89"/>
    <w:rsid w:val="0044515C"/>
    <w:rsid w:val="0044589A"/>
    <w:rsid w:val="00445C03"/>
    <w:rsid w:val="00445FC4"/>
    <w:rsid w:val="004460AB"/>
    <w:rsid w:val="004468B6"/>
    <w:rsid w:val="00446A78"/>
    <w:rsid w:val="00446D43"/>
    <w:rsid w:val="00446E2F"/>
    <w:rsid w:val="004470D8"/>
    <w:rsid w:val="00447AF6"/>
    <w:rsid w:val="00447D06"/>
    <w:rsid w:val="00447E06"/>
    <w:rsid w:val="0045003F"/>
    <w:rsid w:val="0045023A"/>
    <w:rsid w:val="004502A6"/>
    <w:rsid w:val="004504D4"/>
    <w:rsid w:val="004512E1"/>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C36"/>
    <w:rsid w:val="00453E86"/>
    <w:rsid w:val="00454284"/>
    <w:rsid w:val="00454687"/>
    <w:rsid w:val="00454A56"/>
    <w:rsid w:val="00454C20"/>
    <w:rsid w:val="00454D85"/>
    <w:rsid w:val="00454FF4"/>
    <w:rsid w:val="0045543C"/>
    <w:rsid w:val="0045574A"/>
    <w:rsid w:val="004558D4"/>
    <w:rsid w:val="00455A25"/>
    <w:rsid w:val="0045618B"/>
    <w:rsid w:val="0045625D"/>
    <w:rsid w:val="0045696D"/>
    <w:rsid w:val="00456C26"/>
    <w:rsid w:val="004570B6"/>
    <w:rsid w:val="004571DA"/>
    <w:rsid w:val="0045762F"/>
    <w:rsid w:val="0046071C"/>
    <w:rsid w:val="00460802"/>
    <w:rsid w:val="00460D86"/>
    <w:rsid w:val="004610FE"/>
    <w:rsid w:val="004611F2"/>
    <w:rsid w:val="004612D1"/>
    <w:rsid w:val="0046220C"/>
    <w:rsid w:val="00462322"/>
    <w:rsid w:val="00462368"/>
    <w:rsid w:val="00462798"/>
    <w:rsid w:val="00462C63"/>
    <w:rsid w:val="004635D2"/>
    <w:rsid w:val="004642AE"/>
    <w:rsid w:val="004648C9"/>
    <w:rsid w:val="00464BFE"/>
    <w:rsid w:val="00464CFA"/>
    <w:rsid w:val="004651B1"/>
    <w:rsid w:val="00465674"/>
    <w:rsid w:val="0046577D"/>
    <w:rsid w:val="00465BD2"/>
    <w:rsid w:val="00465EE8"/>
    <w:rsid w:val="004660CF"/>
    <w:rsid w:val="00466395"/>
    <w:rsid w:val="0046639A"/>
    <w:rsid w:val="0046642E"/>
    <w:rsid w:val="0046649A"/>
    <w:rsid w:val="00466613"/>
    <w:rsid w:val="00466B39"/>
    <w:rsid w:val="0046798F"/>
    <w:rsid w:val="00467FD7"/>
    <w:rsid w:val="004709E6"/>
    <w:rsid w:val="00471BB1"/>
    <w:rsid w:val="00471F41"/>
    <w:rsid w:val="00472385"/>
    <w:rsid w:val="004723F3"/>
    <w:rsid w:val="00472929"/>
    <w:rsid w:val="00472AC8"/>
    <w:rsid w:val="00472CC2"/>
    <w:rsid w:val="00472E89"/>
    <w:rsid w:val="004731E3"/>
    <w:rsid w:val="00473236"/>
    <w:rsid w:val="0047360A"/>
    <w:rsid w:val="00474160"/>
    <w:rsid w:val="0047452D"/>
    <w:rsid w:val="004746AE"/>
    <w:rsid w:val="00474ABA"/>
    <w:rsid w:val="00474F0A"/>
    <w:rsid w:val="004750CF"/>
    <w:rsid w:val="00475327"/>
    <w:rsid w:val="004757F1"/>
    <w:rsid w:val="00475883"/>
    <w:rsid w:val="00475C8E"/>
    <w:rsid w:val="00475F68"/>
    <w:rsid w:val="00476DB3"/>
    <w:rsid w:val="004773A7"/>
    <w:rsid w:val="00477CAE"/>
    <w:rsid w:val="00477F8C"/>
    <w:rsid w:val="004801B2"/>
    <w:rsid w:val="004804C7"/>
    <w:rsid w:val="00480BA2"/>
    <w:rsid w:val="004812E5"/>
    <w:rsid w:val="004814D4"/>
    <w:rsid w:val="004819F4"/>
    <w:rsid w:val="00482084"/>
    <w:rsid w:val="004827D1"/>
    <w:rsid w:val="00482EB2"/>
    <w:rsid w:val="004831FC"/>
    <w:rsid w:val="004835A6"/>
    <w:rsid w:val="00483781"/>
    <w:rsid w:val="004838D2"/>
    <w:rsid w:val="004838FB"/>
    <w:rsid w:val="004839D3"/>
    <w:rsid w:val="00483A27"/>
    <w:rsid w:val="00483BB3"/>
    <w:rsid w:val="00484BAE"/>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6BB0"/>
    <w:rsid w:val="00496E2A"/>
    <w:rsid w:val="004976B4"/>
    <w:rsid w:val="004977B5"/>
    <w:rsid w:val="00497828"/>
    <w:rsid w:val="00497912"/>
    <w:rsid w:val="00497D09"/>
    <w:rsid w:val="004A0530"/>
    <w:rsid w:val="004A05F1"/>
    <w:rsid w:val="004A0D89"/>
    <w:rsid w:val="004A0F18"/>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7B02"/>
    <w:rsid w:val="004A7D63"/>
    <w:rsid w:val="004B0741"/>
    <w:rsid w:val="004B13DC"/>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4C27"/>
    <w:rsid w:val="004B5517"/>
    <w:rsid w:val="004B57D4"/>
    <w:rsid w:val="004B5811"/>
    <w:rsid w:val="004B58B3"/>
    <w:rsid w:val="004B5D94"/>
    <w:rsid w:val="004B6289"/>
    <w:rsid w:val="004B63C7"/>
    <w:rsid w:val="004B644A"/>
    <w:rsid w:val="004B6C37"/>
    <w:rsid w:val="004B796D"/>
    <w:rsid w:val="004B7A9A"/>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602"/>
    <w:rsid w:val="004C3BB6"/>
    <w:rsid w:val="004C4FE4"/>
    <w:rsid w:val="004C51C3"/>
    <w:rsid w:val="004C5837"/>
    <w:rsid w:val="004C5914"/>
    <w:rsid w:val="004C71F0"/>
    <w:rsid w:val="004C7773"/>
    <w:rsid w:val="004C779D"/>
    <w:rsid w:val="004C7988"/>
    <w:rsid w:val="004C7A97"/>
    <w:rsid w:val="004C7D21"/>
    <w:rsid w:val="004D05A1"/>
    <w:rsid w:val="004D0624"/>
    <w:rsid w:val="004D06AE"/>
    <w:rsid w:val="004D0CFA"/>
    <w:rsid w:val="004D0EB2"/>
    <w:rsid w:val="004D0F9C"/>
    <w:rsid w:val="004D106B"/>
    <w:rsid w:val="004D1A9B"/>
    <w:rsid w:val="004D1E88"/>
    <w:rsid w:val="004D1EFA"/>
    <w:rsid w:val="004D2134"/>
    <w:rsid w:val="004D261D"/>
    <w:rsid w:val="004D28EF"/>
    <w:rsid w:val="004D2CCB"/>
    <w:rsid w:val="004D2F1F"/>
    <w:rsid w:val="004D3458"/>
    <w:rsid w:val="004D3ABE"/>
    <w:rsid w:val="004D3BC3"/>
    <w:rsid w:val="004D3C99"/>
    <w:rsid w:val="004D3F19"/>
    <w:rsid w:val="004D3F41"/>
    <w:rsid w:val="004D4098"/>
    <w:rsid w:val="004D4487"/>
    <w:rsid w:val="004D4D8B"/>
    <w:rsid w:val="004D52F1"/>
    <w:rsid w:val="004D5AB6"/>
    <w:rsid w:val="004D621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0F"/>
    <w:rsid w:val="004E2B2E"/>
    <w:rsid w:val="004E3146"/>
    <w:rsid w:val="004E31BA"/>
    <w:rsid w:val="004E3353"/>
    <w:rsid w:val="004E34E3"/>
    <w:rsid w:val="004E40BD"/>
    <w:rsid w:val="004E4510"/>
    <w:rsid w:val="004E4D34"/>
    <w:rsid w:val="004E5263"/>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AAB"/>
    <w:rsid w:val="004F5F01"/>
    <w:rsid w:val="004F610C"/>
    <w:rsid w:val="004F6625"/>
    <w:rsid w:val="004F6956"/>
    <w:rsid w:val="004F6A81"/>
    <w:rsid w:val="004F70AB"/>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3B"/>
    <w:rsid w:val="00502BA3"/>
    <w:rsid w:val="00502D49"/>
    <w:rsid w:val="00503386"/>
    <w:rsid w:val="005036F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DEF"/>
    <w:rsid w:val="00506E6B"/>
    <w:rsid w:val="005072EA"/>
    <w:rsid w:val="005077C7"/>
    <w:rsid w:val="00507B2E"/>
    <w:rsid w:val="00507F90"/>
    <w:rsid w:val="005104C2"/>
    <w:rsid w:val="00510C5E"/>
    <w:rsid w:val="00511311"/>
    <w:rsid w:val="00511B4D"/>
    <w:rsid w:val="00511B62"/>
    <w:rsid w:val="00511D57"/>
    <w:rsid w:val="00511FC2"/>
    <w:rsid w:val="00512083"/>
    <w:rsid w:val="0051211F"/>
    <w:rsid w:val="0051286E"/>
    <w:rsid w:val="005128FD"/>
    <w:rsid w:val="00512905"/>
    <w:rsid w:val="00512C1E"/>
    <w:rsid w:val="00512CFD"/>
    <w:rsid w:val="00512FBD"/>
    <w:rsid w:val="005135E1"/>
    <w:rsid w:val="00513AA5"/>
    <w:rsid w:val="00514103"/>
    <w:rsid w:val="0051420E"/>
    <w:rsid w:val="00514634"/>
    <w:rsid w:val="005147EB"/>
    <w:rsid w:val="00514BCC"/>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34C"/>
    <w:rsid w:val="005304EF"/>
    <w:rsid w:val="00530D9D"/>
    <w:rsid w:val="005312E1"/>
    <w:rsid w:val="00531994"/>
    <w:rsid w:val="00531D4B"/>
    <w:rsid w:val="00531F5B"/>
    <w:rsid w:val="0053259B"/>
    <w:rsid w:val="005325C4"/>
    <w:rsid w:val="00532A73"/>
    <w:rsid w:val="00532AD1"/>
    <w:rsid w:val="00532C1F"/>
    <w:rsid w:val="005330DF"/>
    <w:rsid w:val="0053359E"/>
    <w:rsid w:val="00533B4B"/>
    <w:rsid w:val="005340BB"/>
    <w:rsid w:val="005340FA"/>
    <w:rsid w:val="0053432F"/>
    <w:rsid w:val="00534532"/>
    <w:rsid w:val="00534A3D"/>
    <w:rsid w:val="00534C4C"/>
    <w:rsid w:val="00534D1D"/>
    <w:rsid w:val="00534E60"/>
    <w:rsid w:val="0053547A"/>
    <w:rsid w:val="005358F1"/>
    <w:rsid w:val="005359BC"/>
    <w:rsid w:val="00535D24"/>
    <w:rsid w:val="00535F80"/>
    <w:rsid w:val="00536290"/>
    <w:rsid w:val="0053634B"/>
    <w:rsid w:val="00536506"/>
    <w:rsid w:val="00536540"/>
    <w:rsid w:val="00536EC3"/>
    <w:rsid w:val="00536FF2"/>
    <w:rsid w:val="00537194"/>
    <w:rsid w:val="005372C5"/>
    <w:rsid w:val="00537340"/>
    <w:rsid w:val="005373D9"/>
    <w:rsid w:val="005376A0"/>
    <w:rsid w:val="0053786B"/>
    <w:rsid w:val="00537893"/>
    <w:rsid w:val="00540170"/>
    <w:rsid w:val="005406ED"/>
    <w:rsid w:val="0054096C"/>
    <w:rsid w:val="00541346"/>
    <w:rsid w:val="00541387"/>
    <w:rsid w:val="005414E4"/>
    <w:rsid w:val="0054161B"/>
    <w:rsid w:val="005416D0"/>
    <w:rsid w:val="00541823"/>
    <w:rsid w:val="00541A88"/>
    <w:rsid w:val="00541B03"/>
    <w:rsid w:val="00541E23"/>
    <w:rsid w:val="005425D4"/>
    <w:rsid w:val="00542EEE"/>
    <w:rsid w:val="005434D8"/>
    <w:rsid w:val="00543F0D"/>
    <w:rsid w:val="00544003"/>
    <w:rsid w:val="00544507"/>
    <w:rsid w:val="00544E42"/>
    <w:rsid w:val="00545262"/>
    <w:rsid w:val="00545D01"/>
    <w:rsid w:val="00545E4A"/>
    <w:rsid w:val="00546668"/>
    <w:rsid w:val="005468C4"/>
    <w:rsid w:val="00546A4D"/>
    <w:rsid w:val="00546DF1"/>
    <w:rsid w:val="00547226"/>
    <w:rsid w:val="00547A55"/>
    <w:rsid w:val="00550159"/>
    <w:rsid w:val="00550620"/>
    <w:rsid w:val="00550721"/>
    <w:rsid w:val="0055093E"/>
    <w:rsid w:val="005509E4"/>
    <w:rsid w:val="00550DD8"/>
    <w:rsid w:val="00550F4E"/>
    <w:rsid w:val="00552043"/>
    <w:rsid w:val="0055216D"/>
    <w:rsid w:val="0055219E"/>
    <w:rsid w:val="00552403"/>
    <w:rsid w:val="0055276D"/>
    <w:rsid w:val="0055301F"/>
    <w:rsid w:val="005538ED"/>
    <w:rsid w:val="00554425"/>
    <w:rsid w:val="00554565"/>
    <w:rsid w:val="0055494C"/>
    <w:rsid w:val="00554A73"/>
    <w:rsid w:val="00554AD0"/>
    <w:rsid w:val="00554B06"/>
    <w:rsid w:val="00554FE7"/>
    <w:rsid w:val="00555209"/>
    <w:rsid w:val="00555503"/>
    <w:rsid w:val="005555FF"/>
    <w:rsid w:val="0055577A"/>
    <w:rsid w:val="00555D9C"/>
    <w:rsid w:val="00555E37"/>
    <w:rsid w:val="0055635A"/>
    <w:rsid w:val="00556856"/>
    <w:rsid w:val="00557155"/>
    <w:rsid w:val="00557237"/>
    <w:rsid w:val="00557321"/>
    <w:rsid w:val="00557AA7"/>
    <w:rsid w:val="00560A5A"/>
    <w:rsid w:val="00561014"/>
    <w:rsid w:val="005611E6"/>
    <w:rsid w:val="005615DF"/>
    <w:rsid w:val="00561959"/>
    <w:rsid w:val="00562751"/>
    <w:rsid w:val="00562AA7"/>
    <w:rsid w:val="00562ACA"/>
    <w:rsid w:val="00562F7D"/>
    <w:rsid w:val="00563253"/>
    <w:rsid w:val="00563D5E"/>
    <w:rsid w:val="00563DEC"/>
    <w:rsid w:val="00564013"/>
    <w:rsid w:val="005640FC"/>
    <w:rsid w:val="00564AEC"/>
    <w:rsid w:val="00565558"/>
    <w:rsid w:val="00565E19"/>
    <w:rsid w:val="00565FB5"/>
    <w:rsid w:val="00566396"/>
    <w:rsid w:val="0056643B"/>
    <w:rsid w:val="005668B3"/>
    <w:rsid w:val="005669F9"/>
    <w:rsid w:val="00566E12"/>
    <w:rsid w:val="005670F0"/>
    <w:rsid w:val="0056791F"/>
    <w:rsid w:val="00567C8E"/>
    <w:rsid w:val="005702C9"/>
    <w:rsid w:val="00570428"/>
    <w:rsid w:val="00570648"/>
    <w:rsid w:val="00570FBD"/>
    <w:rsid w:val="00571247"/>
    <w:rsid w:val="0057128C"/>
    <w:rsid w:val="0057153D"/>
    <w:rsid w:val="00572089"/>
    <w:rsid w:val="005724AB"/>
    <w:rsid w:val="0057265C"/>
    <w:rsid w:val="00572865"/>
    <w:rsid w:val="00572B63"/>
    <w:rsid w:val="005737B9"/>
    <w:rsid w:val="005739C4"/>
    <w:rsid w:val="00573DFB"/>
    <w:rsid w:val="00574752"/>
    <w:rsid w:val="0057482A"/>
    <w:rsid w:val="00575038"/>
    <w:rsid w:val="005751F7"/>
    <w:rsid w:val="0057520C"/>
    <w:rsid w:val="00575401"/>
    <w:rsid w:val="0057547D"/>
    <w:rsid w:val="00575949"/>
    <w:rsid w:val="005763FD"/>
    <w:rsid w:val="00576880"/>
    <w:rsid w:val="00576913"/>
    <w:rsid w:val="00576C38"/>
    <w:rsid w:val="00576E0D"/>
    <w:rsid w:val="00576FAC"/>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44CE"/>
    <w:rsid w:val="00584598"/>
    <w:rsid w:val="0058473F"/>
    <w:rsid w:val="0058561A"/>
    <w:rsid w:val="00585872"/>
    <w:rsid w:val="00585A42"/>
    <w:rsid w:val="00586133"/>
    <w:rsid w:val="005863D8"/>
    <w:rsid w:val="0058673C"/>
    <w:rsid w:val="0058674B"/>
    <w:rsid w:val="0058695E"/>
    <w:rsid w:val="00586A9B"/>
    <w:rsid w:val="00586D85"/>
    <w:rsid w:val="00587BCC"/>
    <w:rsid w:val="0059035D"/>
    <w:rsid w:val="00590AE5"/>
    <w:rsid w:val="00590D92"/>
    <w:rsid w:val="00591F0D"/>
    <w:rsid w:val="005920D2"/>
    <w:rsid w:val="0059236B"/>
    <w:rsid w:val="005933B0"/>
    <w:rsid w:val="00593DD6"/>
    <w:rsid w:val="0059482D"/>
    <w:rsid w:val="00594A81"/>
    <w:rsid w:val="00594EE2"/>
    <w:rsid w:val="00595419"/>
    <w:rsid w:val="00595AF0"/>
    <w:rsid w:val="00595D45"/>
    <w:rsid w:val="00595FCB"/>
    <w:rsid w:val="005963F5"/>
    <w:rsid w:val="00596704"/>
    <w:rsid w:val="005967BB"/>
    <w:rsid w:val="00597F15"/>
    <w:rsid w:val="00597F55"/>
    <w:rsid w:val="005A0715"/>
    <w:rsid w:val="005A0986"/>
    <w:rsid w:val="005A1559"/>
    <w:rsid w:val="005A1724"/>
    <w:rsid w:val="005A18C1"/>
    <w:rsid w:val="005A1D56"/>
    <w:rsid w:val="005A1EEE"/>
    <w:rsid w:val="005A2898"/>
    <w:rsid w:val="005A33E1"/>
    <w:rsid w:val="005A3DBE"/>
    <w:rsid w:val="005A3EF1"/>
    <w:rsid w:val="005A404E"/>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3ED"/>
    <w:rsid w:val="005A748D"/>
    <w:rsid w:val="005A761D"/>
    <w:rsid w:val="005A7F94"/>
    <w:rsid w:val="005B067C"/>
    <w:rsid w:val="005B0AEE"/>
    <w:rsid w:val="005B0C73"/>
    <w:rsid w:val="005B0CE0"/>
    <w:rsid w:val="005B17AE"/>
    <w:rsid w:val="005B1BC3"/>
    <w:rsid w:val="005B248C"/>
    <w:rsid w:val="005B2599"/>
    <w:rsid w:val="005B26FE"/>
    <w:rsid w:val="005B276B"/>
    <w:rsid w:val="005B2BDB"/>
    <w:rsid w:val="005B2CD6"/>
    <w:rsid w:val="005B2CF6"/>
    <w:rsid w:val="005B2ED9"/>
    <w:rsid w:val="005B366D"/>
    <w:rsid w:val="005B3D55"/>
    <w:rsid w:val="005B3FDA"/>
    <w:rsid w:val="005B4049"/>
    <w:rsid w:val="005B40B2"/>
    <w:rsid w:val="005B4175"/>
    <w:rsid w:val="005B41DC"/>
    <w:rsid w:val="005B4512"/>
    <w:rsid w:val="005B45DE"/>
    <w:rsid w:val="005B53E3"/>
    <w:rsid w:val="005B56A4"/>
    <w:rsid w:val="005B60DD"/>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2701"/>
    <w:rsid w:val="005C35E7"/>
    <w:rsid w:val="005C3753"/>
    <w:rsid w:val="005C3781"/>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31D"/>
    <w:rsid w:val="005D06C2"/>
    <w:rsid w:val="005D08F3"/>
    <w:rsid w:val="005D0EAD"/>
    <w:rsid w:val="005D122F"/>
    <w:rsid w:val="005D1478"/>
    <w:rsid w:val="005D180E"/>
    <w:rsid w:val="005D1939"/>
    <w:rsid w:val="005D1CBC"/>
    <w:rsid w:val="005D2150"/>
    <w:rsid w:val="005D2259"/>
    <w:rsid w:val="005D27A7"/>
    <w:rsid w:val="005D29C0"/>
    <w:rsid w:val="005D2AEF"/>
    <w:rsid w:val="005D2B6E"/>
    <w:rsid w:val="005D2D32"/>
    <w:rsid w:val="005D3246"/>
    <w:rsid w:val="005D3616"/>
    <w:rsid w:val="005D375F"/>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F7"/>
    <w:rsid w:val="005E2302"/>
    <w:rsid w:val="005E2698"/>
    <w:rsid w:val="005E26C7"/>
    <w:rsid w:val="005E30E8"/>
    <w:rsid w:val="005E3863"/>
    <w:rsid w:val="005E39DF"/>
    <w:rsid w:val="005E3AD3"/>
    <w:rsid w:val="005E4106"/>
    <w:rsid w:val="005E43F4"/>
    <w:rsid w:val="005E489B"/>
    <w:rsid w:val="005E4A9C"/>
    <w:rsid w:val="005E4FFA"/>
    <w:rsid w:val="005E50EF"/>
    <w:rsid w:val="005E5462"/>
    <w:rsid w:val="005E54A8"/>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5BE"/>
    <w:rsid w:val="005F1689"/>
    <w:rsid w:val="005F1D79"/>
    <w:rsid w:val="005F2875"/>
    <w:rsid w:val="005F2DEA"/>
    <w:rsid w:val="005F304A"/>
    <w:rsid w:val="005F318B"/>
    <w:rsid w:val="005F323F"/>
    <w:rsid w:val="005F3357"/>
    <w:rsid w:val="005F3677"/>
    <w:rsid w:val="005F3DEF"/>
    <w:rsid w:val="005F491C"/>
    <w:rsid w:val="005F51D7"/>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0F19"/>
    <w:rsid w:val="006012FA"/>
    <w:rsid w:val="00601304"/>
    <w:rsid w:val="00601783"/>
    <w:rsid w:val="00601ADB"/>
    <w:rsid w:val="0060221E"/>
    <w:rsid w:val="0060285F"/>
    <w:rsid w:val="00602F86"/>
    <w:rsid w:val="0060306A"/>
    <w:rsid w:val="006034BB"/>
    <w:rsid w:val="00603630"/>
    <w:rsid w:val="00603ADE"/>
    <w:rsid w:val="00604AB4"/>
    <w:rsid w:val="00604BC8"/>
    <w:rsid w:val="00604FB4"/>
    <w:rsid w:val="0060509F"/>
    <w:rsid w:val="0060533F"/>
    <w:rsid w:val="0060548A"/>
    <w:rsid w:val="00605917"/>
    <w:rsid w:val="00605AD8"/>
    <w:rsid w:val="00606295"/>
    <w:rsid w:val="00606310"/>
    <w:rsid w:val="006068EF"/>
    <w:rsid w:val="00606D17"/>
    <w:rsid w:val="00610811"/>
    <w:rsid w:val="00610FFE"/>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37"/>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9C0"/>
    <w:rsid w:val="00625FDE"/>
    <w:rsid w:val="00626845"/>
    <w:rsid w:val="006268D4"/>
    <w:rsid w:val="00627054"/>
    <w:rsid w:val="00627F24"/>
    <w:rsid w:val="0063004C"/>
    <w:rsid w:val="006300EA"/>
    <w:rsid w:val="006305BA"/>
    <w:rsid w:val="0063072D"/>
    <w:rsid w:val="0063075B"/>
    <w:rsid w:val="00630CBF"/>
    <w:rsid w:val="00630DB9"/>
    <w:rsid w:val="00630E7D"/>
    <w:rsid w:val="006313E6"/>
    <w:rsid w:val="0063160E"/>
    <w:rsid w:val="006318D8"/>
    <w:rsid w:val="00631C2C"/>
    <w:rsid w:val="00632E8C"/>
    <w:rsid w:val="00633BDB"/>
    <w:rsid w:val="00633EE7"/>
    <w:rsid w:val="00633FFC"/>
    <w:rsid w:val="00634B57"/>
    <w:rsid w:val="00634B6C"/>
    <w:rsid w:val="0063545B"/>
    <w:rsid w:val="006354BF"/>
    <w:rsid w:val="0063570E"/>
    <w:rsid w:val="00635DE7"/>
    <w:rsid w:val="00636448"/>
    <w:rsid w:val="006364A1"/>
    <w:rsid w:val="006369D4"/>
    <w:rsid w:val="00636F31"/>
    <w:rsid w:val="00636FAD"/>
    <w:rsid w:val="00637CC2"/>
    <w:rsid w:val="00637E3D"/>
    <w:rsid w:val="0064094A"/>
    <w:rsid w:val="00640F08"/>
    <w:rsid w:val="006418E5"/>
    <w:rsid w:val="00642516"/>
    <w:rsid w:val="00642ED9"/>
    <w:rsid w:val="00642F38"/>
    <w:rsid w:val="00643063"/>
    <w:rsid w:val="006434C7"/>
    <w:rsid w:val="006439FB"/>
    <w:rsid w:val="00643AAF"/>
    <w:rsid w:val="00644206"/>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BA7"/>
    <w:rsid w:val="00650D36"/>
    <w:rsid w:val="00650F37"/>
    <w:rsid w:val="0065174E"/>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1C"/>
    <w:rsid w:val="00657275"/>
    <w:rsid w:val="00657531"/>
    <w:rsid w:val="00657560"/>
    <w:rsid w:val="00657722"/>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3FE3"/>
    <w:rsid w:val="0066448F"/>
    <w:rsid w:val="0066473D"/>
    <w:rsid w:val="00664A52"/>
    <w:rsid w:val="00664B11"/>
    <w:rsid w:val="00664CBE"/>
    <w:rsid w:val="00664F3C"/>
    <w:rsid w:val="00664FD0"/>
    <w:rsid w:val="006650B2"/>
    <w:rsid w:val="00665A15"/>
    <w:rsid w:val="00666237"/>
    <w:rsid w:val="006662E0"/>
    <w:rsid w:val="006665ED"/>
    <w:rsid w:val="00666AB2"/>
    <w:rsid w:val="00666FCA"/>
    <w:rsid w:val="0066736B"/>
    <w:rsid w:val="00667427"/>
    <w:rsid w:val="00667452"/>
    <w:rsid w:val="0066766F"/>
    <w:rsid w:val="0066791E"/>
    <w:rsid w:val="00667A3C"/>
    <w:rsid w:val="00667B5B"/>
    <w:rsid w:val="00667BA7"/>
    <w:rsid w:val="00670642"/>
    <w:rsid w:val="0067099D"/>
    <w:rsid w:val="00670EF9"/>
    <w:rsid w:val="00671EE8"/>
    <w:rsid w:val="00671FA7"/>
    <w:rsid w:val="006720B1"/>
    <w:rsid w:val="00672445"/>
    <w:rsid w:val="0067290B"/>
    <w:rsid w:val="0067311F"/>
    <w:rsid w:val="0067322A"/>
    <w:rsid w:val="006736E9"/>
    <w:rsid w:val="00673700"/>
    <w:rsid w:val="00673C43"/>
    <w:rsid w:val="00673C5E"/>
    <w:rsid w:val="00674335"/>
    <w:rsid w:val="00674505"/>
    <w:rsid w:val="00675E6F"/>
    <w:rsid w:val="006764DC"/>
    <w:rsid w:val="0067651C"/>
    <w:rsid w:val="0067659C"/>
    <w:rsid w:val="00676A64"/>
    <w:rsid w:val="00676BA4"/>
    <w:rsid w:val="00676C36"/>
    <w:rsid w:val="00676DF9"/>
    <w:rsid w:val="00676FB1"/>
    <w:rsid w:val="00677418"/>
    <w:rsid w:val="0067751F"/>
    <w:rsid w:val="00677929"/>
    <w:rsid w:val="00677FAA"/>
    <w:rsid w:val="00677FD4"/>
    <w:rsid w:val="0068050F"/>
    <w:rsid w:val="0068073E"/>
    <w:rsid w:val="00680944"/>
    <w:rsid w:val="00680A79"/>
    <w:rsid w:val="00680EF6"/>
    <w:rsid w:val="00681080"/>
    <w:rsid w:val="006810A9"/>
    <w:rsid w:val="0068140A"/>
    <w:rsid w:val="00681689"/>
    <w:rsid w:val="00681799"/>
    <w:rsid w:val="0068182D"/>
    <w:rsid w:val="006818D8"/>
    <w:rsid w:val="0068192F"/>
    <w:rsid w:val="00681BBB"/>
    <w:rsid w:val="00682198"/>
    <w:rsid w:val="006824B2"/>
    <w:rsid w:val="00682678"/>
    <w:rsid w:val="006827EC"/>
    <w:rsid w:val="00682A64"/>
    <w:rsid w:val="00682B9C"/>
    <w:rsid w:val="00682BB5"/>
    <w:rsid w:val="00683033"/>
    <w:rsid w:val="00683B4B"/>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6AC"/>
    <w:rsid w:val="00687782"/>
    <w:rsid w:val="00687E62"/>
    <w:rsid w:val="006903A8"/>
    <w:rsid w:val="006903FE"/>
    <w:rsid w:val="00690848"/>
    <w:rsid w:val="00690881"/>
    <w:rsid w:val="00690A6A"/>
    <w:rsid w:val="00690C66"/>
    <w:rsid w:val="006918D5"/>
    <w:rsid w:val="00691A65"/>
    <w:rsid w:val="00691E32"/>
    <w:rsid w:val="00691F12"/>
    <w:rsid w:val="00692185"/>
    <w:rsid w:val="00692438"/>
    <w:rsid w:val="00692594"/>
    <w:rsid w:val="00692610"/>
    <w:rsid w:val="00692B11"/>
    <w:rsid w:val="00692C4A"/>
    <w:rsid w:val="00692C4B"/>
    <w:rsid w:val="006939BC"/>
    <w:rsid w:val="00693BE1"/>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17"/>
    <w:rsid w:val="006A4AA5"/>
    <w:rsid w:val="006A4B3B"/>
    <w:rsid w:val="006A5901"/>
    <w:rsid w:val="006A64E3"/>
    <w:rsid w:val="006A6711"/>
    <w:rsid w:val="006A6853"/>
    <w:rsid w:val="006A6D84"/>
    <w:rsid w:val="006A6F16"/>
    <w:rsid w:val="006A7090"/>
    <w:rsid w:val="006A7224"/>
    <w:rsid w:val="006A7920"/>
    <w:rsid w:val="006A7BEC"/>
    <w:rsid w:val="006B0029"/>
    <w:rsid w:val="006B067E"/>
    <w:rsid w:val="006B06D3"/>
    <w:rsid w:val="006B07EB"/>
    <w:rsid w:val="006B0882"/>
    <w:rsid w:val="006B097B"/>
    <w:rsid w:val="006B0B79"/>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4F5"/>
    <w:rsid w:val="006B4513"/>
    <w:rsid w:val="006B51DB"/>
    <w:rsid w:val="006B580E"/>
    <w:rsid w:val="006B5FA9"/>
    <w:rsid w:val="006B6059"/>
    <w:rsid w:val="006B6223"/>
    <w:rsid w:val="006B6CFB"/>
    <w:rsid w:val="006B7656"/>
    <w:rsid w:val="006B7803"/>
    <w:rsid w:val="006B7B69"/>
    <w:rsid w:val="006B7FB8"/>
    <w:rsid w:val="006C0265"/>
    <w:rsid w:val="006C0485"/>
    <w:rsid w:val="006C058D"/>
    <w:rsid w:val="006C08E8"/>
    <w:rsid w:val="006C0B26"/>
    <w:rsid w:val="006C0D6C"/>
    <w:rsid w:val="006C0D8B"/>
    <w:rsid w:val="006C1341"/>
    <w:rsid w:val="006C15D8"/>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51C3"/>
    <w:rsid w:val="006C607B"/>
    <w:rsid w:val="006C6EB0"/>
    <w:rsid w:val="006C7195"/>
    <w:rsid w:val="006C730C"/>
    <w:rsid w:val="006C74C0"/>
    <w:rsid w:val="006C77A6"/>
    <w:rsid w:val="006C7F33"/>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DEE"/>
    <w:rsid w:val="006D3E7B"/>
    <w:rsid w:val="006D3F85"/>
    <w:rsid w:val="006D45EA"/>
    <w:rsid w:val="006D4EDF"/>
    <w:rsid w:val="006D5021"/>
    <w:rsid w:val="006D51E6"/>
    <w:rsid w:val="006D576F"/>
    <w:rsid w:val="006D5F62"/>
    <w:rsid w:val="006D63FE"/>
    <w:rsid w:val="006D6998"/>
    <w:rsid w:val="006D6C55"/>
    <w:rsid w:val="006E02A4"/>
    <w:rsid w:val="006E04AC"/>
    <w:rsid w:val="006E0C42"/>
    <w:rsid w:val="006E0F02"/>
    <w:rsid w:val="006E19B7"/>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A97"/>
    <w:rsid w:val="006E4BF6"/>
    <w:rsid w:val="006E4EBC"/>
    <w:rsid w:val="006E5057"/>
    <w:rsid w:val="006E5074"/>
    <w:rsid w:val="006E5181"/>
    <w:rsid w:val="006E5203"/>
    <w:rsid w:val="006E5494"/>
    <w:rsid w:val="006E5554"/>
    <w:rsid w:val="006E5594"/>
    <w:rsid w:val="006E55BC"/>
    <w:rsid w:val="006E5648"/>
    <w:rsid w:val="006E59EC"/>
    <w:rsid w:val="006E5DC6"/>
    <w:rsid w:val="006E6F32"/>
    <w:rsid w:val="006E749A"/>
    <w:rsid w:val="006F01B0"/>
    <w:rsid w:val="006F0373"/>
    <w:rsid w:val="006F0586"/>
    <w:rsid w:val="006F0864"/>
    <w:rsid w:val="006F095A"/>
    <w:rsid w:val="006F0979"/>
    <w:rsid w:val="006F0AAB"/>
    <w:rsid w:val="006F0D0F"/>
    <w:rsid w:val="006F16CB"/>
    <w:rsid w:val="006F187B"/>
    <w:rsid w:val="006F1CD1"/>
    <w:rsid w:val="006F1D7D"/>
    <w:rsid w:val="006F1DC7"/>
    <w:rsid w:val="006F1EF6"/>
    <w:rsid w:val="006F261E"/>
    <w:rsid w:val="006F2695"/>
    <w:rsid w:val="006F2787"/>
    <w:rsid w:val="006F2978"/>
    <w:rsid w:val="006F29EF"/>
    <w:rsid w:val="006F3B5C"/>
    <w:rsid w:val="006F3F96"/>
    <w:rsid w:val="006F4402"/>
    <w:rsid w:val="006F58E9"/>
    <w:rsid w:val="006F5B86"/>
    <w:rsid w:val="006F5C35"/>
    <w:rsid w:val="006F5E5C"/>
    <w:rsid w:val="006F6069"/>
    <w:rsid w:val="006F645D"/>
    <w:rsid w:val="006F666E"/>
    <w:rsid w:val="006F6F8C"/>
    <w:rsid w:val="006F715D"/>
    <w:rsid w:val="006F74CD"/>
    <w:rsid w:val="006F7538"/>
    <w:rsid w:val="006F78B9"/>
    <w:rsid w:val="006F7BE5"/>
    <w:rsid w:val="006F7C1D"/>
    <w:rsid w:val="006F7F20"/>
    <w:rsid w:val="006F7F97"/>
    <w:rsid w:val="0070038B"/>
    <w:rsid w:val="007004A1"/>
    <w:rsid w:val="00700769"/>
    <w:rsid w:val="00700872"/>
    <w:rsid w:val="00701625"/>
    <w:rsid w:val="0070165F"/>
    <w:rsid w:val="007019D2"/>
    <w:rsid w:val="00701A5B"/>
    <w:rsid w:val="00702402"/>
    <w:rsid w:val="00702551"/>
    <w:rsid w:val="007029E5"/>
    <w:rsid w:val="00702A50"/>
    <w:rsid w:val="007039ED"/>
    <w:rsid w:val="00703F63"/>
    <w:rsid w:val="007042A6"/>
    <w:rsid w:val="007043F9"/>
    <w:rsid w:val="007047DC"/>
    <w:rsid w:val="00705196"/>
    <w:rsid w:val="0070521A"/>
    <w:rsid w:val="0070528E"/>
    <w:rsid w:val="00705CE9"/>
    <w:rsid w:val="00705F89"/>
    <w:rsid w:val="007060B5"/>
    <w:rsid w:val="00706345"/>
    <w:rsid w:val="00706A9A"/>
    <w:rsid w:val="00706B1D"/>
    <w:rsid w:val="00706D67"/>
    <w:rsid w:val="0070743D"/>
    <w:rsid w:val="00707907"/>
    <w:rsid w:val="007111CC"/>
    <w:rsid w:val="007112EE"/>
    <w:rsid w:val="00711B2C"/>
    <w:rsid w:val="00711BA6"/>
    <w:rsid w:val="00711BD1"/>
    <w:rsid w:val="00711C7E"/>
    <w:rsid w:val="00711F80"/>
    <w:rsid w:val="007123AE"/>
    <w:rsid w:val="00712548"/>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0B"/>
    <w:rsid w:val="0071679B"/>
    <w:rsid w:val="00716B4C"/>
    <w:rsid w:val="00716D62"/>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FE0"/>
    <w:rsid w:val="00726033"/>
    <w:rsid w:val="007262E0"/>
    <w:rsid w:val="007264FB"/>
    <w:rsid w:val="00726BA9"/>
    <w:rsid w:val="00726D51"/>
    <w:rsid w:val="0072732E"/>
    <w:rsid w:val="00727462"/>
    <w:rsid w:val="007274BE"/>
    <w:rsid w:val="00727C10"/>
    <w:rsid w:val="00727D98"/>
    <w:rsid w:val="00730385"/>
    <w:rsid w:val="00730449"/>
    <w:rsid w:val="00730552"/>
    <w:rsid w:val="00730C3E"/>
    <w:rsid w:val="00731049"/>
    <w:rsid w:val="00731107"/>
    <w:rsid w:val="007312F0"/>
    <w:rsid w:val="007314AE"/>
    <w:rsid w:val="007317C2"/>
    <w:rsid w:val="0073180B"/>
    <w:rsid w:val="00732443"/>
    <w:rsid w:val="0073251A"/>
    <w:rsid w:val="0073253E"/>
    <w:rsid w:val="00732918"/>
    <w:rsid w:val="00732D50"/>
    <w:rsid w:val="00733207"/>
    <w:rsid w:val="00733D08"/>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0D"/>
    <w:rsid w:val="00746241"/>
    <w:rsid w:val="007474CD"/>
    <w:rsid w:val="007476B2"/>
    <w:rsid w:val="00750296"/>
    <w:rsid w:val="00750361"/>
    <w:rsid w:val="00750435"/>
    <w:rsid w:val="007515FD"/>
    <w:rsid w:val="007516F3"/>
    <w:rsid w:val="00751A17"/>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6C6"/>
    <w:rsid w:val="00754845"/>
    <w:rsid w:val="007548FE"/>
    <w:rsid w:val="00754AE6"/>
    <w:rsid w:val="007555C5"/>
    <w:rsid w:val="00755928"/>
    <w:rsid w:val="00755AB9"/>
    <w:rsid w:val="00755E9D"/>
    <w:rsid w:val="007564C6"/>
    <w:rsid w:val="00756502"/>
    <w:rsid w:val="00756609"/>
    <w:rsid w:val="007569A2"/>
    <w:rsid w:val="00756A51"/>
    <w:rsid w:val="00756F35"/>
    <w:rsid w:val="00757032"/>
    <w:rsid w:val="007570A1"/>
    <w:rsid w:val="007572EE"/>
    <w:rsid w:val="007575E6"/>
    <w:rsid w:val="00757A5E"/>
    <w:rsid w:val="0076005A"/>
    <w:rsid w:val="00760AF6"/>
    <w:rsid w:val="00760E72"/>
    <w:rsid w:val="00761528"/>
    <w:rsid w:val="0076180A"/>
    <w:rsid w:val="00761BAC"/>
    <w:rsid w:val="00762466"/>
    <w:rsid w:val="00762C4A"/>
    <w:rsid w:val="007631D3"/>
    <w:rsid w:val="00763768"/>
    <w:rsid w:val="007637AF"/>
    <w:rsid w:val="007638C0"/>
    <w:rsid w:val="0076451C"/>
    <w:rsid w:val="0076467B"/>
    <w:rsid w:val="00764965"/>
    <w:rsid w:val="00764AC1"/>
    <w:rsid w:val="00764AE0"/>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CBE"/>
    <w:rsid w:val="00767CCC"/>
    <w:rsid w:val="00767D6E"/>
    <w:rsid w:val="00767F6E"/>
    <w:rsid w:val="007703C9"/>
    <w:rsid w:val="0077066C"/>
    <w:rsid w:val="00770ED4"/>
    <w:rsid w:val="0077177B"/>
    <w:rsid w:val="00771EF6"/>
    <w:rsid w:val="00771FC4"/>
    <w:rsid w:val="007720B0"/>
    <w:rsid w:val="007726B8"/>
    <w:rsid w:val="00772DF9"/>
    <w:rsid w:val="00772E92"/>
    <w:rsid w:val="00772F4D"/>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559"/>
    <w:rsid w:val="00780E5F"/>
    <w:rsid w:val="00780F04"/>
    <w:rsid w:val="00780FA4"/>
    <w:rsid w:val="00782299"/>
    <w:rsid w:val="007826FE"/>
    <w:rsid w:val="00782EA1"/>
    <w:rsid w:val="0078311B"/>
    <w:rsid w:val="00783246"/>
    <w:rsid w:val="007837CA"/>
    <w:rsid w:val="00783B40"/>
    <w:rsid w:val="00783F77"/>
    <w:rsid w:val="007842DF"/>
    <w:rsid w:val="0078454F"/>
    <w:rsid w:val="00784D1A"/>
    <w:rsid w:val="00785144"/>
    <w:rsid w:val="00785AB6"/>
    <w:rsid w:val="00785ABA"/>
    <w:rsid w:val="00785FF1"/>
    <w:rsid w:val="00787124"/>
    <w:rsid w:val="007873FA"/>
    <w:rsid w:val="007874B7"/>
    <w:rsid w:val="00787871"/>
    <w:rsid w:val="00787A57"/>
    <w:rsid w:val="00787BE8"/>
    <w:rsid w:val="007906A3"/>
    <w:rsid w:val="00790EF8"/>
    <w:rsid w:val="00790EFE"/>
    <w:rsid w:val="007913F0"/>
    <w:rsid w:val="00791520"/>
    <w:rsid w:val="00791548"/>
    <w:rsid w:val="00791889"/>
    <w:rsid w:val="00791D96"/>
    <w:rsid w:val="00791F60"/>
    <w:rsid w:val="007922C5"/>
    <w:rsid w:val="0079249B"/>
    <w:rsid w:val="0079263B"/>
    <w:rsid w:val="007929EB"/>
    <w:rsid w:val="00792ABA"/>
    <w:rsid w:val="00792C10"/>
    <w:rsid w:val="00794343"/>
    <w:rsid w:val="007946DA"/>
    <w:rsid w:val="00794A61"/>
    <w:rsid w:val="00794C39"/>
    <w:rsid w:val="00794E6F"/>
    <w:rsid w:val="0079565B"/>
    <w:rsid w:val="007959B5"/>
    <w:rsid w:val="00795ADD"/>
    <w:rsid w:val="00795DD1"/>
    <w:rsid w:val="00795E7E"/>
    <w:rsid w:val="00797002"/>
    <w:rsid w:val="007971A3"/>
    <w:rsid w:val="007977BE"/>
    <w:rsid w:val="007A05B0"/>
    <w:rsid w:val="007A097F"/>
    <w:rsid w:val="007A0F84"/>
    <w:rsid w:val="007A116B"/>
    <w:rsid w:val="007A11D6"/>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4D61"/>
    <w:rsid w:val="007A5C0F"/>
    <w:rsid w:val="007A665C"/>
    <w:rsid w:val="007A6A2C"/>
    <w:rsid w:val="007A6B9E"/>
    <w:rsid w:val="007A6F6E"/>
    <w:rsid w:val="007A7B92"/>
    <w:rsid w:val="007B015F"/>
    <w:rsid w:val="007B03ED"/>
    <w:rsid w:val="007B053D"/>
    <w:rsid w:val="007B0AA6"/>
    <w:rsid w:val="007B0FA4"/>
    <w:rsid w:val="007B1609"/>
    <w:rsid w:val="007B1769"/>
    <w:rsid w:val="007B1AC8"/>
    <w:rsid w:val="007B1F87"/>
    <w:rsid w:val="007B37A5"/>
    <w:rsid w:val="007B37C9"/>
    <w:rsid w:val="007B3A1F"/>
    <w:rsid w:val="007B3B61"/>
    <w:rsid w:val="007B3D8A"/>
    <w:rsid w:val="007B4B9A"/>
    <w:rsid w:val="007B5C34"/>
    <w:rsid w:val="007B5D35"/>
    <w:rsid w:val="007B5E68"/>
    <w:rsid w:val="007B5F01"/>
    <w:rsid w:val="007B6352"/>
    <w:rsid w:val="007B6500"/>
    <w:rsid w:val="007B6998"/>
    <w:rsid w:val="007B7730"/>
    <w:rsid w:val="007B797A"/>
    <w:rsid w:val="007B79F1"/>
    <w:rsid w:val="007B7B4D"/>
    <w:rsid w:val="007C0286"/>
    <w:rsid w:val="007C083A"/>
    <w:rsid w:val="007C0DB9"/>
    <w:rsid w:val="007C1127"/>
    <w:rsid w:val="007C1131"/>
    <w:rsid w:val="007C1180"/>
    <w:rsid w:val="007C1E6E"/>
    <w:rsid w:val="007C1F29"/>
    <w:rsid w:val="007C1FAF"/>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97"/>
    <w:rsid w:val="007C5D6B"/>
    <w:rsid w:val="007C6294"/>
    <w:rsid w:val="007C7802"/>
    <w:rsid w:val="007C7B7A"/>
    <w:rsid w:val="007C7BEB"/>
    <w:rsid w:val="007C7E43"/>
    <w:rsid w:val="007D00E7"/>
    <w:rsid w:val="007D03EE"/>
    <w:rsid w:val="007D100F"/>
    <w:rsid w:val="007D141A"/>
    <w:rsid w:val="007D1FA5"/>
    <w:rsid w:val="007D22D7"/>
    <w:rsid w:val="007D22D9"/>
    <w:rsid w:val="007D256A"/>
    <w:rsid w:val="007D3107"/>
    <w:rsid w:val="007D321F"/>
    <w:rsid w:val="007D3551"/>
    <w:rsid w:val="007D35DA"/>
    <w:rsid w:val="007D36F0"/>
    <w:rsid w:val="007D381B"/>
    <w:rsid w:val="007D3910"/>
    <w:rsid w:val="007D3A0A"/>
    <w:rsid w:val="007D3A98"/>
    <w:rsid w:val="007D3B80"/>
    <w:rsid w:val="007D3CEC"/>
    <w:rsid w:val="007D4DDA"/>
    <w:rsid w:val="007D55E6"/>
    <w:rsid w:val="007D57B9"/>
    <w:rsid w:val="007D5AD7"/>
    <w:rsid w:val="007D5F2A"/>
    <w:rsid w:val="007D61B8"/>
    <w:rsid w:val="007D6522"/>
    <w:rsid w:val="007D660C"/>
    <w:rsid w:val="007D67B8"/>
    <w:rsid w:val="007D6C75"/>
    <w:rsid w:val="007D6CBE"/>
    <w:rsid w:val="007D6FB4"/>
    <w:rsid w:val="007D7911"/>
    <w:rsid w:val="007D7989"/>
    <w:rsid w:val="007D7C4C"/>
    <w:rsid w:val="007D7CF2"/>
    <w:rsid w:val="007D7E58"/>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310"/>
    <w:rsid w:val="007F68F0"/>
    <w:rsid w:val="007F6C04"/>
    <w:rsid w:val="007F6EE8"/>
    <w:rsid w:val="007F7141"/>
    <w:rsid w:val="007F733D"/>
    <w:rsid w:val="007F763B"/>
    <w:rsid w:val="008002FB"/>
    <w:rsid w:val="008009C4"/>
    <w:rsid w:val="00800CCC"/>
    <w:rsid w:val="00800F06"/>
    <w:rsid w:val="00801200"/>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07D42"/>
    <w:rsid w:val="0081049C"/>
    <w:rsid w:val="00810734"/>
    <w:rsid w:val="00810BFB"/>
    <w:rsid w:val="00810C21"/>
    <w:rsid w:val="0081119B"/>
    <w:rsid w:val="00811203"/>
    <w:rsid w:val="00811428"/>
    <w:rsid w:val="00811BF4"/>
    <w:rsid w:val="00811C00"/>
    <w:rsid w:val="00811E33"/>
    <w:rsid w:val="00811EB2"/>
    <w:rsid w:val="008120C6"/>
    <w:rsid w:val="0081231F"/>
    <w:rsid w:val="00812B1C"/>
    <w:rsid w:val="00812B9B"/>
    <w:rsid w:val="00812E82"/>
    <w:rsid w:val="00812F6C"/>
    <w:rsid w:val="00812FCB"/>
    <w:rsid w:val="0081322A"/>
    <w:rsid w:val="008132AE"/>
    <w:rsid w:val="00813752"/>
    <w:rsid w:val="00813823"/>
    <w:rsid w:val="00813861"/>
    <w:rsid w:val="00813895"/>
    <w:rsid w:val="008138D6"/>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CCF"/>
    <w:rsid w:val="00816F18"/>
    <w:rsid w:val="00817466"/>
    <w:rsid w:val="008175BC"/>
    <w:rsid w:val="0081797A"/>
    <w:rsid w:val="00820276"/>
    <w:rsid w:val="0082097A"/>
    <w:rsid w:val="00820ED6"/>
    <w:rsid w:val="0082113A"/>
    <w:rsid w:val="008211EF"/>
    <w:rsid w:val="008213BB"/>
    <w:rsid w:val="00821956"/>
    <w:rsid w:val="00821F1D"/>
    <w:rsid w:val="008221AA"/>
    <w:rsid w:val="008222CD"/>
    <w:rsid w:val="0082239E"/>
    <w:rsid w:val="0082273B"/>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5DF"/>
    <w:rsid w:val="00834A0C"/>
    <w:rsid w:val="00834B23"/>
    <w:rsid w:val="00834E90"/>
    <w:rsid w:val="008351A6"/>
    <w:rsid w:val="00836C32"/>
    <w:rsid w:val="00836C3A"/>
    <w:rsid w:val="00836FA4"/>
    <w:rsid w:val="008372B3"/>
    <w:rsid w:val="00837596"/>
    <w:rsid w:val="00837848"/>
    <w:rsid w:val="00837878"/>
    <w:rsid w:val="00840679"/>
    <w:rsid w:val="00840D5B"/>
    <w:rsid w:val="00841289"/>
    <w:rsid w:val="00841997"/>
    <w:rsid w:val="00842242"/>
    <w:rsid w:val="0084236D"/>
    <w:rsid w:val="008426FA"/>
    <w:rsid w:val="00842ACE"/>
    <w:rsid w:val="008434F9"/>
    <w:rsid w:val="008435F1"/>
    <w:rsid w:val="008438DD"/>
    <w:rsid w:val="00843959"/>
    <w:rsid w:val="00843B1F"/>
    <w:rsid w:val="00843C78"/>
    <w:rsid w:val="00843C99"/>
    <w:rsid w:val="008447DD"/>
    <w:rsid w:val="008450D9"/>
    <w:rsid w:val="00845354"/>
    <w:rsid w:val="0084544E"/>
    <w:rsid w:val="00845BF9"/>
    <w:rsid w:val="00846241"/>
    <w:rsid w:val="0084683D"/>
    <w:rsid w:val="008468A0"/>
    <w:rsid w:val="00847155"/>
    <w:rsid w:val="00847FCC"/>
    <w:rsid w:val="0085001F"/>
    <w:rsid w:val="008504D4"/>
    <w:rsid w:val="00850B2D"/>
    <w:rsid w:val="00850E5F"/>
    <w:rsid w:val="0085113E"/>
    <w:rsid w:val="00851826"/>
    <w:rsid w:val="00851D9A"/>
    <w:rsid w:val="008524DC"/>
    <w:rsid w:val="00852D73"/>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47A"/>
    <w:rsid w:val="00857AC5"/>
    <w:rsid w:val="00857AFE"/>
    <w:rsid w:val="00857BAA"/>
    <w:rsid w:val="00857CD3"/>
    <w:rsid w:val="00860003"/>
    <w:rsid w:val="0086095A"/>
    <w:rsid w:val="00860B59"/>
    <w:rsid w:val="00860E9F"/>
    <w:rsid w:val="008610D8"/>
    <w:rsid w:val="008615F7"/>
    <w:rsid w:val="008618B1"/>
    <w:rsid w:val="008619AD"/>
    <w:rsid w:val="00861AA6"/>
    <w:rsid w:val="00861B6F"/>
    <w:rsid w:val="00861C52"/>
    <w:rsid w:val="00861D0C"/>
    <w:rsid w:val="00862ADC"/>
    <w:rsid w:val="00862DCD"/>
    <w:rsid w:val="00862FE9"/>
    <w:rsid w:val="0086307A"/>
    <w:rsid w:val="00863362"/>
    <w:rsid w:val="00863512"/>
    <w:rsid w:val="00863C4D"/>
    <w:rsid w:val="00863D29"/>
    <w:rsid w:val="00863EFB"/>
    <w:rsid w:val="00864CD0"/>
    <w:rsid w:val="00865073"/>
    <w:rsid w:val="00865674"/>
    <w:rsid w:val="00865867"/>
    <w:rsid w:val="00865C57"/>
    <w:rsid w:val="00866DBC"/>
    <w:rsid w:val="00866EF1"/>
    <w:rsid w:val="008672BE"/>
    <w:rsid w:val="00867E52"/>
    <w:rsid w:val="0087036F"/>
    <w:rsid w:val="008704DE"/>
    <w:rsid w:val="00870738"/>
    <w:rsid w:val="008708E2"/>
    <w:rsid w:val="00871139"/>
    <w:rsid w:val="008718CD"/>
    <w:rsid w:val="00871AA5"/>
    <w:rsid w:val="00871FDB"/>
    <w:rsid w:val="00872865"/>
    <w:rsid w:val="00872EE1"/>
    <w:rsid w:val="0087332B"/>
    <w:rsid w:val="00873DA4"/>
    <w:rsid w:val="00873FEE"/>
    <w:rsid w:val="00874384"/>
    <w:rsid w:val="00874A5F"/>
    <w:rsid w:val="00874C55"/>
    <w:rsid w:val="00874E2F"/>
    <w:rsid w:val="00875360"/>
    <w:rsid w:val="00875972"/>
    <w:rsid w:val="00875B96"/>
    <w:rsid w:val="00875DD0"/>
    <w:rsid w:val="00875FBB"/>
    <w:rsid w:val="0087615E"/>
    <w:rsid w:val="008762C3"/>
    <w:rsid w:val="00876501"/>
    <w:rsid w:val="00876868"/>
    <w:rsid w:val="00876CF3"/>
    <w:rsid w:val="00877628"/>
    <w:rsid w:val="00877864"/>
    <w:rsid w:val="00877D20"/>
    <w:rsid w:val="00877EA6"/>
    <w:rsid w:val="0088014F"/>
    <w:rsid w:val="008806D0"/>
    <w:rsid w:val="00880960"/>
    <w:rsid w:val="0088116C"/>
    <w:rsid w:val="00882243"/>
    <w:rsid w:val="008825B2"/>
    <w:rsid w:val="008829FF"/>
    <w:rsid w:val="00882F1D"/>
    <w:rsid w:val="00882F81"/>
    <w:rsid w:val="00883384"/>
    <w:rsid w:val="00883413"/>
    <w:rsid w:val="0088415F"/>
    <w:rsid w:val="00884946"/>
    <w:rsid w:val="00884B26"/>
    <w:rsid w:val="00884FFE"/>
    <w:rsid w:val="00885540"/>
    <w:rsid w:val="0088566A"/>
    <w:rsid w:val="0088592A"/>
    <w:rsid w:val="00885BFE"/>
    <w:rsid w:val="00885D50"/>
    <w:rsid w:val="00886454"/>
    <w:rsid w:val="00886D2B"/>
    <w:rsid w:val="00886EFA"/>
    <w:rsid w:val="00887077"/>
    <w:rsid w:val="0088756D"/>
    <w:rsid w:val="00887689"/>
    <w:rsid w:val="008878A6"/>
    <w:rsid w:val="00887A0A"/>
    <w:rsid w:val="00887AF3"/>
    <w:rsid w:val="00887B14"/>
    <w:rsid w:val="008900B5"/>
    <w:rsid w:val="008901E7"/>
    <w:rsid w:val="0089033A"/>
    <w:rsid w:val="00890377"/>
    <w:rsid w:val="0089039E"/>
    <w:rsid w:val="0089067A"/>
    <w:rsid w:val="008908DF"/>
    <w:rsid w:val="00890947"/>
    <w:rsid w:val="0089097D"/>
    <w:rsid w:val="00890FBB"/>
    <w:rsid w:val="00891123"/>
    <w:rsid w:val="0089153B"/>
    <w:rsid w:val="008918F5"/>
    <w:rsid w:val="00891A5E"/>
    <w:rsid w:val="00891C2E"/>
    <w:rsid w:val="00891DE4"/>
    <w:rsid w:val="0089224B"/>
    <w:rsid w:val="008928EC"/>
    <w:rsid w:val="00892B6F"/>
    <w:rsid w:val="008932F6"/>
    <w:rsid w:val="00893C64"/>
    <w:rsid w:val="00893CD3"/>
    <w:rsid w:val="00893DFF"/>
    <w:rsid w:val="00893E4B"/>
    <w:rsid w:val="00893F61"/>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1475"/>
    <w:rsid w:val="008A210B"/>
    <w:rsid w:val="008A22E4"/>
    <w:rsid w:val="008A2505"/>
    <w:rsid w:val="008A2D53"/>
    <w:rsid w:val="008A3055"/>
    <w:rsid w:val="008A33A4"/>
    <w:rsid w:val="008A3553"/>
    <w:rsid w:val="008A3A7D"/>
    <w:rsid w:val="008A3FFF"/>
    <w:rsid w:val="008A410E"/>
    <w:rsid w:val="008A4157"/>
    <w:rsid w:val="008A4588"/>
    <w:rsid w:val="008A4DC8"/>
    <w:rsid w:val="008A5081"/>
    <w:rsid w:val="008A559D"/>
    <w:rsid w:val="008A55B7"/>
    <w:rsid w:val="008A59C9"/>
    <w:rsid w:val="008A5A37"/>
    <w:rsid w:val="008A63C6"/>
    <w:rsid w:val="008A66C3"/>
    <w:rsid w:val="008A69E9"/>
    <w:rsid w:val="008A6B3C"/>
    <w:rsid w:val="008A6E24"/>
    <w:rsid w:val="008A7323"/>
    <w:rsid w:val="008A743E"/>
    <w:rsid w:val="008A756E"/>
    <w:rsid w:val="008A75E9"/>
    <w:rsid w:val="008A7A93"/>
    <w:rsid w:val="008B03D4"/>
    <w:rsid w:val="008B03EF"/>
    <w:rsid w:val="008B0701"/>
    <w:rsid w:val="008B0741"/>
    <w:rsid w:val="008B07C1"/>
    <w:rsid w:val="008B08FF"/>
    <w:rsid w:val="008B0E99"/>
    <w:rsid w:val="008B14AE"/>
    <w:rsid w:val="008B151E"/>
    <w:rsid w:val="008B1BA1"/>
    <w:rsid w:val="008B21A5"/>
    <w:rsid w:val="008B232A"/>
    <w:rsid w:val="008B2935"/>
    <w:rsid w:val="008B2E2D"/>
    <w:rsid w:val="008B3227"/>
    <w:rsid w:val="008B3341"/>
    <w:rsid w:val="008B3519"/>
    <w:rsid w:val="008B36D2"/>
    <w:rsid w:val="008B3B4B"/>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563"/>
    <w:rsid w:val="008B65FD"/>
    <w:rsid w:val="008B6608"/>
    <w:rsid w:val="008B6655"/>
    <w:rsid w:val="008B6690"/>
    <w:rsid w:val="008B69F8"/>
    <w:rsid w:val="008B6C58"/>
    <w:rsid w:val="008B70B9"/>
    <w:rsid w:val="008B7114"/>
    <w:rsid w:val="008B77B5"/>
    <w:rsid w:val="008B7B04"/>
    <w:rsid w:val="008B7E50"/>
    <w:rsid w:val="008B7E7D"/>
    <w:rsid w:val="008B7F8C"/>
    <w:rsid w:val="008C0F7F"/>
    <w:rsid w:val="008C10D2"/>
    <w:rsid w:val="008C14CA"/>
    <w:rsid w:val="008C14E9"/>
    <w:rsid w:val="008C1635"/>
    <w:rsid w:val="008C25C6"/>
    <w:rsid w:val="008C2BC3"/>
    <w:rsid w:val="008C3489"/>
    <w:rsid w:val="008C3A06"/>
    <w:rsid w:val="008C3DB5"/>
    <w:rsid w:val="008C3DB6"/>
    <w:rsid w:val="008C3DE9"/>
    <w:rsid w:val="008C44FE"/>
    <w:rsid w:val="008C4747"/>
    <w:rsid w:val="008C4989"/>
    <w:rsid w:val="008C49ED"/>
    <w:rsid w:val="008C4A6C"/>
    <w:rsid w:val="008C4A93"/>
    <w:rsid w:val="008C4E65"/>
    <w:rsid w:val="008C4F8B"/>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531D"/>
    <w:rsid w:val="008D6022"/>
    <w:rsid w:val="008D6221"/>
    <w:rsid w:val="008D663B"/>
    <w:rsid w:val="008D6AD1"/>
    <w:rsid w:val="008D6DDE"/>
    <w:rsid w:val="008D7346"/>
    <w:rsid w:val="008D743A"/>
    <w:rsid w:val="008D75C9"/>
    <w:rsid w:val="008D75CB"/>
    <w:rsid w:val="008D7ED5"/>
    <w:rsid w:val="008E012C"/>
    <w:rsid w:val="008E02A1"/>
    <w:rsid w:val="008E048A"/>
    <w:rsid w:val="008E0AEF"/>
    <w:rsid w:val="008E1050"/>
    <w:rsid w:val="008E1176"/>
    <w:rsid w:val="008E131E"/>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A43"/>
    <w:rsid w:val="008E4B49"/>
    <w:rsid w:val="008E4DB4"/>
    <w:rsid w:val="008E4E6C"/>
    <w:rsid w:val="008E506D"/>
    <w:rsid w:val="008E575B"/>
    <w:rsid w:val="008E5BF2"/>
    <w:rsid w:val="008E5CA8"/>
    <w:rsid w:val="008E5EAF"/>
    <w:rsid w:val="008E634C"/>
    <w:rsid w:val="008E638E"/>
    <w:rsid w:val="008E6468"/>
    <w:rsid w:val="008E6892"/>
    <w:rsid w:val="008E6F16"/>
    <w:rsid w:val="008E71EB"/>
    <w:rsid w:val="008E737E"/>
    <w:rsid w:val="008E7451"/>
    <w:rsid w:val="008E776E"/>
    <w:rsid w:val="008E7815"/>
    <w:rsid w:val="008F0605"/>
    <w:rsid w:val="008F0CA5"/>
    <w:rsid w:val="008F0FC2"/>
    <w:rsid w:val="008F1158"/>
    <w:rsid w:val="008F1B41"/>
    <w:rsid w:val="008F1E2B"/>
    <w:rsid w:val="008F1E64"/>
    <w:rsid w:val="008F203B"/>
    <w:rsid w:val="008F22A4"/>
    <w:rsid w:val="008F257F"/>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60F"/>
    <w:rsid w:val="00901B3A"/>
    <w:rsid w:val="00901DAF"/>
    <w:rsid w:val="00901E62"/>
    <w:rsid w:val="00902326"/>
    <w:rsid w:val="00902933"/>
    <w:rsid w:val="00902CF6"/>
    <w:rsid w:val="0090325E"/>
    <w:rsid w:val="00903786"/>
    <w:rsid w:val="00903FE7"/>
    <w:rsid w:val="009048B5"/>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3F7"/>
    <w:rsid w:val="00910537"/>
    <w:rsid w:val="00910A35"/>
    <w:rsid w:val="00910C27"/>
    <w:rsid w:val="00911338"/>
    <w:rsid w:val="0091156C"/>
    <w:rsid w:val="009118FA"/>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44C"/>
    <w:rsid w:val="00916ADB"/>
    <w:rsid w:val="00916D37"/>
    <w:rsid w:val="00917D61"/>
    <w:rsid w:val="00917E19"/>
    <w:rsid w:val="00920646"/>
    <w:rsid w:val="009207F6"/>
    <w:rsid w:val="00920BCA"/>
    <w:rsid w:val="00920C16"/>
    <w:rsid w:val="0092208A"/>
    <w:rsid w:val="009220AE"/>
    <w:rsid w:val="00922FC0"/>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59"/>
    <w:rsid w:val="00931473"/>
    <w:rsid w:val="00931622"/>
    <w:rsid w:val="00932251"/>
    <w:rsid w:val="0093242D"/>
    <w:rsid w:val="00932847"/>
    <w:rsid w:val="00932F92"/>
    <w:rsid w:val="0093301F"/>
    <w:rsid w:val="00933A1B"/>
    <w:rsid w:val="00933A98"/>
    <w:rsid w:val="00933D8C"/>
    <w:rsid w:val="009348C2"/>
    <w:rsid w:val="00934B95"/>
    <w:rsid w:val="00934F34"/>
    <w:rsid w:val="0093582A"/>
    <w:rsid w:val="0093594A"/>
    <w:rsid w:val="00935982"/>
    <w:rsid w:val="00935AF7"/>
    <w:rsid w:val="00935D47"/>
    <w:rsid w:val="00935E8F"/>
    <w:rsid w:val="00935F7C"/>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66"/>
    <w:rsid w:val="009445F9"/>
    <w:rsid w:val="00944DEC"/>
    <w:rsid w:val="009450AE"/>
    <w:rsid w:val="009456DD"/>
    <w:rsid w:val="009457AD"/>
    <w:rsid w:val="00945A9C"/>
    <w:rsid w:val="00945AF6"/>
    <w:rsid w:val="00945E0D"/>
    <w:rsid w:val="00945EFD"/>
    <w:rsid w:val="00946014"/>
    <w:rsid w:val="009471F4"/>
    <w:rsid w:val="00947380"/>
    <w:rsid w:val="0094746A"/>
    <w:rsid w:val="00947721"/>
    <w:rsid w:val="00947A3D"/>
    <w:rsid w:val="0095008F"/>
    <w:rsid w:val="009503D1"/>
    <w:rsid w:val="00950B0E"/>
    <w:rsid w:val="00951AB2"/>
    <w:rsid w:val="00951E70"/>
    <w:rsid w:val="00951ED1"/>
    <w:rsid w:val="009526F1"/>
    <w:rsid w:val="0095299B"/>
    <w:rsid w:val="00953164"/>
    <w:rsid w:val="009532B3"/>
    <w:rsid w:val="009539A3"/>
    <w:rsid w:val="00953A65"/>
    <w:rsid w:val="00953ED4"/>
    <w:rsid w:val="0095416E"/>
    <w:rsid w:val="00954470"/>
    <w:rsid w:val="009544D9"/>
    <w:rsid w:val="00954684"/>
    <w:rsid w:val="0095469E"/>
    <w:rsid w:val="0095573F"/>
    <w:rsid w:val="0095578D"/>
    <w:rsid w:val="009557D7"/>
    <w:rsid w:val="00955C19"/>
    <w:rsid w:val="00955C36"/>
    <w:rsid w:val="00955DF2"/>
    <w:rsid w:val="0095661F"/>
    <w:rsid w:val="00956983"/>
    <w:rsid w:val="00956DEB"/>
    <w:rsid w:val="00956E3F"/>
    <w:rsid w:val="009571AD"/>
    <w:rsid w:val="0095726B"/>
    <w:rsid w:val="00957960"/>
    <w:rsid w:val="00957C55"/>
    <w:rsid w:val="00957F8F"/>
    <w:rsid w:val="00960283"/>
    <w:rsid w:val="009605F9"/>
    <w:rsid w:val="0096086A"/>
    <w:rsid w:val="00960C31"/>
    <w:rsid w:val="00960D9D"/>
    <w:rsid w:val="00960DBE"/>
    <w:rsid w:val="00961475"/>
    <w:rsid w:val="00962176"/>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8B0"/>
    <w:rsid w:val="00965CBE"/>
    <w:rsid w:val="00966D89"/>
    <w:rsid w:val="00966EFA"/>
    <w:rsid w:val="009670A3"/>
    <w:rsid w:val="00967E74"/>
    <w:rsid w:val="00970342"/>
    <w:rsid w:val="009703F6"/>
    <w:rsid w:val="0097088C"/>
    <w:rsid w:val="00970969"/>
    <w:rsid w:val="009709DA"/>
    <w:rsid w:val="00970B13"/>
    <w:rsid w:val="00970F22"/>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B3"/>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A"/>
    <w:rsid w:val="009845DD"/>
    <w:rsid w:val="009846ED"/>
    <w:rsid w:val="00984A8B"/>
    <w:rsid w:val="00984B6A"/>
    <w:rsid w:val="00984DFD"/>
    <w:rsid w:val="0098520D"/>
    <w:rsid w:val="0098598C"/>
    <w:rsid w:val="0098660E"/>
    <w:rsid w:val="00986723"/>
    <w:rsid w:val="0098688A"/>
    <w:rsid w:val="0098695F"/>
    <w:rsid w:val="00986C1F"/>
    <w:rsid w:val="009872D0"/>
    <w:rsid w:val="00987CA7"/>
    <w:rsid w:val="009902CF"/>
    <w:rsid w:val="00990324"/>
    <w:rsid w:val="009908CB"/>
    <w:rsid w:val="0099095F"/>
    <w:rsid w:val="00990A2F"/>
    <w:rsid w:val="00990A86"/>
    <w:rsid w:val="00990C54"/>
    <w:rsid w:val="00990F6F"/>
    <w:rsid w:val="009910CC"/>
    <w:rsid w:val="00991963"/>
    <w:rsid w:val="009922C0"/>
    <w:rsid w:val="00992892"/>
    <w:rsid w:val="0099292A"/>
    <w:rsid w:val="00992A33"/>
    <w:rsid w:val="00992BE4"/>
    <w:rsid w:val="00992F2B"/>
    <w:rsid w:val="0099334D"/>
    <w:rsid w:val="009946C4"/>
    <w:rsid w:val="00994A35"/>
    <w:rsid w:val="00994E5F"/>
    <w:rsid w:val="00994FB7"/>
    <w:rsid w:val="00995273"/>
    <w:rsid w:val="0099598E"/>
    <w:rsid w:val="00997841"/>
    <w:rsid w:val="00997A0B"/>
    <w:rsid w:val="009A0029"/>
    <w:rsid w:val="009A052D"/>
    <w:rsid w:val="009A05FA"/>
    <w:rsid w:val="009A0711"/>
    <w:rsid w:val="009A0990"/>
    <w:rsid w:val="009A0A48"/>
    <w:rsid w:val="009A0C49"/>
    <w:rsid w:val="009A1195"/>
    <w:rsid w:val="009A1293"/>
    <w:rsid w:val="009A195E"/>
    <w:rsid w:val="009A1AF0"/>
    <w:rsid w:val="009A1F28"/>
    <w:rsid w:val="009A2C9F"/>
    <w:rsid w:val="009A3040"/>
    <w:rsid w:val="009A34E3"/>
    <w:rsid w:val="009A39CC"/>
    <w:rsid w:val="009A3CB3"/>
    <w:rsid w:val="009A4290"/>
    <w:rsid w:val="009A4491"/>
    <w:rsid w:val="009A45DE"/>
    <w:rsid w:val="009A4B7B"/>
    <w:rsid w:val="009A4DA1"/>
    <w:rsid w:val="009A4F71"/>
    <w:rsid w:val="009A5119"/>
    <w:rsid w:val="009A531B"/>
    <w:rsid w:val="009A6152"/>
    <w:rsid w:val="009A676E"/>
    <w:rsid w:val="009A6CB5"/>
    <w:rsid w:val="009A6DC6"/>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407"/>
    <w:rsid w:val="009B3FB4"/>
    <w:rsid w:val="009B40B7"/>
    <w:rsid w:val="009B4600"/>
    <w:rsid w:val="009B4F4D"/>
    <w:rsid w:val="009B4F62"/>
    <w:rsid w:val="009B52AC"/>
    <w:rsid w:val="009B5377"/>
    <w:rsid w:val="009B6444"/>
    <w:rsid w:val="009B6668"/>
    <w:rsid w:val="009B6766"/>
    <w:rsid w:val="009B6849"/>
    <w:rsid w:val="009B6894"/>
    <w:rsid w:val="009B69A4"/>
    <w:rsid w:val="009B6B94"/>
    <w:rsid w:val="009B6C4B"/>
    <w:rsid w:val="009B6CC0"/>
    <w:rsid w:val="009B7964"/>
    <w:rsid w:val="009B7B52"/>
    <w:rsid w:val="009C02D3"/>
    <w:rsid w:val="009C063D"/>
    <w:rsid w:val="009C0959"/>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6F4"/>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A3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0D1D"/>
    <w:rsid w:val="009E10EF"/>
    <w:rsid w:val="009E11E5"/>
    <w:rsid w:val="009E1521"/>
    <w:rsid w:val="009E17DE"/>
    <w:rsid w:val="009E1E06"/>
    <w:rsid w:val="009E1E7B"/>
    <w:rsid w:val="009E201F"/>
    <w:rsid w:val="009E27FB"/>
    <w:rsid w:val="009E2E87"/>
    <w:rsid w:val="009E340F"/>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195"/>
    <w:rsid w:val="00A0554C"/>
    <w:rsid w:val="00A05622"/>
    <w:rsid w:val="00A05B8C"/>
    <w:rsid w:val="00A05D44"/>
    <w:rsid w:val="00A0621F"/>
    <w:rsid w:val="00A0631C"/>
    <w:rsid w:val="00A066BF"/>
    <w:rsid w:val="00A06708"/>
    <w:rsid w:val="00A0671D"/>
    <w:rsid w:val="00A06A1A"/>
    <w:rsid w:val="00A07036"/>
    <w:rsid w:val="00A0716E"/>
    <w:rsid w:val="00A071AE"/>
    <w:rsid w:val="00A07856"/>
    <w:rsid w:val="00A07983"/>
    <w:rsid w:val="00A07B3C"/>
    <w:rsid w:val="00A10182"/>
    <w:rsid w:val="00A101CE"/>
    <w:rsid w:val="00A1041F"/>
    <w:rsid w:val="00A105CE"/>
    <w:rsid w:val="00A1066C"/>
    <w:rsid w:val="00A10A99"/>
    <w:rsid w:val="00A10B5C"/>
    <w:rsid w:val="00A10D5F"/>
    <w:rsid w:val="00A10EAA"/>
    <w:rsid w:val="00A113EA"/>
    <w:rsid w:val="00A11A15"/>
    <w:rsid w:val="00A11DA4"/>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051"/>
    <w:rsid w:val="00A171CC"/>
    <w:rsid w:val="00A17C7F"/>
    <w:rsid w:val="00A17D04"/>
    <w:rsid w:val="00A17D28"/>
    <w:rsid w:val="00A20469"/>
    <w:rsid w:val="00A20BBA"/>
    <w:rsid w:val="00A20CE2"/>
    <w:rsid w:val="00A22E3F"/>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4FD"/>
    <w:rsid w:val="00A27581"/>
    <w:rsid w:val="00A27A5F"/>
    <w:rsid w:val="00A27E3E"/>
    <w:rsid w:val="00A27F81"/>
    <w:rsid w:val="00A30224"/>
    <w:rsid w:val="00A306F7"/>
    <w:rsid w:val="00A307E2"/>
    <w:rsid w:val="00A3092B"/>
    <w:rsid w:val="00A309C7"/>
    <w:rsid w:val="00A312D1"/>
    <w:rsid w:val="00A3142A"/>
    <w:rsid w:val="00A314D1"/>
    <w:rsid w:val="00A31840"/>
    <w:rsid w:val="00A31DA2"/>
    <w:rsid w:val="00A32410"/>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5FCF"/>
    <w:rsid w:val="00A3613C"/>
    <w:rsid w:val="00A361DC"/>
    <w:rsid w:val="00A3680F"/>
    <w:rsid w:val="00A36947"/>
    <w:rsid w:val="00A371CB"/>
    <w:rsid w:val="00A3726C"/>
    <w:rsid w:val="00A37294"/>
    <w:rsid w:val="00A373AF"/>
    <w:rsid w:val="00A37524"/>
    <w:rsid w:val="00A3798A"/>
    <w:rsid w:val="00A37992"/>
    <w:rsid w:val="00A400F8"/>
    <w:rsid w:val="00A405FB"/>
    <w:rsid w:val="00A4061D"/>
    <w:rsid w:val="00A40A60"/>
    <w:rsid w:val="00A40AEE"/>
    <w:rsid w:val="00A413F5"/>
    <w:rsid w:val="00A416C6"/>
    <w:rsid w:val="00A417B9"/>
    <w:rsid w:val="00A41BEB"/>
    <w:rsid w:val="00A42676"/>
    <w:rsid w:val="00A42A00"/>
    <w:rsid w:val="00A42B0E"/>
    <w:rsid w:val="00A442A1"/>
    <w:rsid w:val="00A44395"/>
    <w:rsid w:val="00A4471C"/>
    <w:rsid w:val="00A44E0F"/>
    <w:rsid w:val="00A45015"/>
    <w:rsid w:val="00A4535D"/>
    <w:rsid w:val="00A467B6"/>
    <w:rsid w:val="00A46BDF"/>
    <w:rsid w:val="00A46D03"/>
    <w:rsid w:val="00A47911"/>
    <w:rsid w:val="00A47DEC"/>
    <w:rsid w:val="00A50985"/>
    <w:rsid w:val="00A50AEF"/>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4773"/>
    <w:rsid w:val="00A55305"/>
    <w:rsid w:val="00A55505"/>
    <w:rsid w:val="00A557FB"/>
    <w:rsid w:val="00A55BB9"/>
    <w:rsid w:val="00A55C86"/>
    <w:rsid w:val="00A566F7"/>
    <w:rsid w:val="00A5670B"/>
    <w:rsid w:val="00A56D10"/>
    <w:rsid w:val="00A5743B"/>
    <w:rsid w:val="00A57557"/>
    <w:rsid w:val="00A575DA"/>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3F64"/>
    <w:rsid w:val="00A643C5"/>
    <w:rsid w:val="00A64B09"/>
    <w:rsid w:val="00A65044"/>
    <w:rsid w:val="00A650FF"/>
    <w:rsid w:val="00A651F6"/>
    <w:rsid w:val="00A658F9"/>
    <w:rsid w:val="00A65BC6"/>
    <w:rsid w:val="00A65D32"/>
    <w:rsid w:val="00A65D95"/>
    <w:rsid w:val="00A664F6"/>
    <w:rsid w:val="00A66B8B"/>
    <w:rsid w:val="00A66E00"/>
    <w:rsid w:val="00A66FBC"/>
    <w:rsid w:val="00A673F5"/>
    <w:rsid w:val="00A6757A"/>
    <w:rsid w:val="00A679E7"/>
    <w:rsid w:val="00A67FCB"/>
    <w:rsid w:val="00A7065A"/>
    <w:rsid w:val="00A70854"/>
    <w:rsid w:val="00A70CD5"/>
    <w:rsid w:val="00A71090"/>
    <w:rsid w:val="00A710FB"/>
    <w:rsid w:val="00A71449"/>
    <w:rsid w:val="00A71A64"/>
    <w:rsid w:val="00A72211"/>
    <w:rsid w:val="00A724CA"/>
    <w:rsid w:val="00A7283E"/>
    <w:rsid w:val="00A72D57"/>
    <w:rsid w:val="00A73032"/>
    <w:rsid w:val="00A73B88"/>
    <w:rsid w:val="00A73E29"/>
    <w:rsid w:val="00A73EBE"/>
    <w:rsid w:val="00A73F39"/>
    <w:rsid w:val="00A74065"/>
    <w:rsid w:val="00A7433A"/>
    <w:rsid w:val="00A746CC"/>
    <w:rsid w:val="00A759BD"/>
    <w:rsid w:val="00A759BF"/>
    <w:rsid w:val="00A75F5D"/>
    <w:rsid w:val="00A7646C"/>
    <w:rsid w:val="00A76542"/>
    <w:rsid w:val="00A765F3"/>
    <w:rsid w:val="00A7681D"/>
    <w:rsid w:val="00A76975"/>
    <w:rsid w:val="00A76B70"/>
    <w:rsid w:val="00A76E66"/>
    <w:rsid w:val="00A774CB"/>
    <w:rsid w:val="00A775F6"/>
    <w:rsid w:val="00A7766A"/>
    <w:rsid w:val="00A77D63"/>
    <w:rsid w:val="00A77D85"/>
    <w:rsid w:val="00A80926"/>
    <w:rsid w:val="00A812B8"/>
    <w:rsid w:val="00A814FF"/>
    <w:rsid w:val="00A81600"/>
    <w:rsid w:val="00A81653"/>
    <w:rsid w:val="00A81683"/>
    <w:rsid w:val="00A819DD"/>
    <w:rsid w:val="00A819F8"/>
    <w:rsid w:val="00A82210"/>
    <w:rsid w:val="00A830A3"/>
    <w:rsid w:val="00A834FC"/>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0B21"/>
    <w:rsid w:val="00A9110F"/>
    <w:rsid w:val="00A9134E"/>
    <w:rsid w:val="00A916E4"/>
    <w:rsid w:val="00A91A2E"/>
    <w:rsid w:val="00A920BC"/>
    <w:rsid w:val="00A92372"/>
    <w:rsid w:val="00A92B35"/>
    <w:rsid w:val="00A92D67"/>
    <w:rsid w:val="00A936F0"/>
    <w:rsid w:val="00A9386F"/>
    <w:rsid w:val="00A938DC"/>
    <w:rsid w:val="00A93DE3"/>
    <w:rsid w:val="00A93E13"/>
    <w:rsid w:val="00A94948"/>
    <w:rsid w:val="00A94C16"/>
    <w:rsid w:val="00A94D6A"/>
    <w:rsid w:val="00A94E4C"/>
    <w:rsid w:val="00A951F0"/>
    <w:rsid w:val="00A9522C"/>
    <w:rsid w:val="00A955E0"/>
    <w:rsid w:val="00A95709"/>
    <w:rsid w:val="00A9590F"/>
    <w:rsid w:val="00A959DE"/>
    <w:rsid w:val="00A95A45"/>
    <w:rsid w:val="00A95CAB"/>
    <w:rsid w:val="00A960CA"/>
    <w:rsid w:val="00A96646"/>
    <w:rsid w:val="00A968ED"/>
    <w:rsid w:val="00A971F2"/>
    <w:rsid w:val="00A97204"/>
    <w:rsid w:val="00A97CF3"/>
    <w:rsid w:val="00AA0298"/>
    <w:rsid w:val="00AA04A0"/>
    <w:rsid w:val="00AA0591"/>
    <w:rsid w:val="00AA0C9E"/>
    <w:rsid w:val="00AA0D93"/>
    <w:rsid w:val="00AA0DAA"/>
    <w:rsid w:val="00AA10D8"/>
    <w:rsid w:val="00AA13C3"/>
    <w:rsid w:val="00AA1692"/>
    <w:rsid w:val="00AA1C29"/>
    <w:rsid w:val="00AA1FC5"/>
    <w:rsid w:val="00AA214B"/>
    <w:rsid w:val="00AA22A5"/>
    <w:rsid w:val="00AA2594"/>
    <w:rsid w:val="00AA264D"/>
    <w:rsid w:val="00AA2B3E"/>
    <w:rsid w:val="00AA2D65"/>
    <w:rsid w:val="00AA2EB5"/>
    <w:rsid w:val="00AA2F04"/>
    <w:rsid w:val="00AA3406"/>
    <w:rsid w:val="00AA34F2"/>
    <w:rsid w:val="00AA39E4"/>
    <w:rsid w:val="00AA3B60"/>
    <w:rsid w:val="00AA413F"/>
    <w:rsid w:val="00AA42A8"/>
    <w:rsid w:val="00AA44B8"/>
    <w:rsid w:val="00AA4B0E"/>
    <w:rsid w:val="00AA524F"/>
    <w:rsid w:val="00AA53C8"/>
    <w:rsid w:val="00AA5BDF"/>
    <w:rsid w:val="00AA660D"/>
    <w:rsid w:val="00AA6B66"/>
    <w:rsid w:val="00AA6F62"/>
    <w:rsid w:val="00AA7166"/>
    <w:rsid w:val="00AA77C5"/>
    <w:rsid w:val="00AA7A59"/>
    <w:rsid w:val="00AB0F1D"/>
    <w:rsid w:val="00AB14CD"/>
    <w:rsid w:val="00AB191B"/>
    <w:rsid w:val="00AB1A1E"/>
    <w:rsid w:val="00AB1BC5"/>
    <w:rsid w:val="00AB2060"/>
    <w:rsid w:val="00AB213B"/>
    <w:rsid w:val="00AB27E9"/>
    <w:rsid w:val="00AB2937"/>
    <w:rsid w:val="00AB32A7"/>
    <w:rsid w:val="00AB37DA"/>
    <w:rsid w:val="00AB39A0"/>
    <w:rsid w:val="00AB3A12"/>
    <w:rsid w:val="00AB3DEA"/>
    <w:rsid w:val="00AB405C"/>
    <w:rsid w:val="00AB4662"/>
    <w:rsid w:val="00AB47F9"/>
    <w:rsid w:val="00AB4A22"/>
    <w:rsid w:val="00AB4B44"/>
    <w:rsid w:val="00AB58D2"/>
    <w:rsid w:val="00AB6127"/>
    <w:rsid w:val="00AB6D39"/>
    <w:rsid w:val="00AB6E49"/>
    <w:rsid w:val="00AB760D"/>
    <w:rsid w:val="00AB785A"/>
    <w:rsid w:val="00AB7AB6"/>
    <w:rsid w:val="00AC0011"/>
    <w:rsid w:val="00AC0910"/>
    <w:rsid w:val="00AC09DC"/>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150"/>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B3A"/>
    <w:rsid w:val="00AD44B6"/>
    <w:rsid w:val="00AD471F"/>
    <w:rsid w:val="00AD47D3"/>
    <w:rsid w:val="00AD4BBA"/>
    <w:rsid w:val="00AD4F3D"/>
    <w:rsid w:val="00AD52FB"/>
    <w:rsid w:val="00AD5377"/>
    <w:rsid w:val="00AD56CD"/>
    <w:rsid w:val="00AD5727"/>
    <w:rsid w:val="00AD5EF2"/>
    <w:rsid w:val="00AD62C8"/>
    <w:rsid w:val="00AD66E8"/>
    <w:rsid w:val="00AD693B"/>
    <w:rsid w:val="00AD6A17"/>
    <w:rsid w:val="00AD6B4C"/>
    <w:rsid w:val="00AD6B8A"/>
    <w:rsid w:val="00AD7166"/>
    <w:rsid w:val="00AD7267"/>
    <w:rsid w:val="00AD7B45"/>
    <w:rsid w:val="00AE02EF"/>
    <w:rsid w:val="00AE051B"/>
    <w:rsid w:val="00AE07D9"/>
    <w:rsid w:val="00AE0B37"/>
    <w:rsid w:val="00AE114A"/>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1F0"/>
    <w:rsid w:val="00AF1432"/>
    <w:rsid w:val="00AF1435"/>
    <w:rsid w:val="00AF1611"/>
    <w:rsid w:val="00AF19E3"/>
    <w:rsid w:val="00AF1C3A"/>
    <w:rsid w:val="00AF1DBE"/>
    <w:rsid w:val="00AF1FCC"/>
    <w:rsid w:val="00AF20DD"/>
    <w:rsid w:val="00AF21B2"/>
    <w:rsid w:val="00AF24EB"/>
    <w:rsid w:val="00AF2B28"/>
    <w:rsid w:val="00AF303B"/>
    <w:rsid w:val="00AF318C"/>
    <w:rsid w:val="00AF33FE"/>
    <w:rsid w:val="00AF3B7C"/>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2D0"/>
    <w:rsid w:val="00B005C9"/>
    <w:rsid w:val="00B00A1E"/>
    <w:rsid w:val="00B00D5C"/>
    <w:rsid w:val="00B017CB"/>
    <w:rsid w:val="00B02018"/>
    <w:rsid w:val="00B02119"/>
    <w:rsid w:val="00B02832"/>
    <w:rsid w:val="00B02A12"/>
    <w:rsid w:val="00B02ED6"/>
    <w:rsid w:val="00B02EFE"/>
    <w:rsid w:val="00B03004"/>
    <w:rsid w:val="00B0318E"/>
    <w:rsid w:val="00B03790"/>
    <w:rsid w:val="00B03C17"/>
    <w:rsid w:val="00B03D23"/>
    <w:rsid w:val="00B03EC6"/>
    <w:rsid w:val="00B03F58"/>
    <w:rsid w:val="00B04324"/>
    <w:rsid w:val="00B04651"/>
    <w:rsid w:val="00B0493B"/>
    <w:rsid w:val="00B04EA6"/>
    <w:rsid w:val="00B05F21"/>
    <w:rsid w:val="00B06120"/>
    <w:rsid w:val="00B0622A"/>
    <w:rsid w:val="00B06396"/>
    <w:rsid w:val="00B067FD"/>
    <w:rsid w:val="00B06966"/>
    <w:rsid w:val="00B06CB1"/>
    <w:rsid w:val="00B06EF8"/>
    <w:rsid w:val="00B071A1"/>
    <w:rsid w:val="00B0784A"/>
    <w:rsid w:val="00B0789D"/>
    <w:rsid w:val="00B07D41"/>
    <w:rsid w:val="00B1035F"/>
    <w:rsid w:val="00B1063D"/>
    <w:rsid w:val="00B10754"/>
    <w:rsid w:val="00B10B1F"/>
    <w:rsid w:val="00B10D3F"/>
    <w:rsid w:val="00B10E9B"/>
    <w:rsid w:val="00B110F6"/>
    <w:rsid w:val="00B11515"/>
    <w:rsid w:val="00B11547"/>
    <w:rsid w:val="00B115A7"/>
    <w:rsid w:val="00B116C9"/>
    <w:rsid w:val="00B1241E"/>
    <w:rsid w:val="00B12681"/>
    <w:rsid w:val="00B12A7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90D"/>
    <w:rsid w:val="00B16BBE"/>
    <w:rsid w:val="00B1701B"/>
    <w:rsid w:val="00B171F2"/>
    <w:rsid w:val="00B17810"/>
    <w:rsid w:val="00B178EF"/>
    <w:rsid w:val="00B17A41"/>
    <w:rsid w:val="00B17B93"/>
    <w:rsid w:val="00B20B0B"/>
    <w:rsid w:val="00B21113"/>
    <w:rsid w:val="00B21872"/>
    <w:rsid w:val="00B22260"/>
    <w:rsid w:val="00B22842"/>
    <w:rsid w:val="00B22AA4"/>
    <w:rsid w:val="00B233D3"/>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925"/>
    <w:rsid w:val="00B27CEA"/>
    <w:rsid w:val="00B3006B"/>
    <w:rsid w:val="00B307E3"/>
    <w:rsid w:val="00B309AA"/>
    <w:rsid w:val="00B30E59"/>
    <w:rsid w:val="00B30F00"/>
    <w:rsid w:val="00B30FC6"/>
    <w:rsid w:val="00B3166E"/>
    <w:rsid w:val="00B32778"/>
    <w:rsid w:val="00B32E52"/>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6462"/>
    <w:rsid w:val="00B370B5"/>
    <w:rsid w:val="00B37389"/>
    <w:rsid w:val="00B3758A"/>
    <w:rsid w:val="00B379DB"/>
    <w:rsid w:val="00B402F9"/>
    <w:rsid w:val="00B40D4B"/>
    <w:rsid w:val="00B41052"/>
    <w:rsid w:val="00B4159C"/>
    <w:rsid w:val="00B41708"/>
    <w:rsid w:val="00B4200F"/>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C81"/>
    <w:rsid w:val="00B46EA1"/>
    <w:rsid w:val="00B46F87"/>
    <w:rsid w:val="00B47133"/>
    <w:rsid w:val="00B472DD"/>
    <w:rsid w:val="00B47518"/>
    <w:rsid w:val="00B47536"/>
    <w:rsid w:val="00B477E3"/>
    <w:rsid w:val="00B47852"/>
    <w:rsid w:val="00B50508"/>
    <w:rsid w:val="00B50D36"/>
    <w:rsid w:val="00B51321"/>
    <w:rsid w:val="00B51918"/>
    <w:rsid w:val="00B525FF"/>
    <w:rsid w:val="00B52C66"/>
    <w:rsid w:val="00B52DE0"/>
    <w:rsid w:val="00B531E2"/>
    <w:rsid w:val="00B5374F"/>
    <w:rsid w:val="00B538B2"/>
    <w:rsid w:val="00B53A21"/>
    <w:rsid w:val="00B53DCC"/>
    <w:rsid w:val="00B53EDE"/>
    <w:rsid w:val="00B544E7"/>
    <w:rsid w:val="00B54598"/>
    <w:rsid w:val="00B54D73"/>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85A"/>
    <w:rsid w:val="00B624D0"/>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914"/>
    <w:rsid w:val="00B76BA2"/>
    <w:rsid w:val="00B76F41"/>
    <w:rsid w:val="00B77328"/>
    <w:rsid w:val="00B773B3"/>
    <w:rsid w:val="00B77477"/>
    <w:rsid w:val="00B77A00"/>
    <w:rsid w:val="00B77BEE"/>
    <w:rsid w:val="00B801D8"/>
    <w:rsid w:val="00B80840"/>
    <w:rsid w:val="00B80EE2"/>
    <w:rsid w:val="00B811B6"/>
    <w:rsid w:val="00B81B7F"/>
    <w:rsid w:val="00B81C60"/>
    <w:rsid w:val="00B81E81"/>
    <w:rsid w:val="00B82057"/>
    <w:rsid w:val="00B821AD"/>
    <w:rsid w:val="00B825A7"/>
    <w:rsid w:val="00B82ACC"/>
    <w:rsid w:val="00B82FEC"/>
    <w:rsid w:val="00B83104"/>
    <w:rsid w:val="00B8322B"/>
    <w:rsid w:val="00B8341C"/>
    <w:rsid w:val="00B83464"/>
    <w:rsid w:val="00B83A0E"/>
    <w:rsid w:val="00B83E7E"/>
    <w:rsid w:val="00B843EE"/>
    <w:rsid w:val="00B8481C"/>
    <w:rsid w:val="00B84918"/>
    <w:rsid w:val="00B84986"/>
    <w:rsid w:val="00B84C14"/>
    <w:rsid w:val="00B852A8"/>
    <w:rsid w:val="00B85FA4"/>
    <w:rsid w:val="00B8610B"/>
    <w:rsid w:val="00B86158"/>
    <w:rsid w:val="00B863EB"/>
    <w:rsid w:val="00B86852"/>
    <w:rsid w:val="00B86F01"/>
    <w:rsid w:val="00B87485"/>
    <w:rsid w:val="00B8749B"/>
    <w:rsid w:val="00B87A24"/>
    <w:rsid w:val="00B87C25"/>
    <w:rsid w:val="00B87DC7"/>
    <w:rsid w:val="00B900A5"/>
    <w:rsid w:val="00B901AD"/>
    <w:rsid w:val="00B901F3"/>
    <w:rsid w:val="00B9056B"/>
    <w:rsid w:val="00B905BE"/>
    <w:rsid w:val="00B906C5"/>
    <w:rsid w:val="00B90CD2"/>
    <w:rsid w:val="00B91386"/>
    <w:rsid w:val="00B9156B"/>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32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E6F"/>
    <w:rsid w:val="00BB2FCD"/>
    <w:rsid w:val="00BB33CE"/>
    <w:rsid w:val="00BB3450"/>
    <w:rsid w:val="00BB3484"/>
    <w:rsid w:val="00BB3737"/>
    <w:rsid w:val="00BB3867"/>
    <w:rsid w:val="00BB3E07"/>
    <w:rsid w:val="00BB465F"/>
    <w:rsid w:val="00BB59FC"/>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1992"/>
    <w:rsid w:val="00BC24C7"/>
    <w:rsid w:val="00BC2A14"/>
    <w:rsid w:val="00BC2C28"/>
    <w:rsid w:val="00BC3409"/>
    <w:rsid w:val="00BC3446"/>
    <w:rsid w:val="00BC37A3"/>
    <w:rsid w:val="00BC3A87"/>
    <w:rsid w:val="00BC3CBA"/>
    <w:rsid w:val="00BC425B"/>
    <w:rsid w:val="00BC4691"/>
    <w:rsid w:val="00BC504B"/>
    <w:rsid w:val="00BC529B"/>
    <w:rsid w:val="00BC5745"/>
    <w:rsid w:val="00BC5982"/>
    <w:rsid w:val="00BC61F8"/>
    <w:rsid w:val="00BC634F"/>
    <w:rsid w:val="00BC64EE"/>
    <w:rsid w:val="00BC690F"/>
    <w:rsid w:val="00BC6913"/>
    <w:rsid w:val="00BC6D5A"/>
    <w:rsid w:val="00BC7142"/>
    <w:rsid w:val="00BC714B"/>
    <w:rsid w:val="00BC7257"/>
    <w:rsid w:val="00BC7B2A"/>
    <w:rsid w:val="00BC7BF2"/>
    <w:rsid w:val="00BC7D77"/>
    <w:rsid w:val="00BD04A0"/>
    <w:rsid w:val="00BD05D9"/>
    <w:rsid w:val="00BD078D"/>
    <w:rsid w:val="00BD0BEB"/>
    <w:rsid w:val="00BD0CF3"/>
    <w:rsid w:val="00BD0D0B"/>
    <w:rsid w:val="00BD14B4"/>
    <w:rsid w:val="00BD1BA2"/>
    <w:rsid w:val="00BD1BB6"/>
    <w:rsid w:val="00BD1CF4"/>
    <w:rsid w:val="00BD1E88"/>
    <w:rsid w:val="00BD217F"/>
    <w:rsid w:val="00BD297A"/>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05"/>
    <w:rsid w:val="00BD6373"/>
    <w:rsid w:val="00BD6923"/>
    <w:rsid w:val="00BD700B"/>
    <w:rsid w:val="00BD7A71"/>
    <w:rsid w:val="00BE042D"/>
    <w:rsid w:val="00BE0642"/>
    <w:rsid w:val="00BE083B"/>
    <w:rsid w:val="00BE0D13"/>
    <w:rsid w:val="00BE1357"/>
    <w:rsid w:val="00BE25AE"/>
    <w:rsid w:val="00BE2DC9"/>
    <w:rsid w:val="00BE30F5"/>
    <w:rsid w:val="00BE3371"/>
    <w:rsid w:val="00BE3770"/>
    <w:rsid w:val="00BE3932"/>
    <w:rsid w:val="00BE3984"/>
    <w:rsid w:val="00BE3BEE"/>
    <w:rsid w:val="00BE3E93"/>
    <w:rsid w:val="00BE3FFB"/>
    <w:rsid w:val="00BE3FFF"/>
    <w:rsid w:val="00BE448B"/>
    <w:rsid w:val="00BE4B47"/>
    <w:rsid w:val="00BE4BCD"/>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D19"/>
    <w:rsid w:val="00BF2E14"/>
    <w:rsid w:val="00BF32BB"/>
    <w:rsid w:val="00BF3625"/>
    <w:rsid w:val="00BF430B"/>
    <w:rsid w:val="00BF5043"/>
    <w:rsid w:val="00BF52E5"/>
    <w:rsid w:val="00BF649A"/>
    <w:rsid w:val="00BF6BD1"/>
    <w:rsid w:val="00BF6C2B"/>
    <w:rsid w:val="00BF6C4D"/>
    <w:rsid w:val="00BF6DB3"/>
    <w:rsid w:val="00BF6ED1"/>
    <w:rsid w:val="00BF7042"/>
    <w:rsid w:val="00BF74B6"/>
    <w:rsid w:val="00BF7558"/>
    <w:rsid w:val="00BF7620"/>
    <w:rsid w:val="00BF7834"/>
    <w:rsid w:val="00BF79CA"/>
    <w:rsid w:val="00BF7ACF"/>
    <w:rsid w:val="00BF7B6B"/>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4DD"/>
    <w:rsid w:val="00C035D7"/>
    <w:rsid w:val="00C03665"/>
    <w:rsid w:val="00C036D2"/>
    <w:rsid w:val="00C03A23"/>
    <w:rsid w:val="00C03F70"/>
    <w:rsid w:val="00C03FFC"/>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D8"/>
    <w:rsid w:val="00C06A96"/>
    <w:rsid w:val="00C074D3"/>
    <w:rsid w:val="00C0764E"/>
    <w:rsid w:val="00C07850"/>
    <w:rsid w:val="00C07A9C"/>
    <w:rsid w:val="00C07B6D"/>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08DA"/>
    <w:rsid w:val="00C31003"/>
    <w:rsid w:val="00C31596"/>
    <w:rsid w:val="00C3220A"/>
    <w:rsid w:val="00C32688"/>
    <w:rsid w:val="00C32848"/>
    <w:rsid w:val="00C32E68"/>
    <w:rsid w:val="00C331AC"/>
    <w:rsid w:val="00C33A88"/>
    <w:rsid w:val="00C34015"/>
    <w:rsid w:val="00C34316"/>
    <w:rsid w:val="00C349C3"/>
    <w:rsid w:val="00C34D8C"/>
    <w:rsid w:val="00C34E0F"/>
    <w:rsid w:val="00C35074"/>
    <w:rsid w:val="00C359FF"/>
    <w:rsid w:val="00C35DDB"/>
    <w:rsid w:val="00C369A1"/>
    <w:rsid w:val="00C3726D"/>
    <w:rsid w:val="00C37421"/>
    <w:rsid w:val="00C3744C"/>
    <w:rsid w:val="00C379BE"/>
    <w:rsid w:val="00C37FE5"/>
    <w:rsid w:val="00C403FD"/>
    <w:rsid w:val="00C40482"/>
    <w:rsid w:val="00C40B0D"/>
    <w:rsid w:val="00C40F90"/>
    <w:rsid w:val="00C4116A"/>
    <w:rsid w:val="00C4147E"/>
    <w:rsid w:val="00C415A4"/>
    <w:rsid w:val="00C41794"/>
    <w:rsid w:val="00C41A9F"/>
    <w:rsid w:val="00C41D99"/>
    <w:rsid w:val="00C42FA9"/>
    <w:rsid w:val="00C434E7"/>
    <w:rsid w:val="00C43E8E"/>
    <w:rsid w:val="00C44965"/>
    <w:rsid w:val="00C44C20"/>
    <w:rsid w:val="00C44EA4"/>
    <w:rsid w:val="00C45000"/>
    <w:rsid w:val="00C453DC"/>
    <w:rsid w:val="00C45FE8"/>
    <w:rsid w:val="00C4656B"/>
    <w:rsid w:val="00C46A1B"/>
    <w:rsid w:val="00C4711F"/>
    <w:rsid w:val="00C474FC"/>
    <w:rsid w:val="00C47B0A"/>
    <w:rsid w:val="00C47B7F"/>
    <w:rsid w:val="00C50CC1"/>
    <w:rsid w:val="00C50D45"/>
    <w:rsid w:val="00C5137A"/>
    <w:rsid w:val="00C516DB"/>
    <w:rsid w:val="00C51B69"/>
    <w:rsid w:val="00C51C53"/>
    <w:rsid w:val="00C52109"/>
    <w:rsid w:val="00C52378"/>
    <w:rsid w:val="00C52419"/>
    <w:rsid w:val="00C525A3"/>
    <w:rsid w:val="00C52B91"/>
    <w:rsid w:val="00C52D7D"/>
    <w:rsid w:val="00C5305D"/>
    <w:rsid w:val="00C53123"/>
    <w:rsid w:val="00C533A1"/>
    <w:rsid w:val="00C53DC9"/>
    <w:rsid w:val="00C53E2B"/>
    <w:rsid w:val="00C54581"/>
    <w:rsid w:val="00C548A0"/>
    <w:rsid w:val="00C54EE8"/>
    <w:rsid w:val="00C54F4E"/>
    <w:rsid w:val="00C54F82"/>
    <w:rsid w:val="00C55772"/>
    <w:rsid w:val="00C55A2E"/>
    <w:rsid w:val="00C55AF0"/>
    <w:rsid w:val="00C55B46"/>
    <w:rsid w:val="00C55FC3"/>
    <w:rsid w:val="00C565A9"/>
    <w:rsid w:val="00C56A60"/>
    <w:rsid w:val="00C570D9"/>
    <w:rsid w:val="00C57499"/>
    <w:rsid w:val="00C577E5"/>
    <w:rsid w:val="00C57F6F"/>
    <w:rsid w:val="00C60222"/>
    <w:rsid w:val="00C60B51"/>
    <w:rsid w:val="00C60C6F"/>
    <w:rsid w:val="00C60E34"/>
    <w:rsid w:val="00C60F62"/>
    <w:rsid w:val="00C61448"/>
    <w:rsid w:val="00C61A37"/>
    <w:rsid w:val="00C62855"/>
    <w:rsid w:val="00C62AE1"/>
    <w:rsid w:val="00C633A8"/>
    <w:rsid w:val="00C63569"/>
    <w:rsid w:val="00C6435D"/>
    <w:rsid w:val="00C6470D"/>
    <w:rsid w:val="00C64720"/>
    <w:rsid w:val="00C64C9D"/>
    <w:rsid w:val="00C65398"/>
    <w:rsid w:val="00C65721"/>
    <w:rsid w:val="00C659D6"/>
    <w:rsid w:val="00C65A15"/>
    <w:rsid w:val="00C661FA"/>
    <w:rsid w:val="00C6632D"/>
    <w:rsid w:val="00C66D78"/>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ACF"/>
    <w:rsid w:val="00C72E13"/>
    <w:rsid w:val="00C72EF7"/>
    <w:rsid w:val="00C72F41"/>
    <w:rsid w:val="00C73248"/>
    <w:rsid w:val="00C734B9"/>
    <w:rsid w:val="00C73ACE"/>
    <w:rsid w:val="00C73B84"/>
    <w:rsid w:val="00C73CB8"/>
    <w:rsid w:val="00C74066"/>
    <w:rsid w:val="00C740AA"/>
    <w:rsid w:val="00C74177"/>
    <w:rsid w:val="00C741C7"/>
    <w:rsid w:val="00C7430E"/>
    <w:rsid w:val="00C743E8"/>
    <w:rsid w:val="00C75261"/>
    <w:rsid w:val="00C7592A"/>
    <w:rsid w:val="00C75B92"/>
    <w:rsid w:val="00C75BF2"/>
    <w:rsid w:val="00C761D4"/>
    <w:rsid w:val="00C762B3"/>
    <w:rsid w:val="00C76389"/>
    <w:rsid w:val="00C76443"/>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A6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2EE7"/>
    <w:rsid w:val="00C9314B"/>
    <w:rsid w:val="00C932DD"/>
    <w:rsid w:val="00C93966"/>
    <w:rsid w:val="00C93D8D"/>
    <w:rsid w:val="00C942BD"/>
    <w:rsid w:val="00C945EA"/>
    <w:rsid w:val="00C94663"/>
    <w:rsid w:val="00C94888"/>
    <w:rsid w:val="00C94A88"/>
    <w:rsid w:val="00C95256"/>
    <w:rsid w:val="00C952EC"/>
    <w:rsid w:val="00C95339"/>
    <w:rsid w:val="00C95410"/>
    <w:rsid w:val="00C95742"/>
    <w:rsid w:val="00C96511"/>
    <w:rsid w:val="00C9693F"/>
    <w:rsid w:val="00C96C19"/>
    <w:rsid w:val="00C9757C"/>
    <w:rsid w:val="00C976DC"/>
    <w:rsid w:val="00C97B93"/>
    <w:rsid w:val="00C97BEE"/>
    <w:rsid w:val="00CA0131"/>
    <w:rsid w:val="00CA03B1"/>
    <w:rsid w:val="00CA0AE6"/>
    <w:rsid w:val="00CA0D04"/>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4A"/>
    <w:rsid w:val="00CA4C6D"/>
    <w:rsid w:val="00CA4E71"/>
    <w:rsid w:val="00CA4F2D"/>
    <w:rsid w:val="00CA59A2"/>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22DD"/>
    <w:rsid w:val="00CB2396"/>
    <w:rsid w:val="00CB23B2"/>
    <w:rsid w:val="00CB255E"/>
    <w:rsid w:val="00CB27A8"/>
    <w:rsid w:val="00CB27EB"/>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45F"/>
    <w:rsid w:val="00CC3707"/>
    <w:rsid w:val="00CC3B6E"/>
    <w:rsid w:val="00CC3BCE"/>
    <w:rsid w:val="00CC3C67"/>
    <w:rsid w:val="00CC3FF8"/>
    <w:rsid w:val="00CC494C"/>
    <w:rsid w:val="00CC4BDF"/>
    <w:rsid w:val="00CC4C50"/>
    <w:rsid w:val="00CC540F"/>
    <w:rsid w:val="00CC5B44"/>
    <w:rsid w:val="00CC5BC9"/>
    <w:rsid w:val="00CC5D77"/>
    <w:rsid w:val="00CC5FE2"/>
    <w:rsid w:val="00CC6207"/>
    <w:rsid w:val="00CC6620"/>
    <w:rsid w:val="00CC6947"/>
    <w:rsid w:val="00CC6BB8"/>
    <w:rsid w:val="00CC7032"/>
    <w:rsid w:val="00CC7BD2"/>
    <w:rsid w:val="00CC7EEA"/>
    <w:rsid w:val="00CD0083"/>
    <w:rsid w:val="00CD044F"/>
    <w:rsid w:val="00CD0E00"/>
    <w:rsid w:val="00CD0FD9"/>
    <w:rsid w:val="00CD121E"/>
    <w:rsid w:val="00CD12A6"/>
    <w:rsid w:val="00CD12D9"/>
    <w:rsid w:val="00CD12FB"/>
    <w:rsid w:val="00CD1765"/>
    <w:rsid w:val="00CD24A3"/>
    <w:rsid w:val="00CD3464"/>
    <w:rsid w:val="00CD428A"/>
    <w:rsid w:val="00CD43A3"/>
    <w:rsid w:val="00CD443F"/>
    <w:rsid w:val="00CD45A5"/>
    <w:rsid w:val="00CD4B0C"/>
    <w:rsid w:val="00CD551A"/>
    <w:rsid w:val="00CD5A37"/>
    <w:rsid w:val="00CD617F"/>
    <w:rsid w:val="00CD65DC"/>
    <w:rsid w:val="00CD681C"/>
    <w:rsid w:val="00CD6860"/>
    <w:rsid w:val="00CD6C4B"/>
    <w:rsid w:val="00CD75DF"/>
    <w:rsid w:val="00CD7988"/>
    <w:rsid w:val="00CE074B"/>
    <w:rsid w:val="00CE0B9B"/>
    <w:rsid w:val="00CE0CAE"/>
    <w:rsid w:val="00CE1317"/>
    <w:rsid w:val="00CE1DF5"/>
    <w:rsid w:val="00CE2221"/>
    <w:rsid w:val="00CE234B"/>
    <w:rsid w:val="00CE2561"/>
    <w:rsid w:val="00CE2EBA"/>
    <w:rsid w:val="00CE2F5A"/>
    <w:rsid w:val="00CE3352"/>
    <w:rsid w:val="00CE33EB"/>
    <w:rsid w:val="00CE3766"/>
    <w:rsid w:val="00CE3781"/>
    <w:rsid w:val="00CE37D0"/>
    <w:rsid w:val="00CE3B50"/>
    <w:rsid w:val="00CE3DAF"/>
    <w:rsid w:val="00CE3F57"/>
    <w:rsid w:val="00CE40FD"/>
    <w:rsid w:val="00CE432C"/>
    <w:rsid w:val="00CE482C"/>
    <w:rsid w:val="00CE4A7D"/>
    <w:rsid w:val="00CE4B37"/>
    <w:rsid w:val="00CE59EA"/>
    <w:rsid w:val="00CE5B68"/>
    <w:rsid w:val="00CE5BFE"/>
    <w:rsid w:val="00CE610B"/>
    <w:rsid w:val="00CE6354"/>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56F"/>
    <w:rsid w:val="00CF2A3D"/>
    <w:rsid w:val="00CF2AFC"/>
    <w:rsid w:val="00CF2B8E"/>
    <w:rsid w:val="00CF2D52"/>
    <w:rsid w:val="00CF2EAC"/>
    <w:rsid w:val="00CF37B0"/>
    <w:rsid w:val="00CF39CB"/>
    <w:rsid w:val="00CF4206"/>
    <w:rsid w:val="00CF43CA"/>
    <w:rsid w:val="00CF4E72"/>
    <w:rsid w:val="00CF523C"/>
    <w:rsid w:val="00CF5548"/>
    <w:rsid w:val="00CF568A"/>
    <w:rsid w:val="00CF5753"/>
    <w:rsid w:val="00CF6369"/>
    <w:rsid w:val="00CF68F7"/>
    <w:rsid w:val="00CF69F1"/>
    <w:rsid w:val="00CF7001"/>
    <w:rsid w:val="00CF71DD"/>
    <w:rsid w:val="00CF73D7"/>
    <w:rsid w:val="00CF7D90"/>
    <w:rsid w:val="00CF7E75"/>
    <w:rsid w:val="00CF7E78"/>
    <w:rsid w:val="00D00261"/>
    <w:rsid w:val="00D007B1"/>
    <w:rsid w:val="00D00BB5"/>
    <w:rsid w:val="00D012CF"/>
    <w:rsid w:val="00D017DC"/>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B3"/>
    <w:rsid w:val="00D050D6"/>
    <w:rsid w:val="00D054D9"/>
    <w:rsid w:val="00D057F1"/>
    <w:rsid w:val="00D05839"/>
    <w:rsid w:val="00D06574"/>
    <w:rsid w:val="00D065F4"/>
    <w:rsid w:val="00D06813"/>
    <w:rsid w:val="00D06CE5"/>
    <w:rsid w:val="00D07549"/>
    <w:rsid w:val="00D07967"/>
    <w:rsid w:val="00D079C0"/>
    <w:rsid w:val="00D07CDA"/>
    <w:rsid w:val="00D105E6"/>
    <w:rsid w:val="00D11521"/>
    <w:rsid w:val="00D11562"/>
    <w:rsid w:val="00D11569"/>
    <w:rsid w:val="00D11DF5"/>
    <w:rsid w:val="00D122C8"/>
    <w:rsid w:val="00D1255F"/>
    <w:rsid w:val="00D1269B"/>
    <w:rsid w:val="00D127AF"/>
    <w:rsid w:val="00D127D6"/>
    <w:rsid w:val="00D128F4"/>
    <w:rsid w:val="00D1291A"/>
    <w:rsid w:val="00D12CC9"/>
    <w:rsid w:val="00D13026"/>
    <w:rsid w:val="00D13755"/>
    <w:rsid w:val="00D1408A"/>
    <w:rsid w:val="00D14475"/>
    <w:rsid w:val="00D15178"/>
    <w:rsid w:val="00D15345"/>
    <w:rsid w:val="00D161BC"/>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A58"/>
    <w:rsid w:val="00D361BD"/>
    <w:rsid w:val="00D3664B"/>
    <w:rsid w:val="00D36945"/>
    <w:rsid w:val="00D370B2"/>
    <w:rsid w:val="00D379A1"/>
    <w:rsid w:val="00D379BB"/>
    <w:rsid w:val="00D379F1"/>
    <w:rsid w:val="00D37D31"/>
    <w:rsid w:val="00D400A9"/>
    <w:rsid w:val="00D40978"/>
    <w:rsid w:val="00D40BB5"/>
    <w:rsid w:val="00D40D65"/>
    <w:rsid w:val="00D40F30"/>
    <w:rsid w:val="00D4174C"/>
    <w:rsid w:val="00D422A6"/>
    <w:rsid w:val="00D4233D"/>
    <w:rsid w:val="00D42A62"/>
    <w:rsid w:val="00D43453"/>
    <w:rsid w:val="00D43638"/>
    <w:rsid w:val="00D43845"/>
    <w:rsid w:val="00D43A11"/>
    <w:rsid w:val="00D43B79"/>
    <w:rsid w:val="00D4412B"/>
    <w:rsid w:val="00D44260"/>
    <w:rsid w:val="00D44447"/>
    <w:rsid w:val="00D447E3"/>
    <w:rsid w:val="00D44E5E"/>
    <w:rsid w:val="00D44F80"/>
    <w:rsid w:val="00D4507D"/>
    <w:rsid w:val="00D452D0"/>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602"/>
    <w:rsid w:val="00D517E6"/>
    <w:rsid w:val="00D51801"/>
    <w:rsid w:val="00D52290"/>
    <w:rsid w:val="00D522DE"/>
    <w:rsid w:val="00D52380"/>
    <w:rsid w:val="00D5270F"/>
    <w:rsid w:val="00D52B7B"/>
    <w:rsid w:val="00D54128"/>
    <w:rsid w:val="00D548D4"/>
    <w:rsid w:val="00D54CCE"/>
    <w:rsid w:val="00D55157"/>
    <w:rsid w:val="00D552C4"/>
    <w:rsid w:val="00D55412"/>
    <w:rsid w:val="00D55589"/>
    <w:rsid w:val="00D558C6"/>
    <w:rsid w:val="00D55942"/>
    <w:rsid w:val="00D55F15"/>
    <w:rsid w:val="00D55FE9"/>
    <w:rsid w:val="00D560B4"/>
    <w:rsid w:val="00D56633"/>
    <w:rsid w:val="00D5716A"/>
    <w:rsid w:val="00D57CCD"/>
    <w:rsid w:val="00D602F3"/>
    <w:rsid w:val="00D606D6"/>
    <w:rsid w:val="00D608E3"/>
    <w:rsid w:val="00D61010"/>
    <w:rsid w:val="00D61370"/>
    <w:rsid w:val="00D613BF"/>
    <w:rsid w:val="00D6202D"/>
    <w:rsid w:val="00D62192"/>
    <w:rsid w:val="00D6235D"/>
    <w:rsid w:val="00D62586"/>
    <w:rsid w:val="00D62869"/>
    <w:rsid w:val="00D62CA9"/>
    <w:rsid w:val="00D62E52"/>
    <w:rsid w:val="00D633E4"/>
    <w:rsid w:val="00D639D4"/>
    <w:rsid w:val="00D63AEC"/>
    <w:rsid w:val="00D63B72"/>
    <w:rsid w:val="00D63D89"/>
    <w:rsid w:val="00D64016"/>
    <w:rsid w:val="00D64644"/>
    <w:rsid w:val="00D64F37"/>
    <w:rsid w:val="00D65741"/>
    <w:rsid w:val="00D65917"/>
    <w:rsid w:val="00D65D26"/>
    <w:rsid w:val="00D65F97"/>
    <w:rsid w:val="00D660B5"/>
    <w:rsid w:val="00D66137"/>
    <w:rsid w:val="00D66184"/>
    <w:rsid w:val="00D664A4"/>
    <w:rsid w:val="00D66A5C"/>
    <w:rsid w:val="00D66CAA"/>
    <w:rsid w:val="00D67026"/>
    <w:rsid w:val="00D671A9"/>
    <w:rsid w:val="00D671FA"/>
    <w:rsid w:val="00D678E8"/>
    <w:rsid w:val="00D67B0A"/>
    <w:rsid w:val="00D70499"/>
    <w:rsid w:val="00D708D7"/>
    <w:rsid w:val="00D708F8"/>
    <w:rsid w:val="00D70BA6"/>
    <w:rsid w:val="00D70BA7"/>
    <w:rsid w:val="00D70CE2"/>
    <w:rsid w:val="00D70D50"/>
    <w:rsid w:val="00D70DD0"/>
    <w:rsid w:val="00D712B2"/>
    <w:rsid w:val="00D718E7"/>
    <w:rsid w:val="00D71D8D"/>
    <w:rsid w:val="00D71E4B"/>
    <w:rsid w:val="00D72907"/>
    <w:rsid w:val="00D72AE6"/>
    <w:rsid w:val="00D72FC5"/>
    <w:rsid w:val="00D73181"/>
    <w:rsid w:val="00D73239"/>
    <w:rsid w:val="00D735D8"/>
    <w:rsid w:val="00D739E4"/>
    <w:rsid w:val="00D73AB6"/>
    <w:rsid w:val="00D73EB4"/>
    <w:rsid w:val="00D73F4F"/>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001"/>
    <w:rsid w:val="00D8078B"/>
    <w:rsid w:val="00D8092A"/>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0B7"/>
    <w:rsid w:val="00D87835"/>
    <w:rsid w:val="00D9062E"/>
    <w:rsid w:val="00D9088C"/>
    <w:rsid w:val="00D908EF"/>
    <w:rsid w:val="00D909A0"/>
    <w:rsid w:val="00D90BDA"/>
    <w:rsid w:val="00D91750"/>
    <w:rsid w:val="00D91D98"/>
    <w:rsid w:val="00D9206A"/>
    <w:rsid w:val="00D920A2"/>
    <w:rsid w:val="00D920ED"/>
    <w:rsid w:val="00D921FE"/>
    <w:rsid w:val="00D927B2"/>
    <w:rsid w:val="00D92AD1"/>
    <w:rsid w:val="00D93001"/>
    <w:rsid w:val="00D937B6"/>
    <w:rsid w:val="00D93BE3"/>
    <w:rsid w:val="00D943DF"/>
    <w:rsid w:val="00D9440D"/>
    <w:rsid w:val="00D945ED"/>
    <w:rsid w:val="00D94F05"/>
    <w:rsid w:val="00D950DD"/>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3734"/>
    <w:rsid w:val="00DA3809"/>
    <w:rsid w:val="00DA3970"/>
    <w:rsid w:val="00DA3C99"/>
    <w:rsid w:val="00DA5119"/>
    <w:rsid w:val="00DA526C"/>
    <w:rsid w:val="00DA5CEF"/>
    <w:rsid w:val="00DA5DDD"/>
    <w:rsid w:val="00DA5E6C"/>
    <w:rsid w:val="00DA6091"/>
    <w:rsid w:val="00DA62C0"/>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A3A"/>
    <w:rsid w:val="00DB1D13"/>
    <w:rsid w:val="00DB1F31"/>
    <w:rsid w:val="00DB2FF4"/>
    <w:rsid w:val="00DB3036"/>
    <w:rsid w:val="00DB3289"/>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6EA"/>
    <w:rsid w:val="00DC28FC"/>
    <w:rsid w:val="00DC3303"/>
    <w:rsid w:val="00DC33C5"/>
    <w:rsid w:val="00DC3565"/>
    <w:rsid w:val="00DC35B7"/>
    <w:rsid w:val="00DC4119"/>
    <w:rsid w:val="00DC4186"/>
    <w:rsid w:val="00DC4457"/>
    <w:rsid w:val="00DC44DF"/>
    <w:rsid w:val="00DC479C"/>
    <w:rsid w:val="00DC48FF"/>
    <w:rsid w:val="00DC547A"/>
    <w:rsid w:val="00DC5854"/>
    <w:rsid w:val="00DC5858"/>
    <w:rsid w:val="00DC5E6C"/>
    <w:rsid w:val="00DC616C"/>
    <w:rsid w:val="00DC61FE"/>
    <w:rsid w:val="00DC65B7"/>
    <w:rsid w:val="00DC701E"/>
    <w:rsid w:val="00DC723C"/>
    <w:rsid w:val="00DC76D2"/>
    <w:rsid w:val="00DC7720"/>
    <w:rsid w:val="00DC794D"/>
    <w:rsid w:val="00DC7BDA"/>
    <w:rsid w:val="00DD0033"/>
    <w:rsid w:val="00DD012E"/>
    <w:rsid w:val="00DD03CC"/>
    <w:rsid w:val="00DD0AED"/>
    <w:rsid w:val="00DD10C1"/>
    <w:rsid w:val="00DD11CB"/>
    <w:rsid w:val="00DD12D5"/>
    <w:rsid w:val="00DD1462"/>
    <w:rsid w:val="00DD1727"/>
    <w:rsid w:val="00DD1C40"/>
    <w:rsid w:val="00DD1EC0"/>
    <w:rsid w:val="00DD24BF"/>
    <w:rsid w:val="00DD2598"/>
    <w:rsid w:val="00DD27A2"/>
    <w:rsid w:val="00DD2978"/>
    <w:rsid w:val="00DD3220"/>
    <w:rsid w:val="00DD3624"/>
    <w:rsid w:val="00DD3B62"/>
    <w:rsid w:val="00DD40FB"/>
    <w:rsid w:val="00DD41A4"/>
    <w:rsid w:val="00DD42A2"/>
    <w:rsid w:val="00DD42EB"/>
    <w:rsid w:val="00DD4607"/>
    <w:rsid w:val="00DD460A"/>
    <w:rsid w:val="00DD4E93"/>
    <w:rsid w:val="00DD5297"/>
    <w:rsid w:val="00DD5411"/>
    <w:rsid w:val="00DD5615"/>
    <w:rsid w:val="00DD5D05"/>
    <w:rsid w:val="00DD7355"/>
    <w:rsid w:val="00DD7911"/>
    <w:rsid w:val="00DD7C8D"/>
    <w:rsid w:val="00DD7EBC"/>
    <w:rsid w:val="00DD7F0E"/>
    <w:rsid w:val="00DE00F6"/>
    <w:rsid w:val="00DE0546"/>
    <w:rsid w:val="00DE09A2"/>
    <w:rsid w:val="00DE127B"/>
    <w:rsid w:val="00DE1441"/>
    <w:rsid w:val="00DE14C4"/>
    <w:rsid w:val="00DE177C"/>
    <w:rsid w:val="00DE1885"/>
    <w:rsid w:val="00DE27E2"/>
    <w:rsid w:val="00DE2A2F"/>
    <w:rsid w:val="00DE2E32"/>
    <w:rsid w:val="00DE3762"/>
    <w:rsid w:val="00DE3974"/>
    <w:rsid w:val="00DE4452"/>
    <w:rsid w:val="00DE4691"/>
    <w:rsid w:val="00DE4B89"/>
    <w:rsid w:val="00DE4C29"/>
    <w:rsid w:val="00DE4C4E"/>
    <w:rsid w:val="00DE5035"/>
    <w:rsid w:val="00DE514F"/>
    <w:rsid w:val="00DE58E2"/>
    <w:rsid w:val="00DE59F3"/>
    <w:rsid w:val="00DE5C64"/>
    <w:rsid w:val="00DE652D"/>
    <w:rsid w:val="00DE6C14"/>
    <w:rsid w:val="00DE6D19"/>
    <w:rsid w:val="00DE7530"/>
    <w:rsid w:val="00DE790A"/>
    <w:rsid w:val="00DE7D6A"/>
    <w:rsid w:val="00DF060F"/>
    <w:rsid w:val="00DF0C74"/>
    <w:rsid w:val="00DF115E"/>
    <w:rsid w:val="00DF11AF"/>
    <w:rsid w:val="00DF2899"/>
    <w:rsid w:val="00DF2DB0"/>
    <w:rsid w:val="00DF2EF9"/>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0882"/>
    <w:rsid w:val="00E01019"/>
    <w:rsid w:val="00E012C0"/>
    <w:rsid w:val="00E0136E"/>
    <w:rsid w:val="00E013B0"/>
    <w:rsid w:val="00E01580"/>
    <w:rsid w:val="00E01619"/>
    <w:rsid w:val="00E018F8"/>
    <w:rsid w:val="00E0263A"/>
    <w:rsid w:val="00E0268D"/>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A08"/>
    <w:rsid w:val="00E06A77"/>
    <w:rsid w:val="00E06CF2"/>
    <w:rsid w:val="00E07561"/>
    <w:rsid w:val="00E07644"/>
    <w:rsid w:val="00E07B8A"/>
    <w:rsid w:val="00E10275"/>
    <w:rsid w:val="00E109FF"/>
    <w:rsid w:val="00E10BBB"/>
    <w:rsid w:val="00E1150F"/>
    <w:rsid w:val="00E1205E"/>
    <w:rsid w:val="00E122E4"/>
    <w:rsid w:val="00E1243F"/>
    <w:rsid w:val="00E12A70"/>
    <w:rsid w:val="00E12FA6"/>
    <w:rsid w:val="00E12FCA"/>
    <w:rsid w:val="00E13170"/>
    <w:rsid w:val="00E13B55"/>
    <w:rsid w:val="00E1443F"/>
    <w:rsid w:val="00E14786"/>
    <w:rsid w:val="00E14822"/>
    <w:rsid w:val="00E14B33"/>
    <w:rsid w:val="00E14B89"/>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B40"/>
    <w:rsid w:val="00E17C6F"/>
    <w:rsid w:val="00E17C9D"/>
    <w:rsid w:val="00E17F2A"/>
    <w:rsid w:val="00E2009B"/>
    <w:rsid w:val="00E20E1F"/>
    <w:rsid w:val="00E20FF9"/>
    <w:rsid w:val="00E2140B"/>
    <w:rsid w:val="00E21B42"/>
    <w:rsid w:val="00E21C55"/>
    <w:rsid w:val="00E21C5E"/>
    <w:rsid w:val="00E21F3C"/>
    <w:rsid w:val="00E22716"/>
    <w:rsid w:val="00E22904"/>
    <w:rsid w:val="00E22CE5"/>
    <w:rsid w:val="00E23148"/>
    <w:rsid w:val="00E23184"/>
    <w:rsid w:val="00E23482"/>
    <w:rsid w:val="00E236A1"/>
    <w:rsid w:val="00E2370D"/>
    <w:rsid w:val="00E23B6F"/>
    <w:rsid w:val="00E23D42"/>
    <w:rsid w:val="00E23D6F"/>
    <w:rsid w:val="00E23DEF"/>
    <w:rsid w:val="00E241B3"/>
    <w:rsid w:val="00E24203"/>
    <w:rsid w:val="00E24385"/>
    <w:rsid w:val="00E250C3"/>
    <w:rsid w:val="00E25150"/>
    <w:rsid w:val="00E251F8"/>
    <w:rsid w:val="00E25375"/>
    <w:rsid w:val="00E25638"/>
    <w:rsid w:val="00E25FED"/>
    <w:rsid w:val="00E26330"/>
    <w:rsid w:val="00E26562"/>
    <w:rsid w:val="00E26629"/>
    <w:rsid w:val="00E26A42"/>
    <w:rsid w:val="00E26F30"/>
    <w:rsid w:val="00E275D7"/>
    <w:rsid w:val="00E27E53"/>
    <w:rsid w:val="00E31418"/>
    <w:rsid w:val="00E31619"/>
    <w:rsid w:val="00E31D0A"/>
    <w:rsid w:val="00E31D77"/>
    <w:rsid w:val="00E31E62"/>
    <w:rsid w:val="00E31EB3"/>
    <w:rsid w:val="00E32410"/>
    <w:rsid w:val="00E32504"/>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468"/>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BEE"/>
    <w:rsid w:val="00E43CB6"/>
    <w:rsid w:val="00E44788"/>
    <w:rsid w:val="00E447BA"/>
    <w:rsid w:val="00E4493E"/>
    <w:rsid w:val="00E44A46"/>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A28"/>
    <w:rsid w:val="00E47E1A"/>
    <w:rsid w:val="00E50866"/>
    <w:rsid w:val="00E50BDA"/>
    <w:rsid w:val="00E50EB6"/>
    <w:rsid w:val="00E51026"/>
    <w:rsid w:val="00E5118D"/>
    <w:rsid w:val="00E511D0"/>
    <w:rsid w:val="00E51462"/>
    <w:rsid w:val="00E51515"/>
    <w:rsid w:val="00E51574"/>
    <w:rsid w:val="00E52FD1"/>
    <w:rsid w:val="00E53423"/>
    <w:rsid w:val="00E53778"/>
    <w:rsid w:val="00E53A69"/>
    <w:rsid w:val="00E53DA0"/>
    <w:rsid w:val="00E53EC7"/>
    <w:rsid w:val="00E5400B"/>
    <w:rsid w:val="00E54519"/>
    <w:rsid w:val="00E54D27"/>
    <w:rsid w:val="00E557B2"/>
    <w:rsid w:val="00E55A07"/>
    <w:rsid w:val="00E55E55"/>
    <w:rsid w:val="00E55FCF"/>
    <w:rsid w:val="00E56165"/>
    <w:rsid w:val="00E5694F"/>
    <w:rsid w:val="00E56CAD"/>
    <w:rsid w:val="00E56F55"/>
    <w:rsid w:val="00E5791F"/>
    <w:rsid w:val="00E57A2B"/>
    <w:rsid w:val="00E57E03"/>
    <w:rsid w:val="00E60083"/>
    <w:rsid w:val="00E6123F"/>
    <w:rsid w:val="00E616E6"/>
    <w:rsid w:val="00E61CD9"/>
    <w:rsid w:val="00E61E7B"/>
    <w:rsid w:val="00E6208C"/>
    <w:rsid w:val="00E629EC"/>
    <w:rsid w:val="00E62A78"/>
    <w:rsid w:val="00E62AD6"/>
    <w:rsid w:val="00E62CEF"/>
    <w:rsid w:val="00E63202"/>
    <w:rsid w:val="00E6335C"/>
    <w:rsid w:val="00E635C1"/>
    <w:rsid w:val="00E636C9"/>
    <w:rsid w:val="00E63753"/>
    <w:rsid w:val="00E63CEB"/>
    <w:rsid w:val="00E65056"/>
    <w:rsid w:val="00E6554D"/>
    <w:rsid w:val="00E655CC"/>
    <w:rsid w:val="00E66724"/>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492"/>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6AF"/>
    <w:rsid w:val="00E86BCB"/>
    <w:rsid w:val="00E86EB8"/>
    <w:rsid w:val="00E87A07"/>
    <w:rsid w:val="00E9044F"/>
    <w:rsid w:val="00E90557"/>
    <w:rsid w:val="00E9059B"/>
    <w:rsid w:val="00E908F8"/>
    <w:rsid w:val="00E90AFA"/>
    <w:rsid w:val="00E90B01"/>
    <w:rsid w:val="00E90BE6"/>
    <w:rsid w:val="00E90BE8"/>
    <w:rsid w:val="00E90CA9"/>
    <w:rsid w:val="00E90F7B"/>
    <w:rsid w:val="00E90FEE"/>
    <w:rsid w:val="00E9113D"/>
    <w:rsid w:val="00E911D0"/>
    <w:rsid w:val="00E912BF"/>
    <w:rsid w:val="00E91892"/>
    <w:rsid w:val="00E918A6"/>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616B"/>
    <w:rsid w:val="00E96B77"/>
    <w:rsid w:val="00E96D01"/>
    <w:rsid w:val="00E96DAD"/>
    <w:rsid w:val="00E97884"/>
    <w:rsid w:val="00E97DDB"/>
    <w:rsid w:val="00EA0102"/>
    <w:rsid w:val="00EA02DE"/>
    <w:rsid w:val="00EA09E9"/>
    <w:rsid w:val="00EA1D91"/>
    <w:rsid w:val="00EA1FA2"/>
    <w:rsid w:val="00EA2473"/>
    <w:rsid w:val="00EA24FC"/>
    <w:rsid w:val="00EA256F"/>
    <w:rsid w:val="00EA3025"/>
    <w:rsid w:val="00EA37A1"/>
    <w:rsid w:val="00EA403D"/>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246"/>
    <w:rsid w:val="00EB6B30"/>
    <w:rsid w:val="00EB6CA3"/>
    <w:rsid w:val="00EB767E"/>
    <w:rsid w:val="00EB78D7"/>
    <w:rsid w:val="00EB79C1"/>
    <w:rsid w:val="00EB7DDC"/>
    <w:rsid w:val="00EC0075"/>
    <w:rsid w:val="00EC04FF"/>
    <w:rsid w:val="00EC0773"/>
    <w:rsid w:val="00EC086F"/>
    <w:rsid w:val="00EC0A95"/>
    <w:rsid w:val="00EC0AD9"/>
    <w:rsid w:val="00EC1145"/>
    <w:rsid w:val="00EC1B42"/>
    <w:rsid w:val="00EC2B2F"/>
    <w:rsid w:val="00EC3004"/>
    <w:rsid w:val="00EC31C4"/>
    <w:rsid w:val="00EC3579"/>
    <w:rsid w:val="00EC3B26"/>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9FF"/>
    <w:rsid w:val="00ED2E3C"/>
    <w:rsid w:val="00ED2FB9"/>
    <w:rsid w:val="00ED2FC4"/>
    <w:rsid w:val="00ED30A2"/>
    <w:rsid w:val="00ED373F"/>
    <w:rsid w:val="00ED3A5B"/>
    <w:rsid w:val="00ED3B1B"/>
    <w:rsid w:val="00ED48F2"/>
    <w:rsid w:val="00ED499A"/>
    <w:rsid w:val="00ED4DDB"/>
    <w:rsid w:val="00ED62E6"/>
    <w:rsid w:val="00ED67DD"/>
    <w:rsid w:val="00ED7097"/>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C2"/>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CE6"/>
    <w:rsid w:val="00EE7F8E"/>
    <w:rsid w:val="00EE7FC0"/>
    <w:rsid w:val="00EF07D5"/>
    <w:rsid w:val="00EF124E"/>
    <w:rsid w:val="00EF195F"/>
    <w:rsid w:val="00EF1BB3"/>
    <w:rsid w:val="00EF23D2"/>
    <w:rsid w:val="00EF254D"/>
    <w:rsid w:val="00EF28B9"/>
    <w:rsid w:val="00EF29B9"/>
    <w:rsid w:val="00EF2D0E"/>
    <w:rsid w:val="00EF3DE7"/>
    <w:rsid w:val="00EF4C90"/>
    <w:rsid w:val="00EF5012"/>
    <w:rsid w:val="00EF5054"/>
    <w:rsid w:val="00EF575C"/>
    <w:rsid w:val="00EF5ED9"/>
    <w:rsid w:val="00EF6023"/>
    <w:rsid w:val="00EF63FD"/>
    <w:rsid w:val="00EF6C82"/>
    <w:rsid w:val="00EF6EE2"/>
    <w:rsid w:val="00EF76EF"/>
    <w:rsid w:val="00F005B0"/>
    <w:rsid w:val="00F005BD"/>
    <w:rsid w:val="00F006B7"/>
    <w:rsid w:val="00F00947"/>
    <w:rsid w:val="00F009BB"/>
    <w:rsid w:val="00F011C6"/>
    <w:rsid w:val="00F018CF"/>
    <w:rsid w:val="00F01AF4"/>
    <w:rsid w:val="00F02204"/>
    <w:rsid w:val="00F02F93"/>
    <w:rsid w:val="00F040A6"/>
    <w:rsid w:val="00F053FA"/>
    <w:rsid w:val="00F05465"/>
    <w:rsid w:val="00F057C0"/>
    <w:rsid w:val="00F05AEE"/>
    <w:rsid w:val="00F05B57"/>
    <w:rsid w:val="00F05E01"/>
    <w:rsid w:val="00F0650A"/>
    <w:rsid w:val="00F06528"/>
    <w:rsid w:val="00F06B20"/>
    <w:rsid w:val="00F06F21"/>
    <w:rsid w:val="00F07348"/>
    <w:rsid w:val="00F07892"/>
    <w:rsid w:val="00F07A7D"/>
    <w:rsid w:val="00F07AF6"/>
    <w:rsid w:val="00F07DF6"/>
    <w:rsid w:val="00F10302"/>
    <w:rsid w:val="00F10375"/>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A56"/>
    <w:rsid w:val="00F13F7C"/>
    <w:rsid w:val="00F13F89"/>
    <w:rsid w:val="00F14A90"/>
    <w:rsid w:val="00F14AA3"/>
    <w:rsid w:val="00F14BC4"/>
    <w:rsid w:val="00F14F98"/>
    <w:rsid w:val="00F15050"/>
    <w:rsid w:val="00F15205"/>
    <w:rsid w:val="00F1525B"/>
    <w:rsid w:val="00F155CD"/>
    <w:rsid w:val="00F15701"/>
    <w:rsid w:val="00F15A02"/>
    <w:rsid w:val="00F15B07"/>
    <w:rsid w:val="00F16449"/>
    <w:rsid w:val="00F167E1"/>
    <w:rsid w:val="00F16B46"/>
    <w:rsid w:val="00F16CE6"/>
    <w:rsid w:val="00F16E37"/>
    <w:rsid w:val="00F171F7"/>
    <w:rsid w:val="00F1723C"/>
    <w:rsid w:val="00F17B13"/>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D88"/>
    <w:rsid w:val="00F22E99"/>
    <w:rsid w:val="00F22F02"/>
    <w:rsid w:val="00F23715"/>
    <w:rsid w:val="00F24A91"/>
    <w:rsid w:val="00F24ACA"/>
    <w:rsid w:val="00F24B79"/>
    <w:rsid w:val="00F25AFE"/>
    <w:rsid w:val="00F25F67"/>
    <w:rsid w:val="00F2607D"/>
    <w:rsid w:val="00F265E8"/>
    <w:rsid w:val="00F268B9"/>
    <w:rsid w:val="00F26A10"/>
    <w:rsid w:val="00F26B38"/>
    <w:rsid w:val="00F26E52"/>
    <w:rsid w:val="00F26F6D"/>
    <w:rsid w:val="00F271B9"/>
    <w:rsid w:val="00F272EF"/>
    <w:rsid w:val="00F2769B"/>
    <w:rsid w:val="00F27745"/>
    <w:rsid w:val="00F27D31"/>
    <w:rsid w:val="00F27DA2"/>
    <w:rsid w:val="00F27FE8"/>
    <w:rsid w:val="00F303F8"/>
    <w:rsid w:val="00F30F7A"/>
    <w:rsid w:val="00F311CD"/>
    <w:rsid w:val="00F3131A"/>
    <w:rsid w:val="00F31456"/>
    <w:rsid w:val="00F315F5"/>
    <w:rsid w:val="00F317E2"/>
    <w:rsid w:val="00F31882"/>
    <w:rsid w:val="00F31EEA"/>
    <w:rsid w:val="00F32661"/>
    <w:rsid w:val="00F32987"/>
    <w:rsid w:val="00F32C75"/>
    <w:rsid w:val="00F32D86"/>
    <w:rsid w:val="00F33584"/>
    <w:rsid w:val="00F33D8C"/>
    <w:rsid w:val="00F3421F"/>
    <w:rsid w:val="00F34327"/>
    <w:rsid w:val="00F343D4"/>
    <w:rsid w:val="00F34EF1"/>
    <w:rsid w:val="00F3508E"/>
    <w:rsid w:val="00F351FD"/>
    <w:rsid w:val="00F35976"/>
    <w:rsid w:val="00F359A0"/>
    <w:rsid w:val="00F35ACD"/>
    <w:rsid w:val="00F35D0B"/>
    <w:rsid w:val="00F36239"/>
    <w:rsid w:val="00F3631B"/>
    <w:rsid w:val="00F364F3"/>
    <w:rsid w:val="00F367F6"/>
    <w:rsid w:val="00F36EE9"/>
    <w:rsid w:val="00F372EB"/>
    <w:rsid w:val="00F37988"/>
    <w:rsid w:val="00F37DAB"/>
    <w:rsid w:val="00F4009C"/>
    <w:rsid w:val="00F4010E"/>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4A9E"/>
    <w:rsid w:val="00F45163"/>
    <w:rsid w:val="00F452C0"/>
    <w:rsid w:val="00F45456"/>
    <w:rsid w:val="00F45974"/>
    <w:rsid w:val="00F45DD7"/>
    <w:rsid w:val="00F46111"/>
    <w:rsid w:val="00F46567"/>
    <w:rsid w:val="00F465F1"/>
    <w:rsid w:val="00F46E6C"/>
    <w:rsid w:val="00F47735"/>
    <w:rsid w:val="00F47996"/>
    <w:rsid w:val="00F47CA9"/>
    <w:rsid w:val="00F47E12"/>
    <w:rsid w:val="00F512A2"/>
    <w:rsid w:val="00F518E0"/>
    <w:rsid w:val="00F51958"/>
    <w:rsid w:val="00F52183"/>
    <w:rsid w:val="00F521EF"/>
    <w:rsid w:val="00F52467"/>
    <w:rsid w:val="00F524E2"/>
    <w:rsid w:val="00F5276A"/>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723"/>
    <w:rsid w:val="00F559C3"/>
    <w:rsid w:val="00F55A38"/>
    <w:rsid w:val="00F56244"/>
    <w:rsid w:val="00F56419"/>
    <w:rsid w:val="00F56480"/>
    <w:rsid w:val="00F5649C"/>
    <w:rsid w:val="00F56613"/>
    <w:rsid w:val="00F5670C"/>
    <w:rsid w:val="00F5671A"/>
    <w:rsid w:val="00F56BFA"/>
    <w:rsid w:val="00F56FF4"/>
    <w:rsid w:val="00F5704F"/>
    <w:rsid w:val="00F57504"/>
    <w:rsid w:val="00F5765E"/>
    <w:rsid w:val="00F57C5F"/>
    <w:rsid w:val="00F600BA"/>
    <w:rsid w:val="00F60228"/>
    <w:rsid w:val="00F6032F"/>
    <w:rsid w:val="00F60977"/>
    <w:rsid w:val="00F611D9"/>
    <w:rsid w:val="00F61295"/>
    <w:rsid w:val="00F615A4"/>
    <w:rsid w:val="00F615DE"/>
    <w:rsid w:val="00F618C7"/>
    <w:rsid w:val="00F618C8"/>
    <w:rsid w:val="00F61D70"/>
    <w:rsid w:val="00F61EF8"/>
    <w:rsid w:val="00F62364"/>
    <w:rsid w:val="00F6284E"/>
    <w:rsid w:val="00F62C25"/>
    <w:rsid w:val="00F631F6"/>
    <w:rsid w:val="00F63210"/>
    <w:rsid w:val="00F6331E"/>
    <w:rsid w:val="00F63EA9"/>
    <w:rsid w:val="00F6411C"/>
    <w:rsid w:val="00F64583"/>
    <w:rsid w:val="00F6461D"/>
    <w:rsid w:val="00F64B83"/>
    <w:rsid w:val="00F64E36"/>
    <w:rsid w:val="00F64EEA"/>
    <w:rsid w:val="00F6599E"/>
    <w:rsid w:val="00F65EDF"/>
    <w:rsid w:val="00F663BC"/>
    <w:rsid w:val="00F670EB"/>
    <w:rsid w:val="00F6754E"/>
    <w:rsid w:val="00F676B3"/>
    <w:rsid w:val="00F679DE"/>
    <w:rsid w:val="00F70075"/>
    <w:rsid w:val="00F700D6"/>
    <w:rsid w:val="00F7041E"/>
    <w:rsid w:val="00F70779"/>
    <w:rsid w:val="00F7077A"/>
    <w:rsid w:val="00F70888"/>
    <w:rsid w:val="00F7123E"/>
    <w:rsid w:val="00F712C5"/>
    <w:rsid w:val="00F71331"/>
    <w:rsid w:val="00F717CA"/>
    <w:rsid w:val="00F72850"/>
    <w:rsid w:val="00F72901"/>
    <w:rsid w:val="00F729D6"/>
    <w:rsid w:val="00F72B36"/>
    <w:rsid w:val="00F72BDA"/>
    <w:rsid w:val="00F72DC7"/>
    <w:rsid w:val="00F72F3A"/>
    <w:rsid w:val="00F73627"/>
    <w:rsid w:val="00F74215"/>
    <w:rsid w:val="00F74936"/>
    <w:rsid w:val="00F74AE2"/>
    <w:rsid w:val="00F74C9E"/>
    <w:rsid w:val="00F74D22"/>
    <w:rsid w:val="00F75602"/>
    <w:rsid w:val="00F7577D"/>
    <w:rsid w:val="00F75AE3"/>
    <w:rsid w:val="00F75D76"/>
    <w:rsid w:val="00F75DF4"/>
    <w:rsid w:val="00F7600C"/>
    <w:rsid w:val="00F761AA"/>
    <w:rsid w:val="00F76465"/>
    <w:rsid w:val="00F76523"/>
    <w:rsid w:val="00F76901"/>
    <w:rsid w:val="00F769D8"/>
    <w:rsid w:val="00F76CA5"/>
    <w:rsid w:val="00F77003"/>
    <w:rsid w:val="00F7798B"/>
    <w:rsid w:val="00F77CDB"/>
    <w:rsid w:val="00F8017D"/>
    <w:rsid w:val="00F801FA"/>
    <w:rsid w:val="00F810BC"/>
    <w:rsid w:val="00F81145"/>
    <w:rsid w:val="00F8118D"/>
    <w:rsid w:val="00F811D2"/>
    <w:rsid w:val="00F81366"/>
    <w:rsid w:val="00F818A8"/>
    <w:rsid w:val="00F81B35"/>
    <w:rsid w:val="00F81C97"/>
    <w:rsid w:val="00F81F04"/>
    <w:rsid w:val="00F81F16"/>
    <w:rsid w:val="00F81F8D"/>
    <w:rsid w:val="00F82380"/>
    <w:rsid w:val="00F824E0"/>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7D1"/>
    <w:rsid w:val="00F85DB8"/>
    <w:rsid w:val="00F85E89"/>
    <w:rsid w:val="00F85EF1"/>
    <w:rsid w:val="00F86035"/>
    <w:rsid w:val="00F86246"/>
    <w:rsid w:val="00F863B1"/>
    <w:rsid w:val="00F87D87"/>
    <w:rsid w:val="00F90179"/>
    <w:rsid w:val="00F9028C"/>
    <w:rsid w:val="00F90325"/>
    <w:rsid w:val="00F903D6"/>
    <w:rsid w:val="00F904A0"/>
    <w:rsid w:val="00F90931"/>
    <w:rsid w:val="00F90A5B"/>
    <w:rsid w:val="00F90BAA"/>
    <w:rsid w:val="00F920C9"/>
    <w:rsid w:val="00F92266"/>
    <w:rsid w:val="00F9247D"/>
    <w:rsid w:val="00F925CB"/>
    <w:rsid w:val="00F92F9E"/>
    <w:rsid w:val="00F933DF"/>
    <w:rsid w:val="00F93530"/>
    <w:rsid w:val="00F93540"/>
    <w:rsid w:val="00F938C9"/>
    <w:rsid w:val="00F93B78"/>
    <w:rsid w:val="00F93FE2"/>
    <w:rsid w:val="00F944C1"/>
    <w:rsid w:val="00F94B40"/>
    <w:rsid w:val="00F9528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11A1"/>
    <w:rsid w:val="00FA1561"/>
    <w:rsid w:val="00FA15A7"/>
    <w:rsid w:val="00FA19A4"/>
    <w:rsid w:val="00FA1F69"/>
    <w:rsid w:val="00FA2018"/>
    <w:rsid w:val="00FA2555"/>
    <w:rsid w:val="00FA26E8"/>
    <w:rsid w:val="00FA274A"/>
    <w:rsid w:val="00FA2A7A"/>
    <w:rsid w:val="00FA2A89"/>
    <w:rsid w:val="00FA2C8F"/>
    <w:rsid w:val="00FA39DB"/>
    <w:rsid w:val="00FA412E"/>
    <w:rsid w:val="00FA4680"/>
    <w:rsid w:val="00FA473B"/>
    <w:rsid w:val="00FA4ED8"/>
    <w:rsid w:val="00FA56E8"/>
    <w:rsid w:val="00FA572D"/>
    <w:rsid w:val="00FA58C9"/>
    <w:rsid w:val="00FA5A41"/>
    <w:rsid w:val="00FA6E4A"/>
    <w:rsid w:val="00FA6EDE"/>
    <w:rsid w:val="00FA6FB7"/>
    <w:rsid w:val="00FA6FDE"/>
    <w:rsid w:val="00FA780D"/>
    <w:rsid w:val="00FA7951"/>
    <w:rsid w:val="00FB02B0"/>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E18"/>
    <w:rsid w:val="00FB6E9A"/>
    <w:rsid w:val="00FB74E4"/>
    <w:rsid w:val="00FB76EB"/>
    <w:rsid w:val="00FB7CAE"/>
    <w:rsid w:val="00FB7D81"/>
    <w:rsid w:val="00FC04E0"/>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46C7"/>
    <w:rsid w:val="00FC5941"/>
    <w:rsid w:val="00FC624B"/>
    <w:rsid w:val="00FC6401"/>
    <w:rsid w:val="00FC7805"/>
    <w:rsid w:val="00FC7964"/>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9C3"/>
    <w:rsid w:val="00FD6C77"/>
    <w:rsid w:val="00FD6ED3"/>
    <w:rsid w:val="00FD719E"/>
    <w:rsid w:val="00FD7440"/>
    <w:rsid w:val="00FD752C"/>
    <w:rsid w:val="00FD76EC"/>
    <w:rsid w:val="00FD7E12"/>
    <w:rsid w:val="00FE040E"/>
    <w:rsid w:val="00FE049B"/>
    <w:rsid w:val="00FE0654"/>
    <w:rsid w:val="00FE0D15"/>
    <w:rsid w:val="00FE1316"/>
    <w:rsid w:val="00FE1501"/>
    <w:rsid w:val="00FE16CE"/>
    <w:rsid w:val="00FE198A"/>
    <w:rsid w:val="00FE2313"/>
    <w:rsid w:val="00FE2953"/>
    <w:rsid w:val="00FE308A"/>
    <w:rsid w:val="00FE30B0"/>
    <w:rsid w:val="00FE3915"/>
    <w:rsid w:val="00FE3A39"/>
    <w:rsid w:val="00FE3D83"/>
    <w:rsid w:val="00FE3EF2"/>
    <w:rsid w:val="00FE4373"/>
    <w:rsid w:val="00FE43D8"/>
    <w:rsid w:val="00FE456E"/>
    <w:rsid w:val="00FE4716"/>
    <w:rsid w:val="00FE4D6F"/>
    <w:rsid w:val="00FE4E5E"/>
    <w:rsid w:val="00FE50DF"/>
    <w:rsid w:val="00FE5523"/>
    <w:rsid w:val="00FE5534"/>
    <w:rsid w:val="00FE55F3"/>
    <w:rsid w:val="00FE56B9"/>
    <w:rsid w:val="00FE58A7"/>
    <w:rsid w:val="00FE607C"/>
    <w:rsid w:val="00FE67F4"/>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463"/>
    <w:rsid w:val="00FF5488"/>
    <w:rsid w:val="00FF5939"/>
    <w:rsid w:val="00FF5DE0"/>
    <w:rsid w:val="00FF613E"/>
    <w:rsid w:val="00FF6375"/>
    <w:rsid w:val="00FF6466"/>
    <w:rsid w:val="00FF66EE"/>
    <w:rsid w:val="00FF6B5C"/>
    <w:rsid w:val="00FF7004"/>
    <w:rsid w:val="00FF7055"/>
    <w:rsid w:val="00FF72A1"/>
    <w:rsid w:val="00FF73A1"/>
    <w:rsid w:val="00FF7400"/>
    <w:rsid w:val="00FF7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5">
      <o:colormru v:ext="edit" colors="#f30,#f7f7f7"/>
    </o:shapedefaults>
    <o:shapelayout v:ext="edit">
      <o:idmap v:ext="edit" data="2"/>
    </o:shapelayout>
  </w:shapeDefaults>
  <w:decimalSymbol w:val="."/>
  <w:listSeparator w:val=","/>
  <w14:docId w14:val="2BECE2E2"/>
  <w15:docId w15:val="{6CF0D1BD-CBCA-492B-89DB-7D445EC3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42"/>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 w:type="paragraph" w:customStyle="1" w:styleId="Style1">
    <w:name w:val="Style1"/>
    <w:basedOn w:val="Normal"/>
    <w:link w:val="Style1Char"/>
    <w:qFormat/>
    <w:rsid w:val="00B9632F"/>
    <w:pPr>
      <w:jc w:val="both"/>
    </w:pPr>
    <w:rPr>
      <w:rFonts w:ascii="Arial" w:hAnsi="Arial" w:cs="Arial"/>
      <w:sz w:val="20"/>
      <w:szCs w:val="20"/>
      <w:lang w:val="en-US"/>
    </w:rPr>
  </w:style>
  <w:style w:type="character" w:customStyle="1" w:styleId="Style1Char">
    <w:name w:val="Style1 Char"/>
    <w:basedOn w:val="DefaultParagraphFont"/>
    <w:link w:val="Style1"/>
    <w:rsid w:val="00B9632F"/>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38709304">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596140729">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130">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26057966">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25954407">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8430">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427542">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717120920">
      <w:bodyDiv w:val="1"/>
      <w:marLeft w:val="0"/>
      <w:marRight w:val="0"/>
      <w:marTop w:val="0"/>
      <w:marBottom w:val="0"/>
      <w:divBdr>
        <w:top w:val="none" w:sz="0" w:space="0" w:color="auto"/>
        <w:left w:val="none" w:sz="0" w:space="0" w:color="auto"/>
        <w:bottom w:val="none" w:sz="0" w:space="0" w:color="auto"/>
        <w:right w:val="none" w:sz="0" w:space="0" w:color="auto"/>
      </w:divBdr>
    </w:div>
    <w:div w:id="1717389191">
      <w:bodyDiv w:val="1"/>
      <w:marLeft w:val="0"/>
      <w:marRight w:val="0"/>
      <w:marTop w:val="0"/>
      <w:marBottom w:val="0"/>
      <w:divBdr>
        <w:top w:val="none" w:sz="0" w:space="0" w:color="auto"/>
        <w:left w:val="none" w:sz="0" w:space="0" w:color="auto"/>
        <w:bottom w:val="none" w:sz="0" w:space="0" w:color="auto"/>
        <w:right w:val="none" w:sz="0" w:space="0" w:color="auto"/>
      </w:divBdr>
    </w:div>
    <w:div w:id="1857111171">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72073" TargetMode="External"/><Relationship Id="rId26" Type="http://schemas.openxmlformats.org/officeDocument/2006/relationships/hyperlink" Target="https://jade.io/citation/1402235" TargetMode="External"/><Relationship Id="rId39" Type="http://schemas.openxmlformats.org/officeDocument/2006/relationships/hyperlink" Target="http://www.aic.gov.au" TargetMode="External"/><Relationship Id="rId3" Type="http://schemas.openxmlformats.org/officeDocument/2006/relationships/styles" Target="styles.xml"/><Relationship Id="rId21" Type="http://schemas.openxmlformats.org/officeDocument/2006/relationships/hyperlink" Target="https://jade.io/citation/2889488" TargetMode="External"/><Relationship Id="rId34" Type="http://schemas.openxmlformats.org/officeDocument/2006/relationships/hyperlink" Target="https://dfvbenchbook.aija.org.au/dynamics-of-domestic-and-family-violence/vulnerable-groups/" TargetMode="External"/><Relationship Id="rId42" Type="http://schemas.openxmlformats.org/officeDocument/2006/relationships/image" Target="media/image4.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jade.io/article/312063" TargetMode="External"/><Relationship Id="rId17" Type="http://schemas.openxmlformats.org/officeDocument/2006/relationships/hyperlink" Target="https://jade.io/article/819967" TargetMode="External"/><Relationship Id="rId25" Type="http://schemas.openxmlformats.org/officeDocument/2006/relationships/hyperlink" Target="https://jade.io/citation/19063574" TargetMode="External"/><Relationship Id="rId33" Type="http://schemas.openxmlformats.org/officeDocument/2006/relationships/hyperlink" Target="https://dfvbenchbook.aija.org.au/dynamics-of-domestic-and-family-violence/factors-affecting-risk/" TargetMode="External"/><Relationship Id="rId38" Type="http://schemas.openxmlformats.org/officeDocument/2006/relationships/image" Target="media/image1.jpeg"/><Relationship Id="rId46"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s://jade.io/article/819967" TargetMode="External"/><Relationship Id="rId20" Type="http://schemas.openxmlformats.org/officeDocument/2006/relationships/hyperlink" Target="https://jade.io/article/538665/section/140798" TargetMode="External"/><Relationship Id="rId29" Type="http://schemas.openxmlformats.org/officeDocument/2006/relationships/hyperlink" Target="https://dfvbenchbook.aija.org.au/dynamics-of-domestic-and-family-violence/"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2344240" TargetMode="External"/><Relationship Id="rId32" Type="http://schemas.openxmlformats.org/officeDocument/2006/relationships/hyperlink" Target="https://dfvbenchbook.aija.org.au/vulnerable-groups/children/" TargetMode="External"/><Relationship Id="rId37" Type="http://schemas.openxmlformats.org/officeDocument/2006/relationships/hyperlink" Target="https://dfvbenchbook.aija.org.au/vulnerable-groups/people-with-mental-illness/" TargetMode="External"/><Relationship Id="rId40" Type="http://schemas.openxmlformats.org/officeDocument/2006/relationships/image" Target="media/image2.png"/><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2347370" TargetMode="External"/><Relationship Id="rId28" Type="http://schemas.openxmlformats.org/officeDocument/2006/relationships/hyperlink" Target="https://dfvbenchbook.aija.org.au/perpetrator-intervention-programs/" TargetMode="External"/><Relationship Id="rId36" Type="http://schemas.openxmlformats.org/officeDocument/2006/relationships/hyperlink" Target="https://dfvbenchbook.aija.org.au/vulnerable-groups/people-with-disability-and-impairment/" TargetMode="External"/><Relationship Id="rId49" Type="http://schemas.openxmlformats.org/officeDocument/2006/relationships/theme" Target="theme/theme1.xml"/><Relationship Id="rId10" Type="http://schemas.openxmlformats.org/officeDocument/2006/relationships/hyperlink" Target="http://www.austlii.edu.au/au/cases/cth/high_ct/183clr1.html" TargetMode="External"/><Relationship Id="rId19" Type="http://schemas.openxmlformats.org/officeDocument/2006/relationships/hyperlink" Target="https://jade.io/article/538665" TargetMode="External"/><Relationship Id="rId31" Type="http://schemas.openxmlformats.org/officeDocument/2006/relationships/hyperlink" Target="https://dfvbenchbook.aija.org.au/understanding-domestic-and-family-violence/exposing-children/"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25198/section/1296158" TargetMode="External"/><Relationship Id="rId27" Type="http://schemas.openxmlformats.org/officeDocument/2006/relationships/hyperlink" Target="https://dfvbenchbook.aija.org.au/dynamics-of-domestic-and-family-violence/factors-affecting-risk/" TargetMode="External"/><Relationship Id="rId30" Type="http://schemas.openxmlformats.org/officeDocument/2006/relationships/hyperlink" Target="https://dfvbenchbook.aija.org.au/vulnerable-groups/people-with-children/" TargetMode="External"/><Relationship Id="rId35" Type="http://schemas.openxmlformats.org/officeDocument/2006/relationships/hyperlink" Target="https://dfvbenchbook.aija.org.au/vulnerable-groups/people-with-poor-literacy-skills/" TargetMode="External"/><Relationship Id="rId43" Type="http://schemas.openxmlformats.org/officeDocument/2006/relationships/hyperlink" Target="https://www.abs.gov.au/statistics/people/crime-and-justice/recorded-crime-offenders/latest-release" TargetMode="External"/><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445</Pages>
  <Words>306213</Words>
  <Characters>1745416</Characters>
  <Application>Microsoft Office Word</Application>
  <DocSecurity>0</DocSecurity>
  <Lines>14545</Lines>
  <Paragraphs>4095</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2047534</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2025-07-01T01:04:00Z</cp:lastPrinted>
  <dcterms:created xsi:type="dcterms:W3CDTF">2025-09-02T01:19:00Z</dcterms:created>
  <dcterms:modified xsi:type="dcterms:W3CDTF">2025-09-02T01:19:00Z</dcterms:modified>
</cp:coreProperties>
</file>