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3C69044A"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Youth Justi</w:t>
      </w:r>
      <w:r>
        <w:rPr>
          <w:rStyle w:val="Hyperlink"/>
          <w:rFonts w:ascii="Arial" w:hAnsi="Arial" w:cs="Arial"/>
          <w:b/>
          <w:bCs/>
          <w:sz w:val="20"/>
          <w:u w:val="none"/>
        </w:rPr>
        <w:t>c</w:t>
      </w:r>
      <w:r>
        <w:rPr>
          <w:rStyle w:val="Hyperlink"/>
          <w:rFonts w:ascii="Arial" w:hAnsi="Arial" w:cs="Arial"/>
          <w:b/>
          <w:bCs/>
          <w:sz w:val="20"/>
          <w:u w:val="none"/>
        </w:rPr>
        <w:t xml:space="preserve">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76B55424"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w:t>
        </w:r>
        <w:proofErr w:type="spellStart"/>
        <w:r w:rsidRPr="005F4CEF">
          <w:rPr>
            <w:rStyle w:val="Hyperlink"/>
            <w:rFonts w:ascii="Arial" w:hAnsi="Arial" w:cs="Arial"/>
            <w:b/>
            <w:bCs/>
            <w:u w:val="none"/>
          </w:rPr>
          <w:t>eCourt</w:t>
        </w:r>
        <w:proofErr w:type="spellEnd"/>
        <w:r w:rsidRPr="005F4CEF">
          <w:rPr>
            <w:rStyle w:val="Hyperlink"/>
            <w:rFonts w:ascii="Arial" w:hAnsi="Arial" w:cs="Arial"/>
            <w:b/>
            <w:bCs/>
            <w:u w:val="none"/>
          </w:rPr>
          <w:t>]</w:t>
        </w:r>
      </w:hyperlink>
    </w:p>
    <w:p w14:paraId="38361954" w14:textId="76148D63"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"_1.6.1_Remote_hearings"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t>Remote hearings using Webex</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r>
        <w:proofErr w:type="spellStart"/>
        <w:r w:rsidRPr="00DC1098">
          <w:rPr>
            <w:rStyle w:val="Hyperlink"/>
            <w:rFonts w:ascii="Arial" w:hAnsi="Arial" w:cs="Arial"/>
            <w:b/>
            <w:bCs/>
            <w:sz w:val="20"/>
            <w:u w:val="none"/>
          </w:rPr>
          <w:t>Courtlink</w:t>
        </w:r>
        <w:proofErr w:type="spellEnd"/>
        <w:r w:rsidRPr="00DC1098">
          <w:rPr>
            <w:rStyle w:val="Hyperlink"/>
            <w:rFonts w:ascii="Arial" w:hAnsi="Arial" w:cs="Arial"/>
            <w:b/>
            <w:bCs/>
            <w:sz w:val="20"/>
            <w:u w:val="none"/>
          </w:rPr>
          <w:t xml:space="preserve">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77777777"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 xml:space="preserve">"Your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w:t>
      </w:r>
      <w:proofErr w:type="spellStart"/>
      <w:r w:rsidRPr="00786F9E">
        <w:rPr>
          <w:rFonts w:ascii="Arial" w:hAnsi="Arial" w:cs="Arial"/>
          <w:b/>
          <w:bCs/>
          <w:color w:val="000000"/>
          <w:sz w:val="20"/>
        </w:rPr>
        <w:t>cont</w:t>
      </w:r>
      <w:r w:rsidR="00A75DE1">
        <w:rPr>
          <w:rFonts w:ascii="Arial" w:hAnsi="Arial" w:cs="Arial"/>
          <w:b/>
          <w:bCs/>
          <w:color w:val="000000"/>
          <w:sz w:val="20"/>
        </w:rPr>
        <w:t>a</w:t>
      </w:r>
      <w:r w:rsidRPr="00786F9E">
        <w:rPr>
          <w:rFonts w:ascii="Arial" w:hAnsi="Arial" w:cs="Arial"/>
          <w:b/>
          <w:bCs/>
          <w:color w:val="000000"/>
          <w:sz w:val="20"/>
        </w:rPr>
        <w:t>minars</w:t>
      </w:r>
      <w:proofErr w:type="spellEnd"/>
      <w:r w:rsidRPr="00786F9E">
        <w:rPr>
          <w:rFonts w:ascii="Arial" w:hAnsi="Arial" w:cs="Arial"/>
          <w:b/>
          <w:bCs/>
          <w:color w:val="000000"/>
          <w:sz w:val="20"/>
        </w:rPr>
        <w:t xml:space="preserve">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City">
        <w:smartTag w:uri="urn:schemas-microsoft-com:office:smarttags" w:element="place">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 xml:space="preserve">hearing and inquiring into all charges and </w:t>
      </w:r>
      <w:proofErr w:type="spellStart"/>
      <w:r w:rsidRPr="005764C7">
        <w:rPr>
          <w:rFonts w:ascii="Arial" w:hAnsi="Arial" w:cs="Arial"/>
          <w:sz w:val="20"/>
          <w:szCs w:val="20"/>
        </w:rPr>
        <w:t>informations</w:t>
      </w:r>
      <w:proofErr w:type="spellEnd"/>
      <w:r w:rsidRPr="005764C7">
        <w:rPr>
          <w:rFonts w:ascii="Arial" w:hAnsi="Arial" w:cs="Arial"/>
          <w:sz w:val="20"/>
          <w:szCs w:val="20"/>
        </w:rPr>
        <w:t xml:space="preserve">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 xml:space="preserve">hearing and determination of all </w:t>
      </w:r>
      <w:proofErr w:type="spellStart"/>
      <w:r w:rsidRPr="005764C7">
        <w:rPr>
          <w:rFonts w:ascii="Arial" w:hAnsi="Arial" w:cs="Arial"/>
          <w:sz w:val="20"/>
          <w:szCs w:val="20"/>
        </w:rPr>
        <w:t>informations</w:t>
      </w:r>
      <w:proofErr w:type="spellEnd"/>
      <w:r w:rsidRPr="005764C7">
        <w:rPr>
          <w:rFonts w:ascii="Arial" w:hAnsi="Arial" w:cs="Arial"/>
          <w:sz w:val="20"/>
          <w:szCs w:val="20"/>
        </w:rPr>
        <w:t xml:space="preserve">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proofErr w:type="spellStart"/>
      <w:r w:rsidRPr="00786F9E">
        <w:rPr>
          <w:rFonts w:ascii="Arial" w:hAnsi="Arial" w:cs="Arial"/>
          <w:color w:val="000000"/>
          <w:sz w:val="20"/>
          <w:szCs w:val="20"/>
        </w:rPr>
        <w:t>rofessionals</w:t>
      </w:r>
      <w:proofErr w:type="spellEnd"/>
      <w:r w:rsidRPr="00786F9E">
        <w:rPr>
          <w:rFonts w:ascii="Arial" w:hAnsi="Arial" w:cs="Arial"/>
          <w:color w:val="000000"/>
          <w:sz w:val="20"/>
          <w:szCs w:val="20"/>
        </w:rPr>
        <w:t xml:space="preserve">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3A6D5E">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3A6D5E">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00773">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00773">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00773">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00773">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00773">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3A6D5E">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3A6D5E">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3A6D5E">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3A6D5E">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3A6D5E">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3A6D5E">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3A6D5E">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3A6D5E">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3A6D5E">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00773">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00773">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00773">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3A6D5E">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3A6D5E">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3A6D5E">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proofErr w:type="spellStart"/>
            <w:r w:rsidR="00973FCB" w:rsidRPr="000B4AA9">
              <w:rPr>
                <w:rFonts w:ascii="Arial" w:hAnsi="Arial" w:cs="Arial"/>
                <w:sz w:val="16"/>
                <w:szCs w:val="16"/>
                <w:shd w:val="clear" w:color="auto" w:fill="EAEAEA"/>
              </w:rPr>
              <w:t>ew</w:t>
            </w:r>
            <w:proofErr w:type="spellEnd"/>
            <w:r w:rsidR="00973FCB" w:rsidRPr="000B4AA9">
              <w:rPr>
                <w:rFonts w:ascii="Arial" w:hAnsi="Arial" w:cs="Arial"/>
                <w:sz w:val="16"/>
                <w:szCs w:val="16"/>
                <w:shd w:val="clear" w:color="auto" w:fill="EAEAEA"/>
              </w:rPr>
              <w:t xml:space="preserve">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3A6D5E">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 xml:space="preserve">Minister </w:t>
            </w:r>
            <w:proofErr w:type="spellStart"/>
            <w:r w:rsidR="00973FCB" w:rsidRPr="007B6C7D">
              <w:rPr>
                <w:rFonts w:ascii="Arial" w:hAnsi="Arial" w:cs="Arial"/>
                <w:sz w:val="16"/>
                <w:szCs w:val="16"/>
                <w:shd w:val="clear" w:color="auto" w:fill="EAEAEA"/>
              </w:rPr>
              <w:t>Blandthorn</w:t>
            </w:r>
            <w:r>
              <w:rPr>
                <w:rFonts w:ascii="Arial" w:hAnsi="Arial" w:cs="Arial"/>
                <w:sz w:val="16"/>
                <w:szCs w:val="16"/>
                <w:shd w:val="clear" w:color="auto" w:fill="EAEAEA"/>
              </w:rPr>
              <w:t>’s</w:t>
            </w:r>
            <w:proofErr w:type="spellEnd"/>
            <w:r>
              <w:rPr>
                <w:rFonts w:ascii="Arial" w:hAnsi="Arial" w:cs="Arial"/>
                <w:sz w:val="16"/>
                <w:szCs w:val="16"/>
                <w:shd w:val="clear" w:color="auto" w:fill="EAEAEA"/>
              </w:rPr>
              <w:t xml:space="preserve">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3A6D5E">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A34F6C">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3A6D5E">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3A6D5E">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3A6D5E">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3A6D5E">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3A6D5E">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3A6D5E">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3A6D5E">
        <w:tblPrEx>
          <w:tblBorders>
            <w:top w:val="single" w:sz="4" w:space="0" w:color="auto"/>
          </w:tblBorders>
        </w:tblPrEx>
        <w:trPr>
          <w:trHeight w:val="96"/>
        </w:trPr>
        <w:tc>
          <w:tcPr>
            <w:tcW w:w="9129" w:type="dxa"/>
            <w:gridSpan w:val="4"/>
          </w:tcPr>
          <w:p w14:paraId="75D5F11F" w14:textId="534DC911" w:rsidR="00973FCB" w:rsidRDefault="00973FCB" w:rsidP="003A6D5E">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3A6D5E">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3A6D5E">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3A6D5E">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3A6D5E">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3A6D5E">
        <w:tblPrEx>
          <w:tblBorders>
            <w:top w:val="single" w:sz="4" w:space="0" w:color="auto"/>
          </w:tblBorders>
        </w:tblPrEx>
        <w:trPr>
          <w:trHeight w:val="96"/>
        </w:trPr>
        <w:tc>
          <w:tcPr>
            <w:tcW w:w="9129" w:type="dxa"/>
            <w:gridSpan w:val="4"/>
          </w:tcPr>
          <w:p w14:paraId="7603B89C"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3A6D5E">
        <w:tblPrEx>
          <w:tblBorders>
            <w:top w:val="single" w:sz="4" w:space="0" w:color="auto"/>
          </w:tblBorders>
        </w:tblPrEx>
        <w:trPr>
          <w:trHeight w:val="96"/>
        </w:trPr>
        <w:tc>
          <w:tcPr>
            <w:tcW w:w="9129" w:type="dxa"/>
            <w:gridSpan w:val="4"/>
          </w:tcPr>
          <w:p w14:paraId="2C852AF9"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(1AB)(</w:t>
            </w:r>
            <w:proofErr w:type="spellStart"/>
            <w:r w:rsidRPr="00196D74">
              <w:rPr>
                <w:rFonts w:ascii="Arial" w:hAnsi="Arial" w:cs="Arial"/>
                <w:b/>
                <w:bCs/>
                <w:sz w:val="20"/>
                <w:szCs w:val="20"/>
              </w:rPr>
              <w:t>ba</w:t>
            </w:r>
            <w:proofErr w:type="spellEnd"/>
            <w:r w:rsidRPr="00196D74">
              <w:rPr>
                <w:rFonts w:ascii="Arial" w:hAnsi="Arial" w:cs="Arial"/>
                <w:b/>
                <w:bCs/>
                <w:sz w:val="20"/>
                <w:szCs w:val="20"/>
              </w:rPr>
              <w:t>)</w:t>
            </w:r>
          </w:p>
        </w:tc>
        <w:tc>
          <w:tcPr>
            <w:tcW w:w="6747" w:type="dxa"/>
            <w:shd w:val="clear" w:color="auto" w:fill="C5E0B3" w:themeFill="accent6" w:themeFillTint="66"/>
          </w:tcPr>
          <w:p w14:paraId="6F95CE5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3A6D5E">
        <w:tblPrEx>
          <w:tblBorders>
            <w:top w:val="single" w:sz="4" w:space="0" w:color="auto"/>
          </w:tblBorders>
        </w:tblPrEx>
        <w:trPr>
          <w:trHeight w:val="96"/>
        </w:trPr>
        <w:tc>
          <w:tcPr>
            <w:tcW w:w="9129" w:type="dxa"/>
            <w:gridSpan w:val="4"/>
          </w:tcPr>
          <w:p w14:paraId="5E074BC1"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s.588(1AB)(</w:t>
            </w:r>
            <w:proofErr w:type="spellStart"/>
            <w:r>
              <w:rPr>
                <w:rFonts w:ascii="Arial" w:hAnsi="Arial" w:cs="Arial"/>
                <w:b/>
                <w:bCs/>
                <w:sz w:val="18"/>
                <w:szCs w:val="18"/>
              </w:rPr>
              <w:t>ba</w:t>
            </w:r>
            <w:proofErr w:type="spellEnd"/>
            <w:r>
              <w:rPr>
                <w:rFonts w:ascii="Arial" w:hAnsi="Arial" w:cs="Arial"/>
                <w:b/>
                <w:bCs/>
                <w:sz w:val="18"/>
                <w:szCs w:val="18"/>
              </w:rPr>
              <w:t>)</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3A6D5E">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w:t>
            </w:r>
            <w:proofErr w:type="spellStart"/>
            <w:r>
              <w:rPr>
                <w:rFonts w:ascii="Arial" w:hAnsi="Arial" w:cs="Arial"/>
                <w:sz w:val="16"/>
                <w:szCs w:val="16"/>
                <w:shd w:val="clear" w:color="auto" w:fill="EAEAEA"/>
              </w:rPr>
              <w:t>ba</w:t>
            </w:r>
            <w:proofErr w:type="spellEnd"/>
            <w:r>
              <w:rPr>
                <w:rFonts w:ascii="Arial" w:hAnsi="Arial" w:cs="Arial"/>
                <w:sz w:val="16"/>
                <w:szCs w:val="16"/>
                <w:shd w:val="clear" w:color="auto" w:fill="EAEAEA"/>
              </w:rPr>
              <w:t>)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657897">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657897">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96401D">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96401D">
            <w:pPr>
              <w:jc w:val="center"/>
              <w:rPr>
                <w:rFonts w:ascii="Arial" w:hAnsi="Arial" w:cs="Arial"/>
                <w:b/>
                <w:bCs/>
                <w:color w:val="000000" w:themeColor="text1"/>
                <w:sz w:val="20"/>
              </w:rPr>
            </w:pPr>
          </w:p>
          <w:p w14:paraId="70B49C7B" w14:textId="28EF9BD2" w:rsidR="00DC0039" w:rsidRPr="0055115C" w:rsidRDefault="00DC0039" w:rsidP="0096401D">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96401D">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w:t>
      </w:r>
      <w:proofErr w:type="spellStart"/>
      <w:r w:rsidR="002229D9" w:rsidRPr="006A0484">
        <w:rPr>
          <w:rFonts w:ascii="Arial" w:hAnsi="Arial" w:cs="Arial"/>
          <w:sz w:val="20"/>
          <w:szCs w:val="20"/>
        </w:rPr>
        <w:t>Ogloff</w:t>
      </w:r>
      <w:proofErr w:type="spellEnd"/>
      <w:r w:rsidR="002229D9" w:rsidRPr="006A0484">
        <w:rPr>
          <w:rFonts w:ascii="Arial" w:hAnsi="Arial" w:cs="Arial"/>
          <w:sz w:val="20"/>
          <w:szCs w:val="20"/>
        </w:rPr>
        <w:t xml:space="preserve">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A34FDD">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A34FDD">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A34FDD">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A34FDD">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A34FDD">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A34FDD">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A34FDD">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F411B2">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F411B2">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49096E">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49096E">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FF251D">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FF251D">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FF251D">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F411B2">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F411B2">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F411B2">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F411B2">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F411B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F411B2">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F411B2">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 xml:space="preserve">contributes to the </w:t>
            </w:r>
            <w:proofErr w:type="gramStart"/>
            <w:r w:rsidRPr="001A477D">
              <w:rPr>
                <w:rFonts w:ascii="Arial" w:hAnsi="Arial" w:cs="Arial"/>
                <w:sz w:val="18"/>
                <w:szCs w:val="18"/>
              </w:rPr>
              <w:t>most timely</w:t>
            </w:r>
            <w:proofErr w:type="gramEnd"/>
            <w:r w:rsidRPr="001A477D">
              <w:rPr>
                <w:rFonts w:ascii="Arial" w:hAnsi="Arial" w:cs="Arial"/>
                <w:sz w:val="18"/>
                <w:szCs w:val="18"/>
              </w:rPr>
              <w:t xml:space="preserve">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 xml:space="preserve">divert children and young persons </w:t>
            </w:r>
            <w:proofErr w:type="gramStart"/>
            <w:r w:rsidRPr="000E6E28">
              <w:rPr>
                <w:rFonts w:ascii="Arial" w:hAnsi="Arial" w:cs="Arial"/>
                <w:sz w:val="18"/>
                <w:szCs w:val="14"/>
              </w:rPr>
              <w:t>from the youth justice system,</w:t>
            </w:r>
            <w:proofErr w:type="gramEnd"/>
            <w:r w:rsidRPr="000E6E28">
              <w:rPr>
                <w:rFonts w:ascii="Arial" w:hAnsi="Arial" w:cs="Arial"/>
                <w:sz w:val="18"/>
                <w:szCs w:val="14"/>
              </w:rPr>
              <w:t xml:space="preserve">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F411B2">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F411B2">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F411B2">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FB0C6B">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49096E">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49096E">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7A2152">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AB4901">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AB4901">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7A2152">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w:t>
            </w:r>
            <w:proofErr w:type="gramStart"/>
            <w:r w:rsidRPr="0064706C">
              <w:rPr>
                <w:rFonts w:ascii="Arial" w:hAnsi="Arial" w:cs="Arial"/>
                <w:b/>
                <w:bCs/>
                <w:color w:val="FF0000"/>
                <w:sz w:val="18"/>
                <w:szCs w:val="22"/>
              </w:rPr>
              <w:t>A(</w:t>
            </w:r>
            <w:proofErr w:type="gramEnd"/>
            <w:r w:rsidRPr="0064706C">
              <w:rPr>
                <w:rFonts w:ascii="Arial" w:hAnsi="Arial" w:cs="Arial"/>
                <w:b/>
                <w:bCs/>
                <w:color w:val="FF0000"/>
                <w:sz w:val="18"/>
                <w:szCs w:val="22"/>
              </w:rPr>
              <w:t>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D3AD4">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D3AD4">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w:t>
            </w:r>
            <w:proofErr w:type="gramStart"/>
            <w:r w:rsidRPr="0064706C">
              <w:rPr>
                <w:rFonts w:ascii="Arial" w:hAnsi="Arial" w:cs="Arial"/>
                <w:b/>
                <w:bCs/>
                <w:color w:val="FF0000"/>
                <w:sz w:val="18"/>
                <w:szCs w:val="22"/>
              </w:rPr>
              <w:t>A(</w:t>
            </w:r>
            <w:proofErr w:type="gramEnd"/>
            <w:r w:rsidRPr="0064706C">
              <w:rPr>
                <w:rFonts w:ascii="Arial" w:hAnsi="Arial" w:cs="Arial"/>
                <w:b/>
                <w:bCs/>
                <w:color w:val="FF0000"/>
                <w:sz w:val="18"/>
                <w:szCs w:val="22"/>
              </w:rPr>
              <w:t>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 xml:space="preserve">continue to provide an unchanged discretion for the Children’s Court to either </w:t>
            </w:r>
            <w:proofErr w:type="spellStart"/>
            <w:r>
              <w:rPr>
                <w:rFonts w:ascii="Arial" w:hAnsi="Arial" w:cs="Arial"/>
                <w:color w:val="000000"/>
                <w:sz w:val="18"/>
              </w:rPr>
              <w:t>hear</w:t>
            </w:r>
            <w:proofErr w:type="spellEnd"/>
            <w:r>
              <w:rPr>
                <w:rFonts w:ascii="Arial" w:hAnsi="Arial" w:cs="Arial"/>
                <w:color w:val="000000"/>
                <w:sz w:val="18"/>
              </w:rPr>
              <w:t xml:space="preserve">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CYFA ss.522A, 366(3)-(4), 371(3)-(4), 384(3),392(3), 408(7), 409</w:t>
            </w:r>
            <w:proofErr w:type="gramStart"/>
            <w:r w:rsidRPr="003623A6">
              <w:rPr>
                <w:rFonts w:ascii="Arial" w:hAnsi="Arial" w:cs="Arial"/>
                <w:b/>
                <w:bCs/>
                <w:color w:val="FF0000"/>
                <w:sz w:val="18"/>
                <w:szCs w:val="18"/>
              </w:rPr>
              <w:t>L(</w:t>
            </w:r>
            <w:proofErr w:type="gramEnd"/>
            <w:r w:rsidRPr="003623A6">
              <w:rPr>
                <w:rFonts w:ascii="Arial" w:hAnsi="Arial" w:cs="Arial"/>
                <w:b/>
                <w:bCs/>
                <w:color w:val="FF0000"/>
                <w:sz w:val="18"/>
                <w:szCs w:val="18"/>
              </w:rPr>
              <w:t xml:space="preserve">7) </w:t>
            </w:r>
            <w:r>
              <w:rPr>
                <w:rFonts w:ascii="Arial" w:hAnsi="Arial" w:cs="Arial"/>
                <w:b/>
                <w:bCs/>
                <w:color w:val="FF0000"/>
                <w:sz w:val="18"/>
                <w:szCs w:val="18"/>
              </w:rPr>
              <w:t>+</w:t>
            </w:r>
            <w:r w:rsidRPr="003623A6">
              <w:rPr>
                <w:rFonts w:ascii="Arial" w:hAnsi="Arial" w:cs="Arial"/>
                <w:b/>
                <w:bCs/>
                <w:color w:val="FF0000"/>
                <w:sz w:val="18"/>
                <w:szCs w:val="18"/>
              </w:rPr>
              <w:t xml:space="preserve"> 409</w:t>
            </w:r>
            <w:proofErr w:type="gramStart"/>
            <w:r w:rsidRPr="003623A6">
              <w:rPr>
                <w:rFonts w:ascii="Arial" w:hAnsi="Arial" w:cs="Arial"/>
                <w:b/>
                <w:bCs/>
                <w:color w:val="FF0000"/>
                <w:sz w:val="18"/>
                <w:szCs w:val="18"/>
              </w:rPr>
              <w:t>Q(</w:t>
            </w:r>
            <w:proofErr w:type="gramEnd"/>
            <w:r w:rsidRPr="003623A6">
              <w:rPr>
                <w:rFonts w:ascii="Arial" w:hAnsi="Arial" w:cs="Arial"/>
                <w:b/>
                <w:bCs/>
                <w:color w:val="FF0000"/>
                <w:sz w:val="18"/>
                <w:szCs w:val="18"/>
              </w:rPr>
              <w:t>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w:t>
            </w:r>
            <w:proofErr w:type="gramStart"/>
            <w:r>
              <w:rPr>
                <w:rFonts w:ascii="Arial" w:hAnsi="Arial" w:cs="Arial"/>
                <w:b/>
                <w:bCs/>
                <w:color w:val="FF0000"/>
                <w:sz w:val="18"/>
              </w:rPr>
              <w:t>1)-(</w:t>
            </w:r>
            <w:proofErr w:type="gramEnd"/>
            <w:r>
              <w:rPr>
                <w:rFonts w:ascii="Arial" w:hAnsi="Arial" w:cs="Arial"/>
                <w:b/>
                <w:bCs/>
                <w:color w:val="FF0000"/>
                <w:sz w:val="18"/>
              </w:rPr>
              <w:t>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w:t>
            </w:r>
            <w:proofErr w:type="gramStart"/>
            <w:r>
              <w:rPr>
                <w:rFonts w:ascii="Arial" w:hAnsi="Arial" w:cs="Arial"/>
                <w:b/>
                <w:bCs/>
                <w:sz w:val="18"/>
                <w:szCs w:val="18"/>
              </w:rPr>
              <w:t>L(</w:t>
            </w:r>
            <w:proofErr w:type="gramEnd"/>
            <w:r>
              <w:rPr>
                <w:rFonts w:ascii="Arial" w:hAnsi="Arial" w:cs="Arial"/>
                <w:b/>
                <w:bCs/>
                <w:sz w:val="18"/>
                <w:szCs w:val="18"/>
              </w:rPr>
              <w:t>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proofErr w:type="gramStart"/>
            <w:r w:rsidRPr="00F751D6">
              <w:rPr>
                <w:rFonts w:ascii="Arial" w:hAnsi="Arial" w:cs="Arial"/>
                <w:b/>
                <w:bCs/>
                <w:color w:val="FF0000"/>
                <w:sz w:val="18"/>
              </w:rPr>
              <w:t>7)+(</w:t>
            </w:r>
            <w:proofErr w:type="gramEnd"/>
            <w:r w:rsidRPr="00F751D6">
              <w:rPr>
                <w:rFonts w:ascii="Arial" w:hAnsi="Arial" w:cs="Arial"/>
                <w:b/>
                <w:bCs/>
                <w:color w:val="FF0000"/>
                <w:sz w:val="18"/>
              </w:rPr>
              <w:t>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proofErr w:type="gramStart"/>
            <w:r>
              <w:rPr>
                <w:rFonts w:ascii="Arial" w:hAnsi="Arial" w:cs="Arial"/>
                <w:b/>
                <w:bCs/>
                <w:color w:val="FF0000"/>
                <w:sz w:val="18"/>
              </w:rPr>
              <w:t>9</w:t>
            </w:r>
            <w:r w:rsidRPr="00F751D6">
              <w:rPr>
                <w:rFonts w:ascii="Arial" w:hAnsi="Arial" w:cs="Arial"/>
                <w:b/>
                <w:bCs/>
                <w:color w:val="FF0000"/>
                <w:sz w:val="18"/>
              </w:rPr>
              <w:t>)+(</w:t>
            </w:r>
            <w:proofErr w:type="gramEnd"/>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proofErr w:type="gramStart"/>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w:t>
            </w:r>
            <w:proofErr w:type="gramEnd"/>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DF0CCF">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Supreme or County </w:t>
            </w:r>
            <w:proofErr w:type="spellStart"/>
            <w:r w:rsidRPr="0017080D">
              <w:rPr>
                <w:rFonts w:ascii="Arial" w:hAnsi="Arial" w:cs="Arial"/>
                <w:b/>
                <w:bCs/>
                <w:sz w:val="18"/>
                <w:szCs w:val="18"/>
              </w:rPr>
              <w:t>Ct</w:t>
            </w:r>
            <w:r>
              <w:rPr>
                <w:rFonts w:ascii="Arial" w:hAnsi="Arial" w:cs="Arial"/>
                <w:b/>
                <w:bCs/>
                <w:sz w:val="18"/>
                <w:szCs w:val="18"/>
              </w:rPr>
              <w:t>s</w:t>
            </w:r>
            <w:proofErr w:type="spellEnd"/>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49096E">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w:t>
            </w:r>
            <w:proofErr w:type="gramStart"/>
            <w:r w:rsidRPr="00C1330B">
              <w:rPr>
                <w:rFonts w:ascii="Arial" w:hAnsi="Arial" w:cs="Arial"/>
                <w:b/>
                <w:bCs/>
                <w:color w:val="FF0000"/>
                <w:sz w:val="18"/>
                <w:szCs w:val="18"/>
              </w:rPr>
              <w:t>a)-(</w:t>
            </w:r>
            <w:proofErr w:type="gramEnd"/>
            <w:r w:rsidRPr="00C1330B">
              <w:rPr>
                <w:rFonts w:ascii="Arial" w:hAnsi="Arial" w:cs="Arial"/>
                <w:b/>
                <w:bCs/>
                <w:color w:val="FF0000"/>
                <w:sz w:val="18"/>
                <w:szCs w:val="18"/>
              </w:rPr>
              <w:t>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w:t>
            </w:r>
            <w:proofErr w:type="gramStart"/>
            <w:r w:rsidRPr="00AA2D24">
              <w:rPr>
                <w:rFonts w:ascii="Arial" w:hAnsi="Arial" w:cs="Arial"/>
                <w:b/>
                <w:bCs/>
                <w:color w:val="FF0000"/>
                <w:sz w:val="18"/>
              </w:rPr>
              <w:t>B(</w:t>
            </w:r>
            <w:proofErr w:type="gramEnd"/>
            <w:r w:rsidRPr="00AA2D24">
              <w:rPr>
                <w:rFonts w:ascii="Arial" w:hAnsi="Arial" w:cs="Arial"/>
                <w:b/>
                <w:bCs/>
                <w:color w:val="FF0000"/>
                <w:sz w:val="18"/>
              </w:rPr>
              <w:t>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45265D">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45265D">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45265D">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49096E">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296F31">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296F31">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296F31">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296F31">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296F31">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296F31">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296F3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w:t>
            </w:r>
            <w:proofErr w:type="gramStart"/>
            <w:r w:rsidRPr="00986E7D">
              <w:rPr>
                <w:rFonts w:ascii="Arial" w:hAnsi="Arial" w:cs="Arial"/>
                <w:b/>
                <w:bCs/>
                <w:sz w:val="18"/>
                <w:szCs w:val="18"/>
                <w:shd w:val="clear" w:color="auto" w:fill="000000" w:themeFill="text1"/>
              </w:rPr>
              <w:t>3)</w:t>
            </w:r>
            <w:r w:rsidR="00E57418">
              <w:rPr>
                <w:rFonts w:ascii="Arial" w:hAnsi="Arial" w:cs="Arial"/>
                <w:b/>
                <w:bCs/>
                <w:sz w:val="18"/>
                <w:szCs w:val="18"/>
                <w:shd w:val="clear" w:color="auto" w:fill="000000" w:themeFill="text1"/>
              </w:rPr>
              <w:noBreakHyphen/>
            </w:r>
            <w:proofErr w:type="gramEnd"/>
            <w:r w:rsidR="00E57418">
              <w:rPr>
                <w:rFonts w:ascii="Arial" w:hAnsi="Arial" w:cs="Arial"/>
                <w:b/>
                <w:bCs/>
                <w:sz w:val="18"/>
                <w:szCs w:val="18"/>
                <w:shd w:val="clear" w:color="auto" w:fill="000000" w:themeFill="text1"/>
              </w:rPr>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296F31">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49096E">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49096E">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296F31">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296F3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296F31">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296F31">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6C48B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w:t>
            </w:r>
            <w:proofErr w:type="gramStart"/>
            <w:r>
              <w:rPr>
                <w:rFonts w:ascii="Arial" w:hAnsi="Arial" w:cs="Arial"/>
                <w:b/>
                <w:bCs/>
                <w:color w:val="FF0000"/>
                <w:sz w:val="18"/>
              </w:rPr>
              <w:t>F(</w:t>
            </w:r>
            <w:proofErr w:type="gramEnd"/>
            <w:r>
              <w:rPr>
                <w:rFonts w:ascii="Arial" w:hAnsi="Arial" w:cs="Arial"/>
                <w:b/>
                <w:bCs/>
                <w:color w:val="FF0000"/>
                <w:sz w:val="18"/>
              </w:rPr>
              <w:t>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49096E">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6C48BB">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6C48BB">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6C48BB">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6C48BB">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6C48BB">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6C48BB">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6C48BB">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6C48BB">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6C48BB">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w:t>
            </w:r>
            <w:proofErr w:type="gramStart"/>
            <w:r w:rsidR="00D22BF9">
              <w:rPr>
                <w:rFonts w:ascii="Arial" w:hAnsi="Arial" w:cs="Arial"/>
                <w:b/>
                <w:bCs/>
                <w:color w:val="FF0000"/>
                <w:sz w:val="18"/>
              </w:rPr>
              <w:t>N(</w:t>
            </w:r>
            <w:proofErr w:type="gramEnd"/>
            <w:r w:rsidR="00D22BF9">
              <w:rPr>
                <w:rFonts w:ascii="Arial" w:hAnsi="Arial" w:cs="Arial"/>
                <w:b/>
                <w:bCs/>
                <w:color w:val="FF0000"/>
                <w:sz w:val="18"/>
              </w:rPr>
              <w:t>2</w:t>
            </w:r>
            <w:proofErr w:type="gramStart"/>
            <w:r w:rsidR="00D22BF9">
              <w:rPr>
                <w:rFonts w:ascii="Arial" w:hAnsi="Arial" w:cs="Arial"/>
                <w:b/>
                <w:bCs/>
                <w:color w:val="FF0000"/>
                <w:sz w:val="18"/>
              </w:rPr>
              <w:t>),,</w:t>
            </w:r>
            <w:proofErr w:type="gramEnd"/>
            <w:r w:rsidR="00D22BF9">
              <w:rPr>
                <w:rFonts w:ascii="Arial" w:hAnsi="Arial" w:cs="Arial"/>
                <w:b/>
                <w:bCs/>
                <w:color w:val="FF0000"/>
                <w:sz w:val="18"/>
              </w:rPr>
              <w:t xml:space="preserve"> 409</w:t>
            </w:r>
            <w:proofErr w:type="gramStart"/>
            <w:r w:rsidR="00D22BF9">
              <w:rPr>
                <w:rFonts w:ascii="Arial" w:hAnsi="Arial" w:cs="Arial"/>
                <w:b/>
                <w:bCs/>
                <w:color w:val="FF0000"/>
                <w:sz w:val="18"/>
              </w:rPr>
              <w:t>Q(</w:t>
            </w:r>
            <w:proofErr w:type="gramEnd"/>
            <w:r w:rsidR="00D22BF9">
              <w:rPr>
                <w:rFonts w:ascii="Arial" w:hAnsi="Arial" w:cs="Arial"/>
                <w:b/>
                <w:bCs/>
                <w:color w:val="FF0000"/>
                <w:sz w:val="18"/>
              </w:rPr>
              <w:t>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6C48BB">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6C48BB">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6C48BB">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6C48BB">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6C48BB">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6C48BB">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6C48BB">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6C48B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6C48BB">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6C48BB">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AD71A3">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AD71A3">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AD71A3">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AD71A3">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AD71A3">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6C48BB">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6C48BB">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6C48BB">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6C48BB">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6C48BB">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6C48BB">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6C48BB">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AD71A3">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AD71A3">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AD71A3">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49096E">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D3AD4">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6C48BB">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6C48BB">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D3AD4">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D3AD4">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D3AD4">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2D4E9B">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2D4E9B">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2D4E9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2D4E9B">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2D4E9B">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2D4E9B">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2D4E9B">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2D4E9B">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2D4E9B">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2D4E9B">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2D4E9B">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2D4E9B">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2D4E9B">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2D4E9B">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2D4E9B">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2D4E9B">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2D4E9B">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2D4E9B">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w:t>
            </w:r>
            <w:proofErr w:type="gramStart"/>
            <w:r w:rsidR="004C0A5F" w:rsidRPr="004C0A5F">
              <w:rPr>
                <w:rFonts w:ascii="Arial" w:hAnsi="Arial" w:cs="Arial"/>
                <w:b/>
                <w:bCs/>
                <w:color w:val="FFFFFF" w:themeColor="background1"/>
                <w:sz w:val="18"/>
                <w:szCs w:val="22"/>
                <w:shd w:val="clear" w:color="auto" w:fill="000000" w:themeFill="text1"/>
              </w:rPr>
              <w:t>E(</w:t>
            </w:r>
            <w:proofErr w:type="gramEnd"/>
            <w:r w:rsidR="004C0A5F" w:rsidRPr="004C0A5F">
              <w:rPr>
                <w:rFonts w:ascii="Arial" w:hAnsi="Arial" w:cs="Arial"/>
                <w:b/>
                <w:bCs/>
                <w:color w:val="FFFFFF" w:themeColor="background1"/>
                <w:sz w:val="18"/>
                <w:szCs w:val="22"/>
                <w:shd w:val="clear" w:color="auto" w:fill="000000" w:themeFill="text1"/>
              </w:rPr>
              <w:t>1) &amp; 5</w:t>
            </w:r>
            <w:proofErr w:type="gramStart"/>
            <w:r w:rsidR="004C0A5F">
              <w:rPr>
                <w:rFonts w:ascii="Arial" w:hAnsi="Arial" w:cs="Arial"/>
                <w:b/>
                <w:bCs/>
                <w:color w:val="FFFFFF" w:themeColor="background1"/>
                <w:sz w:val="18"/>
                <w:szCs w:val="22"/>
                <w:shd w:val="clear" w:color="auto" w:fill="000000" w:themeFill="text1"/>
              </w:rPr>
              <w:t>AAA(</w:t>
            </w:r>
            <w:proofErr w:type="gramEnd"/>
            <w:r w:rsidR="004C0A5F">
              <w:rPr>
                <w:rFonts w:ascii="Arial" w:hAnsi="Arial" w:cs="Arial"/>
                <w:b/>
                <w:bCs/>
                <w:color w:val="FFFFFF" w:themeColor="background1"/>
                <w:sz w:val="18"/>
                <w:szCs w:val="22"/>
                <w:shd w:val="clear" w:color="auto" w:fill="000000" w:themeFill="text1"/>
              </w:rPr>
              <w:t>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w:t>
            </w:r>
            <w:proofErr w:type="spellStart"/>
            <w:r w:rsidRPr="007063E7">
              <w:rPr>
                <w:rFonts w:ascii="Arial" w:hAnsi="Arial" w:cs="Arial"/>
                <w:b/>
                <w:bCs/>
                <w:color w:val="000000" w:themeColor="text1"/>
                <w:sz w:val="18"/>
                <w:shd w:val="pct50" w:color="CC99FF" w:fill="auto"/>
              </w:rPr>
              <w:t>iaa</w:t>
            </w:r>
            <w:proofErr w:type="spellEnd"/>
            <w:r w:rsidRPr="007063E7">
              <w:rPr>
                <w:rFonts w:ascii="Arial" w:hAnsi="Arial" w:cs="Arial"/>
                <w:b/>
                <w:bCs/>
                <w:color w:val="000000" w:themeColor="text1"/>
                <w:sz w:val="18"/>
                <w:shd w:val="pct50" w:color="CC99FF" w:fill="auto"/>
              </w:rPr>
              <w:t xml:space="preserve">)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w:t>
            </w:r>
            <w:proofErr w:type="spellStart"/>
            <w:r w:rsidRPr="007063E7">
              <w:rPr>
                <w:rFonts w:ascii="Arial" w:hAnsi="Arial" w:cs="Arial"/>
                <w:b/>
                <w:bCs/>
                <w:color w:val="000000" w:themeColor="text1"/>
                <w:sz w:val="18"/>
                <w:szCs w:val="18"/>
                <w:shd w:val="pct50" w:color="CC99FF" w:fill="auto"/>
              </w:rPr>
              <w:t>bail</w:t>
            </w:r>
            <w:proofErr w:type="spellEnd"/>
            <w:r w:rsidRPr="007063E7">
              <w:rPr>
                <w:rFonts w:ascii="Arial" w:hAnsi="Arial" w:cs="Arial"/>
                <w:b/>
                <w:bCs/>
                <w:color w:val="000000" w:themeColor="text1"/>
                <w:sz w:val="18"/>
                <w:szCs w:val="18"/>
                <w:shd w:val="pct50" w:color="CC99FF" w:fill="auto"/>
              </w:rPr>
              <w:t xml:space="preserve">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w:t>
            </w:r>
            <w:proofErr w:type="gramStart"/>
            <w:r w:rsidR="004C0A5F">
              <w:rPr>
                <w:rFonts w:ascii="Arial" w:hAnsi="Arial" w:cs="Arial"/>
                <w:b/>
                <w:bCs/>
                <w:color w:val="FFFFFF" w:themeColor="background1"/>
                <w:sz w:val="18"/>
                <w:szCs w:val="18"/>
                <w:shd w:val="clear" w:color="auto" w:fill="000000" w:themeFill="text1"/>
              </w:rPr>
              <w:t>AAA(</w:t>
            </w:r>
            <w:proofErr w:type="gramEnd"/>
            <w:r w:rsidR="004C0A5F">
              <w:rPr>
                <w:rFonts w:ascii="Arial" w:hAnsi="Arial" w:cs="Arial"/>
                <w:b/>
                <w:bCs/>
                <w:color w:val="FFFFFF" w:themeColor="background1"/>
                <w:sz w:val="18"/>
                <w:szCs w:val="18"/>
                <w:shd w:val="clear" w:color="auto" w:fill="000000" w:themeFill="text1"/>
              </w:rPr>
              <w:t>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w:t>
            </w:r>
            <w:proofErr w:type="gramStart"/>
            <w:r w:rsidRPr="00F17C9C">
              <w:rPr>
                <w:rFonts w:ascii="Arial" w:hAnsi="Arial" w:cs="Arial"/>
                <w:b/>
                <w:bCs/>
                <w:color w:val="FFFFFF" w:themeColor="background1"/>
                <w:sz w:val="18"/>
                <w:szCs w:val="18"/>
                <w:shd w:val="clear" w:color="auto" w:fill="000000" w:themeFill="text1"/>
              </w:rPr>
              <w:t>AAA(</w:t>
            </w:r>
            <w:proofErr w:type="gramEnd"/>
            <w:r w:rsidRPr="00F17C9C">
              <w:rPr>
                <w:rFonts w:ascii="Arial" w:hAnsi="Arial" w:cs="Arial"/>
                <w:b/>
                <w:bCs/>
                <w:color w:val="FFFFFF" w:themeColor="background1"/>
                <w:sz w:val="18"/>
                <w:szCs w:val="18"/>
                <w:shd w:val="clear" w:color="auto" w:fill="000000" w:themeFill="text1"/>
              </w:rPr>
              <w:t>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w:t>
            </w:r>
            <w:proofErr w:type="gramStart"/>
            <w:r w:rsidR="00C25D00">
              <w:rPr>
                <w:rFonts w:ascii="Arial" w:hAnsi="Arial" w:cs="Arial"/>
                <w:b/>
                <w:bCs/>
                <w:color w:val="FFFFFF" w:themeColor="background1"/>
                <w:sz w:val="18"/>
                <w:szCs w:val="18"/>
                <w:shd w:val="clear" w:color="auto" w:fill="000000" w:themeFill="text1"/>
              </w:rPr>
              <w:t>AE(</w:t>
            </w:r>
            <w:proofErr w:type="gramEnd"/>
            <w:r w:rsidR="00C25D00">
              <w:rPr>
                <w:rFonts w:ascii="Arial" w:hAnsi="Arial" w:cs="Arial"/>
                <w:b/>
                <w:bCs/>
                <w:color w:val="FFFFFF" w:themeColor="background1"/>
                <w:sz w:val="18"/>
                <w:szCs w:val="18"/>
                <w:shd w:val="clear" w:color="auto" w:fill="000000" w:themeFill="text1"/>
              </w:rPr>
              <w:t>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2D4E9B">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w:t>
            </w:r>
            <w:proofErr w:type="gramStart"/>
            <w:r w:rsidR="00C25D00">
              <w:rPr>
                <w:rFonts w:ascii="Arial" w:hAnsi="Arial" w:cs="Arial"/>
                <w:b/>
                <w:bCs/>
                <w:color w:val="FFFFFF" w:themeColor="background1"/>
                <w:sz w:val="18"/>
                <w:szCs w:val="18"/>
                <w:shd w:val="clear" w:color="auto" w:fill="000000" w:themeFill="text1"/>
              </w:rPr>
              <w:t>AE(</w:t>
            </w:r>
            <w:proofErr w:type="gramEnd"/>
            <w:r w:rsidR="00C25D00">
              <w:rPr>
                <w:rFonts w:ascii="Arial" w:hAnsi="Arial" w:cs="Arial"/>
                <w:b/>
                <w:bCs/>
                <w:color w:val="FFFFFF" w:themeColor="background1"/>
                <w:sz w:val="18"/>
                <w:szCs w:val="18"/>
                <w:shd w:val="clear" w:color="auto" w:fill="000000" w:themeFill="text1"/>
              </w:rPr>
              <w:t>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2D4E9B">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2D4E9B">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2D4E9B">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2D4E9B">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2D4E9B">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2D4E9B">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2D4E9B">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AD71A3">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AD71A3">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2D4E9B">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2D4E9B">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2D4E9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286C9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2D4E9B">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2D4E9B">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2D4E9B">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2D4E9B">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2D4E9B">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2D4E9B">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2D4E9B">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2D4E9B">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AD71A3">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AD71A3">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AD71A3">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6154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6154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6154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6154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w:t>
            </w:r>
            <w:proofErr w:type="gramStart"/>
            <w:r>
              <w:rPr>
                <w:rFonts w:ascii="Arial" w:hAnsi="Arial" w:cs="Arial"/>
                <w:color w:val="000000" w:themeColor="text1"/>
                <w:sz w:val="18"/>
                <w:szCs w:val="18"/>
              </w:rPr>
              <w:t>1)(</w:t>
            </w:r>
            <w:proofErr w:type="gramEnd"/>
            <w:r>
              <w:rPr>
                <w:rFonts w:ascii="Arial" w:hAnsi="Arial" w:cs="Arial"/>
                <w:color w:val="000000" w:themeColor="text1"/>
                <w:sz w:val="18"/>
                <w:szCs w:val="18"/>
              </w:rPr>
              <w:t>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w:t>
            </w:r>
            <w:proofErr w:type="spellStart"/>
            <w:r>
              <w:rPr>
                <w:rFonts w:ascii="Arial" w:hAnsi="Arial" w:cs="Arial"/>
                <w:color w:val="000000" w:themeColor="text1"/>
                <w:sz w:val="18"/>
                <w:szCs w:val="18"/>
              </w:rPr>
              <w:t>ba</w:t>
            </w:r>
            <w:proofErr w:type="spellEnd"/>
            <w:r>
              <w:rPr>
                <w:rFonts w:ascii="Arial" w:hAnsi="Arial" w:cs="Arial"/>
                <w:color w:val="000000" w:themeColor="text1"/>
                <w:sz w:val="18"/>
                <w:szCs w:val="18"/>
              </w:rPr>
              <w:t>)];</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w:t>
            </w:r>
            <w:proofErr w:type="gramStart"/>
            <w:r>
              <w:rPr>
                <w:rFonts w:ascii="Arial" w:hAnsi="Arial" w:cs="Arial"/>
                <w:color w:val="000000" w:themeColor="text1"/>
                <w:sz w:val="18"/>
                <w:szCs w:val="18"/>
              </w:rPr>
              <w:t>c)(</w:t>
            </w:r>
            <w:proofErr w:type="spellStart"/>
            <w:proofErr w:type="gramEnd"/>
            <w:r>
              <w:rPr>
                <w:rFonts w:ascii="Arial" w:hAnsi="Arial" w:cs="Arial"/>
                <w:color w:val="000000" w:themeColor="text1"/>
                <w:sz w:val="18"/>
                <w:szCs w:val="18"/>
              </w:rPr>
              <w:t>ia</w:t>
            </w:r>
            <w:proofErr w:type="spellEnd"/>
            <w:r>
              <w:rPr>
                <w:rFonts w:ascii="Arial" w:hAnsi="Arial" w:cs="Arial"/>
                <w:color w:val="000000" w:themeColor="text1"/>
                <w:sz w:val="18"/>
                <w:szCs w:val="18"/>
              </w:rPr>
              <w:t>)];</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w:t>
            </w:r>
            <w:proofErr w:type="spellStart"/>
            <w:r>
              <w:rPr>
                <w:rFonts w:ascii="Arial" w:hAnsi="Arial" w:cs="Arial"/>
                <w:color w:val="000000" w:themeColor="text1"/>
                <w:sz w:val="18"/>
                <w:szCs w:val="18"/>
              </w:rPr>
              <w:t>ba</w:t>
            </w:r>
            <w:proofErr w:type="spellEnd"/>
            <w:r>
              <w:rPr>
                <w:rFonts w:ascii="Arial" w:hAnsi="Arial" w:cs="Arial"/>
                <w:color w:val="000000" w:themeColor="text1"/>
                <w:sz w:val="18"/>
                <w:szCs w:val="18"/>
              </w:rPr>
              <w:t>)];</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w:t>
            </w:r>
            <w:proofErr w:type="gramStart"/>
            <w:r>
              <w:rPr>
                <w:rFonts w:ascii="Arial" w:hAnsi="Arial" w:cs="Arial"/>
                <w:color w:val="000000" w:themeColor="text1"/>
                <w:sz w:val="18"/>
                <w:szCs w:val="18"/>
              </w:rPr>
              <w:t>1)(</w:t>
            </w:r>
            <w:proofErr w:type="gramEnd"/>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w:t>
            </w:r>
            <w:proofErr w:type="spellStart"/>
            <w:r w:rsidR="00C81BDA">
              <w:rPr>
                <w:rFonts w:ascii="Arial" w:hAnsi="Arial" w:cs="Arial"/>
                <w:b/>
                <w:bCs/>
                <w:color w:val="000000" w:themeColor="text1"/>
                <w:sz w:val="18"/>
                <w:szCs w:val="18"/>
              </w:rPr>
              <w:t>Cts</w:t>
            </w:r>
            <w:proofErr w:type="spellEnd"/>
            <w:r w:rsidR="00C81BDA">
              <w:rPr>
                <w:rFonts w:ascii="Arial" w:hAnsi="Arial" w:cs="Arial"/>
                <w:b/>
                <w:bCs/>
                <w:color w:val="000000" w:themeColor="text1"/>
                <w:sz w:val="18"/>
                <w:szCs w:val="18"/>
              </w:rPr>
              <w:t xml:space="preserve">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proofErr w:type="spellStart"/>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Act</w:t>
            </w:r>
            <w:proofErr w:type="spellEnd"/>
            <w:r w:rsidRPr="003C3194">
              <w:rPr>
                <w:rFonts w:ascii="Arial" w:hAnsi="Arial" w:cs="Arial"/>
                <w:b/>
                <w:bCs/>
                <w:i/>
                <w:iCs/>
                <w:color w:val="FFFFFF" w:themeColor="background1"/>
                <w:sz w:val="18"/>
                <w:szCs w:val="18"/>
              </w:rPr>
              <w:t xml:space="preserve">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6154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6154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45265D">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49096E">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49096E">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49096E">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6154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6154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45265D">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45265D">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45265D">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45265D">
            <w:pPr>
              <w:jc w:val="center"/>
              <w:rPr>
                <w:rFonts w:ascii="Arial" w:hAnsi="Arial" w:cs="Arial"/>
                <w:b/>
                <w:bCs/>
                <w:color w:val="000000" w:themeColor="text1"/>
                <w:sz w:val="12"/>
                <w:szCs w:val="14"/>
              </w:rPr>
            </w:pPr>
          </w:p>
          <w:p w14:paraId="70EAA545" w14:textId="7C7EBF04" w:rsidR="002C2729" w:rsidRPr="00C73CE7" w:rsidRDefault="002C272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6154C6">
            <w:pPr>
              <w:jc w:val="center"/>
              <w:rPr>
                <w:rFonts w:ascii="Arial" w:hAnsi="Arial" w:cs="Arial"/>
                <w:b/>
                <w:bCs/>
                <w:color w:val="000000" w:themeColor="text1"/>
                <w:sz w:val="32"/>
                <w:szCs w:val="36"/>
              </w:rPr>
            </w:pPr>
          </w:p>
          <w:p w14:paraId="29CA1080" w14:textId="77777777" w:rsidR="00BE6DA9" w:rsidRPr="00BE6DA9" w:rsidRDefault="00BE6DA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6154C6">
            <w:pPr>
              <w:jc w:val="center"/>
              <w:rPr>
                <w:rFonts w:ascii="Arial" w:hAnsi="Arial" w:cs="Arial"/>
                <w:b/>
                <w:bCs/>
                <w:color w:val="000000" w:themeColor="text1"/>
                <w:sz w:val="30"/>
                <w:szCs w:val="32"/>
              </w:rPr>
            </w:pPr>
          </w:p>
          <w:p w14:paraId="52F95FD5" w14:textId="39EA0FCB" w:rsidR="00BE6DA9" w:rsidRPr="00C73CE7" w:rsidRDefault="00BE6DA9" w:rsidP="006154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49096E">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w:t>
            </w:r>
            <w:proofErr w:type="gramStart"/>
            <w:r w:rsidRPr="00DD5C61">
              <w:rPr>
                <w:rFonts w:ascii="Arial" w:hAnsi="Arial" w:cs="Arial"/>
                <w:b/>
                <w:bCs/>
                <w:color w:val="FF0000"/>
                <w:sz w:val="18"/>
                <w:szCs w:val="18"/>
              </w:rPr>
              <w:t>1)(</w:t>
            </w:r>
            <w:proofErr w:type="gramEnd"/>
            <w:r w:rsidRPr="00DD5C61">
              <w:rPr>
                <w:rFonts w:ascii="Arial" w:hAnsi="Arial" w:cs="Arial"/>
                <w:b/>
                <w:bCs/>
                <w:color w:val="FF0000"/>
                <w:sz w:val="18"/>
                <w:szCs w:val="18"/>
              </w:rPr>
              <w:t>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w:t>
            </w:r>
            <w:proofErr w:type="gramStart"/>
            <w:r w:rsidRPr="00DD5C61">
              <w:rPr>
                <w:rFonts w:ascii="Arial" w:hAnsi="Arial" w:cs="Arial"/>
                <w:b/>
                <w:bCs/>
                <w:color w:val="FF0000"/>
                <w:sz w:val="18"/>
                <w:szCs w:val="18"/>
              </w:rPr>
              <w:t>1)(</w:t>
            </w:r>
            <w:proofErr w:type="gramEnd"/>
            <w:r w:rsidRPr="00DD5C61">
              <w:rPr>
                <w:rFonts w:ascii="Arial" w:hAnsi="Arial" w:cs="Arial"/>
                <w:b/>
                <w:bCs/>
                <w:color w:val="FF0000"/>
                <w:sz w:val="18"/>
                <w:szCs w:val="18"/>
              </w:rPr>
              <w:t>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45265D">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45265D">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45265D">
            <w:pPr>
              <w:jc w:val="center"/>
              <w:rPr>
                <w:rFonts w:ascii="Arial" w:hAnsi="Arial" w:cs="Arial"/>
                <w:b/>
                <w:bCs/>
                <w:color w:val="000000" w:themeColor="text1"/>
                <w:sz w:val="18"/>
                <w:szCs w:val="22"/>
              </w:rPr>
            </w:pPr>
          </w:p>
          <w:p w14:paraId="7C2F5087" w14:textId="77777777" w:rsidR="000A359A" w:rsidRPr="000A359A" w:rsidRDefault="000A359A" w:rsidP="0045265D">
            <w:pPr>
              <w:jc w:val="center"/>
              <w:rPr>
                <w:rFonts w:ascii="Arial" w:hAnsi="Arial" w:cs="Arial"/>
                <w:b/>
                <w:bCs/>
                <w:color w:val="000000" w:themeColor="text1"/>
                <w:sz w:val="18"/>
                <w:szCs w:val="22"/>
              </w:rPr>
            </w:pPr>
          </w:p>
          <w:p w14:paraId="037CA916" w14:textId="77777777" w:rsidR="000A359A" w:rsidRPr="000A359A" w:rsidRDefault="000A359A" w:rsidP="0045265D">
            <w:pPr>
              <w:jc w:val="center"/>
              <w:rPr>
                <w:rFonts w:ascii="Arial" w:hAnsi="Arial" w:cs="Arial"/>
                <w:b/>
                <w:bCs/>
                <w:color w:val="000000" w:themeColor="text1"/>
                <w:sz w:val="18"/>
                <w:szCs w:val="22"/>
              </w:rPr>
            </w:pPr>
          </w:p>
          <w:p w14:paraId="2968E40E" w14:textId="77777777" w:rsidR="000A359A" w:rsidRPr="000A359A" w:rsidRDefault="000A359A" w:rsidP="0045265D">
            <w:pPr>
              <w:jc w:val="center"/>
              <w:rPr>
                <w:rFonts w:ascii="Arial" w:hAnsi="Arial" w:cs="Arial"/>
                <w:b/>
                <w:bCs/>
                <w:color w:val="000000" w:themeColor="text1"/>
                <w:sz w:val="18"/>
                <w:szCs w:val="22"/>
              </w:rPr>
            </w:pPr>
          </w:p>
          <w:p w14:paraId="368FAB67" w14:textId="77777777" w:rsidR="000A359A" w:rsidRPr="000A359A" w:rsidRDefault="000A359A" w:rsidP="0045265D">
            <w:pPr>
              <w:jc w:val="center"/>
              <w:rPr>
                <w:rFonts w:ascii="Arial" w:hAnsi="Arial" w:cs="Arial"/>
                <w:b/>
                <w:bCs/>
                <w:color w:val="000000" w:themeColor="text1"/>
                <w:sz w:val="18"/>
                <w:szCs w:val="22"/>
              </w:rPr>
            </w:pPr>
          </w:p>
          <w:p w14:paraId="205FCA45" w14:textId="77777777" w:rsidR="000A359A" w:rsidRPr="000A359A" w:rsidRDefault="000A359A" w:rsidP="0045265D">
            <w:pPr>
              <w:jc w:val="center"/>
              <w:rPr>
                <w:rFonts w:ascii="Arial" w:hAnsi="Arial" w:cs="Arial"/>
                <w:b/>
                <w:bCs/>
                <w:color w:val="000000" w:themeColor="text1"/>
                <w:sz w:val="18"/>
                <w:szCs w:val="22"/>
              </w:rPr>
            </w:pPr>
          </w:p>
          <w:p w14:paraId="379BBEF0" w14:textId="77777777" w:rsidR="000A359A" w:rsidRPr="000A359A" w:rsidRDefault="000A359A" w:rsidP="0045265D">
            <w:pPr>
              <w:jc w:val="center"/>
              <w:rPr>
                <w:rFonts w:ascii="Arial" w:hAnsi="Arial" w:cs="Arial"/>
                <w:b/>
                <w:bCs/>
                <w:color w:val="000000" w:themeColor="text1"/>
                <w:sz w:val="18"/>
                <w:szCs w:val="22"/>
              </w:rPr>
            </w:pPr>
          </w:p>
          <w:p w14:paraId="1D5BC763" w14:textId="77777777" w:rsidR="000A359A" w:rsidRPr="000A359A" w:rsidRDefault="000A359A" w:rsidP="0045265D">
            <w:pPr>
              <w:jc w:val="center"/>
              <w:rPr>
                <w:rFonts w:ascii="Arial" w:hAnsi="Arial" w:cs="Arial"/>
                <w:b/>
                <w:bCs/>
                <w:color w:val="000000" w:themeColor="text1"/>
                <w:sz w:val="18"/>
                <w:szCs w:val="22"/>
              </w:rPr>
            </w:pPr>
          </w:p>
          <w:p w14:paraId="5462EE38" w14:textId="77777777" w:rsidR="000A359A" w:rsidRPr="000A359A" w:rsidRDefault="000A359A" w:rsidP="0045265D">
            <w:pPr>
              <w:jc w:val="center"/>
              <w:rPr>
                <w:rFonts w:ascii="Arial" w:hAnsi="Arial" w:cs="Arial"/>
                <w:b/>
                <w:bCs/>
                <w:color w:val="000000" w:themeColor="text1"/>
                <w:sz w:val="18"/>
                <w:szCs w:val="22"/>
              </w:rPr>
            </w:pPr>
          </w:p>
          <w:p w14:paraId="78172D16" w14:textId="77777777" w:rsidR="000A359A" w:rsidRPr="000A359A" w:rsidRDefault="000A359A" w:rsidP="0045265D">
            <w:pPr>
              <w:jc w:val="center"/>
              <w:rPr>
                <w:rFonts w:ascii="Arial" w:hAnsi="Arial" w:cs="Arial"/>
                <w:b/>
                <w:bCs/>
                <w:color w:val="000000" w:themeColor="text1"/>
                <w:sz w:val="18"/>
                <w:szCs w:val="22"/>
              </w:rPr>
            </w:pPr>
          </w:p>
          <w:p w14:paraId="52C4D727" w14:textId="77777777" w:rsidR="000A359A" w:rsidRPr="000A359A" w:rsidRDefault="000A359A" w:rsidP="0045265D">
            <w:pPr>
              <w:jc w:val="center"/>
              <w:rPr>
                <w:rFonts w:ascii="Arial" w:hAnsi="Arial" w:cs="Arial"/>
                <w:b/>
                <w:bCs/>
                <w:color w:val="000000" w:themeColor="text1"/>
                <w:sz w:val="18"/>
                <w:szCs w:val="22"/>
              </w:rPr>
            </w:pPr>
          </w:p>
          <w:p w14:paraId="73430C97" w14:textId="77777777" w:rsidR="000A359A" w:rsidRPr="000A359A" w:rsidRDefault="000A359A" w:rsidP="0045265D">
            <w:pPr>
              <w:jc w:val="center"/>
              <w:rPr>
                <w:rFonts w:ascii="Arial" w:hAnsi="Arial" w:cs="Arial"/>
                <w:b/>
                <w:bCs/>
                <w:color w:val="000000" w:themeColor="text1"/>
                <w:sz w:val="18"/>
                <w:szCs w:val="22"/>
              </w:rPr>
            </w:pPr>
          </w:p>
          <w:p w14:paraId="31227FC2" w14:textId="77777777" w:rsidR="000A359A" w:rsidRPr="000A359A" w:rsidRDefault="000A359A" w:rsidP="0045265D">
            <w:pPr>
              <w:jc w:val="center"/>
              <w:rPr>
                <w:rFonts w:ascii="Arial" w:hAnsi="Arial" w:cs="Arial"/>
                <w:b/>
                <w:bCs/>
                <w:color w:val="000000" w:themeColor="text1"/>
                <w:sz w:val="18"/>
                <w:szCs w:val="22"/>
              </w:rPr>
            </w:pPr>
          </w:p>
          <w:p w14:paraId="7AE499C1" w14:textId="77777777" w:rsidR="000A359A" w:rsidRPr="000A359A" w:rsidRDefault="000A359A" w:rsidP="0045265D">
            <w:pPr>
              <w:jc w:val="center"/>
              <w:rPr>
                <w:rFonts w:ascii="Arial" w:hAnsi="Arial" w:cs="Arial"/>
                <w:b/>
                <w:bCs/>
                <w:color w:val="000000" w:themeColor="text1"/>
                <w:sz w:val="22"/>
                <w:szCs w:val="26"/>
              </w:rPr>
            </w:pPr>
          </w:p>
          <w:p w14:paraId="23093FD8" w14:textId="3DC4E2F3" w:rsidR="000A359A" w:rsidRPr="00E5059A" w:rsidRDefault="000A359A"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AA0AE3">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AA0AE3">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AA0AE3">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711EF">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711EF">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711EF">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49096E">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45265D">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45265D">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C3342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&amp; 247</w:t>
            </w:r>
            <w:proofErr w:type="gramStart"/>
            <w:r w:rsidR="00C77940">
              <w:rPr>
                <w:rFonts w:ascii="Arial" w:hAnsi="Arial" w:cs="Arial"/>
                <w:color w:val="000000"/>
                <w:sz w:val="20"/>
              </w:rPr>
              <w:t>A(</w:t>
            </w:r>
            <w:proofErr w:type="gramEnd"/>
            <w:r w:rsidR="00C77940">
              <w:rPr>
                <w:rFonts w:ascii="Arial" w:hAnsi="Arial" w:cs="Arial"/>
                <w:color w:val="000000"/>
                <w:sz w:val="20"/>
              </w:rPr>
              <w:t xml:space="preserve">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proofErr w:type="spellStart"/>
      <w:r w:rsidRPr="007A3383">
        <w:rPr>
          <w:b/>
          <w:bCs/>
          <w:color w:val="353535"/>
          <w:sz w:val="20"/>
          <w:shd w:val="clear" w:color="auto" w:fill="C5E0B3" w:themeFill="accent6" w:themeFillTint="66"/>
        </w:rPr>
        <w:t>section</w:t>
      </w:r>
      <w:proofErr w:type="spellEnd"/>
      <w:r w:rsidRPr="007A3383">
        <w:rPr>
          <w:b/>
          <w:bCs/>
          <w:color w:val="353535"/>
          <w:sz w:val="20"/>
          <w:shd w:val="clear" w:color="auto" w:fill="C5E0B3" w:themeFill="accent6" w:themeFillTint="66"/>
        </w:rPr>
        <w:t xml:space="preserve">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 xml:space="preserve">providing for a judicial registrar to exercise any power of a magistrate under this Act with respect to the issue of a search warrant for the purpose of having a child placed in emergency </w:t>
      </w:r>
      <w:proofErr w:type="gramStart"/>
      <w:r w:rsidRPr="00A95048">
        <w:rPr>
          <w:sz w:val="20"/>
          <w:szCs w:val="20"/>
          <w:lang w:val="en-US"/>
        </w:rPr>
        <w:t>care;</w:t>
      </w:r>
      <w:proofErr w:type="gramEnd"/>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 xml:space="preserve">Victorian Legal Services Board v </w:t>
      </w:r>
      <w:proofErr w:type="spellStart"/>
      <w:r w:rsidRPr="003E3013">
        <w:rPr>
          <w:rFonts w:ascii="Arial" w:hAnsi="Arial" w:cs="Arial"/>
          <w:i/>
          <w:iCs/>
          <w:sz w:val="20"/>
          <w:szCs w:val="20"/>
        </w:rPr>
        <w:t>Kuksal</w:t>
      </w:r>
      <w:proofErr w:type="spellEnd"/>
      <w:r w:rsidRPr="003E3013">
        <w:rPr>
          <w:rFonts w:ascii="Arial" w:hAnsi="Arial" w:cs="Arial"/>
          <w:i/>
          <w:iCs/>
          <w:sz w:val="20"/>
          <w:szCs w:val="20"/>
        </w:rPr>
        <w:t xml:space="preserve">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863ECF">
        <w:trPr>
          <w:trHeight w:val="233"/>
        </w:trPr>
        <w:tc>
          <w:tcPr>
            <w:tcW w:w="1751" w:type="dxa"/>
            <w:tcBorders>
              <w:top w:val="single" w:sz="4" w:space="0" w:color="auto"/>
              <w:bottom w:val="single" w:sz="4" w:space="0" w:color="auto"/>
            </w:tcBorders>
          </w:tcPr>
          <w:p w14:paraId="0DD8796F"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863ECF">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863ECF">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863ECF">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863ECF">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863ECF">
            <w:pPr>
              <w:jc w:val="both"/>
              <w:rPr>
                <w:rFonts w:ascii="Arial" w:hAnsi="Arial" w:cs="Arial"/>
                <w:color w:val="000000"/>
                <w:sz w:val="20"/>
              </w:rPr>
            </w:pPr>
          </w:p>
        </w:tc>
      </w:tr>
      <w:tr w:rsidR="002C1C12" w:rsidRPr="00786F9E" w14:paraId="61643E7F" w14:textId="77777777" w:rsidTr="00863ECF">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863ECF">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863ECF">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863ECF">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2B25A3">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863ECF">
        <w:trPr>
          <w:trHeight w:val="233"/>
        </w:trPr>
        <w:tc>
          <w:tcPr>
            <w:tcW w:w="1751" w:type="dxa"/>
            <w:tcBorders>
              <w:top w:val="single" w:sz="4" w:space="0" w:color="auto"/>
              <w:bottom w:val="single" w:sz="4" w:space="0" w:color="auto"/>
            </w:tcBorders>
          </w:tcPr>
          <w:p w14:paraId="5A4440DF" w14:textId="356DB8C0" w:rsidR="00123FFA" w:rsidRPr="00786F9E" w:rsidRDefault="00123FFA" w:rsidP="00863ECF">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863ECF">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863ECF">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863ECF">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863ECF">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863ECF">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863ECF">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863ECF">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863ECF">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FB340B" w:rsidRPr="00671AFF" w14:paraId="78E535F1"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0D4F1B6C" w14:textId="6D5D8B67" w:rsidR="00FB340B" w:rsidRPr="00C160D7" w:rsidRDefault="00FB340B" w:rsidP="005D0083">
            <w:pPr>
              <w:keepNext/>
              <w:keepLines/>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2016</w:t>
              </w:r>
            </w:hyperlink>
          </w:p>
          <w:p w14:paraId="2EDBA68C" w14:textId="77777777" w:rsidR="00FB340B" w:rsidRPr="00671AFF" w:rsidRDefault="00192E42" w:rsidP="005D0083">
            <w:pPr>
              <w:keepNext/>
              <w:keepLines/>
              <w:spacing w:after="120"/>
              <w:jc w:val="center"/>
              <w:rPr>
                <w:rFonts w:ascii="Arial" w:hAnsi="Arial" w:cs="Arial"/>
                <w:color w:val="000000"/>
                <w:sz w:val="20"/>
              </w:rPr>
            </w:pPr>
            <w:r>
              <w:rPr>
                <w:rFonts w:ascii="Arial" w:hAnsi="Arial" w:cs="Arial"/>
                <w:color w:val="000000"/>
                <w:sz w:val="20"/>
              </w:rPr>
              <w:t>08</w:t>
            </w:r>
            <w:r w:rsidR="00FB340B" w:rsidRPr="00671AFF">
              <w:rPr>
                <w:rFonts w:ascii="Arial" w:hAnsi="Arial" w:cs="Arial"/>
                <w:color w:val="000000"/>
                <w:sz w:val="20"/>
              </w:rPr>
              <w:t>/</w:t>
            </w:r>
            <w:r>
              <w:rPr>
                <w:rFonts w:ascii="Arial" w:hAnsi="Arial" w:cs="Arial"/>
                <w:color w:val="000000"/>
                <w:sz w:val="20"/>
              </w:rPr>
              <w:t>06</w:t>
            </w:r>
            <w:r w:rsidR="00FB340B" w:rsidRPr="00671AFF">
              <w:rPr>
                <w:rFonts w:ascii="Arial" w:hAnsi="Arial" w:cs="Arial"/>
                <w:color w:val="000000"/>
                <w:sz w:val="20"/>
              </w:rPr>
              <w:t>/201</w:t>
            </w:r>
            <w:r>
              <w:rPr>
                <w:rFonts w:ascii="Arial" w:hAnsi="Arial" w:cs="Arial"/>
                <w:color w:val="000000"/>
                <w:sz w:val="20"/>
              </w:rPr>
              <w:t>6</w:t>
            </w:r>
          </w:p>
        </w:tc>
        <w:tc>
          <w:tcPr>
            <w:tcW w:w="4206" w:type="pct"/>
            <w:tcBorders>
              <w:top w:val="single" w:sz="18" w:space="0" w:color="auto"/>
              <w:left w:val="single" w:sz="4" w:space="0" w:color="auto"/>
              <w:bottom w:val="single" w:sz="18" w:space="0" w:color="auto"/>
              <w:right w:val="single" w:sz="18" w:space="0" w:color="auto"/>
            </w:tcBorders>
          </w:tcPr>
          <w:p w14:paraId="3B91180F" w14:textId="77777777" w:rsidR="00FB340B" w:rsidRDefault="00192E42" w:rsidP="005D0083">
            <w:pPr>
              <w:keepNext/>
              <w:keepLines/>
              <w:jc w:val="center"/>
              <w:rPr>
                <w:rFonts w:ascii="Arial" w:hAnsi="Arial" w:cs="Arial"/>
                <w:b/>
                <w:color w:val="000000"/>
                <w:sz w:val="20"/>
                <w:u w:val="single"/>
              </w:rPr>
            </w:pPr>
            <w:r>
              <w:rPr>
                <w:rFonts w:ascii="Arial" w:hAnsi="Arial" w:cs="Arial"/>
                <w:b/>
                <w:color w:val="000000"/>
                <w:sz w:val="20"/>
                <w:u w:val="single"/>
              </w:rPr>
              <w:t>LISTING OF MATTERS IN THE CHILDREN’S KOORI COURT (CRIMINAL DIVISION) AT MELBOURNE</w:t>
            </w:r>
          </w:p>
          <w:p w14:paraId="4854D110" w14:textId="77777777" w:rsidR="00192E42" w:rsidRPr="00192E42" w:rsidRDefault="00192E42" w:rsidP="005D0083">
            <w:pPr>
              <w:keepNext/>
              <w:keepLines/>
              <w:jc w:val="both"/>
              <w:rPr>
                <w:rFonts w:ascii="Arial" w:hAnsi="Arial" w:cs="Arial"/>
                <w:color w:val="000000"/>
                <w:sz w:val="20"/>
              </w:rPr>
            </w:pPr>
            <w:r w:rsidRPr="00192E42">
              <w:rPr>
                <w:rFonts w:ascii="Arial" w:hAnsi="Arial" w:cs="Arial"/>
                <w:color w:val="000000"/>
                <w:sz w:val="20"/>
              </w:rPr>
              <w:t xml:space="preserve">This PD aims to ensure that </w:t>
            </w:r>
            <w:r>
              <w:rPr>
                <w:rFonts w:ascii="Arial" w:hAnsi="Arial" w:cs="Arial"/>
                <w:color w:val="000000"/>
                <w:sz w:val="20"/>
              </w:rPr>
              <w:t xml:space="preserve">matters adjourned to the Children’s Koori Court at Melbourne are in a position to proceed as either a plea of guilty or, where appropriate, for diversion to be considered pursuant to s.59 of the </w:t>
            </w:r>
            <w:r w:rsidRPr="00926A74">
              <w:rPr>
                <w:rFonts w:ascii="Arial" w:hAnsi="Arial" w:cs="Arial"/>
                <w:i/>
                <w:iCs/>
                <w:color w:val="000000"/>
                <w:sz w:val="20"/>
              </w:rPr>
              <w:t>Criminal Procedure Act 2009</w:t>
            </w:r>
            <w:r>
              <w:rPr>
                <w:rFonts w:ascii="Arial" w:hAnsi="Arial" w:cs="Arial"/>
                <w:color w:val="000000"/>
                <w:sz w:val="20"/>
              </w:rPr>
              <w:t xml:space="preserve"> and s.528 of the CYFA.</w:t>
            </w:r>
          </w:p>
        </w:tc>
      </w:tr>
      <w:tr w:rsidR="006C2CC6" w:rsidRPr="00671AFF" w14:paraId="4137B613"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7D1D8A18" w14:textId="77F6AAB8" w:rsidR="006C2CC6" w:rsidRPr="00C160D7" w:rsidRDefault="008262F0" w:rsidP="00A96838">
            <w:pPr>
              <w:spacing w:before="120"/>
              <w:jc w:val="center"/>
              <w:rPr>
                <w:rFonts w:ascii="Arial" w:hAnsi="Arial" w:cs="Arial"/>
                <w:b/>
                <w:bCs/>
                <w:color w:val="000000"/>
                <w:sz w:val="20"/>
              </w:rPr>
            </w:pPr>
            <w:r>
              <w:br w:type="page"/>
            </w:r>
            <w:hyperlink r:id="rId11" w:history="1">
              <w:r w:rsidR="006C2CC6" w:rsidRPr="00C160D7">
                <w:rPr>
                  <w:rStyle w:val="Hyperlink"/>
                  <w:rFonts w:ascii="Arial" w:hAnsi="Arial" w:cs="Arial"/>
                  <w:b/>
                  <w:bCs/>
                  <w:sz w:val="20"/>
                </w:rPr>
                <w:t>No.2 of 2018</w:t>
              </w:r>
            </w:hyperlink>
          </w:p>
          <w:p w14:paraId="7147B2D3" w14:textId="77777777" w:rsidR="006C2CC6" w:rsidRPr="00671AFF" w:rsidRDefault="006C2CC6" w:rsidP="00A96838">
            <w:pPr>
              <w:jc w:val="center"/>
              <w:rPr>
                <w:rFonts w:ascii="Arial" w:hAnsi="Arial" w:cs="Arial"/>
                <w:color w:val="000000"/>
                <w:sz w:val="20"/>
              </w:rPr>
            </w:pPr>
            <w:r>
              <w:rPr>
                <w:rFonts w:ascii="Arial" w:hAnsi="Arial" w:cs="Arial"/>
                <w:color w:val="000000"/>
                <w:sz w:val="20"/>
              </w:rPr>
              <w:t>05/04/2018</w:t>
            </w:r>
          </w:p>
        </w:tc>
        <w:tc>
          <w:tcPr>
            <w:tcW w:w="4206" w:type="pct"/>
            <w:tcBorders>
              <w:top w:val="single" w:sz="18" w:space="0" w:color="auto"/>
              <w:left w:val="single" w:sz="4" w:space="0" w:color="auto"/>
              <w:bottom w:val="single" w:sz="18" w:space="0" w:color="auto"/>
              <w:right w:val="single" w:sz="18" w:space="0" w:color="auto"/>
            </w:tcBorders>
          </w:tcPr>
          <w:p w14:paraId="66A44F72" w14:textId="77777777" w:rsidR="006C2CC6" w:rsidRDefault="006C2CC6" w:rsidP="00A96838">
            <w:pPr>
              <w:jc w:val="center"/>
              <w:rPr>
                <w:rFonts w:ascii="Arial" w:hAnsi="Arial" w:cs="Arial"/>
                <w:b/>
                <w:color w:val="000000"/>
                <w:sz w:val="20"/>
                <w:u w:val="single"/>
              </w:rPr>
            </w:pPr>
            <w:r>
              <w:rPr>
                <w:rFonts w:ascii="Arial" w:hAnsi="Arial" w:cs="Arial"/>
                <w:b/>
                <w:color w:val="000000"/>
                <w:sz w:val="20"/>
                <w:u w:val="single"/>
              </w:rPr>
              <w:t>PROCEDURE FOR INDICTABLE OFFENCES THAT MAY BE HEARD AND DETERMINED SUMMARILY</w:t>
            </w:r>
          </w:p>
          <w:p w14:paraId="4888BFED" w14:textId="77777777" w:rsidR="006C2CC6" w:rsidRPr="006C2CC6" w:rsidRDefault="006C2CC6" w:rsidP="00A96838">
            <w:pPr>
              <w:jc w:val="both"/>
              <w:rPr>
                <w:rFonts w:ascii="Arial" w:hAnsi="Arial" w:cs="Arial"/>
                <w:color w:val="000000"/>
                <w:sz w:val="20"/>
              </w:rPr>
            </w:pPr>
            <w:r w:rsidRPr="006C2CC6">
              <w:rPr>
                <w:rFonts w:ascii="Arial" w:hAnsi="Arial" w:cs="Arial"/>
                <w:color w:val="000000"/>
                <w:sz w:val="20"/>
              </w:rPr>
              <w:t xml:space="preserve">This PD sets out directions </w:t>
            </w:r>
            <w:r>
              <w:rPr>
                <w:rFonts w:ascii="Arial" w:hAnsi="Arial" w:cs="Arial"/>
                <w:sz w:val="20"/>
              </w:rPr>
              <w:t>in relation to the listing, procedure and venue for charges falling within s.356(6) [Category A serious youth offence committed by child aged 16+] and s.356(8) [Category B serious youth offence committed by child aged 16+].</w:t>
            </w:r>
          </w:p>
        </w:tc>
      </w:tr>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2"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74174DD9"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PD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PD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325A60" w:rsidRPr="00671AFF" w14:paraId="7A5564E6" w14:textId="77777777" w:rsidTr="0007762F">
        <w:trPr>
          <w:trHeight w:val="233"/>
        </w:trPr>
        <w:tc>
          <w:tcPr>
            <w:tcW w:w="794" w:type="pct"/>
            <w:tcBorders>
              <w:top w:val="single" w:sz="18" w:space="0" w:color="auto"/>
              <w:left w:val="single" w:sz="18" w:space="0" w:color="auto"/>
              <w:bottom w:val="single" w:sz="18" w:space="0" w:color="auto"/>
              <w:right w:val="single" w:sz="4" w:space="0" w:color="auto"/>
            </w:tcBorders>
          </w:tcPr>
          <w:p w14:paraId="5A647D9C" w14:textId="77777777" w:rsidR="00325A60" w:rsidRPr="00FA0894" w:rsidRDefault="00325A60" w:rsidP="00325A60">
            <w:pPr>
              <w:spacing w:before="120"/>
              <w:jc w:val="center"/>
              <w:rPr>
                <w:rFonts w:ascii="Arial" w:hAnsi="Arial" w:cs="Arial"/>
                <w:b/>
                <w:bCs/>
                <w:color w:val="000000"/>
                <w:sz w:val="20"/>
              </w:rPr>
            </w:pPr>
            <w:hyperlink r:id="rId13" w:history="1">
              <w:r w:rsidRPr="00FA0894">
                <w:rPr>
                  <w:rStyle w:val="Hyperlink"/>
                  <w:rFonts w:ascii="Arial" w:hAnsi="Arial" w:cs="Arial"/>
                  <w:b/>
                  <w:bCs/>
                  <w:sz w:val="20"/>
                </w:rPr>
                <w:t>No.2 of 2023</w:t>
              </w:r>
            </w:hyperlink>
          </w:p>
          <w:p w14:paraId="5C33AF33" w14:textId="77777777" w:rsidR="00325A60" w:rsidRPr="00671AFF" w:rsidRDefault="00325A60" w:rsidP="00325A60">
            <w:pPr>
              <w:jc w:val="center"/>
              <w:rPr>
                <w:rFonts w:ascii="Arial" w:hAnsi="Arial" w:cs="Arial"/>
                <w:color w:val="000000"/>
                <w:sz w:val="20"/>
              </w:rPr>
            </w:pPr>
            <w:r>
              <w:rPr>
                <w:rFonts w:ascii="Arial" w:hAnsi="Arial" w:cs="Arial"/>
                <w:color w:val="000000"/>
                <w:sz w:val="20"/>
              </w:rPr>
              <w:t>31</w:t>
            </w:r>
            <w:r w:rsidRPr="004F3B73">
              <w:rPr>
                <w:rFonts w:ascii="Arial" w:hAnsi="Arial" w:cs="Arial"/>
                <w:color w:val="000000"/>
                <w:sz w:val="20"/>
              </w:rPr>
              <w:t>/0</w:t>
            </w:r>
            <w:r>
              <w:rPr>
                <w:rFonts w:ascii="Arial" w:hAnsi="Arial" w:cs="Arial"/>
                <w:color w:val="000000"/>
                <w:sz w:val="20"/>
              </w:rPr>
              <w:t>7</w:t>
            </w:r>
            <w:r w:rsidRPr="004F3B73">
              <w:rPr>
                <w:rFonts w:ascii="Arial" w:hAnsi="Arial" w:cs="Arial"/>
                <w:color w:val="000000"/>
                <w:sz w:val="20"/>
              </w:rPr>
              <w:t>/202</w:t>
            </w:r>
            <w:r>
              <w:rPr>
                <w:rFonts w:ascii="Arial" w:hAnsi="Arial" w:cs="Arial"/>
                <w:color w:val="000000"/>
                <w:sz w:val="20"/>
              </w:rPr>
              <w:t>3</w:t>
            </w:r>
          </w:p>
        </w:tc>
        <w:tc>
          <w:tcPr>
            <w:tcW w:w="4206" w:type="pct"/>
            <w:tcBorders>
              <w:top w:val="single" w:sz="18" w:space="0" w:color="auto"/>
              <w:left w:val="single" w:sz="4" w:space="0" w:color="auto"/>
              <w:bottom w:val="single" w:sz="18" w:space="0" w:color="auto"/>
              <w:right w:val="single" w:sz="18" w:space="0" w:color="auto"/>
            </w:tcBorders>
          </w:tcPr>
          <w:p w14:paraId="45D51616" w14:textId="77777777" w:rsidR="00325A60" w:rsidRPr="00EE13BA" w:rsidRDefault="00325A60" w:rsidP="00325A60">
            <w:pPr>
              <w:jc w:val="center"/>
              <w:rPr>
                <w:rFonts w:ascii="Arial" w:hAnsi="Arial" w:cs="Arial"/>
                <w:b/>
                <w:color w:val="000000"/>
                <w:sz w:val="22"/>
                <w:szCs w:val="28"/>
                <w:u w:val="single"/>
              </w:rPr>
            </w:pPr>
            <w:r w:rsidRPr="00EE13BA">
              <w:rPr>
                <w:rFonts w:ascii="Arial" w:hAnsi="Arial" w:cs="Arial"/>
                <w:b/>
                <w:color w:val="000000"/>
                <w:sz w:val="22"/>
                <w:szCs w:val="28"/>
                <w:u w:val="single"/>
              </w:rPr>
              <w:t>CRIMINAL DIVISION</w:t>
            </w:r>
          </w:p>
          <w:p w14:paraId="1ABD2CAD" w14:textId="77777777" w:rsidR="00325A60" w:rsidRDefault="00325A60" w:rsidP="00325A60">
            <w:pPr>
              <w:jc w:val="both"/>
              <w:rPr>
                <w:rFonts w:ascii="Arial" w:hAnsi="Arial" w:cs="Arial"/>
                <w:bCs/>
                <w:color w:val="000000"/>
                <w:sz w:val="20"/>
              </w:rPr>
            </w:pPr>
            <w:r w:rsidRPr="00291168">
              <w:rPr>
                <w:rFonts w:ascii="Arial" w:hAnsi="Arial" w:cs="Arial"/>
                <w:bCs/>
                <w:color w:val="000000"/>
                <w:sz w:val="20"/>
              </w:rPr>
              <w:t>This P.D.</w:t>
            </w:r>
            <w:r>
              <w:rPr>
                <w:rFonts w:ascii="Arial" w:hAnsi="Arial" w:cs="Arial"/>
                <w:bCs/>
                <w:color w:val="000000"/>
                <w:sz w:val="20"/>
              </w:rPr>
              <w:t xml:space="preserve"> (which </w:t>
            </w:r>
            <w:r w:rsidRPr="00291168">
              <w:rPr>
                <w:rFonts w:ascii="Arial" w:hAnsi="Arial" w:cs="Arial"/>
                <w:bCs/>
                <w:color w:val="000000"/>
                <w:sz w:val="20"/>
              </w:rPr>
              <w:t xml:space="preserve">revokes </w:t>
            </w:r>
            <w:r>
              <w:rPr>
                <w:rFonts w:ascii="Arial" w:hAnsi="Arial" w:cs="Arial"/>
                <w:bCs/>
                <w:color w:val="000000"/>
                <w:sz w:val="20"/>
              </w:rPr>
              <w:t>Practice Directions No.1 of 2022; Nos.4</w:t>
            </w:r>
            <w:r>
              <w:rPr>
                <w:rFonts w:ascii="Arial" w:hAnsi="Arial" w:cs="Arial"/>
                <w:bCs/>
                <w:color w:val="000000"/>
                <w:sz w:val="20"/>
              </w:rPr>
              <w:noBreakHyphen/>
              <w:t>6 of 2018; No.1 of 2009 &amp; Nos.1-2 of 2007) is effective from 31</w:t>
            </w:r>
            <w:r w:rsidRPr="00291168">
              <w:rPr>
                <w:rFonts w:ascii="Arial" w:hAnsi="Arial" w:cs="Arial"/>
                <w:bCs/>
                <w:color w:val="000000"/>
                <w:sz w:val="20"/>
              </w:rPr>
              <w:t>/0</w:t>
            </w:r>
            <w:r>
              <w:rPr>
                <w:rFonts w:ascii="Arial" w:hAnsi="Arial" w:cs="Arial"/>
                <w:bCs/>
                <w:color w:val="000000"/>
                <w:sz w:val="20"/>
              </w:rPr>
              <w:t>7</w:t>
            </w:r>
            <w:r w:rsidRPr="00291168">
              <w:rPr>
                <w:rFonts w:ascii="Arial" w:hAnsi="Arial" w:cs="Arial"/>
                <w:bCs/>
                <w:color w:val="000000"/>
                <w:sz w:val="20"/>
              </w:rPr>
              <w:t>/2023.  It</w:t>
            </w:r>
            <w:r>
              <w:rPr>
                <w:rFonts w:ascii="Arial" w:hAnsi="Arial" w:cs="Arial"/>
                <w:bCs/>
                <w:color w:val="000000"/>
                <w:sz w:val="20"/>
              </w:rPr>
              <w:t xml:space="preserve"> </w:t>
            </w:r>
            <w:r w:rsidRPr="00291168">
              <w:rPr>
                <w:rFonts w:ascii="Arial" w:hAnsi="Arial" w:cs="Arial"/>
                <w:bCs/>
                <w:color w:val="000000"/>
                <w:sz w:val="20"/>
              </w:rPr>
              <w:t>contains directions under the following headings:</w:t>
            </w:r>
          </w:p>
          <w:p w14:paraId="6667A4CA"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ALL CHILDREN’S COURTS – STATEWIDE</w:t>
            </w:r>
          </w:p>
          <w:p w14:paraId="3129BF3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w:t>
            </w:r>
            <w:r w:rsidRPr="001771EB">
              <w:rPr>
                <w:rFonts w:ascii="Arial" w:hAnsi="Arial" w:cs="Arial"/>
                <w:b/>
                <w:color w:val="000000"/>
                <w:sz w:val="20"/>
              </w:rPr>
              <w:t xml:space="preserve">: </w:t>
            </w:r>
            <w:r>
              <w:rPr>
                <w:rFonts w:ascii="Arial" w:hAnsi="Arial" w:cs="Arial"/>
                <w:b/>
                <w:color w:val="000000"/>
                <w:sz w:val="20"/>
              </w:rPr>
              <w:t>FILING</w:t>
            </w:r>
          </w:p>
          <w:p w14:paraId="29994EB0"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w:t>
            </w:r>
            <w:r w:rsidRPr="001771EB">
              <w:rPr>
                <w:rFonts w:ascii="Arial" w:hAnsi="Arial" w:cs="Arial"/>
                <w:b/>
                <w:color w:val="000000"/>
                <w:sz w:val="20"/>
              </w:rPr>
              <w:t xml:space="preserve">: </w:t>
            </w:r>
            <w:r>
              <w:rPr>
                <w:rFonts w:ascii="Arial" w:hAnsi="Arial" w:cs="Arial"/>
                <w:b/>
                <w:color w:val="000000"/>
                <w:sz w:val="20"/>
              </w:rPr>
              <w:t>ONLINE HEARINGS</w:t>
            </w:r>
          </w:p>
          <w:p w14:paraId="796C8821"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7-9</w:t>
            </w:r>
            <w:r w:rsidRPr="001771EB">
              <w:rPr>
                <w:rFonts w:ascii="Arial" w:hAnsi="Arial" w:cs="Arial"/>
                <w:b/>
                <w:color w:val="000000"/>
                <w:sz w:val="20"/>
              </w:rPr>
              <w:t xml:space="preserve">: </w:t>
            </w:r>
            <w:r>
              <w:rPr>
                <w:rFonts w:ascii="Arial" w:hAnsi="Arial" w:cs="Arial"/>
                <w:b/>
                <w:color w:val="000000"/>
                <w:sz w:val="20"/>
              </w:rPr>
              <w:t>FIRST REMAND HEARINGS</w:t>
            </w:r>
          </w:p>
          <w:p w14:paraId="53AF6428"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1</w:t>
            </w:r>
            <w:r>
              <w:rPr>
                <w:rFonts w:ascii="Arial" w:hAnsi="Arial" w:cs="Arial"/>
                <w:b/>
                <w:color w:val="000000"/>
                <w:sz w:val="20"/>
              </w:rPr>
              <w:t>0</w:t>
            </w:r>
            <w:r w:rsidRPr="001771EB">
              <w:rPr>
                <w:rFonts w:ascii="Arial" w:hAnsi="Arial" w:cs="Arial"/>
                <w:b/>
                <w:color w:val="000000"/>
                <w:sz w:val="20"/>
              </w:rPr>
              <w:t>-1</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SECOND AND SUBSEQUENT REMAND HEARINGS</w:t>
            </w:r>
          </w:p>
          <w:p w14:paraId="0AA22A4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13-14</w:t>
            </w:r>
            <w:r w:rsidRPr="001771EB">
              <w:rPr>
                <w:rFonts w:ascii="Arial" w:hAnsi="Arial" w:cs="Arial"/>
                <w:b/>
                <w:color w:val="000000"/>
                <w:sz w:val="20"/>
              </w:rPr>
              <w:t xml:space="preserve">: </w:t>
            </w:r>
            <w:r>
              <w:rPr>
                <w:rFonts w:ascii="Arial" w:hAnsi="Arial" w:cs="Arial"/>
                <w:b/>
                <w:color w:val="000000"/>
                <w:sz w:val="20"/>
              </w:rPr>
              <w:t>BAIL APPLICATION</w:t>
            </w:r>
            <w:r w:rsidRPr="001771EB">
              <w:rPr>
                <w:rFonts w:ascii="Arial" w:hAnsi="Arial" w:cs="Arial"/>
                <w:b/>
                <w:color w:val="000000"/>
                <w:sz w:val="20"/>
              </w:rPr>
              <w:t>S</w:t>
            </w:r>
          </w:p>
          <w:p w14:paraId="0A3C8DCF"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15-25</w:t>
            </w:r>
            <w:r w:rsidRPr="001771EB">
              <w:rPr>
                <w:rFonts w:ascii="Arial" w:hAnsi="Arial" w:cs="Arial"/>
                <w:b/>
                <w:color w:val="000000"/>
                <w:sz w:val="20"/>
              </w:rPr>
              <w:t xml:space="preserve">: </w:t>
            </w:r>
            <w:r>
              <w:rPr>
                <w:rFonts w:ascii="Arial" w:hAnsi="Arial" w:cs="Arial"/>
                <w:b/>
                <w:color w:val="000000"/>
                <w:sz w:val="20"/>
              </w:rPr>
              <w:t>BAIL VARIATION(S)</w:t>
            </w:r>
          </w:p>
          <w:p w14:paraId="5018F18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6</w:t>
            </w:r>
            <w:r w:rsidRPr="001771EB">
              <w:rPr>
                <w:rFonts w:ascii="Arial" w:hAnsi="Arial" w:cs="Arial"/>
                <w:b/>
                <w:color w:val="000000"/>
                <w:sz w:val="20"/>
              </w:rPr>
              <w:t xml:space="preserve">: </w:t>
            </w:r>
            <w:r>
              <w:rPr>
                <w:rFonts w:ascii="Arial" w:hAnsi="Arial" w:cs="Arial"/>
                <w:b/>
                <w:color w:val="000000"/>
                <w:sz w:val="20"/>
              </w:rPr>
              <w:t>SUMMARY CASE CONFERENCING</w:t>
            </w:r>
          </w:p>
          <w:p w14:paraId="67F68BC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7</w:t>
            </w:r>
            <w:r w:rsidRPr="001771EB">
              <w:rPr>
                <w:rFonts w:ascii="Arial" w:hAnsi="Arial" w:cs="Arial"/>
                <w:b/>
                <w:color w:val="000000"/>
                <w:sz w:val="20"/>
              </w:rPr>
              <w:t>-</w:t>
            </w:r>
            <w:r>
              <w:rPr>
                <w:rFonts w:ascii="Arial" w:hAnsi="Arial" w:cs="Arial"/>
                <w:b/>
                <w:color w:val="000000"/>
                <w:sz w:val="20"/>
              </w:rPr>
              <w:t>38</w:t>
            </w:r>
            <w:r w:rsidRPr="001771EB">
              <w:rPr>
                <w:rFonts w:ascii="Arial" w:hAnsi="Arial" w:cs="Arial"/>
                <w:b/>
                <w:color w:val="000000"/>
                <w:sz w:val="20"/>
              </w:rPr>
              <w:t xml:space="preserve">: </w:t>
            </w:r>
            <w:r>
              <w:rPr>
                <w:rFonts w:ascii="Arial" w:hAnsi="Arial" w:cs="Arial"/>
                <w:b/>
                <w:color w:val="000000"/>
                <w:sz w:val="20"/>
              </w:rPr>
              <w:t>DIVERSION HEARING(S)</w:t>
            </w:r>
          </w:p>
          <w:p w14:paraId="785D32EC"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3</w:t>
            </w:r>
            <w:r>
              <w:rPr>
                <w:rFonts w:ascii="Arial" w:hAnsi="Arial" w:cs="Arial"/>
                <w:b/>
                <w:color w:val="000000"/>
                <w:sz w:val="20"/>
              </w:rPr>
              <w:t>9</w:t>
            </w:r>
            <w:r w:rsidRPr="001771EB">
              <w:rPr>
                <w:rFonts w:ascii="Arial" w:hAnsi="Arial" w:cs="Arial"/>
                <w:b/>
                <w:color w:val="000000"/>
                <w:sz w:val="20"/>
              </w:rPr>
              <w:t>-</w:t>
            </w:r>
            <w:r>
              <w:rPr>
                <w:rFonts w:ascii="Arial" w:hAnsi="Arial" w:cs="Arial"/>
                <w:b/>
                <w:color w:val="000000"/>
                <w:sz w:val="20"/>
              </w:rPr>
              <w:t>40</w:t>
            </w:r>
            <w:r w:rsidRPr="001771EB">
              <w:rPr>
                <w:rFonts w:ascii="Arial" w:hAnsi="Arial" w:cs="Arial"/>
                <w:b/>
                <w:color w:val="000000"/>
                <w:sz w:val="20"/>
              </w:rPr>
              <w:t xml:space="preserve">: </w:t>
            </w:r>
            <w:r>
              <w:rPr>
                <w:rFonts w:ascii="Arial" w:hAnsi="Arial" w:cs="Arial"/>
                <w:b/>
                <w:color w:val="000000"/>
                <w:sz w:val="20"/>
              </w:rPr>
              <w:t>SEXUAL OFFENCE(S)</w:t>
            </w:r>
          </w:p>
          <w:p w14:paraId="2A777B93"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Pr="001771EB">
              <w:rPr>
                <w:rFonts w:ascii="Arial" w:hAnsi="Arial" w:cs="Arial"/>
                <w:b/>
                <w:color w:val="000000"/>
                <w:sz w:val="20"/>
              </w:rPr>
              <w:t>-4</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INTERMEDIARIES</w:t>
            </w:r>
          </w:p>
          <w:p w14:paraId="44CC8959"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4</w:t>
            </w:r>
            <w:r>
              <w:rPr>
                <w:rFonts w:ascii="Arial" w:hAnsi="Arial" w:cs="Arial"/>
                <w:b/>
                <w:color w:val="000000"/>
                <w:sz w:val="20"/>
              </w:rPr>
              <w:t>3</w:t>
            </w:r>
            <w:r w:rsidRPr="001771EB">
              <w:rPr>
                <w:rFonts w:ascii="Arial" w:hAnsi="Arial" w:cs="Arial"/>
                <w:b/>
                <w:color w:val="000000"/>
                <w:sz w:val="20"/>
              </w:rPr>
              <w:t>-4</w:t>
            </w:r>
            <w:r>
              <w:rPr>
                <w:rFonts w:ascii="Arial" w:hAnsi="Arial" w:cs="Arial"/>
                <w:b/>
                <w:color w:val="000000"/>
                <w:sz w:val="20"/>
              </w:rPr>
              <w:t>7</w:t>
            </w:r>
            <w:r w:rsidRPr="001771EB">
              <w:rPr>
                <w:rFonts w:ascii="Arial" w:hAnsi="Arial" w:cs="Arial"/>
                <w:b/>
                <w:color w:val="000000"/>
                <w:sz w:val="20"/>
              </w:rPr>
              <w:t xml:space="preserve">: </w:t>
            </w:r>
            <w:r>
              <w:rPr>
                <w:rFonts w:ascii="Arial" w:hAnsi="Arial" w:cs="Arial"/>
                <w:b/>
                <w:color w:val="000000"/>
                <w:sz w:val="20"/>
              </w:rPr>
              <w:t>GROUND RULES HEARINGS</w:t>
            </w:r>
          </w:p>
          <w:p w14:paraId="75BDF817"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48-50</w:t>
            </w:r>
            <w:r w:rsidRPr="001771EB">
              <w:rPr>
                <w:rFonts w:ascii="Arial" w:hAnsi="Arial" w:cs="Arial"/>
                <w:b/>
                <w:color w:val="000000"/>
                <w:sz w:val="20"/>
              </w:rPr>
              <w:t xml:space="preserve">: </w:t>
            </w:r>
            <w:r>
              <w:rPr>
                <w:rFonts w:ascii="Arial" w:hAnsi="Arial" w:cs="Arial"/>
                <w:b/>
                <w:color w:val="000000"/>
                <w:sz w:val="20"/>
              </w:rPr>
              <w:t>CONFIDENTIAL COMMUNICATIONS AND PROTECTED HEALTH INFORMATION</w:t>
            </w:r>
          </w:p>
          <w:p w14:paraId="13E3859E"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CHILDREN’S COURT OF VICTORIA SITTING AT MELBOURNE</w:t>
            </w:r>
          </w:p>
          <w:p w14:paraId="1A89AA3C"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51-55: REMAND COURT</w:t>
            </w:r>
          </w:p>
          <w:p w14:paraId="2E547D3D" w14:textId="77777777" w:rsidR="00325A60" w:rsidRPr="00D42DED"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56-59: MOORABBIN AND SUNSHINE CUSTODY LISTINGS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0B457E">
            <w:pPr>
              <w:spacing w:before="120"/>
              <w:jc w:val="center"/>
              <w:rPr>
                <w:rFonts w:ascii="Arial" w:hAnsi="Arial" w:cs="Arial"/>
                <w:b/>
                <w:bCs/>
                <w:sz w:val="20"/>
                <w:szCs w:val="20"/>
              </w:rPr>
            </w:pPr>
            <w:hyperlink r:id="rId14"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0B457E">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24FF5588"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 xml:space="preserve">This P.D.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0F573F">
            <w:pPr>
              <w:spacing w:before="120"/>
              <w:jc w:val="center"/>
              <w:rPr>
                <w:rFonts w:ascii="Arial" w:hAnsi="Arial" w:cs="Arial"/>
                <w:b/>
                <w:bCs/>
                <w:sz w:val="20"/>
                <w:szCs w:val="20"/>
                <w:u w:val="single"/>
              </w:rPr>
            </w:pPr>
            <w:hyperlink r:id="rId15"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0F573F">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52C7EE43"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P.D. (which revokes and replaces P.D. No.1 of 2024 dated 18/04/2024) is effective from 01/01/2025. It contains directions for the listing and hearing of all child protection proceedings (under the Children, Youth and Families Act 2005) heard by the Children’s Court of Victoria at all venues of the Court.  It also contains directions for the listing and hearing of Family Division matters pursuant to the Terrorism (Community Protection) Act 2003.  The directions are set out under the following headings:</w:t>
            </w:r>
          </w:p>
          <w:p w14:paraId="1303AC36"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0EF25C9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02D7304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1463CD5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53C94944"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18-19: DIGITAL RECORDINGS</w:t>
            </w:r>
          </w:p>
          <w:p w14:paraId="6C0C8B32"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20: INTERSTATE CHILD PROTECTION ORDERS</w:t>
            </w:r>
          </w:p>
          <w:p w14:paraId="3844E0AB"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456BE25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22C5A0C7" w14:textId="4CBC6E4E"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sidR="00EC4AAC">
              <w:rPr>
                <w:rFonts w:ascii="Arial" w:hAnsi="Arial" w:cs="Arial"/>
                <w:b/>
                <w:color w:val="000000"/>
                <w:sz w:val="20"/>
              </w:rPr>
              <w:t>0-37</w:t>
            </w:r>
            <w:r w:rsidRPr="0040216D">
              <w:rPr>
                <w:rFonts w:ascii="Arial" w:hAnsi="Arial" w:cs="Arial"/>
                <w:b/>
                <w:color w:val="000000"/>
                <w:sz w:val="20"/>
              </w:rPr>
              <w:t>: READINESS HEARINGS</w:t>
            </w:r>
          </w:p>
          <w:p w14:paraId="12B5C41E" w14:textId="0B45ECA1"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0040216D" w:rsidRPr="0040216D">
              <w:rPr>
                <w:rFonts w:ascii="Arial" w:hAnsi="Arial" w:cs="Arial"/>
                <w:b/>
                <w:color w:val="000000"/>
                <w:sz w:val="20"/>
              </w:rPr>
              <w:t>: WITNESS SUMMONS TO PRODUCE</w:t>
            </w:r>
          </w:p>
          <w:p w14:paraId="623173DC" w14:textId="4851CFBC"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0040216D" w:rsidRPr="0040216D">
              <w:rPr>
                <w:rFonts w:ascii="Arial" w:hAnsi="Arial" w:cs="Arial"/>
                <w:b/>
                <w:color w:val="000000"/>
                <w:sz w:val="20"/>
              </w:rPr>
              <w:t>: MARRAM-NGALA GANBU (KOORI FAMILY HEARING DAY)</w:t>
            </w:r>
          </w:p>
          <w:p w14:paraId="1E36AB45" w14:textId="12794E92" w:rsidR="0040216D" w:rsidRPr="004F3B73"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u w:val="single"/>
              </w:rPr>
            </w:pPr>
            <w:r w:rsidRPr="0040216D">
              <w:rPr>
                <w:rFonts w:ascii="Arial" w:hAnsi="Arial" w:cs="Arial"/>
                <w:b/>
                <w:color w:val="000000"/>
                <w:sz w:val="20"/>
              </w:rPr>
              <w:t>5</w:t>
            </w:r>
            <w:r w:rsidR="00EC4AAC">
              <w:rPr>
                <w:rFonts w:ascii="Arial" w:hAnsi="Arial" w:cs="Arial"/>
                <w:b/>
                <w:color w:val="000000"/>
                <w:sz w:val="20"/>
              </w:rPr>
              <w:t>2</w:t>
            </w:r>
            <w:r w:rsidRPr="0040216D">
              <w:rPr>
                <w:rFonts w:ascii="Arial" w:hAnsi="Arial" w:cs="Arial"/>
                <w:b/>
                <w:color w:val="000000"/>
                <w:sz w:val="20"/>
              </w:rPr>
              <w:t>-</w:t>
            </w:r>
            <w:r w:rsidR="00EC4AAC">
              <w:rPr>
                <w:rFonts w:ascii="Arial" w:hAnsi="Arial" w:cs="Arial"/>
                <w:b/>
                <w:color w:val="000000"/>
                <w:sz w:val="20"/>
              </w:rPr>
              <w:t>58</w:t>
            </w:r>
            <w:r w:rsidRPr="0040216D">
              <w:rPr>
                <w:rFonts w:ascii="Arial" w:hAnsi="Arial" w:cs="Arial"/>
                <w:b/>
                <w:color w:val="000000"/>
                <w:sz w:val="20"/>
              </w:rPr>
              <w:t>: SUPPORT AND ENGAGEMENT ORDERS (TERRORISM ACT)</w:t>
            </w:r>
          </w:p>
        </w:tc>
      </w:tr>
    </w:tbl>
    <w:p w14:paraId="451F68DB" w14:textId="5AFD7155" w:rsidR="00A31700" w:rsidRDefault="00A31700"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6"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7" w:history="1">
              <w:r w:rsidRPr="009F7A69">
                <w:rPr>
                  <w:rStyle w:val="Hyperlink"/>
                  <w:rFonts w:ascii="Arial" w:hAnsi="Arial" w:cs="Arial"/>
                  <w:b/>
                  <w:sz w:val="20"/>
                </w:rPr>
                <w:t>GUIDELINES FOR CONCILIATION CONFERENCES</w:t>
              </w:r>
            </w:hyperlink>
          </w:p>
          <w:p w14:paraId="33860543" w14:textId="46524B92" w:rsidR="000F3970" w:rsidRDefault="000F3970" w:rsidP="003E3653">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lastRenderedPageBreak/>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8"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lastRenderedPageBreak/>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19"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2"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3"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4"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5"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1" w:name="_1.5.1_Human_Rights"/>
      <w:bookmarkStart w:id="392" w:name="B151"/>
      <w:bookmarkEnd w:id="391"/>
      <w:bookmarkEnd w:id="392"/>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567C662D" w14:textId="420C24A0" w:rsidR="00AB346D"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p>
    <w:p w14:paraId="3526554E" w14:textId="77777777" w:rsidR="00AB346D" w:rsidRDefault="00AB346D"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3" w:name="_1.5.2_Interpretation_of"/>
      <w:bookmarkStart w:id="394" w:name="B152"/>
      <w:bookmarkEnd w:id="393"/>
      <w:bookmarkEnd w:id="394"/>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w:t>
      </w:r>
      <w:proofErr w:type="spellStart"/>
      <w:r w:rsidR="001C2CBC" w:rsidRPr="001C2CBC">
        <w:rPr>
          <w:rFonts w:ascii="Arial" w:hAnsi="Arial" w:cs="Arial"/>
          <w:sz w:val="20"/>
          <w:szCs w:val="20"/>
        </w:rPr>
        <w:t>eg</w:t>
      </w:r>
      <w:proofErr w:type="spellEnd"/>
      <w:r w:rsidR="001C2CBC" w:rsidRPr="001C2CBC">
        <w:rPr>
          <w:rFonts w:ascii="Arial" w:hAnsi="Arial" w:cs="Arial"/>
          <w:sz w:val="20"/>
          <w:szCs w:val="20"/>
        </w:rPr>
        <w:t xml:space="preserve">,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proofErr w:type="spellStart"/>
      <w:r w:rsidR="007010D6" w:rsidRPr="007010D6">
        <w:rPr>
          <w:rFonts w:ascii="Arial" w:eastAsia="Book Antiqua" w:hAnsi="Arial" w:cs="Arial"/>
          <w:i/>
          <w:sz w:val="20"/>
          <w:szCs w:val="20"/>
        </w:rPr>
        <w:t>Slaveski</w:t>
      </w:r>
      <w:proofErr w:type="spellEnd"/>
      <w:r w:rsidR="007010D6" w:rsidRPr="007010D6">
        <w:rPr>
          <w:rFonts w:ascii="Arial" w:eastAsia="Book Antiqua" w:hAnsi="Arial" w:cs="Arial"/>
          <w:i/>
          <w:sz w:val="20"/>
          <w:szCs w:val="20"/>
        </w:rPr>
        <w:t xml:space="preserve">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5" w:name="_1.5.3_The_Charter"/>
      <w:bookmarkStart w:id="396" w:name="B153"/>
      <w:bookmarkEnd w:id="395"/>
      <w:bookmarkEnd w:id="396"/>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 xml:space="preserve">J v </w:t>
      </w:r>
      <w:proofErr w:type="spellStart"/>
      <w:r w:rsidR="00D24B5A" w:rsidRPr="00786F9E">
        <w:rPr>
          <w:rFonts w:ascii="Arial" w:hAnsi="Arial" w:cs="Arial"/>
          <w:i/>
          <w:color w:val="000000"/>
          <w:sz w:val="20"/>
        </w:rPr>
        <w:t>Lieschke</w:t>
      </w:r>
      <w:proofErr w:type="spellEnd"/>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7"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8" w:name="_Hlk190866585"/>
      <w:bookmarkEnd w:id="397"/>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8"/>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w:t>
      </w:r>
      <w:proofErr w:type="gramStart"/>
      <w:r w:rsidRPr="00DA507D">
        <w:rPr>
          <w:rFonts w:ascii="Arial" w:hAnsi="Arial" w:cs="Arial"/>
          <w:color w:val="000000"/>
          <w:sz w:val="20"/>
        </w:rPr>
        <w:t>185]</w:t>
      </w:r>
      <w:r>
        <w:rPr>
          <w:rFonts w:ascii="Arial" w:hAnsi="Arial" w:cs="Arial"/>
          <w:color w:val="000000"/>
          <w:sz w:val="20"/>
        </w:rPr>
        <w:noBreakHyphen/>
      </w:r>
      <w:proofErr w:type="gramEnd"/>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399" w:name="_1.6_Towards_an"/>
      <w:bookmarkStart w:id="400" w:name="B16"/>
      <w:bookmarkEnd w:id="399"/>
      <w:bookmarkEnd w:id="400"/>
      <w:r>
        <w:rPr>
          <w:rFonts w:ascii="Arial" w:hAnsi="Arial" w:cs="Arial"/>
          <w:b/>
          <w:bCs/>
          <w:color w:val="000000"/>
        </w:rPr>
        <w:t>1.6</w:t>
      </w:r>
      <w:r>
        <w:rPr>
          <w:rFonts w:ascii="Arial" w:hAnsi="Arial" w:cs="Arial"/>
          <w:b/>
          <w:bCs/>
          <w:color w:val="000000"/>
        </w:rPr>
        <w:tab/>
        <w:t>Towards an electronic Court [</w:t>
      </w:r>
      <w:proofErr w:type="spellStart"/>
      <w:r>
        <w:rPr>
          <w:rFonts w:ascii="Arial" w:hAnsi="Arial" w:cs="Arial"/>
          <w:b/>
          <w:bCs/>
          <w:color w:val="000000"/>
        </w:rPr>
        <w:t>eCourt</w:t>
      </w:r>
      <w:proofErr w:type="spellEnd"/>
      <w:r>
        <w:rPr>
          <w:rFonts w:ascii="Arial" w:hAnsi="Arial" w:cs="Arial"/>
          <w:b/>
          <w:bCs/>
          <w:color w:val="000000"/>
        </w:rPr>
        <w:t>]</w:t>
      </w:r>
    </w:p>
    <w:p w14:paraId="0DDA981E" w14:textId="77777777" w:rsidR="006D047F" w:rsidRDefault="006D047F" w:rsidP="006D047F">
      <w:pPr>
        <w:jc w:val="both"/>
        <w:rPr>
          <w:rFonts w:ascii="Arial" w:hAnsi="Arial" w:cs="Arial"/>
          <w:color w:val="000000"/>
          <w:sz w:val="20"/>
        </w:rPr>
      </w:pPr>
    </w:p>
    <w:p w14:paraId="160A7F5B" w14:textId="77777777" w:rsidR="006D047F" w:rsidRPr="00786F9E" w:rsidRDefault="006D047F" w:rsidP="006D047F">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Remote hearings using Web</w:t>
      </w:r>
      <w:r w:rsidR="00976C0C">
        <w:rPr>
          <w:rFonts w:ascii="Arial" w:hAnsi="Arial" w:cs="Arial"/>
          <w:b/>
          <w:bCs/>
          <w:color w:val="000000"/>
          <w:sz w:val="20"/>
        </w:rPr>
        <w:t>e</w:t>
      </w:r>
      <w:r>
        <w:rPr>
          <w:rFonts w:ascii="Arial" w:hAnsi="Arial" w:cs="Arial"/>
          <w:b/>
          <w:bCs/>
          <w:color w:val="000000"/>
          <w:sz w:val="20"/>
        </w:rPr>
        <w:t>x</w:t>
      </w:r>
    </w:p>
    <w:p w14:paraId="2BC49256" w14:textId="4AF9B697" w:rsidR="006D047F" w:rsidRDefault="006D047F" w:rsidP="000E195B">
      <w:pPr>
        <w:jc w:val="both"/>
        <w:rPr>
          <w:rFonts w:ascii="Arial" w:hAnsi="Arial" w:cs="Arial"/>
          <w:color w:val="000000"/>
          <w:sz w:val="20"/>
        </w:rPr>
      </w:pPr>
      <w:bookmarkStart w:id="401"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remotely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bookmarkEnd w:id="401"/>
    <w:p w14:paraId="2F2EC3A3" w14:textId="77777777" w:rsidR="006D047F" w:rsidRDefault="006D047F"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2" w:name="B162"/>
      <w:bookmarkStart w:id="403" w:name="_1.6.2_Courtlink_&amp;"/>
      <w:bookmarkEnd w:id="402"/>
      <w:bookmarkEnd w:id="403"/>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proofErr w:type="spellStart"/>
      <w:r>
        <w:rPr>
          <w:rFonts w:ascii="Arial" w:hAnsi="Arial" w:cs="Arial"/>
          <w:b/>
          <w:bCs/>
          <w:color w:val="000000"/>
          <w:sz w:val="20"/>
        </w:rPr>
        <w:t>Courtlink</w:t>
      </w:r>
      <w:proofErr w:type="spellEnd"/>
      <w:r>
        <w:rPr>
          <w:rFonts w:ascii="Arial" w:hAnsi="Arial" w:cs="Arial"/>
          <w:b/>
          <w:bCs/>
          <w:color w:val="000000"/>
          <w:sz w:val="20"/>
        </w:rPr>
        <w:t xml:space="preserve">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proofErr w:type="spellStart"/>
      <w:r w:rsidR="008B7BA2" w:rsidRPr="008B7BA2">
        <w:rPr>
          <w:rFonts w:ascii="Arial" w:hAnsi="Arial" w:cs="Arial"/>
          <w:b/>
          <w:bCs/>
          <w:color w:val="000000"/>
          <w:sz w:val="20"/>
        </w:rPr>
        <w:t>Courtlink</w:t>
      </w:r>
      <w:proofErr w:type="spellEnd"/>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proofErr w:type="spellStart"/>
      <w:r w:rsidR="00053D4E" w:rsidRPr="00053D4E">
        <w:rPr>
          <w:rFonts w:ascii="Arial" w:hAnsi="Arial" w:cs="Arial"/>
          <w:b/>
          <w:bCs/>
          <w:color w:val="000000"/>
          <w:sz w:val="20"/>
        </w:rPr>
        <w:t>Courtlink</w:t>
      </w:r>
      <w:proofErr w:type="spellEnd"/>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proofErr w:type="spellStart"/>
      <w:r w:rsidR="00CC1238" w:rsidRPr="00CC1238">
        <w:rPr>
          <w:rFonts w:ascii="Arial" w:hAnsi="Arial" w:cs="Arial"/>
          <w:b/>
          <w:bCs/>
          <w:color w:val="000000"/>
          <w:sz w:val="20"/>
        </w:rPr>
        <w:t>Courtlink</w:t>
      </w:r>
      <w:proofErr w:type="spellEnd"/>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proofErr w:type="spellStart"/>
      <w:r w:rsidR="00553AB5" w:rsidRPr="00553AB5">
        <w:rPr>
          <w:rFonts w:ascii="Arial" w:hAnsi="Arial" w:cs="Arial"/>
          <w:b/>
          <w:bCs/>
          <w:color w:val="000000"/>
          <w:sz w:val="20"/>
        </w:rPr>
        <w:t>Courtlink</w:t>
      </w:r>
      <w:proofErr w:type="spellEnd"/>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lastRenderedPageBreak/>
        <w:t xml:space="preserve">In the mid-1990s a simple order processing system for child protection cases was built by the author based on Word5 templates.  This system – known as </w:t>
      </w:r>
      <w:proofErr w:type="spellStart"/>
      <w:r w:rsidRPr="00053D4E">
        <w:rPr>
          <w:rFonts w:ascii="Arial" w:hAnsi="Arial" w:cs="Arial"/>
          <w:b/>
          <w:bCs/>
          <w:color w:val="000000"/>
          <w:sz w:val="20"/>
        </w:rPr>
        <w:t>Kidlink</w:t>
      </w:r>
      <w:proofErr w:type="spellEnd"/>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w:t>
      </w:r>
      <w:proofErr w:type="spellStart"/>
      <w:r>
        <w:rPr>
          <w:rFonts w:ascii="Arial" w:hAnsi="Arial" w:cs="Arial"/>
          <w:color w:val="000000"/>
          <w:sz w:val="20"/>
        </w:rPr>
        <w:t>Kidlink</w:t>
      </w:r>
      <w:proofErr w:type="spellEnd"/>
      <w:r>
        <w:rPr>
          <w:rFonts w:ascii="Arial" w:hAnsi="Arial" w:cs="Arial"/>
          <w:color w:val="000000"/>
          <w:sz w:val="20"/>
        </w:rPr>
        <w:t xml:space="preserve">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4" w:name="B163"/>
      <w:bookmarkStart w:id="405" w:name="_1.6.3_Case_Management"/>
      <w:bookmarkEnd w:id="404"/>
      <w:bookmarkEnd w:id="405"/>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6"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6"/>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w:t>
      </w:r>
      <w:proofErr w:type="spellStart"/>
      <w:r>
        <w:rPr>
          <w:rFonts w:ascii="Arial" w:hAnsi="Arial" w:cs="Arial"/>
          <w:color w:val="000000"/>
          <w:sz w:val="20"/>
        </w:rPr>
        <w:t>Courtlink</w:t>
      </w:r>
      <w:proofErr w:type="spellEnd"/>
      <w:r>
        <w:rPr>
          <w:rFonts w:ascii="Arial" w:hAnsi="Arial" w:cs="Arial"/>
          <w:color w:val="000000"/>
          <w:sz w:val="20"/>
        </w:rPr>
        <w:t xml:space="preserve">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E760BB5"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r w:rsidR="00EB26BA">
        <w:rPr>
          <w:rFonts w:ascii="Arial" w:hAnsi="Arial" w:cs="Arial"/>
          <w:color w:val="000000"/>
          <w:sz w:val="20"/>
        </w:rPr>
        <w:t xml:space="preserve">  </w:t>
      </w:r>
      <w:r w:rsidR="00DE062C">
        <w:rPr>
          <w:rFonts w:ascii="Arial" w:hAnsi="Arial" w:cs="Arial"/>
          <w:color w:val="000000"/>
          <w:sz w:val="20"/>
        </w:rPr>
        <w:t xml:space="preserve">The whole </w:t>
      </w:r>
      <w:r w:rsidR="009162B2">
        <w:rPr>
          <w:rFonts w:ascii="Arial" w:hAnsi="Arial" w:cs="Arial"/>
          <w:color w:val="000000"/>
          <w:sz w:val="20"/>
        </w:rPr>
        <w:t>CMS P</w:t>
      </w:r>
      <w:r w:rsidR="00DE062C">
        <w:rPr>
          <w:rFonts w:ascii="Arial" w:hAnsi="Arial" w:cs="Arial"/>
          <w:color w:val="000000"/>
          <w:sz w:val="20"/>
        </w:rPr>
        <w:t xml:space="preserve">roject is scheduled for completion </w:t>
      </w:r>
      <w:r w:rsidR="007A6473">
        <w:rPr>
          <w:rFonts w:ascii="Arial" w:hAnsi="Arial" w:cs="Arial"/>
          <w:color w:val="000000"/>
          <w:sz w:val="20"/>
        </w:rPr>
        <w:t>later</w:t>
      </w:r>
      <w:r w:rsidR="00DE062C">
        <w:rPr>
          <w:rFonts w:ascii="Arial" w:hAnsi="Arial" w:cs="Arial"/>
          <w:color w:val="000000"/>
          <w:sz w:val="20"/>
        </w:rPr>
        <w:t>.</w:t>
      </w:r>
    </w:p>
    <w:p w14:paraId="282BD477" w14:textId="77777777" w:rsidR="00D4050A" w:rsidRDefault="00D4050A" w:rsidP="00D4050A">
      <w:pPr>
        <w:jc w:val="both"/>
        <w:rPr>
          <w:rFonts w:ascii="Arial" w:hAnsi="Arial" w:cs="Arial"/>
          <w:color w:val="000000"/>
          <w:sz w:val="20"/>
        </w:rPr>
      </w:pPr>
    </w:p>
    <w:p w14:paraId="4906174E" w14:textId="014DDA17"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Family Division of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sz w:val="20"/>
                <w:szCs w:val="16"/>
              </w:rPr>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3442F0">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3442F0">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3442F0">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62BBFDEB"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Family Division of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2B6924">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lastRenderedPageBreak/>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ED5F61">
            <w:pPr>
              <w:pStyle w:val="DraftSub-ParaEg"/>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lastRenderedPageBreak/>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2B6924">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7" w:name="_1.7_The_Yoorrook"/>
      <w:bookmarkEnd w:id="407"/>
      <w:r>
        <w:rPr>
          <w:rFonts w:ascii="Arial" w:hAnsi="Arial" w:cs="Arial"/>
          <w:b/>
          <w:bCs/>
          <w:color w:val="000000"/>
        </w:rPr>
        <w:t>1.7</w:t>
      </w:r>
      <w:r>
        <w:rPr>
          <w:rFonts w:ascii="Arial" w:hAnsi="Arial" w:cs="Arial"/>
          <w:b/>
          <w:bCs/>
          <w:color w:val="000000"/>
        </w:rPr>
        <w:tab/>
      </w:r>
      <w:bookmarkStart w:id="408"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08"/>
    </w:p>
    <w:p w14:paraId="70F1B54A" w14:textId="7FE6372D" w:rsidR="00D4050A" w:rsidRDefault="00D4050A" w:rsidP="00D4050A">
      <w:pPr>
        <w:jc w:val="both"/>
        <w:rPr>
          <w:rFonts w:ascii="Arial" w:hAnsi="Arial" w:cs="Arial"/>
          <w:color w:val="000000"/>
          <w:sz w:val="20"/>
        </w:rPr>
      </w:pPr>
    </w:p>
    <w:p w14:paraId="3D8937F7" w14:textId="58440040" w:rsidR="00D4050A" w:rsidRDefault="00D4050A" w:rsidP="00D4050A">
      <w:pPr>
        <w:jc w:val="both"/>
        <w:rPr>
          <w:rFonts w:ascii="Arial" w:hAnsi="Arial" w:cs="Arial"/>
          <w:sz w:val="20"/>
        </w:rPr>
      </w:pPr>
      <w:bookmarkStart w:id="409" w:name="_Hlk144738638"/>
      <w:r>
        <w:rPr>
          <w:rFonts w:ascii="Arial" w:hAnsi="Arial" w:cs="Arial"/>
          <w:sz w:val="20"/>
        </w:rPr>
        <w:t xml:space="preserve">The Yoorrook Justice Commission [‘Yoorrook’] possesses the full powers of a royal commission.  Yoorrook’s second interim report – </w:t>
      </w:r>
      <w:hyperlink r:id="rId26"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09"/>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proofErr w:type="spellStart"/>
      <w:r w:rsidR="009438A4">
        <w:rPr>
          <w:rFonts w:ascii="Arial" w:hAnsi="Arial" w:cs="Arial"/>
          <w:sz w:val="20"/>
        </w:rPr>
        <w:t>Yoorook</w:t>
      </w:r>
      <w:proofErr w:type="spellEnd"/>
      <w:r w:rsidR="009438A4">
        <w:rPr>
          <w:rFonts w:ascii="Arial" w:hAnsi="Arial" w:cs="Arial"/>
          <w:sz w:val="20"/>
        </w:rPr>
        <w:t xml:space="preserve">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0"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0"/>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lastRenderedPageBreak/>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2B059E">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2B059E">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2B059E">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2B059E">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2B059E">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2B059E">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lastRenderedPageBreak/>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lastRenderedPageBreak/>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1"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w:t>
            </w:r>
            <w:proofErr w:type="spellStart"/>
            <w:r>
              <w:rPr>
                <w:rFonts w:ascii="Arial" w:hAnsi="Arial" w:cs="Arial"/>
                <w:sz w:val="20"/>
              </w:rPr>
              <w:t>Ganbu</w:t>
            </w:r>
            <w:proofErr w:type="spellEnd"/>
            <w:r>
              <w:rPr>
                <w:rFonts w:ascii="Arial" w:hAnsi="Arial" w:cs="Arial"/>
                <w:sz w:val="20"/>
              </w:rPr>
              <w:t xml:space="preserve">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w:t>
            </w:r>
            <w:proofErr w:type="spellStart"/>
            <w:r>
              <w:rPr>
                <w:rFonts w:ascii="Arial" w:hAnsi="Arial" w:cs="Arial"/>
                <w:sz w:val="20"/>
              </w:rPr>
              <w:t>Ganbu</w:t>
            </w:r>
            <w:proofErr w:type="spellEnd"/>
            <w:r>
              <w:rPr>
                <w:rFonts w:ascii="Arial" w:hAnsi="Arial" w:cs="Arial"/>
                <w:sz w:val="20"/>
              </w:rPr>
              <w:t>].</w:t>
            </w:r>
          </w:p>
        </w:tc>
      </w:tr>
      <w:bookmarkEnd w:id="411"/>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0A1B4D25"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0D24B94" w14:textId="2EF409FA"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 [as to which see </w:t>
            </w:r>
            <w:r w:rsidR="00982522" w:rsidRPr="00DE60CD">
              <w:rPr>
                <w:rFonts w:ascii="Arial" w:hAnsi="Arial" w:cs="Arial"/>
                <w:b/>
                <w:bCs/>
                <w:sz w:val="20"/>
                <w:shd w:val="clear" w:color="auto" w:fill="C5E0B3" w:themeFill="accent6" w:themeFillTint="66"/>
              </w:rPr>
              <w:t>section 5.17.4</w:t>
            </w:r>
            <w:r w:rsidR="00982522">
              <w:rPr>
                <w:rFonts w:ascii="Arial" w:hAnsi="Arial" w:cs="Arial"/>
                <w:sz w:val="20"/>
              </w:rPr>
              <w:t xml:space="preserve"> for relevant details] where it is in the child’s best interest to do so.</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2B059E">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2AB34DD6" w14:textId="4A16AC63" w:rsidR="00F5191B" w:rsidRDefault="00F5191B" w:rsidP="002B059E">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w:t>
            </w:r>
            <w:proofErr w:type="spellStart"/>
            <w:r>
              <w:rPr>
                <w:rFonts w:ascii="Arial" w:hAnsi="Arial" w:cs="Arial"/>
                <w:sz w:val="20"/>
              </w:rPr>
              <w:t>upcharging</w:t>
            </w:r>
            <w:proofErr w:type="spellEnd"/>
            <w:r>
              <w:rPr>
                <w:rFonts w:ascii="Arial" w:hAnsi="Arial" w:cs="Arial"/>
                <w:sz w:val="20"/>
              </w:rPr>
              <w:t>’;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lastRenderedPageBreak/>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lastRenderedPageBreak/>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2B059E">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2B059E">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2B059E">
            <w:pPr>
              <w:jc w:val="both"/>
              <w:rPr>
                <w:rFonts w:ascii="Arial" w:hAnsi="Arial" w:cs="Arial"/>
                <w:sz w:val="20"/>
              </w:rPr>
            </w:pPr>
            <w:r>
              <w:rPr>
                <w:rFonts w:ascii="Arial" w:hAnsi="Arial" w:cs="Arial"/>
                <w:sz w:val="20"/>
              </w:rPr>
              <w:t xml:space="preserve">By 29 February 2024 the Victorian Government must legislate to create a new statutory protection for public records that ensure that information shared on a confidential basis with </w:t>
            </w:r>
            <w:proofErr w:type="spellStart"/>
            <w:r>
              <w:rPr>
                <w:rFonts w:ascii="Arial" w:hAnsi="Arial" w:cs="Arial"/>
                <w:sz w:val="20"/>
              </w:rPr>
              <w:t>Yoorook</w:t>
            </w:r>
            <w:proofErr w:type="spellEnd"/>
            <w:r>
              <w:rPr>
                <w:rFonts w:ascii="Arial" w:hAnsi="Arial" w:cs="Arial"/>
                <w:sz w:val="20"/>
              </w:rPr>
              <w:t xml:space="preserve"> will be kept confidential for a minimum of 99 years once </w:t>
            </w:r>
            <w:proofErr w:type="spellStart"/>
            <w:r>
              <w:rPr>
                <w:rFonts w:ascii="Arial" w:hAnsi="Arial" w:cs="Arial"/>
                <w:sz w:val="20"/>
              </w:rPr>
              <w:t>Yoorook</w:t>
            </w:r>
            <w:proofErr w:type="spellEnd"/>
            <w:r>
              <w:rPr>
                <w:rFonts w:ascii="Arial" w:hAnsi="Arial" w:cs="Arial"/>
                <w:sz w:val="20"/>
              </w:rPr>
              <w:t xml:space="preserve">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enables a Royal Commission or similar inquiry to publish information about a child who is subject to protection proceedings or a protection order, where the child provides that 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2" w:name="_1.8_Severe_Substance"/>
      <w:bookmarkEnd w:id="412"/>
    </w:p>
    <w:p w14:paraId="2D97A68D" w14:textId="77777777" w:rsidR="00D46AC1" w:rsidRPr="00222937" w:rsidRDefault="00D46AC1" w:rsidP="00D46AC1">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DDD4C83" w14:textId="77777777" w:rsidR="00D46AC1" w:rsidRPr="00041518" w:rsidRDefault="00D46AC1" w:rsidP="00D46AC1">
      <w:pPr>
        <w:rPr>
          <w:rFonts w:ascii="Arial" w:hAnsi="Arial" w:cs="Arial"/>
          <w:color w:val="000000"/>
          <w:sz w:val="18"/>
          <w:szCs w:val="22"/>
        </w:rPr>
      </w:pPr>
    </w:p>
    <w:p w14:paraId="1DCCF68A" w14:textId="77777777" w:rsidR="00D46AC1" w:rsidRDefault="00D46AC1" w:rsidP="00D46AC1">
      <w:pPr>
        <w:rPr>
          <w:rFonts w:ascii="Arial" w:hAnsi="Arial" w:cs="Arial"/>
          <w:b/>
          <w:bCs/>
          <w:color w:val="000000"/>
          <w:kern w:val="28"/>
          <w:sz w:val="20"/>
          <w:szCs w:val="20"/>
          <w:lang w:val="en-GB"/>
        </w:rPr>
      </w:pPr>
      <w:r>
        <w:rPr>
          <w:rFonts w:ascii="Arial" w:hAnsi="Arial" w:cs="Arial"/>
          <w:b/>
          <w:bCs/>
          <w:color w:val="000000"/>
          <w:sz w:val="20"/>
        </w:rPr>
        <w:br w:type="page"/>
      </w:r>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3" w:name="_1.8_Severe_Substance_1"/>
      <w:bookmarkEnd w:id="413"/>
      <w:r>
        <w:rPr>
          <w:rFonts w:ascii="Arial" w:hAnsi="Arial" w:cs="Arial"/>
          <w:b/>
          <w:bCs/>
          <w:color w:val="000000"/>
        </w:rPr>
        <w:lastRenderedPageBreak/>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4"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5" w:name="tpActNo"/>
      <w:bookmarkEnd w:id="414"/>
      <w:r w:rsidR="00021AEC" w:rsidRPr="00021AEC">
        <w:rPr>
          <w:rFonts w:ascii="Arial" w:hAnsi="Arial" w:cs="Arial"/>
          <w:bCs/>
          <w:sz w:val="20"/>
        </w:rPr>
        <w:t>S.R. No. 8/2022</w:t>
      </w:r>
      <w:bookmarkEnd w:id="415"/>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5C70B7B6">
            <wp:extent cx="6523200" cy="8532000"/>
            <wp:effectExtent l="0" t="0" r="0" b="254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7"/>
                    <a:stretch>
                      <a:fillRect/>
                    </a:stretch>
                  </pic:blipFill>
                  <pic:spPr>
                    <a:xfrm>
                      <a:off x="0" y="0"/>
                      <a:ext cx="6523200" cy="8532000"/>
                    </a:xfrm>
                    <a:prstGeom prst="rect">
                      <a:avLst/>
                    </a:prstGeom>
                  </pic:spPr>
                </pic:pic>
              </a:graphicData>
            </a:graphic>
          </wp:inline>
        </w:drawing>
      </w:r>
    </w:p>
    <w:p w14:paraId="621A615B" w14:textId="77777777" w:rsidR="00CE732D" w:rsidRDefault="00CE732D" w:rsidP="006259C5">
      <w:pPr>
        <w:jc w:val="both"/>
        <w:rPr>
          <w:rFonts w:ascii="Arial" w:hAnsi="Arial" w:cs="Arial"/>
          <w:sz w:val="20"/>
        </w:rPr>
      </w:pPr>
    </w:p>
    <w:p w14:paraId="0EEF1E6D" w14:textId="066F0029" w:rsidR="00805F41" w:rsidRPr="00B85CA7" w:rsidRDefault="00805F41" w:rsidP="00805F41">
      <w:pPr>
        <w:jc w:val="center"/>
        <w:rPr>
          <w:rFonts w:ascii="Arial" w:hAnsi="Arial" w:cs="Arial"/>
          <w:sz w:val="20"/>
        </w:rPr>
      </w:pPr>
      <w:r>
        <w:rPr>
          <w:noProof/>
        </w:rPr>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footerReference w:type="default" r:id="rId29"/>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5229" w14:textId="77777777" w:rsidR="00F734D2" w:rsidRDefault="00F734D2">
      <w:r>
        <w:separator/>
      </w:r>
    </w:p>
  </w:endnote>
  <w:endnote w:type="continuationSeparator" w:id="0">
    <w:p w14:paraId="04A07F94" w14:textId="77777777" w:rsidR="00F734D2" w:rsidRDefault="00F7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4792C09C"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7B26AF">
      <w:rPr>
        <w:rStyle w:val="PageNumber"/>
        <w:rFonts w:ascii="Arial" w:hAnsi="Arial" w:cs="Arial"/>
        <w:b/>
        <w:bCs/>
        <w:color w:val="000000"/>
        <w:sz w:val="16"/>
      </w:rPr>
      <w:t>30</w:t>
    </w:r>
    <w:r w:rsidR="0034144E">
      <w:rPr>
        <w:rStyle w:val="PageNumber"/>
        <w:rFonts w:ascii="Arial" w:hAnsi="Arial" w:cs="Arial"/>
        <w:b/>
        <w:bCs/>
        <w:color w:val="000000"/>
        <w:sz w:val="16"/>
      </w:rPr>
      <w:t xml:space="preserve"> September</w:t>
    </w:r>
    <w:r w:rsidR="0040216D">
      <w:rPr>
        <w:rStyle w:val="PageNumber"/>
        <w:rFonts w:ascii="Arial" w:hAnsi="Arial" w:cs="Arial"/>
        <w:b/>
        <w:bCs/>
        <w:color w:val="000000"/>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6A07" w14:textId="77777777" w:rsidR="00F734D2" w:rsidRDefault="00F734D2">
      <w:r>
        <w:separator/>
      </w:r>
    </w:p>
  </w:footnote>
  <w:footnote w:type="continuationSeparator" w:id="0">
    <w:p w14:paraId="1BCCC8A5" w14:textId="77777777" w:rsidR="00F734D2" w:rsidRDefault="00F7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89"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4"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5"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5"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8"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4"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6"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2"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5"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6"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3"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6"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2"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4"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7"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9"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0"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2"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3"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8"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1"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6"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8"/>
  </w:num>
  <w:num w:numId="2" w16cid:durableId="280918849">
    <w:abstractNumId w:val="180"/>
  </w:num>
  <w:num w:numId="3" w16cid:durableId="2142385712">
    <w:abstractNumId w:val="147"/>
  </w:num>
  <w:num w:numId="4" w16cid:durableId="1355686459">
    <w:abstractNumId w:val="131"/>
  </w:num>
  <w:num w:numId="5" w16cid:durableId="799345029">
    <w:abstractNumId w:val="197"/>
  </w:num>
  <w:num w:numId="6" w16cid:durableId="436415332">
    <w:abstractNumId w:val="83"/>
  </w:num>
  <w:num w:numId="7" w16cid:durableId="717361946">
    <w:abstractNumId w:val="176"/>
  </w:num>
  <w:num w:numId="8" w16cid:durableId="1905215596">
    <w:abstractNumId w:val="77"/>
  </w:num>
  <w:num w:numId="9" w16cid:durableId="276833220">
    <w:abstractNumId w:val="61"/>
  </w:num>
  <w:num w:numId="10" w16cid:durableId="304939440">
    <w:abstractNumId w:val="200"/>
  </w:num>
  <w:num w:numId="11" w16cid:durableId="1453747225">
    <w:abstractNumId w:val="121"/>
  </w:num>
  <w:num w:numId="12" w16cid:durableId="1727143010">
    <w:abstractNumId w:val="152"/>
  </w:num>
  <w:num w:numId="13" w16cid:durableId="1441535436">
    <w:abstractNumId w:val="166"/>
  </w:num>
  <w:num w:numId="14" w16cid:durableId="1901939724">
    <w:abstractNumId w:val="163"/>
  </w:num>
  <w:num w:numId="15" w16cid:durableId="125005192">
    <w:abstractNumId w:val="93"/>
  </w:num>
  <w:num w:numId="16" w16cid:durableId="1036930624">
    <w:abstractNumId w:val="205"/>
  </w:num>
  <w:num w:numId="17" w16cid:durableId="1189179000">
    <w:abstractNumId w:val="169"/>
  </w:num>
  <w:num w:numId="18" w16cid:durableId="1803618505">
    <w:abstractNumId w:val="192"/>
  </w:num>
  <w:num w:numId="19" w16cid:durableId="1760132246">
    <w:abstractNumId w:val="72"/>
  </w:num>
  <w:num w:numId="20" w16cid:durableId="558512884">
    <w:abstractNumId w:val="155"/>
  </w:num>
  <w:num w:numId="21" w16cid:durableId="1853256666">
    <w:abstractNumId w:val="209"/>
  </w:num>
  <w:num w:numId="22" w16cid:durableId="1250508082">
    <w:abstractNumId w:val="42"/>
  </w:num>
  <w:num w:numId="23" w16cid:durableId="893807850">
    <w:abstractNumId w:val="105"/>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7"/>
  </w:num>
  <w:num w:numId="31" w16cid:durableId="888297961">
    <w:abstractNumId w:val="157"/>
  </w:num>
  <w:num w:numId="32" w16cid:durableId="1582837851">
    <w:abstractNumId w:val="11"/>
  </w:num>
  <w:num w:numId="33" w16cid:durableId="1833986767">
    <w:abstractNumId w:val="91"/>
  </w:num>
  <w:num w:numId="34" w16cid:durableId="389616095">
    <w:abstractNumId w:val="47"/>
  </w:num>
  <w:num w:numId="35" w16cid:durableId="117072500">
    <w:abstractNumId w:val="182"/>
  </w:num>
  <w:num w:numId="36" w16cid:durableId="855775546">
    <w:abstractNumId w:val="40"/>
  </w:num>
  <w:num w:numId="37" w16cid:durableId="69475207">
    <w:abstractNumId w:val="140"/>
  </w:num>
  <w:num w:numId="38" w16cid:durableId="611861802">
    <w:abstractNumId w:val="54"/>
  </w:num>
  <w:num w:numId="39" w16cid:durableId="406610589">
    <w:abstractNumId w:val="150"/>
  </w:num>
  <w:num w:numId="40" w16cid:durableId="745416058">
    <w:abstractNumId w:val="115"/>
  </w:num>
  <w:num w:numId="41" w16cid:durableId="1333025919">
    <w:abstractNumId w:val="79"/>
  </w:num>
  <w:num w:numId="42" w16cid:durableId="520969534">
    <w:abstractNumId w:val="170"/>
  </w:num>
  <w:num w:numId="43" w16cid:durableId="1652638939">
    <w:abstractNumId w:val="134"/>
  </w:num>
  <w:num w:numId="44" w16cid:durableId="604650254">
    <w:abstractNumId w:val="114"/>
  </w:num>
  <w:num w:numId="45" w16cid:durableId="853500174">
    <w:abstractNumId w:val="32"/>
  </w:num>
  <w:num w:numId="46" w16cid:durableId="455373404">
    <w:abstractNumId w:val="24"/>
  </w:num>
  <w:num w:numId="47" w16cid:durableId="21369021">
    <w:abstractNumId w:val="133"/>
  </w:num>
  <w:num w:numId="48" w16cid:durableId="203368152">
    <w:abstractNumId w:val="204"/>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89"/>
  </w:num>
  <w:num w:numId="54" w16cid:durableId="418449467">
    <w:abstractNumId w:val="145"/>
  </w:num>
  <w:num w:numId="55" w16cid:durableId="2015303632">
    <w:abstractNumId w:val="144"/>
  </w:num>
  <w:num w:numId="56" w16cid:durableId="482166280">
    <w:abstractNumId w:val="128"/>
  </w:num>
  <w:num w:numId="57" w16cid:durableId="1562057640">
    <w:abstractNumId w:val="18"/>
  </w:num>
  <w:num w:numId="58" w16cid:durableId="2115980632">
    <w:abstractNumId w:val="146"/>
  </w:num>
  <w:num w:numId="59" w16cid:durableId="1152332622">
    <w:abstractNumId w:val="185"/>
  </w:num>
  <w:num w:numId="60" w16cid:durableId="1042359764">
    <w:abstractNumId w:val="2"/>
  </w:num>
  <w:num w:numId="61" w16cid:durableId="1208373150">
    <w:abstractNumId w:val="179"/>
  </w:num>
  <w:num w:numId="62" w16cid:durableId="235484136">
    <w:abstractNumId w:val="148"/>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0"/>
  </w:num>
  <w:num w:numId="69" w16cid:durableId="378827174">
    <w:abstractNumId w:val="86"/>
  </w:num>
  <w:num w:numId="70" w16cid:durableId="1998533710">
    <w:abstractNumId w:val="191"/>
  </w:num>
  <w:num w:numId="71" w16cid:durableId="1598176137">
    <w:abstractNumId w:val="175"/>
  </w:num>
  <w:num w:numId="72" w16cid:durableId="1569612643">
    <w:abstractNumId w:val="19"/>
  </w:num>
  <w:num w:numId="73" w16cid:durableId="1274938315">
    <w:abstractNumId w:val="55"/>
  </w:num>
  <w:num w:numId="74" w16cid:durableId="609819868">
    <w:abstractNumId w:val="141"/>
  </w:num>
  <w:num w:numId="75" w16cid:durableId="2056158657">
    <w:abstractNumId w:val="80"/>
  </w:num>
  <w:num w:numId="76" w16cid:durableId="2026205454">
    <w:abstractNumId w:val="196"/>
  </w:num>
  <w:num w:numId="77" w16cid:durableId="903023396">
    <w:abstractNumId w:val="98"/>
  </w:num>
  <w:num w:numId="78" w16cid:durableId="1753890360">
    <w:abstractNumId w:val="46"/>
  </w:num>
  <w:num w:numId="79" w16cid:durableId="1103112266">
    <w:abstractNumId w:val="161"/>
  </w:num>
  <w:num w:numId="80" w16cid:durableId="953950262">
    <w:abstractNumId w:val="211"/>
  </w:num>
  <w:num w:numId="81" w16cid:durableId="1505820877">
    <w:abstractNumId w:val="198"/>
  </w:num>
  <w:num w:numId="82" w16cid:durableId="1278560913">
    <w:abstractNumId w:val="127"/>
  </w:num>
  <w:num w:numId="83" w16cid:durableId="1651329465">
    <w:abstractNumId w:val="16"/>
  </w:num>
  <w:num w:numId="84" w16cid:durableId="103234885">
    <w:abstractNumId w:val="112"/>
  </w:num>
  <w:num w:numId="85" w16cid:durableId="75323072">
    <w:abstractNumId w:val="31"/>
  </w:num>
  <w:num w:numId="86" w16cid:durableId="676267847">
    <w:abstractNumId w:val="156"/>
  </w:num>
  <w:num w:numId="87" w16cid:durableId="1491871090">
    <w:abstractNumId w:val="75"/>
  </w:num>
  <w:num w:numId="88" w16cid:durableId="874729858">
    <w:abstractNumId w:val="174"/>
  </w:num>
  <w:num w:numId="89" w16cid:durableId="664286640">
    <w:abstractNumId w:val="168"/>
  </w:num>
  <w:num w:numId="90" w16cid:durableId="640689783">
    <w:abstractNumId w:val="107"/>
  </w:num>
  <w:num w:numId="91" w16cid:durableId="1252740539">
    <w:abstractNumId w:val="123"/>
  </w:num>
  <w:num w:numId="92" w16cid:durableId="1272973890">
    <w:abstractNumId w:val="104"/>
  </w:num>
  <w:num w:numId="93" w16cid:durableId="148325270">
    <w:abstractNumId w:val="25"/>
  </w:num>
  <w:num w:numId="94" w16cid:durableId="670720642">
    <w:abstractNumId w:val="171"/>
  </w:num>
  <w:num w:numId="95" w16cid:durableId="1862234053">
    <w:abstractNumId w:val="52"/>
  </w:num>
  <w:num w:numId="96" w16cid:durableId="1707023250">
    <w:abstractNumId w:val="193"/>
  </w:num>
  <w:num w:numId="97" w16cid:durableId="2074768449">
    <w:abstractNumId w:val="81"/>
  </w:num>
  <w:num w:numId="98" w16cid:durableId="634987274">
    <w:abstractNumId w:val="188"/>
  </w:num>
  <w:num w:numId="99" w16cid:durableId="505824255">
    <w:abstractNumId w:val="122"/>
  </w:num>
  <w:num w:numId="100" w16cid:durableId="251202822">
    <w:abstractNumId w:val="159"/>
  </w:num>
  <w:num w:numId="101" w16cid:durableId="1998993453">
    <w:abstractNumId w:val="138"/>
  </w:num>
  <w:num w:numId="102" w16cid:durableId="582447218">
    <w:abstractNumId w:val="142"/>
  </w:num>
  <w:num w:numId="103" w16cid:durableId="291325477">
    <w:abstractNumId w:val="13"/>
  </w:num>
  <w:num w:numId="104" w16cid:durableId="93258247">
    <w:abstractNumId w:val="178"/>
  </w:num>
  <w:num w:numId="105" w16cid:durableId="2048213157">
    <w:abstractNumId w:val="84"/>
  </w:num>
  <w:num w:numId="106" w16cid:durableId="1851337549">
    <w:abstractNumId w:val="164"/>
  </w:num>
  <w:num w:numId="107" w16cid:durableId="1556501112">
    <w:abstractNumId w:val="34"/>
  </w:num>
  <w:num w:numId="108" w16cid:durableId="421075839">
    <w:abstractNumId w:val="139"/>
  </w:num>
  <w:num w:numId="109" w16cid:durableId="1698777507">
    <w:abstractNumId w:val="97"/>
  </w:num>
  <w:num w:numId="110" w16cid:durableId="1773550613">
    <w:abstractNumId w:val="108"/>
  </w:num>
  <w:num w:numId="111" w16cid:durableId="1960142869">
    <w:abstractNumId w:val="66"/>
  </w:num>
  <w:num w:numId="112" w16cid:durableId="1572304920">
    <w:abstractNumId w:val="8"/>
  </w:num>
  <w:num w:numId="113" w16cid:durableId="1824423127">
    <w:abstractNumId w:val="177"/>
  </w:num>
  <w:num w:numId="114" w16cid:durableId="1194342427">
    <w:abstractNumId w:val="74"/>
  </w:num>
  <w:num w:numId="115" w16cid:durableId="2058120864">
    <w:abstractNumId w:val="202"/>
  </w:num>
  <w:num w:numId="116" w16cid:durableId="1253512405">
    <w:abstractNumId w:val="28"/>
  </w:num>
  <w:num w:numId="117" w16cid:durableId="354816811">
    <w:abstractNumId w:val="116"/>
  </w:num>
  <w:num w:numId="118" w16cid:durableId="1498300347">
    <w:abstractNumId w:val="45"/>
  </w:num>
  <w:num w:numId="119" w16cid:durableId="1071661615">
    <w:abstractNumId w:val="125"/>
  </w:num>
  <w:num w:numId="120" w16cid:durableId="1767654398">
    <w:abstractNumId w:val="35"/>
  </w:num>
  <w:num w:numId="121" w16cid:durableId="1646621623">
    <w:abstractNumId w:val="44"/>
  </w:num>
  <w:num w:numId="122" w16cid:durableId="1784837986">
    <w:abstractNumId w:val="87"/>
  </w:num>
  <w:num w:numId="123" w16cid:durableId="402870788">
    <w:abstractNumId w:val="102"/>
  </w:num>
  <w:num w:numId="124" w16cid:durableId="220143462">
    <w:abstractNumId w:val="160"/>
  </w:num>
  <w:num w:numId="125" w16cid:durableId="588776001">
    <w:abstractNumId w:val="57"/>
  </w:num>
  <w:num w:numId="126" w16cid:durableId="1684743667">
    <w:abstractNumId w:val="172"/>
  </w:num>
  <w:num w:numId="127" w16cid:durableId="342244803">
    <w:abstractNumId w:val="187"/>
  </w:num>
  <w:num w:numId="128" w16cid:durableId="1901668731">
    <w:abstractNumId w:val="99"/>
  </w:num>
  <w:num w:numId="129" w16cid:durableId="1093942000">
    <w:abstractNumId w:val="76"/>
  </w:num>
  <w:num w:numId="130" w16cid:durableId="1641613684">
    <w:abstractNumId w:val="151"/>
  </w:num>
  <w:num w:numId="131" w16cid:durableId="1509557993">
    <w:abstractNumId w:val="162"/>
  </w:num>
  <w:num w:numId="132" w16cid:durableId="867834878">
    <w:abstractNumId w:val="154"/>
  </w:num>
  <w:num w:numId="133" w16cid:durableId="516311350">
    <w:abstractNumId w:val="153"/>
  </w:num>
  <w:num w:numId="134" w16cid:durableId="426652661">
    <w:abstractNumId w:val="6"/>
  </w:num>
  <w:num w:numId="135" w16cid:durableId="1588611154">
    <w:abstractNumId w:val="92"/>
  </w:num>
  <w:num w:numId="136" w16cid:durableId="760949000">
    <w:abstractNumId w:val="132"/>
  </w:num>
  <w:num w:numId="137" w16cid:durableId="1871986507">
    <w:abstractNumId w:val="129"/>
  </w:num>
  <w:num w:numId="138" w16cid:durableId="1018577891">
    <w:abstractNumId w:val="71"/>
  </w:num>
  <w:num w:numId="139" w16cid:durableId="1077820368">
    <w:abstractNumId w:val="181"/>
  </w:num>
  <w:num w:numId="140" w16cid:durableId="1792937948">
    <w:abstractNumId w:val="126"/>
  </w:num>
  <w:num w:numId="141" w16cid:durableId="1033917854">
    <w:abstractNumId w:val="20"/>
  </w:num>
  <w:num w:numId="142" w16cid:durableId="2133859354">
    <w:abstractNumId w:val="136"/>
  </w:num>
  <w:num w:numId="143" w16cid:durableId="1219130013">
    <w:abstractNumId w:val="90"/>
  </w:num>
  <w:num w:numId="144" w16cid:durableId="767775216">
    <w:abstractNumId w:val="100"/>
  </w:num>
  <w:num w:numId="145" w16cid:durableId="1232614384">
    <w:abstractNumId w:val="106"/>
  </w:num>
  <w:num w:numId="146" w16cid:durableId="1019239994">
    <w:abstractNumId w:val="82"/>
  </w:num>
  <w:num w:numId="147" w16cid:durableId="1501189584">
    <w:abstractNumId w:val="143"/>
  </w:num>
  <w:num w:numId="148" w16cid:durableId="808518672">
    <w:abstractNumId w:val="109"/>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199"/>
  </w:num>
  <w:num w:numId="154" w16cid:durableId="1545024814">
    <w:abstractNumId w:val="173"/>
  </w:num>
  <w:num w:numId="155" w16cid:durableId="722365485">
    <w:abstractNumId w:val="95"/>
  </w:num>
  <w:num w:numId="156" w16cid:durableId="4793170">
    <w:abstractNumId w:val="70"/>
  </w:num>
  <w:num w:numId="157" w16cid:durableId="1069427841">
    <w:abstractNumId w:val="3"/>
  </w:num>
  <w:num w:numId="158" w16cid:durableId="1862415">
    <w:abstractNumId w:val="208"/>
  </w:num>
  <w:num w:numId="159" w16cid:durableId="215236649">
    <w:abstractNumId w:val="53"/>
  </w:num>
  <w:num w:numId="160" w16cid:durableId="1081876615">
    <w:abstractNumId w:val="183"/>
  </w:num>
  <w:num w:numId="161" w16cid:durableId="1368530151">
    <w:abstractNumId w:val="207"/>
  </w:num>
  <w:num w:numId="162" w16cid:durableId="2040083740">
    <w:abstractNumId w:val="103"/>
  </w:num>
  <w:num w:numId="163" w16cid:durableId="483740131">
    <w:abstractNumId w:val="119"/>
  </w:num>
  <w:num w:numId="164" w16cid:durableId="54669673">
    <w:abstractNumId w:val="96"/>
  </w:num>
  <w:num w:numId="165" w16cid:durableId="1115252429">
    <w:abstractNumId w:val="50"/>
  </w:num>
  <w:num w:numId="166" w16cid:durableId="934677339">
    <w:abstractNumId w:val="110"/>
  </w:num>
  <w:num w:numId="167" w16cid:durableId="1157451845">
    <w:abstractNumId w:val="41"/>
  </w:num>
  <w:num w:numId="168" w16cid:durableId="235628248">
    <w:abstractNumId w:val="118"/>
  </w:num>
  <w:num w:numId="169" w16cid:durableId="1306621332">
    <w:abstractNumId w:val="94"/>
  </w:num>
  <w:num w:numId="170" w16cid:durableId="707872412">
    <w:abstractNumId w:val="10"/>
  </w:num>
  <w:num w:numId="171" w16cid:durableId="504128748">
    <w:abstractNumId w:val="203"/>
  </w:num>
  <w:num w:numId="172" w16cid:durableId="515272261">
    <w:abstractNumId w:val="195"/>
  </w:num>
  <w:num w:numId="173" w16cid:durableId="1879468788">
    <w:abstractNumId w:val="33"/>
  </w:num>
  <w:num w:numId="174" w16cid:durableId="1753351124">
    <w:abstractNumId w:val="27"/>
  </w:num>
  <w:num w:numId="175" w16cid:durableId="268045696">
    <w:abstractNumId w:val="117"/>
  </w:num>
  <w:num w:numId="176" w16cid:durableId="1807553032">
    <w:abstractNumId w:val="212"/>
  </w:num>
  <w:num w:numId="177" w16cid:durableId="580993465">
    <w:abstractNumId w:val="15"/>
  </w:num>
  <w:num w:numId="178" w16cid:durableId="843205234">
    <w:abstractNumId w:val="111"/>
  </w:num>
  <w:num w:numId="179" w16cid:durableId="1453477559">
    <w:abstractNumId w:val="1"/>
  </w:num>
  <w:num w:numId="180" w16cid:durableId="2137142596">
    <w:abstractNumId w:val="206"/>
  </w:num>
  <w:num w:numId="181" w16cid:durableId="1543515062">
    <w:abstractNumId w:val="69"/>
  </w:num>
  <w:num w:numId="182" w16cid:durableId="426772720">
    <w:abstractNumId w:val="213"/>
  </w:num>
  <w:num w:numId="183" w16cid:durableId="695738014">
    <w:abstractNumId w:val="149"/>
  </w:num>
  <w:num w:numId="184" w16cid:durableId="465389837">
    <w:abstractNumId w:val="101"/>
  </w:num>
  <w:num w:numId="185" w16cid:durableId="475072378">
    <w:abstractNumId w:val="210"/>
  </w:num>
  <w:num w:numId="186" w16cid:durableId="1190727688">
    <w:abstractNumId w:val="65"/>
  </w:num>
  <w:num w:numId="187" w16cid:durableId="1200778161">
    <w:abstractNumId w:val="60"/>
  </w:num>
  <w:num w:numId="188" w16cid:durableId="1867793563">
    <w:abstractNumId w:val="85"/>
  </w:num>
  <w:num w:numId="189" w16cid:durableId="596062793">
    <w:abstractNumId w:val="165"/>
  </w:num>
  <w:num w:numId="190" w16cid:durableId="2075159378">
    <w:abstractNumId w:val="190"/>
  </w:num>
  <w:num w:numId="191" w16cid:durableId="500586511">
    <w:abstractNumId w:val="23"/>
  </w:num>
  <w:num w:numId="192" w16cid:durableId="820345601">
    <w:abstractNumId w:val="49"/>
  </w:num>
  <w:num w:numId="193" w16cid:durableId="575170208">
    <w:abstractNumId w:val="113"/>
  </w:num>
  <w:num w:numId="194" w16cid:durableId="104085183">
    <w:abstractNumId w:val="0"/>
  </w:num>
  <w:num w:numId="195" w16cid:durableId="1407650002">
    <w:abstractNumId w:val="56"/>
  </w:num>
  <w:num w:numId="196" w16cid:durableId="645865399">
    <w:abstractNumId w:val="184"/>
  </w:num>
  <w:num w:numId="197" w16cid:durableId="1723671208">
    <w:abstractNumId w:val="39"/>
  </w:num>
  <w:num w:numId="198" w16cid:durableId="1103454773">
    <w:abstractNumId w:val="135"/>
  </w:num>
  <w:num w:numId="199" w16cid:durableId="409617553">
    <w:abstractNumId w:val="68"/>
  </w:num>
  <w:num w:numId="200" w16cid:durableId="796140931">
    <w:abstractNumId w:val="186"/>
  </w:num>
  <w:num w:numId="201" w16cid:durableId="2136870475">
    <w:abstractNumId w:val="4"/>
  </w:num>
  <w:num w:numId="202" w16cid:durableId="1072311797">
    <w:abstractNumId w:val="130"/>
  </w:num>
  <w:num w:numId="203" w16cid:durableId="1113136969">
    <w:abstractNumId w:val="63"/>
  </w:num>
  <w:num w:numId="204" w16cid:durableId="1304118315">
    <w:abstractNumId w:val="137"/>
  </w:num>
  <w:num w:numId="205" w16cid:durableId="361594756">
    <w:abstractNumId w:val="201"/>
  </w:num>
  <w:num w:numId="206" w16cid:durableId="1461190706">
    <w:abstractNumId w:val="51"/>
  </w:num>
  <w:num w:numId="207" w16cid:durableId="1217936291">
    <w:abstractNumId w:val="189"/>
  </w:num>
  <w:num w:numId="208" w16cid:durableId="300506378">
    <w:abstractNumId w:val="62"/>
  </w:num>
  <w:num w:numId="209" w16cid:durableId="1480534093">
    <w:abstractNumId w:val="124"/>
  </w:num>
  <w:num w:numId="210" w16cid:durableId="1751730848">
    <w:abstractNumId w:val="43"/>
  </w:num>
  <w:num w:numId="211" w16cid:durableId="1798446163">
    <w:abstractNumId w:val="158"/>
  </w:num>
  <w:num w:numId="212" w16cid:durableId="613249971">
    <w:abstractNumId w:val="194"/>
  </w:num>
  <w:num w:numId="213" w16cid:durableId="864640493">
    <w:abstractNumId w:val="214"/>
  </w:num>
  <w:num w:numId="214" w16cid:durableId="521939574">
    <w:abstractNumId w:val="64"/>
  </w:num>
  <w:num w:numId="215" w16cid:durableId="1651205857">
    <w:abstractNumId w:val="1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1664"/>
    <w:rsid w:val="00071C18"/>
    <w:rsid w:val="00072A43"/>
    <w:rsid w:val="00073126"/>
    <w:rsid w:val="000733FF"/>
    <w:rsid w:val="000748BD"/>
    <w:rsid w:val="00074DA8"/>
    <w:rsid w:val="000752CC"/>
    <w:rsid w:val="00076C15"/>
    <w:rsid w:val="000777B1"/>
    <w:rsid w:val="00077F02"/>
    <w:rsid w:val="0008031E"/>
    <w:rsid w:val="00080420"/>
    <w:rsid w:val="00080BCB"/>
    <w:rsid w:val="00080C0D"/>
    <w:rsid w:val="0008189A"/>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2C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6A02"/>
    <w:rsid w:val="00217426"/>
    <w:rsid w:val="00220195"/>
    <w:rsid w:val="00220271"/>
    <w:rsid w:val="002207AC"/>
    <w:rsid w:val="00220F69"/>
    <w:rsid w:val="002229D9"/>
    <w:rsid w:val="002230A4"/>
    <w:rsid w:val="00224C72"/>
    <w:rsid w:val="00226AA1"/>
    <w:rsid w:val="00227336"/>
    <w:rsid w:val="0022770D"/>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6242"/>
    <w:rsid w:val="002B6340"/>
    <w:rsid w:val="002B6D5A"/>
    <w:rsid w:val="002B776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67E5"/>
    <w:rsid w:val="004C6889"/>
    <w:rsid w:val="004C7506"/>
    <w:rsid w:val="004D01FD"/>
    <w:rsid w:val="004D0942"/>
    <w:rsid w:val="004D202B"/>
    <w:rsid w:val="004D2610"/>
    <w:rsid w:val="004D42AB"/>
    <w:rsid w:val="004D45EE"/>
    <w:rsid w:val="004D590B"/>
    <w:rsid w:val="004D594B"/>
    <w:rsid w:val="004E0AD8"/>
    <w:rsid w:val="004E17B2"/>
    <w:rsid w:val="004E1AC5"/>
    <w:rsid w:val="004E21F8"/>
    <w:rsid w:val="004E2842"/>
    <w:rsid w:val="004E33CB"/>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D34"/>
    <w:rsid w:val="00800F21"/>
    <w:rsid w:val="0080136E"/>
    <w:rsid w:val="00801638"/>
    <w:rsid w:val="00801F9C"/>
    <w:rsid w:val="00802519"/>
    <w:rsid w:val="00802791"/>
    <w:rsid w:val="00803301"/>
    <w:rsid w:val="008038E0"/>
    <w:rsid w:val="0080454A"/>
    <w:rsid w:val="008052FB"/>
    <w:rsid w:val="00805F32"/>
    <w:rsid w:val="00805F41"/>
    <w:rsid w:val="008060E6"/>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3DE9"/>
    <w:rsid w:val="00C643C3"/>
    <w:rsid w:val="00C646A2"/>
    <w:rsid w:val="00C65C23"/>
    <w:rsid w:val="00C664BB"/>
    <w:rsid w:val="00C66C8A"/>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4E2E"/>
    <w:rsid w:val="00EE6241"/>
    <w:rsid w:val="00EE7092"/>
    <w:rsid w:val="00EE7AF3"/>
    <w:rsid w:val="00EF03B8"/>
    <w:rsid w:val="00EF0EA1"/>
    <w:rsid w:val="00EF342E"/>
    <w:rsid w:val="00EF556B"/>
    <w:rsid w:val="00EF6C82"/>
    <w:rsid w:val="00EF6EC9"/>
    <w:rsid w:val="00EF7019"/>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C5313"/>
    <w:rsid w:val="00FC7FDB"/>
    <w:rsid w:val="00FD09C4"/>
    <w:rsid w:val="00FD1247"/>
    <w:rsid w:val="00FD27C9"/>
    <w:rsid w:val="00FD2808"/>
    <w:rsid w:val="00FD502A"/>
    <w:rsid w:val="00FD570E"/>
    <w:rsid w:val="00FD5A10"/>
    <w:rsid w:val="00FD5B03"/>
    <w:rsid w:val="00FD61FF"/>
    <w:rsid w:val="00FD7099"/>
    <w:rsid w:val="00FD7FC4"/>
    <w:rsid w:val="00FE4250"/>
    <w:rsid w:val="00FE4E02"/>
    <w:rsid w:val="00FE5BEB"/>
    <w:rsid w:val="00FE6429"/>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78F89B"/>
  <w15:chartTrackingRefBased/>
  <w15:docId w15:val="{A0BD971E-CCBA-4E70-8082-D7A3AFA8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3-07/Practice%20Direction%20No.%202%20of%202023.pdf" TargetMode="External"/><Relationship Id="rId18" Type="http://schemas.openxmlformats.org/officeDocument/2006/relationships/hyperlink" Target="https://www.countycourt.vic.gov.au/practice-notes?filter%5bdivision%5d%5b0%5d=13&amp;filter%5bkeyword%5d=multi-jurisdictional" TargetMode="External"/><Relationship Id="rId26" Type="http://schemas.openxmlformats.org/officeDocument/2006/relationships/hyperlink" Target="https://yoorrookforjustice.org.au/wp-content/uploads/2023/08/Yoorrook-for-justice-report.pdf" TargetMode="External"/><Relationship Id="rId3" Type="http://schemas.openxmlformats.org/officeDocument/2006/relationships/styles" Target="styles.xml"/><Relationship Id="rId21" Type="http://schemas.openxmlformats.org/officeDocument/2006/relationships/hyperlink" Target="https://www.childrenscourt.vic.gov.au/family-division/intervention-orders" TargetMode="External"/><Relationship Id="rId7" Type="http://schemas.openxmlformats.org/officeDocument/2006/relationships/endnotes" Target="endnotes.xml"/><Relationship Id="rId12" Type="http://schemas.openxmlformats.org/officeDocument/2006/relationships/hyperlink" Target="https://www.childrenscourt.vic.gov.au/sites/default/files/2022-03/Practice%20Direction%20No.3%20of%202022_0.pdf" TargetMode="External"/><Relationship Id="rId17" Type="http://schemas.openxmlformats.org/officeDocument/2006/relationships/hyperlink" Target="https://www.childrenscourt.vic.gov.au/sites/default/files/2020-07/Guidelines%20for%20Conciliation%20Conferences%20-%201%20March%202016_0.pdf" TargetMode="External"/><Relationship Id="rId25" Type="http://schemas.openxmlformats.org/officeDocument/2006/relationships/hyperlink" Target="https://www.childrenscourt.vic.gov.au/court-documents-and-recordings" TargetMode="External"/><Relationship Id="rId2" Type="http://schemas.openxmlformats.org/officeDocument/2006/relationships/numbering" Target="numbering.xml"/><Relationship Id="rId16" Type="http://schemas.openxmlformats.org/officeDocument/2006/relationships/hyperlink" Target="http://www.childrenscourt.vic.gov.au" TargetMode="External"/><Relationship Id="rId20" Type="http://schemas.openxmlformats.org/officeDocument/2006/relationships/hyperlink" Target="https://www.childrenscourt.vic.gov.au/family-divis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0-02/Practice%20Direction%202%20of%202018.pdf" TargetMode="External"/><Relationship Id="rId24" Type="http://schemas.openxmlformats.org/officeDocument/2006/relationships/hyperlink" Target="https://www.childrenscourt.vic.gov.au/court-locations" TargetMode="External"/><Relationship Id="rId5" Type="http://schemas.openxmlformats.org/officeDocument/2006/relationships/webSettings" Target="webSettings.xml"/><Relationship Id="rId15" Type="http://schemas.openxmlformats.org/officeDocument/2006/relationships/hyperlink" Target="https://www.childrenscourt.vic.gov.au/sites/default/files/2025-01/Practice%20Direction%20No%201%20of%202025%20Children%27s%20Court%20of%20Victoria%2001_0.pdf" TargetMode="External"/><Relationship Id="rId23" Type="http://schemas.openxmlformats.org/officeDocument/2006/relationships/hyperlink" Target="https://www.childrenscourt.vic.gov.au/childrens-court-clinic" TargetMode="External"/><Relationship Id="rId28" Type="http://schemas.openxmlformats.org/officeDocument/2006/relationships/image" Target="media/image2.wmf"/><Relationship Id="rId10" Type="http://schemas.openxmlformats.org/officeDocument/2006/relationships/hyperlink" Target="https://www.childrenscourt.vic.gov.au/sites/default/files/2020-02/Practice%20Direction%203%20of%202016.pdf" TargetMode="External"/><Relationship Id="rId19" Type="http://schemas.openxmlformats.org/officeDocument/2006/relationships/hyperlink" Target="https://www.childrenscourt.vic.gov.au/criminal-divis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s://www.childrenscourt.vic.gov.au/sites/default/files/2024-10/Children%27s%20Court%20of%20Victoria%20Practice%20Direction%202%20of%202024%20-%2022%20October%202024_1.pdf" TargetMode="External"/><Relationship Id="rId22" Type="http://schemas.openxmlformats.org/officeDocument/2006/relationships/hyperlink" Target="https://www.childrenscourt.vic.gov.au/family-division/child-protection/conciliation-conferences"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43767</Words>
  <Characters>249476</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292658</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2025-09-08T00:21:00Z</cp:lastPrinted>
  <dcterms:created xsi:type="dcterms:W3CDTF">2025-09-26T15:00:00Z</dcterms:created>
  <dcterms:modified xsi:type="dcterms:W3CDTF">2025-09-26T15:00:00Z</dcterms:modified>
</cp:coreProperties>
</file>